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402A99A8" w:rsidR="00F93AE3" w:rsidRPr="00F6638F" w:rsidRDefault="004A29FC" w:rsidP="00F6638F">
      <w:pPr>
        <w:pStyle w:val="ny-h1-sub"/>
        <w:rPr>
          <w:b/>
        </w:rPr>
      </w:pPr>
      <w:r>
        <w:t>Topic A</w:t>
      </w:r>
      <w:r w:rsidR="00F93AE3" w:rsidRPr="00F6638F">
        <w:t>:</w:t>
      </w:r>
    </w:p>
    <w:p w14:paraId="4B710DB5" w14:textId="4CDE2D04" w:rsidR="00E152D5" w:rsidRPr="00F6638F" w:rsidRDefault="00F8588C" w:rsidP="00F6638F">
      <w:pPr>
        <w:pStyle w:val="ny-h1"/>
        <w:rPr>
          <w:b w:val="0"/>
        </w:rPr>
      </w:pPr>
      <w:r>
        <w:t>Square and Cube Roots</w:t>
      </w:r>
    </w:p>
    <w:p w14:paraId="40CB4CE9" w14:textId="2BF0C38D" w:rsidR="00C639B4" w:rsidRPr="00C639B4" w:rsidRDefault="00E96941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8.NS.A.1</w:t>
      </w:r>
      <w:proofErr w:type="gramEnd"/>
      <w:r>
        <w:rPr>
          <w:rStyle w:val="ny-standards"/>
        </w:rPr>
        <w:t>, 8.NS.A.2, 8.EE.A.2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1E3B38" w:rsidRPr="001E3B3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1E3B38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1E3B38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0A966BCE" w:rsidR="00E152D5" w:rsidRPr="001E3B38" w:rsidRDefault="00E96941" w:rsidP="005073ED">
            <w:pPr>
              <w:pStyle w:val="ny-standard-chart"/>
              <w:rPr>
                <w:b/>
                <w:szCs w:val="20"/>
              </w:rPr>
            </w:pPr>
            <w:r w:rsidRPr="001E3B38">
              <w:rPr>
                <w:szCs w:val="20"/>
              </w:rPr>
              <w:t>8.NS.A.1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38116C12" w:rsidR="00E152D5" w:rsidRPr="001E3B38" w:rsidRDefault="00E96941" w:rsidP="0023230F">
            <w:pPr>
              <w:pStyle w:val="ny-standard-chart"/>
            </w:pPr>
            <w:r w:rsidRPr="001E3B38">
              <w:t xml:space="preserve">Know that numbers that are not rational are called irrational.  Understand informally that every number has a decimal expansion; for rational numbers show that the decimal expansion repeats eventually, and convert a decimal expansion which repeats eventually into a rational number.  </w:t>
            </w:r>
          </w:p>
        </w:tc>
      </w:tr>
      <w:tr w:rsidR="001E3B38" w:rsidRPr="001E3B38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FD12888" w14:textId="77777777" w:rsidR="00E96941" w:rsidRPr="001E3B38" w:rsidRDefault="00E96941" w:rsidP="00584653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8.NS.A.2</w:t>
            </w:r>
          </w:p>
          <w:p w14:paraId="4B710DBB" w14:textId="70A98085" w:rsidR="00E96941" w:rsidRPr="001E3B38" w:rsidRDefault="00E96941" w:rsidP="00584653">
            <w:pPr>
              <w:pStyle w:val="ny-standard-chart"/>
              <w:rPr>
                <w:b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C" w14:textId="160CF05B" w:rsidR="00E96941" w:rsidRPr="001E3B38" w:rsidRDefault="00E96941" w:rsidP="00E96941">
            <w:pPr>
              <w:pStyle w:val="ny-standard-chart"/>
              <w:rPr>
                <w:i/>
                <w:szCs w:val="20"/>
              </w:rPr>
            </w:pPr>
            <w:r w:rsidRPr="001E3B38">
              <w:rPr>
                <w:szCs w:val="20"/>
              </w:rPr>
              <w:t xml:space="preserve">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  <w:r w:rsidRPr="001E3B38">
              <w:rPr>
                <w:szCs w:val="20"/>
              </w:rPr>
              <w:t xml:space="preserve">).  </w:t>
            </w:r>
            <w:r w:rsidRPr="001E3B38">
              <w:rPr>
                <w:i/>
                <w:szCs w:val="20"/>
              </w:rPr>
              <w:t xml:space="preserve">For example, by truncating the decimal expansion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, </m:t>
              </m:r>
            </m:oMath>
            <w:r w:rsidRPr="001E3B38">
              <w:rPr>
                <w:i/>
                <w:szCs w:val="20"/>
              </w:rPr>
              <w:t xml:space="preserve">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  <w:r w:rsidRPr="001E3B38">
              <w:rPr>
                <w:i/>
                <w:szCs w:val="20"/>
              </w:rPr>
              <w:t xml:space="preserve"> is between 1 and 2, then between 1.4 and 1.5, and explain how to continue to get better approximations.</w:t>
            </w:r>
          </w:p>
        </w:tc>
      </w:tr>
      <w:tr w:rsidR="001E3B38" w:rsidRPr="001E3B38" w14:paraId="4B77CE6F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CA2694A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AE0670" w14:textId="4E3746D9" w:rsidR="00E96941" w:rsidRPr="001E3B38" w:rsidRDefault="00E96941" w:rsidP="00584653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8.EE.A.2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839C643" w14:textId="6FC0D97C" w:rsidR="00E96941" w:rsidRPr="001E3B38" w:rsidRDefault="00E96941" w:rsidP="00E96941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 xml:space="preserve">Use square root and cube root symbols to represent solutions to equations of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=p</m:t>
              </m:r>
            </m:oMath>
            <w:r w:rsidRPr="001E3B38">
              <w:rPr>
                <w:szCs w:val="20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=p,</m:t>
              </m:r>
            </m:oMath>
            <w:r w:rsidRPr="001E3B38">
              <w:rPr>
                <w:szCs w:val="20"/>
              </w:rPr>
              <w:t xml:space="preserve"> where </w:t>
            </w:r>
            <m:oMath>
              <m:r>
                <w:rPr>
                  <w:rFonts w:ascii="Cambria Math" w:hAnsi="Cambria Math"/>
                  <w:szCs w:val="20"/>
                </w:rPr>
                <m:t>p</m:t>
              </m:r>
            </m:oMath>
            <w:r w:rsidRPr="001E3B38">
              <w:rPr>
                <w:szCs w:val="20"/>
              </w:rPr>
              <w:t xml:space="preserve"> is a positive rational number.  Evaluate square roots of small perfect squares and cube roots of small perfect cubes.  Know that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  <w:r w:rsidRPr="001E3B38">
              <w:rPr>
                <w:szCs w:val="20"/>
              </w:rPr>
              <w:t xml:space="preserve"> is irrational.</w:t>
            </w:r>
          </w:p>
        </w:tc>
      </w:tr>
      <w:tr w:rsidR="001E3B38" w:rsidRPr="001E3B3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04B0ED13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77777777" w:rsidR="00E96941" w:rsidRPr="001E3B38" w:rsidRDefault="00E96941" w:rsidP="005073ED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E96941" w:rsidRPr="001E3B38" w:rsidRDefault="00E96941" w:rsidP="005073ED">
            <w:pPr>
              <w:pStyle w:val="ny-standard-chart"/>
              <w:rPr>
                <w:szCs w:val="20"/>
              </w:rPr>
            </w:pPr>
          </w:p>
        </w:tc>
      </w:tr>
      <w:tr w:rsidR="001E3B38" w:rsidRPr="001E3B3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2825608B" w:rsidR="00E96941" w:rsidRPr="001E3B38" w:rsidRDefault="00D07F66" w:rsidP="005073ED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The Pythagorean Theorem</w:t>
            </w:r>
            <w:r w:rsidR="0028366E" w:rsidRPr="001E3B38">
              <w:rPr>
                <w:szCs w:val="20"/>
              </w:rPr>
              <w:t xml:space="preserve"> (P)</w:t>
            </w:r>
            <w:r w:rsidR="001E3B38">
              <w:rPr>
                <w:rStyle w:val="FootnoteReference"/>
                <w:szCs w:val="20"/>
              </w:rPr>
              <w:footnoteReference w:id="1"/>
            </w:r>
          </w:p>
        </w:tc>
      </w:tr>
      <w:tr w:rsidR="001E3B38" w:rsidRPr="001E3B3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70E2B6C8" w:rsidR="00E96941" w:rsidRPr="001E3B38" w:rsidRDefault="00F65861" w:rsidP="005073ED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Square Roots</w:t>
            </w:r>
            <w:r w:rsidR="0028366E" w:rsidRPr="001E3B38">
              <w:rPr>
                <w:szCs w:val="20"/>
              </w:rPr>
              <w:t xml:space="preserve"> (S)</w:t>
            </w:r>
          </w:p>
        </w:tc>
      </w:tr>
      <w:tr w:rsidR="001E3B38" w:rsidRPr="001E3B38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320A8D33" w:rsidR="00E96941" w:rsidRPr="001E3B38" w:rsidRDefault="003D15B8" w:rsidP="003D15B8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 xml:space="preserve">Existence and Uniqueness of Square and Cube </w:t>
            </w:r>
            <w:r w:rsidR="006851CF" w:rsidRPr="001E3B38">
              <w:rPr>
                <w:szCs w:val="20"/>
              </w:rPr>
              <w:t>Root</w:t>
            </w:r>
            <w:r w:rsidR="00BC3FD0" w:rsidRPr="001E3B38">
              <w:rPr>
                <w:szCs w:val="20"/>
              </w:rPr>
              <w:t>s</w:t>
            </w:r>
            <w:r w:rsidR="0028366E" w:rsidRPr="001E3B38">
              <w:rPr>
                <w:szCs w:val="20"/>
              </w:rPr>
              <w:t xml:space="preserve"> (S)</w:t>
            </w:r>
          </w:p>
        </w:tc>
      </w:tr>
      <w:tr w:rsidR="001E3B38" w:rsidRPr="001E3B38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77777777" w:rsidR="00E96941" w:rsidRPr="001E3B38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57FC8321" w:rsidR="00E96941" w:rsidRPr="001E3B38" w:rsidRDefault="00D07F66" w:rsidP="005073ED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Simplifying Square Roots</w:t>
            </w:r>
            <w:r w:rsidR="00A725EA">
              <w:rPr>
                <w:szCs w:val="20"/>
              </w:rPr>
              <w:t xml:space="preserve"> (optional)</w:t>
            </w:r>
            <w:r w:rsidR="0028366E" w:rsidRPr="001E3B38">
              <w:rPr>
                <w:szCs w:val="20"/>
              </w:rPr>
              <w:t xml:space="preserve"> (P)</w:t>
            </w:r>
          </w:p>
        </w:tc>
      </w:tr>
      <w:tr w:rsidR="001E3B38" w:rsidRPr="001E3B38" w14:paraId="4B710DD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E" w14:textId="77777777" w:rsidR="00E96941" w:rsidRPr="001E3B38" w:rsidRDefault="00E96941" w:rsidP="0058465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E3B38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F" w14:textId="693166D5" w:rsidR="00E96941" w:rsidRPr="001E3B38" w:rsidRDefault="00D07F66" w:rsidP="00584653">
            <w:pPr>
              <w:pStyle w:val="ny-standard-chart"/>
              <w:rPr>
                <w:szCs w:val="20"/>
              </w:rPr>
            </w:pPr>
            <w:r w:rsidRPr="001E3B38">
              <w:rPr>
                <w:szCs w:val="20"/>
              </w:rPr>
              <w:t>Solving Radical Equations</w:t>
            </w:r>
            <w:r w:rsidR="0028366E" w:rsidRPr="001E3B38">
              <w:rPr>
                <w:szCs w:val="20"/>
              </w:rPr>
              <w:t xml:space="preserve"> (P)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16C4B7C6" w:rsidR="007A0FF8" w:rsidRPr="00C47034" w:rsidRDefault="00584653" w:rsidP="00F30A86">
      <w:pPr>
        <w:pStyle w:val="ny-paragraph"/>
      </w:pPr>
      <w:r>
        <w:t>The</w:t>
      </w:r>
      <w:r w:rsidR="00EA1CA4">
        <w:t xml:space="preserve"> use of the</w:t>
      </w:r>
      <w:r>
        <w:t xml:space="preserve"> </w:t>
      </w:r>
      <w:r w:rsidR="00785067">
        <w:t>Pythagorean T</w:t>
      </w:r>
      <w:r>
        <w:t>heorem</w:t>
      </w:r>
      <w:r w:rsidR="00EA1CA4">
        <w:t xml:space="preserve"> to determine side lengths of right triangles</w:t>
      </w:r>
      <w:r>
        <w:t xml:space="preserve"> motivates the need for students to learn about square roots and irrational numbers</w:t>
      </w:r>
      <w:r w:rsidR="00F8588C">
        <w:t xml:space="preserve"> in general</w:t>
      </w:r>
      <w:r>
        <w:t xml:space="preserve">.  </w:t>
      </w:r>
      <w:r w:rsidR="00785067">
        <w:t>While students have previously applied the Pythagorean Theorem using perfect squares, s</w:t>
      </w:r>
      <w:r>
        <w:t xml:space="preserve">tudents begin by estimating the length of an unknown side of a right triangle in Lesson 1 by determining which two </w:t>
      </w:r>
      <w:r w:rsidR="00785067">
        <w:t>perfect squares</w:t>
      </w:r>
      <w:r>
        <w:t xml:space="preserve"> a squared number is between</w:t>
      </w:r>
      <w:r w:rsidR="00785067">
        <w:t>.</w:t>
      </w:r>
      <w:r w:rsidR="00C83189">
        <w:t xml:space="preserve"> </w:t>
      </w:r>
      <w:r w:rsidR="00785067">
        <w:t xml:space="preserve"> This leads them to know between which two positive integers the length must be</w:t>
      </w:r>
      <w:r>
        <w:t>.  In Lesson 2, students are introduced to the notation and meaning of square roots.</w:t>
      </w:r>
      <w:r w:rsidR="00C83189">
        <w:t xml:space="preserve"> </w:t>
      </w:r>
      <w:r>
        <w:t xml:space="preserve"> </w:t>
      </w:r>
      <w:r w:rsidR="0029764F">
        <w:t xml:space="preserve">The term and formal definition for </w:t>
      </w:r>
      <w:r w:rsidR="0029764F">
        <w:lastRenderedPageBreak/>
        <w:t>irrational numbers is not given until Topic B, but students know that many of this type of number</w:t>
      </w:r>
      <w:r w:rsidR="00F8588C">
        <w:t xml:space="preserve"> exist between the positive integers on the number line.  </w:t>
      </w:r>
      <w:r w:rsidR="0029764F">
        <w:t>That fact allows students to place square roots on a number line in their approximate position</w:t>
      </w:r>
      <w:r w:rsidR="008118D8">
        <w:t xml:space="preserve"> using perfect square numbers</w:t>
      </w:r>
      <w:r w:rsidR="0029764F">
        <w:t xml:space="preserve"> as reference points.  </w:t>
      </w:r>
      <w:r>
        <w:t xml:space="preserve">In Lesson 3, students </w:t>
      </w:r>
      <w:r w:rsidR="00DB1876">
        <w:t xml:space="preserve">are given proof that </w:t>
      </w:r>
      <w:r w:rsidR="003D15B8">
        <w:t>the square or cube</w:t>
      </w:r>
      <w:r w:rsidR="00F8588C">
        <w:t xml:space="preserve"> </w:t>
      </w:r>
      <w:r w:rsidR="00DB1876">
        <w:t>root of a number exists and is unique</w:t>
      </w:r>
      <w:r w:rsidR="00C83189">
        <w:t>.</w:t>
      </w:r>
      <w:r w:rsidR="00DB1876">
        <w:t xml:space="preserve"> </w:t>
      </w:r>
      <w:r w:rsidR="00A725EA">
        <w:t xml:space="preserve"> </w:t>
      </w:r>
      <w:r w:rsidR="004A4712" w:rsidRPr="004A4712">
        <w:t xml:space="preserve">Students then solve simple equations that require them to find the square root or cube root of a number.  These will be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p</m:t>
        </m:r>
      </m:oMath>
      <w:r w:rsidR="004A4712" w:rsidRPr="004A4712">
        <w:t xml:space="preserve"> </w:t>
      </w:r>
      <w:proofErr w:type="gramStart"/>
      <w:r w:rsidR="004A4712" w:rsidRPr="004A4712">
        <w:t xml:space="preserve">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=p</m:t>
        </m:r>
      </m:oMath>
      <w:r w:rsidR="0007068B">
        <w:t>,</w:t>
      </w:r>
      <w:r w:rsidR="004A4712" w:rsidRPr="004A4712">
        <w:t xml:space="preserve"> where </w:t>
      </w:r>
      <m:oMath>
        <m:r>
          <w:rPr>
            <w:rFonts w:ascii="Cambria Math" w:hAnsi="Cambria Math"/>
          </w:rPr>
          <m:t>p</m:t>
        </m:r>
      </m:oMath>
      <w:r w:rsidR="004A4712" w:rsidRPr="004A4712">
        <w:t xml:space="preserve"> is a positive rational number.</w:t>
      </w:r>
      <w:r w:rsidR="00DB1876">
        <w:t xml:space="preserve">  In</w:t>
      </w:r>
      <w:r w:rsidR="003D15B8">
        <w:t xml:space="preserve"> the optional</w:t>
      </w:r>
      <w:r w:rsidR="00DB1876">
        <w:t xml:space="preserve"> Lesson 4</w:t>
      </w:r>
      <w:r w:rsidR="00785067">
        <w:t>,</w:t>
      </w:r>
      <w:r w:rsidR="00DB1876">
        <w:t xml:space="preserve"> students learn that </w:t>
      </w:r>
      <w:r w:rsidR="00290435">
        <w:t>a square root of a number can be expressed as a product of its factors</w:t>
      </w:r>
      <w:r w:rsidR="00C93E9C">
        <w:t xml:space="preserve"> and use that fact to simplify the perfect square factors. </w:t>
      </w:r>
      <w:r w:rsidR="003D15B8">
        <w:t xml:space="preserve"> For example, students know that they can rewrite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 xml:space="preserve"> </m:t>
        </m:r>
      </m:oMath>
      <w:r w:rsidR="003D15B8">
        <w:t xml:space="preserve">as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×2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=3×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 w:rsidR="003D15B8">
        <w:t xml:space="preserve">  </w:t>
      </w:r>
      <w:proofErr w:type="gramStart"/>
      <w:r w:rsidR="003D15B8">
        <w:t>The</w:t>
      </w:r>
      <w:proofErr w:type="gramEnd"/>
      <w:r w:rsidR="003D15B8">
        <w:t xml:space="preserve"> work in this lesson prepares students for what they </w:t>
      </w:r>
      <w:r w:rsidR="00785067">
        <w:t>may</w:t>
      </w:r>
      <w:r w:rsidR="003D15B8">
        <w:t xml:space="preserve"> need to know </w:t>
      </w:r>
      <w:r w:rsidR="004A4712">
        <w:t xml:space="preserve">in Algebra I </w:t>
      </w:r>
      <w:r w:rsidR="003D15B8">
        <w:t xml:space="preserve">to simplify </w:t>
      </w:r>
      <w:r w:rsidR="00785067">
        <w:t>radicals</w:t>
      </w:r>
      <w:r w:rsidR="003D15B8">
        <w:t xml:space="preserve"> related to the quadratic formula.  Some solutions in subsequent lessons are in simplified form</w:t>
      </w:r>
      <w:r w:rsidR="00785067">
        <w:t>, but these may be disregarded if Lesson 4 is not used</w:t>
      </w:r>
      <w:r w:rsidR="003D15B8">
        <w:t xml:space="preserve">. </w:t>
      </w:r>
      <w:r w:rsidR="00785067">
        <w:t xml:space="preserve"> </w:t>
      </w:r>
      <w:r w:rsidR="00C93E9C">
        <w:t xml:space="preserve">In Lesson 5, students solve multi-step equations that require students to </w:t>
      </w:r>
      <w:r w:rsidR="00DB0335">
        <w:t xml:space="preserve">use the properties of equality to transform an equation until it is in the form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=p</m:t>
        </m:r>
      </m:oMath>
      <w:r w:rsidR="00DB0335">
        <w:rPr>
          <w:szCs w:val="20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3</m:t>
            </m:r>
          </m:sup>
        </m:sSup>
        <m:r>
          <w:rPr>
            <w:rFonts w:ascii="Cambria Math" w:hAnsi="Cambria Math"/>
            <w:szCs w:val="20"/>
          </w:rPr>
          <m:t>=p,</m:t>
        </m:r>
      </m:oMath>
      <w:r w:rsidR="00DB0335">
        <w:rPr>
          <w:szCs w:val="20"/>
        </w:rPr>
        <w:t xml:space="preserve"> where </w:t>
      </w:r>
      <m:oMath>
        <m:r>
          <w:rPr>
            <w:rFonts w:ascii="Cambria Math" w:hAnsi="Cambria Math"/>
            <w:szCs w:val="20"/>
          </w:rPr>
          <m:t>p</m:t>
        </m:r>
      </m:oMath>
      <w:r w:rsidR="00DB0335">
        <w:rPr>
          <w:szCs w:val="20"/>
        </w:rPr>
        <w:t xml:space="preserve"> is a positive rational number</w:t>
      </w:r>
      <w:r w:rsidR="00C93E9C">
        <w:t xml:space="preserve">.   </w:t>
      </w:r>
    </w:p>
    <w:p w14:paraId="4B710DD3" w14:textId="77777777" w:rsidR="007F03EB" w:rsidRDefault="007F03EB" w:rsidP="007A0FF8">
      <w:pPr>
        <w:pStyle w:val="ny-h4"/>
      </w:pPr>
    </w:p>
    <w:p w14:paraId="4B710DD4" w14:textId="77777777" w:rsidR="007F03EB" w:rsidRDefault="007F03EB" w:rsidP="007A0FF8">
      <w:pPr>
        <w:pStyle w:val="ny-h4"/>
      </w:pPr>
    </w:p>
    <w:p w14:paraId="4B710DD5" w14:textId="77777777" w:rsidR="007F03EB" w:rsidRDefault="007F03EB" w:rsidP="007A0FF8">
      <w:pPr>
        <w:pStyle w:val="ny-h4"/>
      </w:pPr>
    </w:p>
    <w:p w14:paraId="4B710DD6" w14:textId="77777777" w:rsidR="007F03EB" w:rsidRDefault="007F03EB" w:rsidP="007A0FF8">
      <w:pPr>
        <w:pStyle w:val="ny-h4"/>
      </w:pPr>
    </w:p>
    <w:p w14:paraId="4B710DD7" w14:textId="77777777" w:rsidR="007F03EB" w:rsidRDefault="007F03EB" w:rsidP="007A0FF8">
      <w:pPr>
        <w:pStyle w:val="ny-h4"/>
      </w:pPr>
    </w:p>
    <w:p w14:paraId="4B710DD8" w14:textId="77777777" w:rsidR="00DE4E23" w:rsidRDefault="00DE4E23" w:rsidP="007A0FF8">
      <w:pPr>
        <w:pStyle w:val="ny-h4"/>
      </w:pPr>
    </w:p>
    <w:p w14:paraId="4B710DD9" w14:textId="77777777" w:rsidR="00DE4E23" w:rsidRDefault="00DE4E23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D" w14:textId="77777777" w:rsidR="007F03EB" w:rsidRDefault="007F03EB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415B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EB21" w14:textId="77777777" w:rsidR="00BD4CA9" w:rsidRDefault="00BD4CA9">
      <w:pPr>
        <w:spacing w:after="0" w:line="240" w:lineRule="auto"/>
      </w:pPr>
      <w:r>
        <w:separator/>
      </w:r>
    </w:p>
  </w:endnote>
  <w:endnote w:type="continuationSeparator" w:id="0">
    <w:p w14:paraId="0B66A0B6" w14:textId="77777777" w:rsidR="00BD4CA9" w:rsidRDefault="00B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290435" w:rsidRPr="007A43FF" w:rsidRDefault="00290435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290435" w:rsidRPr="00B81D46" w:rsidRDefault="00290435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290435" w:rsidRPr="00B81D46" w:rsidRDefault="00290435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290435" w:rsidRPr="007D05E6" w:rsidRDefault="00290435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706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290435" w:rsidRPr="007D05E6" w:rsidRDefault="00290435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706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3FCE47" w14:textId="5FA8CD9F" w:rsidR="00290435" w:rsidRDefault="00290435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4A29F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725E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Square and Cube Roots</w:t>
                          </w:r>
                        </w:p>
                        <w:p w14:paraId="06D93225" w14:textId="3BB2FBB6" w:rsidR="00290435" w:rsidRPr="002273E5" w:rsidRDefault="00290435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068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290435" w:rsidRPr="002273E5" w:rsidRDefault="00290435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5FA8CD9F" w:rsidR="00290435" w:rsidRDefault="00290435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4A29F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725E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Square and Cube Roots</w:t>
                    </w:r>
                  </w:p>
                  <w:p w14:paraId="06D93225" w14:textId="3BB2FBB6" w:rsidR="00290435" w:rsidRPr="002273E5" w:rsidRDefault="00290435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068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290435" w:rsidRPr="002273E5" w:rsidRDefault="00290435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6DEBB5AC" w:rsidR="00290435" w:rsidRPr="002273E5" w:rsidRDefault="00290435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07068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6DEBB5AC" w:rsidR="00290435" w:rsidRPr="002273E5" w:rsidRDefault="00290435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07068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290435" w:rsidRPr="007A43FF" w:rsidRDefault="00290435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290435" w:rsidRPr="00B81D46" w:rsidRDefault="00290435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290435" w:rsidRPr="00B81D46" w:rsidRDefault="00290435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290435" w:rsidRPr="007D05E6" w:rsidRDefault="00290435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706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290435" w:rsidRPr="007D05E6" w:rsidRDefault="00290435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706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C53917" w14:textId="2898125C" w:rsidR="00290435" w:rsidRDefault="00290435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725E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Square and Cube Roots</w:t>
                          </w:r>
                        </w:p>
                        <w:p w14:paraId="7B2C235C" w14:textId="5C6F5001" w:rsidR="00290435" w:rsidRPr="002273E5" w:rsidRDefault="00290435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068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bookmarkStart w:id="2" w:name="_GoBack"/>
                          <w:bookmarkEnd w:id="2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290435" w:rsidRPr="002273E5" w:rsidRDefault="00290435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2898125C" w:rsidR="00290435" w:rsidRDefault="00290435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725E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Square and Cube Roots</w:t>
                    </w:r>
                  </w:p>
                  <w:p w14:paraId="7B2C235C" w14:textId="5C6F5001" w:rsidR="00290435" w:rsidRPr="002273E5" w:rsidRDefault="00290435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068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bookmarkStart w:id="3" w:name="_GoBack"/>
                    <w:bookmarkEnd w:id="3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290435" w:rsidRPr="002273E5" w:rsidRDefault="00290435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1F445056" w:rsidR="00290435" w:rsidRPr="002273E5" w:rsidRDefault="00290435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07068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1F445056" w:rsidR="00290435" w:rsidRPr="002273E5" w:rsidRDefault="00290435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07068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0B0F" w14:textId="77777777" w:rsidR="00BD4CA9" w:rsidRDefault="00BD4CA9">
      <w:pPr>
        <w:spacing w:after="0" w:line="240" w:lineRule="auto"/>
      </w:pPr>
      <w:r>
        <w:separator/>
      </w:r>
    </w:p>
  </w:footnote>
  <w:footnote w:type="continuationSeparator" w:id="0">
    <w:p w14:paraId="60FCDCAC" w14:textId="77777777" w:rsidR="00BD4CA9" w:rsidRDefault="00BD4CA9">
      <w:pPr>
        <w:spacing w:after="0" w:line="240" w:lineRule="auto"/>
      </w:pPr>
      <w:r>
        <w:continuationSeparator/>
      </w:r>
    </w:p>
  </w:footnote>
  <w:footnote w:id="1">
    <w:p w14:paraId="3CF57B74" w14:textId="77EF402E" w:rsidR="001E3B38" w:rsidRPr="001E3B38" w:rsidRDefault="001E3B38">
      <w:pPr>
        <w:pStyle w:val="FootnoteText"/>
        <w:rPr>
          <w:sz w:val="18"/>
          <w:szCs w:val="18"/>
        </w:rPr>
      </w:pPr>
      <w:r w:rsidRPr="001E3B38">
        <w:rPr>
          <w:rStyle w:val="FootnoteReference"/>
          <w:color w:val="231F20"/>
          <w:sz w:val="18"/>
          <w:szCs w:val="18"/>
        </w:rPr>
        <w:footnoteRef/>
      </w:r>
      <w:r w:rsidRPr="001E3B38">
        <w:rPr>
          <w:color w:val="231F20"/>
          <w:sz w:val="18"/>
          <w:szCs w:val="18"/>
        </w:rPr>
        <w:t xml:space="preserve"> Lesson Structure Key:  </w:t>
      </w:r>
      <w:r w:rsidRPr="001E3B38">
        <w:rPr>
          <w:b/>
          <w:color w:val="231F20"/>
          <w:sz w:val="18"/>
          <w:szCs w:val="18"/>
        </w:rPr>
        <w:t>P</w:t>
      </w:r>
      <w:r w:rsidRPr="001E3B38">
        <w:rPr>
          <w:color w:val="231F20"/>
          <w:sz w:val="18"/>
          <w:szCs w:val="18"/>
        </w:rPr>
        <w:t xml:space="preserve">-Problem Set Lesson, </w:t>
      </w:r>
      <w:r w:rsidRPr="001E3B38">
        <w:rPr>
          <w:b/>
          <w:color w:val="231F20"/>
          <w:sz w:val="18"/>
          <w:szCs w:val="18"/>
        </w:rPr>
        <w:t>M</w:t>
      </w:r>
      <w:r w:rsidRPr="001E3B38">
        <w:rPr>
          <w:color w:val="231F20"/>
          <w:sz w:val="18"/>
          <w:szCs w:val="18"/>
        </w:rPr>
        <w:t xml:space="preserve">-Modeling Cycle Lesson, </w:t>
      </w:r>
      <w:r w:rsidRPr="001E3B38">
        <w:rPr>
          <w:b/>
          <w:color w:val="231F20"/>
          <w:sz w:val="18"/>
          <w:szCs w:val="18"/>
        </w:rPr>
        <w:t>E</w:t>
      </w:r>
      <w:r w:rsidRPr="001E3B38">
        <w:rPr>
          <w:color w:val="231F20"/>
          <w:sz w:val="18"/>
          <w:szCs w:val="18"/>
        </w:rPr>
        <w:t xml:space="preserve">-Exploration Lesson, </w:t>
      </w:r>
      <w:r w:rsidRPr="001E3B38">
        <w:rPr>
          <w:b/>
          <w:color w:val="231F20"/>
          <w:sz w:val="18"/>
          <w:szCs w:val="18"/>
        </w:rPr>
        <w:t>S</w:t>
      </w:r>
      <w:r w:rsidRPr="001E3B38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290435" w:rsidRDefault="00290435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36082783" w:rsidR="00290435" w:rsidRPr="00701388" w:rsidRDefault="004A29FC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205F6812" w14:textId="36082783" w:rsidR="00290435" w:rsidRPr="00701388" w:rsidRDefault="004A29FC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1927A724" w:rsidR="00290435" w:rsidRPr="002273E5" w:rsidRDefault="004A29FC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90435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l9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NLZf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07285069" w14:textId="1927A724" w:rsidR="00290435" w:rsidRPr="002273E5" w:rsidRDefault="004A29FC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90435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290435" w:rsidRPr="002273E5" w:rsidRDefault="00290435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290435" w:rsidRPr="002273E5" w:rsidRDefault="00290435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290435" w:rsidRDefault="00290435" w:rsidP="00E670C6">
                          <w:pPr>
                            <w:jc w:val="center"/>
                          </w:pPr>
                        </w:p>
                        <w:p w14:paraId="65090EBF" w14:textId="77777777" w:rsidR="00290435" w:rsidRDefault="00290435" w:rsidP="00E670C6">
                          <w:pPr>
                            <w:jc w:val="center"/>
                          </w:pPr>
                        </w:p>
                        <w:p w14:paraId="2787A256" w14:textId="77777777" w:rsidR="00290435" w:rsidRDefault="00290435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290435" w:rsidRDefault="00290435" w:rsidP="00E670C6">
                    <w:pPr>
                      <w:jc w:val="center"/>
                    </w:pPr>
                  </w:p>
                  <w:p w14:paraId="65090EBF" w14:textId="77777777" w:rsidR="00290435" w:rsidRDefault="00290435" w:rsidP="00E670C6">
                    <w:pPr>
                      <w:jc w:val="center"/>
                    </w:pPr>
                  </w:p>
                  <w:p w14:paraId="2787A256" w14:textId="77777777" w:rsidR="00290435" w:rsidRDefault="00290435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290435" w:rsidRDefault="00290435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290435" w:rsidRDefault="00290435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290435" w:rsidRPr="00015AD5" w:rsidRDefault="00290435" w:rsidP="00E670C6">
    <w:pPr>
      <w:pStyle w:val="Header"/>
    </w:pPr>
  </w:p>
  <w:p w14:paraId="7F171A24" w14:textId="77777777" w:rsidR="00290435" w:rsidRPr="005920C2" w:rsidRDefault="00290435" w:rsidP="00E670C6">
    <w:pPr>
      <w:pStyle w:val="Header"/>
    </w:pPr>
  </w:p>
  <w:p w14:paraId="3452CAD8" w14:textId="77777777" w:rsidR="00290435" w:rsidRPr="006C5A78" w:rsidRDefault="00290435" w:rsidP="00E670C6">
    <w:pPr>
      <w:pStyle w:val="Header"/>
    </w:pPr>
  </w:p>
  <w:p w14:paraId="4B710DE6" w14:textId="77777777" w:rsidR="00290435" w:rsidRPr="00E670C6" w:rsidRDefault="00290435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290435" w:rsidRPr="00E21D76" w:rsidRDefault="00290435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290435" w:rsidRDefault="00290435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290435" w:rsidRDefault="00290435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290435" w:rsidRPr="00AE1603" w:rsidRDefault="00290435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290435" w:rsidRPr="00AE1603" w:rsidRDefault="00290435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290435" w:rsidRPr="00AE1603" w:rsidRDefault="00290435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290435" w:rsidRPr="00AE1603" w:rsidRDefault="00290435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290435" w:rsidRPr="00B3060F" w:rsidRDefault="00290435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150E11C3" w:rsidR="00290435" w:rsidRPr="00AE1603" w:rsidRDefault="00290435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150E11C3" w:rsidR="00290435" w:rsidRPr="00AE1603" w:rsidRDefault="00290435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290435" w:rsidRPr="00AE1603" w:rsidRDefault="00290435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290435" w:rsidRPr="00AE1603" w:rsidRDefault="00290435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290435" w:rsidRPr="00BE4A95" w:rsidRDefault="00290435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133F3583" w:rsidR="00290435" w:rsidRPr="00837E73" w:rsidRDefault="00290435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 • MODULE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133F3583" w:rsidR="00290435" w:rsidRPr="00837E73" w:rsidRDefault="00290435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 • MODULE 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290435" w:rsidRPr="004C78C1" w:rsidRDefault="00290435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068B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3B38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66E"/>
    <w:rsid w:val="00285186"/>
    <w:rsid w:val="00285E0E"/>
    <w:rsid w:val="00290435"/>
    <w:rsid w:val="00290AD4"/>
    <w:rsid w:val="0029160D"/>
    <w:rsid w:val="00293211"/>
    <w:rsid w:val="0029737A"/>
    <w:rsid w:val="0029764F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15B8"/>
    <w:rsid w:val="003D327D"/>
    <w:rsid w:val="003D5A1B"/>
    <w:rsid w:val="003E3894"/>
    <w:rsid w:val="003E3DB2"/>
    <w:rsid w:val="003E44BC"/>
    <w:rsid w:val="003E52FE"/>
    <w:rsid w:val="003E5A5A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BC4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97F33"/>
    <w:rsid w:val="004A0F47"/>
    <w:rsid w:val="004A29FC"/>
    <w:rsid w:val="004A2BE8"/>
    <w:rsid w:val="004A4712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4653"/>
    <w:rsid w:val="0058694C"/>
    <w:rsid w:val="00590FE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851CF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E1B3A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067"/>
    <w:rsid w:val="00785D64"/>
    <w:rsid w:val="00793154"/>
    <w:rsid w:val="007A0FF8"/>
    <w:rsid w:val="007A37B9"/>
    <w:rsid w:val="007A43FF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18D8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192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5878"/>
    <w:rsid w:val="00A716E5"/>
    <w:rsid w:val="00A725EA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C321A"/>
    <w:rsid w:val="00BC3FD0"/>
    <w:rsid w:val="00BC4AF6"/>
    <w:rsid w:val="00BD4AD1"/>
    <w:rsid w:val="00BD4CA9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189"/>
    <w:rsid w:val="00C86B2E"/>
    <w:rsid w:val="00C93E9C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07F66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58BB"/>
    <w:rsid w:val="00DB0335"/>
    <w:rsid w:val="00DB1876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670C6"/>
    <w:rsid w:val="00E71AC6"/>
    <w:rsid w:val="00E71E15"/>
    <w:rsid w:val="00E752A2"/>
    <w:rsid w:val="00E7765C"/>
    <w:rsid w:val="00E84216"/>
    <w:rsid w:val="00E91E6C"/>
    <w:rsid w:val="00E96941"/>
    <w:rsid w:val="00EA1CA4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06C1"/>
    <w:rsid w:val="00F30A86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5861"/>
    <w:rsid w:val="00F6638F"/>
    <w:rsid w:val="00F668DB"/>
    <w:rsid w:val="00F70AEB"/>
    <w:rsid w:val="00F7615E"/>
    <w:rsid w:val="00F81909"/>
    <w:rsid w:val="00F846F0"/>
    <w:rsid w:val="00F8588C"/>
    <w:rsid w:val="00F86A03"/>
    <w:rsid w:val="00F86B44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6DA27-7A40-42D8-B17C-7F441D5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2190</Characters>
  <Application>Microsoft Office Word</Application>
  <DocSecurity>0</DocSecurity>
  <Lines>2190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2014-02-01T02:43:00Z</dcterms:created>
  <dcterms:modified xsi:type="dcterms:W3CDTF">2014-02-01T02:43:00Z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