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3D01" w14:textId="77777777" w:rsidR="00132035" w:rsidRDefault="00132035" w:rsidP="00132035">
      <w:pPr>
        <w:pStyle w:val="ny-lesson-header"/>
        <w:jc w:val="both"/>
      </w:pPr>
      <w:r>
        <w:t>Lesson 19:  Comparing Data Distributions</w:t>
      </w:r>
    </w:p>
    <w:p w14:paraId="37C83843" w14:textId="77777777" w:rsidR="000854B2" w:rsidRDefault="000854B2" w:rsidP="000854B2">
      <w:pPr>
        <w:pStyle w:val="ny-lesson-paragraph"/>
      </w:pPr>
    </w:p>
    <w:p w14:paraId="4C6643EB" w14:textId="77777777" w:rsidR="000854B2" w:rsidRDefault="000854B2" w:rsidP="000854B2">
      <w:pPr>
        <w:pStyle w:val="ny-lesson-paragraph"/>
      </w:pPr>
      <w:r>
        <w:t xml:space="preserve">As you have seen in previous lessons, it can be difficult to understand a data set just by looking at raw data.  Often, readers want to have a concise and useful summary.  </w:t>
      </w:r>
    </w:p>
    <w:p w14:paraId="0A486DE9" w14:textId="77777777" w:rsidR="000854B2" w:rsidRDefault="000854B2" w:rsidP="000854B2">
      <w:pPr>
        <w:pStyle w:val="ny-lesson-paragraph"/>
      </w:pPr>
      <w:r>
        <w:t>This becomes extremely important when data distributions are compared to one another.  While a reader may be interested in knowing if a typical adult male polar bear in Alaska is larger than a typical adult male grizzly bear in British Columbia, it would also be useful to be able to compare the variability and shape of the distributions of these two groups of bears as well.  With summary graphs of the two distributions placed side-by-side, you can more easily assess and compare the characteristics of one distribution to the other distribution.</w:t>
      </w:r>
    </w:p>
    <w:p w14:paraId="17AD2777" w14:textId="236BE5C5" w:rsidR="000854B2" w:rsidRDefault="000854B2" w:rsidP="000854B2">
      <w:pPr>
        <w:pStyle w:val="ny-lesson-paragraph"/>
      </w:pPr>
      <w:r>
        <w:t xml:space="preserve">By this point, you should have completed the collection of data for </w:t>
      </w:r>
      <w:r w:rsidR="00525974">
        <w:t>your</w:t>
      </w:r>
      <w:r>
        <w:t xml:space="preserve"> statistical question.  This lesson will provide graphical representations of data distributions that are part of the summaries expected in </w:t>
      </w:r>
      <w:r w:rsidR="00525974">
        <w:t>your</w:t>
      </w:r>
      <w:r>
        <w:t xml:space="preserve"> project.</w:t>
      </w:r>
    </w:p>
    <w:p w14:paraId="4E860910" w14:textId="77777777" w:rsidR="00132035" w:rsidRDefault="00132035" w:rsidP="000854B2">
      <w:pPr>
        <w:pStyle w:val="ny-lesson-paragraph"/>
      </w:pPr>
    </w:p>
    <w:p w14:paraId="07167E36" w14:textId="77777777" w:rsidR="00132035" w:rsidRDefault="00132035" w:rsidP="00132035">
      <w:pPr>
        <w:pStyle w:val="ny-callout-hdr"/>
        <w:spacing w:after="60"/>
      </w:pPr>
      <w:r>
        <w:t>Classwork</w:t>
      </w:r>
    </w:p>
    <w:p w14:paraId="73F0296C" w14:textId="77777777" w:rsidR="000854B2" w:rsidRPr="000854B2" w:rsidRDefault="000854B2" w:rsidP="000854B2">
      <w:pPr>
        <w:pStyle w:val="ny-lesson-hdr-1"/>
        <w:rPr>
          <w:rStyle w:val="ny-lesson-hdr-2"/>
          <w:b/>
        </w:rPr>
      </w:pPr>
      <w:r w:rsidRPr="000854B2">
        <w:rPr>
          <w:rStyle w:val="ny-lesson-hdr-2"/>
          <w:b/>
        </w:rPr>
        <w:t>Example 1:  Comparing Groups Using Box Plots</w:t>
      </w:r>
    </w:p>
    <w:p w14:paraId="5F71FDBB" w14:textId="1ED2D840" w:rsidR="000854B2" w:rsidRDefault="000854B2" w:rsidP="000854B2">
      <w:pPr>
        <w:pStyle w:val="ny-lesson-paragraph"/>
      </w:pPr>
      <w:r>
        <w:t xml:space="preserve">Recall that a </w:t>
      </w:r>
      <w:r>
        <w:rPr>
          <w:i/>
          <w:iCs/>
        </w:rPr>
        <w:t xml:space="preserve">box </w:t>
      </w:r>
      <w:r w:rsidRPr="006B5038">
        <w:rPr>
          <w:i/>
          <w:iCs/>
        </w:rPr>
        <w:t>plot</w:t>
      </w:r>
      <w:r>
        <w:t xml:space="preserve"> is a visual r</w:t>
      </w:r>
      <w:r w:rsidRPr="000854B2">
        <w:t xml:space="preserve">epresentation of a </w:t>
      </w:r>
      <m:oMath>
        <m:r>
          <w:rPr>
            <w:rFonts w:ascii="Cambria Math" w:hAnsi="Cambria Math"/>
          </w:rPr>
          <m:t>5</m:t>
        </m:r>
      </m:oMath>
      <w:r w:rsidRPr="000854B2">
        <w:t xml:space="preserve">-number summary.  It is drawn with careful reference to a number line, so the difference between any two values in the </w:t>
      </w:r>
      <m:oMath>
        <m:r>
          <w:rPr>
            <w:rFonts w:ascii="Cambria Math" w:hAnsi="Cambria Math"/>
          </w:rPr>
          <m:t>5</m:t>
        </m:r>
      </m:oMath>
      <w:r w:rsidRPr="000854B2">
        <w:t xml:space="preserve">-number summary is represented visually as a distance.  For example, the box of a box plot is drawn so that width of the box represents the IQR.  The whiskers (the lines that extend from the box) are drawn such that the distance from the far end of one whisker to the far end of the other whisker represents the range.  If two box plots (each representing a different distribution) were drawn side-by-side using the same scale, one could quickly compare the IQRs and ranges of the two distributions while also gaining a sense of the </w:t>
      </w:r>
      <m:oMath>
        <m:r>
          <w:rPr>
            <w:rFonts w:ascii="Cambria Math" w:hAnsi="Cambria Math"/>
          </w:rPr>
          <m:t>5</m:t>
        </m:r>
      </m:oMath>
      <w:r w:rsidRPr="000854B2">
        <w:t>-number summary values for each distribution.</w:t>
      </w:r>
    </w:p>
    <w:p w14:paraId="4F6D724E" w14:textId="6D48105F" w:rsidR="00132035" w:rsidRDefault="00132035" w:rsidP="00132035">
      <w:pPr>
        <w:pStyle w:val="ny-lesson-example"/>
        <w:spacing w:before="60" w:after="60"/>
      </w:pPr>
    </w:p>
    <w:p w14:paraId="0F80C960" w14:textId="00A8FCFC" w:rsidR="000854B2" w:rsidRPr="000854B2" w:rsidRDefault="000854B2" w:rsidP="000854B2">
      <w:pPr>
        <w:pStyle w:val="ny-lesson-paragraph"/>
      </w:pPr>
      <w:r>
        <w:rPr>
          <w:noProof/>
        </w:rPr>
        <w:drawing>
          <wp:anchor distT="0" distB="0" distL="114300" distR="114300" simplePos="0" relativeHeight="251663360" behindDoc="0" locked="0" layoutInCell="1" allowOverlap="1" wp14:anchorId="750D6F52" wp14:editId="0E33A1C9">
            <wp:simplePos x="0" y="0"/>
            <wp:positionH relativeFrom="margin">
              <wp:align>center</wp:align>
            </wp:positionH>
            <wp:positionV relativeFrom="paragraph">
              <wp:posOffset>360045</wp:posOffset>
            </wp:positionV>
            <wp:extent cx="3421380" cy="1244600"/>
            <wp:effectExtent l="0" t="0" r="762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421473" cy="12448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4B2">
        <w:t xml:space="preserve">Here is a data set of the ages of </w:t>
      </w:r>
      <m:oMath>
        <m:r>
          <w:rPr>
            <w:rFonts w:ascii="Cambria Math" w:hAnsi="Cambria Math"/>
          </w:rPr>
          <m:t>43</m:t>
        </m:r>
      </m:oMath>
      <w:r w:rsidRPr="000854B2">
        <w:t xml:space="preserve"> participants in a local </w:t>
      </w:r>
      <m:oMath>
        <m:r>
          <w:rPr>
            <w:rFonts w:ascii="Cambria Math" w:hAnsi="Cambria Math"/>
          </w:rPr>
          <m:t>5</m:t>
        </m:r>
      </m:oMath>
      <w:r w:rsidRPr="000854B2">
        <w:t>-kilometer race (shown in a previous lesson).</w:t>
      </w:r>
    </w:p>
    <w:p w14:paraId="5ABA120F" w14:textId="77777777" w:rsidR="000854B2" w:rsidRPr="000854B2" w:rsidRDefault="000854B2" w:rsidP="000854B2">
      <w:pPr>
        <w:pStyle w:val="ny-lesson-SFinsert"/>
        <w:rPr>
          <w:b w:val="0"/>
        </w:rPr>
      </w:pPr>
    </w:p>
    <w:p w14:paraId="2F53AD68" w14:textId="6F610ED6" w:rsidR="000854B2" w:rsidRPr="000854B2" w:rsidRDefault="000854B2" w:rsidP="000854B2">
      <w:pPr>
        <w:pStyle w:val="ny-lesson-paragraph"/>
      </w:pPr>
      <w:r w:rsidRPr="000854B2">
        <w:t xml:space="preserve">Here is the </w:t>
      </w:r>
      <m:oMath>
        <m:r>
          <w:rPr>
            <w:rFonts w:ascii="Cambria Math" w:hAnsi="Cambria Math"/>
          </w:rPr>
          <m:t>5</m:t>
        </m:r>
      </m:oMath>
      <w:r w:rsidRPr="000854B2">
        <w:t xml:space="preserve">-number summary for the data:  Minimum </w:t>
      </w:r>
      <w:proofErr w:type="gramStart"/>
      <w:r w:rsidRPr="000854B2">
        <w:t xml:space="preserve">= </w:t>
      </w:r>
      <w:proofErr w:type="gramEnd"/>
      <m:oMath>
        <m:r>
          <w:rPr>
            <w:rFonts w:ascii="Cambria Math" w:hAnsi="Cambria Math"/>
          </w:rPr>
          <m:t>18</m:t>
        </m:r>
      </m:oMath>
      <w:r w:rsidRPr="000854B2">
        <w:t xml:space="preserve">, Q1 = </w:t>
      </w:r>
      <m:oMath>
        <m:r>
          <w:rPr>
            <w:rFonts w:ascii="Cambria Math" w:hAnsi="Cambria Math"/>
          </w:rPr>
          <m:t>30</m:t>
        </m:r>
      </m:oMath>
      <w:r w:rsidRPr="000854B2">
        <w:t xml:space="preserve">, Median = </w:t>
      </w:r>
      <m:oMath>
        <m:r>
          <w:rPr>
            <w:rFonts w:ascii="Cambria Math" w:hAnsi="Cambria Math"/>
          </w:rPr>
          <m:t>35</m:t>
        </m:r>
      </m:oMath>
      <w:r w:rsidRPr="000854B2">
        <w:t xml:space="preserve">, Q3 = </w:t>
      </w:r>
      <m:oMath>
        <m:r>
          <w:rPr>
            <w:rFonts w:ascii="Cambria Math" w:hAnsi="Cambria Math"/>
          </w:rPr>
          <m:t>41</m:t>
        </m:r>
      </m:oMath>
      <w:r w:rsidRPr="000854B2">
        <w:t xml:space="preserve">, Maximum = </w:t>
      </w:r>
      <m:oMath>
        <m:r>
          <w:rPr>
            <w:rFonts w:ascii="Cambria Math" w:hAnsi="Cambria Math"/>
          </w:rPr>
          <m:t>74</m:t>
        </m:r>
      </m:oMath>
      <w:r w:rsidRPr="000854B2">
        <w:t>.</w:t>
      </w:r>
    </w:p>
    <w:p w14:paraId="69F99BC7" w14:textId="77777777" w:rsidR="000854B2" w:rsidRDefault="000854B2" w:rsidP="000854B2">
      <w:pPr>
        <w:pStyle w:val="ny-lesson-paragraph"/>
      </w:pPr>
      <w:r w:rsidRPr="000854B2">
        <w:br/>
      </w:r>
    </w:p>
    <w:p w14:paraId="74D1077D" w14:textId="77777777" w:rsidR="000854B2" w:rsidRDefault="000854B2">
      <w:pPr>
        <w:rPr>
          <w:rFonts w:ascii="Calibri" w:eastAsia="Myriad Pro" w:hAnsi="Calibri" w:cs="Myriad Pro"/>
          <w:color w:val="231F20"/>
          <w:sz w:val="20"/>
        </w:rPr>
      </w:pPr>
      <w:r>
        <w:br w:type="page"/>
      </w:r>
    </w:p>
    <w:p w14:paraId="38302E19" w14:textId="5E09C874" w:rsidR="000854B2" w:rsidRPr="000854B2" w:rsidRDefault="000854B2" w:rsidP="000854B2">
      <w:pPr>
        <w:pStyle w:val="ny-lesson-paragraph"/>
      </w:pPr>
      <w:r w:rsidRPr="000854B2">
        <w:rPr>
          <w:noProof/>
        </w:rPr>
        <w:lastRenderedPageBreak/>
        <w:drawing>
          <wp:anchor distT="0" distB="0" distL="114300" distR="114300" simplePos="0" relativeHeight="251664384" behindDoc="0" locked="0" layoutInCell="1" allowOverlap="1" wp14:anchorId="572214BE" wp14:editId="058DDD2A">
            <wp:simplePos x="0" y="0"/>
            <wp:positionH relativeFrom="margin">
              <wp:align>center</wp:align>
            </wp:positionH>
            <wp:positionV relativeFrom="paragraph">
              <wp:posOffset>304800</wp:posOffset>
            </wp:positionV>
            <wp:extent cx="3238500" cy="160845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246292" cy="1612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4B2">
        <w:t xml:space="preserve">Later that year, the same town also held a </w:t>
      </w:r>
      <m:oMath>
        <m:r>
          <w:rPr>
            <w:rFonts w:ascii="Cambria Math" w:hAnsi="Cambria Math"/>
          </w:rPr>
          <m:t>15</m:t>
        </m:r>
      </m:oMath>
      <w:r w:rsidRPr="000854B2">
        <w:t xml:space="preserve">-kilometer race.  The ages of the </w:t>
      </w:r>
      <m:oMath>
        <m:r>
          <w:rPr>
            <w:rFonts w:ascii="Cambria Math" w:hAnsi="Cambria Math"/>
          </w:rPr>
          <m:t>55</m:t>
        </m:r>
      </m:oMath>
      <w:r w:rsidRPr="000854B2">
        <w:t xml:space="preserve"> participants in that race appear below.  </w:t>
      </w:r>
    </w:p>
    <w:p w14:paraId="2B653B37" w14:textId="381D7B23" w:rsidR="000854B2" w:rsidRDefault="000854B2" w:rsidP="000854B2">
      <w:pPr>
        <w:pStyle w:val="ny-lesson-SFinsert"/>
      </w:pPr>
    </w:p>
    <w:p w14:paraId="237E812B" w14:textId="659D876B" w:rsidR="00132035" w:rsidRDefault="000854B2" w:rsidP="000854B2">
      <w:pPr>
        <w:rPr>
          <w:b/>
          <w:noProof/>
        </w:rPr>
      </w:pPr>
      <w:r>
        <w:rPr>
          <w:noProof/>
        </w:rPr>
        <w:drawing>
          <wp:anchor distT="0" distB="0" distL="114300" distR="114300" simplePos="0" relativeHeight="251665408" behindDoc="0" locked="0" layoutInCell="1" allowOverlap="1" wp14:anchorId="1E3ADBE9" wp14:editId="2152ED1F">
            <wp:simplePos x="0" y="0"/>
            <wp:positionH relativeFrom="margin">
              <wp:align>center</wp:align>
            </wp:positionH>
            <wp:positionV relativeFrom="paragraph">
              <wp:posOffset>620395</wp:posOffset>
            </wp:positionV>
            <wp:extent cx="4556125" cy="2577465"/>
            <wp:effectExtent l="0" t="0" r="0" b="0"/>
            <wp:wrapTopAndBottom/>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837" cy="25780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Does the longer race appear to attract different runners in terms of age?  Here are side-by-side box plots that may help answer that question.  Side-by-side box plots are two or more box plots drawn</w:t>
      </w:r>
    </w:p>
    <w:p w14:paraId="2B27D47C" w14:textId="77777777" w:rsidR="000854B2" w:rsidRDefault="000854B2" w:rsidP="000854B2">
      <w:pPr>
        <w:pStyle w:val="ny-lesson-hdr-1"/>
      </w:pPr>
    </w:p>
    <w:p w14:paraId="3C1394E2" w14:textId="77777777" w:rsidR="000854B2" w:rsidRDefault="000854B2">
      <w:pPr>
        <w:rPr>
          <w:rFonts w:ascii="Calibri Bold" w:eastAsia="Myriad Pro" w:hAnsi="Calibri Bold" w:cs="Myriad Pro"/>
          <w:b/>
          <w:color w:val="231F20"/>
        </w:rPr>
      </w:pPr>
      <w:r>
        <w:br w:type="page"/>
      </w:r>
    </w:p>
    <w:p w14:paraId="5989FC44" w14:textId="055F823A" w:rsidR="000854B2" w:rsidRPr="000854B2" w:rsidRDefault="000854B2" w:rsidP="000854B2">
      <w:pPr>
        <w:pStyle w:val="ny-lesson-hdr-1"/>
        <w:rPr>
          <w:b w:val="0"/>
        </w:rPr>
      </w:pPr>
      <w:r>
        <w:lastRenderedPageBreak/>
        <w:t>Exercises 1–6</w:t>
      </w:r>
    </w:p>
    <w:p w14:paraId="1D9FAEBF" w14:textId="177ECADA" w:rsidR="000854B2" w:rsidRPr="000854B2" w:rsidRDefault="000854B2" w:rsidP="000854B2">
      <w:pPr>
        <w:pStyle w:val="ny-lesson-numbering"/>
      </w:pPr>
      <w:r w:rsidRPr="000854B2">
        <w:t xml:space="preserve">Based on the side-by-side box plots, estimate the </w:t>
      </w:r>
      <m:oMath>
        <m:r>
          <w:rPr>
            <w:rFonts w:ascii="Cambria Math" w:hAnsi="Cambria Math"/>
          </w:rPr>
          <m:t>5</m:t>
        </m:r>
      </m:oMath>
      <w:r w:rsidRPr="000854B2">
        <w:t>-nu</w:t>
      </w:r>
      <w:proofErr w:type="spellStart"/>
      <w:r w:rsidRPr="003548C2">
        <w:t>mber</w:t>
      </w:r>
      <w:proofErr w:type="spellEnd"/>
      <w:r w:rsidRPr="003548C2">
        <w:t xml:space="preserve"> summ</w:t>
      </w:r>
      <w:r w:rsidRPr="000854B2">
        <w:t xml:space="preserve">ary for the </w:t>
      </w:r>
      <m:oMath>
        <m:r>
          <w:rPr>
            <w:rFonts w:ascii="Cambria Math" w:hAnsi="Cambria Math"/>
          </w:rPr>
          <m:t>15</m:t>
        </m:r>
      </m:oMath>
      <w:r w:rsidRPr="000854B2">
        <w:t xml:space="preserve">-kilometer race data set. </w:t>
      </w:r>
    </w:p>
    <w:p w14:paraId="15D2F9B3" w14:textId="77777777" w:rsidR="000854B2" w:rsidRDefault="000854B2" w:rsidP="000854B2">
      <w:pPr>
        <w:pStyle w:val="ny-lesson-numbering"/>
        <w:numPr>
          <w:ilvl w:val="0"/>
          <w:numId w:val="0"/>
        </w:numPr>
        <w:ind w:left="360"/>
      </w:pPr>
    </w:p>
    <w:p w14:paraId="6681C013" w14:textId="77777777" w:rsidR="000854B2" w:rsidRDefault="000854B2" w:rsidP="000854B2">
      <w:pPr>
        <w:pStyle w:val="ny-lesson-numbering"/>
        <w:numPr>
          <w:ilvl w:val="0"/>
          <w:numId w:val="0"/>
        </w:numPr>
        <w:ind w:left="360"/>
      </w:pPr>
    </w:p>
    <w:p w14:paraId="1AB29177" w14:textId="77777777" w:rsidR="000854B2" w:rsidRDefault="000854B2" w:rsidP="000854B2">
      <w:pPr>
        <w:pStyle w:val="ny-lesson-numbering"/>
        <w:numPr>
          <w:ilvl w:val="0"/>
          <w:numId w:val="0"/>
        </w:numPr>
        <w:ind w:left="360"/>
      </w:pPr>
    </w:p>
    <w:p w14:paraId="70444571" w14:textId="77777777" w:rsidR="000854B2" w:rsidRDefault="000854B2" w:rsidP="000854B2">
      <w:pPr>
        <w:pStyle w:val="ny-lesson-numbering"/>
        <w:numPr>
          <w:ilvl w:val="0"/>
          <w:numId w:val="0"/>
        </w:numPr>
        <w:ind w:left="360"/>
      </w:pPr>
    </w:p>
    <w:p w14:paraId="4F833FAC" w14:textId="77777777" w:rsidR="000854B2" w:rsidRDefault="000854B2" w:rsidP="000854B2">
      <w:pPr>
        <w:pStyle w:val="ny-lesson-numbering"/>
        <w:numPr>
          <w:ilvl w:val="0"/>
          <w:numId w:val="0"/>
        </w:numPr>
        <w:ind w:left="360"/>
      </w:pPr>
    </w:p>
    <w:p w14:paraId="59C1F5CF" w14:textId="77777777" w:rsidR="000854B2" w:rsidRPr="003548C2" w:rsidRDefault="000854B2" w:rsidP="000854B2">
      <w:pPr>
        <w:pStyle w:val="ny-lesson-numbering"/>
      </w:pPr>
      <w:r w:rsidRPr="003548C2">
        <w:t>Do the two data sets have the same median?  If not, which race had the higher median age?</w:t>
      </w:r>
    </w:p>
    <w:p w14:paraId="586F8312" w14:textId="440D9E98" w:rsidR="00132035" w:rsidRDefault="00132035" w:rsidP="000854B2">
      <w:pPr>
        <w:pStyle w:val="ny-lesson-numbering"/>
        <w:numPr>
          <w:ilvl w:val="0"/>
          <w:numId w:val="0"/>
        </w:numPr>
        <w:ind w:left="360"/>
      </w:pPr>
    </w:p>
    <w:p w14:paraId="4ED3C7FF" w14:textId="77777777" w:rsidR="000854B2" w:rsidRDefault="000854B2" w:rsidP="000854B2">
      <w:pPr>
        <w:pStyle w:val="ny-lesson-numbering"/>
        <w:numPr>
          <w:ilvl w:val="0"/>
          <w:numId w:val="0"/>
        </w:numPr>
        <w:ind w:left="360"/>
      </w:pPr>
    </w:p>
    <w:p w14:paraId="0628F564" w14:textId="77777777" w:rsidR="000854B2" w:rsidRDefault="000854B2" w:rsidP="000854B2">
      <w:pPr>
        <w:pStyle w:val="ny-lesson-numbering"/>
        <w:numPr>
          <w:ilvl w:val="0"/>
          <w:numId w:val="0"/>
        </w:numPr>
        <w:ind w:left="360"/>
      </w:pPr>
    </w:p>
    <w:p w14:paraId="2DAC5BA1" w14:textId="77777777" w:rsidR="000854B2" w:rsidRDefault="000854B2" w:rsidP="000854B2">
      <w:pPr>
        <w:pStyle w:val="ny-lesson-numbering"/>
        <w:numPr>
          <w:ilvl w:val="0"/>
          <w:numId w:val="0"/>
        </w:numPr>
        <w:ind w:left="360"/>
      </w:pPr>
      <w:bookmarkStart w:id="0" w:name="_GoBack"/>
      <w:bookmarkEnd w:id="0"/>
    </w:p>
    <w:p w14:paraId="56436337" w14:textId="77777777" w:rsidR="000854B2" w:rsidRPr="00B44AF1" w:rsidRDefault="000854B2" w:rsidP="000854B2">
      <w:pPr>
        <w:pStyle w:val="ny-lesson-numbering"/>
        <w:numPr>
          <w:ilvl w:val="0"/>
          <w:numId w:val="0"/>
        </w:numPr>
        <w:ind w:left="360"/>
      </w:pPr>
    </w:p>
    <w:p w14:paraId="7638C71D" w14:textId="5CC070C4" w:rsidR="000854B2" w:rsidRPr="00B44AF1" w:rsidRDefault="000854B2" w:rsidP="000854B2">
      <w:pPr>
        <w:pStyle w:val="ny-lesson-numbering"/>
      </w:pPr>
      <w:r w:rsidRPr="00B44AF1">
        <w:t xml:space="preserve">Do the two data sets have the same IQR?  If not, which distribution has the greater spread in the middle </w:t>
      </w:r>
      <m:oMath>
        <m:r>
          <w:rPr>
            <w:rFonts w:ascii="Cambria Math" w:hAnsi="Cambria Math"/>
          </w:rPr>
          <m:t>50%</m:t>
        </m:r>
      </m:oMath>
      <w:r w:rsidRPr="00B44AF1">
        <w:t xml:space="preserve"> of its distribution?</w:t>
      </w:r>
    </w:p>
    <w:p w14:paraId="369E6285" w14:textId="77777777" w:rsidR="000854B2" w:rsidRPr="00B44AF1" w:rsidRDefault="000854B2" w:rsidP="000854B2">
      <w:pPr>
        <w:pStyle w:val="ny-lesson-numbering"/>
        <w:numPr>
          <w:ilvl w:val="0"/>
          <w:numId w:val="0"/>
        </w:numPr>
        <w:ind w:left="360"/>
      </w:pPr>
    </w:p>
    <w:p w14:paraId="6C5AC209" w14:textId="77777777" w:rsidR="000854B2" w:rsidRPr="00B44AF1" w:rsidRDefault="000854B2" w:rsidP="000854B2">
      <w:pPr>
        <w:pStyle w:val="ny-lesson-numbering"/>
        <w:numPr>
          <w:ilvl w:val="0"/>
          <w:numId w:val="0"/>
        </w:numPr>
        <w:ind w:left="360"/>
      </w:pPr>
    </w:p>
    <w:p w14:paraId="724208E6" w14:textId="77777777" w:rsidR="000854B2" w:rsidRPr="00B44AF1" w:rsidRDefault="000854B2" w:rsidP="000854B2">
      <w:pPr>
        <w:pStyle w:val="ny-lesson-numbering"/>
        <w:numPr>
          <w:ilvl w:val="0"/>
          <w:numId w:val="0"/>
        </w:numPr>
        <w:ind w:left="360"/>
      </w:pPr>
    </w:p>
    <w:p w14:paraId="70D2C2C3" w14:textId="77777777" w:rsidR="000854B2" w:rsidRPr="00B44AF1" w:rsidRDefault="000854B2" w:rsidP="000854B2">
      <w:pPr>
        <w:pStyle w:val="ny-lesson-numbering"/>
        <w:numPr>
          <w:ilvl w:val="0"/>
          <w:numId w:val="0"/>
        </w:numPr>
        <w:ind w:left="360"/>
      </w:pPr>
    </w:p>
    <w:p w14:paraId="60869778" w14:textId="77777777" w:rsidR="000854B2" w:rsidRPr="00B44AF1" w:rsidRDefault="000854B2" w:rsidP="000854B2">
      <w:pPr>
        <w:pStyle w:val="ny-lesson-numbering"/>
        <w:numPr>
          <w:ilvl w:val="0"/>
          <w:numId w:val="0"/>
        </w:numPr>
        <w:ind w:left="360"/>
      </w:pPr>
    </w:p>
    <w:p w14:paraId="75365078" w14:textId="334720CF" w:rsidR="000854B2" w:rsidRPr="00B44AF1" w:rsidRDefault="000854B2" w:rsidP="000854B2">
      <w:pPr>
        <w:pStyle w:val="ny-lesson-numbering"/>
      </w:pPr>
      <w:r w:rsidRPr="00B44AF1">
        <w:t xml:space="preserve">Which race had the smaller overall range of ages?  What do you think the range of ages is for the </w:t>
      </w:r>
      <m:oMath>
        <m:r>
          <w:rPr>
            <w:rFonts w:ascii="Cambria Math" w:hAnsi="Cambria Math"/>
          </w:rPr>
          <m:t>15</m:t>
        </m:r>
      </m:oMath>
      <w:r w:rsidRPr="00B44AF1">
        <w:t xml:space="preserve">-kilometer race?  </w:t>
      </w:r>
    </w:p>
    <w:p w14:paraId="5EED8815" w14:textId="77777777" w:rsidR="000854B2" w:rsidRPr="00B44AF1" w:rsidRDefault="000854B2" w:rsidP="000854B2">
      <w:pPr>
        <w:pStyle w:val="ny-lesson-numbering"/>
        <w:numPr>
          <w:ilvl w:val="0"/>
          <w:numId w:val="0"/>
        </w:numPr>
        <w:ind w:left="360"/>
      </w:pPr>
    </w:p>
    <w:p w14:paraId="266DAE56" w14:textId="77777777" w:rsidR="000854B2" w:rsidRPr="00B44AF1" w:rsidRDefault="000854B2" w:rsidP="000854B2">
      <w:pPr>
        <w:pStyle w:val="ny-lesson-numbering"/>
        <w:numPr>
          <w:ilvl w:val="0"/>
          <w:numId w:val="0"/>
        </w:numPr>
        <w:ind w:left="360"/>
      </w:pPr>
    </w:p>
    <w:p w14:paraId="43523FE5" w14:textId="77777777" w:rsidR="000854B2" w:rsidRPr="00B44AF1" w:rsidRDefault="000854B2" w:rsidP="000854B2">
      <w:pPr>
        <w:pStyle w:val="ny-lesson-numbering"/>
        <w:numPr>
          <w:ilvl w:val="0"/>
          <w:numId w:val="0"/>
        </w:numPr>
        <w:ind w:left="360"/>
      </w:pPr>
    </w:p>
    <w:p w14:paraId="6A5C4A2D" w14:textId="77777777" w:rsidR="000854B2" w:rsidRPr="00B44AF1" w:rsidRDefault="000854B2" w:rsidP="000854B2">
      <w:pPr>
        <w:pStyle w:val="ny-lesson-numbering"/>
        <w:numPr>
          <w:ilvl w:val="0"/>
          <w:numId w:val="0"/>
        </w:numPr>
        <w:ind w:left="360"/>
      </w:pPr>
    </w:p>
    <w:p w14:paraId="3B537217" w14:textId="77777777" w:rsidR="000854B2" w:rsidRPr="00B44AF1" w:rsidRDefault="000854B2" w:rsidP="000854B2">
      <w:pPr>
        <w:pStyle w:val="ny-lesson-numbering"/>
        <w:numPr>
          <w:ilvl w:val="0"/>
          <w:numId w:val="0"/>
        </w:numPr>
        <w:ind w:left="360"/>
      </w:pPr>
    </w:p>
    <w:p w14:paraId="598A7687" w14:textId="77777777" w:rsidR="000854B2" w:rsidRPr="00B44AF1" w:rsidRDefault="000854B2" w:rsidP="000854B2">
      <w:pPr>
        <w:pStyle w:val="ny-lesson-numbering"/>
      </w:pPr>
      <w:r w:rsidRPr="00B44AF1">
        <w:t>Which race had the oldest participant?  About how old was this participant?</w:t>
      </w:r>
    </w:p>
    <w:p w14:paraId="0B4CA018" w14:textId="77777777" w:rsidR="000854B2" w:rsidRPr="00B44AF1" w:rsidRDefault="000854B2" w:rsidP="000854B2">
      <w:pPr>
        <w:pStyle w:val="ny-lesson-numbering"/>
        <w:numPr>
          <w:ilvl w:val="0"/>
          <w:numId w:val="0"/>
        </w:numPr>
        <w:ind w:left="360"/>
      </w:pPr>
    </w:p>
    <w:p w14:paraId="15A673FD" w14:textId="77777777" w:rsidR="000854B2" w:rsidRPr="00B44AF1" w:rsidRDefault="000854B2" w:rsidP="000854B2">
      <w:pPr>
        <w:pStyle w:val="ny-lesson-numbering"/>
        <w:numPr>
          <w:ilvl w:val="0"/>
          <w:numId w:val="0"/>
        </w:numPr>
        <w:ind w:left="360"/>
      </w:pPr>
    </w:p>
    <w:p w14:paraId="71968C77" w14:textId="77777777" w:rsidR="000854B2" w:rsidRPr="00B44AF1" w:rsidRDefault="000854B2" w:rsidP="000854B2">
      <w:pPr>
        <w:pStyle w:val="ny-lesson-numbering"/>
        <w:numPr>
          <w:ilvl w:val="0"/>
          <w:numId w:val="0"/>
        </w:numPr>
        <w:ind w:left="360"/>
      </w:pPr>
    </w:p>
    <w:p w14:paraId="2DBC7E63" w14:textId="77777777" w:rsidR="000854B2" w:rsidRPr="00B44AF1" w:rsidRDefault="000854B2" w:rsidP="000854B2">
      <w:pPr>
        <w:pStyle w:val="ny-lesson-numbering"/>
        <w:numPr>
          <w:ilvl w:val="0"/>
          <w:numId w:val="0"/>
        </w:numPr>
        <w:ind w:left="360"/>
      </w:pPr>
    </w:p>
    <w:p w14:paraId="33496EC3" w14:textId="77777777" w:rsidR="000854B2" w:rsidRPr="00B44AF1" w:rsidRDefault="000854B2" w:rsidP="000854B2">
      <w:pPr>
        <w:pStyle w:val="ny-lesson-numbering"/>
        <w:numPr>
          <w:ilvl w:val="0"/>
          <w:numId w:val="0"/>
        </w:numPr>
        <w:ind w:left="360"/>
      </w:pPr>
    </w:p>
    <w:p w14:paraId="3589F9B3" w14:textId="6C1817D5" w:rsidR="000854B2" w:rsidRPr="00B44AF1" w:rsidRDefault="000854B2" w:rsidP="000854B2">
      <w:pPr>
        <w:pStyle w:val="ny-lesson-numbering"/>
      </w:pPr>
      <w:r w:rsidRPr="00B44AF1">
        <w:t xml:space="preserve">Now consider just the youngest </w:t>
      </w:r>
      <m:oMath>
        <m:r>
          <w:rPr>
            <w:rFonts w:ascii="Cambria Math" w:hAnsi="Cambria Math"/>
          </w:rPr>
          <m:t>25%</m:t>
        </m:r>
      </m:oMath>
      <w:r w:rsidRPr="00B44AF1">
        <w:t xml:space="preserve"> of participants in the </w:t>
      </w:r>
      <m:oMath>
        <m:r>
          <w:rPr>
            <w:rFonts w:ascii="Cambria Math" w:hAnsi="Cambria Math"/>
          </w:rPr>
          <m:t>15</m:t>
        </m:r>
      </m:oMath>
      <w:r w:rsidRPr="00B44AF1">
        <w:t xml:space="preserve">-kilometer race.  How old was the youngest runner in this group?  How old was the oldest runner in this group?  How does that compare with the </w:t>
      </w:r>
      <m:oMath>
        <m:r>
          <w:rPr>
            <w:rFonts w:ascii="Cambria Math" w:hAnsi="Cambria Math"/>
          </w:rPr>
          <m:t>5</m:t>
        </m:r>
      </m:oMath>
      <w:r w:rsidRPr="00B44AF1">
        <w:t>-kilometer race?</w:t>
      </w:r>
    </w:p>
    <w:p w14:paraId="49043EBA" w14:textId="77777777" w:rsidR="00132035" w:rsidRDefault="00132035" w:rsidP="00132035">
      <w:pPr>
        <w:pStyle w:val="ny-lesson-example"/>
        <w:spacing w:before="60" w:after="60"/>
        <w:ind w:left="360"/>
      </w:pPr>
    </w:p>
    <w:p w14:paraId="1F2549FC" w14:textId="77777777" w:rsidR="000854B2" w:rsidRDefault="000854B2" w:rsidP="00132035">
      <w:pPr>
        <w:pStyle w:val="ny-lesson-example"/>
        <w:spacing w:before="60" w:after="60"/>
        <w:ind w:left="360"/>
      </w:pPr>
    </w:p>
    <w:p w14:paraId="700C77C0" w14:textId="77777777" w:rsidR="000854B2" w:rsidRDefault="000854B2" w:rsidP="00132035">
      <w:pPr>
        <w:pStyle w:val="ny-lesson-example"/>
        <w:spacing w:before="60" w:after="60"/>
        <w:ind w:left="360"/>
      </w:pPr>
    </w:p>
    <w:p w14:paraId="295AE861" w14:textId="77777777" w:rsidR="000854B2" w:rsidRDefault="000854B2" w:rsidP="00132035">
      <w:pPr>
        <w:pStyle w:val="ny-lesson-example"/>
        <w:spacing w:before="60" w:after="60"/>
        <w:ind w:left="360"/>
      </w:pPr>
    </w:p>
    <w:p w14:paraId="2B4E87C0" w14:textId="77777777" w:rsidR="000854B2" w:rsidRDefault="000854B2" w:rsidP="000854B2">
      <w:pPr>
        <w:pStyle w:val="ny-lesson-hdr-1"/>
      </w:pPr>
      <w:r>
        <w:lastRenderedPageBreak/>
        <w:t xml:space="preserve">Exercises 7–12:  Comparing Box Plots </w:t>
      </w:r>
    </w:p>
    <w:p w14:paraId="7EBAA112" w14:textId="1326DCB4" w:rsidR="000854B2" w:rsidRPr="00F71759" w:rsidRDefault="000854B2" w:rsidP="000854B2">
      <w:pPr>
        <w:pStyle w:val="ny-lesson-paragraph"/>
      </w:pPr>
      <w:r>
        <w:rPr>
          <w:noProof/>
        </w:rPr>
        <w:drawing>
          <wp:anchor distT="0" distB="0" distL="114300" distR="114300" simplePos="0" relativeHeight="251667456" behindDoc="1" locked="0" layoutInCell="1" allowOverlap="1" wp14:anchorId="58C224F3" wp14:editId="19C9B79D">
            <wp:simplePos x="0" y="0"/>
            <wp:positionH relativeFrom="margin">
              <wp:align>center</wp:align>
            </wp:positionH>
            <wp:positionV relativeFrom="paragraph">
              <wp:posOffset>673100</wp:posOffset>
            </wp:positionV>
            <wp:extent cx="3657600" cy="2437765"/>
            <wp:effectExtent l="0" t="0" r="0" b="0"/>
            <wp:wrapTight wrapText="bothSides">
              <wp:wrapPolygon edited="0">
                <wp:start x="2925" y="1182"/>
                <wp:lineTo x="2925" y="4220"/>
                <wp:lineTo x="675" y="5570"/>
                <wp:lineTo x="675" y="5908"/>
                <wp:lineTo x="2925" y="6921"/>
                <wp:lineTo x="2925" y="12322"/>
                <wp:lineTo x="1013" y="13841"/>
                <wp:lineTo x="1013" y="14516"/>
                <wp:lineTo x="2925" y="15023"/>
                <wp:lineTo x="2700" y="19411"/>
                <wp:lineTo x="4838" y="20424"/>
                <wp:lineTo x="12488" y="20930"/>
                <wp:lineTo x="15075" y="20930"/>
                <wp:lineTo x="18900" y="20424"/>
                <wp:lineTo x="21038" y="19411"/>
                <wp:lineTo x="20813" y="1182"/>
                <wp:lineTo x="2925" y="1182"/>
              </wp:wrapPolygon>
            </wp:wrapTight>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657600" cy="2437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1759">
        <w:t xml:space="preserve">In </w:t>
      </w:r>
      <w:r w:rsidRPr="00AB22E2">
        <w:t>2012</w:t>
      </w:r>
      <w:r w:rsidRPr="00F71759">
        <w:t>, Major League Baseball was comprised of two leagues</w:t>
      </w:r>
      <w:r>
        <w:t xml:space="preserve">:  </w:t>
      </w:r>
      <w:r w:rsidRPr="00F71759">
        <w:t>an Am</w:t>
      </w:r>
      <w:r w:rsidRPr="000854B2">
        <w:t xml:space="preserve">erican League of </w:t>
      </w:r>
      <m:oMath>
        <m:r>
          <w:rPr>
            <w:rFonts w:ascii="Cambria Math" w:hAnsi="Cambria Math"/>
          </w:rPr>
          <m:t>14</m:t>
        </m:r>
      </m:oMath>
      <w:r w:rsidRPr="000854B2">
        <w:t xml:space="preserve"> teams and a National League of </w:t>
      </w:r>
      <m:oMath>
        <m:r>
          <w:rPr>
            <w:rFonts w:ascii="Cambria Math" w:hAnsi="Cambria Math"/>
          </w:rPr>
          <m:t>16</m:t>
        </m:r>
      </m:oMath>
      <w:r w:rsidRPr="000854B2">
        <w:t xml:space="preserve"> teams.  It is believed that the American League teams would generally have higher values of certain offensive statistics such as batting average and on-base percentage.  (Teams want to have high values of these statistics.)  Use the following side-by-sid</w:t>
      </w:r>
      <w:r w:rsidRPr="00F71759">
        <w:t>e box plots to investigate these claims.  (Source</w:t>
      </w:r>
      <w:r>
        <w:t xml:space="preserve">:  </w:t>
      </w:r>
      <w:hyperlink r:id="rId16" w:history="1">
        <w:r w:rsidRPr="00F71759">
          <w:rPr>
            <w:rStyle w:val="Hyperlink"/>
            <w:rFonts w:cs="Calibri"/>
            <w:szCs w:val="16"/>
          </w:rPr>
          <w:t>http://mlb.mlb.com/stats/sortable.jsp</w:t>
        </w:r>
      </w:hyperlink>
      <w:r w:rsidRPr="00F71759">
        <w:t xml:space="preserve"> accessed May 13, 2013)</w:t>
      </w:r>
    </w:p>
    <w:p w14:paraId="72801849" w14:textId="77777777" w:rsidR="00132035" w:rsidRDefault="00132035" w:rsidP="00132035">
      <w:pPr>
        <w:pStyle w:val="ny-lesson-example"/>
      </w:pPr>
    </w:p>
    <w:p w14:paraId="3730AAF8" w14:textId="77777777" w:rsidR="00132035" w:rsidRDefault="00132035" w:rsidP="00132035">
      <w:pPr>
        <w:pStyle w:val="ny-lesson-example"/>
      </w:pPr>
    </w:p>
    <w:p w14:paraId="611BCF13" w14:textId="77777777" w:rsidR="00132035" w:rsidRDefault="00132035" w:rsidP="00132035">
      <w:pPr>
        <w:pStyle w:val="ny-lesson-example"/>
      </w:pPr>
    </w:p>
    <w:p w14:paraId="02E3E3B9" w14:textId="77777777" w:rsidR="00132035" w:rsidRDefault="00132035" w:rsidP="00132035">
      <w:pPr>
        <w:pStyle w:val="ny-lesson-example"/>
      </w:pPr>
    </w:p>
    <w:p w14:paraId="7BA3DF2F" w14:textId="77777777" w:rsidR="00132035" w:rsidRDefault="00132035" w:rsidP="00132035">
      <w:pPr>
        <w:pStyle w:val="ny-lesson-example"/>
      </w:pPr>
    </w:p>
    <w:p w14:paraId="58B60A02" w14:textId="77777777" w:rsidR="00132035" w:rsidRDefault="00132035" w:rsidP="00132035">
      <w:pPr>
        <w:pStyle w:val="ny-lesson-example"/>
        <w:ind w:left="720" w:hanging="360"/>
      </w:pPr>
    </w:p>
    <w:p w14:paraId="5AAAC9C3" w14:textId="77777777" w:rsidR="00132035" w:rsidRDefault="00132035" w:rsidP="00132035">
      <w:pPr>
        <w:pStyle w:val="ny-lesson-example"/>
        <w:ind w:left="720" w:hanging="360"/>
      </w:pPr>
    </w:p>
    <w:p w14:paraId="650B3247" w14:textId="77777777" w:rsidR="00132035" w:rsidRDefault="00132035" w:rsidP="00132035">
      <w:pPr>
        <w:pStyle w:val="ny-lesson-example"/>
        <w:ind w:left="720" w:hanging="360"/>
      </w:pPr>
    </w:p>
    <w:p w14:paraId="7994B1F8" w14:textId="77777777" w:rsidR="00132035" w:rsidRDefault="00132035" w:rsidP="00132035">
      <w:pPr>
        <w:pStyle w:val="ny-lesson-example"/>
        <w:ind w:left="720" w:hanging="360"/>
      </w:pPr>
    </w:p>
    <w:p w14:paraId="47426867" w14:textId="4265F6A8" w:rsidR="000854B2" w:rsidRPr="007F22A5" w:rsidRDefault="000854B2" w:rsidP="000854B2">
      <w:pPr>
        <w:pStyle w:val="ny-lesson-numbering"/>
      </w:pPr>
      <w:r w:rsidRPr="007F22A5">
        <w:t xml:space="preserve">Was the highest American League team batting average very different from the highest National League team batting average?  If so, approximately how large was the difference and which league had the higher maximum value? </w:t>
      </w:r>
    </w:p>
    <w:p w14:paraId="38A34836" w14:textId="77777777" w:rsidR="000854B2" w:rsidRDefault="000854B2" w:rsidP="000854B2">
      <w:pPr>
        <w:pStyle w:val="ny-lesson-numbering"/>
        <w:numPr>
          <w:ilvl w:val="0"/>
          <w:numId w:val="0"/>
        </w:numPr>
        <w:ind w:left="360"/>
      </w:pPr>
    </w:p>
    <w:p w14:paraId="61DEDFC5" w14:textId="77777777" w:rsidR="000854B2" w:rsidRDefault="000854B2" w:rsidP="000854B2">
      <w:pPr>
        <w:pStyle w:val="ny-lesson-numbering"/>
        <w:numPr>
          <w:ilvl w:val="0"/>
          <w:numId w:val="0"/>
        </w:numPr>
        <w:ind w:left="360"/>
      </w:pPr>
    </w:p>
    <w:p w14:paraId="3E3B7177" w14:textId="77777777" w:rsidR="000854B2" w:rsidRDefault="000854B2" w:rsidP="000854B2">
      <w:pPr>
        <w:pStyle w:val="ny-lesson-numbering"/>
        <w:numPr>
          <w:ilvl w:val="0"/>
          <w:numId w:val="0"/>
        </w:numPr>
        <w:ind w:left="360"/>
      </w:pPr>
    </w:p>
    <w:p w14:paraId="097CC776" w14:textId="77777777" w:rsidR="000854B2" w:rsidRDefault="000854B2" w:rsidP="000854B2">
      <w:pPr>
        <w:pStyle w:val="ny-lesson-numbering"/>
        <w:numPr>
          <w:ilvl w:val="0"/>
          <w:numId w:val="0"/>
        </w:numPr>
        <w:ind w:left="360"/>
      </w:pPr>
    </w:p>
    <w:p w14:paraId="12FCBC8E" w14:textId="77777777" w:rsidR="000854B2" w:rsidRDefault="000854B2" w:rsidP="000854B2">
      <w:pPr>
        <w:pStyle w:val="ny-lesson-numbering"/>
        <w:numPr>
          <w:ilvl w:val="0"/>
          <w:numId w:val="0"/>
        </w:numPr>
        <w:ind w:left="360"/>
      </w:pPr>
    </w:p>
    <w:p w14:paraId="6B160A65" w14:textId="77777777" w:rsidR="000854B2" w:rsidRPr="007F22A5" w:rsidRDefault="000854B2" w:rsidP="000854B2">
      <w:pPr>
        <w:pStyle w:val="ny-lesson-numbering"/>
      </w:pPr>
      <w:r w:rsidRPr="007F22A5">
        <w:t xml:space="preserve">Was the range of American League team batting averages very different or only slightly different from the range of National League team batting averages?  </w:t>
      </w:r>
    </w:p>
    <w:p w14:paraId="6CFBC6C9" w14:textId="77777777" w:rsidR="000854B2" w:rsidRDefault="000854B2" w:rsidP="000854B2">
      <w:pPr>
        <w:pStyle w:val="ny-lesson-numbering"/>
        <w:numPr>
          <w:ilvl w:val="0"/>
          <w:numId w:val="0"/>
        </w:numPr>
        <w:ind w:left="360"/>
      </w:pPr>
    </w:p>
    <w:p w14:paraId="04DA6064" w14:textId="77777777" w:rsidR="000854B2" w:rsidRDefault="000854B2" w:rsidP="000854B2">
      <w:pPr>
        <w:pStyle w:val="ny-lesson-numbering"/>
        <w:numPr>
          <w:ilvl w:val="0"/>
          <w:numId w:val="0"/>
        </w:numPr>
        <w:ind w:left="360"/>
      </w:pPr>
    </w:p>
    <w:p w14:paraId="48B096C6" w14:textId="77777777" w:rsidR="000854B2" w:rsidRDefault="000854B2" w:rsidP="000854B2">
      <w:pPr>
        <w:pStyle w:val="ny-lesson-numbering"/>
        <w:numPr>
          <w:ilvl w:val="0"/>
          <w:numId w:val="0"/>
        </w:numPr>
        <w:ind w:left="360"/>
      </w:pPr>
    </w:p>
    <w:p w14:paraId="3994F77B" w14:textId="77777777" w:rsidR="000854B2" w:rsidRDefault="000854B2" w:rsidP="000854B2">
      <w:pPr>
        <w:pStyle w:val="ny-lesson-numbering"/>
        <w:numPr>
          <w:ilvl w:val="0"/>
          <w:numId w:val="0"/>
        </w:numPr>
        <w:ind w:left="360"/>
      </w:pPr>
    </w:p>
    <w:p w14:paraId="22E70373" w14:textId="77777777" w:rsidR="000854B2" w:rsidRDefault="000854B2" w:rsidP="000854B2">
      <w:pPr>
        <w:pStyle w:val="ny-lesson-numbering"/>
        <w:numPr>
          <w:ilvl w:val="0"/>
          <w:numId w:val="0"/>
        </w:numPr>
        <w:ind w:left="360"/>
      </w:pPr>
    </w:p>
    <w:p w14:paraId="12060A01" w14:textId="54ED9605" w:rsidR="000854B2" w:rsidRPr="007F22A5" w:rsidRDefault="000854B2" w:rsidP="000854B2">
      <w:pPr>
        <w:pStyle w:val="ny-lesson-numbering"/>
      </w:pPr>
      <w:r w:rsidRPr="007F22A5">
        <w:t>Which league had the higher median team batting average?  Given the scale of the graph and the range of the data</w:t>
      </w:r>
      <w:r w:rsidR="00525974">
        <w:t xml:space="preserve"> </w:t>
      </w:r>
      <w:r w:rsidRPr="007F22A5">
        <w:t xml:space="preserve">sets, does the difference between the median values for the two leagues seem to be small or large?  Explain why you think it is </w:t>
      </w:r>
      <w:r>
        <w:t>small</w:t>
      </w:r>
      <w:r w:rsidRPr="007F22A5">
        <w:t xml:space="preserve"> or </w:t>
      </w:r>
      <w:r>
        <w:t>large</w:t>
      </w:r>
      <w:r w:rsidRPr="007F22A5">
        <w:t>.</w:t>
      </w:r>
    </w:p>
    <w:p w14:paraId="690B3A54" w14:textId="77777777" w:rsidR="000854B2" w:rsidRDefault="000854B2" w:rsidP="000854B2">
      <w:pPr>
        <w:pStyle w:val="ny-lesson-numbering"/>
        <w:numPr>
          <w:ilvl w:val="0"/>
          <w:numId w:val="0"/>
        </w:numPr>
        <w:ind w:left="360"/>
      </w:pPr>
    </w:p>
    <w:p w14:paraId="137C1D7C" w14:textId="77777777" w:rsidR="000854B2" w:rsidRDefault="000854B2" w:rsidP="000854B2">
      <w:pPr>
        <w:pStyle w:val="ny-lesson-numbering"/>
        <w:numPr>
          <w:ilvl w:val="0"/>
          <w:numId w:val="0"/>
        </w:numPr>
        <w:ind w:left="360"/>
      </w:pPr>
    </w:p>
    <w:p w14:paraId="1B83D532" w14:textId="77777777" w:rsidR="000854B2" w:rsidRDefault="000854B2" w:rsidP="000854B2">
      <w:pPr>
        <w:pStyle w:val="ny-lesson-numbering"/>
        <w:numPr>
          <w:ilvl w:val="0"/>
          <w:numId w:val="0"/>
        </w:numPr>
        <w:ind w:left="360"/>
      </w:pPr>
    </w:p>
    <w:p w14:paraId="6DEDD494" w14:textId="77777777" w:rsidR="000854B2" w:rsidRDefault="000854B2" w:rsidP="000854B2">
      <w:pPr>
        <w:pStyle w:val="ny-lesson-numbering"/>
        <w:numPr>
          <w:ilvl w:val="0"/>
          <w:numId w:val="0"/>
        </w:numPr>
        <w:ind w:left="360"/>
      </w:pPr>
    </w:p>
    <w:p w14:paraId="58012348" w14:textId="77777777" w:rsidR="000854B2" w:rsidRDefault="000854B2" w:rsidP="000854B2">
      <w:pPr>
        <w:pStyle w:val="ny-lesson-numbering"/>
        <w:numPr>
          <w:ilvl w:val="0"/>
          <w:numId w:val="0"/>
        </w:numPr>
        <w:ind w:left="360"/>
      </w:pPr>
    </w:p>
    <w:p w14:paraId="6EC98CFE" w14:textId="6068D0A1" w:rsidR="000854B2" w:rsidRDefault="000854B2" w:rsidP="000854B2">
      <w:pPr>
        <w:pStyle w:val="ny-lesson-numbering"/>
      </w:pPr>
      <w:r w:rsidRPr="007F22A5">
        <w:lastRenderedPageBreak/>
        <w:t>Based on the box plots below for on-base percentage, which 3 summary values (from the 5-number summary) appear to be the same or virtually the same for both leagues?</w:t>
      </w:r>
    </w:p>
    <w:p w14:paraId="4B3CD1CC" w14:textId="301895CB" w:rsidR="000854B2" w:rsidRDefault="000854B2" w:rsidP="000854B2">
      <w:pPr>
        <w:pStyle w:val="ny-lesson-numbering"/>
        <w:numPr>
          <w:ilvl w:val="0"/>
          <w:numId w:val="0"/>
        </w:numPr>
        <w:ind w:left="360"/>
      </w:pPr>
      <w:r w:rsidRPr="0047458D">
        <w:rPr>
          <w:noProof/>
          <w:szCs w:val="16"/>
        </w:rPr>
        <w:drawing>
          <wp:anchor distT="0" distB="0" distL="114300" distR="114300" simplePos="0" relativeHeight="251669504" behindDoc="0" locked="0" layoutInCell="1" allowOverlap="1" wp14:anchorId="779E45FC" wp14:editId="78A6B561">
            <wp:simplePos x="0" y="0"/>
            <wp:positionH relativeFrom="margin">
              <wp:align>center</wp:align>
            </wp:positionH>
            <wp:positionV relativeFrom="paragraph">
              <wp:posOffset>204470</wp:posOffset>
            </wp:positionV>
            <wp:extent cx="3921760" cy="2209800"/>
            <wp:effectExtent l="0" t="0" r="254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1760" cy="22098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2E8953F5" w14:textId="77777777" w:rsidR="000854B2" w:rsidRDefault="000854B2" w:rsidP="000854B2">
      <w:pPr>
        <w:pStyle w:val="ny-lesson-numbering"/>
        <w:numPr>
          <w:ilvl w:val="0"/>
          <w:numId w:val="0"/>
        </w:numPr>
        <w:ind w:left="360"/>
      </w:pPr>
    </w:p>
    <w:p w14:paraId="6566B24C" w14:textId="77777777" w:rsidR="000854B2" w:rsidRDefault="000854B2" w:rsidP="000854B2"/>
    <w:p w14:paraId="6A95B150" w14:textId="77777777" w:rsidR="005754FE" w:rsidRDefault="005754FE" w:rsidP="000854B2"/>
    <w:p w14:paraId="0BC03B82" w14:textId="77777777" w:rsidR="005754FE" w:rsidRDefault="005754FE" w:rsidP="000854B2"/>
    <w:p w14:paraId="77495C2B" w14:textId="77777777" w:rsidR="000854B2" w:rsidRPr="00D85179" w:rsidRDefault="000854B2" w:rsidP="000854B2">
      <w:pPr>
        <w:pStyle w:val="ny-lesson-numbering"/>
      </w:pPr>
      <w:r w:rsidRPr="007F22A5">
        <w:t>Which league's data set appears to have less variability?  Explain.</w:t>
      </w:r>
    </w:p>
    <w:p w14:paraId="5461CE63" w14:textId="5CB45A74" w:rsidR="000854B2" w:rsidRPr="007F22A5" w:rsidRDefault="000854B2" w:rsidP="000854B2">
      <w:pPr>
        <w:pStyle w:val="ny-lesson-numbering"/>
        <w:numPr>
          <w:ilvl w:val="0"/>
          <w:numId w:val="0"/>
        </w:numPr>
        <w:ind w:left="360"/>
      </w:pPr>
    </w:p>
    <w:p w14:paraId="4737940A" w14:textId="77777777" w:rsidR="000854B2" w:rsidRDefault="000854B2" w:rsidP="000854B2">
      <w:pPr>
        <w:pStyle w:val="ny-lesson-numbering"/>
        <w:numPr>
          <w:ilvl w:val="0"/>
          <w:numId w:val="0"/>
        </w:numPr>
        <w:ind w:left="360"/>
      </w:pPr>
    </w:p>
    <w:p w14:paraId="2F90EDD1" w14:textId="77777777" w:rsidR="000854B2" w:rsidRDefault="000854B2" w:rsidP="000854B2">
      <w:pPr>
        <w:pStyle w:val="ny-lesson-numbering"/>
        <w:numPr>
          <w:ilvl w:val="0"/>
          <w:numId w:val="0"/>
        </w:numPr>
        <w:ind w:left="360"/>
      </w:pPr>
    </w:p>
    <w:p w14:paraId="6600363A" w14:textId="77777777" w:rsidR="000854B2" w:rsidRDefault="000854B2" w:rsidP="000854B2">
      <w:pPr>
        <w:pStyle w:val="ny-lesson-numbering"/>
        <w:numPr>
          <w:ilvl w:val="0"/>
          <w:numId w:val="0"/>
        </w:numPr>
        <w:ind w:left="360"/>
      </w:pPr>
    </w:p>
    <w:p w14:paraId="312D3DF7" w14:textId="77777777" w:rsidR="000854B2" w:rsidRDefault="000854B2" w:rsidP="000854B2">
      <w:pPr>
        <w:pStyle w:val="ny-lesson-numbering"/>
        <w:numPr>
          <w:ilvl w:val="0"/>
          <w:numId w:val="0"/>
        </w:numPr>
        <w:ind w:left="360"/>
      </w:pPr>
    </w:p>
    <w:p w14:paraId="3A3728F0" w14:textId="2F7C1809" w:rsidR="000854B2" w:rsidRPr="007F22A5" w:rsidRDefault="000854B2" w:rsidP="000854B2">
      <w:pPr>
        <w:pStyle w:val="ny-lesson-numbering"/>
      </w:pPr>
      <w:r w:rsidRPr="007F22A5">
        <w:t>Respond to the original statement</w:t>
      </w:r>
      <w:r>
        <w:t>:  “</w:t>
      </w:r>
      <w:r w:rsidRPr="007F22A5">
        <w:t xml:space="preserve">It is believed that the American League teams would generally have higher </w:t>
      </w:r>
      <w:r>
        <w:t>values of … on-base percentage.”</w:t>
      </w:r>
      <w:r w:rsidRPr="007F22A5">
        <w:t xml:space="preserve">  Do you agree or disagree based on the graphs above?  Explain.</w:t>
      </w:r>
    </w:p>
    <w:p w14:paraId="38803B8C" w14:textId="77777777" w:rsidR="00132035" w:rsidRDefault="00132035" w:rsidP="00132035">
      <w:pPr>
        <w:pStyle w:val="ny-lesson-example"/>
        <w:ind w:left="360"/>
      </w:pPr>
    </w:p>
    <w:p w14:paraId="2A7928F3" w14:textId="77777777" w:rsidR="00132035" w:rsidRDefault="00132035" w:rsidP="00132035">
      <w:pPr>
        <w:pStyle w:val="ny-lesson-example"/>
        <w:ind w:firstLine="360"/>
      </w:pPr>
    </w:p>
    <w:p w14:paraId="0524C9DF" w14:textId="77777777" w:rsidR="00132035" w:rsidRDefault="00132035" w:rsidP="00132035">
      <w:pPr>
        <w:pStyle w:val="ny-lesson-example"/>
        <w:ind w:firstLine="360"/>
      </w:pPr>
    </w:p>
    <w:p w14:paraId="6F613073" w14:textId="02CAADE6" w:rsidR="00132035" w:rsidRDefault="00132035" w:rsidP="00132035">
      <w:pPr>
        <w:pStyle w:val="ny-lesson-paragraph"/>
      </w:pPr>
    </w:p>
    <w:p w14:paraId="02A0D3B5" w14:textId="77777777" w:rsidR="00D06951" w:rsidRDefault="00132035" w:rsidP="00132035">
      <w:pPr>
        <w:pStyle w:val="ny-callout-hdr"/>
        <w:spacing w:after="60"/>
      </w:pPr>
      <w:r>
        <w:br w:type="page"/>
      </w:r>
    </w:p>
    <w:p w14:paraId="1D72BE03" w14:textId="77777777" w:rsidR="00D06951" w:rsidRDefault="00D06951" w:rsidP="00132035">
      <w:pPr>
        <w:pStyle w:val="ny-callout-hdr"/>
        <w:spacing w:after="60"/>
      </w:pPr>
    </w:p>
    <w:p w14:paraId="55F03C99" w14:textId="77777777" w:rsidR="00D06951" w:rsidRDefault="00D06951" w:rsidP="00132035">
      <w:pPr>
        <w:pStyle w:val="ny-callout-hdr"/>
        <w:spacing w:after="60"/>
      </w:pPr>
    </w:p>
    <w:p w14:paraId="7E8C8DB5" w14:textId="6EE68B16" w:rsidR="00132035" w:rsidRPr="00D06951" w:rsidRDefault="00132035" w:rsidP="00D06951">
      <w:pPr>
        <w:pStyle w:val="ny-callout-hdr"/>
      </w:pPr>
      <w:r w:rsidRPr="00D06951">
        <w:t xml:space="preserve">Problem Set </w:t>
      </w:r>
    </w:p>
    <w:p w14:paraId="7125422D" w14:textId="347DF798" w:rsidR="00132035" w:rsidRDefault="000854B2" w:rsidP="00D06951">
      <w:pPr>
        <w:pStyle w:val="ny-callout-hdr"/>
      </w:pPr>
      <w:r>
        <w:rPr>
          <w:noProof/>
        </w:rPr>
        <mc:AlternateContent>
          <mc:Choice Requires="wps">
            <w:drawing>
              <wp:anchor distT="0" distB="0" distL="114300" distR="114300" simplePos="0" relativeHeight="251661312" behindDoc="0" locked="0" layoutInCell="1" allowOverlap="1" wp14:anchorId="677E9BD2" wp14:editId="7C712963">
                <wp:simplePos x="0" y="0"/>
                <wp:positionH relativeFrom="margin">
                  <wp:align>center</wp:align>
                </wp:positionH>
                <wp:positionV relativeFrom="margin">
                  <wp:align>top</wp:align>
                </wp:positionV>
                <wp:extent cx="6217920" cy="1068070"/>
                <wp:effectExtent l="19050" t="19050" r="11430" b="1778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68070"/>
                        </a:xfrm>
                        <a:prstGeom prst="rect">
                          <a:avLst/>
                        </a:prstGeom>
                        <a:solidFill>
                          <a:srgbClr val="FFFFFF"/>
                        </a:solidFill>
                        <a:ln w="38100" cmpd="dbl">
                          <a:solidFill>
                            <a:srgbClr val="00789C"/>
                          </a:solidFill>
                          <a:miter lim="800000"/>
                          <a:headEnd/>
                          <a:tailEnd/>
                        </a:ln>
                      </wps:spPr>
                      <wps:txbx>
                        <w:txbxContent>
                          <w:p w14:paraId="6195B10C" w14:textId="10ACA2B4" w:rsidR="00132035" w:rsidRPr="00A17522" w:rsidRDefault="00D06951" w:rsidP="00A17522">
                            <w:pPr>
                              <w:pStyle w:val="ny-lesson-summary"/>
                              <w:rPr>
                                <w:rStyle w:val="ny-chart-sq-grey"/>
                                <w:rFonts w:asciiTheme="minorHAnsi" w:eastAsiaTheme="minorHAnsi" w:hAnsiTheme="minorHAnsi" w:cstheme="minorBidi"/>
                                <w:spacing w:val="0"/>
                                <w:position w:val="0"/>
                                <w:sz w:val="22"/>
                                <w:szCs w:val="22"/>
                              </w:rPr>
                            </w:pPr>
                            <w:r w:rsidRPr="00A17522">
                              <w:rPr>
                                <w:rStyle w:val="ny-chart-sq-grey"/>
                                <w:rFonts w:asciiTheme="minorHAnsi" w:eastAsiaTheme="minorHAnsi" w:hAnsiTheme="minorHAnsi" w:cstheme="minorBidi"/>
                                <w:spacing w:val="0"/>
                                <w:position w:val="0"/>
                                <w:sz w:val="22"/>
                                <w:szCs w:val="22"/>
                              </w:rPr>
                              <w:t>Lesson Summary</w:t>
                            </w:r>
                          </w:p>
                          <w:p w14:paraId="2BF04AB2" w14:textId="77777777" w:rsidR="00D06951" w:rsidRPr="00D85179" w:rsidRDefault="00D06951" w:rsidP="00D06951">
                            <w:pPr>
                              <w:pStyle w:val="ny-lesson-paragraph"/>
                            </w:pPr>
                            <w:r w:rsidRPr="00D85179">
                              <w:t>When comparing the distribution of a quantitative variable for two or more distinct groups, it is useful to display graphs of the groups' distributions side-by-side using the same scale</w:t>
                            </w:r>
                            <w:r>
                              <w:t xml:space="preserve">.  </w:t>
                            </w:r>
                            <w:r w:rsidRPr="00D85179">
                              <w:t xml:space="preserve">Generally, you can more easily notice, quantify, and describe the similarities and differences in the distributions of the groups. </w:t>
                            </w:r>
                          </w:p>
                          <w:p w14:paraId="4E790F1A" w14:textId="77777777" w:rsidR="00132035" w:rsidRDefault="00132035" w:rsidP="00132035">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0;width:489.6pt;height:84.1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PMwIAAFYEAAAOAAAAZHJzL2Uyb0RvYy54bWysVNuO0zAQfUfiHyy/0ySl9BI1Xa26FCEt&#10;sGLhAxzHSSx8Y+w2Xb6esdOWLvCEyIPl8YyPz5yZyfrmqBU5CPDSmooWk5wSYbhtpOkq+vXL7tWS&#10;Eh+YaZiyRlT0SXh6s3n5Yj24Ukxtb1UjgCCI8eXgKtqH4Mos87wXmvmJdcKgs7WgWUATuqwBNiC6&#10;Vtk0z+fZYKFxYLnwHk/vRifdJPy2FTx8alsvAlEVRW4hrZDWOq7ZZs3KDpjrJT/RYP/AQjNp8NEL&#10;1B0LjOxB/gGlJQfrbRsm3OrMtq3kIuWA2RT5b9k89syJlAuK491FJv//YPnHwwMQ2VT0dUGJYRpr&#10;9BlVY6ZTguAZCjQ4X2Lco3uAmKJ395Z/88TYbY9h4hbADr1gDdJK8dmzC9HweJXUwwfbIDzbB5u0&#10;OragIyCqQI6pJE+XkohjIBwP59NisZpi5Tj6iny+zBepaBkrz9cd+PBOWE3ipqKA7BM8O9z7gPQx&#10;9ByS6Fslm51UKhnQ1VsF5MCwP3bpixnjFX8dpgwZUKFlkUcm2qFcTa3SK8/i/DVcni+Wq+3f4LQM&#10;2PRK6oou8/iNbRg1fGua1JKBSTXukYsySOms41iPcKyPp9LUtnlCecGOzY3DiJvewg9KBmzsivrv&#10;ewaCEvXeYIlWxWwWJyEZszeLKC5ce+prDzMcoSoaKBm32zBOz96B7Hp8qUgyGHuLZW1lEjxSHVmd&#10;eGPzJlFPgxan49pOUb9+B5ufAAAA//8DAFBLAwQUAAYACAAAACEAZ9psN9wAAAAFAQAADwAAAGRy&#10;cy9kb3ducmV2LnhtbEyPwWrDMBBE74X+g9hAL6WRa0oSO5ZDCO2xgTr+ANna2ibWyrXkxP37bntp&#10;LgPLDDNvs91se3HB0XeOFDwvIxBItTMdNQrK09vTBoQPmozuHaGCb/Swy+/vMp0ad6UPvBShEVxC&#10;PtUK2hCGVEpft2i1X7oBib1PN1od+BwbaUZ95XLbyziKVtLqjnih1QMeWqzPxWQVvO5P5/V78jJV&#10;yTE6HIuvx9KXk1IPi3m/BRFwDv9h+MVndMiZqXITGS96BfxI+FP2knUSg6g4tNrEIPNM3tLnPwAA&#10;AP//AwBQSwECLQAUAAYACAAAACEAtoM4kv4AAADhAQAAEwAAAAAAAAAAAAAAAAAAAAAAW0NvbnRl&#10;bnRfVHlwZXNdLnhtbFBLAQItABQABgAIAAAAIQA4/SH/1gAAAJQBAAALAAAAAAAAAAAAAAAAAC8B&#10;AABfcmVscy8ucmVsc1BLAQItABQABgAIAAAAIQDVuP+PMwIAAFYEAAAOAAAAAAAAAAAAAAAAAC4C&#10;AABkcnMvZTJvRG9jLnhtbFBLAQItABQABgAIAAAAIQBn2mw33AAAAAUBAAAPAAAAAAAAAAAAAAAA&#10;AI0EAABkcnMvZG93bnJldi54bWxQSwUGAAAAAAQABADzAAAAlgUAAAAA&#10;" strokecolor="#00789c" strokeweight="3pt">
                <v:stroke linestyle="thinThin"/>
                <v:textbox>
                  <w:txbxContent>
                    <w:p w14:paraId="6195B10C" w14:textId="10ACA2B4" w:rsidR="00132035" w:rsidRPr="00A17522" w:rsidRDefault="00D06951" w:rsidP="00A17522">
                      <w:pPr>
                        <w:pStyle w:val="ny-lesson-summary"/>
                        <w:rPr>
                          <w:rStyle w:val="ny-chart-sq-grey"/>
                          <w:rFonts w:asciiTheme="minorHAnsi" w:eastAsiaTheme="minorHAnsi" w:hAnsiTheme="minorHAnsi" w:cstheme="minorBidi"/>
                          <w:spacing w:val="0"/>
                          <w:position w:val="0"/>
                          <w:sz w:val="22"/>
                          <w:szCs w:val="22"/>
                        </w:rPr>
                      </w:pPr>
                      <w:r w:rsidRPr="00A17522">
                        <w:rPr>
                          <w:rStyle w:val="ny-chart-sq-grey"/>
                          <w:rFonts w:asciiTheme="minorHAnsi" w:eastAsiaTheme="minorHAnsi" w:hAnsiTheme="minorHAnsi" w:cstheme="minorBidi"/>
                          <w:spacing w:val="0"/>
                          <w:position w:val="0"/>
                          <w:sz w:val="22"/>
                          <w:szCs w:val="22"/>
                        </w:rPr>
                        <w:t>Lesson Summary</w:t>
                      </w:r>
                    </w:p>
                    <w:p w14:paraId="2BF04AB2" w14:textId="77777777" w:rsidR="00D06951" w:rsidRPr="00D85179" w:rsidRDefault="00D06951" w:rsidP="00D06951">
                      <w:pPr>
                        <w:pStyle w:val="ny-lesson-paragraph"/>
                      </w:pPr>
                      <w:r w:rsidRPr="00D85179">
                        <w:t>When comparing the distribution of a quantitative variable for two or more distinct groups, it is useful to display graphs of the groups' distributions side-by-side using the same scale</w:t>
                      </w:r>
                      <w:r>
                        <w:t xml:space="preserve">.  </w:t>
                      </w:r>
                      <w:r w:rsidRPr="00D85179">
                        <w:t xml:space="preserve">Generally, you can more easily notice, quantify, and describe the similarities and differences in the distributions of the groups. </w:t>
                      </w:r>
                    </w:p>
                    <w:p w14:paraId="4E790F1A" w14:textId="77777777" w:rsidR="00132035" w:rsidRDefault="00132035" w:rsidP="00132035">
                      <w:pPr>
                        <w:pStyle w:val="ny-lesson-example"/>
                      </w:pPr>
                    </w:p>
                  </w:txbxContent>
                </v:textbox>
                <w10:wrap type="topAndBottom" anchorx="margin" anchory="margin"/>
              </v:rect>
            </w:pict>
          </mc:Fallback>
        </mc:AlternateContent>
      </w:r>
    </w:p>
    <w:p w14:paraId="6EA6352A" w14:textId="3CCD3975" w:rsidR="00D06951" w:rsidRPr="00065F8C" w:rsidRDefault="00D06951" w:rsidP="00643D43">
      <w:pPr>
        <w:pStyle w:val="ny-lesson-numbering"/>
        <w:numPr>
          <w:ilvl w:val="0"/>
          <w:numId w:val="9"/>
        </w:numPr>
      </w:pPr>
      <w:r w:rsidRPr="00065F8C">
        <w:t xml:space="preserve">College athletic programs are separated into divisions based on school size, </w:t>
      </w:r>
      <w:r>
        <w:t>available</w:t>
      </w:r>
      <w:r w:rsidRPr="00065F8C">
        <w:t xml:space="preserve"> athletic scholarships, </w:t>
      </w:r>
      <w:r>
        <w:t>and other factors</w:t>
      </w:r>
      <w:r w:rsidRPr="00065F8C">
        <w:t xml:space="preserve">.  A researcher is curious to know if members of swimming and diving programs in Division I (schools that offer athletic scholarships and tend to have large enrollment) are generally taller than the swimmers and divers in Division III programs (schools that do not offer athletic scholarships and tend to have smaller enrollment).  To begin the investigation, the researcher creates side-by-side box plots for the heights (in inches) of members of the </w:t>
      </w:r>
      <w:r w:rsidRPr="0071748B">
        <w:t>2012–2013</w:t>
      </w:r>
      <w:r w:rsidRPr="00065F8C">
        <w:t xml:space="preserve"> University of Texas Men's Swimming and Diving Team (a Division I program) and the heights (in inches) of members of the </w:t>
      </w:r>
      <w:r w:rsidRPr="00D06951">
        <w:t>2012–2013</w:t>
      </w:r>
      <w:r w:rsidRPr="00065F8C">
        <w:t xml:space="preserve"> Buffalo State College Men's Swimming and Diving Team (a Division III program). </w:t>
      </w:r>
    </w:p>
    <w:p w14:paraId="795274DB" w14:textId="34C48BCF" w:rsidR="00D06951" w:rsidRPr="00065F8C" w:rsidRDefault="00D06951" w:rsidP="00D06951">
      <w:pPr>
        <w:pStyle w:val="ny-lesson-numbering"/>
        <w:numPr>
          <w:ilvl w:val="0"/>
          <w:numId w:val="0"/>
        </w:numPr>
        <w:ind w:left="360"/>
      </w:pPr>
      <w:r w:rsidRPr="009F67E1">
        <w:rPr>
          <w:noProof/>
          <w:szCs w:val="16"/>
        </w:rPr>
        <w:drawing>
          <wp:anchor distT="0" distB="0" distL="114300" distR="114300" simplePos="0" relativeHeight="251671552" behindDoc="1" locked="0" layoutInCell="1" allowOverlap="1" wp14:anchorId="539812F3" wp14:editId="774E42DC">
            <wp:simplePos x="0" y="0"/>
            <wp:positionH relativeFrom="margin">
              <wp:posOffset>1157605</wp:posOffset>
            </wp:positionH>
            <wp:positionV relativeFrom="paragraph">
              <wp:posOffset>544830</wp:posOffset>
            </wp:positionV>
            <wp:extent cx="3932555" cy="262128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932555" cy="262128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065F8C">
        <w:t xml:space="preserve">(From </w:t>
      </w:r>
      <w:hyperlink r:id="rId19" w:history="1">
        <w:r w:rsidRPr="00065F8C">
          <w:rPr>
            <w:rStyle w:val="Hyperlink"/>
            <w:rFonts w:cs="Calibri"/>
            <w:szCs w:val="16"/>
          </w:rPr>
          <w:t>http://www.texassports.com/sports/m-swim/mtt/tex-m-swim-mtt.html</w:t>
        </w:r>
      </w:hyperlink>
      <w:r w:rsidRPr="00065F8C">
        <w:t xml:space="preserve"> accessed April 30, 2013, all 41 member heights listed, and </w:t>
      </w:r>
      <w:hyperlink r:id="rId20" w:history="1">
        <w:r w:rsidRPr="00065F8C">
          <w:rPr>
            <w:rStyle w:val="Hyperlink"/>
            <w:rFonts w:cs="Calibri"/>
            <w:szCs w:val="16"/>
          </w:rPr>
          <w:t>http://www.buffalostateathletics.com/roster.aspx?path=mswim&amp;</w:t>
        </w:r>
      </w:hyperlink>
      <w:r w:rsidRPr="00065F8C">
        <w:t xml:space="preserve"> accessed May 15, 2013, 11 members on roster; only 10 heights were listed)</w:t>
      </w:r>
    </w:p>
    <w:p w14:paraId="6B59E546" w14:textId="0F9DD36C" w:rsidR="00D06951" w:rsidRPr="009F67E1" w:rsidRDefault="00D06951" w:rsidP="00643D43">
      <w:pPr>
        <w:pStyle w:val="ny-lesson-numbering"/>
        <w:numPr>
          <w:ilvl w:val="1"/>
          <w:numId w:val="5"/>
        </w:numPr>
        <w:spacing w:before="120" w:after="120"/>
      </w:pPr>
      <w:r w:rsidRPr="009F67E1">
        <w:t>Which data</w:t>
      </w:r>
      <w:r>
        <w:t xml:space="preserve"> </w:t>
      </w:r>
      <w:r w:rsidRPr="009F67E1">
        <w:t>set has the smaller range?</w:t>
      </w:r>
    </w:p>
    <w:p w14:paraId="035CBDA4" w14:textId="77777777" w:rsidR="00D06951" w:rsidRPr="00065F8C" w:rsidRDefault="00D06951" w:rsidP="00643D43">
      <w:pPr>
        <w:pStyle w:val="ny-lesson-numbering"/>
        <w:numPr>
          <w:ilvl w:val="1"/>
          <w:numId w:val="5"/>
        </w:numPr>
        <w:spacing w:before="120" w:after="120"/>
      </w:pPr>
      <w:r w:rsidRPr="00065F8C">
        <w:t>True or False</w:t>
      </w:r>
      <w:r>
        <w:t xml:space="preserve">:  </w:t>
      </w:r>
      <w:r w:rsidRPr="00065F8C">
        <w:t xml:space="preserve">A team member of median height on the University of Texas team would be taller than a team member of median height on the Buffalo State College team. </w:t>
      </w:r>
    </w:p>
    <w:p w14:paraId="4C5E2AAD" w14:textId="77777777" w:rsidR="00D06951" w:rsidRPr="00065F8C" w:rsidRDefault="00D06951" w:rsidP="00643D43">
      <w:pPr>
        <w:pStyle w:val="ny-lesson-numbering"/>
        <w:numPr>
          <w:ilvl w:val="1"/>
          <w:numId w:val="5"/>
        </w:numPr>
        <w:spacing w:before="120" w:after="120"/>
      </w:pPr>
      <w:r w:rsidRPr="00065F8C">
        <w:t xml:space="preserve">To be thorough, the researcher will examine many other college's sports programs to further investigate her claim that members of swimming and diving programs in Division I are generally taller than the swimmers and divers in Division III.  But given the graph above, in this initial stage of her research, do you think that her claim might be valid?  Carefully support your answer using comparative summary measures or graphical attributes. </w:t>
      </w:r>
    </w:p>
    <w:p w14:paraId="1F318A4F" w14:textId="31768CD3" w:rsidR="00D06951" w:rsidRPr="002B6A3E" w:rsidRDefault="00D06951" w:rsidP="00643D43">
      <w:pPr>
        <w:pStyle w:val="ny-lesson-numbering"/>
      </w:pPr>
      <w:r w:rsidRPr="002B6A3E">
        <w:lastRenderedPageBreak/>
        <w:t>Different states use</w:t>
      </w:r>
      <w:r w:rsidRPr="00D06951">
        <w:t xml:space="preserve"> different methods for determining a person's income tax.  However, Maryland and Indiana both have systems where a person pays a different income tax rate based on the county in which he/she lives.  Box plots summarizing the </w:t>
      </w:r>
      <m:oMath>
        <m:r>
          <w:rPr>
            <w:rFonts w:ascii="Cambria Math" w:hAnsi="Cambria Math"/>
          </w:rPr>
          <m:t>24</m:t>
        </m:r>
      </m:oMath>
      <w:r w:rsidRPr="00D06951">
        <w:t xml:space="preserve"> different county tax rates for Maryland's </w:t>
      </w:r>
      <m:oMath>
        <m:r>
          <w:rPr>
            <w:rFonts w:ascii="Cambria Math" w:hAnsi="Cambria Math"/>
          </w:rPr>
          <m:t>23</m:t>
        </m:r>
      </m:oMath>
      <w:r w:rsidRPr="00D06951">
        <w:t xml:space="preserve"> counties and Baltimore City (taxed like a county in this case) and the resident tax rates for </w:t>
      </w:r>
      <m:oMath>
        <m:r>
          <w:rPr>
            <w:rFonts w:ascii="Cambria Math" w:hAnsi="Cambria Math"/>
          </w:rPr>
          <m:t>91</m:t>
        </m:r>
      </m:oMath>
      <w:r w:rsidRPr="00D06951">
        <w:t xml:space="preserve"> counties in Indiana in 2012 are shown below. </w:t>
      </w:r>
    </w:p>
    <w:p w14:paraId="4A93B624" w14:textId="58F86F08" w:rsidR="00D06951" w:rsidRPr="002B6A3E" w:rsidRDefault="00D06951" w:rsidP="00D06951">
      <w:pPr>
        <w:pStyle w:val="ny-lesson-numbering"/>
        <w:numPr>
          <w:ilvl w:val="0"/>
          <w:numId w:val="0"/>
        </w:numPr>
        <w:ind w:left="360"/>
      </w:pPr>
      <w:r w:rsidRPr="009F67E1">
        <w:rPr>
          <w:noProof/>
        </w:rPr>
        <w:drawing>
          <wp:anchor distT="0" distB="0" distL="114300" distR="114300" simplePos="0" relativeHeight="251673600" behindDoc="1" locked="0" layoutInCell="1" allowOverlap="1" wp14:anchorId="6308DE1C" wp14:editId="3EEB2B15">
            <wp:simplePos x="0" y="0"/>
            <wp:positionH relativeFrom="margin">
              <wp:align>center</wp:align>
            </wp:positionH>
            <wp:positionV relativeFrom="paragraph">
              <wp:posOffset>760730</wp:posOffset>
            </wp:positionV>
            <wp:extent cx="4279900" cy="285305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279766" cy="285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6A3E">
        <w:t xml:space="preserve">(From </w:t>
      </w:r>
      <w:hyperlink r:id="rId22" w:history="1">
        <w:r w:rsidR="00525974" w:rsidRPr="001A5F14">
          <w:rPr>
            <w:rStyle w:val="Hyperlink"/>
            <w:rFonts w:cs="Calibri"/>
            <w:szCs w:val="16"/>
          </w:rPr>
          <w:t>http://taxes.marylandtaxes.com/Individual_Taxes/Individual_Tax_Types/Income_Tax/Tax_Information/ Tax_Rates/Local_and_County_Tax_Rates.shtml</w:t>
        </w:r>
      </w:hyperlink>
      <w:r w:rsidRPr="002B6A3E">
        <w:t xml:space="preserve"> accessed May 5, 2013 and </w:t>
      </w:r>
      <w:hyperlink r:id="rId23" w:history="1">
        <w:r w:rsidR="00525974" w:rsidRPr="001A5F14">
          <w:rPr>
            <w:rStyle w:val="Hyperlink"/>
            <w:rFonts w:cs="Calibri"/>
            <w:szCs w:val="16"/>
          </w:rPr>
          <w:t>www.in.gov/dor/files/12-</w:t>
        </w:r>
        <w:r w:rsidR="00525974" w:rsidRPr="001A5F14">
          <w:rPr>
            <w:rStyle w:val="Hyperlink"/>
            <w:rFonts w:cs="Calibri"/>
            <w:bCs/>
            <w:szCs w:val="16"/>
          </w:rPr>
          <w:t>county</w:t>
        </w:r>
        <w:r w:rsidR="00525974" w:rsidRPr="001A5F14">
          <w:rPr>
            <w:rStyle w:val="Hyperlink"/>
            <w:rFonts w:cs="Calibri"/>
            <w:szCs w:val="16"/>
          </w:rPr>
          <w:t>-</w:t>
        </w:r>
        <w:r w:rsidR="00525974" w:rsidRPr="001A5F14">
          <w:rPr>
            <w:rStyle w:val="Hyperlink"/>
            <w:rFonts w:cs="Calibri"/>
            <w:bCs/>
            <w:szCs w:val="16"/>
          </w:rPr>
          <w:t>rates</w:t>
        </w:r>
        <w:r w:rsidR="00525974" w:rsidRPr="001A5F14">
          <w:rPr>
            <w:rStyle w:val="Hyperlink"/>
            <w:rFonts w:cs="Calibri"/>
            <w:szCs w:val="16"/>
          </w:rPr>
          <w:t>.pdf</w:t>
        </w:r>
      </w:hyperlink>
      <w:r w:rsidR="00525974">
        <w:t xml:space="preserve"> a</w:t>
      </w:r>
      <w:r w:rsidRPr="002B6A3E">
        <w:t>ccessed May 16, 2013)</w:t>
      </w:r>
    </w:p>
    <w:p w14:paraId="5EE0958D" w14:textId="77777777" w:rsidR="005754FE" w:rsidRDefault="005754FE" w:rsidP="005754FE">
      <w:pPr>
        <w:pStyle w:val="ny-lesson-numbering"/>
        <w:numPr>
          <w:ilvl w:val="0"/>
          <w:numId w:val="0"/>
        </w:numPr>
        <w:spacing w:before="120" w:after="120"/>
        <w:ind w:left="806"/>
      </w:pPr>
    </w:p>
    <w:p w14:paraId="1FBF5AD2" w14:textId="77777777" w:rsidR="00D06951" w:rsidRPr="00D06951" w:rsidRDefault="00D06951" w:rsidP="00643D43">
      <w:pPr>
        <w:pStyle w:val="ny-lesson-numbering"/>
        <w:numPr>
          <w:ilvl w:val="1"/>
          <w:numId w:val="5"/>
        </w:numPr>
        <w:spacing w:before="120" w:after="120"/>
      </w:pPr>
      <w:r w:rsidRPr="00D06951">
        <w:t>True or False:  At least one Indiana county income tax rate is higher than the median county income tax rate in Maryland.  Explain how you know.</w:t>
      </w:r>
    </w:p>
    <w:p w14:paraId="32D9DE83" w14:textId="4E4F9C18" w:rsidR="00D06951" w:rsidRPr="00D06951" w:rsidRDefault="00D06951" w:rsidP="00643D43">
      <w:pPr>
        <w:pStyle w:val="ny-lesson-numbering"/>
        <w:numPr>
          <w:ilvl w:val="1"/>
          <w:numId w:val="5"/>
        </w:numPr>
        <w:spacing w:before="120" w:after="120"/>
      </w:pPr>
      <w:r w:rsidRPr="00D06951">
        <w:t xml:space="preserve">True or False:  The </w:t>
      </w:r>
      <m:oMath>
        <m:r>
          <w:rPr>
            <w:rFonts w:ascii="Cambria Math" w:hAnsi="Cambria Math"/>
          </w:rPr>
          <m:t>24</m:t>
        </m:r>
      </m:oMath>
      <w:r w:rsidRPr="00D06951">
        <w:t xml:space="preserve"> Maryland county income tax rates have less variability than the </w:t>
      </w:r>
      <m:oMath>
        <m:r>
          <w:rPr>
            <w:rFonts w:ascii="Cambria Math" w:hAnsi="Cambria Math"/>
          </w:rPr>
          <m:t>91</m:t>
        </m:r>
      </m:oMath>
      <w:r w:rsidRPr="00D06951">
        <w:t xml:space="preserve"> Indiana county income tax rates.  Explain how you know.</w:t>
      </w:r>
    </w:p>
    <w:p w14:paraId="54D406DE" w14:textId="77777777" w:rsidR="00D06951" w:rsidRPr="002B6A3E" w:rsidRDefault="00D06951" w:rsidP="00643D43">
      <w:pPr>
        <w:pStyle w:val="ny-lesson-numbering"/>
        <w:numPr>
          <w:ilvl w:val="1"/>
          <w:numId w:val="5"/>
        </w:numPr>
        <w:spacing w:before="120" w:after="120"/>
      </w:pPr>
      <w:r w:rsidRPr="00D06951">
        <w:t xml:space="preserve">Which state appears to have typically lower county income tax rates?  Explain. </w:t>
      </w:r>
    </w:p>
    <w:p w14:paraId="0F2A5297" w14:textId="75F525AD" w:rsidR="00132035" w:rsidRDefault="00132035" w:rsidP="00D06951">
      <w:pPr>
        <w:pStyle w:val="ny-lesson-numbering"/>
        <w:numPr>
          <w:ilvl w:val="0"/>
          <w:numId w:val="0"/>
        </w:numPr>
        <w:tabs>
          <w:tab w:val="clear" w:pos="403"/>
        </w:tabs>
        <w:spacing w:line="260" w:lineRule="exact"/>
        <w:ind w:left="720"/>
      </w:pPr>
    </w:p>
    <w:p w14:paraId="767137CF" w14:textId="02526CD3" w:rsidR="00D06951" w:rsidRPr="00D06951" w:rsidRDefault="00132035" w:rsidP="00D06951">
      <w:pPr>
        <w:pStyle w:val="ny-lesson-numbering"/>
      </w:pPr>
      <w:r>
        <w:br w:type="page"/>
      </w:r>
      <w:r w:rsidR="00D06951" w:rsidRPr="0047458D">
        <w:lastRenderedPageBreak/>
        <w:t xml:space="preserve">Many </w:t>
      </w:r>
      <w:r w:rsidR="00D06951" w:rsidRPr="00D06951">
        <w:t xml:space="preserve">movie studios rely heavily on customer data in test markets to determine how a film will be marketed and distributed.  Recently, previews of a soon to be released film were shown to </w:t>
      </w:r>
      <m:oMath>
        <m:r>
          <w:rPr>
            <w:rFonts w:ascii="Cambria Math" w:hAnsi="Cambria Math"/>
          </w:rPr>
          <m:t>300</m:t>
        </m:r>
      </m:oMath>
      <w:r w:rsidR="00D06951" w:rsidRPr="00D06951">
        <w:t xml:space="preserve"> people.  Each person was asked to rate the movie on a scale of </w:t>
      </w:r>
      <m:oMath>
        <m:r>
          <w:rPr>
            <w:rFonts w:ascii="Cambria Math" w:hAnsi="Cambria Math"/>
          </w:rPr>
          <m:t>0</m:t>
        </m:r>
      </m:oMath>
      <w:r w:rsidR="00D06951" w:rsidRPr="00D06951">
        <w:t xml:space="preserve"> to </w:t>
      </w:r>
      <m:oMath>
        <m:r>
          <w:rPr>
            <w:rFonts w:ascii="Cambria Math" w:hAnsi="Cambria Math"/>
          </w:rPr>
          <m:t>10</m:t>
        </m:r>
      </m:oMath>
      <w:r w:rsidR="00D06951" w:rsidRPr="00D06951">
        <w:t xml:space="preserve">, with </w:t>
      </w:r>
      <m:oMath>
        <m:r>
          <w:rPr>
            <w:rFonts w:ascii="Cambria Math" w:hAnsi="Cambria Math"/>
          </w:rPr>
          <m:t>10</m:t>
        </m:r>
      </m:oMath>
      <w:r w:rsidR="00D06951" w:rsidRPr="00D06951">
        <w:t xml:space="preserve"> representing "best movie I've ever seen" and 0 representing "worst movie I've ever seen."</w:t>
      </w:r>
    </w:p>
    <w:p w14:paraId="707706B1" w14:textId="77777777" w:rsidR="00D06951" w:rsidRPr="00D06951" w:rsidRDefault="00D06951" w:rsidP="00D06951">
      <w:pPr>
        <w:pStyle w:val="ny-lesson-numbering"/>
        <w:numPr>
          <w:ilvl w:val="0"/>
          <w:numId w:val="0"/>
        </w:numPr>
        <w:ind w:left="360"/>
      </w:pPr>
      <w:r w:rsidRPr="00D06951">
        <w:t>Below are some side-by-side box plots that summarize the ratings based on certain demographic characteristics.</w:t>
      </w:r>
    </w:p>
    <w:p w14:paraId="2148B64E" w14:textId="02320D20" w:rsidR="00D06951" w:rsidRPr="00D06951" w:rsidRDefault="00D06951" w:rsidP="00D06951">
      <w:pPr>
        <w:pStyle w:val="ny-lesson-numbering"/>
        <w:numPr>
          <w:ilvl w:val="0"/>
          <w:numId w:val="0"/>
        </w:numPr>
        <w:ind w:left="360"/>
      </w:pPr>
      <w:r w:rsidRPr="00D06951">
        <w:t xml:space="preserve">For </w:t>
      </w:r>
      <m:oMath>
        <m:r>
          <w:rPr>
            <w:rFonts w:ascii="Cambria Math" w:hAnsi="Cambria Math"/>
          </w:rPr>
          <m:t>150</m:t>
        </m:r>
      </m:oMath>
      <w:r w:rsidRPr="00D06951">
        <w:t xml:space="preserve"> women and </w:t>
      </w:r>
      <m:oMath>
        <m:r>
          <w:rPr>
            <w:rFonts w:ascii="Cambria Math" w:hAnsi="Cambria Math"/>
          </w:rPr>
          <m:t>150</m:t>
        </m:r>
      </m:oMath>
      <w:r w:rsidRPr="00D06951">
        <w:t xml:space="preserve"> men:</w:t>
      </w:r>
    </w:p>
    <w:p w14:paraId="7D868781" w14:textId="77777777" w:rsidR="00D06951" w:rsidRDefault="00D06951" w:rsidP="00D06951">
      <w:pPr>
        <w:pStyle w:val="ny-lesson-SFinsert"/>
        <w:ind w:left="1224"/>
      </w:pPr>
      <w:r w:rsidRPr="009F67E1">
        <w:rPr>
          <w:noProof/>
          <w:szCs w:val="16"/>
        </w:rPr>
        <w:drawing>
          <wp:anchor distT="0" distB="0" distL="114300" distR="114300" simplePos="0" relativeHeight="251675648" behindDoc="1" locked="0" layoutInCell="1" allowOverlap="1" wp14:anchorId="3888F6D9" wp14:editId="6D48B9F1">
            <wp:simplePos x="0" y="0"/>
            <wp:positionH relativeFrom="margin">
              <wp:align>center</wp:align>
            </wp:positionH>
            <wp:positionV relativeFrom="paragraph">
              <wp:posOffset>24765</wp:posOffset>
            </wp:positionV>
            <wp:extent cx="3798570" cy="2268855"/>
            <wp:effectExtent l="0" t="0" r="0" b="0"/>
            <wp:wrapTight wrapText="bothSides">
              <wp:wrapPolygon edited="0">
                <wp:start x="2600" y="1088"/>
                <wp:lineTo x="2600" y="4353"/>
                <wp:lineTo x="650" y="5441"/>
                <wp:lineTo x="650" y="5804"/>
                <wp:lineTo x="2600" y="7254"/>
                <wp:lineTo x="2600" y="13058"/>
                <wp:lineTo x="1517" y="13965"/>
                <wp:lineTo x="1517" y="14327"/>
                <wp:lineTo x="2600" y="15960"/>
                <wp:lineTo x="2600" y="18680"/>
                <wp:lineTo x="3358" y="18861"/>
                <wp:lineTo x="3358" y="19950"/>
                <wp:lineTo x="11916" y="20856"/>
                <wp:lineTo x="12566" y="20856"/>
                <wp:lineTo x="19932" y="19587"/>
                <wp:lineTo x="19823" y="18861"/>
                <wp:lineTo x="20907" y="18499"/>
                <wp:lineTo x="20690" y="1088"/>
                <wp:lineTo x="2600" y="1088"/>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3793236" cy="2266247"/>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2D095068" w14:textId="77777777" w:rsidR="00D06951" w:rsidRDefault="00D06951" w:rsidP="00D06951">
      <w:pPr>
        <w:pStyle w:val="ny-lesson-SFinsert"/>
        <w:ind w:left="1224"/>
      </w:pPr>
    </w:p>
    <w:p w14:paraId="595E78E0" w14:textId="77777777" w:rsidR="00D06951" w:rsidRDefault="00D06951" w:rsidP="00D06951">
      <w:pPr>
        <w:pStyle w:val="ny-lesson-SFinsert"/>
        <w:ind w:left="1224"/>
      </w:pPr>
    </w:p>
    <w:p w14:paraId="18501413" w14:textId="77777777" w:rsidR="00D06951" w:rsidRDefault="00D06951" w:rsidP="00D06951">
      <w:pPr>
        <w:pStyle w:val="ny-lesson-SFinsert"/>
        <w:ind w:left="1224"/>
      </w:pPr>
    </w:p>
    <w:p w14:paraId="531EE98E" w14:textId="77777777" w:rsidR="00D06951" w:rsidRDefault="00D06951" w:rsidP="00D06951">
      <w:pPr>
        <w:pStyle w:val="ny-lesson-SFinsert"/>
        <w:ind w:left="1224"/>
      </w:pPr>
    </w:p>
    <w:p w14:paraId="63F2BF74" w14:textId="77777777" w:rsidR="00D06951" w:rsidRDefault="00D06951" w:rsidP="00D06951">
      <w:pPr>
        <w:pStyle w:val="ny-lesson-SFinsert"/>
        <w:ind w:left="1224"/>
      </w:pPr>
    </w:p>
    <w:p w14:paraId="72A7C14B" w14:textId="77777777" w:rsidR="00D06951" w:rsidRDefault="00D06951" w:rsidP="00D06951">
      <w:pPr>
        <w:pStyle w:val="ny-lesson-SFinsert"/>
        <w:ind w:left="1224"/>
      </w:pPr>
    </w:p>
    <w:p w14:paraId="28AF59A0" w14:textId="77777777" w:rsidR="00D06951" w:rsidRDefault="00D06951" w:rsidP="00D06951">
      <w:pPr>
        <w:pStyle w:val="ny-lesson-SFinsert"/>
        <w:ind w:left="1224"/>
      </w:pPr>
    </w:p>
    <w:p w14:paraId="6A0E20DF" w14:textId="77777777" w:rsidR="00D06951" w:rsidRDefault="00D06951" w:rsidP="00D06951">
      <w:pPr>
        <w:pStyle w:val="ny-lesson-SFinsert"/>
        <w:ind w:left="1224"/>
      </w:pPr>
    </w:p>
    <w:p w14:paraId="1A124591" w14:textId="77777777" w:rsidR="00D06951" w:rsidRDefault="00D06951" w:rsidP="00D06951">
      <w:pPr>
        <w:pStyle w:val="ny-lesson-SFinsert"/>
        <w:ind w:left="1224"/>
      </w:pPr>
    </w:p>
    <w:p w14:paraId="4A039E9F" w14:textId="77777777" w:rsidR="00D06951" w:rsidRDefault="00D06951" w:rsidP="00D06951">
      <w:pPr>
        <w:pStyle w:val="ny-lesson-SFinsert"/>
        <w:ind w:left="1224"/>
      </w:pPr>
    </w:p>
    <w:p w14:paraId="3B0FEB5F" w14:textId="0346BD84" w:rsidR="00D06951" w:rsidRPr="00D06951" w:rsidRDefault="00D06951" w:rsidP="00D06951">
      <w:pPr>
        <w:pStyle w:val="ny-lesson-numbering"/>
        <w:numPr>
          <w:ilvl w:val="0"/>
          <w:numId w:val="0"/>
        </w:numPr>
        <w:ind w:left="360"/>
      </w:pPr>
      <w:r w:rsidRPr="009F67E1">
        <w:rPr>
          <w:noProof/>
          <w:szCs w:val="16"/>
        </w:rPr>
        <w:drawing>
          <wp:anchor distT="0" distB="0" distL="114300" distR="114300" simplePos="0" relativeHeight="251676672" behindDoc="1" locked="0" layoutInCell="1" allowOverlap="1" wp14:anchorId="404734F8" wp14:editId="5879B4C9">
            <wp:simplePos x="0" y="0"/>
            <wp:positionH relativeFrom="margin">
              <wp:align>center</wp:align>
            </wp:positionH>
            <wp:positionV relativeFrom="paragraph">
              <wp:posOffset>220980</wp:posOffset>
            </wp:positionV>
            <wp:extent cx="3778250" cy="2426335"/>
            <wp:effectExtent l="0" t="0" r="0" b="0"/>
            <wp:wrapTight wrapText="bothSides">
              <wp:wrapPolygon edited="0">
                <wp:start x="0" y="0"/>
                <wp:lineTo x="0" y="21368"/>
                <wp:lineTo x="21455" y="21368"/>
                <wp:lineTo x="2145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8794" cy="2426821"/>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Pr="00D06951">
        <w:t xml:space="preserve">For </w:t>
      </w:r>
      <m:oMath>
        <m:r>
          <w:rPr>
            <w:rFonts w:ascii="Cambria Math" w:hAnsi="Cambria Math"/>
          </w:rPr>
          <m:t>3</m:t>
        </m:r>
      </m:oMath>
      <w:r w:rsidRPr="00D06951">
        <w:t xml:space="preserve"> distinct age groups:</w:t>
      </w:r>
    </w:p>
    <w:p w14:paraId="6279A6BE" w14:textId="77777777" w:rsidR="00D06951" w:rsidRDefault="00D06951" w:rsidP="00D06951">
      <w:pPr>
        <w:pStyle w:val="ny-lesson-numbering"/>
        <w:numPr>
          <w:ilvl w:val="0"/>
          <w:numId w:val="0"/>
        </w:numPr>
        <w:ind w:left="360"/>
      </w:pPr>
    </w:p>
    <w:p w14:paraId="6FFE9FBC" w14:textId="77777777" w:rsidR="00D06951" w:rsidRDefault="00D06951" w:rsidP="00D06951">
      <w:pPr>
        <w:pStyle w:val="ny-lesson-numbering"/>
        <w:numPr>
          <w:ilvl w:val="0"/>
          <w:numId w:val="0"/>
        </w:numPr>
        <w:ind w:left="360"/>
      </w:pPr>
    </w:p>
    <w:p w14:paraId="1642F1E6" w14:textId="77777777" w:rsidR="00D06951" w:rsidRDefault="00D06951" w:rsidP="00D06951">
      <w:pPr>
        <w:pStyle w:val="ny-lesson-numbering"/>
        <w:numPr>
          <w:ilvl w:val="0"/>
          <w:numId w:val="0"/>
        </w:numPr>
        <w:ind w:left="360"/>
      </w:pPr>
    </w:p>
    <w:p w14:paraId="2146CF1C" w14:textId="77777777" w:rsidR="00D06951" w:rsidRDefault="00D06951" w:rsidP="00D06951">
      <w:pPr>
        <w:pStyle w:val="ny-lesson-numbering"/>
        <w:numPr>
          <w:ilvl w:val="0"/>
          <w:numId w:val="0"/>
        </w:numPr>
        <w:ind w:left="360"/>
      </w:pPr>
    </w:p>
    <w:p w14:paraId="348434BF" w14:textId="77777777" w:rsidR="00D06951" w:rsidRDefault="00D06951" w:rsidP="00D06951">
      <w:pPr>
        <w:pStyle w:val="ny-lesson-numbering"/>
        <w:numPr>
          <w:ilvl w:val="0"/>
          <w:numId w:val="0"/>
        </w:numPr>
        <w:ind w:left="360"/>
      </w:pPr>
    </w:p>
    <w:p w14:paraId="4EE8597B" w14:textId="77777777" w:rsidR="00D06951" w:rsidRDefault="00D06951" w:rsidP="00D06951">
      <w:pPr>
        <w:pStyle w:val="ny-lesson-numbering"/>
        <w:numPr>
          <w:ilvl w:val="0"/>
          <w:numId w:val="0"/>
        </w:numPr>
        <w:ind w:left="360"/>
      </w:pPr>
    </w:p>
    <w:p w14:paraId="42BD9235" w14:textId="77777777" w:rsidR="00D06951" w:rsidRDefault="00D06951" w:rsidP="00D06951">
      <w:pPr>
        <w:pStyle w:val="ny-lesson-numbering"/>
        <w:numPr>
          <w:ilvl w:val="0"/>
          <w:numId w:val="0"/>
        </w:numPr>
        <w:ind w:left="360"/>
      </w:pPr>
    </w:p>
    <w:p w14:paraId="7D9EE2E0" w14:textId="77777777" w:rsidR="00D06951" w:rsidRDefault="00D06951" w:rsidP="00D06951">
      <w:pPr>
        <w:pStyle w:val="ny-lesson-numbering"/>
        <w:numPr>
          <w:ilvl w:val="0"/>
          <w:numId w:val="0"/>
        </w:numPr>
        <w:ind w:left="360"/>
      </w:pPr>
    </w:p>
    <w:p w14:paraId="5372B398" w14:textId="77777777" w:rsidR="00D06951" w:rsidRDefault="00D06951" w:rsidP="00D06951">
      <w:pPr>
        <w:pStyle w:val="ny-lesson-numbering"/>
        <w:numPr>
          <w:ilvl w:val="0"/>
          <w:numId w:val="0"/>
        </w:numPr>
        <w:ind w:left="360"/>
      </w:pPr>
    </w:p>
    <w:p w14:paraId="7260B099" w14:textId="77777777" w:rsidR="00D06951" w:rsidRDefault="00D06951" w:rsidP="00D06951">
      <w:pPr>
        <w:pStyle w:val="ny-lesson-numbering"/>
        <w:numPr>
          <w:ilvl w:val="0"/>
          <w:numId w:val="0"/>
        </w:numPr>
        <w:ind w:left="360"/>
      </w:pPr>
    </w:p>
    <w:p w14:paraId="0263CA62" w14:textId="77777777" w:rsidR="00D06951" w:rsidRDefault="00D06951" w:rsidP="00D06951">
      <w:pPr>
        <w:pStyle w:val="ny-lesson-numbering"/>
        <w:numPr>
          <w:ilvl w:val="0"/>
          <w:numId w:val="0"/>
        </w:numPr>
        <w:ind w:left="360"/>
      </w:pPr>
    </w:p>
    <w:p w14:paraId="4957BB30" w14:textId="77777777" w:rsidR="00D06951" w:rsidRDefault="00D06951" w:rsidP="00D06951">
      <w:pPr>
        <w:pStyle w:val="ny-lesson-numbering"/>
        <w:numPr>
          <w:ilvl w:val="0"/>
          <w:numId w:val="0"/>
        </w:numPr>
        <w:ind w:left="360"/>
      </w:pPr>
    </w:p>
    <w:p w14:paraId="45B4F303" w14:textId="77777777" w:rsidR="00D06951" w:rsidRDefault="00D06951" w:rsidP="00D06951">
      <w:pPr>
        <w:pStyle w:val="ny-lesson-numbering"/>
        <w:numPr>
          <w:ilvl w:val="0"/>
          <w:numId w:val="0"/>
        </w:numPr>
        <w:ind w:left="360"/>
      </w:pPr>
    </w:p>
    <w:p w14:paraId="6BD82A86" w14:textId="38D5F5E2" w:rsidR="00D06951" w:rsidRPr="009F67E1" w:rsidRDefault="00D06951" w:rsidP="00643D43">
      <w:pPr>
        <w:pStyle w:val="ny-lesson-numbering"/>
        <w:numPr>
          <w:ilvl w:val="1"/>
          <w:numId w:val="5"/>
        </w:numPr>
        <w:spacing w:before="120" w:after="120"/>
      </w:pPr>
      <w:r w:rsidRPr="009F67E1">
        <w:t>Generally, does it appear that the men and women rated the film in a similar manner or in a very different manner?  Write a few sentences explaining your answer using comparative information about center and spread from the graph.</w:t>
      </w:r>
    </w:p>
    <w:p w14:paraId="764B0BD9" w14:textId="6E9ADD89" w:rsidR="00D06951" w:rsidRPr="00EC765A" w:rsidRDefault="00D06951" w:rsidP="00643D43">
      <w:pPr>
        <w:pStyle w:val="ny-lesson-numbering"/>
        <w:numPr>
          <w:ilvl w:val="1"/>
          <w:numId w:val="5"/>
        </w:numPr>
        <w:spacing w:before="120" w:after="120"/>
      </w:pPr>
      <w:r w:rsidRPr="00EC765A">
        <w:t>Generally, it appears that the film typically received better ratings from the older members of the group.  Write a few sentences using comparative measures of center and spread or graphical attributes to justify this claim.</w:t>
      </w:r>
    </w:p>
    <w:p w14:paraId="4B710DDE" w14:textId="1EBC2D27" w:rsidR="007A0FF8" w:rsidRPr="00132035" w:rsidRDefault="007A0FF8" w:rsidP="00D06951">
      <w:pPr>
        <w:pStyle w:val="ny-lesson-example"/>
        <w:ind w:left="360"/>
      </w:pPr>
    </w:p>
    <w:sectPr w:rsidR="007A0FF8" w:rsidRPr="00132035" w:rsidSect="00D06951">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1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19C64" w14:textId="77777777" w:rsidR="00FF2138" w:rsidRDefault="00FF2138">
      <w:pPr>
        <w:spacing w:after="0" w:line="240" w:lineRule="auto"/>
      </w:pPr>
      <w:r>
        <w:separator/>
      </w:r>
    </w:p>
  </w:endnote>
  <w:endnote w:type="continuationSeparator" w:id="0">
    <w:p w14:paraId="573DCE1B" w14:textId="77777777" w:rsidR="00FF2138" w:rsidRDefault="00FF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44AF1">
                            <w:rPr>
                              <w:rFonts w:ascii="Calibri" w:eastAsia="Myriad Pro Black" w:hAnsi="Calibri" w:cs="Myriad Pro Black"/>
                              <w:b/>
                              <w:bCs/>
                              <w:noProof/>
                              <w:color w:val="B67764"/>
                              <w:position w:val="1"/>
                            </w:rPr>
                            <w:t>128</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44AF1">
                            <w:rPr>
                              <w:rFonts w:ascii="Calibri" w:eastAsia="Myriad Pro Black" w:hAnsi="Calibri" w:cs="Myriad Pro Black"/>
                              <w:b/>
                              <w:bCs/>
                              <w:noProof/>
                              <w:color w:val="B67764"/>
                              <w:position w:val="1"/>
                            </w:rPr>
                            <w:t>128</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44AF1">
                      <w:rPr>
                        <w:rFonts w:ascii="Calibri" w:eastAsia="Myriad Pro Black" w:hAnsi="Calibri" w:cs="Myriad Pro Black"/>
                        <w:b/>
                        <w:bCs/>
                        <w:noProof/>
                        <w:color w:val="B67764"/>
                        <w:position w:val="1"/>
                      </w:rPr>
                      <w:t>128</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44AF1">
                      <w:rPr>
                        <w:rFonts w:ascii="Calibri" w:eastAsia="Myriad Pro Black" w:hAnsi="Calibri" w:cs="Myriad Pro Black"/>
                        <w:b/>
                        <w:bCs/>
                        <w:noProof/>
                        <w:color w:val="B67764"/>
                        <w:position w:val="1"/>
                      </w:rPr>
                      <w:t>128</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061D1A3A"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D06951">
                            <w:rPr>
                              <w:rFonts w:eastAsia="Myriad Pro" w:cstheme="minorHAnsi"/>
                              <w:b/>
                              <w:bCs/>
                              <w:color w:val="41343A"/>
                              <w:spacing w:val="-4"/>
                              <w:sz w:val="16"/>
                              <w:szCs w:val="16"/>
                            </w:rPr>
                            <w:t>9</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D06951">
                            <w:rPr>
                              <w:rFonts w:eastAsia="Myriad Pro" w:cstheme="minorHAnsi"/>
                              <w:bCs/>
                              <w:color w:val="41343A"/>
                              <w:sz w:val="16"/>
                              <w:szCs w:val="16"/>
                            </w:rPr>
                            <w:t>Comparing Data Distributions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4AF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4AF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061D1A3A"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D06951">
                      <w:rPr>
                        <w:rFonts w:eastAsia="Myriad Pro" w:cstheme="minorHAnsi"/>
                        <w:b/>
                        <w:bCs/>
                        <w:color w:val="41343A"/>
                        <w:spacing w:val="-4"/>
                        <w:sz w:val="16"/>
                        <w:szCs w:val="16"/>
                      </w:rPr>
                      <w:t>9</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D06951">
                      <w:rPr>
                        <w:rFonts w:eastAsia="Myriad Pro" w:cstheme="minorHAnsi"/>
                        <w:bCs/>
                        <w:color w:val="41343A"/>
                        <w:sz w:val="16"/>
                        <w:szCs w:val="16"/>
                      </w:rPr>
                      <w:t>Comparing Data Distributions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4AF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4AF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4AF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4AF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FBB1A" w14:textId="77777777" w:rsidR="00FF2138" w:rsidRDefault="00FF2138">
      <w:pPr>
        <w:spacing w:after="0" w:line="240" w:lineRule="auto"/>
      </w:pPr>
      <w:r>
        <w:separator/>
      </w:r>
    </w:p>
  </w:footnote>
  <w:footnote w:type="continuationSeparator" w:id="0">
    <w:p w14:paraId="070AD5F1" w14:textId="77777777" w:rsidR="00FF2138" w:rsidRDefault="00FF2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C5EE0A3" w:rsidR="00DB1F56" w:rsidRPr="00701388" w:rsidRDefault="00DB1F56" w:rsidP="00DB1F56">
                          <w:pPr>
                            <w:pStyle w:val="ny-module-overview"/>
                            <w:rPr>
                              <w:color w:val="5A657A"/>
                            </w:rPr>
                          </w:pPr>
                          <w:r>
                            <w:rPr>
                              <w:color w:val="5A657A"/>
                            </w:rPr>
                            <w:t xml:space="preserve">Lesson </w:t>
                          </w:r>
                          <w:r w:rsidR="00906758">
                            <w:rPr>
                              <w:color w:val="5A657A"/>
                            </w:rPr>
                            <w:t>1</w:t>
                          </w:r>
                          <w:r w:rsidR="00D06951">
                            <w:rPr>
                              <w:color w:val="5A657A"/>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C5EE0A3" w:rsidR="00DB1F56" w:rsidRPr="00701388" w:rsidRDefault="00DB1F56" w:rsidP="00DB1F56">
                    <w:pPr>
                      <w:pStyle w:val="ny-module-overview"/>
                      <w:rPr>
                        <w:color w:val="5A657A"/>
                      </w:rPr>
                    </w:pPr>
                    <w:r>
                      <w:rPr>
                        <w:color w:val="5A657A"/>
                      </w:rPr>
                      <w:t xml:space="preserve">Lesson </w:t>
                    </w:r>
                    <w:r w:rsidR="00906758">
                      <w:rPr>
                        <w:color w:val="5A657A"/>
                      </w:rPr>
                      <w:t>1</w:t>
                    </w:r>
                    <w:r w:rsidR="00D06951">
                      <w:rPr>
                        <w:color w:val="5A657A"/>
                      </w:rPr>
                      <w:t>9</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6757B"/>
    <w:rsid w:val="00074889"/>
    <w:rsid w:val="00075C6E"/>
    <w:rsid w:val="0008226E"/>
    <w:rsid w:val="000854B2"/>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2035"/>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180"/>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25974"/>
    <w:rsid w:val="00535FF9"/>
    <w:rsid w:val="005406AC"/>
    <w:rsid w:val="00553927"/>
    <w:rsid w:val="00556816"/>
    <w:rsid w:val="005570D6"/>
    <w:rsid w:val="005615D3"/>
    <w:rsid w:val="00567CC6"/>
    <w:rsid w:val="005728FF"/>
    <w:rsid w:val="005754FE"/>
    <w:rsid w:val="00576066"/>
    <w:rsid w:val="005760E8"/>
    <w:rsid w:val="0058694C"/>
    <w:rsid w:val="005A3B86"/>
    <w:rsid w:val="005A6484"/>
    <w:rsid w:val="005B27D6"/>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3D43"/>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2039F"/>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17522"/>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4AF1"/>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7CE0"/>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06951"/>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213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219622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wmf"/><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mlb.mlb.com/stats/sortable.jsp" TargetMode="External"/><Relationship Id="rId20" Type="http://schemas.openxmlformats.org/officeDocument/2006/relationships/hyperlink" Target="http://www.buffalostateathletics.com/roster.aspx?path=mswim&am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www.in.gov/dor/files/12-county-rates.pdfa"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texassports.com/sports/m-swim/mtt/tex-m-swim-mtt.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taxes.marylandtaxes.com/Individual_Taxes/Individual_Tax_Types/Income_Tax/Tax_Information/%20Tax_Rates/Local_and_County_Tax_Rates.shtm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2.jpeg"/><Relationship Id="rId5" Type="http://schemas.openxmlformats.org/officeDocument/2006/relationships/image" Target="media/image10.png"/><Relationship Id="rId10" Type="http://schemas.openxmlformats.org/officeDocument/2006/relationships/image" Target="media/image11.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429B68C-050D-4AC6-8A94-4F3F6861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1572</Words>
  <Characters>7425</Characters>
  <Application>Microsoft Office Word</Application>
  <DocSecurity>0</DocSecurity>
  <Lines>247</Lines>
  <Paragraphs>142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6</cp:revision>
  <cp:lastPrinted>2012-11-24T17:54:00Z</cp:lastPrinted>
  <dcterms:created xsi:type="dcterms:W3CDTF">2013-10-23T19:54:00Z</dcterms:created>
  <dcterms:modified xsi:type="dcterms:W3CDTF">2013-10-25T20:45:00Z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