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F2F6" w14:textId="1867EF18" w:rsidR="00C43ADD" w:rsidRPr="00D0546C" w:rsidRDefault="00C43ADD" w:rsidP="00C43ADD">
      <w:pPr>
        <w:pStyle w:val="ny-lesson-header"/>
      </w:pPr>
      <w:bookmarkStart w:id="0" w:name="_GoBack"/>
      <w:bookmarkEnd w:id="0"/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 w:rsidRPr="00134E37">
        <w:t xml:space="preserve">Interpreting Division of a </w:t>
      </w:r>
      <w:r>
        <w:t>Fraction</w:t>
      </w:r>
      <w:r w:rsidRPr="00134E37">
        <w:t xml:space="preserve"> by a </w:t>
      </w:r>
      <w:r>
        <w:t>Whole Number</w:t>
      </w:r>
      <w:r w:rsidRPr="00134E37">
        <w:t>—Visual Models</w:t>
      </w:r>
    </w:p>
    <w:p w14:paraId="63CA8495" w14:textId="77777777" w:rsidR="00C43ADD" w:rsidRDefault="00C43ADD" w:rsidP="00C43ADD">
      <w:pPr>
        <w:pStyle w:val="ny-callout-hdr"/>
      </w:pPr>
    </w:p>
    <w:p w14:paraId="6B4D3CD4" w14:textId="77777777" w:rsidR="00C43ADD" w:rsidRPr="00D36552" w:rsidRDefault="00C43ADD" w:rsidP="00C43ADD">
      <w:pPr>
        <w:pStyle w:val="ny-callout-hdr"/>
      </w:pPr>
      <w:r w:rsidRPr="00D36552">
        <w:t>Classwork</w:t>
      </w:r>
    </w:p>
    <w:p w14:paraId="0D237A71" w14:textId="77777777" w:rsidR="00C43ADD" w:rsidRPr="002E1385" w:rsidRDefault="00C43ADD" w:rsidP="00C43ADD">
      <w:pPr>
        <w:pStyle w:val="ny-lesson-hdr-1"/>
      </w:pPr>
      <w:r>
        <w:t>Opening Exercise</w:t>
      </w:r>
    </w:p>
    <w:p w14:paraId="251D0A68" w14:textId="77777777" w:rsidR="00C43ADD" w:rsidRDefault="00C43ADD" w:rsidP="00C43ADD">
      <w:pPr>
        <w:pStyle w:val="ny-lesson-paragraph"/>
      </w:pPr>
      <w:r>
        <w:t>Draw a model of the fraction.</w:t>
      </w:r>
    </w:p>
    <w:p w14:paraId="66250AF3" w14:textId="77777777" w:rsidR="00C43ADD" w:rsidRDefault="00C43ADD" w:rsidP="00C43ADD">
      <w:pPr>
        <w:pStyle w:val="ny-lesson-paragraph"/>
      </w:pPr>
    </w:p>
    <w:p w14:paraId="3621FDF2" w14:textId="77777777" w:rsidR="00C43ADD" w:rsidRDefault="00C43ADD" w:rsidP="00C43ADD">
      <w:pPr>
        <w:pStyle w:val="ny-lesson-paragraph"/>
      </w:pPr>
    </w:p>
    <w:p w14:paraId="5117F572" w14:textId="77777777" w:rsidR="00C43ADD" w:rsidRDefault="00C43ADD" w:rsidP="00C43ADD">
      <w:pPr>
        <w:pStyle w:val="ny-lesson-paragraph"/>
      </w:pPr>
    </w:p>
    <w:p w14:paraId="1F2FE9A9" w14:textId="77777777" w:rsidR="00C43ADD" w:rsidRDefault="00C43ADD" w:rsidP="00C43ADD">
      <w:pPr>
        <w:pStyle w:val="ny-lesson-paragraph"/>
      </w:pPr>
    </w:p>
    <w:p w14:paraId="0C23CAAB" w14:textId="77777777" w:rsidR="00C43ADD" w:rsidRDefault="00C43ADD" w:rsidP="00C43ADD">
      <w:pPr>
        <w:pStyle w:val="ny-lesson-paragraph"/>
      </w:pPr>
      <w:r>
        <w:t>Describe what the fraction means.</w:t>
      </w:r>
    </w:p>
    <w:p w14:paraId="5422C688" w14:textId="77777777" w:rsidR="00C43ADD" w:rsidRDefault="00C43ADD" w:rsidP="00C43ADD">
      <w:pPr>
        <w:pStyle w:val="ny-lesson-paragraph"/>
      </w:pPr>
    </w:p>
    <w:p w14:paraId="55272306" w14:textId="77777777" w:rsidR="00C43ADD" w:rsidRDefault="00C43ADD" w:rsidP="00C43ADD">
      <w:pPr>
        <w:pStyle w:val="ny-lesson-paragraph"/>
      </w:pPr>
    </w:p>
    <w:p w14:paraId="5977924B" w14:textId="77777777" w:rsidR="00C43ADD" w:rsidRDefault="00C43ADD" w:rsidP="00C43ADD">
      <w:pPr>
        <w:pStyle w:val="ny-lesson-paragraph"/>
      </w:pPr>
    </w:p>
    <w:p w14:paraId="5B341D6A" w14:textId="77777777" w:rsidR="00C43ADD" w:rsidRDefault="00C43ADD" w:rsidP="00C43ADD">
      <w:pPr>
        <w:pStyle w:val="ny-lesson-paragraph"/>
      </w:pPr>
    </w:p>
    <w:p w14:paraId="795940FF" w14:textId="77777777" w:rsidR="00C43ADD" w:rsidRDefault="00C43ADD" w:rsidP="00C43ADD">
      <w:pPr>
        <w:pStyle w:val="ny-lesson-paragraph"/>
      </w:pPr>
    </w:p>
    <w:p w14:paraId="701F8081" w14:textId="77777777" w:rsidR="00C43ADD" w:rsidRPr="004F48F5" w:rsidRDefault="00C43ADD" w:rsidP="00C43ADD">
      <w:pPr>
        <w:pStyle w:val="ny-lesson-hdr-1"/>
        <w:rPr>
          <w:rStyle w:val="ny-lesson-hdr-2"/>
          <w:b/>
        </w:rPr>
      </w:pPr>
      <w:r w:rsidRPr="004F48F5">
        <w:rPr>
          <w:rStyle w:val="ny-lesson-hdr-2"/>
          <w:b/>
        </w:rPr>
        <w:t>Example 1</w:t>
      </w:r>
    </w:p>
    <w:p w14:paraId="0391B719" w14:textId="11CB6D89" w:rsidR="00C43ADD" w:rsidRPr="004F48F5" w:rsidRDefault="00C43ADD" w:rsidP="00C43ADD">
      <w:pPr>
        <w:pStyle w:val="ny-lesson-paragraph"/>
      </w:pPr>
      <w:r w:rsidRPr="004F48F5">
        <w:t xml:space="preserve">Maria has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4F48F5">
        <w:t xml:space="preserve"> lb. of trail mix.  She needs to share it equally among </w:t>
      </w:r>
      <m:oMath>
        <m:r>
          <w:rPr>
            <w:rFonts w:ascii="Cambria Math" w:hAnsi="Cambria Math"/>
          </w:rPr>
          <m:t>6</m:t>
        </m:r>
      </m:oMath>
      <w:r w:rsidRPr="004F48F5">
        <w:t xml:space="preserve"> friends.  How much will each friend be given?  What is this question asking us to do?</w:t>
      </w:r>
    </w:p>
    <w:p w14:paraId="0829F2A8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4C4ECFD4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0687C5B8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21B8E52F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4D3CFE89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37FDAC08" w14:textId="77777777" w:rsidR="00C43ADD" w:rsidRDefault="00C43ADD" w:rsidP="00C43ADD">
      <w:pPr>
        <w:pStyle w:val="ny-lesson-paragraph"/>
      </w:pPr>
      <w:r>
        <w:t>How can this question be modeled?</w:t>
      </w:r>
    </w:p>
    <w:p w14:paraId="19BD75B7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1459B9E9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513DDD9C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4D6B8BD4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31E01BE8" w14:textId="77777777" w:rsidR="00C43ADD" w:rsidRPr="001269DE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7D9B6F97" w14:textId="77777777" w:rsidR="00C43ADD" w:rsidRPr="004F48F5" w:rsidRDefault="00C43ADD" w:rsidP="00C43ADD">
      <w:pPr>
        <w:pStyle w:val="ny-lesson-hdr-1"/>
        <w:rPr>
          <w:rStyle w:val="ny-lesson-hdr-2"/>
          <w:b/>
        </w:rPr>
      </w:pPr>
      <w:r w:rsidRPr="004F48F5">
        <w:rPr>
          <w:rStyle w:val="ny-lesson-hdr-2"/>
          <w:b/>
        </w:rPr>
        <w:lastRenderedPageBreak/>
        <w:t>Example 2</w:t>
      </w:r>
    </w:p>
    <w:p w14:paraId="4F14EBAA" w14:textId="1F2DD99F" w:rsidR="00C43ADD" w:rsidRDefault="00C43ADD" w:rsidP="00C43ADD">
      <w:pPr>
        <w:pStyle w:val="ny-lesson-paragraph"/>
      </w:pPr>
      <w:r>
        <w:t xml:space="preserve">Let’s look at a slightly different example.  </w:t>
      </w:r>
      <w:r w:rsidRPr="00D10098">
        <w:t xml:space="preserve">Imagine that you have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D10098">
        <w:t xml:space="preserve"> of a cup of frosting to share equally </w:t>
      </w:r>
      <w:r>
        <w:t>among</w:t>
      </w:r>
      <w:r w:rsidRPr="00D10098">
        <w:t xml:space="preserve"> three desserts.  How would we write this as a division question?</w:t>
      </w:r>
    </w:p>
    <w:p w14:paraId="70A1C3AE" w14:textId="77777777" w:rsidR="00C43ADD" w:rsidRDefault="00C43ADD" w:rsidP="00C43ADD">
      <w:pPr>
        <w:pStyle w:val="ny-lesson-paragraph"/>
      </w:pPr>
    </w:p>
    <w:p w14:paraId="08DCCBC5" w14:textId="77777777" w:rsidR="00C43ADD" w:rsidRDefault="00C43ADD" w:rsidP="00C43ADD">
      <w:pPr>
        <w:pStyle w:val="ny-lesson-paragraph"/>
      </w:pPr>
    </w:p>
    <w:p w14:paraId="19820B14" w14:textId="77777777" w:rsidR="00C43ADD" w:rsidRDefault="00C43ADD" w:rsidP="00C43ADD">
      <w:pPr>
        <w:pStyle w:val="ny-lesson-paragraph"/>
      </w:pPr>
      <w:r>
        <w:t>We can</w:t>
      </w:r>
      <w:r w:rsidRPr="00893F32">
        <w:t xml:space="preserve"> start by drawing a model of two-fifths.</w:t>
      </w:r>
    </w:p>
    <w:p w14:paraId="2CEFAED2" w14:textId="77777777" w:rsidR="00C43ADD" w:rsidRDefault="00C43ADD" w:rsidP="00C43ADD">
      <w:pPr>
        <w:pStyle w:val="ny-lesson-paragraph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170"/>
        <w:gridCol w:w="990"/>
      </w:tblGrid>
      <w:tr w:rsidR="00C43ADD" w14:paraId="0C810430" w14:textId="77777777" w:rsidTr="00217F6D">
        <w:tc>
          <w:tcPr>
            <w:tcW w:w="1080" w:type="dxa"/>
            <w:shd w:val="clear" w:color="auto" w:fill="auto"/>
          </w:tcPr>
          <w:p w14:paraId="02127CBE" w14:textId="77777777" w:rsidR="00C43ADD" w:rsidRDefault="00C43ADD" w:rsidP="00217F6D">
            <w:pPr>
              <w:pStyle w:val="ny-callout-hdr"/>
              <w:spacing w:after="60"/>
            </w:pPr>
          </w:p>
          <w:p w14:paraId="1A483F52" w14:textId="77777777" w:rsidR="00C43ADD" w:rsidRDefault="00C43ADD" w:rsidP="00217F6D">
            <w:pPr>
              <w:pStyle w:val="ny-callout-hdr"/>
              <w:spacing w:after="60"/>
            </w:pPr>
          </w:p>
          <w:p w14:paraId="60B1EC67" w14:textId="77777777" w:rsidR="00C43ADD" w:rsidRDefault="00C43ADD" w:rsidP="00217F6D">
            <w:pPr>
              <w:pStyle w:val="ny-callout-hdr"/>
              <w:spacing w:after="60"/>
            </w:pPr>
          </w:p>
          <w:p w14:paraId="24C7246E" w14:textId="77777777" w:rsidR="00C43ADD" w:rsidRDefault="00C43ADD" w:rsidP="00217F6D">
            <w:pPr>
              <w:pStyle w:val="ny-callout-hdr"/>
              <w:spacing w:after="60"/>
            </w:pPr>
          </w:p>
        </w:tc>
        <w:tc>
          <w:tcPr>
            <w:tcW w:w="1080" w:type="dxa"/>
            <w:shd w:val="clear" w:color="auto" w:fill="auto"/>
          </w:tcPr>
          <w:p w14:paraId="06CD50DA" w14:textId="77777777" w:rsidR="00C43ADD" w:rsidRDefault="00C43ADD" w:rsidP="00217F6D">
            <w:pPr>
              <w:pStyle w:val="ny-callout-hdr"/>
              <w:spacing w:after="60"/>
            </w:pPr>
          </w:p>
        </w:tc>
        <w:tc>
          <w:tcPr>
            <w:tcW w:w="1080" w:type="dxa"/>
            <w:shd w:val="clear" w:color="auto" w:fill="FFFFFF" w:themeFill="background1"/>
          </w:tcPr>
          <w:p w14:paraId="0DA37A37" w14:textId="77777777" w:rsidR="00C43ADD" w:rsidRDefault="00C43ADD" w:rsidP="00217F6D">
            <w:pPr>
              <w:pStyle w:val="ny-callout-hdr"/>
              <w:spacing w:after="60"/>
            </w:pPr>
          </w:p>
        </w:tc>
        <w:tc>
          <w:tcPr>
            <w:tcW w:w="1170" w:type="dxa"/>
          </w:tcPr>
          <w:p w14:paraId="53943A3D" w14:textId="77777777" w:rsidR="00C43ADD" w:rsidRDefault="00C43ADD" w:rsidP="00217F6D">
            <w:pPr>
              <w:pStyle w:val="ny-callout-hdr"/>
              <w:spacing w:after="60"/>
            </w:pPr>
          </w:p>
        </w:tc>
        <w:tc>
          <w:tcPr>
            <w:tcW w:w="990" w:type="dxa"/>
          </w:tcPr>
          <w:p w14:paraId="788B2114" w14:textId="77777777" w:rsidR="00C43ADD" w:rsidRDefault="00C43ADD" w:rsidP="00217F6D">
            <w:pPr>
              <w:pStyle w:val="ny-callout-hdr"/>
              <w:spacing w:after="60"/>
            </w:pPr>
          </w:p>
        </w:tc>
      </w:tr>
    </w:tbl>
    <w:p w14:paraId="4C8A6BF2" w14:textId="77777777" w:rsidR="00C43ADD" w:rsidRDefault="00C43ADD" w:rsidP="00C43ADD">
      <w:pPr>
        <w:pStyle w:val="ny-lesson-paragraph"/>
      </w:pPr>
    </w:p>
    <w:p w14:paraId="755BF9D4" w14:textId="77777777" w:rsidR="00C43ADD" w:rsidRDefault="00C43ADD" w:rsidP="00C43ADD">
      <w:pPr>
        <w:pStyle w:val="ny-lesson-paragraph"/>
      </w:pPr>
      <w:r>
        <w:t>How can we show that we are dividing two-fifths into three equal parts?</w:t>
      </w:r>
    </w:p>
    <w:p w14:paraId="648C2ED4" w14:textId="77777777" w:rsidR="00C43ADD" w:rsidRDefault="00C43ADD" w:rsidP="00C43ADD">
      <w:pPr>
        <w:pStyle w:val="ny-lesson-paragraph"/>
      </w:pPr>
    </w:p>
    <w:p w14:paraId="70ED5BBF" w14:textId="77777777" w:rsidR="00C43ADD" w:rsidRDefault="00C43ADD" w:rsidP="00C43ADD">
      <w:pPr>
        <w:pStyle w:val="ny-lesson-paragraph"/>
      </w:pPr>
    </w:p>
    <w:p w14:paraId="5CE59B55" w14:textId="77777777" w:rsidR="00C43ADD" w:rsidRDefault="00C43ADD" w:rsidP="00C43ADD">
      <w:pPr>
        <w:pStyle w:val="ny-lesson-paragraph"/>
      </w:pPr>
      <w:r>
        <w:t xml:space="preserve">What does this part represent? </w:t>
      </w:r>
    </w:p>
    <w:p w14:paraId="6F84E9C3" w14:textId="77777777" w:rsidR="00C43ADD" w:rsidRDefault="00C43ADD" w:rsidP="00C43ADD">
      <w:pPr>
        <w:pStyle w:val="ny-lesson-paragraph"/>
      </w:pPr>
    </w:p>
    <w:p w14:paraId="5908CE88" w14:textId="77777777" w:rsidR="00C43ADD" w:rsidRDefault="00C43ADD" w:rsidP="00C43ADD">
      <w:pPr>
        <w:pStyle w:val="ny-lesson-paragraph"/>
      </w:pPr>
    </w:p>
    <w:p w14:paraId="41E81870" w14:textId="77777777" w:rsidR="00C43ADD" w:rsidRDefault="00C43ADD" w:rsidP="00C43ADD">
      <w:pPr>
        <w:pStyle w:val="ny-lesson-paragraph"/>
      </w:pPr>
    </w:p>
    <w:p w14:paraId="7FFE6324" w14:textId="77777777" w:rsidR="00C43ADD" w:rsidRPr="001269DE" w:rsidRDefault="00C43ADD" w:rsidP="00C43ADD">
      <w:pPr>
        <w:pStyle w:val="ny-lesson-paragraph"/>
      </w:pPr>
    </w:p>
    <w:p w14:paraId="5D2E4FD7" w14:textId="77777777" w:rsidR="00C43ADD" w:rsidRPr="00957B0D" w:rsidRDefault="00C43ADD" w:rsidP="00C43ADD">
      <w:pPr>
        <w:pStyle w:val="ny-lesson-paragraph"/>
      </w:pPr>
    </w:p>
    <w:p w14:paraId="54B9DD5F" w14:textId="77777777" w:rsidR="00C43ADD" w:rsidRDefault="00C43ADD" w:rsidP="00C43ADD">
      <w:pPr>
        <w:pStyle w:val="ny-lesson-hdr-1"/>
      </w:pPr>
      <w:r>
        <w:t>Exercises 1–5</w:t>
      </w:r>
    </w:p>
    <w:p w14:paraId="796E5F6C" w14:textId="0567EEE2" w:rsidR="00C43ADD" w:rsidRPr="004D1394" w:rsidRDefault="00C43ADD" w:rsidP="00C43ADD">
      <w:pPr>
        <w:pStyle w:val="ny-lesson-paragraph"/>
      </w:pPr>
      <w:r>
        <w:t xml:space="preserve">For each question below, rewrite the problem as a multiplication question. </w:t>
      </w:r>
      <w:r w:rsidR="009228E5">
        <w:t xml:space="preserve"> </w:t>
      </w:r>
      <w:r>
        <w:t>Then</w:t>
      </w:r>
      <w:r w:rsidR="009228E5">
        <w:t>,</w:t>
      </w:r>
      <w:r>
        <w:t xml:space="preserve"> model the answer.</w:t>
      </w:r>
    </w:p>
    <w:p w14:paraId="1A4FB13E" w14:textId="77777777" w:rsidR="00C43ADD" w:rsidRPr="004F48F5" w:rsidRDefault="00493709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÷6=</m:t>
        </m:r>
      </m:oMath>
      <w:r w:rsidR="00C43ADD" w:rsidRPr="004F48F5">
        <w:tab/>
      </w:r>
      <w:r w:rsidR="00C43ADD" w:rsidRPr="004F48F5">
        <w:tab/>
      </w:r>
      <w:r w:rsidR="00C43ADD" w:rsidRPr="004F48F5">
        <w:tab/>
      </w:r>
      <w:r w:rsidR="00C43ADD" w:rsidRPr="004F48F5">
        <w:tab/>
      </w:r>
      <w:r w:rsidR="00C43ADD" w:rsidRPr="004F48F5">
        <w:tab/>
      </w:r>
    </w:p>
    <w:p w14:paraId="7E4F4680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4250986E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28F49E70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4B6EE66F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788B0F8E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09E0B59F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0CA451FB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16E9CD06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226B138F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00DA0728" w14:textId="77777777" w:rsidR="00C43ADD" w:rsidRPr="004F48F5" w:rsidRDefault="00493709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÷3= </m:t>
        </m:r>
      </m:oMath>
      <w:r w:rsidR="00C43ADD" w:rsidRPr="004F48F5">
        <w:tab/>
      </w:r>
      <w:r w:rsidR="00C43ADD" w:rsidRPr="004F48F5">
        <w:tab/>
      </w:r>
      <w:r w:rsidR="00C43ADD" w:rsidRPr="004F48F5">
        <w:tab/>
      </w:r>
      <w:r w:rsidR="00C43ADD" w:rsidRPr="004F48F5">
        <w:tab/>
      </w:r>
      <w:r w:rsidR="00C43ADD" w:rsidRPr="004F48F5">
        <w:tab/>
      </w:r>
      <w:r w:rsidR="00C43ADD" w:rsidRPr="004F48F5">
        <w:tab/>
      </w:r>
    </w:p>
    <w:p w14:paraId="47513178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0E39B52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06CA45C0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8E289A1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45C6A5C7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70D29749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A02BD1C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361DC319" w14:textId="77777777" w:rsidR="00C43ADD" w:rsidRPr="00A97E97" w:rsidRDefault="00493709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÷4=</m:t>
        </m:r>
      </m:oMath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</w:p>
    <w:p w14:paraId="2ED26D73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9BDA6AC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BB002C7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0A677486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3DEDDF31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69984293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13EF133" w14:textId="77777777" w:rsidR="00C43ADD" w:rsidRPr="001269DE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36B7E54E" w14:textId="77777777" w:rsidR="00C43ADD" w:rsidRPr="00A97E97" w:rsidRDefault="00493709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÷4</m:t>
        </m:r>
        <m:r>
          <w:rPr>
            <w:rFonts w:ascii="Cambria Math" w:hAnsi="Cambria Math"/>
            <w:szCs w:val="20"/>
          </w:rPr>
          <m:t>=</m:t>
        </m:r>
      </m:oMath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</w:p>
    <w:p w14:paraId="47E4A885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2A21BF39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6BB1BD6E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CBD08FE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B0EBEA2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FB415D6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AB66312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22038973" w14:textId="77777777" w:rsidR="00C43ADD" w:rsidRPr="001269DE" w:rsidRDefault="00493709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÷4</m:t>
        </m:r>
        <m:r>
          <w:rPr>
            <w:rFonts w:ascii="Cambria Math" w:hAnsi="Cambria Math"/>
          </w:rPr>
          <m:t>=</m:t>
        </m:r>
      </m:oMath>
      <w:r w:rsidR="00C43ADD">
        <w:tab/>
      </w:r>
      <w:r w:rsidR="00C43ADD">
        <w:tab/>
      </w:r>
      <w:r w:rsidR="00C43ADD">
        <w:tab/>
      </w:r>
      <w:r w:rsidR="00C43ADD">
        <w:tab/>
      </w:r>
      <w:r w:rsidR="00C43ADD">
        <w:tab/>
      </w:r>
    </w:p>
    <w:p w14:paraId="7CBCC76E" w14:textId="77777777" w:rsidR="00C43ADD" w:rsidRPr="001269DE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713BD22D" w14:textId="77777777" w:rsidR="00C43ADD" w:rsidRDefault="00C43ADD" w:rsidP="00C43ADD">
      <w:pPr>
        <w:pStyle w:val="ny-lesson-numbering"/>
        <w:numPr>
          <w:ilvl w:val="0"/>
          <w:numId w:val="0"/>
        </w:numPr>
        <w:ind w:left="360"/>
      </w:pPr>
    </w:p>
    <w:p w14:paraId="1EFAF4EC" w14:textId="77777777" w:rsidR="00C43ADD" w:rsidRDefault="00C43ADD" w:rsidP="00C43ADD">
      <w:pPr>
        <w:pStyle w:val="ny-lesson-numbering"/>
        <w:numPr>
          <w:ilvl w:val="0"/>
          <w:numId w:val="0"/>
        </w:numPr>
        <w:ind w:left="360"/>
      </w:pPr>
    </w:p>
    <w:p w14:paraId="1C92BCDB" w14:textId="77777777" w:rsidR="00C43ADD" w:rsidRDefault="00C43ADD" w:rsidP="00C43ADD">
      <w:pPr>
        <w:pStyle w:val="ny-lesson-numbering"/>
        <w:numPr>
          <w:ilvl w:val="0"/>
          <w:numId w:val="0"/>
        </w:numPr>
        <w:ind w:left="360"/>
      </w:pPr>
    </w:p>
    <w:p w14:paraId="4463DD19" w14:textId="77777777" w:rsidR="00C43ADD" w:rsidRDefault="00C43ADD" w:rsidP="00C43ADD">
      <w:pPr>
        <w:pStyle w:val="ny-lesson-numbering"/>
        <w:numPr>
          <w:ilvl w:val="0"/>
          <w:numId w:val="0"/>
        </w:numPr>
        <w:ind w:left="360" w:hanging="360"/>
      </w:pPr>
    </w:p>
    <w:p w14:paraId="4625E31F" w14:textId="77777777" w:rsidR="00C43ADD" w:rsidRDefault="00C43ADD" w:rsidP="00C43ADD">
      <w:pPr>
        <w:pStyle w:val="ny-lesson-paragraph"/>
        <w:rPr>
          <w:szCs w:val="20"/>
        </w:rPr>
      </w:pPr>
    </w:p>
    <w:p w14:paraId="3686EA57" w14:textId="77777777" w:rsidR="00C43ADD" w:rsidRDefault="00C43ADD" w:rsidP="00C43ADD">
      <w:pPr>
        <w:pStyle w:val="ny-lesson-paragraph"/>
        <w:rPr>
          <w:szCs w:val="20"/>
        </w:rPr>
      </w:pPr>
    </w:p>
    <w:p w14:paraId="70D8C96B" w14:textId="77777777" w:rsidR="00C43ADD" w:rsidRDefault="00C43ADD" w:rsidP="00C43ADD">
      <w:pPr>
        <w:pStyle w:val="ny-callout-hdr"/>
      </w:pPr>
      <w:r>
        <w:rPr>
          <w:szCs w:val="20"/>
        </w:rPr>
        <w:br w:type="page"/>
      </w:r>
      <w:r>
        <w:lastRenderedPageBreak/>
        <w:t xml:space="preserve">Problem Set </w:t>
      </w:r>
    </w:p>
    <w:p w14:paraId="47B40874" w14:textId="77777777" w:rsidR="00C43ADD" w:rsidRPr="00E87E4C" w:rsidRDefault="00C43ADD" w:rsidP="00C43ADD">
      <w:pPr>
        <w:pStyle w:val="ny-callout-hdr"/>
      </w:pPr>
    </w:p>
    <w:p w14:paraId="60B52A46" w14:textId="4435EAA6" w:rsidR="00C43ADD" w:rsidRDefault="00C43ADD" w:rsidP="00C43ADD">
      <w:pPr>
        <w:pStyle w:val="ny-lesson-paragraph"/>
        <w:rPr>
          <w:b/>
        </w:rPr>
      </w:pPr>
      <w:r w:rsidRPr="001269DE">
        <w:t xml:space="preserve">Rewrite each problem as a multiplication question. </w:t>
      </w:r>
      <w:r w:rsidR="00796383">
        <w:t xml:space="preserve"> </w:t>
      </w:r>
      <w:r w:rsidRPr="001269DE">
        <w:t xml:space="preserve">Model </w:t>
      </w:r>
      <w:r>
        <w:t>your</w:t>
      </w:r>
      <w:r w:rsidRPr="001269DE">
        <w:t xml:space="preserve"> answer.</w:t>
      </w:r>
    </w:p>
    <w:p w14:paraId="21239AFF" w14:textId="77777777" w:rsidR="00C43ADD" w:rsidRPr="001269DE" w:rsidRDefault="00C43ADD" w:rsidP="00C43ADD">
      <w:pPr>
        <w:pStyle w:val="ny-callout-hdr"/>
        <w:rPr>
          <w:b w:val="0"/>
          <w:color w:val="auto"/>
        </w:rPr>
      </w:pPr>
    </w:p>
    <w:p w14:paraId="6DFDDAC3" w14:textId="77777777" w:rsidR="00C43ADD" w:rsidRPr="00A97E97" w:rsidRDefault="00493709" w:rsidP="00C43ADD">
      <w:pPr>
        <w:pStyle w:val="ny-lesson-numbering"/>
        <w:numPr>
          <w:ilvl w:val="0"/>
          <w:numId w:val="19"/>
        </w:numPr>
      </w:pPr>
      <m:oMath>
        <m:f>
          <m:fPr>
            <m:ctrlPr>
              <w:rPr>
                <w:rFonts w:ascii="Cambria Math" w:eastAsiaTheme="minorEastAsia" w:hAnsi="Cambria Math" w:cstheme="minorBid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2</m:t>
            </m:r>
            <m:ctrlPr>
              <w:rPr>
                <w:rFonts w:ascii="Cambria Math" w:eastAsiaTheme="minorEastAsia" w:hAnsi="Cambria Math" w:cstheme="minorBidi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÷5</m:t>
        </m:r>
      </m:oMath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  <w:r w:rsidR="00C43ADD" w:rsidRPr="00A97E97">
        <w:tab/>
      </w:r>
    </w:p>
    <w:p w14:paraId="3EBE5889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2757569D" w14:textId="77777777" w:rsidR="00C43ADD" w:rsidRPr="00E87E4C" w:rsidRDefault="00493709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÷2 </m:t>
        </m:r>
      </m:oMath>
    </w:p>
    <w:p w14:paraId="5CA28C84" w14:textId="77777777" w:rsidR="00C43ADD" w:rsidRPr="001269DE" w:rsidRDefault="00C43ADD" w:rsidP="00C43ADD">
      <w:pPr>
        <w:spacing w:before="60" w:after="60" w:line="252" w:lineRule="auto"/>
        <w:ind w:left="360"/>
        <w:rPr>
          <w:rFonts w:ascii="Calibri" w:eastAsia="Myriad Pro" w:hAnsi="Calibri" w:cs="Myriad Pro"/>
          <w:sz w:val="20"/>
          <w:szCs w:val="18"/>
        </w:rPr>
      </w:pPr>
      <w:r>
        <w:rPr>
          <w:rFonts w:ascii="Calibri" w:eastAsia="Myriad Pro" w:hAnsi="Calibri" w:cs="Myriad Pro"/>
          <w:sz w:val="20"/>
          <w:szCs w:val="18"/>
        </w:rPr>
        <w:tab/>
      </w:r>
      <w:r>
        <w:rPr>
          <w:rFonts w:ascii="Calibri" w:eastAsia="Myriad Pro" w:hAnsi="Calibri" w:cs="Myriad Pro"/>
          <w:sz w:val="20"/>
          <w:szCs w:val="18"/>
        </w:rPr>
        <w:tab/>
      </w:r>
      <w:r>
        <w:rPr>
          <w:rFonts w:ascii="Calibri" w:eastAsia="Myriad Pro" w:hAnsi="Calibri" w:cs="Myriad Pro"/>
          <w:sz w:val="20"/>
          <w:szCs w:val="18"/>
        </w:rPr>
        <w:tab/>
      </w:r>
      <w:r>
        <w:rPr>
          <w:rFonts w:ascii="Calibri" w:eastAsia="Myriad Pro" w:hAnsi="Calibri" w:cs="Myriad Pro"/>
          <w:sz w:val="20"/>
          <w:szCs w:val="18"/>
        </w:rPr>
        <w:tab/>
      </w:r>
      <w:r>
        <w:rPr>
          <w:rFonts w:ascii="Calibri" w:eastAsia="Myriad Pro" w:hAnsi="Calibri" w:cs="Myriad Pro"/>
          <w:sz w:val="20"/>
          <w:szCs w:val="18"/>
        </w:rPr>
        <w:tab/>
      </w:r>
      <w:r>
        <w:rPr>
          <w:rFonts w:ascii="Calibri" w:eastAsia="Myriad Pro" w:hAnsi="Calibri" w:cs="Myriad Pro"/>
          <w:sz w:val="20"/>
          <w:szCs w:val="18"/>
        </w:rPr>
        <w:tab/>
      </w:r>
      <w:r>
        <w:rPr>
          <w:rFonts w:ascii="Calibri" w:eastAsia="Myriad Pro" w:hAnsi="Calibri" w:cs="Myriad Pro"/>
          <w:sz w:val="20"/>
          <w:szCs w:val="18"/>
        </w:rPr>
        <w:tab/>
      </w:r>
    </w:p>
    <w:p w14:paraId="62F588BB" w14:textId="77777777" w:rsidR="00C43ADD" w:rsidRPr="001269DE" w:rsidRDefault="00C43ADD" w:rsidP="00C43ADD">
      <w:pPr>
        <w:spacing w:before="60" w:after="60" w:line="252" w:lineRule="auto"/>
        <w:ind w:left="360"/>
        <w:rPr>
          <w:rFonts w:ascii="Calibri" w:eastAsia="Myriad Pro" w:hAnsi="Calibri" w:cs="Myriad Pro"/>
          <w:sz w:val="20"/>
          <w:szCs w:val="18"/>
        </w:rPr>
      </w:pPr>
    </w:p>
    <w:p w14:paraId="008B538A" w14:textId="77777777" w:rsidR="00C43ADD" w:rsidRDefault="00C43ADD" w:rsidP="00C43ADD">
      <w:pPr>
        <w:pStyle w:val="ny-lesson-numbering"/>
        <w:numPr>
          <w:ilvl w:val="0"/>
          <w:numId w:val="0"/>
        </w:numPr>
        <w:ind w:left="360"/>
      </w:pPr>
    </w:p>
    <w:p w14:paraId="7C10944B" w14:textId="77777777" w:rsidR="00C43ADD" w:rsidRDefault="00C43ADD" w:rsidP="00C43ADD">
      <w:pPr>
        <w:pStyle w:val="ny-lesson-paragraph"/>
      </w:pPr>
    </w:p>
    <w:p w14:paraId="2316062C" w14:textId="77777777" w:rsidR="00C43ADD" w:rsidRDefault="00C43ADD" w:rsidP="00C43ADD">
      <w:pPr>
        <w:pStyle w:val="ny-lesson-paragraph"/>
      </w:pPr>
    </w:p>
    <w:p w14:paraId="1EF78DD8" w14:textId="77777777" w:rsidR="00C43ADD" w:rsidRDefault="00C43ADD" w:rsidP="00C43ADD">
      <w:pPr>
        <w:pStyle w:val="ny-lesson-paragraph"/>
      </w:pPr>
    </w:p>
    <w:p w14:paraId="1A09525D" w14:textId="77777777" w:rsidR="00C43ADD" w:rsidRDefault="00C43ADD" w:rsidP="00C43ADD">
      <w:pPr>
        <w:pStyle w:val="ny-lesson-paragraph"/>
      </w:pPr>
    </w:p>
    <w:p w14:paraId="72A98AC8" w14:textId="77777777" w:rsidR="00C43ADD" w:rsidRDefault="00C43ADD" w:rsidP="00C43ADD">
      <w:pPr>
        <w:pStyle w:val="ny-lesson-paragraph"/>
      </w:pPr>
    </w:p>
    <w:p w14:paraId="6D3E020E" w14:textId="77777777" w:rsidR="00C43ADD" w:rsidRDefault="00C43ADD" w:rsidP="00C43ADD">
      <w:pPr>
        <w:pStyle w:val="ny-lesson-paragraph"/>
      </w:pPr>
      <w:r>
        <w:br/>
      </w:r>
    </w:p>
    <w:p w14:paraId="7EE1C666" w14:textId="77777777" w:rsidR="00C43ADD" w:rsidRPr="00FB5240" w:rsidRDefault="00C43ADD" w:rsidP="00C43ADD"/>
    <w:p w14:paraId="4B710DDE" w14:textId="00FDDED3" w:rsidR="007A0FF8" w:rsidRPr="00C43ADD" w:rsidRDefault="007A0FF8" w:rsidP="00C43ADD"/>
    <w:sectPr w:rsidR="007A0FF8" w:rsidRPr="00C43ADD" w:rsidSect="00E34D2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77A2" w14:textId="77777777" w:rsidR="00514B84" w:rsidRDefault="00514B84">
      <w:pPr>
        <w:spacing w:after="0" w:line="240" w:lineRule="auto"/>
      </w:pPr>
      <w:r>
        <w:separator/>
      </w:r>
    </w:p>
  </w:endnote>
  <w:endnote w:type="continuationSeparator" w:id="0">
    <w:p w14:paraId="4AB09367" w14:textId="77777777" w:rsidR="00514B84" w:rsidRDefault="005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39891450" w:rsidR="00C231DF" w:rsidRPr="00DE1046" w:rsidRDefault="00C43ADD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05D26234">
              <wp:simplePos x="0" y="0"/>
              <wp:positionH relativeFrom="column">
                <wp:posOffset>1177925</wp:posOffset>
              </wp:positionH>
              <wp:positionV relativeFrom="paragraph">
                <wp:posOffset>400050</wp:posOffset>
              </wp:positionV>
              <wp:extent cx="3726180" cy="361950"/>
              <wp:effectExtent l="0" t="0" r="7620" b="0"/>
              <wp:wrapThrough wrapText="bothSides">
                <wp:wrapPolygon edited="0">
                  <wp:start x="0" y="0"/>
                  <wp:lineTo x="0" y="20463"/>
                  <wp:lineTo x="21534" y="20463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3A4CDBE1" w:rsidR="00DE1046" w:rsidRDefault="00DE1046" w:rsidP="00C43A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C43AD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43ADD" w:rsidRPr="00C43AD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Division of a Fraction by a Whole Number—Visual Models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370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2.75pt;margin-top:31.5pt;width:293.4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bn8gIAABs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" filled="f" stroked="f">
              <v:textbox inset="0,0,0,0">
                <w:txbxContent>
                  <w:p w14:paraId="5C087387" w14:textId="3A4CDBE1" w:rsidR="00DE1046" w:rsidRDefault="00DE1046" w:rsidP="00C43ADD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C43AD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43ADD" w:rsidRPr="00C43AD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Division of a Fraction by a Whole Number—Visual Models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370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5ADD049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9370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9370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E810E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1046"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5BCFF22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ED828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C43483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3E41F4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398675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9395D8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370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370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D35D" w14:textId="77777777" w:rsidR="00514B84" w:rsidRDefault="00514B84">
      <w:pPr>
        <w:spacing w:after="0" w:line="240" w:lineRule="auto"/>
      </w:pPr>
      <w:r>
        <w:separator/>
      </w:r>
    </w:p>
  </w:footnote>
  <w:footnote w:type="continuationSeparator" w:id="0">
    <w:p w14:paraId="365AE053" w14:textId="77777777" w:rsidR="00514B84" w:rsidRDefault="005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614CA2E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C43ADD"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614CA2E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C43ADD"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099C271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2CF1B553" w:rsidR="00DB1F56" w:rsidRPr="002273E5" w:rsidRDefault="00C43AD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2CF1B553" w:rsidR="00DB1F56" w:rsidRPr="002273E5" w:rsidRDefault="00C43AD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F13803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45E00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5F83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6D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3709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4B8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6383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28E5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0F75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6C9A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3ADD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2F22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beec3c52-6977-40b8-8e7b-b4fa7e519059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E21DD-02D1-4D62-9FEE-2614E5F2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</cp:revision>
  <cp:lastPrinted>2014-10-27T18:10:00Z</cp:lastPrinted>
  <dcterms:created xsi:type="dcterms:W3CDTF">2014-06-23T15:20:00Z</dcterms:created>
  <dcterms:modified xsi:type="dcterms:W3CDTF">2014-10-27T18:10:00Z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