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195042" w:rsidRPr="0063473E" w14:paraId="66518C02" w14:textId="77777777" w:rsidTr="0017322A">
        <w:trPr>
          <w:trHeight w:val="1008"/>
        </w:trPr>
        <w:tc>
          <w:tcPr>
            <w:tcW w:w="1980" w:type="dxa"/>
            <w:shd w:val="clear" w:color="auto" w:fill="385623"/>
            <w:vAlign w:val="center"/>
          </w:tcPr>
          <w:p w14:paraId="7849579E" w14:textId="3AB0C672" w:rsidR="00195042" w:rsidRPr="0063473E" w:rsidRDefault="00195042" w:rsidP="0017322A">
            <w:pPr>
              <w:pStyle w:val="Header-banner"/>
              <w:rPr>
                <w:rFonts w:asciiTheme="majorHAnsi" w:hAnsiTheme="majorHAnsi"/>
              </w:rPr>
            </w:pPr>
            <w:bookmarkStart w:id="0" w:name="_GoBack"/>
            <w:bookmarkEnd w:id="0"/>
            <w:r>
              <w:rPr>
                <w:rFonts w:asciiTheme="majorHAnsi" w:hAnsiTheme="majorHAnsi"/>
              </w:rPr>
              <w:t>12</w:t>
            </w:r>
            <w:r w:rsidRPr="0063473E">
              <w:rPr>
                <w:rFonts w:asciiTheme="majorHAnsi" w:hAnsiTheme="majorHAnsi"/>
              </w:rPr>
              <w:t>.</w:t>
            </w:r>
            <w:r>
              <w:rPr>
                <w:rFonts w:asciiTheme="majorHAnsi" w:hAnsiTheme="majorHAnsi"/>
              </w:rPr>
              <w:t>4</w:t>
            </w:r>
            <w:r w:rsidRPr="0063473E">
              <w:rPr>
                <w:rFonts w:asciiTheme="majorHAnsi" w:hAnsiTheme="majorHAnsi"/>
              </w:rPr>
              <w:t>.</w:t>
            </w:r>
            <w:r>
              <w:rPr>
                <w:rFonts w:asciiTheme="majorHAnsi" w:hAnsiTheme="majorHAnsi"/>
              </w:rPr>
              <w:t>2</w:t>
            </w:r>
          </w:p>
        </w:tc>
        <w:tc>
          <w:tcPr>
            <w:tcW w:w="7470" w:type="dxa"/>
            <w:shd w:val="clear" w:color="auto" w:fill="76923C"/>
            <w:vAlign w:val="center"/>
          </w:tcPr>
          <w:p w14:paraId="30B336FE" w14:textId="77777777" w:rsidR="00195042" w:rsidRPr="0063473E" w:rsidRDefault="00195042" w:rsidP="00195042">
            <w:pPr>
              <w:pStyle w:val="Header2banner"/>
              <w:spacing w:line="240" w:lineRule="auto"/>
              <w:rPr>
                <w:rFonts w:asciiTheme="majorHAnsi" w:hAnsiTheme="majorHAnsi"/>
              </w:rPr>
            </w:pPr>
            <w:r w:rsidRPr="0063473E">
              <w:rPr>
                <w:rFonts w:asciiTheme="majorHAnsi" w:hAnsiTheme="majorHAnsi"/>
              </w:rPr>
              <w:t xml:space="preserve">Lesson </w:t>
            </w:r>
            <w:r>
              <w:rPr>
                <w:rFonts w:asciiTheme="majorHAnsi" w:hAnsiTheme="majorHAnsi"/>
              </w:rPr>
              <w:t>10</w:t>
            </w:r>
          </w:p>
        </w:tc>
      </w:tr>
    </w:tbl>
    <w:p w14:paraId="61750B7B" w14:textId="77777777" w:rsidR="00195042" w:rsidRPr="0063473E" w:rsidRDefault="00195042" w:rsidP="00E073BA">
      <w:pPr>
        <w:pStyle w:val="Heading1"/>
        <w:tabs>
          <w:tab w:val="left" w:pos="7513"/>
        </w:tabs>
        <w:rPr>
          <w:rFonts w:asciiTheme="majorHAnsi" w:hAnsiTheme="majorHAnsi"/>
        </w:rPr>
      </w:pPr>
      <w:r w:rsidRPr="0063473E">
        <w:rPr>
          <w:rFonts w:asciiTheme="majorHAnsi" w:hAnsiTheme="majorHAnsi"/>
        </w:rPr>
        <w:t>Introduction</w:t>
      </w:r>
    </w:p>
    <w:p w14:paraId="624656F5" w14:textId="551CEDA6" w:rsidR="00195042" w:rsidRPr="000347DC" w:rsidRDefault="00195042" w:rsidP="00195042">
      <w:pPr>
        <w:rPr>
          <w:rFonts w:ascii="Times" w:eastAsia="Times New Roman" w:hAnsi="Times"/>
          <w:sz w:val="20"/>
          <w:szCs w:val="20"/>
        </w:rPr>
      </w:pPr>
      <w:r w:rsidRPr="0063473E">
        <w:rPr>
          <w:rFonts w:asciiTheme="majorHAnsi" w:hAnsiTheme="majorHAnsi"/>
        </w:rPr>
        <w:t>In this lesson</w:t>
      </w:r>
      <w:r>
        <w:rPr>
          <w:rFonts w:asciiTheme="majorHAnsi" w:hAnsiTheme="majorHAnsi"/>
        </w:rPr>
        <w:t xml:space="preserve">, students </w:t>
      </w:r>
      <w:r w:rsidRPr="0063473E">
        <w:rPr>
          <w:rFonts w:asciiTheme="majorHAnsi" w:hAnsiTheme="majorHAnsi"/>
        </w:rPr>
        <w:t xml:space="preserve">read and analyze </w:t>
      </w:r>
      <w:r w:rsidR="0017322A">
        <w:rPr>
          <w:rFonts w:asciiTheme="majorHAnsi" w:hAnsiTheme="majorHAnsi"/>
        </w:rPr>
        <w:t>pages 88</w:t>
      </w:r>
      <w:r w:rsidR="00E65190">
        <w:rPr>
          <w:rFonts w:asciiTheme="majorHAnsi" w:hAnsiTheme="majorHAnsi"/>
        </w:rPr>
        <w:t>–</w:t>
      </w:r>
      <w:r w:rsidR="0017322A">
        <w:rPr>
          <w:rFonts w:asciiTheme="majorHAnsi" w:hAnsiTheme="majorHAnsi"/>
        </w:rPr>
        <w:t>96</w:t>
      </w:r>
      <w:r>
        <w:rPr>
          <w:rFonts w:asciiTheme="majorHAnsi" w:hAnsiTheme="majorHAnsi"/>
        </w:rPr>
        <w:t xml:space="preserve"> of </w:t>
      </w:r>
      <w:r w:rsidR="0017322A">
        <w:rPr>
          <w:rFonts w:asciiTheme="majorHAnsi" w:hAnsiTheme="majorHAnsi"/>
          <w:i/>
        </w:rPr>
        <w:t>The Namesake</w:t>
      </w:r>
      <w:r>
        <w:rPr>
          <w:rFonts w:asciiTheme="majorHAnsi" w:hAnsiTheme="majorHAnsi"/>
        </w:rPr>
        <w:t xml:space="preserve"> (from “</w:t>
      </w:r>
      <w:r w:rsidR="0017322A">
        <w:rPr>
          <w:rFonts w:asciiTheme="majorHAnsi" w:hAnsiTheme="majorHAnsi"/>
        </w:rPr>
        <w:t>In September, Gogol returns to high school</w:t>
      </w:r>
      <w:r>
        <w:rPr>
          <w:rFonts w:asciiTheme="majorHAnsi" w:hAnsiTheme="majorHAnsi"/>
        </w:rPr>
        <w:t>” to “</w:t>
      </w:r>
      <w:r w:rsidR="0017322A">
        <w:rPr>
          <w:rFonts w:asciiTheme="majorHAnsi" w:hAnsiTheme="majorHAnsi"/>
        </w:rPr>
        <w:t>That Gogol had had nothing to do with it</w:t>
      </w:r>
      <w:r>
        <w:rPr>
          <w:rFonts w:asciiTheme="majorHAnsi" w:hAnsiTheme="majorHAnsi"/>
          <w:i/>
        </w:rPr>
        <w:t>”</w:t>
      </w:r>
      <w:r>
        <w:rPr>
          <w:rFonts w:asciiTheme="majorHAnsi" w:hAnsiTheme="majorHAnsi"/>
        </w:rPr>
        <w:t>)</w:t>
      </w:r>
      <w:r w:rsidR="000347DC">
        <w:rPr>
          <w:rFonts w:asciiTheme="majorHAnsi" w:hAnsiTheme="majorHAnsi"/>
        </w:rPr>
        <w:t>,</w:t>
      </w:r>
      <w:r w:rsidRPr="0063473E">
        <w:rPr>
          <w:rFonts w:asciiTheme="majorHAnsi" w:hAnsiTheme="majorHAnsi"/>
        </w:rPr>
        <w:t xml:space="preserve"> in which </w:t>
      </w:r>
      <w:r w:rsidR="0017322A">
        <w:rPr>
          <w:rFonts w:asciiTheme="majorHAnsi" w:hAnsiTheme="majorHAnsi"/>
        </w:rPr>
        <w:t xml:space="preserve">Gogol returns to high school and attends a college party where he introduces himself as Nikhil for the first time. </w:t>
      </w:r>
      <w:r>
        <w:rPr>
          <w:rFonts w:asciiTheme="majorHAnsi" w:hAnsiTheme="majorHAnsi"/>
        </w:rPr>
        <w:t xml:space="preserve">Students participate in a jigsaw discussion of how </w:t>
      </w:r>
      <w:r w:rsidR="0017322A">
        <w:rPr>
          <w:rFonts w:asciiTheme="majorHAnsi" w:hAnsiTheme="majorHAnsi"/>
        </w:rPr>
        <w:t>the settings of high school and the college party</w:t>
      </w:r>
      <w:r w:rsidR="00994686">
        <w:rPr>
          <w:rFonts w:asciiTheme="majorHAnsi" w:hAnsiTheme="majorHAnsi"/>
        </w:rPr>
        <w:t xml:space="preserve"> further </w:t>
      </w:r>
      <w:r w:rsidR="0017322A">
        <w:rPr>
          <w:rFonts w:asciiTheme="majorHAnsi" w:hAnsiTheme="majorHAnsi"/>
        </w:rPr>
        <w:t xml:space="preserve">develop Gogol’s relationship </w:t>
      </w:r>
      <w:r w:rsidR="00E073BA">
        <w:rPr>
          <w:rFonts w:asciiTheme="majorHAnsi" w:hAnsiTheme="majorHAnsi"/>
        </w:rPr>
        <w:t>with</w:t>
      </w:r>
      <w:r w:rsidR="0017322A">
        <w:rPr>
          <w:rFonts w:asciiTheme="majorHAnsi" w:hAnsiTheme="majorHAnsi"/>
        </w:rPr>
        <w:t xml:space="preserve"> his name</w:t>
      </w:r>
      <w:r>
        <w:rPr>
          <w:rFonts w:asciiTheme="majorHAnsi" w:hAnsiTheme="majorHAnsi"/>
        </w:rPr>
        <w:t xml:space="preserve">. Student learning is assessed via a Quick Write at the end of the lesson: </w:t>
      </w:r>
      <w:r w:rsidR="0017322A">
        <w:rPr>
          <w:rFonts w:asciiTheme="majorHAnsi" w:hAnsiTheme="majorHAnsi"/>
        </w:rPr>
        <w:t>How does Gogol’s relationship with his name further develop a central idea in the text</w:t>
      </w:r>
      <w:r w:rsidR="0017322A" w:rsidRPr="000347DC">
        <w:rPr>
          <w:rFonts w:asciiTheme="majorHAnsi" w:hAnsiTheme="majorHAnsi"/>
        </w:rPr>
        <w:t xml:space="preserve">? </w:t>
      </w:r>
    </w:p>
    <w:p w14:paraId="3F82D6B6" w14:textId="7AE377A1" w:rsidR="00195042" w:rsidRPr="00BD2463" w:rsidRDefault="00195042" w:rsidP="00BD2463">
      <w:r w:rsidRPr="00BD2463">
        <w:t xml:space="preserve">For homework, students read </w:t>
      </w:r>
      <w:r w:rsidR="0017322A" w:rsidRPr="00BD2463">
        <w:t>pages 97</w:t>
      </w:r>
      <w:r w:rsidR="00E65190">
        <w:t>–</w:t>
      </w:r>
      <w:r w:rsidR="0017322A" w:rsidRPr="00BD2463">
        <w:t>108</w:t>
      </w:r>
      <w:r w:rsidRPr="00BD2463">
        <w:t xml:space="preserve"> </w:t>
      </w:r>
      <w:r w:rsidR="00CA1840" w:rsidRPr="00BD2463">
        <w:t xml:space="preserve">of </w:t>
      </w:r>
      <w:r w:rsidR="00CA1840" w:rsidRPr="00BE3D99">
        <w:rPr>
          <w:i/>
        </w:rPr>
        <w:t>The Namesake</w:t>
      </w:r>
      <w:r w:rsidR="0017322A" w:rsidRPr="00BD2463">
        <w:t xml:space="preserve"> and annotate for</w:t>
      </w:r>
      <w:r w:rsidR="005A0983" w:rsidRPr="00BD2463">
        <w:t xml:space="preserve"> the development of</w:t>
      </w:r>
      <w:r w:rsidR="0017322A" w:rsidRPr="00BD2463">
        <w:t xml:space="preserve"> central ideas</w:t>
      </w:r>
      <w:r w:rsidRPr="00BD2463">
        <w:t xml:space="preserve">. </w:t>
      </w:r>
      <w:r w:rsidR="00DA0A7C" w:rsidRPr="00BD2463">
        <w:t>Additionally, students respond briefly in writing to the following prompt: How does Gogol’s decision to change his name impact his relationship with his parents?</w:t>
      </w:r>
    </w:p>
    <w:p w14:paraId="1973D890" w14:textId="03714B36" w:rsidR="00195042" w:rsidRPr="0063473E" w:rsidRDefault="00195042" w:rsidP="00195042">
      <w:pPr>
        <w:pStyle w:val="Heading1"/>
        <w:rPr>
          <w:rFonts w:asciiTheme="majorHAnsi" w:hAnsiTheme="majorHAnsi"/>
        </w:rPr>
      </w:pPr>
      <w:r w:rsidRPr="0063473E">
        <w:rPr>
          <w:rFonts w:asciiTheme="majorHAnsi" w:hAnsiTheme="majorHAnsi"/>
        </w:rP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195042" w:rsidRPr="0063473E" w14:paraId="3BA8EB1C" w14:textId="77777777" w:rsidTr="0017322A">
        <w:tc>
          <w:tcPr>
            <w:tcW w:w="9468" w:type="dxa"/>
            <w:gridSpan w:val="2"/>
            <w:shd w:val="clear" w:color="auto" w:fill="76923C"/>
          </w:tcPr>
          <w:p w14:paraId="0C47DAFE" w14:textId="77777777" w:rsidR="00195042" w:rsidRPr="0063473E" w:rsidRDefault="00195042" w:rsidP="0017322A">
            <w:pPr>
              <w:pStyle w:val="TableHeaders"/>
              <w:rPr>
                <w:rFonts w:asciiTheme="majorHAnsi" w:hAnsiTheme="majorHAnsi"/>
              </w:rPr>
            </w:pPr>
            <w:r w:rsidRPr="0063473E">
              <w:rPr>
                <w:rFonts w:asciiTheme="majorHAnsi" w:hAnsiTheme="majorHAnsi"/>
              </w:rPr>
              <w:t>Assessed Standard(s)</w:t>
            </w:r>
          </w:p>
        </w:tc>
      </w:tr>
      <w:tr w:rsidR="00195042" w:rsidRPr="0063473E" w14:paraId="39638B8F" w14:textId="77777777" w:rsidTr="0017322A">
        <w:tc>
          <w:tcPr>
            <w:tcW w:w="1344" w:type="dxa"/>
          </w:tcPr>
          <w:p w14:paraId="5A506AC9" w14:textId="77777777" w:rsidR="00195042" w:rsidRPr="0063473E" w:rsidRDefault="00195042" w:rsidP="0017322A">
            <w:pPr>
              <w:pStyle w:val="TableText"/>
              <w:rPr>
                <w:rFonts w:asciiTheme="majorHAnsi" w:hAnsiTheme="majorHAnsi"/>
              </w:rPr>
            </w:pPr>
            <w:r>
              <w:rPr>
                <w:rFonts w:asciiTheme="majorHAnsi" w:hAnsiTheme="majorHAnsi"/>
              </w:rPr>
              <w:t>RL.11-12.2</w:t>
            </w:r>
          </w:p>
        </w:tc>
        <w:tc>
          <w:tcPr>
            <w:tcW w:w="8124" w:type="dxa"/>
          </w:tcPr>
          <w:p w14:paraId="5A1D8426" w14:textId="77777777" w:rsidR="00195042" w:rsidRPr="005715DD" w:rsidRDefault="00195042" w:rsidP="0017322A">
            <w:pPr>
              <w:pStyle w:val="TableText"/>
              <w:rPr>
                <w:rFonts w:asciiTheme="majorHAnsi" w:hAnsiTheme="majorHAnsi"/>
              </w:rPr>
            </w:pPr>
            <w:r w:rsidRPr="00DB3101">
              <w:rPr>
                <w:rFonts w:asciiTheme="majorHAnsi" w:hAnsiTheme="majorHAnsi"/>
              </w:rPr>
              <w:t>Determine two or more themes or central ideas of a text and analyze their development over the course of the text, including how they interact and build on one another to produce a complex account; provide an objective summary of the text.</w:t>
            </w:r>
          </w:p>
        </w:tc>
      </w:tr>
      <w:tr w:rsidR="00195042" w:rsidRPr="0063473E" w14:paraId="2E3C7210" w14:textId="77777777" w:rsidTr="0017322A">
        <w:tc>
          <w:tcPr>
            <w:tcW w:w="1344" w:type="dxa"/>
          </w:tcPr>
          <w:p w14:paraId="3AEDBA0D" w14:textId="77777777" w:rsidR="00195042" w:rsidRPr="0063473E" w:rsidRDefault="00195042" w:rsidP="0017322A">
            <w:pPr>
              <w:pStyle w:val="TableText"/>
              <w:rPr>
                <w:rFonts w:asciiTheme="majorHAnsi" w:hAnsiTheme="majorHAnsi"/>
              </w:rPr>
            </w:pPr>
            <w:r w:rsidRPr="0063473E">
              <w:rPr>
                <w:rFonts w:asciiTheme="majorHAnsi" w:hAnsiTheme="majorHAnsi"/>
              </w:rPr>
              <w:t>RL.</w:t>
            </w:r>
            <w:r>
              <w:rPr>
                <w:rFonts w:asciiTheme="majorHAnsi" w:hAnsiTheme="majorHAnsi"/>
              </w:rPr>
              <w:t>11-12</w:t>
            </w:r>
            <w:r w:rsidRPr="0063473E">
              <w:rPr>
                <w:rFonts w:asciiTheme="majorHAnsi" w:hAnsiTheme="majorHAnsi"/>
              </w:rPr>
              <w:t>.</w:t>
            </w:r>
            <w:r>
              <w:rPr>
                <w:rFonts w:asciiTheme="majorHAnsi" w:hAnsiTheme="majorHAnsi"/>
              </w:rPr>
              <w:t>3</w:t>
            </w:r>
          </w:p>
        </w:tc>
        <w:tc>
          <w:tcPr>
            <w:tcW w:w="8124" w:type="dxa"/>
          </w:tcPr>
          <w:p w14:paraId="4D075B0A" w14:textId="77777777" w:rsidR="00195042" w:rsidRPr="0063473E" w:rsidRDefault="00195042" w:rsidP="0017322A">
            <w:pPr>
              <w:pStyle w:val="TableText"/>
              <w:rPr>
                <w:rFonts w:asciiTheme="majorHAnsi" w:hAnsiTheme="majorHAnsi"/>
              </w:rPr>
            </w:pPr>
            <w:r w:rsidRPr="005715DD">
              <w:rPr>
                <w:rFonts w:asciiTheme="majorHAnsi" w:hAnsiTheme="majorHAnsi"/>
              </w:rPr>
              <w:t>Analyze the impact of the author’s choices regarding how to develop and relate elements of a story or drama (e.g., where a story is set, how the action is ordered, how the characters are introduced and developed).</w:t>
            </w:r>
          </w:p>
        </w:tc>
      </w:tr>
      <w:tr w:rsidR="00195042" w:rsidRPr="0063473E" w14:paraId="2EDFDAE2" w14:textId="77777777" w:rsidTr="0017322A">
        <w:tc>
          <w:tcPr>
            <w:tcW w:w="9468" w:type="dxa"/>
            <w:gridSpan w:val="2"/>
            <w:shd w:val="clear" w:color="auto" w:fill="76923C"/>
          </w:tcPr>
          <w:p w14:paraId="5FF0AB13" w14:textId="77777777" w:rsidR="00195042" w:rsidRPr="0063473E" w:rsidRDefault="00195042" w:rsidP="0017322A">
            <w:pPr>
              <w:pStyle w:val="TableHeaders"/>
              <w:rPr>
                <w:rFonts w:asciiTheme="majorHAnsi" w:hAnsiTheme="majorHAnsi"/>
              </w:rPr>
            </w:pPr>
            <w:r w:rsidRPr="0063473E">
              <w:rPr>
                <w:rFonts w:asciiTheme="majorHAnsi" w:hAnsiTheme="majorHAnsi"/>
              </w:rPr>
              <w:t>Addressed Standard(s)</w:t>
            </w:r>
          </w:p>
        </w:tc>
      </w:tr>
      <w:tr w:rsidR="00195042" w:rsidRPr="0063473E" w14:paraId="01D89FD6" w14:textId="77777777" w:rsidTr="0017322A">
        <w:tc>
          <w:tcPr>
            <w:tcW w:w="1344" w:type="dxa"/>
          </w:tcPr>
          <w:p w14:paraId="5CDCE7EB" w14:textId="77777777" w:rsidR="00195042" w:rsidRPr="0063473E" w:rsidRDefault="00195042" w:rsidP="0017322A">
            <w:pPr>
              <w:pStyle w:val="TableText"/>
              <w:rPr>
                <w:rFonts w:asciiTheme="majorHAnsi" w:hAnsiTheme="majorHAnsi"/>
              </w:rPr>
            </w:pPr>
            <w:r>
              <w:rPr>
                <w:rFonts w:asciiTheme="majorHAnsi" w:hAnsiTheme="majorHAnsi"/>
              </w:rPr>
              <w:t>W.11-12.9.a</w:t>
            </w:r>
          </w:p>
        </w:tc>
        <w:tc>
          <w:tcPr>
            <w:tcW w:w="8124" w:type="dxa"/>
          </w:tcPr>
          <w:p w14:paraId="21B9F7B7" w14:textId="77777777" w:rsidR="00195042" w:rsidRPr="0063473E" w:rsidRDefault="00195042" w:rsidP="0017322A">
            <w:pPr>
              <w:pStyle w:val="TableText"/>
              <w:rPr>
                <w:rFonts w:asciiTheme="majorHAnsi" w:hAnsiTheme="majorHAnsi"/>
              </w:rPr>
            </w:pPr>
            <w:r w:rsidRPr="0063473E">
              <w:rPr>
                <w:rFonts w:asciiTheme="majorHAnsi" w:hAnsiTheme="majorHAnsi"/>
              </w:rPr>
              <w:t>Draw evidence from literary or informational texts to support analysis, reflection, and research.</w:t>
            </w:r>
          </w:p>
          <w:p w14:paraId="7660FD0C" w14:textId="77777777" w:rsidR="00195042" w:rsidRPr="0063473E" w:rsidRDefault="00195042" w:rsidP="0017322A">
            <w:pPr>
              <w:pStyle w:val="SubStandard"/>
              <w:rPr>
                <w:rFonts w:asciiTheme="majorHAnsi" w:hAnsiTheme="majorHAnsi"/>
              </w:rPr>
            </w:pPr>
            <w:r w:rsidRPr="004A42A9">
              <w:rPr>
                <w:rFonts w:asciiTheme="majorHAnsi" w:hAnsiTheme="majorHAnsi"/>
              </w:rPr>
              <w:t xml:space="preserve">Apply </w:t>
            </w:r>
            <w:r w:rsidRPr="004A42A9">
              <w:rPr>
                <w:rFonts w:asciiTheme="majorHAnsi" w:hAnsiTheme="majorHAnsi"/>
                <w:i/>
              </w:rPr>
              <w:t>grades 11–12 Reading standards</w:t>
            </w:r>
            <w:r w:rsidRPr="004A42A9">
              <w:rPr>
                <w:rFonts w:asciiTheme="majorHAnsi" w:hAnsiTheme="majorHAnsi"/>
              </w:rPr>
              <w:t xml:space="preserve"> to literature (e.g., “Demonstrate knowledge of eighteenth-, nineteenth- and early-twentieth-century foundational works of American literature, including how two or more texts from the same period treat similar themes or topics”).</w:t>
            </w:r>
          </w:p>
        </w:tc>
      </w:tr>
      <w:tr w:rsidR="00195042" w:rsidRPr="0063473E" w14:paraId="5FB23E24" w14:textId="77777777" w:rsidTr="0017322A">
        <w:tc>
          <w:tcPr>
            <w:tcW w:w="1344" w:type="dxa"/>
          </w:tcPr>
          <w:p w14:paraId="6E788C90" w14:textId="77777777" w:rsidR="00195042" w:rsidRDefault="00195042" w:rsidP="0017322A">
            <w:pPr>
              <w:pStyle w:val="TableText"/>
              <w:rPr>
                <w:rFonts w:asciiTheme="majorHAnsi" w:hAnsiTheme="majorHAnsi"/>
              </w:rPr>
            </w:pPr>
            <w:r>
              <w:rPr>
                <w:rFonts w:asciiTheme="majorHAnsi" w:hAnsiTheme="majorHAnsi"/>
              </w:rPr>
              <w:t>SL.11-12.1.a, c</w:t>
            </w:r>
          </w:p>
        </w:tc>
        <w:tc>
          <w:tcPr>
            <w:tcW w:w="8124" w:type="dxa"/>
          </w:tcPr>
          <w:p w14:paraId="21B55685" w14:textId="77777777" w:rsidR="00195042" w:rsidRPr="00DB3101" w:rsidRDefault="00195042" w:rsidP="0017322A">
            <w:pPr>
              <w:pStyle w:val="TableText"/>
              <w:rPr>
                <w:rFonts w:asciiTheme="majorHAnsi" w:hAnsiTheme="majorHAnsi"/>
              </w:rPr>
            </w:pPr>
            <w:r w:rsidRPr="00DB3101">
              <w:rPr>
                <w:rFonts w:asciiTheme="majorHAnsi" w:hAnsiTheme="majorHAnsi"/>
              </w:rPr>
              <w:t xml:space="preserve">Initiate and participate effectively in a range of collaborative discussions (one-on-one, in groups, and teacher-led) with diverse partners on </w:t>
            </w:r>
            <w:r w:rsidRPr="00BE3D99">
              <w:rPr>
                <w:rFonts w:asciiTheme="majorHAnsi" w:hAnsiTheme="majorHAnsi"/>
                <w:i/>
              </w:rPr>
              <w:t>grades 11–12 topics, texts, and issues</w:t>
            </w:r>
            <w:r w:rsidRPr="00DB3101">
              <w:rPr>
                <w:rFonts w:asciiTheme="majorHAnsi" w:hAnsiTheme="majorHAnsi"/>
              </w:rPr>
              <w:t>, building on others’ ideas and expressing their own clearly and persuasively.</w:t>
            </w:r>
          </w:p>
          <w:p w14:paraId="44C4ED94" w14:textId="77777777" w:rsidR="00195042" w:rsidRDefault="00195042" w:rsidP="00195042">
            <w:pPr>
              <w:pStyle w:val="SubStandard"/>
              <w:numPr>
                <w:ilvl w:val="0"/>
                <w:numId w:val="13"/>
              </w:numPr>
            </w:pPr>
            <w:r w:rsidRPr="00DB3101">
              <w:lastRenderedPageBreak/>
              <w:t>Come to discussions prepared, having read and researched material under study; explicitly draw on that preparation by referring to evidence from texts and other research on the topic or issue to stimulate a thoughtful, well-reasoned exchange of ideas.</w:t>
            </w:r>
          </w:p>
          <w:p w14:paraId="51DB289F" w14:textId="77777777" w:rsidR="00195042" w:rsidRPr="0063473E" w:rsidRDefault="00195042" w:rsidP="00195042">
            <w:pPr>
              <w:pStyle w:val="SubStandard"/>
              <w:numPr>
                <w:ilvl w:val="0"/>
                <w:numId w:val="12"/>
              </w:numPr>
            </w:pPr>
            <w:r w:rsidRPr="00DB3101">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5406D7E0" w14:textId="77777777" w:rsidR="00195042" w:rsidRPr="0063473E" w:rsidRDefault="00195042" w:rsidP="00195042">
      <w:pPr>
        <w:pStyle w:val="Heading1"/>
        <w:rPr>
          <w:rFonts w:asciiTheme="majorHAnsi" w:hAnsiTheme="majorHAnsi"/>
        </w:rPr>
      </w:pPr>
      <w:r w:rsidRPr="0063473E">
        <w:rPr>
          <w:rFonts w:asciiTheme="majorHAnsi" w:hAnsiTheme="majorHAnsi"/>
        </w:rP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195042" w:rsidRPr="0063473E" w14:paraId="4C724EB9" w14:textId="77777777" w:rsidTr="0017322A">
        <w:tc>
          <w:tcPr>
            <w:tcW w:w="9478" w:type="dxa"/>
            <w:shd w:val="clear" w:color="auto" w:fill="76923C"/>
          </w:tcPr>
          <w:p w14:paraId="25947C53" w14:textId="77777777" w:rsidR="00195042" w:rsidRPr="0063473E" w:rsidRDefault="00195042" w:rsidP="0017322A">
            <w:pPr>
              <w:pStyle w:val="TableHeaders"/>
              <w:rPr>
                <w:rFonts w:asciiTheme="majorHAnsi" w:hAnsiTheme="majorHAnsi"/>
              </w:rPr>
            </w:pPr>
            <w:r w:rsidRPr="0063473E">
              <w:rPr>
                <w:rFonts w:asciiTheme="majorHAnsi" w:hAnsiTheme="majorHAnsi"/>
              </w:rPr>
              <w:t>Assessment(s)</w:t>
            </w:r>
          </w:p>
        </w:tc>
      </w:tr>
      <w:tr w:rsidR="00195042" w:rsidRPr="0063473E" w14:paraId="3006F5E5" w14:textId="77777777" w:rsidTr="0017322A">
        <w:tc>
          <w:tcPr>
            <w:tcW w:w="9478" w:type="dxa"/>
            <w:tcBorders>
              <w:top w:val="single" w:sz="4" w:space="0" w:color="auto"/>
              <w:left w:val="single" w:sz="4" w:space="0" w:color="auto"/>
              <w:bottom w:val="single" w:sz="4" w:space="0" w:color="auto"/>
              <w:right w:val="single" w:sz="4" w:space="0" w:color="auto"/>
            </w:tcBorders>
          </w:tcPr>
          <w:p w14:paraId="5842EF7D" w14:textId="2C5F0380" w:rsidR="00195042" w:rsidRPr="0063473E" w:rsidRDefault="00195042" w:rsidP="0017322A">
            <w:pPr>
              <w:pStyle w:val="TableText"/>
              <w:rPr>
                <w:rFonts w:asciiTheme="majorHAnsi" w:hAnsiTheme="majorHAnsi"/>
              </w:rPr>
            </w:pPr>
            <w:r w:rsidRPr="0063473E">
              <w:rPr>
                <w:rFonts w:asciiTheme="majorHAnsi" w:hAnsiTheme="majorHAnsi"/>
              </w:rPr>
              <w:t xml:space="preserve">Student learning is assessed via a Quick Write at the end of the lesson. Students </w:t>
            </w:r>
            <w:r w:rsidR="00C178A4">
              <w:rPr>
                <w:rFonts w:asciiTheme="majorHAnsi" w:hAnsiTheme="majorHAnsi"/>
              </w:rPr>
              <w:t>respond to</w:t>
            </w:r>
            <w:r w:rsidR="00C178A4" w:rsidRPr="0063473E">
              <w:rPr>
                <w:rFonts w:asciiTheme="majorHAnsi" w:hAnsiTheme="majorHAnsi"/>
              </w:rPr>
              <w:t xml:space="preserve"> </w:t>
            </w:r>
            <w:r w:rsidRPr="0063473E">
              <w:rPr>
                <w:rFonts w:asciiTheme="majorHAnsi" w:hAnsiTheme="majorHAnsi"/>
              </w:rPr>
              <w:t>the following prompt, citing textual evidence to support analysis and inferences drawn from the text.</w:t>
            </w:r>
          </w:p>
          <w:p w14:paraId="1AEA77E9" w14:textId="77777777" w:rsidR="00195042" w:rsidRPr="004A42A9" w:rsidRDefault="0017322A" w:rsidP="0017322A">
            <w:pPr>
              <w:pStyle w:val="BulletedList"/>
              <w:ind w:left="317" w:hanging="317"/>
              <w:rPr>
                <w:rFonts w:asciiTheme="majorHAnsi" w:hAnsiTheme="majorHAnsi"/>
              </w:rPr>
            </w:pPr>
            <w:r>
              <w:rPr>
                <w:rFonts w:asciiTheme="majorHAnsi" w:hAnsiTheme="majorHAnsi"/>
              </w:rPr>
              <w:t>How does Gogol’s relationship with his name further develop a central idea in the text?</w:t>
            </w:r>
          </w:p>
        </w:tc>
      </w:tr>
      <w:tr w:rsidR="00195042" w:rsidRPr="0063473E" w14:paraId="1C40BF3B" w14:textId="77777777" w:rsidTr="0017322A">
        <w:tc>
          <w:tcPr>
            <w:tcW w:w="9478" w:type="dxa"/>
            <w:shd w:val="clear" w:color="auto" w:fill="76923C"/>
          </w:tcPr>
          <w:p w14:paraId="16141A46" w14:textId="77777777" w:rsidR="00195042" w:rsidRPr="0063473E" w:rsidRDefault="00195042" w:rsidP="0017322A">
            <w:pPr>
              <w:pStyle w:val="TableHeaders"/>
              <w:rPr>
                <w:rFonts w:asciiTheme="majorHAnsi" w:hAnsiTheme="majorHAnsi"/>
              </w:rPr>
            </w:pPr>
            <w:r w:rsidRPr="0063473E">
              <w:rPr>
                <w:rFonts w:asciiTheme="majorHAnsi" w:hAnsiTheme="majorHAnsi"/>
              </w:rPr>
              <w:t>High Performance Response(s)</w:t>
            </w:r>
          </w:p>
        </w:tc>
      </w:tr>
      <w:tr w:rsidR="00195042" w:rsidRPr="0063473E" w14:paraId="73CA5A4F" w14:textId="77777777" w:rsidTr="0017322A">
        <w:tc>
          <w:tcPr>
            <w:tcW w:w="9478" w:type="dxa"/>
          </w:tcPr>
          <w:p w14:paraId="7AF4FF11" w14:textId="77777777" w:rsidR="00195042" w:rsidRPr="0063473E" w:rsidRDefault="00195042" w:rsidP="0017322A">
            <w:pPr>
              <w:pStyle w:val="TableText"/>
              <w:rPr>
                <w:rFonts w:asciiTheme="majorHAnsi" w:hAnsiTheme="majorHAnsi"/>
              </w:rPr>
            </w:pPr>
            <w:r w:rsidRPr="0063473E">
              <w:rPr>
                <w:rFonts w:asciiTheme="majorHAnsi" w:hAnsiTheme="majorHAnsi"/>
              </w:rPr>
              <w:t>A High Performance Response should:</w:t>
            </w:r>
          </w:p>
          <w:p w14:paraId="23EA17B4" w14:textId="2506129D" w:rsidR="0017322A" w:rsidRDefault="0017322A" w:rsidP="0017322A">
            <w:pPr>
              <w:pStyle w:val="BulletedList"/>
              <w:ind w:left="317" w:hanging="317"/>
              <w:rPr>
                <w:rFonts w:asciiTheme="majorHAnsi" w:hAnsiTheme="majorHAnsi"/>
              </w:rPr>
            </w:pPr>
            <w:r>
              <w:rPr>
                <w:rFonts w:asciiTheme="majorHAnsi" w:hAnsiTheme="majorHAnsi"/>
              </w:rPr>
              <w:t>Identify a central idea in the text (e.g.</w:t>
            </w:r>
            <w:r w:rsidR="00106E85">
              <w:rPr>
                <w:rFonts w:asciiTheme="majorHAnsi" w:hAnsiTheme="majorHAnsi"/>
              </w:rPr>
              <w:t>,</w:t>
            </w:r>
            <w:r>
              <w:rPr>
                <w:rFonts w:asciiTheme="majorHAnsi" w:hAnsiTheme="majorHAnsi"/>
              </w:rPr>
              <w:t xml:space="preserve"> identity</w:t>
            </w:r>
            <w:r w:rsidR="00EA7E07">
              <w:rPr>
                <w:rFonts w:asciiTheme="majorHAnsi" w:hAnsiTheme="majorHAnsi"/>
              </w:rPr>
              <w:t>, nostalgia, home</w:t>
            </w:r>
            <w:r>
              <w:rPr>
                <w:rFonts w:asciiTheme="majorHAnsi" w:hAnsiTheme="majorHAnsi"/>
              </w:rPr>
              <w:t>)</w:t>
            </w:r>
            <w:r w:rsidR="00E2570A">
              <w:rPr>
                <w:rFonts w:asciiTheme="majorHAnsi" w:hAnsiTheme="majorHAnsi"/>
              </w:rPr>
              <w:t>.</w:t>
            </w:r>
          </w:p>
          <w:p w14:paraId="0D258775" w14:textId="2299C573" w:rsidR="00195042" w:rsidRPr="0017322A" w:rsidRDefault="0017322A" w:rsidP="000E57EE">
            <w:pPr>
              <w:pStyle w:val="BulletedList"/>
              <w:ind w:left="317" w:hanging="317"/>
              <w:rPr>
                <w:rFonts w:asciiTheme="majorHAnsi" w:hAnsiTheme="majorHAnsi"/>
              </w:rPr>
            </w:pPr>
            <w:r>
              <w:rPr>
                <w:rFonts w:asciiTheme="majorHAnsi" w:hAnsiTheme="majorHAnsi"/>
              </w:rPr>
              <w:t>Analyze how Gogol’s relationship with his name further develops a central idea (e.g.</w:t>
            </w:r>
            <w:r w:rsidR="00D52058">
              <w:rPr>
                <w:rFonts w:asciiTheme="majorHAnsi" w:hAnsiTheme="majorHAnsi"/>
              </w:rPr>
              <w:t xml:space="preserve">, Gogol’s relationship </w:t>
            </w:r>
            <w:r w:rsidR="005F0A4F">
              <w:rPr>
                <w:rFonts w:asciiTheme="majorHAnsi" w:hAnsiTheme="majorHAnsi"/>
              </w:rPr>
              <w:t>with</w:t>
            </w:r>
            <w:r w:rsidR="00D52058">
              <w:rPr>
                <w:rFonts w:asciiTheme="majorHAnsi" w:hAnsiTheme="majorHAnsi"/>
              </w:rPr>
              <w:t xml:space="preserve"> his name</w:t>
            </w:r>
            <w:r w:rsidR="00073F47">
              <w:rPr>
                <w:rFonts w:asciiTheme="majorHAnsi" w:hAnsiTheme="majorHAnsi"/>
              </w:rPr>
              <w:t xml:space="preserve"> further</w:t>
            </w:r>
            <w:r w:rsidR="00D52058">
              <w:rPr>
                <w:rFonts w:asciiTheme="majorHAnsi" w:hAnsiTheme="majorHAnsi"/>
              </w:rPr>
              <w:t xml:space="preserve"> develo</w:t>
            </w:r>
            <w:r w:rsidR="00E74069">
              <w:rPr>
                <w:rFonts w:asciiTheme="majorHAnsi" w:hAnsiTheme="majorHAnsi"/>
              </w:rPr>
              <w:t>p</w:t>
            </w:r>
            <w:r w:rsidR="00D52058">
              <w:rPr>
                <w:rFonts w:asciiTheme="majorHAnsi" w:hAnsiTheme="majorHAnsi"/>
              </w:rPr>
              <w:t>s the central idea of identity because his increasing discomfort with the name Gogol reflects his awkwardness and discomfort with himself. Gogol is “viscerally” disturbed by the sight of his name in print because he feels that it at once represents him and makes him ridiculous, “as though the name were a particularly unflatteri</w:t>
            </w:r>
            <w:r w:rsidR="005274B7">
              <w:rPr>
                <w:rFonts w:asciiTheme="majorHAnsi" w:hAnsiTheme="majorHAnsi"/>
              </w:rPr>
              <w:t xml:space="preserve">ng snapshot of himself that makes him want to say in his defense, </w:t>
            </w:r>
            <w:r w:rsidR="00DE2390">
              <w:rPr>
                <w:rFonts w:asciiTheme="majorHAnsi" w:hAnsiTheme="majorHAnsi"/>
              </w:rPr>
              <w:t>‘</w:t>
            </w:r>
            <w:r w:rsidR="005274B7">
              <w:rPr>
                <w:rFonts w:asciiTheme="majorHAnsi" w:hAnsiTheme="majorHAnsi"/>
              </w:rPr>
              <w:t>That’s not really me</w:t>
            </w:r>
            <w:r w:rsidR="00DE2390">
              <w:rPr>
                <w:rFonts w:asciiTheme="majorHAnsi" w:hAnsiTheme="majorHAnsi"/>
              </w:rPr>
              <w:t>’</w:t>
            </w:r>
            <w:r w:rsidR="005274B7">
              <w:rPr>
                <w:rFonts w:asciiTheme="majorHAnsi" w:hAnsiTheme="majorHAnsi"/>
              </w:rPr>
              <w:t xml:space="preserve">” (p. 89). </w:t>
            </w:r>
            <w:r w:rsidR="00000B6E">
              <w:rPr>
                <w:rFonts w:asciiTheme="majorHAnsi" w:hAnsiTheme="majorHAnsi"/>
              </w:rPr>
              <w:t>Gogol wants to reject the image of him</w:t>
            </w:r>
            <w:r w:rsidR="00073F47">
              <w:rPr>
                <w:rFonts w:asciiTheme="majorHAnsi" w:hAnsiTheme="majorHAnsi"/>
              </w:rPr>
              <w:t>self</w:t>
            </w:r>
            <w:r w:rsidR="00000B6E">
              <w:rPr>
                <w:rFonts w:asciiTheme="majorHAnsi" w:hAnsiTheme="majorHAnsi"/>
              </w:rPr>
              <w:t xml:space="preserve"> that his name represents, refusing to read “The Overcoat” because to do so “would mean paying tribute to his namesake, accepting it somehow” (p. 92).</w:t>
            </w:r>
            <w:r w:rsidR="00B43E46">
              <w:rPr>
                <w:rFonts w:asciiTheme="majorHAnsi" w:hAnsiTheme="majorHAnsi"/>
              </w:rPr>
              <w:t xml:space="preserve"> A</w:t>
            </w:r>
            <w:r w:rsidR="00B22506">
              <w:rPr>
                <w:rFonts w:asciiTheme="majorHAnsi" w:hAnsiTheme="majorHAnsi"/>
              </w:rPr>
              <w:t>t the same time, though,</w:t>
            </w:r>
            <w:r w:rsidR="00000B6E">
              <w:rPr>
                <w:rFonts w:asciiTheme="majorHAnsi" w:hAnsiTheme="majorHAnsi"/>
              </w:rPr>
              <w:t xml:space="preserve"> he remains trapped by his name, feeling “perversely responsible” (p. 92) when his classmates complain about the story. However, the setting of the college party gives him greater freedom. </w:t>
            </w:r>
            <w:r w:rsidR="005274B7">
              <w:rPr>
                <w:rFonts w:asciiTheme="majorHAnsi" w:hAnsiTheme="majorHAnsi"/>
              </w:rPr>
              <w:t xml:space="preserve">By introducing himself to Kim as </w:t>
            </w:r>
            <w:r w:rsidR="00EA7E07">
              <w:rPr>
                <w:rFonts w:asciiTheme="majorHAnsi" w:hAnsiTheme="majorHAnsi"/>
              </w:rPr>
              <w:t>“</w:t>
            </w:r>
            <w:r w:rsidR="005274B7">
              <w:rPr>
                <w:rFonts w:asciiTheme="majorHAnsi" w:hAnsiTheme="majorHAnsi"/>
              </w:rPr>
              <w:t>Nikhil</w:t>
            </w:r>
            <w:r w:rsidR="00106E85">
              <w:rPr>
                <w:rFonts w:asciiTheme="majorHAnsi" w:hAnsiTheme="majorHAnsi"/>
              </w:rPr>
              <w:t>,</w:t>
            </w:r>
            <w:r w:rsidR="00EA7E07">
              <w:rPr>
                <w:rFonts w:asciiTheme="majorHAnsi" w:hAnsiTheme="majorHAnsi"/>
              </w:rPr>
              <w:t>”</w:t>
            </w:r>
            <w:r w:rsidR="005274B7">
              <w:rPr>
                <w:rFonts w:asciiTheme="majorHAnsi" w:hAnsiTheme="majorHAnsi"/>
              </w:rPr>
              <w:t xml:space="preserve"> Gogol frees himself to form a new</w:t>
            </w:r>
            <w:r w:rsidR="007F1A8B">
              <w:rPr>
                <w:rFonts w:asciiTheme="majorHAnsi" w:hAnsiTheme="majorHAnsi"/>
              </w:rPr>
              <w:t xml:space="preserve"> </w:t>
            </w:r>
            <w:r w:rsidR="005274B7">
              <w:rPr>
                <w:rFonts w:asciiTheme="majorHAnsi" w:hAnsiTheme="majorHAnsi"/>
              </w:rPr>
              <w:t>identity</w:t>
            </w:r>
            <w:r w:rsidR="000B1844">
              <w:rPr>
                <w:rFonts w:asciiTheme="majorHAnsi" w:hAnsiTheme="majorHAnsi"/>
              </w:rPr>
              <w:t>, as someone who is “brave” enough to kiss Kim</w:t>
            </w:r>
            <w:r w:rsidR="000E57EE">
              <w:rPr>
                <w:rFonts w:asciiTheme="majorHAnsi" w:hAnsiTheme="majorHAnsi"/>
              </w:rPr>
              <w:t xml:space="preserve"> (p. 96)</w:t>
            </w:r>
            <w:r w:rsidR="00E2570A">
              <w:rPr>
                <w:rFonts w:asciiTheme="majorHAnsi" w:hAnsiTheme="majorHAnsi"/>
              </w:rPr>
              <w:t>.</w:t>
            </w:r>
            <w:r w:rsidR="002F1C3D">
              <w:rPr>
                <w:rFonts w:asciiTheme="majorHAnsi" w:hAnsiTheme="majorHAnsi"/>
              </w:rPr>
              <w:t>)</w:t>
            </w:r>
            <w:r w:rsidR="005274B7">
              <w:rPr>
                <w:rFonts w:asciiTheme="majorHAnsi" w:hAnsiTheme="majorHAnsi"/>
              </w:rPr>
              <w:t>.</w:t>
            </w:r>
          </w:p>
        </w:tc>
      </w:tr>
    </w:tbl>
    <w:p w14:paraId="777DA95D" w14:textId="77777777" w:rsidR="00217A92" w:rsidRDefault="00217A92">
      <w:pPr>
        <w:spacing w:before="0" w:after="200" w:line="240" w:lineRule="auto"/>
        <w:rPr>
          <w:rFonts w:asciiTheme="majorHAnsi" w:hAnsiTheme="majorHAnsi"/>
          <w:b/>
          <w:bCs/>
          <w:color w:val="365F91"/>
          <w:sz w:val="32"/>
          <w:szCs w:val="28"/>
        </w:rPr>
      </w:pPr>
      <w:r>
        <w:rPr>
          <w:rFonts w:asciiTheme="majorHAnsi" w:hAnsiTheme="majorHAnsi"/>
        </w:rPr>
        <w:br w:type="page"/>
      </w:r>
    </w:p>
    <w:p w14:paraId="34F77B7E" w14:textId="0DFE7FE8" w:rsidR="00195042" w:rsidRDefault="00195042" w:rsidP="00217A92">
      <w:pPr>
        <w:pStyle w:val="Heading1"/>
        <w:rPr>
          <w:rFonts w:asciiTheme="majorHAnsi" w:hAnsiTheme="majorHAnsi"/>
        </w:rPr>
      </w:pPr>
      <w:r w:rsidRPr="0063473E">
        <w:rPr>
          <w:rFonts w:asciiTheme="majorHAnsi" w:hAnsiTheme="majorHAnsi"/>
        </w:rP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95042" w:rsidRPr="000752C0" w14:paraId="385E8AD1" w14:textId="77777777" w:rsidTr="0017322A">
        <w:tc>
          <w:tcPr>
            <w:tcW w:w="9450" w:type="dxa"/>
            <w:shd w:val="clear" w:color="auto" w:fill="76923C"/>
          </w:tcPr>
          <w:p w14:paraId="15494EBE" w14:textId="0126F5BF" w:rsidR="00195042" w:rsidRPr="000752C0" w:rsidRDefault="00AC0BB7" w:rsidP="0017322A">
            <w:pPr>
              <w:pStyle w:val="TableHeaders"/>
            </w:pPr>
            <w:r w:rsidRPr="00AC0BB7">
              <w:t>Vocabulary to provide directly (will not include extended instruction)</w:t>
            </w:r>
          </w:p>
        </w:tc>
      </w:tr>
      <w:tr w:rsidR="00195042" w:rsidRPr="000752C0" w14:paraId="0C07C820" w14:textId="77777777" w:rsidTr="0017322A">
        <w:tc>
          <w:tcPr>
            <w:tcW w:w="9450" w:type="dxa"/>
          </w:tcPr>
          <w:p w14:paraId="1E004BD2" w14:textId="52F3A743" w:rsidR="00195042" w:rsidRDefault="00CA1840" w:rsidP="0017322A">
            <w:pPr>
              <w:pStyle w:val="BulletedList"/>
              <w:ind w:left="317" w:hanging="317"/>
            </w:pPr>
            <w:r>
              <w:t>benign (adj.)</w:t>
            </w:r>
            <w:r w:rsidR="00F44970">
              <w:t xml:space="preserve"> –</w:t>
            </w:r>
            <w:r w:rsidR="00106E85">
              <w:t xml:space="preserve"> </w:t>
            </w:r>
            <w:r w:rsidR="00242DAF">
              <w:t xml:space="preserve">showing or expressive of gentleness or kindness </w:t>
            </w:r>
          </w:p>
          <w:p w14:paraId="0C696D3E" w14:textId="7F467F6F" w:rsidR="00CA1840" w:rsidRDefault="00CA1840" w:rsidP="00F44970">
            <w:pPr>
              <w:pStyle w:val="BulletedList"/>
              <w:ind w:left="317" w:hanging="317"/>
            </w:pPr>
            <w:r>
              <w:t xml:space="preserve">viscerally (adv.) </w:t>
            </w:r>
            <w:r w:rsidR="00F44970">
              <w:t xml:space="preserve">– as if in the internal organs of the body; deeply </w:t>
            </w:r>
          </w:p>
          <w:p w14:paraId="4A305FD5" w14:textId="1452F1B5" w:rsidR="007F1A8B" w:rsidRDefault="007F1A8B" w:rsidP="00F44970">
            <w:pPr>
              <w:pStyle w:val="BulletedList"/>
              <w:ind w:left="317" w:hanging="317"/>
            </w:pPr>
            <w:r>
              <w:t>deterioratio</w:t>
            </w:r>
            <w:r w:rsidR="00242DAF">
              <w:t xml:space="preserve">n (n.) – gradual decline </w:t>
            </w:r>
          </w:p>
          <w:p w14:paraId="15BAFFF2" w14:textId="1554F2A5" w:rsidR="007F1A8B" w:rsidRDefault="007F1A8B" w:rsidP="00F44970">
            <w:pPr>
              <w:pStyle w:val="BulletedList"/>
              <w:ind w:left="317" w:hanging="317"/>
            </w:pPr>
            <w:r>
              <w:t xml:space="preserve">perversely (adv.) – counter to what is expected; contrarily </w:t>
            </w:r>
          </w:p>
          <w:p w14:paraId="43908E9B" w14:textId="4A03B361" w:rsidR="00F44970" w:rsidRDefault="00F44970" w:rsidP="00F44970">
            <w:pPr>
              <w:pStyle w:val="BulletedList"/>
              <w:ind w:left="317" w:hanging="317"/>
            </w:pPr>
            <w:r>
              <w:t>hypochondriac (</w:t>
            </w:r>
            <w:r w:rsidR="00106E85">
              <w:t>n</w:t>
            </w:r>
            <w:r>
              <w:t xml:space="preserve">.) – </w:t>
            </w:r>
            <w:r w:rsidR="007842AF">
              <w:t xml:space="preserve">a person who </w:t>
            </w:r>
            <w:r w:rsidR="00056CAF">
              <w:t xml:space="preserve">is often or always worried about being ill </w:t>
            </w:r>
          </w:p>
          <w:p w14:paraId="7AFBFBEF" w14:textId="27643E05" w:rsidR="00F44970" w:rsidRDefault="00F44970" w:rsidP="00F44970">
            <w:pPr>
              <w:pStyle w:val="BulletedList"/>
              <w:ind w:left="317" w:hanging="317"/>
            </w:pPr>
            <w:r>
              <w:t xml:space="preserve">melancholic (adj.) – </w:t>
            </w:r>
            <w:r w:rsidR="007842AF">
              <w:t xml:space="preserve">gloomy </w:t>
            </w:r>
          </w:p>
          <w:p w14:paraId="1BBBBB29" w14:textId="4BAC11F1" w:rsidR="00FA1D74" w:rsidRPr="000752C0" w:rsidRDefault="006C6C64" w:rsidP="00B22506">
            <w:pPr>
              <w:pStyle w:val="BulletedList"/>
              <w:ind w:left="317" w:hanging="317"/>
            </w:pPr>
            <w:r>
              <w:t xml:space="preserve">surreptitious (adj.) – secret or unauthorized </w:t>
            </w:r>
          </w:p>
        </w:tc>
      </w:tr>
      <w:tr w:rsidR="00195042" w:rsidRPr="000752C0" w14:paraId="6FC25C5E" w14:textId="77777777" w:rsidTr="0017322A">
        <w:tc>
          <w:tcPr>
            <w:tcW w:w="9450" w:type="dxa"/>
            <w:shd w:val="clear" w:color="auto" w:fill="76923C"/>
          </w:tcPr>
          <w:p w14:paraId="219517E4" w14:textId="77777777" w:rsidR="00195042" w:rsidRPr="000752C0" w:rsidRDefault="00195042" w:rsidP="0017322A">
            <w:pPr>
              <w:pStyle w:val="TableHeaders"/>
            </w:pPr>
            <w:r w:rsidRPr="000752C0">
              <w:t>Vocabulary to teach (may include direct word work and/or questions)</w:t>
            </w:r>
          </w:p>
        </w:tc>
      </w:tr>
      <w:tr w:rsidR="00195042" w:rsidRPr="000752C0" w14:paraId="598DB618" w14:textId="77777777" w:rsidTr="0017322A">
        <w:tc>
          <w:tcPr>
            <w:tcW w:w="9450" w:type="dxa"/>
          </w:tcPr>
          <w:p w14:paraId="0E5E7A7D" w14:textId="5F9203C4" w:rsidR="00195042" w:rsidRPr="000752C0" w:rsidRDefault="0017322A" w:rsidP="0017322A">
            <w:pPr>
              <w:pStyle w:val="BulletedList"/>
              <w:ind w:left="317" w:hanging="317"/>
            </w:pPr>
            <w:r>
              <w:t>None</w:t>
            </w:r>
            <w:r w:rsidR="00A84A36">
              <w:t>.</w:t>
            </w:r>
          </w:p>
        </w:tc>
      </w:tr>
      <w:tr w:rsidR="00195042" w:rsidRPr="000752C0" w14:paraId="1E4A05DA" w14:textId="77777777" w:rsidTr="0017322A">
        <w:tc>
          <w:tcPr>
            <w:tcW w:w="9450" w:type="dxa"/>
            <w:shd w:val="clear" w:color="auto" w:fill="76923C"/>
          </w:tcPr>
          <w:p w14:paraId="2C8FA8C3" w14:textId="43A52A33" w:rsidR="00195042" w:rsidRPr="000752C0" w:rsidRDefault="00195042" w:rsidP="00BB69EB">
            <w:pPr>
              <w:pStyle w:val="TableHeaders"/>
            </w:pPr>
            <w:r w:rsidRPr="000752C0">
              <w:t xml:space="preserve">Additional vocabulary to support English Language Learners </w:t>
            </w:r>
            <w:r w:rsidR="00BB69EB">
              <w:t>(to provide directly)</w:t>
            </w:r>
          </w:p>
        </w:tc>
      </w:tr>
      <w:tr w:rsidR="00195042" w:rsidRPr="000752C0" w14:paraId="6110F7E3" w14:textId="77777777" w:rsidTr="0017322A">
        <w:tc>
          <w:tcPr>
            <w:tcW w:w="9450" w:type="dxa"/>
          </w:tcPr>
          <w:p w14:paraId="18CF3AD7" w14:textId="751DF2CA" w:rsidR="00B22506" w:rsidRPr="000752C0" w:rsidRDefault="00B22506" w:rsidP="007842AF">
            <w:pPr>
              <w:pStyle w:val="BulletedList"/>
              <w:ind w:left="317" w:hanging="317"/>
            </w:pPr>
            <w:r>
              <w:t xml:space="preserve">elation (n.) – a feeling or state of </w:t>
            </w:r>
            <w:r w:rsidR="00586B92">
              <w:t>happiness and excitement</w:t>
            </w:r>
            <w:r>
              <w:t xml:space="preserve"> </w:t>
            </w:r>
          </w:p>
        </w:tc>
      </w:tr>
    </w:tbl>
    <w:p w14:paraId="630298A1" w14:textId="77777777" w:rsidR="00195042" w:rsidRPr="0063473E" w:rsidRDefault="00195042" w:rsidP="00195042">
      <w:pPr>
        <w:pStyle w:val="Heading1"/>
        <w:rPr>
          <w:rFonts w:asciiTheme="majorHAnsi" w:hAnsiTheme="majorHAnsi"/>
        </w:rPr>
      </w:pPr>
      <w:r w:rsidRPr="0063473E">
        <w:rPr>
          <w:rFonts w:asciiTheme="majorHAnsi" w:hAnsiTheme="majorHAnsi"/>
        </w:rP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195042" w:rsidRPr="0063473E" w14:paraId="329A584D" w14:textId="77777777" w:rsidTr="0017322A">
        <w:tc>
          <w:tcPr>
            <w:tcW w:w="7830" w:type="dxa"/>
            <w:tcBorders>
              <w:bottom w:val="single" w:sz="4" w:space="0" w:color="auto"/>
            </w:tcBorders>
            <w:shd w:val="clear" w:color="auto" w:fill="76923C"/>
          </w:tcPr>
          <w:p w14:paraId="75A6382B" w14:textId="77777777" w:rsidR="00195042" w:rsidRPr="0063473E" w:rsidRDefault="00195042" w:rsidP="0017322A">
            <w:pPr>
              <w:pStyle w:val="TableHeaders"/>
              <w:rPr>
                <w:rFonts w:asciiTheme="majorHAnsi" w:hAnsiTheme="majorHAnsi"/>
              </w:rPr>
            </w:pPr>
            <w:r w:rsidRPr="0063473E">
              <w:rPr>
                <w:rFonts w:asciiTheme="majorHAnsi" w:hAnsiTheme="majorHAnsi"/>
              </w:rPr>
              <w:t>Student-Facing Agenda</w:t>
            </w:r>
          </w:p>
        </w:tc>
        <w:tc>
          <w:tcPr>
            <w:tcW w:w="1638" w:type="dxa"/>
            <w:tcBorders>
              <w:bottom w:val="single" w:sz="4" w:space="0" w:color="auto"/>
            </w:tcBorders>
            <w:shd w:val="clear" w:color="auto" w:fill="76923C"/>
          </w:tcPr>
          <w:p w14:paraId="04C5C81B" w14:textId="77777777" w:rsidR="00195042" w:rsidRPr="0063473E" w:rsidRDefault="00195042" w:rsidP="0017322A">
            <w:pPr>
              <w:pStyle w:val="TableHeaders"/>
              <w:rPr>
                <w:rFonts w:asciiTheme="majorHAnsi" w:hAnsiTheme="majorHAnsi"/>
              </w:rPr>
            </w:pPr>
            <w:r w:rsidRPr="0063473E">
              <w:rPr>
                <w:rFonts w:asciiTheme="majorHAnsi" w:hAnsiTheme="majorHAnsi"/>
              </w:rPr>
              <w:t>% of Lesson</w:t>
            </w:r>
          </w:p>
        </w:tc>
      </w:tr>
      <w:tr w:rsidR="00195042" w:rsidRPr="0063473E" w14:paraId="3D8C2F5B" w14:textId="77777777" w:rsidTr="0017322A">
        <w:trPr>
          <w:trHeight w:val="1313"/>
        </w:trPr>
        <w:tc>
          <w:tcPr>
            <w:tcW w:w="7830" w:type="dxa"/>
            <w:tcBorders>
              <w:bottom w:val="nil"/>
            </w:tcBorders>
          </w:tcPr>
          <w:p w14:paraId="663A470E" w14:textId="77777777" w:rsidR="00195042" w:rsidRPr="0063473E" w:rsidRDefault="00195042" w:rsidP="0017322A">
            <w:pPr>
              <w:pStyle w:val="TableText"/>
              <w:rPr>
                <w:rFonts w:asciiTheme="majorHAnsi" w:hAnsiTheme="majorHAnsi"/>
                <w:b/>
              </w:rPr>
            </w:pPr>
            <w:r w:rsidRPr="0063473E">
              <w:rPr>
                <w:rFonts w:asciiTheme="majorHAnsi" w:hAnsiTheme="majorHAnsi"/>
                <w:b/>
              </w:rPr>
              <w:t>Standards &amp; Text:</w:t>
            </w:r>
          </w:p>
          <w:p w14:paraId="226D2455" w14:textId="18F833DC" w:rsidR="00E2570A" w:rsidRDefault="00195042" w:rsidP="0017322A">
            <w:pPr>
              <w:pStyle w:val="BulletedList"/>
              <w:ind w:left="317" w:hanging="317"/>
              <w:rPr>
                <w:rFonts w:asciiTheme="majorHAnsi" w:hAnsiTheme="majorHAnsi"/>
              </w:rPr>
            </w:pPr>
            <w:r w:rsidRPr="001A7340">
              <w:rPr>
                <w:rFonts w:asciiTheme="majorHAnsi" w:hAnsiTheme="majorHAnsi"/>
              </w:rPr>
              <w:t xml:space="preserve">Standards: </w:t>
            </w:r>
            <w:r>
              <w:rPr>
                <w:rFonts w:asciiTheme="majorHAnsi" w:hAnsiTheme="majorHAnsi"/>
              </w:rPr>
              <w:t xml:space="preserve">RL.11-12.2, </w:t>
            </w:r>
            <w:r w:rsidRPr="001A7340">
              <w:rPr>
                <w:rFonts w:asciiTheme="majorHAnsi" w:hAnsiTheme="majorHAnsi"/>
              </w:rPr>
              <w:t>RL.11-12.</w:t>
            </w:r>
            <w:r>
              <w:rPr>
                <w:rFonts w:asciiTheme="majorHAnsi" w:hAnsiTheme="majorHAnsi"/>
              </w:rPr>
              <w:t>3</w:t>
            </w:r>
            <w:r w:rsidRPr="001A7340">
              <w:rPr>
                <w:rFonts w:asciiTheme="majorHAnsi" w:hAnsiTheme="majorHAnsi"/>
              </w:rPr>
              <w:t>, W.11-12.9.a</w:t>
            </w:r>
            <w:r>
              <w:rPr>
                <w:rFonts w:asciiTheme="majorHAnsi" w:hAnsiTheme="majorHAnsi"/>
              </w:rPr>
              <w:t>, SL.11-12.1.a, c</w:t>
            </w:r>
          </w:p>
          <w:p w14:paraId="6D6E9F78" w14:textId="0670F364" w:rsidR="00195042" w:rsidRPr="00A84A36" w:rsidRDefault="00195042" w:rsidP="00A84A36">
            <w:pPr>
              <w:pStyle w:val="BulletedList"/>
            </w:pPr>
            <w:r w:rsidRPr="00A84A36">
              <w:t xml:space="preserve">Text: </w:t>
            </w:r>
            <w:r w:rsidR="0017322A" w:rsidRPr="00A84A36">
              <w:rPr>
                <w:i/>
              </w:rPr>
              <w:t>The Namesak</w:t>
            </w:r>
            <w:r w:rsidR="00AE4ED2" w:rsidRPr="00A84A36">
              <w:rPr>
                <w:i/>
              </w:rPr>
              <w:t>e</w:t>
            </w:r>
            <w:r w:rsidRPr="00A84A36">
              <w:t xml:space="preserve"> by </w:t>
            </w:r>
            <w:r w:rsidR="0017322A" w:rsidRPr="00A84A36">
              <w:t>Jhumpa Lahiri</w:t>
            </w:r>
            <w:r w:rsidRPr="00A84A36">
              <w:t xml:space="preserve">, </w:t>
            </w:r>
            <w:r w:rsidR="0017322A" w:rsidRPr="00A84A36">
              <w:t xml:space="preserve">pages </w:t>
            </w:r>
            <w:r w:rsidR="00FA1D74" w:rsidRPr="00A84A36">
              <w:t>88</w:t>
            </w:r>
            <w:r w:rsidR="00CA7E04" w:rsidRPr="00A84A36">
              <w:t>–</w:t>
            </w:r>
            <w:r w:rsidR="00FA1D74" w:rsidRPr="00A84A36">
              <w:t>96</w:t>
            </w:r>
          </w:p>
        </w:tc>
        <w:tc>
          <w:tcPr>
            <w:tcW w:w="1638" w:type="dxa"/>
            <w:tcBorders>
              <w:bottom w:val="nil"/>
            </w:tcBorders>
          </w:tcPr>
          <w:p w14:paraId="47E8BE7F" w14:textId="77777777" w:rsidR="00195042" w:rsidRPr="0063473E" w:rsidRDefault="00195042" w:rsidP="0017322A">
            <w:pPr>
              <w:rPr>
                <w:rFonts w:asciiTheme="majorHAnsi" w:hAnsiTheme="majorHAnsi"/>
              </w:rPr>
            </w:pPr>
          </w:p>
          <w:p w14:paraId="46E0EA60" w14:textId="77777777" w:rsidR="00195042" w:rsidRPr="0063473E" w:rsidRDefault="00195042" w:rsidP="0017322A">
            <w:pPr>
              <w:pStyle w:val="NumberedList"/>
              <w:numPr>
                <w:ilvl w:val="0"/>
                <w:numId w:val="0"/>
              </w:numPr>
              <w:rPr>
                <w:rFonts w:asciiTheme="majorHAnsi" w:hAnsiTheme="majorHAnsi"/>
              </w:rPr>
            </w:pPr>
          </w:p>
        </w:tc>
      </w:tr>
      <w:tr w:rsidR="00195042" w:rsidRPr="0063473E" w14:paraId="29190B5D" w14:textId="77777777" w:rsidTr="0017322A">
        <w:tc>
          <w:tcPr>
            <w:tcW w:w="7830" w:type="dxa"/>
            <w:tcBorders>
              <w:top w:val="nil"/>
            </w:tcBorders>
          </w:tcPr>
          <w:p w14:paraId="46017EAA" w14:textId="77777777" w:rsidR="00195042" w:rsidRPr="0063473E" w:rsidRDefault="00195042" w:rsidP="0017322A">
            <w:pPr>
              <w:pStyle w:val="TableText"/>
              <w:rPr>
                <w:rFonts w:asciiTheme="majorHAnsi" w:hAnsiTheme="majorHAnsi"/>
                <w:b/>
              </w:rPr>
            </w:pPr>
            <w:r w:rsidRPr="0063473E">
              <w:rPr>
                <w:rFonts w:asciiTheme="majorHAnsi" w:hAnsiTheme="majorHAnsi"/>
                <w:b/>
              </w:rPr>
              <w:t>Learning Sequence:</w:t>
            </w:r>
          </w:p>
          <w:p w14:paraId="426519F9"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Introduction of Lesson Agenda</w:t>
            </w:r>
          </w:p>
          <w:p w14:paraId="3BA2339C"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 xml:space="preserve">Homework Accountability </w:t>
            </w:r>
          </w:p>
          <w:p w14:paraId="58A2AC74" w14:textId="77777777" w:rsidR="00195042" w:rsidRPr="0063473E" w:rsidRDefault="00195042" w:rsidP="0017322A">
            <w:pPr>
              <w:pStyle w:val="NumberedList"/>
              <w:numPr>
                <w:ilvl w:val="0"/>
                <w:numId w:val="11"/>
              </w:numPr>
              <w:rPr>
                <w:rFonts w:asciiTheme="majorHAnsi" w:hAnsiTheme="majorHAnsi"/>
              </w:rPr>
            </w:pPr>
            <w:r>
              <w:rPr>
                <w:rFonts w:asciiTheme="majorHAnsi" w:hAnsiTheme="majorHAnsi"/>
              </w:rPr>
              <w:t xml:space="preserve">Jigsaw </w:t>
            </w:r>
            <w:r w:rsidRPr="0063473E">
              <w:rPr>
                <w:rFonts w:asciiTheme="majorHAnsi" w:hAnsiTheme="majorHAnsi"/>
              </w:rPr>
              <w:t>Discussion</w:t>
            </w:r>
          </w:p>
          <w:p w14:paraId="73BED499"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Quick Write</w:t>
            </w:r>
          </w:p>
          <w:p w14:paraId="7AEEF873"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Closing</w:t>
            </w:r>
          </w:p>
        </w:tc>
        <w:tc>
          <w:tcPr>
            <w:tcW w:w="1638" w:type="dxa"/>
            <w:tcBorders>
              <w:top w:val="nil"/>
            </w:tcBorders>
          </w:tcPr>
          <w:p w14:paraId="3CBE522F" w14:textId="77777777" w:rsidR="00195042" w:rsidRPr="0063473E" w:rsidRDefault="00195042" w:rsidP="0017322A">
            <w:pPr>
              <w:pStyle w:val="TableText"/>
              <w:rPr>
                <w:rFonts w:asciiTheme="majorHAnsi" w:hAnsiTheme="majorHAnsi"/>
              </w:rPr>
            </w:pPr>
          </w:p>
          <w:p w14:paraId="6C639908" w14:textId="77777777" w:rsidR="00195042" w:rsidRPr="0063473E" w:rsidRDefault="00195042" w:rsidP="0017322A">
            <w:pPr>
              <w:pStyle w:val="NumberedList"/>
              <w:rPr>
                <w:rFonts w:asciiTheme="majorHAnsi" w:hAnsiTheme="majorHAnsi"/>
              </w:rPr>
            </w:pPr>
            <w:r>
              <w:rPr>
                <w:rFonts w:asciiTheme="majorHAnsi" w:hAnsiTheme="majorHAnsi"/>
              </w:rPr>
              <w:t>5</w:t>
            </w:r>
            <w:r w:rsidRPr="0063473E">
              <w:rPr>
                <w:rFonts w:asciiTheme="majorHAnsi" w:hAnsiTheme="majorHAnsi"/>
              </w:rPr>
              <w:t>%</w:t>
            </w:r>
          </w:p>
          <w:p w14:paraId="43F2BE71" w14:textId="07DC7704" w:rsidR="00195042" w:rsidRPr="0063473E" w:rsidRDefault="00FA1D74" w:rsidP="0017322A">
            <w:pPr>
              <w:pStyle w:val="NumberedList"/>
              <w:numPr>
                <w:ilvl w:val="0"/>
                <w:numId w:val="11"/>
              </w:numPr>
              <w:rPr>
                <w:rFonts w:asciiTheme="majorHAnsi" w:hAnsiTheme="majorHAnsi"/>
              </w:rPr>
            </w:pPr>
            <w:r>
              <w:rPr>
                <w:rFonts w:asciiTheme="majorHAnsi" w:hAnsiTheme="majorHAnsi"/>
              </w:rPr>
              <w:t>20</w:t>
            </w:r>
            <w:r w:rsidR="00195042" w:rsidRPr="0063473E">
              <w:rPr>
                <w:rFonts w:asciiTheme="majorHAnsi" w:hAnsiTheme="majorHAnsi"/>
              </w:rPr>
              <w:t>%</w:t>
            </w:r>
          </w:p>
          <w:p w14:paraId="5280DCAD" w14:textId="2FCE99EA" w:rsidR="00195042" w:rsidRPr="0063473E" w:rsidRDefault="00FA1D74" w:rsidP="0017322A">
            <w:pPr>
              <w:pStyle w:val="NumberedList"/>
              <w:numPr>
                <w:ilvl w:val="0"/>
                <w:numId w:val="11"/>
              </w:numPr>
              <w:rPr>
                <w:rFonts w:asciiTheme="majorHAnsi" w:hAnsiTheme="majorHAnsi"/>
              </w:rPr>
            </w:pPr>
            <w:r>
              <w:rPr>
                <w:rFonts w:asciiTheme="majorHAnsi" w:hAnsiTheme="majorHAnsi"/>
              </w:rPr>
              <w:t>55</w:t>
            </w:r>
            <w:r w:rsidR="00195042" w:rsidRPr="0063473E">
              <w:rPr>
                <w:rFonts w:asciiTheme="majorHAnsi" w:hAnsiTheme="majorHAnsi"/>
              </w:rPr>
              <w:t>%</w:t>
            </w:r>
          </w:p>
          <w:p w14:paraId="349EBAB4"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15%</w:t>
            </w:r>
          </w:p>
          <w:p w14:paraId="486D6DC5" w14:textId="77777777" w:rsidR="00195042" w:rsidRPr="0063473E" w:rsidRDefault="00195042" w:rsidP="0017322A">
            <w:pPr>
              <w:pStyle w:val="NumberedList"/>
              <w:numPr>
                <w:ilvl w:val="0"/>
                <w:numId w:val="11"/>
              </w:numPr>
              <w:rPr>
                <w:rFonts w:asciiTheme="majorHAnsi" w:hAnsiTheme="majorHAnsi"/>
              </w:rPr>
            </w:pPr>
            <w:r w:rsidRPr="0063473E">
              <w:rPr>
                <w:rFonts w:asciiTheme="majorHAnsi" w:hAnsiTheme="majorHAnsi"/>
              </w:rPr>
              <w:t>5%</w:t>
            </w:r>
          </w:p>
        </w:tc>
      </w:tr>
    </w:tbl>
    <w:p w14:paraId="40D5BEBC" w14:textId="77777777" w:rsidR="00195042" w:rsidRPr="0063473E" w:rsidRDefault="00195042" w:rsidP="00195042">
      <w:pPr>
        <w:pStyle w:val="Heading1"/>
        <w:rPr>
          <w:rFonts w:asciiTheme="majorHAnsi" w:hAnsiTheme="majorHAnsi"/>
        </w:rPr>
      </w:pPr>
      <w:r w:rsidRPr="0063473E">
        <w:rPr>
          <w:rFonts w:asciiTheme="majorHAnsi" w:hAnsiTheme="majorHAnsi"/>
        </w:rPr>
        <w:t>Materials</w:t>
      </w:r>
    </w:p>
    <w:p w14:paraId="630304DE" w14:textId="3054210B" w:rsidR="00195042" w:rsidRPr="0063473E" w:rsidRDefault="00195042" w:rsidP="00195042">
      <w:pPr>
        <w:pStyle w:val="BulletedList"/>
        <w:ind w:left="317" w:hanging="317"/>
        <w:rPr>
          <w:rFonts w:asciiTheme="majorHAnsi" w:hAnsiTheme="majorHAnsi"/>
        </w:rPr>
      </w:pPr>
      <w:r w:rsidRPr="0063473E">
        <w:rPr>
          <w:rFonts w:asciiTheme="majorHAnsi" w:hAnsiTheme="majorHAnsi"/>
        </w:rPr>
        <w:t>Student copies of the Short Response Rubric</w:t>
      </w:r>
      <w:r w:rsidR="00EE1A00">
        <w:rPr>
          <w:rFonts w:asciiTheme="majorHAnsi" w:hAnsiTheme="majorHAnsi"/>
        </w:rPr>
        <w:t xml:space="preserve"> and Checklist</w:t>
      </w:r>
      <w:r w:rsidRPr="0063473E">
        <w:rPr>
          <w:rFonts w:asciiTheme="majorHAnsi" w:hAnsiTheme="majorHAnsi"/>
        </w:rPr>
        <w:t xml:space="preserve"> (refer </w:t>
      </w:r>
      <w:r>
        <w:rPr>
          <w:rFonts w:asciiTheme="majorHAnsi" w:hAnsiTheme="majorHAnsi"/>
        </w:rPr>
        <w:t>to 12.4.1</w:t>
      </w:r>
      <w:r w:rsidRPr="0063473E">
        <w:rPr>
          <w:rFonts w:asciiTheme="majorHAnsi" w:hAnsiTheme="majorHAnsi"/>
        </w:rPr>
        <w:t xml:space="preserve"> Lesson 1)</w:t>
      </w:r>
      <w:r>
        <w:rPr>
          <w:rFonts w:asciiTheme="majorHAnsi" w:hAnsiTheme="majorHAnsi"/>
        </w:rPr>
        <w:t xml:space="preserve"> (optional)</w:t>
      </w:r>
    </w:p>
    <w:p w14:paraId="05DE98EF" w14:textId="77777777" w:rsidR="00195042" w:rsidRPr="0063473E" w:rsidRDefault="00195042" w:rsidP="00195042">
      <w:pPr>
        <w:pStyle w:val="Heading1"/>
        <w:rPr>
          <w:rFonts w:asciiTheme="majorHAnsi" w:hAnsiTheme="majorHAnsi"/>
        </w:rPr>
      </w:pPr>
      <w:r w:rsidRPr="0063473E">
        <w:rPr>
          <w:rFonts w:asciiTheme="majorHAnsi" w:hAnsiTheme="majorHAnsi"/>
        </w:rPr>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195042" w:rsidRPr="0063473E" w14:paraId="0BA66C9E" w14:textId="77777777" w:rsidTr="0017322A">
        <w:tc>
          <w:tcPr>
            <w:tcW w:w="9468" w:type="dxa"/>
            <w:gridSpan w:val="2"/>
            <w:shd w:val="clear" w:color="auto" w:fill="76923C" w:themeFill="accent3" w:themeFillShade="BF"/>
          </w:tcPr>
          <w:p w14:paraId="479DCBF6" w14:textId="77777777" w:rsidR="00195042" w:rsidRPr="0063473E" w:rsidRDefault="00195042" w:rsidP="0017322A">
            <w:pPr>
              <w:pStyle w:val="TableHeaders"/>
              <w:rPr>
                <w:rFonts w:asciiTheme="majorHAnsi" w:hAnsiTheme="majorHAnsi"/>
              </w:rPr>
            </w:pPr>
            <w:r w:rsidRPr="0063473E">
              <w:rPr>
                <w:rFonts w:asciiTheme="majorHAnsi" w:hAnsiTheme="majorHAnsi"/>
              </w:rPr>
              <w:t>How to Use the Learning Sequence</w:t>
            </w:r>
          </w:p>
        </w:tc>
      </w:tr>
      <w:tr w:rsidR="00195042" w:rsidRPr="0063473E" w14:paraId="604DD8AE" w14:textId="77777777" w:rsidTr="0017322A">
        <w:tc>
          <w:tcPr>
            <w:tcW w:w="894" w:type="dxa"/>
            <w:shd w:val="clear" w:color="auto" w:fill="76923C" w:themeFill="accent3" w:themeFillShade="BF"/>
          </w:tcPr>
          <w:p w14:paraId="0AA1B17C" w14:textId="77777777" w:rsidR="00195042" w:rsidRPr="0063473E" w:rsidRDefault="00195042" w:rsidP="0017322A">
            <w:pPr>
              <w:pStyle w:val="TableHeaders"/>
              <w:rPr>
                <w:rFonts w:asciiTheme="majorHAnsi" w:hAnsiTheme="majorHAnsi"/>
              </w:rPr>
            </w:pPr>
            <w:r w:rsidRPr="0063473E">
              <w:rPr>
                <w:rFonts w:asciiTheme="majorHAnsi" w:hAnsiTheme="majorHAnsi"/>
              </w:rPr>
              <w:t>Symbol</w:t>
            </w:r>
          </w:p>
        </w:tc>
        <w:tc>
          <w:tcPr>
            <w:tcW w:w="8574" w:type="dxa"/>
            <w:shd w:val="clear" w:color="auto" w:fill="76923C" w:themeFill="accent3" w:themeFillShade="BF"/>
          </w:tcPr>
          <w:p w14:paraId="78228B7B" w14:textId="77777777" w:rsidR="00195042" w:rsidRPr="0063473E" w:rsidRDefault="00195042" w:rsidP="0017322A">
            <w:pPr>
              <w:pStyle w:val="TableHeaders"/>
              <w:rPr>
                <w:rFonts w:asciiTheme="majorHAnsi" w:hAnsiTheme="majorHAnsi"/>
              </w:rPr>
            </w:pPr>
            <w:r w:rsidRPr="0063473E">
              <w:rPr>
                <w:rFonts w:asciiTheme="majorHAnsi" w:hAnsiTheme="majorHAnsi"/>
              </w:rPr>
              <w:t>Type of Text &amp; Interpretation of the Symbol</w:t>
            </w:r>
          </w:p>
        </w:tc>
      </w:tr>
      <w:tr w:rsidR="00217A92" w:rsidRPr="0063473E" w14:paraId="2A488FA7" w14:textId="77777777" w:rsidTr="0017322A">
        <w:tc>
          <w:tcPr>
            <w:tcW w:w="894" w:type="dxa"/>
          </w:tcPr>
          <w:p w14:paraId="257E73BD" w14:textId="2410CBB3" w:rsidR="00217A92" w:rsidRPr="0063473E" w:rsidRDefault="00217A92" w:rsidP="0017322A">
            <w:pPr>
              <w:spacing w:before="20" w:after="20" w:line="240" w:lineRule="auto"/>
              <w:jc w:val="center"/>
              <w:rPr>
                <w:rFonts w:asciiTheme="majorHAnsi" w:hAnsiTheme="majorHAnsi"/>
                <w:b/>
                <w:color w:val="4F81BD" w:themeColor="accent1"/>
                <w:sz w:val="20"/>
              </w:rPr>
            </w:pPr>
            <w:r w:rsidRPr="0043460D">
              <w:rPr>
                <w:b/>
                <w:color w:val="4F81BD"/>
                <w:sz w:val="20"/>
                <w:szCs w:val="20"/>
              </w:rPr>
              <w:t>10%</w:t>
            </w:r>
          </w:p>
        </w:tc>
        <w:tc>
          <w:tcPr>
            <w:tcW w:w="8574" w:type="dxa"/>
          </w:tcPr>
          <w:p w14:paraId="7F2ADC0B" w14:textId="04CF9C1F" w:rsidR="00217A92" w:rsidRPr="0063473E" w:rsidRDefault="00217A92" w:rsidP="0017322A">
            <w:pPr>
              <w:spacing w:before="20" w:after="20" w:line="240" w:lineRule="auto"/>
              <w:rPr>
                <w:rFonts w:asciiTheme="majorHAnsi" w:hAnsiTheme="majorHAnsi"/>
                <w:b/>
                <w:color w:val="4F81BD" w:themeColor="accent1"/>
                <w:sz w:val="20"/>
              </w:rPr>
            </w:pPr>
            <w:r w:rsidRPr="0043460D">
              <w:rPr>
                <w:b/>
                <w:color w:val="4F81BD"/>
                <w:sz w:val="20"/>
                <w:szCs w:val="20"/>
              </w:rPr>
              <w:t>Percentage indicates the percentage of lesson time each activity should take.</w:t>
            </w:r>
          </w:p>
        </w:tc>
      </w:tr>
      <w:tr w:rsidR="00217A92" w:rsidRPr="0063473E" w14:paraId="3DFCB198" w14:textId="77777777" w:rsidTr="0017322A">
        <w:tc>
          <w:tcPr>
            <w:tcW w:w="894" w:type="dxa"/>
            <w:vMerge w:val="restart"/>
            <w:vAlign w:val="center"/>
          </w:tcPr>
          <w:p w14:paraId="3CBBC4AC" w14:textId="75EFCA1A" w:rsidR="00217A92" w:rsidRPr="0063473E" w:rsidRDefault="00217A92" w:rsidP="0017322A">
            <w:pPr>
              <w:spacing w:before="20" w:after="20" w:line="240" w:lineRule="auto"/>
              <w:jc w:val="center"/>
              <w:rPr>
                <w:rFonts w:asciiTheme="majorHAnsi" w:hAnsiTheme="majorHAnsi"/>
                <w:sz w:val="18"/>
              </w:rPr>
            </w:pPr>
            <w:r w:rsidRPr="0043460D">
              <w:rPr>
                <w:sz w:val="18"/>
                <w:szCs w:val="20"/>
              </w:rPr>
              <w:t>no symbol</w:t>
            </w:r>
          </w:p>
        </w:tc>
        <w:tc>
          <w:tcPr>
            <w:tcW w:w="8574" w:type="dxa"/>
          </w:tcPr>
          <w:p w14:paraId="0A74CD82" w14:textId="4AAB71AC" w:rsidR="00217A92" w:rsidRPr="0063473E" w:rsidRDefault="00217A92" w:rsidP="0017322A">
            <w:pPr>
              <w:spacing w:before="20" w:after="20" w:line="240" w:lineRule="auto"/>
              <w:rPr>
                <w:rFonts w:asciiTheme="majorHAnsi" w:hAnsiTheme="majorHAnsi"/>
                <w:sz w:val="20"/>
              </w:rPr>
            </w:pPr>
            <w:r w:rsidRPr="0043460D">
              <w:rPr>
                <w:sz w:val="20"/>
                <w:szCs w:val="20"/>
              </w:rPr>
              <w:t>Plain text indicates teacher action.</w:t>
            </w:r>
          </w:p>
        </w:tc>
      </w:tr>
      <w:tr w:rsidR="00217A92" w:rsidRPr="0063473E" w14:paraId="4BD67CE1" w14:textId="77777777" w:rsidTr="0017322A">
        <w:tc>
          <w:tcPr>
            <w:tcW w:w="894" w:type="dxa"/>
            <w:vMerge/>
          </w:tcPr>
          <w:p w14:paraId="2235E4FE" w14:textId="77777777" w:rsidR="00217A92" w:rsidRPr="0063473E" w:rsidRDefault="00217A92" w:rsidP="0017322A">
            <w:pPr>
              <w:spacing w:before="20" w:after="20" w:line="240" w:lineRule="auto"/>
              <w:jc w:val="center"/>
              <w:rPr>
                <w:rFonts w:asciiTheme="majorHAnsi" w:hAnsiTheme="majorHAnsi"/>
                <w:b/>
                <w:color w:val="000000" w:themeColor="text1"/>
                <w:sz w:val="20"/>
              </w:rPr>
            </w:pPr>
          </w:p>
        </w:tc>
        <w:tc>
          <w:tcPr>
            <w:tcW w:w="8574" w:type="dxa"/>
          </w:tcPr>
          <w:p w14:paraId="089EB6C6" w14:textId="34494D94" w:rsidR="00217A92" w:rsidRPr="0063473E" w:rsidRDefault="00217A92" w:rsidP="0017322A">
            <w:pPr>
              <w:spacing w:before="20" w:after="20" w:line="240" w:lineRule="auto"/>
              <w:rPr>
                <w:rFonts w:asciiTheme="majorHAnsi" w:hAnsiTheme="majorHAnsi"/>
                <w:color w:val="4F81BD" w:themeColor="accent1"/>
                <w:sz w:val="20"/>
              </w:rPr>
            </w:pPr>
            <w:r w:rsidRPr="0043460D">
              <w:rPr>
                <w:b/>
                <w:sz w:val="20"/>
                <w:szCs w:val="20"/>
              </w:rPr>
              <w:t>Bold text indicates questions for the teacher to ask students.</w:t>
            </w:r>
          </w:p>
        </w:tc>
      </w:tr>
      <w:tr w:rsidR="00217A92" w:rsidRPr="0063473E" w14:paraId="08F8BD5E" w14:textId="77777777" w:rsidTr="0017322A">
        <w:tc>
          <w:tcPr>
            <w:tcW w:w="894" w:type="dxa"/>
            <w:vMerge/>
          </w:tcPr>
          <w:p w14:paraId="7E81B15B" w14:textId="77777777" w:rsidR="00217A92" w:rsidRPr="0063473E" w:rsidRDefault="00217A92" w:rsidP="0017322A">
            <w:pPr>
              <w:spacing w:before="20" w:after="20" w:line="240" w:lineRule="auto"/>
              <w:jc w:val="center"/>
              <w:rPr>
                <w:rFonts w:asciiTheme="majorHAnsi" w:hAnsiTheme="majorHAnsi"/>
                <w:b/>
                <w:color w:val="000000" w:themeColor="text1"/>
                <w:sz w:val="20"/>
              </w:rPr>
            </w:pPr>
          </w:p>
        </w:tc>
        <w:tc>
          <w:tcPr>
            <w:tcW w:w="8574" w:type="dxa"/>
          </w:tcPr>
          <w:p w14:paraId="507DE64B" w14:textId="45CD08D2" w:rsidR="00217A92" w:rsidRPr="0063473E" w:rsidRDefault="00217A92" w:rsidP="0017322A">
            <w:pPr>
              <w:spacing w:before="20" w:after="20" w:line="240" w:lineRule="auto"/>
              <w:rPr>
                <w:rFonts w:asciiTheme="majorHAnsi" w:hAnsiTheme="majorHAnsi"/>
                <w:i/>
                <w:sz w:val="20"/>
              </w:rPr>
            </w:pPr>
            <w:r w:rsidRPr="0043460D">
              <w:rPr>
                <w:i/>
                <w:sz w:val="20"/>
                <w:szCs w:val="20"/>
              </w:rPr>
              <w:t>Italicized text indicates a vocabulary word.</w:t>
            </w:r>
          </w:p>
        </w:tc>
      </w:tr>
      <w:tr w:rsidR="00217A92" w:rsidRPr="0063473E" w14:paraId="09B926BB" w14:textId="77777777" w:rsidTr="00173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98564C3" w14:textId="32EA5948" w:rsidR="00217A92" w:rsidRPr="0063473E" w:rsidRDefault="00217A92" w:rsidP="0017322A">
            <w:pPr>
              <w:spacing w:before="40" w:after="0" w:line="240" w:lineRule="auto"/>
              <w:jc w:val="center"/>
              <w:rPr>
                <w:rFonts w:asciiTheme="majorHAnsi" w:hAnsiTheme="majorHAnsi"/>
                <w:sz w:val="20"/>
              </w:rPr>
            </w:pPr>
            <w:r w:rsidRPr="0043460D">
              <w:rPr>
                <w:sz w:val="20"/>
                <w:szCs w:val="20"/>
              </w:rPr>
              <w:sym w:font="Webdings" w:char="F034"/>
            </w:r>
          </w:p>
        </w:tc>
        <w:tc>
          <w:tcPr>
            <w:tcW w:w="8574" w:type="dxa"/>
          </w:tcPr>
          <w:p w14:paraId="1D776DB9" w14:textId="59AA6091" w:rsidR="00217A92" w:rsidRPr="0063473E" w:rsidRDefault="00217A92" w:rsidP="0017322A">
            <w:pPr>
              <w:spacing w:before="20" w:after="20" w:line="240" w:lineRule="auto"/>
              <w:rPr>
                <w:rFonts w:asciiTheme="majorHAnsi" w:hAnsiTheme="majorHAnsi"/>
                <w:sz w:val="20"/>
              </w:rPr>
            </w:pPr>
            <w:r w:rsidRPr="0043460D">
              <w:rPr>
                <w:sz w:val="20"/>
                <w:szCs w:val="20"/>
              </w:rPr>
              <w:t>Indicates student action(s).</w:t>
            </w:r>
          </w:p>
        </w:tc>
      </w:tr>
      <w:tr w:rsidR="00217A92" w:rsidRPr="0063473E" w14:paraId="24EE3971" w14:textId="77777777" w:rsidTr="00173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F0F8337" w14:textId="6978B02C" w:rsidR="00217A92" w:rsidRPr="0063473E" w:rsidRDefault="00217A92" w:rsidP="0017322A">
            <w:pPr>
              <w:spacing w:before="80" w:after="0" w:line="240" w:lineRule="auto"/>
              <w:jc w:val="center"/>
              <w:rPr>
                <w:rFonts w:asciiTheme="majorHAnsi" w:hAnsiTheme="majorHAnsi"/>
                <w:sz w:val="20"/>
              </w:rPr>
            </w:pPr>
            <w:r w:rsidRPr="0043460D">
              <w:rPr>
                <w:sz w:val="20"/>
                <w:szCs w:val="20"/>
              </w:rPr>
              <w:sym w:font="Webdings" w:char="F028"/>
            </w:r>
          </w:p>
        </w:tc>
        <w:tc>
          <w:tcPr>
            <w:tcW w:w="8574" w:type="dxa"/>
          </w:tcPr>
          <w:p w14:paraId="3129A00F" w14:textId="126BF703" w:rsidR="00217A92" w:rsidRPr="0063473E" w:rsidRDefault="00217A92" w:rsidP="0017322A">
            <w:pPr>
              <w:spacing w:before="20" w:after="20" w:line="240" w:lineRule="auto"/>
              <w:rPr>
                <w:rFonts w:asciiTheme="majorHAnsi" w:hAnsiTheme="majorHAnsi"/>
                <w:sz w:val="20"/>
              </w:rPr>
            </w:pPr>
            <w:r w:rsidRPr="0043460D">
              <w:rPr>
                <w:sz w:val="20"/>
                <w:szCs w:val="20"/>
              </w:rPr>
              <w:t>Indicates possible student response(s) to teacher questions.</w:t>
            </w:r>
          </w:p>
        </w:tc>
      </w:tr>
      <w:tr w:rsidR="00217A92" w:rsidRPr="0063473E" w14:paraId="622CCA73" w14:textId="77777777" w:rsidTr="0017322A">
        <w:tc>
          <w:tcPr>
            <w:tcW w:w="894" w:type="dxa"/>
            <w:vAlign w:val="bottom"/>
          </w:tcPr>
          <w:p w14:paraId="621E5D4B" w14:textId="56EF91E2" w:rsidR="00217A92" w:rsidRPr="0063473E" w:rsidRDefault="00217A92" w:rsidP="0017322A">
            <w:pPr>
              <w:spacing w:after="0" w:line="240" w:lineRule="auto"/>
              <w:jc w:val="center"/>
              <w:rPr>
                <w:rFonts w:asciiTheme="majorHAnsi" w:hAnsiTheme="majorHAnsi"/>
                <w:color w:val="4F81BD" w:themeColor="accent1"/>
                <w:sz w:val="20"/>
              </w:rPr>
            </w:pPr>
            <w:r w:rsidRPr="0043460D">
              <w:rPr>
                <w:color w:val="4F81BD"/>
                <w:sz w:val="20"/>
                <w:szCs w:val="20"/>
              </w:rPr>
              <w:sym w:font="Webdings" w:char="F069"/>
            </w:r>
          </w:p>
        </w:tc>
        <w:tc>
          <w:tcPr>
            <w:tcW w:w="8574" w:type="dxa"/>
          </w:tcPr>
          <w:p w14:paraId="41EDFDC2" w14:textId="39EC3E0D" w:rsidR="00217A92" w:rsidRPr="0063473E" w:rsidRDefault="00217A92" w:rsidP="0017322A">
            <w:pPr>
              <w:spacing w:before="20" w:after="20" w:line="240" w:lineRule="auto"/>
              <w:rPr>
                <w:rFonts w:asciiTheme="majorHAnsi" w:hAnsiTheme="majorHAnsi"/>
                <w:color w:val="4F81BD" w:themeColor="accent1"/>
                <w:sz w:val="20"/>
              </w:rPr>
            </w:pPr>
            <w:r w:rsidRPr="0043460D">
              <w:rPr>
                <w:color w:val="4F81BD"/>
                <w:sz w:val="20"/>
                <w:szCs w:val="20"/>
              </w:rPr>
              <w:t>Indicates instructional notes for the teacher.</w:t>
            </w:r>
          </w:p>
        </w:tc>
      </w:tr>
    </w:tbl>
    <w:p w14:paraId="6B5F88D9" w14:textId="77777777" w:rsidR="00195042" w:rsidRPr="0063473E" w:rsidRDefault="00195042" w:rsidP="00195042">
      <w:pPr>
        <w:pStyle w:val="LearningSequenceHeader"/>
        <w:rPr>
          <w:rFonts w:asciiTheme="majorHAnsi" w:hAnsiTheme="majorHAnsi"/>
        </w:rPr>
      </w:pPr>
      <w:r w:rsidRPr="0063473E">
        <w:rPr>
          <w:rFonts w:asciiTheme="majorHAnsi" w:hAnsiTheme="majorHAnsi"/>
        </w:rPr>
        <w:t>Activity 1: Introduction of Lesson Agenda</w:t>
      </w:r>
      <w:r w:rsidRPr="0063473E">
        <w:rPr>
          <w:rFonts w:asciiTheme="majorHAnsi" w:hAnsiTheme="majorHAnsi"/>
        </w:rPr>
        <w:tab/>
      </w:r>
      <w:r>
        <w:rPr>
          <w:rFonts w:asciiTheme="majorHAnsi" w:hAnsiTheme="majorHAnsi"/>
        </w:rPr>
        <w:t>5</w:t>
      </w:r>
      <w:r w:rsidRPr="0063473E">
        <w:rPr>
          <w:rFonts w:asciiTheme="majorHAnsi" w:hAnsiTheme="majorHAnsi"/>
        </w:rPr>
        <w:t>%</w:t>
      </w:r>
    </w:p>
    <w:p w14:paraId="4B11DC53" w14:textId="18B8F974" w:rsidR="00195042" w:rsidRPr="0063473E" w:rsidRDefault="00195042" w:rsidP="00195042">
      <w:pPr>
        <w:pStyle w:val="TA"/>
        <w:rPr>
          <w:rFonts w:asciiTheme="majorHAnsi" w:hAnsiTheme="majorHAnsi"/>
        </w:rPr>
      </w:pPr>
      <w:r w:rsidRPr="0063473E">
        <w:rPr>
          <w:rFonts w:asciiTheme="majorHAnsi" w:hAnsiTheme="majorHAnsi"/>
        </w:rPr>
        <w:t xml:space="preserve">Begin by reviewing the agenda and </w:t>
      </w:r>
      <w:r w:rsidR="00AC339F">
        <w:rPr>
          <w:rFonts w:asciiTheme="majorHAnsi" w:hAnsiTheme="majorHAnsi"/>
        </w:rPr>
        <w:t xml:space="preserve">the </w:t>
      </w:r>
      <w:r w:rsidRPr="0063473E">
        <w:rPr>
          <w:rFonts w:asciiTheme="majorHAnsi" w:hAnsiTheme="majorHAnsi"/>
        </w:rPr>
        <w:t>assessed standard</w:t>
      </w:r>
      <w:r>
        <w:rPr>
          <w:rFonts w:asciiTheme="majorHAnsi" w:hAnsiTheme="majorHAnsi"/>
        </w:rPr>
        <w:t>s</w:t>
      </w:r>
      <w:r w:rsidRPr="0063473E">
        <w:rPr>
          <w:rFonts w:asciiTheme="majorHAnsi" w:hAnsiTheme="majorHAnsi"/>
        </w:rPr>
        <w:t xml:space="preserve"> for this lesson</w:t>
      </w:r>
      <w:r>
        <w:rPr>
          <w:rFonts w:asciiTheme="majorHAnsi" w:hAnsiTheme="majorHAnsi"/>
        </w:rPr>
        <w:t>: RL.11-12.2 and RL.11-12.3</w:t>
      </w:r>
      <w:r w:rsidRPr="0063473E">
        <w:rPr>
          <w:rFonts w:asciiTheme="majorHAnsi" w:hAnsiTheme="majorHAnsi"/>
        </w:rPr>
        <w:t>. In th</w:t>
      </w:r>
      <w:r>
        <w:rPr>
          <w:rFonts w:asciiTheme="majorHAnsi" w:hAnsiTheme="majorHAnsi"/>
        </w:rPr>
        <w:t xml:space="preserve">is lesson, </w:t>
      </w:r>
      <w:r w:rsidR="00740CF8">
        <w:rPr>
          <w:rFonts w:asciiTheme="majorHAnsi" w:hAnsiTheme="majorHAnsi"/>
        </w:rPr>
        <w:t xml:space="preserve">students </w:t>
      </w:r>
      <w:r>
        <w:rPr>
          <w:rFonts w:asciiTheme="majorHAnsi" w:hAnsiTheme="majorHAnsi"/>
        </w:rPr>
        <w:t xml:space="preserve">explore </w:t>
      </w:r>
      <w:r w:rsidR="0017322A">
        <w:rPr>
          <w:rFonts w:asciiTheme="majorHAnsi" w:hAnsiTheme="majorHAnsi"/>
        </w:rPr>
        <w:t>how Lah</w:t>
      </w:r>
      <w:r w:rsidR="00E40691">
        <w:rPr>
          <w:rFonts w:asciiTheme="majorHAnsi" w:hAnsiTheme="majorHAnsi"/>
        </w:rPr>
        <w:t>iri</w:t>
      </w:r>
      <w:r w:rsidR="00162C10">
        <w:rPr>
          <w:rFonts w:asciiTheme="majorHAnsi" w:hAnsiTheme="majorHAnsi"/>
        </w:rPr>
        <w:t>’</w:t>
      </w:r>
      <w:r w:rsidR="00E40691">
        <w:rPr>
          <w:rFonts w:asciiTheme="majorHAnsi" w:hAnsiTheme="majorHAnsi"/>
        </w:rPr>
        <w:t xml:space="preserve">s </w:t>
      </w:r>
      <w:r w:rsidR="00162C10">
        <w:rPr>
          <w:rFonts w:asciiTheme="majorHAnsi" w:hAnsiTheme="majorHAnsi"/>
        </w:rPr>
        <w:t xml:space="preserve">use of </w:t>
      </w:r>
      <w:r w:rsidR="00AC5832">
        <w:rPr>
          <w:rFonts w:asciiTheme="majorHAnsi" w:hAnsiTheme="majorHAnsi"/>
        </w:rPr>
        <w:t xml:space="preserve">the </w:t>
      </w:r>
      <w:r w:rsidR="00E40691">
        <w:rPr>
          <w:rFonts w:asciiTheme="majorHAnsi" w:hAnsiTheme="majorHAnsi"/>
        </w:rPr>
        <w:t xml:space="preserve">setting </w:t>
      </w:r>
      <w:r w:rsidR="00162C10">
        <w:rPr>
          <w:rFonts w:asciiTheme="majorHAnsi" w:hAnsiTheme="majorHAnsi"/>
        </w:rPr>
        <w:t xml:space="preserve">illustrates </w:t>
      </w:r>
      <w:r w:rsidR="0017322A">
        <w:rPr>
          <w:rFonts w:asciiTheme="majorHAnsi" w:hAnsiTheme="majorHAnsi"/>
        </w:rPr>
        <w:t>Gogol’s</w:t>
      </w:r>
      <w:r w:rsidR="00162C10">
        <w:rPr>
          <w:rFonts w:asciiTheme="majorHAnsi" w:hAnsiTheme="majorHAnsi"/>
        </w:rPr>
        <w:t xml:space="preserve"> evolving</w:t>
      </w:r>
      <w:r w:rsidR="0017322A">
        <w:rPr>
          <w:rFonts w:asciiTheme="majorHAnsi" w:hAnsiTheme="majorHAnsi"/>
        </w:rPr>
        <w:t xml:space="preserve"> relationship with his name</w:t>
      </w:r>
      <w:r w:rsidR="00A9582C">
        <w:rPr>
          <w:rFonts w:asciiTheme="majorHAnsi" w:hAnsiTheme="majorHAnsi"/>
        </w:rPr>
        <w:t xml:space="preserve"> </w:t>
      </w:r>
      <w:r w:rsidR="00162C10">
        <w:rPr>
          <w:rFonts w:asciiTheme="majorHAnsi" w:hAnsiTheme="majorHAnsi"/>
        </w:rPr>
        <w:t>and</w:t>
      </w:r>
      <w:r w:rsidR="00A9582C">
        <w:rPr>
          <w:rFonts w:asciiTheme="majorHAnsi" w:hAnsiTheme="majorHAnsi"/>
        </w:rPr>
        <w:t xml:space="preserve"> </w:t>
      </w:r>
      <w:r w:rsidR="00162C10">
        <w:rPr>
          <w:rFonts w:asciiTheme="majorHAnsi" w:hAnsiTheme="majorHAnsi"/>
        </w:rPr>
        <w:t>develops</w:t>
      </w:r>
      <w:r w:rsidR="00A9582C">
        <w:rPr>
          <w:rFonts w:asciiTheme="majorHAnsi" w:hAnsiTheme="majorHAnsi"/>
        </w:rPr>
        <w:t xml:space="preserve"> </w:t>
      </w:r>
      <w:r w:rsidR="00BA646C">
        <w:rPr>
          <w:rFonts w:asciiTheme="majorHAnsi" w:hAnsiTheme="majorHAnsi"/>
        </w:rPr>
        <w:t>a central idea</w:t>
      </w:r>
      <w:r w:rsidR="00740CF8">
        <w:rPr>
          <w:rFonts w:asciiTheme="majorHAnsi" w:hAnsiTheme="majorHAnsi"/>
        </w:rPr>
        <w:t xml:space="preserve"> in pages 88</w:t>
      </w:r>
      <w:r w:rsidR="00106E85">
        <w:rPr>
          <w:rFonts w:asciiTheme="majorHAnsi" w:hAnsiTheme="majorHAnsi"/>
        </w:rPr>
        <w:t>–</w:t>
      </w:r>
      <w:r w:rsidR="00740CF8">
        <w:rPr>
          <w:rFonts w:asciiTheme="majorHAnsi" w:hAnsiTheme="majorHAnsi"/>
        </w:rPr>
        <w:t xml:space="preserve">96. </w:t>
      </w:r>
      <w:r w:rsidRPr="0063473E">
        <w:rPr>
          <w:rFonts w:asciiTheme="majorHAnsi" w:hAnsiTheme="majorHAnsi"/>
        </w:rPr>
        <w:t xml:space="preserve">Students engage in </w:t>
      </w:r>
      <w:r w:rsidR="00BA646C">
        <w:rPr>
          <w:rFonts w:asciiTheme="majorHAnsi" w:hAnsiTheme="majorHAnsi"/>
        </w:rPr>
        <w:t xml:space="preserve">a jigsaw </w:t>
      </w:r>
      <w:r w:rsidRPr="0063473E">
        <w:rPr>
          <w:rFonts w:asciiTheme="majorHAnsi" w:hAnsiTheme="majorHAnsi"/>
        </w:rPr>
        <w:t>discussion</w:t>
      </w:r>
      <w:r w:rsidR="00BA646C">
        <w:rPr>
          <w:rFonts w:asciiTheme="majorHAnsi" w:hAnsiTheme="majorHAnsi"/>
        </w:rPr>
        <w:t xml:space="preserve"> and</w:t>
      </w:r>
      <w:r w:rsidRPr="0063473E">
        <w:rPr>
          <w:rFonts w:asciiTheme="majorHAnsi" w:hAnsiTheme="majorHAnsi"/>
        </w:rPr>
        <w:t xml:space="preserve"> </w:t>
      </w:r>
      <w:r>
        <w:rPr>
          <w:rFonts w:asciiTheme="majorHAnsi" w:hAnsiTheme="majorHAnsi"/>
        </w:rPr>
        <w:t>then</w:t>
      </w:r>
      <w:r w:rsidRPr="0063473E">
        <w:rPr>
          <w:rFonts w:asciiTheme="majorHAnsi" w:hAnsiTheme="majorHAnsi"/>
        </w:rPr>
        <w:t xml:space="preserve"> complete a brief writing assignment to close the lesson.</w:t>
      </w:r>
    </w:p>
    <w:p w14:paraId="073E40C9" w14:textId="77777777" w:rsidR="00195042" w:rsidRPr="0063473E" w:rsidRDefault="00195042" w:rsidP="00195042">
      <w:pPr>
        <w:pStyle w:val="SA"/>
        <w:numPr>
          <w:ilvl w:val="0"/>
          <w:numId w:val="2"/>
        </w:numPr>
        <w:rPr>
          <w:rFonts w:asciiTheme="majorHAnsi" w:hAnsiTheme="majorHAnsi"/>
        </w:rPr>
      </w:pPr>
      <w:r w:rsidRPr="0063473E">
        <w:rPr>
          <w:rFonts w:asciiTheme="majorHAnsi" w:hAnsiTheme="majorHAnsi"/>
        </w:rPr>
        <w:t xml:space="preserve">Students </w:t>
      </w:r>
      <w:r>
        <w:rPr>
          <w:rFonts w:asciiTheme="majorHAnsi" w:hAnsiTheme="majorHAnsi"/>
        </w:rPr>
        <w:t>look at the agenda</w:t>
      </w:r>
      <w:r w:rsidRPr="0063473E">
        <w:rPr>
          <w:rFonts w:asciiTheme="majorHAnsi" w:hAnsiTheme="majorHAnsi"/>
        </w:rPr>
        <w:t>.</w:t>
      </w:r>
    </w:p>
    <w:p w14:paraId="7A481052" w14:textId="3C2BF290" w:rsidR="00195042" w:rsidRDefault="00195042" w:rsidP="00195042">
      <w:pPr>
        <w:pStyle w:val="LearningSequenceHeader"/>
        <w:rPr>
          <w:rFonts w:asciiTheme="majorHAnsi" w:hAnsiTheme="majorHAnsi"/>
        </w:rPr>
      </w:pPr>
      <w:r w:rsidRPr="0063473E">
        <w:rPr>
          <w:rFonts w:asciiTheme="majorHAnsi" w:hAnsiTheme="majorHAnsi"/>
        </w:rPr>
        <w:t>Activ</w:t>
      </w:r>
      <w:r w:rsidR="00E40691">
        <w:rPr>
          <w:rFonts w:asciiTheme="majorHAnsi" w:hAnsiTheme="majorHAnsi"/>
        </w:rPr>
        <w:t>ity 2: Homework Accountability</w:t>
      </w:r>
      <w:r w:rsidR="00E40691">
        <w:rPr>
          <w:rFonts w:asciiTheme="majorHAnsi" w:hAnsiTheme="majorHAnsi"/>
        </w:rPr>
        <w:tab/>
      </w:r>
      <w:r w:rsidR="00FA1D74">
        <w:rPr>
          <w:rFonts w:asciiTheme="majorHAnsi" w:hAnsiTheme="majorHAnsi"/>
        </w:rPr>
        <w:t>20</w:t>
      </w:r>
      <w:r w:rsidRPr="0063473E">
        <w:rPr>
          <w:rFonts w:asciiTheme="majorHAnsi" w:hAnsiTheme="majorHAnsi"/>
        </w:rPr>
        <w:t>%</w:t>
      </w:r>
    </w:p>
    <w:p w14:paraId="39A7078F" w14:textId="7F9C5747" w:rsidR="00195042" w:rsidRDefault="00195042" w:rsidP="00217A92">
      <w:pPr>
        <w:pStyle w:val="TA"/>
      </w:pPr>
      <w:r>
        <w:t>Instruct students to take out their responses to the</w:t>
      </w:r>
      <w:r w:rsidR="00EB2BAE">
        <w:t xml:space="preserve"> first part of the</w:t>
      </w:r>
      <w:r>
        <w:t xml:space="preserve"> previous lesson’s homework assignment</w:t>
      </w:r>
      <w:r w:rsidR="00A84A36">
        <w:t>.</w:t>
      </w:r>
      <w:r>
        <w:t xml:space="preserve"> (</w:t>
      </w:r>
      <w:r w:rsidR="00E40691">
        <w:rPr>
          <w:szCs w:val="20"/>
          <w:shd w:val="clear" w:color="auto" w:fill="FFFFFF"/>
        </w:rPr>
        <w:t>Re</w:t>
      </w:r>
      <w:r w:rsidR="00632628">
        <w:rPr>
          <w:szCs w:val="20"/>
          <w:shd w:val="clear" w:color="auto" w:fill="FFFFFF"/>
        </w:rPr>
        <w:t>view</w:t>
      </w:r>
      <w:r w:rsidR="00E40691">
        <w:rPr>
          <w:szCs w:val="20"/>
          <w:shd w:val="clear" w:color="auto" w:fill="FFFFFF"/>
        </w:rPr>
        <w:t xml:space="preserve"> pages 72</w:t>
      </w:r>
      <w:r w:rsidR="00106E85">
        <w:rPr>
          <w:szCs w:val="20"/>
          <w:shd w:val="clear" w:color="auto" w:fill="FFFFFF"/>
        </w:rPr>
        <w:t>–</w:t>
      </w:r>
      <w:r w:rsidR="00E40691">
        <w:rPr>
          <w:szCs w:val="20"/>
          <w:shd w:val="clear" w:color="auto" w:fill="FFFFFF"/>
        </w:rPr>
        <w:t xml:space="preserve">88 of </w:t>
      </w:r>
      <w:r w:rsidR="00E40691">
        <w:rPr>
          <w:i/>
          <w:szCs w:val="20"/>
          <w:shd w:val="clear" w:color="auto" w:fill="FFFFFF"/>
        </w:rPr>
        <w:t xml:space="preserve">The Namesake </w:t>
      </w:r>
      <w:r w:rsidR="00E40691">
        <w:t xml:space="preserve">and respond briefly in </w:t>
      </w:r>
      <w:r w:rsidR="006530FA">
        <w:t xml:space="preserve">writing to the following </w:t>
      </w:r>
      <w:r w:rsidR="006530FA" w:rsidRPr="00757163">
        <w:t>prompt</w:t>
      </w:r>
      <w:r w:rsidR="00757163" w:rsidRPr="00757163">
        <w:t xml:space="preserve">: </w:t>
      </w:r>
      <w:r w:rsidR="00757163" w:rsidRPr="00A84A36">
        <w:rPr>
          <w:shd w:val="clear" w:color="auto" w:fill="FFFFFF"/>
        </w:rPr>
        <w:t>Analyze the relationship between Gogol and Sonia in this excerpt.</w:t>
      </w:r>
      <w:r>
        <w:t>)</w:t>
      </w:r>
      <w:r w:rsidR="00E40691">
        <w:t xml:space="preserve"> Instruct students to form pairs and discuss their responses.</w:t>
      </w:r>
    </w:p>
    <w:p w14:paraId="57D9D6D5" w14:textId="77777777" w:rsidR="00195042" w:rsidRPr="00E40691" w:rsidRDefault="00E40691" w:rsidP="00195042">
      <w:pPr>
        <w:pStyle w:val="SA"/>
      </w:pPr>
      <w:r>
        <w:t>Student pairs discuss their responses to the prompt.</w:t>
      </w:r>
    </w:p>
    <w:p w14:paraId="013C9146" w14:textId="5D382151" w:rsidR="007F6939" w:rsidRPr="00F67A90" w:rsidRDefault="00BB0C13" w:rsidP="00F67A90">
      <w:pPr>
        <w:pStyle w:val="IN"/>
        <w:ind w:left="426" w:hanging="426"/>
      </w:pPr>
      <w:r w:rsidRPr="00F67A90">
        <w:rPr>
          <w:b/>
        </w:rPr>
        <w:t>Differentiation Consideration</w:t>
      </w:r>
      <w:r>
        <w:t xml:space="preserve">: </w:t>
      </w:r>
      <w:r w:rsidR="007F6939">
        <w:t xml:space="preserve">Consider </w:t>
      </w:r>
      <w:r>
        <w:t>distributing</w:t>
      </w:r>
      <w:r w:rsidR="00AC5832">
        <w:t xml:space="preserve"> or asking students to reference</w:t>
      </w:r>
      <w:r>
        <w:t xml:space="preserve"> the</w:t>
      </w:r>
      <w:r w:rsidR="007F6939">
        <w:t xml:space="preserve"> previous</w:t>
      </w:r>
      <w:r>
        <w:t xml:space="preserve"> lesson’s Quick Write </w:t>
      </w:r>
      <w:r w:rsidR="007F6939">
        <w:t>(Analyze the relationship between Gogol and</w:t>
      </w:r>
      <w:r>
        <w:t xml:space="preserve"> his parents in this excerpt) and</w:t>
      </w:r>
      <w:r w:rsidR="007F6939">
        <w:t xml:space="preserve"> leading a brief, whole-class discussion </w:t>
      </w:r>
      <w:r>
        <w:t xml:space="preserve">about the responses </w:t>
      </w:r>
      <w:r w:rsidR="007F6939">
        <w:t>before transitioning into a discussion of the homework prompt (Analyze the relationship between Gogol and Sonia in this excerpt).</w:t>
      </w:r>
    </w:p>
    <w:p w14:paraId="5B139A12" w14:textId="77777777" w:rsidR="00195042" w:rsidRPr="00E40691" w:rsidRDefault="00E40691" w:rsidP="00195042">
      <w:pPr>
        <w:pStyle w:val="Q"/>
        <w:rPr>
          <w:shd w:val="clear" w:color="auto" w:fill="FFFFFF"/>
        </w:rPr>
      </w:pPr>
      <w:r>
        <w:rPr>
          <w:shd w:val="clear" w:color="auto" w:fill="FFFFFF"/>
        </w:rPr>
        <w:t>Analyze the relationship between Gogol and Sonia in this excerpt.</w:t>
      </w:r>
    </w:p>
    <w:p w14:paraId="20B3147F" w14:textId="0B574976" w:rsidR="00195042" w:rsidRPr="00331313" w:rsidRDefault="00192EEB" w:rsidP="00192EEB">
      <w:pPr>
        <w:pStyle w:val="SR"/>
        <w:ind w:left="709"/>
      </w:pPr>
      <w:r>
        <w:t xml:space="preserve">The visit to Calcutta alters Gogol’s relationship with Sonia in this excerpt. When living in America, Gogol sees himself as “too old to </w:t>
      </w:r>
      <w:r w:rsidR="00DE2390">
        <w:t xml:space="preserve">be </w:t>
      </w:r>
      <w:r>
        <w:t>play</w:t>
      </w:r>
      <w:r w:rsidR="00DE2390">
        <w:t>ing hide-and-seek</w:t>
      </w:r>
      <w:r>
        <w:t xml:space="preserve"> with eight-year</w:t>
      </w:r>
      <w:r w:rsidR="00277B04">
        <w:t>-old Sonia and her ponytailed, gap-toothed friends” (p. 73). However, in Calcutta</w:t>
      </w:r>
      <w:r w:rsidR="002C6042">
        <w:t>,</w:t>
      </w:r>
      <w:r w:rsidR="00277B04">
        <w:t xml:space="preserve"> Sonia shares Gogol</w:t>
      </w:r>
      <w:r w:rsidR="002C6042">
        <w:t>’s</w:t>
      </w:r>
      <w:r w:rsidR="00277B04">
        <w:t xml:space="preserve"> discomfort and </w:t>
      </w:r>
      <w:r w:rsidR="00FA1D74">
        <w:t xml:space="preserve">homesickness </w:t>
      </w:r>
      <w:r w:rsidR="00277B04">
        <w:t xml:space="preserve">for America. On arrival, she whispers to Gogol that she is </w:t>
      </w:r>
      <w:r w:rsidR="00277B04">
        <w:lastRenderedPageBreak/>
        <w:t>“</w:t>
      </w:r>
      <w:r w:rsidR="00DE2390">
        <w:t>’</w:t>
      </w:r>
      <w:r w:rsidR="00277B04">
        <w:t>scared</w:t>
      </w:r>
      <w:r w:rsidR="00DE2390">
        <w:t>’</w:t>
      </w:r>
      <w:r w:rsidR="00277B04">
        <w:t>” (p. 82), and during the visit she becomes Gogol’s “only ally, the only person to speak and sit and see as he does” (p. 84). Like Gogol, Sonia becomes ill in Calcutta, and their sickness is, according to their relatives</w:t>
      </w:r>
      <w:r w:rsidR="00757163">
        <w:t>,</w:t>
      </w:r>
      <w:r w:rsidR="00277B04">
        <w:t xml:space="preserve"> due to their shared American upbringing, since “they were not made to survive in a poor country” (p. 86). Sonia and Gogol identify with one another in Calcutta as Americans who feel out of place in their parents’ culture. Upon returning to the United States, they are relieved to fall back into their usual relationship as brother and sister, “free to quarrel, to tease each other, to shout and holler and say shut up” (pp. 87</w:t>
      </w:r>
      <w:r w:rsidR="00757163">
        <w:t>–</w:t>
      </w:r>
      <w:r w:rsidR="00277B04">
        <w:t>88).</w:t>
      </w:r>
    </w:p>
    <w:p w14:paraId="1126198A" w14:textId="77777777" w:rsidR="00E40691" w:rsidRDefault="00E40691" w:rsidP="00E40691">
      <w:pPr>
        <w:pStyle w:val="TA"/>
      </w:pPr>
      <w:r>
        <w:t>Lead a brief, whole-class discussion of student responses.</w:t>
      </w:r>
    </w:p>
    <w:p w14:paraId="7DAE8EF5" w14:textId="77777777" w:rsidR="00E40691" w:rsidRDefault="00E40691" w:rsidP="00E40691">
      <w:pPr>
        <w:pStyle w:val="BR"/>
      </w:pPr>
    </w:p>
    <w:p w14:paraId="2CAF4650" w14:textId="0B0578EB" w:rsidR="00E40691" w:rsidRPr="00094C98" w:rsidRDefault="00E40691" w:rsidP="00217A92">
      <w:pPr>
        <w:pStyle w:val="TA"/>
        <w:rPr>
          <w:color w:val="4F81BD" w:themeColor="accent1"/>
          <w:shd w:val="clear" w:color="auto" w:fill="FFFFFF"/>
        </w:rPr>
      </w:pPr>
      <w:r w:rsidRPr="006720B7">
        <w:t xml:space="preserve">Instruct students to take out their responses to the </w:t>
      </w:r>
      <w:r>
        <w:t xml:space="preserve">second part of the </w:t>
      </w:r>
      <w:r w:rsidRPr="006720B7">
        <w:t>previous lesson’s homework assignment. (</w:t>
      </w:r>
      <w:r w:rsidRPr="006720B7">
        <w:rPr>
          <w:shd w:val="clear" w:color="auto" w:fill="FFFFFF"/>
        </w:rPr>
        <w:t xml:space="preserve">Read </w:t>
      </w:r>
      <w:r>
        <w:rPr>
          <w:shd w:val="clear" w:color="auto" w:fill="FFFFFF"/>
        </w:rPr>
        <w:t>pages 88</w:t>
      </w:r>
      <w:r w:rsidR="00757163">
        <w:rPr>
          <w:shd w:val="clear" w:color="auto" w:fill="FFFFFF"/>
        </w:rPr>
        <w:t>–</w:t>
      </w:r>
      <w:r>
        <w:rPr>
          <w:shd w:val="clear" w:color="auto" w:fill="FFFFFF"/>
        </w:rPr>
        <w:t>96</w:t>
      </w:r>
      <w:r w:rsidRPr="006720B7">
        <w:rPr>
          <w:shd w:val="clear" w:color="auto" w:fill="FFFFFF"/>
        </w:rPr>
        <w:t xml:space="preserve"> of </w:t>
      </w:r>
      <w:r w:rsidRPr="006720B7">
        <w:rPr>
          <w:i/>
          <w:shd w:val="clear" w:color="auto" w:fill="FFFFFF"/>
        </w:rPr>
        <w:t xml:space="preserve">The </w:t>
      </w:r>
      <w:r>
        <w:rPr>
          <w:i/>
          <w:shd w:val="clear" w:color="auto" w:fill="FFFFFF"/>
        </w:rPr>
        <w:t>Namesake</w:t>
      </w:r>
      <w:r w:rsidRPr="006720B7">
        <w:rPr>
          <w:shd w:val="clear" w:color="auto" w:fill="FFFFFF"/>
        </w:rPr>
        <w:t xml:space="preserve"> </w:t>
      </w:r>
      <w:r>
        <w:rPr>
          <w:shd w:val="clear" w:color="auto" w:fill="FFFFFF"/>
        </w:rPr>
        <w:t>and annotate for</w:t>
      </w:r>
      <w:r w:rsidR="00F5312F">
        <w:rPr>
          <w:shd w:val="clear" w:color="auto" w:fill="FFFFFF"/>
        </w:rPr>
        <w:t xml:space="preserve"> the development of</w:t>
      </w:r>
      <w:r>
        <w:rPr>
          <w:shd w:val="clear" w:color="auto" w:fill="FFFFFF"/>
        </w:rPr>
        <w:t xml:space="preserve"> central ideas</w:t>
      </w:r>
      <w:r w:rsidR="00757163">
        <w:rPr>
          <w:shd w:val="clear" w:color="auto" w:fill="FFFFFF"/>
        </w:rPr>
        <w:t>.</w:t>
      </w:r>
      <w:r>
        <w:rPr>
          <w:shd w:val="clear" w:color="auto" w:fill="FFFFFF"/>
        </w:rPr>
        <w:t>)</w:t>
      </w:r>
      <w:r w:rsidRPr="006720B7">
        <w:rPr>
          <w:shd w:val="clear" w:color="auto" w:fill="FFFFFF"/>
        </w:rPr>
        <w:t xml:space="preserve"> </w:t>
      </w:r>
      <w:r w:rsidRPr="006720B7">
        <w:t>Instruct student</w:t>
      </w:r>
      <w:r>
        <w:t xml:space="preserve"> pai</w:t>
      </w:r>
      <w:r w:rsidR="004B03C5">
        <w:t xml:space="preserve">rs to </w:t>
      </w:r>
      <w:r w:rsidR="00EB2BAE">
        <w:t>share</w:t>
      </w:r>
      <w:r w:rsidR="004B03C5">
        <w:t xml:space="preserve"> their annotations.</w:t>
      </w:r>
    </w:p>
    <w:p w14:paraId="79613D2C" w14:textId="2DF49B7F" w:rsidR="002D65C4" w:rsidRDefault="00E40691" w:rsidP="00E40691">
      <w:pPr>
        <w:pStyle w:val="SR"/>
        <w:ind w:left="709"/>
      </w:pPr>
      <w:r>
        <w:t xml:space="preserve">Student annotations </w:t>
      </w:r>
      <w:r w:rsidR="00C26CBE">
        <w:t>may include</w:t>
      </w:r>
      <w:r w:rsidR="00D16015">
        <w:t>:</w:t>
      </w:r>
      <w:r>
        <w:t xml:space="preserve"> </w:t>
      </w:r>
    </w:p>
    <w:p w14:paraId="0873761C" w14:textId="5B4BF103" w:rsidR="00192EEB" w:rsidRDefault="004C5BFD" w:rsidP="00BD2463">
      <w:pPr>
        <w:pStyle w:val="SASRBullet"/>
      </w:pPr>
      <w:r>
        <w:t xml:space="preserve">“The sight of [his name] printed in capital letters on the crinkly page upsets him viscerally” (p. 89) – </w:t>
      </w:r>
      <w:r w:rsidR="00476954">
        <w:t xml:space="preserve">This evidence further develops the central idea of identity as </w:t>
      </w:r>
      <w:r>
        <w:t xml:space="preserve">Gogol’s discomfort with his name suggests that he is uncomfortable with </w:t>
      </w:r>
      <w:r w:rsidR="007F15C8">
        <w:t>the</w:t>
      </w:r>
      <w:r>
        <w:t xml:space="preserve"> identity</w:t>
      </w:r>
      <w:r w:rsidR="007F15C8">
        <w:t xml:space="preserve"> he feels it gives him</w:t>
      </w:r>
      <w:r>
        <w:t xml:space="preserve">. </w:t>
      </w:r>
    </w:p>
    <w:p w14:paraId="0773BCE0" w14:textId="0B69E16D" w:rsidR="00E40691" w:rsidRDefault="004C5BFD" w:rsidP="00BD2463">
      <w:pPr>
        <w:pStyle w:val="SASRBullet"/>
      </w:pPr>
      <w:r>
        <w:t xml:space="preserve">“To read the story, [Gogol] believes, would mean paying tribute to his namesake, accepting it somehow. Still, listening to his classmates complain, he feels perversely responsible, as if his own work were being attacked” (p. 92) – Gogol </w:t>
      </w:r>
      <w:r w:rsidR="00FA1D74">
        <w:t>wants to reject his name and distance himself from the identity it imposes on him by refusing to read the story, but nevertheless feels tied to it and so “responsible” (p. 92) for the story</w:t>
      </w:r>
      <w:r w:rsidR="00476954">
        <w:t xml:space="preserve">, further developing the central idea of identity. </w:t>
      </w:r>
    </w:p>
    <w:p w14:paraId="3845E594" w14:textId="77F9C432" w:rsidR="004C5BFD" w:rsidRDefault="004C5BFD" w:rsidP="00BD2463">
      <w:pPr>
        <w:pStyle w:val="SASRBullet"/>
      </w:pPr>
      <w:r>
        <w:t>“Assured by his grades and his apparent indifference to girls, his parents don’t suspect Gogol of being, in his own fumbli</w:t>
      </w:r>
      <w:r w:rsidR="007F15C8">
        <w:t xml:space="preserve">ng way, an American teenager” (p. 93) – Gogol’s identity is growing more complex, as he develops </w:t>
      </w:r>
      <w:r w:rsidR="00162C10">
        <w:t>into</w:t>
      </w:r>
      <w:r w:rsidR="00DA0A7C">
        <w:t xml:space="preserve"> an </w:t>
      </w:r>
      <w:r w:rsidR="007F15C8">
        <w:t>American teenager</w:t>
      </w:r>
      <w:r w:rsidR="00DA0A7C">
        <w:t xml:space="preserve"> </w:t>
      </w:r>
      <w:r w:rsidR="00162C10">
        <w:t>without</w:t>
      </w:r>
      <w:r w:rsidR="00DA0A7C">
        <w:t xml:space="preserve"> his parents</w:t>
      </w:r>
      <w:r w:rsidR="00666C27">
        <w:t>’</w:t>
      </w:r>
      <w:r w:rsidR="00DA0A7C">
        <w:t xml:space="preserve"> </w:t>
      </w:r>
      <w:r w:rsidR="00E85819">
        <w:t>awareness</w:t>
      </w:r>
      <w:r w:rsidR="00DA0A7C">
        <w:t>.</w:t>
      </w:r>
      <w:r w:rsidR="00FA1D74">
        <w:t xml:space="preserve"> </w:t>
      </w:r>
    </w:p>
    <w:p w14:paraId="4E33A0C0" w14:textId="43E8BBCF" w:rsidR="007F15C8" w:rsidRDefault="007F15C8" w:rsidP="00BD2463">
      <w:pPr>
        <w:pStyle w:val="SASRBullet"/>
      </w:pPr>
      <w:r>
        <w:t xml:space="preserve">“But [Gogol] doesn’t want to tell Kim his name. He doesn’t want to endure her reaction, to watch her lovely blue eyes grow wide” (p. 95) – Gogol continues to be self-conscious about his name, and </w:t>
      </w:r>
      <w:r w:rsidR="00E2570A">
        <w:t xml:space="preserve">he </w:t>
      </w:r>
      <w:r>
        <w:t>fears that it makes him seem ridiculous</w:t>
      </w:r>
      <w:r w:rsidR="00476954">
        <w:t xml:space="preserve">, further developing the central idea of identity. </w:t>
      </w:r>
    </w:p>
    <w:p w14:paraId="70E77A89" w14:textId="2404FCC6" w:rsidR="007F15C8" w:rsidRDefault="007F15C8" w:rsidP="00BD2463">
      <w:pPr>
        <w:pStyle w:val="SASRBullet"/>
      </w:pPr>
      <w:r>
        <w:t xml:space="preserve">“But he doesn't tell them that it hadn’t been Gogol who kissed Kim. That Gogol had had nothing to do with it” (p. 96) – </w:t>
      </w:r>
      <w:r w:rsidR="00476954">
        <w:t xml:space="preserve">This evidence further develops the central idea of identity, as </w:t>
      </w:r>
      <w:r>
        <w:t xml:space="preserve">Gogol </w:t>
      </w:r>
      <w:r w:rsidR="001863A9">
        <w:t>creates</w:t>
      </w:r>
      <w:r>
        <w:t xml:space="preserve"> a new identity as Nikhil</w:t>
      </w:r>
      <w:r w:rsidR="00757163">
        <w:t>,</w:t>
      </w:r>
      <w:r w:rsidR="00162C10">
        <w:t xml:space="preserve"> an alternative to his identity as Gogol</w:t>
      </w:r>
      <w:r w:rsidR="00114555">
        <w:t>.</w:t>
      </w:r>
    </w:p>
    <w:p w14:paraId="6553EBDA" w14:textId="42481023" w:rsidR="00E40691" w:rsidRDefault="004B03C5" w:rsidP="00F67A90">
      <w:pPr>
        <w:pStyle w:val="TA"/>
      </w:pPr>
      <w:r>
        <w:t>Lead a brief</w:t>
      </w:r>
      <w:r w:rsidR="00E40691">
        <w:t xml:space="preserve"> whole-class discussion of student responses</w:t>
      </w:r>
      <w:r w:rsidR="00E2570A">
        <w:t>.</w:t>
      </w:r>
    </w:p>
    <w:p w14:paraId="5F8BFDBC" w14:textId="77777777" w:rsidR="00195042" w:rsidRPr="0063473E" w:rsidRDefault="00195042" w:rsidP="00195042">
      <w:pPr>
        <w:pStyle w:val="LearningSequenceHeader"/>
        <w:rPr>
          <w:rFonts w:asciiTheme="majorHAnsi" w:hAnsiTheme="majorHAnsi"/>
        </w:rPr>
      </w:pPr>
      <w:r w:rsidRPr="0063473E">
        <w:rPr>
          <w:rFonts w:asciiTheme="majorHAnsi" w:hAnsiTheme="majorHAnsi"/>
        </w:rPr>
        <w:lastRenderedPageBreak/>
        <w:t xml:space="preserve">Activity </w:t>
      </w:r>
      <w:r>
        <w:rPr>
          <w:rFonts w:asciiTheme="majorHAnsi" w:hAnsiTheme="majorHAnsi"/>
        </w:rPr>
        <w:t>3</w:t>
      </w:r>
      <w:r w:rsidRPr="0063473E">
        <w:rPr>
          <w:rFonts w:asciiTheme="majorHAnsi" w:hAnsiTheme="majorHAnsi"/>
        </w:rPr>
        <w:t xml:space="preserve">: </w:t>
      </w:r>
      <w:r>
        <w:rPr>
          <w:rFonts w:asciiTheme="majorHAnsi" w:hAnsiTheme="majorHAnsi"/>
        </w:rPr>
        <w:t xml:space="preserve">Jigsaw </w:t>
      </w:r>
      <w:r w:rsidRPr="0063473E">
        <w:rPr>
          <w:rFonts w:asciiTheme="majorHAnsi" w:hAnsiTheme="majorHAnsi"/>
        </w:rPr>
        <w:t>Discussion</w:t>
      </w:r>
      <w:r w:rsidRPr="0063473E">
        <w:rPr>
          <w:rFonts w:asciiTheme="majorHAnsi" w:hAnsiTheme="majorHAnsi"/>
        </w:rPr>
        <w:tab/>
      </w:r>
      <w:r>
        <w:rPr>
          <w:rFonts w:asciiTheme="majorHAnsi" w:hAnsiTheme="majorHAnsi"/>
        </w:rPr>
        <w:t>55</w:t>
      </w:r>
      <w:r w:rsidRPr="0063473E">
        <w:rPr>
          <w:rFonts w:asciiTheme="majorHAnsi" w:hAnsiTheme="majorHAnsi"/>
        </w:rPr>
        <w:t>%</w:t>
      </w:r>
    </w:p>
    <w:p w14:paraId="434FCB3E" w14:textId="695894BE" w:rsidR="00E14BCA" w:rsidRDefault="00E14BCA" w:rsidP="00B31549">
      <w:pPr>
        <w:pStyle w:val="TA"/>
      </w:pPr>
      <w:r>
        <w:t>Inform</w:t>
      </w:r>
      <w:r w:rsidRPr="00C633C7">
        <w:t xml:space="preserve"> students that</w:t>
      </w:r>
      <w:r>
        <w:t xml:space="preserve"> </w:t>
      </w:r>
      <w:r w:rsidR="009F4DF0">
        <w:t xml:space="preserve">in this activity they </w:t>
      </w:r>
      <w:r>
        <w:t>participate in a jigsaw discussion about how Lahiri uses setting to develop Gogol’s relationship with his name in pages 88</w:t>
      </w:r>
      <w:r w:rsidR="002B5A7F">
        <w:t>–</w:t>
      </w:r>
      <w:r>
        <w:t xml:space="preserve">96 of </w:t>
      </w:r>
      <w:r>
        <w:rPr>
          <w:i/>
        </w:rPr>
        <w:t>The Namesake</w:t>
      </w:r>
      <w:r>
        <w:t>.</w:t>
      </w:r>
    </w:p>
    <w:p w14:paraId="4413B692" w14:textId="6734D8F2" w:rsidR="00E14BCA" w:rsidRDefault="00E14BCA" w:rsidP="00F67A90">
      <w:pPr>
        <w:pStyle w:val="SA"/>
      </w:pPr>
      <w:r>
        <w:t>Students listen.</w:t>
      </w:r>
    </w:p>
    <w:p w14:paraId="48BA2D53" w14:textId="0FAFE6BB" w:rsidR="00195042" w:rsidRDefault="00195042" w:rsidP="00195042">
      <w:pPr>
        <w:pStyle w:val="TA"/>
      </w:pPr>
      <w:r>
        <w:t xml:space="preserve">Instruct students to form pairs. Instruct </w:t>
      </w:r>
      <w:r w:rsidR="00621BDD">
        <w:t xml:space="preserve">half </w:t>
      </w:r>
      <w:r w:rsidR="00A377E1">
        <w:t xml:space="preserve">of </w:t>
      </w:r>
      <w:r w:rsidR="00621BDD">
        <w:t>the student pairs to read pages 88</w:t>
      </w:r>
      <w:r w:rsidR="00A377E1">
        <w:t>–</w:t>
      </w:r>
      <w:r w:rsidR="00621BDD">
        <w:t>93</w:t>
      </w:r>
      <w:r w:rsidR="00143D05">
        <w:t xml:space="preserve"> </w:t>
      </w:r>
      <w:r w:rsidR="00621BDD">
        <w:t xml:space="preserve">(from “In September, Gogol returns to high school” to “He was not yet forty-three years old”) and </w:t>
      </w:r>
      <w:r w:rsidR="002B5A7F">
        <w:t>the other half</w:t>
      </w:r>
      <w:r w:rsidR="00621BDD">
        <w:t xml:space="preserve"> to read pages 93</w:t>
      </w:r>
      <w:r w:rsidR="00A377E1">
        <w:t>–</w:t>
      </w:r>
      <w:r w:rsidR="00621BDD">
        <w:t>96</w:t>
      </w:r>
      <w:r w:rsidR="00143D05">
        <w:t xml:space="preserve"> </w:t>
      </w:r>
      <w:r w:rsidR="00621BDD">
        <w:t xml:space="preserve">(from “Gogol does not date anyone in high school” to “That Gogol had had nothing to do with it”). </w:t>
      </w:r>
      <w:r>
        <w:t xml:space="preserve">Instruct students to continue to annotate the text as they read and discuss </w:t>
      </w:r>
      <w:r w:rsidRPr="004E2A87">
        <w:rPr>
          <w:color w:val="4F81BD"/>
        </w:rPr>
        <w:t>(W.11-12.9.a)</w:t>
      </w:r>
      <w:r w:rsidRPr="00116713">
        <w:t>.</w:t>
      </w:r>
      <w:r>
        <w:t xml:space="preserve"> </w:t>
      </w:r>
    </w:p>
    <w:p w14:paraId="73CB24C0" w14:textId="77777777" w:rsidR="008B4A54" w:rsidRPr="007F15C8" w:rsidRDefault="008B4A54" w:rsidP="008B4A54">
      <w:pPr>
        <w:pStyle w:val="TA"/>
      </w:pPr>
      <w:r>
        <w:t xml:space="preserve">Provide students with the definitions of </w:t>
      </w:r>
      <w:r>
        <w:rPr>
          <w:i/>
        </w:rPr>
        <w:t>benign</w:t>
      </w:r>
      <w:r>
        <w:t xml:space="preserve">, </w:t>
      </w:r>
      <w:r>
        <w:rPr>
          <w:i/>
        </w:rPr>
        <w:t>viscerally</w:t>
      </w:r>
      <w:r>
        <w:t xml:space="preserve">, </w:t>
      </w:r>
      <w:r w:rsidRPr="00FA1D74">
        <w:rPr>
          <w:i/>
        </w:rPr>
        <w:t>deterioration</w:t>
      </w:r>
      <w:r>
        <w:t xml:space="preserve">, </w:t>
      </w:r>
      <w:r>
        <w:rPr>
          <w:i/>
        </w:rPr>
        <w:t>perversely</w:t>
      </w:r>
      <w:r>
        <w:t>,</w:t>
      </w:r>
      <w:r>
        <w:rPr>
          <w:i/>
        </w:rPr>
        <w:t xml:space="preserve"> </w:t>
      </w:r>
      <w:r w:rsidRPr="00FA1D74">
        <w:rPr>
          <w:i/>
        </w:rPr>
        <w:t>hypochondriac</w:t>
      </w:r>
      <w:r>
        <w:rPr>
          <w:i/>
        </w:rPr>
        <w:t>,</w:t>
      </w:r>
      <w:r>
        <w:t xml:space="preserve"> </w:t>
      </w:r>
      <w:r>
        <w:rPr>
          <w:i/>
        </w:rPr>
        <w:t>melancholic</w:t>
      </w:r>
      <w:r>
        <w:t xml:space="preserve">, and </w:t>
      </w:r>
      <w:r>
        <w:rPr>
          <w:i/>
        </w:rPr>
        <w:t>surreptitious</w:t>
      </w:r>
      <w:r>
        <w:t xml:space="preserve">. </w:t>
      </w:r>
    </w:p>
    <w:p w14:paraId="534DD275" w14:textId="77777777" w:rsidR="008B4A54" w:rsidRDefault="008B4A54" w:rsidP="008B4A54">
      <w:pPr>
        <w:pStyle w:val="IN"/>
      </w:pPr>
      <w:r>
        <w:t>Students may be familiar with some of these words. Consider asking students to volunteer definitions before providing them to the group.</w:t>
      </w:r>
    </w:p>
    <w:p w14:paraId="6B8FC451" w14:textId="7DED2CE4" w:rsidR="008B4A54" w:rsidRDefault="009F4DF0" w:rsidP="008B4A54">
      <w:pPr>
        <w:pStyle w:val="SA"/>
      </w:pPr>
      <w:r>
        <w:t xml:space="preserve">Students write the definitions </w:t>
      </w:r>
      <w:r w:rsidR="003A4F35">
        <w:t xml:space="preserve">of </w:t>
      </w:r>
      <w:r w:rsidR="003A4F35">
        <w:rPr>
          <w:i/>
        </w:rPr>
        <w:t>benign</w:t>
      </w:r>
      <w:r w:rsidR="003A4F35">
        <w:t xml:space="preserve">, </w:t>
      </w:r>
      <w:r w:rsidR="003A4F35">
        <w:rPr>
          <w:i/>
        </w:rPr>
        <w:t>viscerally</w:t>
      </w:r>
      <w:r w:rsidR="003A4F35">
        <w:t xml:space="preserve">, </w:t>
      </w:r>
      <w:r w:rsidR="003A4F35" w:rsidRPr="00FA1D74">
        <w:rPr>
          <w:i/>
        </w:rPr>
        <w:t>deterioration</w:t>
      </w:r>
      <w:r w:rsidR="003A4F35">
        <w:t xml:space="preserve">, </w:t>
      </w:r>
      <w:r w:rsidR="003A4F35">
        <w:rPr>
          <w:i/>
        </w:rPr>
        <w:t>perversely</w:t>
      </w:r>
      <w:r w:rsidR="003A4F35">
        <w:t>,</w:t>
      </w:r>
      <w:r w:rsidR="003A4F35">
        <w:rPr>
          <w:i/>
        </w:rPr>
        <w:t xml:space="preserve"> </w:t>
      </w:r>
      <w:r w:rsidR="003A4F35" w:rsidRPr="00FA1D74">
        <w:rPr>
          <w:i/>
        </w:rPr>
        <w:t>hypochondriac</w:t>
      </w:r>
      <w:r w:rsidR="003A4F35">
        <w:rPr>
          <w:i/>
        </w:rPr>
        <w:t>,</w:t>
      </w:r>
      <w:r w:rsidR="003A4F35">
        <w:t xml:space="preserve"> </w:t>
      </w:r>
      <w:r w:rsidR="003A4F35">
        <w:rPr>
          <w:i/>
        </w:rPr>
        <w:t>melancholic</w:t>
      </w:r>
      <w:r w:rsidR="003A4F35">
        <w:t xml:space="preserve">, and </w:t>
      </w:r>
      <w:r w:rsidR="003A4F35">
        <w:rPr>
          <w:i/>
        </w:rPr>
        <w:t>surreptitious</w:t>
      </w:r>
      <w:r w:rsidR="003A4F35">
        <w:t xml:space="preserve"> </w:t>
      </w:r>
      <w:r w:rsidR="008B4A54">
        <w:t xml:space="preserve">on their copies of the text or in a vocabulary journal. </w:t>
      </w:r>
    </w:p>
    <w:p w14:paraId="056B5443" w14:textId="77777777" w:rsidR="008B4A54" w:rsidRPr="00BE3D99" w:rsidRDefault="008B4A54" w:rsidP="008B4A54">
      <w:pPr>
        <w:pStyle w:val="IN"/>
        <w:ind w:left="426" w:hanging="426"/>
        <w:rPr>
          <w:b/>
        </w:rPr>
      </w:pPr>
      <w:r>
        <w:rPr>
          <w:b/>
        </w:rPr>
        <w:t>Differentiation Consideration:</w:t>
      </w:r>
      <w:r>
        <w:t xml:space="preserve"> Consider providing students with the definition of </w:t>
      </w:r>
      <w:r>
        <w:rPr>
          <w:i/>
        </w:rPr>
        <w:t>elation.</w:t>
      </w:r>
    </w:p>
    <w:p w14:paraId="0ECE99C1" w14:textId="78600D11" w:rsidR="008B4A54" w:rsidRDefault="008B4A54" w:rsidP="00653606">
      <w:pPr>
        <w:pStyle w:val="DCwithSA"/>
      </w:pPr>
      <w:r>
        <w:t xml:space="preserve">Students write the definition </w:t>
      </w:r>
      <w:r w:rsidR="003A4F35">
        <w:t xml:space="preserve">of </w:t>
      </w:r>
      <w:r w:rsidR="003A4F35">
        <w:rPr>
          <w:i/>
        </w:rPr>
        <w:t>elation</w:t>
      </w:r>
      <w:r w:rsidR="003A4F35">
        <w:t xml:space="preserve"> </w:t>
      </w:r>
      <w:r>
        <w:t xml:space="preserve">on their copies of the text or in a vocabulary journal. </w:t>
      </w:r>
    </w:p>
    <w:p w14:paraId="2969A89D" w14:textId="4D24AEDC" w:rsidR="00195042" w:rsidRDefault="00195042" w:rsidP="00195042">
      <w:pPr>
        <w:pStyle w:val="IN"/>
      </w:pPr>
      <w:r>
        <w:rPr>
          <w:b/>
        </w:rPr>
        <w:t>Differentiation Consideration</w:t>
      </w:r>
      <w:r w:rsidRPr="00C57CA9">
        <w:rPr>
          <w:b/>
        </w:rPr>
        <w:t xml:space="preserve">: </w:t>
      </w:r>
      <w:r>
        <w:t>Consider posting or projecting the following guiding question to support students throughout th</w:t>
      </w:r>
      <w:r w:rsidR="00532C91">
        <w:t>is</w:t>
      </w:r>
      <w:r>
        <w:t xml:space="preserve"> lesson:</w:t>
      </w:r>
    </w:p>
    <w:p w14:paraId="5576523F" w14:textId="00B2CE80" w:rsidR="00195042" w:rsidRDefault="00621BDD" w:rsidP="00195042">
      <w:pPr>
        <w:pStyle w:val="DCwithQ"/>
      </w:pPr>
      <w:r>
        <w:t>How do Gogol</w:t>
      </w:r>
      <w:r w:rsidR="00162C10">
        <w:t>’s</w:t>
      </w:r>
      <w:r>
        <w:t xml:space="preserve"> feel</w:t>
      </w:r>
      <w:r w:rsidR="00162C10">
        <w:t>ing</w:t>
      </w:r>
      <w:r>
        <w:t>s about his name</w:t>
      </w:r>
      <w:r w:rsidR="00162C10">
        <w:t xml:space="preserve"> develop a central idea</w:t>
      </w:r>
      <w:r>
        <w:t xml:space="preserve">? </w:t>
      </w:r>
      <w:r w:rsidR="00195042">
        <w:t xml:space="preserve"> </w:t>
      </w:r>
    </w:p>
    <w:p w14:paraId="037E977B" w14:textId="77777777" w:rsidR="00195042" w:rsidRPr="00C17D5A" w:rsidRDefault="00195042" w:rsidP="00195042">
      <w:pPr>
        <w:pStyle w:val="BR"/>
      </w:pPr>
    </w:p>
    <w:p w14:paraId="2A85E901" w14:textId="77777777" w:rsidR="00195042" w:rsidRDefault="00195042" w:rsidP="00195042">
      <w:pPr>
        <w:pStyle w:val="TA"/>
      </w:pPr>
      <w:r>
        <w:t>Post or project the following focus questions:</w:t>
      </w:r>
    </w:p>
    <w:p w14:paraId="6E48A25A" w14:textId="675DDFF9" w:rsidR="00195042" w:rsidRDefault="00195042" w:rsidP="00195042">
      <w:pPr>
        <w:pStyle w:val="Q"/>
      </w:pPr>
      <w:r>
        <w:t xml:space="preserve">Focus Question 1: How does </w:t>
      </w:r>
      <w:r w:rsidR="00621BDD">
        <w:t>the setting of high school impact Gogol’s relationship with his name on pages 88</w:t>
      </w:r>
      <w:r w:rsidR="00052654">
        <w:t>–</w:t>
      </w:r>
      <w:r w:rsidR="00621BDD">
        <w:t>93?</w:t>
      </w:r>
    </w:p>
    <w:p w14:paraId="73895279" w14:textId="5204476F" w:rsidR="00195042" w:rsidRDefault="00195042" w:rsidP="00195042">
      <w:pPr>
        <w:pStyle w:val="Q"/>
      </w:pPr>
      <w:r>
        <w:t xml:space="preserve">Focus Question 2: </w:t>
      </w:r>
      <w:r w:rsidR="00621BDD">
        <w:t>How does the setting of the college party impact Gogol’s relationship with his name on pages 93</w:t>
      </w:r>
      <w:r w:rsidR="00052654">
        <w:t>–</w:t>
      </w:r>
      <w:r w:rsidR="00621BDD">
        <w:t>96?</w:t>
      </w:r>
    </w:p>
    <w:p w14:paraId="762DEEDB" w14:textId="3E76C844" w:rsidR="00195042" w:rsidRDefault="00195042" w:rsidP="00195042">
      <w:pPr>
        <w:pStyle w:val="TA"/>
      </w:pPr>
      <w:r>
        <w:t>Assign student pairs</w:t>
      </w:r>
      <w:r w:rsidR="00621BDD">
        <w:t xml:space="preserve"> who read pages 88</w:t>
      </w:r>
      <w:r w:rsidR="00052654">
        <w:t>–</w:t>
      </w:r>
      <w:r w:rsidR="00621BDD">
        <w:t>93</w:t>
      </w:r>
      <w:r>
        <w:t xml:space="preserve"> to respond to Focus Question 1, and student pai</w:t>
      </w:r>
      <w:r w:rsidR="00621BDD">
        <w:t>rs</w:t>
      </w:r>
      <w:r w:rsidR="00FA1D74">
        <w:t xml:space="preserve"> who read pages 93</w:t>
      </w:r>
      <w:r w:rsidR="00052654">
        <w:t>–</w:t>
      </w:r>
      <w:r w:rsidR="00FA1D74">
        <w:t>96</w:t>
      </w:r>
      <w:r w:rsidR="00621BDD">
        <w:t xml:space="preserve"> to respond to Focus Question 2</w:t>
      </w:r>
      <w:r>
        <w:t>. Instruct student</w:t>
      </w:r>
      <w:r w:rsidR="006251FC">
        <w:t xml:space="preserve"> pairs</w:t>
      </w:r>
      <w:r>
        <w:t xml:space="preserve"> to review </w:t>
      </w:r>
      <w:r w:rsidR="00621BDD">
        <w:t>their assigned</w:t>
      </w:r>
      <w:r>
        <w:t xml:space="preserve"> focus excerpt and </w:t>
      </w:r>
      <w:r w:rsidR="00DE2940">
        <w:t xml:space="preserve">respond to </w:t>
      </w:r>
      <w:r w:rsidR="00CA1840">
        <w:t>their focus question</w:t>
      </w:r>
      <w:r>
        <w:t xml:space="preserve">, drawing on evidence from throughout the </w:t>
      </w:r>
      <w:r w:rsidR="006251FC">
        <w:t>excerpt</w:t>
      </w:r>
      <w:r>
        <w:t xml:space="preserve"> in their responses.</w:t>
      </w:r>
    </w:p>
    <w:p w14:paraId="5B312DFC" w14:textId="77777777" w:rsidR="00195042" w:rsidRDefault="00195042" w:rsidP="00195042">
      <w:pPr>
        <w:pStyle w:val="SA"/>
        <w:numPr>
          <w:ilvl w:val="0"/>
          <w:numId w:val="2"/>
        </w:numPr>
      </w:pPr>
      <w:r>
        <w:t>Students work in pairs to answer their assigned focus questio</w:t>
      </w:r>
      <w:r w:rsidR="00CA1840">
        <w:t>n</w:t>
      </w:r>
      <w:r>
        <w:t>.</w:t>
      </w:r>
    </w:p>
    <w:p w14:paraId="08BE0214" w14:textId="42093558" w:rsidR="00195042" w:rsidRDefault="00195042" w:rsidP="00195042">
      <w:pPr>
        <w:pStyle w:val="TA"/>
      </w:pPr>
      <w:r>
        <w:lastRenderedPageBreak/>
        <w:t>Once student pairs hav</w:t>
      </w:r>
      <w:r w:rsidR="00CA1840">
        <w:t>e answered their focus question</w:t>
      </w:r>
      <w:r>
        <w:t>, instruct each pair to split up and form a new pair with another student who an</w:t>
      </w:r>
      <w:r w:rsidR="00CA1840">
        <w:t>swered a different focus question</w:t>
      </w:r>
      <w:r>
        <w:t>. Instruct students to share and discuss their responses in their new pairs.</w:t>
      </w:r>
    </w:p>
    <w:p w14:paraId="7C627175" w14:textId="77777777" w:rsidR="00195042" w:rsidRDefault="00195042" w:rsidP="00195042">
      <w:pPr>
        <w:pStyle w:val="SA"/>
        <w:numPr>
          <w:ilvl w:val="0"/>
          <w:numId w:val="2"/>
        </w:numPr>
      </w:pPr>
      <w:r>
        <w:t>Student pairs engage in a dis</w:t>
      </w:r>
      <w:r w:rsidR="00CA1840">
        <w:t>cussion about Focus Questions 1 and 2</w:t>
      </w:r>
      <w:r>
        <w:t>.</w:t>
      </w:r>
    </w:p>
    <w:p w14:paraId="67A79E8C" w14:textId="62813F2C" w:rsidR="00195042" w:rsidRDefault="00195042" w:rsidP="001D2930">
      <w:pPr>
        <w:pStyle w:val="IN"/>
      </w:pPr>
      <w:r>
        <w:t>The new pairs should be composed of one stud</w:t>
      </w:r>
      <w:r w:rsidR="00CA1840">
        <w:t>ent who answered Focus Question</w:t>
      </w:r>
      <w:r>
        <w:t xml:space="preserve"> 1 and a second student</w:t>
      </w:r>
      <w:r w:rsidR="00CA1840">
        <w:t xml:space="preserve"> </w:t>
      </w:r>
      <w:r w:rsidR="00052654">
        <w:t xml:space="preserve">who </w:t>
      </w:r>
      <w:r w:rsidR="00CA1840">
        <w:t>answered Focus Question 2</w:t>
      </w:r>
      <w:r>
        <w:t xml:space="preserve">. </w:t>
      </w:r>
    </w:p>
    <w:p w14:paraId="247A433E" w14:textId="4D047DD2" w:rsidR="00195042" w:rsidRDefault="00195042" w:rsidP="00195042">
      <w:pPr>
        <w:pStyle w:val="IN"/>
      </w:pPr>
      <w:r>
        <w:t xml:space="preserve">Consider reminding students of their previous work with SL.11-12.1.a, </w:t>
      </w:r>
      <w:r w:rsidR="00D766EA">
        <w:t>as this discussion</w:t>
      </w:r>
      <w:r w:rsidR="00FB5CAA">
        <w:t xml:space="preserve"> requires that students</w:t>
      </w:r>
      <w:r>
        <w:t xml:space="preserve"> come to class having read the material and asks them to explicitly draw on evidence from the text to support their discussion.</w:t>
      </w:r>
    </w:p>
    <w:p w14:paraId="017267F6" w14:textId="405BBAAE" w:rsidR="00195042" w:rsidRDefault="00195042" w:rsidP="00195042">
      <w:pPr>
        <w:pStyle w:val="IN"/>
      </w:pPr>
      <w:r>
        <w:t xml:space="preserve">Consider reminding students of their previous work with SL.11-12.1.c, </w:t>
      </w:r>
      <w:r w:rsidR="00D766EA">
        <w:t>as this discussion</w:t>
      </w:r>
      <w:r>
        <w:t xml:space="preserve"> requires that students pose and respond to questions and qualify or justify their own points of agreement and disagreement with other students.</w:t>
      </w:r>
    </w:p>
    <w:p w14:paraId="1D0AF1F4" w14:textId="77777777" w:rsidR="00195042" w:rsidRPr="00202EB8" w:rsidRDefault="00195042" w:rsidP="00195042">
      <w:pPr>
        <w:pStyle w:val="SR"/>
      </w:pPr>
      <w:r>
        <w:t>See below for possible student responses.</w:t>
      </w:r>
    </w:p>
    <w:p w14:paraId="47F0F036" w14:textId="723F7CEC" w:rsidR="00195042" w:rsidRDefault="00195042" w:rsidP="00195042">
      <w:pPr>
        <w:pStyle w:val="Q"/>
      </w:pPr>
      <w:r>
        <w:t xml:space="preserve">Focus Question 1: </w:t>
      </w:r>
      <w:r w:rsidR="00CA1840">
        <w:t>How does the setting of high school impact Gogol’s relationship with his name on pages 88</w:t>
      </w:r>
      <w:r w:rsidR="00052654">
        <w:t>–</w:t>
      </w:r>
      <w:r w:rsidR="00CA1840">
        <w:t>93?</w:t>
      </w:r>
    </w:p>
    <w:p w14:paraId="013C3368" w14:textId="77777777" w:rsidR="00195042" w:rsidRDefault="00195042" w:rsidP="00195042">
      <w:pPr>
        <w:pStyle w:val="SR"/>
        <w:ind w:left="709"/>
      </w:pPr>
      <w:r>
        <w:t xml:space="preserve">Student responses may include: </w:t>
      </w:r>
    </w:p>
    <w:p w14:paraId="27E539D8" w14:textId="5EBBFA4A" w:rsidR="00BE1AFE" w:rsidRDefault="00794012" w:rsidP="00BD2463">
      <w:pPr>
        <w:pStyle w:val="SASRBullet"/>
      </w:pPr>
      <w:r>
        <w:t>In the high</w:t>
      </w:r>
      <w:r w:rsidR="006B2C3C">
        <w:t xml:space="preserve"> school</w:t>
      </w:r>
      <w:r>
        <w:t xml:space="preserve"> setting, Gogol cannot escape his name. When he is confronted by his name in print during his English class, his instinct is to deny the connection: he refuses to read “The Overcoat” because to do so “would mean paying tribute to his namesake, accepting it somehow” (p. 92). However, in spite of this refusal, he nevertheless feels “perversely responsible” (p. 92) when he hears his classmates complaining about how difficult the story is. Gogol is even physically trapped: he wants to excuse himself, </w:t>
      </w:r>
      <w:r w:rsidR="00DE2390">
        <w:t>“</w:t>
      </w:r>
      <w:r>
        <w:t>to raise his hand and take a trip to the lavatory”</w:t>
      </w:r>
      <w:r w:rsidR="000B2E4E">
        <w:t xml:space="preserve"> (p. 89) </w:t>
      </w:r>
      <w:r>
        <w:t>but can</w:t>
      </w:r>
      <w:r w:rsidR="006B2C3C">
        <w:t>not</w:t>
      </w:r>
      <w:r>
        <w:t xml:space="preserve"> do so without calling attention to himself and his name</w:t>
      </w:r>
      <w:r w:rsidR="000B2E4E">
        <w:t>.</w:t>
      </w:r>
      <w:r>
        <w:t xml:space="preserve"> </w:t>
      </w:r>
    </w:p>
    <w:p w14:paraId="1B280023" w14:textId="405F4913" w:rsidR="00F37790" w:rsidRDefault="00BE1AFE" w:rsidP="00BD2463">
      <w:pPr>
        <w:pStyle w:val="SASRBullet"/>
      </w:pPr>
      <w:r>
        <w:t>Seeing his name in print, Gogol is “viscerally” upset because he at once recognizes himself in his name and hates the image of himself that it presents, “as though the name were a particularly unflattering snapshot of himself that makes him want to say in his defense ‘That’s not really me’”(p. 89). Mr. Lawson’s lecture makes him feel “angry” and “betrayed”</w:t>
      </w:r>
      <w:r w:rsidR="00F37790">
        <w:t xml:space="preserve"> (p. 91) because it presents an image of Gogol’s namesake with which Gogol does not want to identify</w:t>
      </w:r>
      <w:r w:rsidR="00354485">
        <w:t>.</w:t>
      </w:r>
    </w:p>
    <w:p w14:paraId="7D8CC83C" w14:textId="2E7F86C6" w:rsidR="00195042" w:rsidRDefault="009F3D4E" w:rsidP="00BD2463">
      <w:pPr>
        <w:pStyle w:val="SASRBullet"/>
      </w:pPr>
      <w:r>
        <w:t xml:space="preserve">The setting of an American high school highlights </w:t>
      </w:r>
      <w:r w:rsidR="00434151">
        <w:t>the contrast between Gogol’s name and his surroundings. Gogol’s name sets him apart in a school full of students named “Brian and Erica and Tom” (p. 89)</w:t>
      </w:r>
      <w:r w:rsidR="001B6981">
        <w:t>. Mr</w:t>
      </w:r>
      <w:r w:rsidR="00610D6D">
        <w:t>.</w:t>
      </w:r>
      <w:r w:rsidR="001B6981">
        <w:t xml:space="preserve"> Lawson is unusual because he “is the first of Gogol’s teachers to know and to care about Gogol the author” (p. 88): most of Gogol’s teachers ask questions such as, “Was that really his name, was that the last name, was it short for something else?” </w:t>
      </w:r>
      <w:r w:rsidR="001B6981">
        <w:lastRenderedPageBreak/>
        <w:t xml:space="preserve">(p. 89). The setting of the high school then highlights Gogol’s awareness of how unusual his name is. </w:t>
      </w:r>
    </w:p>
    <w:p w14:paraId="6FBFCD6B" w14:textId="72619C6F" w:rsidR="001B6981" w:rsidRDefault="001B6981" w:rsidP="00BD2463">
      <w:pPr>
        <w:pStyle w:val="SASRBullet"/>
      </w:pPr>
      <w:r>
        <w:t>The atmosphere of the high school, in which Mr. Lawson is “the subject of schoolwide speculation, and slight scandal” (p. 88) and students gossip about teachers and fellow students such as “Emily Gardner, rumored to have anorexia” (p. 91)</w:t>
      </w:r>
      <w:r w:rsidR="00052654">
        <w:t>,</w:t>
      </w:r>
      <w:r>
        <w:t xml:space="preserve"> increases Gogol’s anxiety about his name, making him feel as though he is being observed and judged for his unusual name. As Mr. Lawson lectures on </w:t>
      </w:r>
      <w:r w:rsidR="00FA6CF6">
        <w:t xml:space="preserve">the author </w:t>
      </w:r>
      <w:r>
        <w:t xml:space="preserve">Gogol, </w:t>
      </w:r>
      <w:r w:rsidR="00BA1668">
        <w:t xml:space="preserve">Gogol </w:t>
      </w:r>
      <w:r>
        <w:t xml:space="preserve">is extremely self-conscious and “convinced that the entire school is listening to Mr. Lawson’s lecture. That it’s on the PA” (p. 92). </w:t>
      </w:r>
    </w:p>
    <w:p w14:paraId="72F49401" w14:textId="0A97A178" w:rsidR="00CA1840" w:rsidRDefault="00CA1840" w:rsidP="00757178">
      <w:pPr>
        <w:pStyle w:val="IN"/>
        <w:ind w:left="426" w:hanging="426"/>
      </w:pPr>
      <w:r>
        <w:rPr>
          <w:b/>
        </w:rPr>
        <w:t xml:space="preserve">Differentiation Consideration: </w:t>
      </w:r>
      <w:r w:rsidR="000103FA" w:rsidRPr="00B22506">
        <w:t xml:space="preserve">If students </w:t>
      </w:r>
      <w:r w:rsidR="00B22506" w:rsidRPr="00F67A90">
        <w:rPr>
          <w:rFonts w:eastAsiaTheme="minorEastAsia" w:cs="Calibri"/>
          <w:color w:val="3F6CAF"/>
          <w:lang w:eastAsia="ja-JP"/>
        </w:rPr>
        <w:t>would benefit f</w:t>
      </w:r>
      <w:r w:rsidR="00FB5CAA">
        <w:rPr>
          <w:rFonts w:eastAsiaTheme="minorEastAsia" w:cs="Calibri"/>
          <w:color w:val="3F6CAF"/>
          <w:lang w:eastAsia="ja-JP"/>
        </w:rPr>
        <w:t>rom a more structured analysis</w:t>
      </w:r>
      <w:r w:rsidR="00B22506" w:rsidRPr="00F67A90">
        <w:rPr>
          <w:rFonts w:eastAsiaTheme="minorEastAsia" w:cs="Calibri"/>
          <w:color w:val="3F6CAF"/>
          <w:lang w:eastAsia="ja-JP"/>
        </w:rPr>
        <w:t>, consider providing the following scaffolding que</w:t>
      </w:r>
      <w:r w:rsidR="00FB5CAA">
        <w:rPr>
          <w:rFonts w:eastAsiaTheme="minorEastAsia" w:cs="Calibri"/>
          <w:color w:val="3F6CAF"/>
          <w:lang w:eastAsia="ja-JP"/>
        </w:rPr>
        <w:t>stions to support their reading</w:t>
      </w:r>
      <w:r w:rsidR="00B22506" w:rsidRPr="00F67A90">
        <w:rPr>
          <w:rFonts w:eastAsiaTheme="minorEastAsia" w:cs="Calibri"/>
          <w:color w:val="3F6CAF"/>
          <w:lang w:eastAsia="ja-JP"/>
        </w:rPr>
        <w:t xml:space="preserve"> and discussion:</w:t>
      </w:r>
    </w:p>
    <w:p w14:paraId="0FCE6F8F" w14:textId="761A28FF" w:rsidR="00064D4F" w:rsidRDefault="00064D4F" w:rsidP="00064D4F">
      <w:pPr>
        <w:pStyle w:val="DCwithQ"/>
      </w:pPr>
      <w:r>
        <w:t xml:space="preserve">What does Gogol’s response to the book distributed by Mr. Lawson suggest about his relationship </w:t>
      </w:r>
      <w:r w:rsidR="00E073BA">
        <w:t xml:space="preserve">with </w:t>
      </w:r>
      <w:r>
        <w:t xml:space="preserve">his name? </w:t>
      </w:r>
    </w:p>
    <w:p w14:paraId="3A53C156" w14:textId="3CE30FF3" w:rsidR="00064D4F" w:rsidRDefault="00064D4F" w:rsidP="00064D4F">
      <w:pPr>
        <w:pStyle w:val="DCwithQ"/>
      </w:pPr>
      <w:r>
        <w:t>How does Mr. Lawson’s lesson on Gogol affect Gogol?</w:t>
      </w:r>
    </w:p>
    <w:p w14:paraId="5FD45E50" w14:textId="14171642" w:rsidR="00E073BA" w:rsidRDefault="00E073BA" w:rsidP="00064D4F">
      <w:pPr>
        <w:pStyle w:val="DCwithQ"/>
      </w:pPr>
      <w:r>
        <w:t>How does the high school setting</w:t>
      </w:r>
      <w:r w:rsidR="0006266C">
        <w:t xml:space="preserve"> contribute</w:t>
      </w:r>
      <w:r>
        <w:t xml:space="preserve"> to</w:t>
      </w:r>
      <w:r w:rsidR="0006266C">
        <w:t xml:space="preserve"> the</w:t>
      </w:r>
      <w:r>
        <w:t xml:space="preserve"> develop</w:t>
      </w:r>
      <w:r w:rsidR="0006266C">
        <w:t>ment of</w:t>
      </w:r>
      <w:r>
        <w:t xml:space="preserve"> a central idea?</w:t>
      </w:r>
    </w:p>
    <w:p w14:paraId="2BDEE326" w14:textId="22833845" w:rsidR="00195042" w:rsidRDefault="00195042" w:rsidP="00195042">
      <w:pPr>
        <w:pStyle w:val="Q"/>
      </w:pPr>
      <w:r>
        <w:t xml:space="preserve">Focus Question 2: </w:t>
      </w:r>
      <w:r w:rsidR="00CA1840">
        <w:t>How does the setting of the college party impact Gogol’s relationship with his name on pages 93</w:t>
      </w:r>
      <w:r w:rsidR="00052654">
        <w:t>–</w:t>
      </w:r>
      <w:r w:rsidR="00CA1840">
        <w:t>96?</w:t>
      </w:r>
    </w:p>
    <w:p w14:paraId="20BCFB27" w14:textId="77777777" w:rsidR="00195042" w:rsidRDefault="00195042" w:rsidP="00195042">
      <w:pPr>
        <w:pStyle w:val="SR"/>
        <w:ind w:left="709"/>
      </w:pPr>
      <w:r>
        <w:t>Student responses may include:</w:t>
      </w:r>
    </w:p>
    <w:p w14:paraId="67C8C0FB" w14:textId="0A8F05C7" w:rsidR="005274B7" w:rsidRPr="00664964" w:rsidRDefault="000E6A8F" w:rsidP="00664964">
      <w:pPr>
        <w:pStyle w:val="SASRBullet"/>
      </w:pPr>
      <w:r w:rsidRPr="00664964">
        <w:t>The new setting of the party makes Gogol even more uncomfortable than usual with his name</w:t>
      </w:r>
      <w:r w:rsidR="00F37790" w:rsidRPr="00664964">
        <w:t xml:space="preserve">. </w:t>
      </w:r>
      <w:r w:rsidRPr="00664964">
        <w:t xml:space="preserve">Gogol already has a sense of being young and out of place, as he “feels too wholesome in this ripped jeans and T-shirt crowd” (p. 94). Gogol’s name represents this awkwardness, making him reluctant to introduce himself to Kim, whom he wants to impress, because “he doesn't want to endure her reaction, to watch her lovely eyes grow wide” (p. 95). </w:t>
      </w:r>
    </w:p>
    <w:p w14:paraId="700EE036" w14:textId="5C1075CC" w:rsidR="000E6A8F" w:rsidRPr="00664964" w:rsidRDefault="000E6A8F" w:rsidP="00664964">
      <w:pPr>
        <w:pStyle w:val="SASRBullet"/>
      </w:pPr>
      <w:r w:rsidRPr="00664964">
        <w:t xml:space="preserve">The party </w:t>
      </w:r>
      <w:r w:rsidR="00E4181F" w:rsidRPr="00664964">
        <w:t>represents</w:t>
      </w:r>
      <w:r w:rsidRPr="00664964">
        <w:t xml:space="preserve"> a crowded and anonymous setting,</w:t>
      </w:r>
      <w:r w:rsidR="00E4181F" w:rsidRPr="00664964">
        <w:t xml:space="preserve"> in</w:t>
      </w:r>
      <w:r w:rsidRPr="00664964">
        <w:t xml:space="preserve"> which</w:t>
      </w:r>
      <w:r w:rsidR="00794012" w:rsidRPr="00664964">
        <w:t xml:space="preserve"> </w:t>
      </w:r>
      <w:r w:rsidRPr="00664964">
        <w:t xml:space="preserve">Gogol </w:t>
      </w:r>
      <w:r w:rsidR="00794012" w:rsidRPr="00664964">
        <w:t>can</w:t>
      </w:r>
      <w:r w:rsidRPr="00664964">
        <w:t xml:space="preserve"> </w:t>
      </w:r>
      <w:r w:rsidR="00E10F94" w:rsidRPr="00664964">
        <w:t xml:space="preserve">break </w:t>
      </w:r>
      <w:r w:rsidR="00794012" w:rsidRPr="00664964">
        <w:t xml:space="preserve">away from </w:t>
      </w:r>
      <w:r w:rsidR="00E10F94" w:rsidRPr="00664964">
        <w:t>his hated name</w:t>
      </w:r>
      <w:r w:rsidRPr="00664964">
        <w:t xml:space="preserve">. Apart from his friends and Colin’s brother, Gogol knows nobody at the party, and so “[n]o one notices as Gogol and his three friends </w:t>
      </w:r>
      <w:r w:rsidR="00D013E8" w:rsidRPr="00664964">
        <w:t xml:space="preserve">make their way across the room” (p. 94), and once he has split up from his friends, nobody knows him as Gogol. </w:t>
      </w:r>
      <w:r w:rsidR="00E4181F" w:rsidRPr="00664964">
        <w:t xml:space="preserve">Thus, </w:t>
      </w:r>
      <w:r w:rsidR="00D013E8" w:rsidRPr="00664964">
        <w:t xml:space="preserve">Gogol </w:t>
      </w:r>
      <w:r w:rsidR="00E4181F" w:rsidRPr="00664964">
        <w:t xml:space="preserve">can take on </w:t>
      </w:r>
      <w:r w:rsidR="00D013E8" w:rsidRPr="00664964">
        <w:t>a “surreptitious identity” as “a freshman at Amherst” when talking to Kim</w:t>
      </w:r>
      <w:r w:rsidR="00664964">
        <w:t xml:space="preserve"> </w:t>
      </w:r>
      <w:r w:rsidR="00664964" w:rsidRPr="00664964">
        <w:t>(p. 95)</w:t>
      </w:r>
      <w:r w:rsidR="00D013E8" w:rsidRPr="00664964">
        <w:t xml:space="preserve">. From here, he realizes that it is a short step to introducing himself under a different name, that “[h]e could introduce himself as Colin or Jason or Marc, as anybody at all, and their conversation could continue, and [Kim] would never know or care” (p. 96). </w:t>
      </w:r>
    </w:p>
    <w:p w14:paraId="76CF7232" w14:textId="7F0818C3" w:rsidR="00D013E8" w:rsidRPr="00664964" w:rsidRDefault="00D013E8" w:rsidP="00664964">
      <w:pPr>
        <w:pStyle w:val="SASRBullet"/>
      </w:pPr>
      <w:r w:rsidRPr="00664964">
        <w:t xml:space="preserve">As Nikhil, Gogol is “brave” and feels “protected as if by an invisible shield” (p. 96), which enables him to kiss Kim. </w:t>
      </w:r>
      <w:r w:rsidR="00E10F94" w:rsidRPr="00664964">
        <w:t xml:space="preserve">At the party, Gogol is no longer Gogol. He reflects in the car </w:t>
      </w:r>
      <w:r w:rsidR="00E10F94" w:rsidRPr="00664964">
        <w:lastRenderedPageBreak/>
        <w:t xml:space="preserve">afterwards “that it hadn’t been Gogol who’d kissed Kim. That Gogol had had nothing to do with it” (p. 96). </w:t>
      </w:r>
      <w:r w:rsidR="00BA1668" w:rsidRPr="00664964">
        <w:t>The</w:t>
      </w:r>
      <w:r w:rsidR="00E10F94" w:rsidRPr="00664964">
        <w:t xml:space="preserve"> party shows Gogol that by changing his name, he can free himself </w:t>
      </w:r>
      <w:r w:rsidR="000564AD" w:rsidRPr="00664964">
        <w:t>of</w:t>
      </w:r>
      <w:r w:rsidR="00E10F94" w:rsidRPr="00664964">
        <w:t xml:space="preserve"> the awkwardness that he associates with the name Gogol and take on a new identity. </w:t>
      </w:r>
    </w:p>
    <w:p w14:paraId="0CFBD28D" w14:textId="7A745E38" w:rsidR="00195042" w:rsidRDefault="00195042" w:rsidP="00195042">
      <w:pPr>
        <w:pStyle w:val="IN"/>
        <w:ind w:left="426" w:hanging="426"/>
      </w:pPr>
      <w:r>
        <w:rPr>
          <w:b/>
        </w:rPr>
        <w:t xml:space="preserve">Differentiation Consideration: </w:t>
      </w:r>
      <w:r w:rsidR="00794012" w:rsidRPr="00C56961">
        <w:t xml:space="preserve">If students </w:t>
      </w:r>
      <w:r w:rsidR="00B71132" w:rsidRPr="00F67A90">
        <w:rPr>
          <w:rFonts w:eastAsiaTheme="minorEastAsia" w:cs="Calibri"/>
          <w:color w:val="3F6CAF"/>
          <w:lang w:eastAsia="ja-JP"/>
        </w:rPr>
        <w:t>would benefit from a more</w:t>
      </w:r>
      <w:r w:rsidR="00FB5CAA">
        <w:rPr>
          <w:rFonts w:eastAsiaTheme="minorEastAsia" w:cs="Calibri"/>
          <w:color w:val="3F6CAF"/>
          <w:lang w:eastAsia="ja-JP"/>
        </w:rPr>
        <w:t xml:space="preserve"> structured analysis</w:t>
      </w:r>
      <w:r w:rsidR="00B71132" w:rsidRPr="00F67A90">
        <w:rPr>
          <w:rFonts w:eastAsiaTheme="minorEastAsia" w:cs="Calibri"/>
          <w:color w:val="3F6CAF"/>
          <w:lang w:eastAsia="ja-JP"/>
        </w:rPr>
        <w:t>, consider providing the following scaffolding que</w:t>
      </w:r>
      <w:r w:rsidR="00FB5CAA">
        <w:rPr>
          <w:rFonts w:eastAsiaTheme="minorEastAsia" w:cs="Calibri"/>
          <w:color w:val="3F6CAF"/>
          <w:lang w:eastAsia="ja-JP"/>
        </w:rPr>
        <w:t>stions to support their reading</w:t>
      </w:r>
      <w:r w:rsidR="00B71132" w:rsidRPr="00F67A90">
        <w:rPr>
          <w:rFonts w:eastAsiaTheme="minorEastAsia" w:cs="Calibri"/>
          <w:color w:val="3F6CAF"/>
          <w:lang w:eastAsia="ja-JP"/>
        </w:rPr>
        <w:t xml:space="preserve"> and discussion:</w:t>
      </w:r>
    </w:p>
    <w:p w14:paraId="5F1EC8C9" w14:textId="7E83F2B7" w:rsidR="00064D4F" w:rsidRDefault="00064D4F" w:rsidP="00064D4F">
      <w:pPr>
        <w:pStyle w:val="DCwithQ"/>
      </w:pPr>
      <w:r>
        <w:t>How does Lahiri develop Gogol’s relationship with his parents on pages 93</w:t>
      </w:r>
      <w:r w:rsidR="009B6905">
        <w:t>–</w:t>
      </w:r>
      <w:r>
        <w:t>94?</w:t>
      </w:r>
    </w:p>
    <w:p w14:paraId="00A8E5CE" w14:textId="164EF939" w:rsidR="00064D4F" w:rsidRDefault="00064D4F" w:rsidP="00064D4F">
      <w:pPr>
        <w:pStyle w:val="DCwithQ"/>
      </w:pPr>
      <w:r>
        <w:t xml:space="preserve">How does Gogol’s decision to introduce himself as Nikhil </w:t>
      </w:r>
      <w:r w:rsidR="00F47C05">
        <w:t xml:space="preserve">further </w:t>
      </w:r>
      <w:r>
        <w:t>develop his character?</w:t>
      </w:r>
    </w:p>
    <w:p w14:paraId="74783818" w14:textId="1F704768" w:rsidR="00E073BA" w:rsidRDefault="00E073BA" w:rsidP="00064D4F">
      <w:pPr>
        <w:pStyle w:val="DCwithQ"/>
      </w:pPr>
      <w:r>
        <w:t>How does the setting of the party</w:t>
      </w:r>
      <w:r w:rsidR="0006266C">
        <w:t xml:space="preserve"> contribute to the</w:t>
      </w:r>
      <w:r>
        <w:t xml:space="preserve"> develop</w:t>
      </w:r>
      <w:r w:rsidR="0006266C">
        <w:t>ment of</w:t>
      </w:r>
      <w:r>
        <w:t xml:space="preserve"> a central idea?</w:t>
      </w:r>
    </w:p>
    <w:p w14:paraId="33C9145C" w14:textId="5F0F0AE6" w:rsidR="00195042" w:rsidRPr="00C633C7" w:rsidRDefault="00195042" w:rsidP="00195042">
      <w:pPr>
        <w:pStyle w:val="TA"/>
        <w:rPr>
          <w:lang w:eastAsia="ja-JP"/>
        </w:rPr>
      </w:pPr>
      <w:r>
        <w:rPr>
          <w:lang w:eastAsia="ja-JP"/>
        </w:rPr>
        <w:t xml:space="preserve">Lead a brief </w:t>
      </w:r>
      <w:r w:rsidRPr="00C633C7">
        <w:rPr>
          <w:lang w:eastAsia="ja-JP"/>
        </w:rPr>
        <w:t>whole</w:t>
      </w:r>
      <w:r>
        <w:rPr>
          <w:lang w:eastAsia="ja-JP"/>
        </w:rPr>
        <w:t>-</w:t>
      </w:r>
      <w:r w:rsidRPr="00C633C7">
        <w:rPr>
          <w:lang w:eastAsia="ja-JP"/>
        </w:rPr>
        <w:t xml:space="preserve">class discussion of student responses. </w:t>
      </w:r>
    </w:p>
    <w:p w14:paraId="441EDC8C" w14:textId="6DEDA1D5" w:rsidR="00195042" w:rsidRPr="0063473E" w:rsidRDefault="00195042" w:rsidP="00195042">
      <w:pPr>
        <w:pStyle w:val="LearningSequenceHeader"/>
        <w:rPr>
          <w:rFonts w:asciiTheme="majorHAnsi" w:hAnsiTheme="majorHAnsi"/>
        </w:rPr>
      </w:pPr>
      <w:r w:rsidRPr="0063473E">
        <w:rPr>
          <w:rFonts w:asciiTheme="majorHAnsi" w:hAnsiTheme="majorHAnsi"/>
        </w:rPr>
        <w:t xml:space="preserve">Activity </w:t>
      </w:r>
      <w:r w:rsidR="00071079">
        <w:rPr>
          <w:rFonts w:asciiTheme="majorHAnsi" w:hAnsiTheme="majorHAnsi"/>
        </w:rPr>
        <w:t>4</w:t>
      </w:r>
      <w:r w:rsidRPr="0063473E">
        <w:rPr>
          <w:rFonts w:asciiTheme="majorHAnsi" w:hAnsiTheme="majorHAnsi"/>
        </w:rPr>
        <w:t>: Quick Write</w:t>
      </w:r>
      <w:r w:rsidRPr="0063473E">
        <w:rPr>
          <w:rFonts w:asciiTheme="majorHAnsi" w:hAnsiTheme="majorHAnsi"/>
        </w:rPr>
        <w:tab/>
        <w:t>15%</w:t>
      </w:r>
    </w:p>
    <w:p w14:paraId="6EFFB981" w14:textId="77777777" w:rsidR="00195042" w:rsidRPr="0063473E" w:rsidRDefault="00195042" w:rsidP="00195042">
      <w:pPr>
        <w:pStyle w:val="TA"/>
        <w:rPr>
          <w:rFonts w:asciiTheme="majorHAnsi" w:hAnsiTheme="majorHAnsi"/>
        </w:rPr>
      </w:pPr>
      <w:r w:rsidRPr="0063473E">
        <w:rPr>
          <w:rFonts w:asciiTheme="majorHAnsi" w:hAnsiTheme="majorHAnsi"/>
        </w:rPr>
        <w:t>Instruct students to respond briefly in writing to the following prompt</w:t>
      </w:r>
      <w:r>
        <w:rPr>
          <w:rFonts w:asciiTheme="majorHAnsi" w:hAnsiTheme="majorHAnsi"/>
        </w:rPr>
        <w:t>:</w:t>
      </w:r>
      <w:r w:rsidRPr="0063473E">
        <w:rPr>
          <w:rFonts w:asciiTheme="majorHAnsi" w:hAnsiTheme="majorHAnsi"/>
        </w:rPr>
        <w:t xml:space="preserve"> </w:t>
      </w:r>
    </w:p>
    <w:p w14:paraId="637C711D" w14:textId="77777777" w:rsidR="00195042" w:rsidRDefault="00CA1840" w:rsidP="00195042">
      <w:pPr>
        <w:pStyle w:val="Q"/>
      </w:pPr>
      <w:r>
        <w:rPr>
          <w:rFonts w:asciiTheme="majorHAnsi" w:hAnsiTheme="majorHAnsi"/>
        </w:rPr>
        <w:t>How does Gogol’s relationship with his name further develop a central idea in the text</w:t>
      </w:r>
      <w:r w:rsidR="00195042" w:rsidRPr="00B606A5">
        <w:t>?</w:t>
      </w:r>
    </w:p>
    <w:p w14:paraId="380C4B10" w14:textId="77777777" w:rsidR="00195042" w:rsidRPr="0007208A" w:rsidRDefault="00195042" w:rsidP="00195042">
      <w:pPr>
        <w:pStyle w:val="TA"/>
      </w:pPr>
      <w:r w:rsidRPr="000752C0">
        <w:t>Instruct students to look at their annotations to find evidence. Ask students to use this lesson’s vocabulary wherever possib</w:t>
      </w:r>
      <w:r>
        <w:t xml:space="preserve">le in their written responses. </w:t>
      </w:r>
    </w:p>
    <w:p w14:paraId="4AA8835F" w14:textId="77777777" w:rsidR="00195042" w:rsidRPr="0063473E" w:rsidRDefault="00195042" w:rsidP="00195042">
      <w:pPr>
        <w:pStyle w:val="SA"/>
        <w:numPr>
          <w:ilvl w:val="0"/>
          <w:numId w:val="2"/>
        </w:numPr>
        <w:rPr>
          <w:rFonts w:asciiTheme="majorHAnsi" w:hAnsiTheme="majorHAnsi"/>
        </w:rPr>
      </w:pPr>
      <w:r w:rsidRPr="0063473E">
        <w:rPr>
          <w:rFonts w:asciiTheme="majorHAnsi" w:hAnsiTheme="majorHAnsi"/>
        </w:rPr>
        <w:t>Students listen and read the Quick Write prompt.</w:t>
      </w:r>
    </w:p>
    <w:p w14:paraId="3DC4B631" w14:textId="77777777" w:rsidR="00195042" w:rsidRPr="0063473E" w:rsidRDefault="00195042" w:rsidP="00195042">
      <w:pPr>
        <w:pStyle w:val="IN"/>
        <w:rPr>
          <w:rFonts w:asciiTheme="majorHAnsi" w:hAnsiTheme="majorHAnsi"/>
        </w:rPr>
      </w:pPr>
      <w:r w:rsidRPr="0063473E">
        <w:rPr>
          <w:rFonts w:asciiTheme="majorHAnsi" w:hAnsiTheme="majorHAnsi"/>
        </w:rPr>
        <w:t>Display the prompt for students to see, or provide the prompt in hard copy.</w:t>
      </w:r>
    </w:p>
    <w:p w14:paraId="3E8E581B" w14:textId="77777777" w:rsidR="00195042" w:rsidRPr="0063473E" w:rsidRDefault="00195042" w:rsidP="00195042">
      <w:pPr>
        <w:pStyle w:val="TA"/>
        <w:rPr>
          <w:rFonts w:asciiTheme="majorHAnsi" w:hAnsiTheme="majorHAnsi" w:cs="Cambria"/>
        </w:rPr>
      </w:pPr>
      <w:r w:rsidRPr="0063473E">
        <w:rPr>
          <w:rFonts w:asciiTheme="majorHAnsi" w:hAnsiTheme="majorHAnsi" w:cs="Cambria"/>
        </w:rPr>
        <w:t>Transition to the independent Quick Write.</w:t>
      </w:r>
      <w:r w:rsidRPr="0063473E">
        <w:rPr>
          <w:rFonts w:asciiTheme="majorHAnsi" w:hAnsiTheme="majorHAnsi"/>
        </w:rPr>
        <w:t xml:space="preserve"> </w:t>
      </w:r>
    </w:p>
    <w:p w14:paraId="75D6E9A2" w14:textId="77777777" w:rsidR="00195042" w:rsidRPr="0063473E" w:rsidRDefault="00195042" w:rsidP="00195042">
      <w:pPr>
        <w:pStyle w:val="SA"/>
        <w:numPr>
          <w:ilvl w:val="0"/>
          <w:numId w:val="2"/>
        </w:numPr>
        <w:rPr>
          <w:rFonts w:asciiTheme="majorHAnsi" w:hAnsiTheme="majorHAnsi"/>
        </w:rPr>
      </w:pPr>
      <w:r w:rsidRPr="0063473E">
        <w:rPr>
          <w:rFonts w:asciiTheme="majorHAnsi" w:hAnsiTheme="majorHAnsi"/>
        </w:rPr>
        <w:t xml:space="preserve">Students independently answer the prompt, using evidence from the text. </w:t>
      </w:r>
    </w:p>
    <w:p w14:paraId="50CDE649" w14:textId="77777777" w:rsidR="00195042" w:rsidRDefault="00195042" w:rsidP="00195042">
      <w:pPr>
        <w:pStyle w:val="SR"/>
        <w:rPr>
          <w:rFonts w:asciiTheme="majorHAnsi" w:hAnsiTheme="majorHAnsi"/>
        </w:rPr>
      </w:pPr>
      <w:r w:rsidRPr="0063473E">
        <w:rPr>
          <w:rFonts w:asciiTheme="majorHAnsi" w:hAnsiTheme="majorHAnsi"/>
        </w:rPr>
        <w:t>See the High Performance Response at the beginning of this lesson.</w:t>
      </w:r>
    </w:p>
    <w:p w14:paraId="060850DF" w14:textId="25BB5413" w:rsidR="00195042" w:rsidRPr="0007208A" w:rsidRDefault="00195042" w:rsidP="00195042">
      <w:pPr>
        <w:pStyle w:val="IN"/>
        <w:ind w:left="426" w:hanging="426"/>
      </w:pPr>
      <w:r>
        <w:t>Consider using the Short Response Rubric to assess students’ writing. Students may use the Short Response Rubric and Checklist to guide their written responses</w:t>
      </w:r>
      <w:r w:rsidR="00FA6CF6">
        <w:t>.</w:t>
      </w:r>
    </w:p>
    <w:p w14:paraId="08132008" w14:textId="50664D02" w:rsidR="00195042" w:rsidRPr="0063473E" w:rsidRDefault="00195042" w:rsidP="00195042">
      <w:pPr>
        <w:pStyle w:val="LearningSequenceHeader"/>
        <w:rPr>
          <w:rFonts w:asciiTheme="majorHAnsi" w:hAnsiTheme="majorHAnsi"/>
        </w:rPr>
      </w:pPr>
      <w:r w:rsidRPr="0063473E">
        <w:rPr>
          <w:rFonts w:asciiTheme="majorHAnsi" w:hAnsiTheme="majorHAnsi"/>
        </w:rPr>
        <w:t xml:space="preserve">Activity </w:t>
      </w:r>
      <w:r w:rsidR="00071079">
        <w:rPr>
          <w:rFonts w:asciiTheme="majorHAnsi" w:hAnsiTheme="majorHAnsi"/>
        </w:rPr>
        <w:t>5</w:t>
      </w:r>
      <w:r w:rsidRPr="0063473E">
        <w:rPr>
          <w:rFonts w:asciiTheme="majorHAnsi" w:hAnsiTheme="majorHAnsi"/>
        </w:rPr>
        <w:t>: Closing</w:t>
      </w:r>
      <w:r w:rsidRPr="0063473E">
        <w:rPr>
          <w:rFonts w:asciiTheme="majorHAnsi" w:hAnsiTheme="majorHAnsi"/>
        </w:rPr>
        <w:tab/>
        <w:t>5%</w:t>
      </w:r>
    </w:p>
    <w:p w14:paraId="6CCDB7DC" w14:textId="6B70AFD6" w:rsidR="00DA0A7C" w:rsidRDefault="00195042" w:rsidP="00217A92">
      <w:pPr>
        <w:pStyle w:val="TA"/>
      </w:pPr>
      <w:r w:rsidRPr="00217A92">
        <w:t xml:space="preserve">Display and distribute the homework assignment. For homework, instruct students to read </w:t>
      </w:r>
      <w:r w:rsidR="00CA1840" w:rsidRPr="00217A92">
        <w:t>pages 97</w:t>
      </w:r>
      <w:r w:rsidR="009B6905">
        <w:t>–</w:t>
      </w:r>
      <w:r w:rsidR="00CA1840" w:rsidRPr="00217A92">
        <w:t xml:space="preserve">108 of </w:t>
      </w:r>
      <w:r w:rsidR="00CA1840" w:rsidRPr="00BE3D99">
        <w:rPr>
          <w:i/>
        </w:rPr>
        <w:t>The Namesake</w:t>
      </w:r>
      <w:r w:rsidRPr="00217A92">
        <w:t xml:space="preserve"> </w:t>
      </w:r>
      <w:r w:rsidR="00CA1840" w:rsidRPr="00217A92">
        <w:t>(from “Plenty of people changed their names: actors, writers” to “adding to them in</w:t>
      </w:r>
      <w:r w:rsidR="00CA1840">
        <w:t xml:space="preserve"> his spare time</w:t>
      </w:r>
      <w:r w:rsidR="00CA1840">
        <w:rPr>
          <w:i/>
        </w:rPr>
        <w:t>”</w:t>
      </w:r>
      <w:r w:rsidR="00CA1840">
        <w:t>) and annotate for</w:t>
      </w:r>
      <w:r w:rsidR="0052400E">
        <w:t xml:space="preserve"> the development of</w:t>
      </w:r>
      <w:r w:rsidR="00CA1840">
        <w:t xml:space="preserve"> central idea</w:t>
      </w:r>
      <w:r w:rsidR="0064153D">
        <w:t>s</w:t>
      </w:r>
      <w:r w:rsidR="00F54481">
        <w:t xml:space="preserve"> </w:t>
      </w:r>
      <w:r w:rsidRPr="00C56961">
        <w:rPr>
          <w:color w:val="4F81BD" w:themeColor="accent1"/>
        </w:rPr>
        <w:t>(W.11-12.9.a)</w:t>
      </w:r>
      <w:r>
        <w:t xml:space="preserve">. </w:t>
      </w:r>
    </w:p>
    <w:p w14:paraId="60C07C0A" w14:textId="2B135A1A" w:rsidR="00195042" w:rsidRDefault="00FC4F2B" w:rsidP="00217A92">
      <w:pPr>
        <w:pStyle w:val="TA"/>
      </w:pPr>
      <w:r>
        <w:t>Additionally, instruct students to respond briefly in writing to the following prompt:</w:t>
      </w:r>
    </w:p>
    <w:p w14:paraId="21085698" w14:textId="2CD0400D" w:rsidR="00FC4F2B" w:rsidRDefault="00FC4F2B" w:rsidP="00926100">
      <w:pPr>
        <w:pStyle w:val="Q"/>
        <w:rPr>
          <w:shd w:val="clear" w:color="auto" w:fill="FFFFFF"/>
        </w:rPr>
      </w:pPr>
      <w:r>
        <w:rPr>
          <w:shd w:val="clear" w:color="auto" w:fill="FFFFFF"/>
        </w:rPr>
        <w:lastRenderedPageBreak/>
        <w:t xml:space="preserve">How does Gogol’s decision to change his name impact his relationship with his parents? </w:t>
      </w:r>
    </w:p>
    <w:p w14:paraId="4EA8624F" w14:textId="6C61CA7B" w:rsidR="00FC4F2B" w:rsidRPr="00CA1840" w:rsidRDefault="00FC4F2B" w:rsidP="00217A92">
      <w:pPr>
        <w:pStyle w:val="SA"/>
        <w:rPr>
          <w:shd w:val="clear" w:color="auto" w:fill="FFFFFF"/>
        </w:rPr>
      </w:pPr>
      <w:r>
        <w:rPr>
          <w:shd w:val="clear" w:color="auto" w:fill="FFFFFF"/>
        </w:rPr>
        <w:t>Students follow along</w:t>
      </w:r>
      <w:r w:rsidR="007C3289">
        <w:rPr>
          <w:shd w:val="clear" w:color="auto" w:fill="FFFFFF"/>
        </w:rPr>
        <w:t>.</w:t>
      </w:r>
    </w:p>
    <w:p w14:paraId="5363811F" w14:textId="77777777" w:rsidR="00195042" w:rsidRPr="0063473E" w:rsidRDefault="00195042" w:rsidP="00195042">
      <w:pPr>
        <w:pStyle w:val="Heading1"/>
        <w:rPr>
          <w:rFonts w:asciiTheme="majorHAnsi" w:hAnsiTheme="majorHAnsi"/>
        </w:rPr>
      </w:pPr>
      <w:r w:rsidRPr="0063473E">
        <w:rPr>
          <w:rFonts w:asciiTheme="majorHAnsi" w:hAnsiTheme="majorHAnsi"/>
        </w:rPr>
        <w:t>Homework</w:t>
      </w:r>
    </w:p>
    <w:p w14:paraId="20744F92" w14:textId="5D16885C" w:rsidR="00DA0A7C" w:rsidRDefault="00CA1840" w:rsidP="00217A92">
      <w:r>
        <w:t>Read pages 97</w:t>
      </w:r>
      <w:r w:rsidR="009B6905">
        <w:t>–</w:t>
      </w:r>
      <w:r>
        <w:t xml:space="preserve">108 of </w:t>
      </w:r>
      <w:r>
        <w:rPr>
          <w:i/>
        </w:rPr>
        <w:t>The Namesake</w:t>
      </w:r>
      <w:r>
        <w:t xml:space="preserve"> (from </w:t>
      </w:r>
      <w:r>
        <w:rPr>
          <w:i/>
        </w:rPr>
        <w:t>“</w:t>
      </w:r>
      <w:r>
        <w:t>Plenty of people changed their names: actors, writers” to “adding to them in his spare time</w:t>
      </w:r>
      <w:r>
        <w:rPr>
          <w:i/>
        </w:rPr>
        <w:t>”</w:t>
      </w:r>
      <w:r>
        <w:t>) and annotate for</w:t>
      </w:r>
      <w:r w:rsidR="0052400E">
        <w:t xml:space="preserve"> the development of</w:t>
      </w:r>
      <w:r>
        <w:t xml:space="preserve"> central idea</w:t>
      </w:r>
      <w:r w:rsidR="0064153D">
        <w:t>s</w:t>
      </w:r>
      <w:r>
        <w:t xml:space="preserve">. </w:t>
      </w:r>
    </w:p>
    <w:p w14:paraId="63954164" w14:textId="77777777" w:rsidR="00DA0A7C" w:rsidRDefault="00DA0A7C" w:rsidP="00217A92">
      <w:r>
        <w:t>Additionally, respond briefly in writing to the following prompt:</w:t>
      </w:r>
    </w:p>
    <w:p w14:paraId="2E1F59C9" w14:textId="7592C8CC" w:rsidR="00EC6F81" w:rsidRPr="00217A92" w:rsidRDefault="00DA0A7C" w:rsidP="00217A92">
      <w:pPr>
        <w:pStyle w:val="Q"/>
        <w:rPr>
          <w:shd w:val="clear" w:color="auto" w:fill="FFFFFF"/>
        </w:rPr>
      </w:pPr>
      <w:r>
        <w:rPr>
          <w:shd w:val="clear" w:color="auto" w:fill="FFFFFF"/>
        </w:rPr>
        <w:t xml:space="preserve">How does Gogol’s decision to change his name impact his relationship with his parents? </w:t>
      </w:r>
    </w:p>
    <w:sectPr w:rsidR="00EC6F81" w:rsidRPr="00217A92" w:rsidSect="0017322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472C" w14:textId="77777777" w:rsidR="00BC1E7E" w:rsidRDefault="00BC1E7E" w:rsidP="00195042">
      <w:pPr>
        <w:spacing w:before="0" w:after="0" w:line="240" w:lineRule="auto"/>
      </w:pPr>
      <w:r>
        <w:separator/>
      </w:r>
    </w:p>
  </w:endnote>
  <w:endnote w:type="continuationSeparator" w:id="0">
    <w:p w14:paraId="24DAE743" w14:textId="77777777" w:rsidR="00BC1E7E" w:rsidRDefault="00BC1E7E" w:rsidP="001950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7D29" w14:textId="77777777" w:rsidR="00664964" w:rsidRDefault="00664964" w:rsidP="0017322A">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18E82B6" w14:textId="77777777" w:rsidR="00664964" w:rsidRDefault="00664964" w:rsidP="0017322A">
    <w:pPr>
      <w:pStyle w:val="Footer"/>
    </w:pPr>
  </w:p>
  <w:p w14:paraId="53393A69" w14:textId="77777777" w:rsidR="00664964" w:rsidRDefault="00664964" w:rsidP="0017322A"/>
  <w:p w14:paraId="5582B41F" w14:textId="77777777" w:rsidR="00664964" w:rsidRDefault="00664964" w:rsidP="001732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AEF5" w14:textId="77777777" w:rsidR="00664964" w:rsidRPr="00563CB8" w:rsidRDefault="00664964" w:rsidP="00902C57">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664964" w14:paraId="0DDF03C7" w14:textId="77777777" w:rsidTr="00162C10">
      <w:trPr>
        <w:trHeight w:val="705"/>
      </w:trPr>
      <w:tc>
        <w:tcPr>
          <w:tcW w:w="4484" w:type="dxa"/>
          <w:shd w:val="clear" w:color="auto" w:fill="auto"/>
          <w:vAlign w:val="center"/>
        </w:tcPr>
        <w:p w14:paraId="544994DD" w14:textId="5936E805" w:rsidR="00664964" w:rsidRPr="002E4C92" w:rsidRDefault="00664964" w:rsidP="00162C10">
          <w:pPr>
            <w:pStyle w:val="FooterText"/>
          </w:pPr>
          <w:r w:rsidRPr="002E4C92">
            <w:t>File:</w:t>
          </w:r>
          <w:r w:rsidRPr="0039525B">
            <w:rPr>
              <w:b w:val="0"/>
            </w:rPr>
            <w:t xml:space="preserve"> </w:t>
          </w:r>
          <w:r>
            <w:rPr>
              <w:b w:val="0"/>
            </w:rPr>
            <w:t>12.4.2</w:t>
          </w:r>
          <w:r w:rsidRPr="0039525B">
            <w:rPr>
              <w:b w:val="0"/>
            </w:rPr>
            <w:t xml:space="preserve"> Lesson </w:t>
          </w:r>
          <w:r>
            <w:rPr>
              <w:b w:val="0"/>
            </w:rPr>
            <w:t>10</w:t>
          </w:r>
          <w:r w:rsidRPr="002E4C92">
            <w:t xml:space="preserve"> Date:</w:t>
          </w:r>
          <w:r w:rsidRPr="0039525B">
            <w:rPr>
              <w:b w:val="0"/>
            </w:rPr>
            <w:t xml:space="preserve"> </w:t>
          </w:r>
          <w:r>
            <w:rPr>
              <w:b w:val="0"/>
            </w:rPr>
            <w:t>6/</w:t>
          </w:r>
          <w:r w:rsidR="00E52B10">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5E0D467" w14:textId="5A0DB837" w:rsidR="00664964" w:rsidRPr="0039525B" w:rsidRDefault="00664964" w:rsidP="00162C10">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3D414ADC" w14:textId="77777777" w:rsidR="00664964" w:rsidRPr="0039525B" w:rsidRDefault="00664964" w:rsidP="00162C10">
          <w:pPr>
            <w:pStyle w:val="FooterText"/>
            <w:rPr>
              <w:b w:val="0"/>
              <w:i/>
            </w:rPr>
          </w:pPr>
          <w:r w:rsidRPr="0039525B">
            <w:rPr>
              <w:b w:val="0"/>
              <w:i/>
              <w:sz w:val="12"/>
            </w:rPr>
            <w:t>Creative Commons Attribution-NonCommercial-ShareAlike 3.0 Unported License</w:t>
          </w:r>
        </w:p>
        <w:p w14:paraId="0CE1B2CA" w14:textId="77777777" w:rsidR="00664964" w:rsidRPr="002E4C92" w:rsidRDefault="005D0545" w:rsidP="00162C10">
          <w:pPr>
            <w:pStyle w:val="FooterText"/>
          </w:pPr>
          <w:hyperlink r:id="rId1" w:history="1">
            <w:r w:rsidR="00664964" w:rsidRPr="0043460D">
              <w:rPr>
                <w:rStyle w:val="Hyperlink"/>
                <w:sz w:val="12"/>
                <w:szCs w:val="12"/>
              </w:rPr>
              <w:t>http://creativecommons.org/licenses/by-nc-sa/3.0/</w:t>
            </w:r>
          </w:hyperlink>
        </w:p>
      </w:tc>
      <w:tc>
        <w:tcPr>
          <w:tcW w:w="614" w:type="dxa"/>
          <w:shd w:val="clear" w:color="auto" w:fill="auto"/>
          <w:vAlign w:val="center"/>
        </w:tcPr>
        <w:p w14:paraId="4994B331" w14:textId="77777777" w:rsidR="00664964" w:rsidRPr="002E4C92" w:rsidRDefault="00664964" w:rsidP="00162C10">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D0545">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68AB4766" w14:textId="56BCAEB0" w:rsidR="00664964" w:rsidRPr="002E4C92" w:rsidRDefault="00664964" w:rsidP="00162C10">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5A5B2D0" wp14:editId="5BA15166">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118AFD4A" w14:textId="77777777" w:rsidR="00664964" w:rsidRPr="0039525B" w:rsidRDefault="00664964" w:rsidP="0017322A">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F255" w14:textId="77777777" w:rsidR="00BC1E7E" w:rsidRDefault="00BC1E7E" w:rsidP="00195042">
      <w:pPr>
        <w:spacing w:before="0" w:after="0" w:line="240" w:lineRule="auto"/>
      </w:pPr>
      <w:r>
        <w:separator/>
      </w:r>
    </w:p>
  </w:footnote>
  <w:footnote w:type="continuationSeparator" w:id="0">
    <w:p w14:paraId="00F5A896" w14:textId="77777777" w:rsidR="00BC1E7E" w:rsidRDefault="00BC1E7E" w:rsidP="0019504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64964" w:rsidRPr="00E946A0" w14:paraId="22A49DF8" w14:textId="77777777" w:rsidTr="000347DC">
      <w:tc>
        <w:tcPr>
          <w:tcW w:w="3708" w:type="dxa"/>
          <w:shd w:val="clear" w:color="auto" w:fill="auto"/>
        </w:tcPr>
        <w:p w14:paraId="286D6DC1" w14:textId="77777777" w:rsidR="00664964" w:rsidRPr="00563CB8" w:rsidRDefault="00664964" w:rsidP="000347D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9184122" w14:textId="77777777" w:rsidR="00664964" w:rsidRPr="00563CB8" w:rsidRDefault="00664964" w:rsidP="000347DC">
          <w:pPr>
            <w:pStyle w:val="PageHeader"/>
          </w:pPr>
        </w:p>
      </w:tc>
      <w:tc>
        <w:tcPr>
          <w:tcW w:w="3438" w:type="dxa"/>
          <w:shd w:val="clear" w:color="auto" w:fill="auto"/>
        </w:tcPr>
        <w:p w14:paraId="02877BCA" w14:textId="77777777" w:rsidR="00664964" w:rsidRPr="00E946A0" w:rsidRDefault="00664964" w:rsidP="000347DC">
          <w:pPr>
            <w:pStyle w:val="PageHeader"/>
          </w:pPr>
          <w:r>
            <w:t>Grade 12 • Module 4</w:t>
          </w:r>
          <w:r w:rsidRPr="00E946A0">
            <w:t xml:space="preserve"> • Unit </w:t>
          </w:r>
          <w:r>
            <w:t>2</w:t>
          </w:r>
          <w:r w:rsidRPr="00E946A0">
            <w:t xml:space="preserve"> • Lesson </w:t>
          </w:r>
          <w:r>
            <w:t>10</w:t>
          </w:r>
        </w:p>
      </w:tc>
    </w:tr>
  </w:tbl>
  <w:p w14:paraId="37B7735D" w14:textId="77777777" w:rsidR="00664964" w:rsidRDefault="00664964" w:rsidP="000347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65C0D0C"/>
    <w:lvl w:ilvl="0" w:tplc="4F469282">
      <w:start w:val="1"/>
      <w:numFmt w:val="bullet"/>
      <w:lvlText w:val=""/>
      <w:lvlJc w:val="left"/>
      <w:pPr>
        <w:ind w:left="1440" w:hanging="360"/>
      </w:pPr>
      <w:rPr>
        <w:rFonts w:ascii="Wingdings" w:hAnsi="Wingdings" w:hint="default"/>
      </w:rPr>
    </w:lvl>
    <w:lvl w:ilvl="1" w:tplc="DFE26BA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4192F3D2"/>
    <w:lvl w:ilvl="0" w:tplc="61C41C1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8"/>
  </w:num>
  <w:num w:numId="4">
    <w:abstractNumId w:val="6"/>
  </w:num>
  <w:num w:numId="5">
    <w:abstractNumId w:val="2"/>
  </w:num>
  <w:num w:numId="6">
    <w:abstractNumId w:val="0"/>
  </w:num>
  <w:num w:numId="7">
    <w:abstractNumId w:val="7"/>
  </w:num>
  <w:num w:numId="8">
    <w:abstractNumId w:val="3"/>
    <w:lvlOverride w:ilvl="0">
      <w:startOverride w:val="1"/>
    </w:lvlOverride>
  </w:num>
  <w:num w:numId="9">
    <w:abstractNumId w:val="1"/>
  </w:num>
  <w:num w:numId="10">
    <w:abstractNumId w:val="9"/>
  </w:num>
  <w:num w:numId="11">
    <w:abstractNumId w:val="3"/>
  </w:num>
  <w:num w:numId="12">
    <w:abstractNumId w:val="9"/>
    <w:lvlOverride w:ilvl="0">
      <w:startOverride w:val="3"/>
    </w:lvlOverride>
  </w:num>
  <w:num w:numId="13">
    <w:abstractNumId w:val="9"/>
    <w:lvlOverride w:ilvl="0">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42"/>
    <w:rsid w:val="00000B6E"/>
    <w:rsid w:val="000103FA"/>
    <w:rsid w:val="000244D3"/>
    <w:rsid w:val="00026B24"/>
    <w:rsid w:val="000347DC"/>
    <w:rsid w:val="00052654"/>
    <w:rsid w:val="000564AD"/>
    <w:rsid w:val="00056CAF"/>
    <w:rsid w:val="00057527"/>
    <w:rsid w:val="0006266C"/>
    <w:rsid w:val="00064D4F"/>
    <w:rsid w:val="00071079"/>
    <w:rsid w:val="00073F47"/>
    <w:rsid w:val="000742F5"/>
    <w:rsid w:val="00085958"/>
    <w:rsid w:val="0009255D"/>
    <w:rsid w:val="00092582"/>
    <w:rsid w:val="00095033"/>
    <w:rsid w:val="000B1844"/>
    <w:rsid w:val="000B2E4E"/>
    <w:rsid w:val="000B4AB2"/>
    <w:rsid w:val="000C1B57"/>
    <w:rsid w:val="000E57EE"/>
    <w:rsid w:val="000E6A8F"/>
    <w:rsid w:val="000E7C5A"/>
    <w:rsid w:val="0010145E"/>
    <w:rsid w:val="0010409C"/>
    <w:rsid w:val="001057FF"/>
    <w:rsid w:val="00106E85"/>
    <w:rsid w:val="001132F6"/>
    <w:rsid w:val="00113DC8"/>
    <w:rsid w:val="00114555"/>
    <w:rsid w:val="00132704"/>
    <w:rsid w:val="0013646A"/>
    <w:rsid w:val="00143D05"/>
    <w:rsid w:val="00145517"/>
    <w:rsid w:val="00157351"/>
    <w:rsid w:val="00162C10"/>
    <w:rsid w:val="001663EB"/>
    <w:rsid w:val="0017322A"/>
    <w:rsid w:val="001863A9"/>
    <w:rsid w:val="00190191"/>
    <w:rsid w:val="001914EE"/>
    <w:rsid w:val="00192EEB"/>
    <w:rsid w:val="00193C6F"/>
    <w:rsid w:val="00195042"/>
    <w:rsid w:val="001A5D28"/>
    <w:rsid w:val="001B3AD6"/>
    <w:rsid w:val="001B6981"/>
    <w:rsid w:val="001C5934"/>
    <w:rsid w:val="001C5DC7"/>
    <w:rsid w:val="001D2930"/>
    <w:rsid w:val="001D6045"/>
    <w:rsid w:val="001F42B1"/>
    <w:rsid w:val="001F7785"/>
    <w:rsid w:val="00217A92"/>
    <w:rsid w:val="002240FA"/>
    <w:rsid w:val="002347E2"/>
    <w:rsid w:val="00235A14"/>
    <w:rsid w:val="00242DAF"/>
    <w:rsid w:val="00271A2C"/>
    <w:rsid w:val="00277B04"/>
    <w:rsid w:val="002A1F46"/>
    <w:rsid w:val="002B5A7F"/>
    <w:rsid w:val="002C6042"/>
    <w:rsid w:val="002C6CA1"/>
    <w:rsid w:val="002D32FC"/>
    <w:rsid w:val="002D65C4"/>
    <w:rsid w:val="002D6CBC"/>
    <w:rsid w:val="002E56D8"/>
    <w:rsid w:val="002F1C3D"/>
    <w:rsid w:val="0031535E"/>
    <w:rsid w:val="003203C8"/>
    <w:rsid w:val="00323ED4"/>
    <w:rsid w:val="00354485"/>
    <w:rsid w:val="003667D8"/>
    <w:rsid w:val="003739D5"/>
    <w:rsid w:val="00374DE6"/>
    <w:rsid w:val="00377DEB"/>
    <w:rsid w:val="00384D12"/>
    <w:rsid w:val="00387030"/>
    <w:rsid w:val="00392183"/>
    <w:rsid w:val="00396F16"/>
    <w:rsid w:val="003A4F35"/>
    <w:rsid w:val="003E7480"/>
    <w:rsid w:val="003F2BB0"/>
    <w:rsid w:val="00434151"/>
    <w:rsid w:val="0044220F"/>
    <w:rsid w:val="00447EEC"/>
    <w:rsid w:val="00451A33"/>
    <w:rsid w:val="00463A4B"/>
    <w:rsid w:val="0046659E"/>
    <w:rsid w:val="00476954"/>
    <w:rsid w:val="00477DF5"/>
    <w:rsid w:val="00480B00"/>
    <w:rsid w:val="00496EFA"/>
    <w:rsid w:val="0049720A"/>
    <w:rsid w:val="004B03C5"/>
    <w:rsid w:val="004C5BFD"/>
    <w:rsid w:val="004D1175"/>
    <w:rsid w:val="004D6C92"/>
    <w:rsid w:val="004F17E6"/>
    <w:rsid w:val="00500264"/>
    <w:rsid w:val="00517199"/>
    <w:rsid w:val="0052400E"/>
    <w:rsid w:val="005274B7"/>
    <w:rsid w:val="00532C91"/>
    <w:rsid w:val="005416B6"/>
    <w:rsid w:val="0055145C"/>
    <w:rsid w:val="0055319A"/>
    <w:rsid w:val="005618AC"/>
    <w:rsid w:val="00563AA3"/>
    <w:rsid w:val="005867DA"/>
    <w:rsid w:val="00586B92"/>
    <w:rsid w:val="005962B0"/>
    <w:rsid w:val="005A0983"/>
    <w:rsid w:val="005A7CEC"/>
    <w:rsid w:val="005B0341"/>
    <w:rsid w:val="005B2317"/>
    <w:rsid w:val="005B70E7"/>
    <w:rsid w:val="005B786A"/>
    <w:rsid w:val="005D0545"/>
    <w:rsid w:val="005D5FB2"/>
    <w:rsid w:val="005E1742"/>
    <w:rsid w:val="005E3600"/>
    <w:rsid w:val="005F0A4F"/>
    <w:rsid w:val="005F4763"/>
    <w:rsid w:val="00605EF8"/>
    <w:rsid w:val="006108B0"/>
    <w:rsid w:val="00610CD6"/>
    <w:rsid w:val="00610D6D"/>
    <w:rsid w:val="00621BDD"/>
    <w:rsid w:val="006251FC"/>
    <w:rsid w:val="0062533C"/>
    <w:rsid w:val="00632628"/>
    <w:rsid w:val="0064153D"/>
    <w:rsid w:val="006530FA"/>
    <w:rsid w:val="00653606"/>
    <w:rsid w:val="00657740"/>
    <w:rsid w:val="00660EF1"/>
    <w:rsid w:val="006642DF"/>
    <w:rsid w:val="00664964"/>
    <w:rsid w:val="00666C27"/>
    <w:rsid w:val="006B2C3C"/>
    <w:rsid w:val="006C6C64"/>
    <w:rsid w:val="006C7F52"/>
    <w:rsid w:val="006D0F61"/>
    <w:rsid w:val="006D51DC"/>
    <w:rsid w:val="00740CF8"/>
    <w:rsid w:val="00751687"/>
    <w:rsid w:val="00757163"/>
    <w:rsid w:val="00757178"/>
    <w:rsid w:val="00760A11"/>
    <w:rsid w:val="007641B5"/>
    <w:rsid w:val="007742C8"/>
    <w:rsid w:val="007842AF"/>
    <w:rsid w:val="00794012"/>
    <w:rsid w:val="0079491A"/>
    <w:rsid w:val="007A13CA"/>
    <w:rsid w:val="007B1ED9"/>
    <w:rsid w:val="007B3186"/>
    <w:rsid w:val="007C3289"/>
    <w:rsid w:val="007C6FF3"/>
    <w:rsid w:val="007E68D3"/>
    <w:rsid w:val="007F15C8"/>
    <w:rsid w:val="007F1A8B"/>
    <w:rsid w:val="007F6939"/>
    <w:rsid w:val="00873FDA"/>
    <w:rsid w:val="008775B2"/>
    <w:rsid w:val="00885DEE"/>
    <w:rsid w:val="008929D7"/>
    <w:rsid w:val="008952DD"/>
    <w:rsid w:val="008B4A54"/>
    <w:rsid w:val="008B560E"/>
    <w:rsid w:val="008E663E"/>
    <w:rsid w:val="00902C57"/>
    <w:rsid w:val="00910A79"/>
    <w:rsid w:val="00926100"/>
    <w:rsid w:val="009274AC"/>
    <w:rsid w:val="0093162A"/>
    <w:rsid w:val="00937103"/>
    <w:rsid w:val="00961E84"/>
    <w:rsid w:val="00975438"/>
    <w:rsid w:val="00994686"/>
    <w:rsid w:val="009B6109"/>
    <w:rsid w:val="009B6905"/>
    <w:rsid w:val="009C0E05"/>
    <w:rsid w:val="009C49D7"/>
    <w:rsid w:val="009E5F18"/>
    <w:rsid w:val="009E62FE"/>
    <w:rsid w:val="009F3D4E"/>
    <w:rsid w:val="009F4DF0"/>
    <w:rsid w:val="009F5EC1"/>
    <w:rsid w:val="00A0534B"/>
    <w:rsid w:val="00A05367"/>
    <w:rsid w:val="00A15DA4"/>
    <w:rsid w:val="00A377E1"/>
    <w:rsid w:val="00A42229"/>
    <w:rsid w:val="00A50969"/>
    <w:rsid w:val="00A81690"/>
    <w:rsid w:val="00A84432"/>
    <w:rsid w:val="00A84A36"/>
    <w:rsid w:val="00A92ECB"/>
    <w:rsid w:val="00A94992"/>
    <w:rsid w:val="00A9582C"/>
    <w:rsid w:val="00AA4C56"/>
    <w:rsid w:val="00AC0BB7"/>
    <w:rsid w:val="00AC339F"/>
    <w:rsid w:val="00AC5832"/>
    <w:rsid w:val="00AD7ADE"/>
    <w:rsid w:val="00AE44BC"/>
    <w:rsid w:val="00AE4883"/>
    <w:rsid w:val="00AE4ED2"/>
    <w:rsid w:val="00AE5259"/>
    <w:rsid w:val="00B03AA9"/>
    <w:rsid w:val="00B13072"/>
    <w:rsid w:val="00B22506"/>
    <w:rsid w:val="00B2611D"/>
    <w:rsid w:val="00B31549"/>
    <w:rsid w:val="00B35D9E"/>
    <w:rsid w:val="00B43E46"/>
    <w:rsid w:val="00B565E4"/>
    <w:rsid w:val="00B71132"/>
    <w:rsid w:val="00B84506"/>
    <w:rsid w:val="00B847F7"/>
    <w:rsid w:val="00B911C5"/>
    <w:rsid w:val="00BA1668"/>
    <w:rsid w:val="00BA646C"/>
    <w:rsid w:val="00BB0C13"/>
    <w:rsid w:val="00BB69EB"/>
    <w:rsid w:val="00BC1867"/>
    <w:rsid w:val="00BC1E7E"/>
    <w:rsid w:val="00BD2463"/>
    <w:rsid w:val="00BD7911"/>
    <w:rsid w:val="00BE1AFE"/>
    <w:rsid w:val="00BE3D99"/>
    <w:rsid w:val="00BE468D"/>
    <w:rsid w:val="00BF00BE"/>
    <w:rsid w:val="00C04C3A"/>
    <w:rsid w:val="00C178A4"/>
    <w:rsid w:val="00C26CBE"/>
    <w:rsid w:val="00C408F8"/>
    <w:rsid w:val="00C4657A"/>
    <w:rsid w:val="00C71EB4"/>
    <w:rsid w:val="00C85606"/>
    <w:rsid w:val="00CA1840"/>
    <w:rsid w:val="00CA2DAE"/>
    <w:rsid w:val="00CA7E04"/>
    <w:rsid w:val="00CB2BA6"/>
    <w:rsid w:val="00CF09D1"/>
    <w:rsid w:val="00D013E8"/>
    <w:rsid w:val="00D16015"/>
    <w:rsid w:val="00D26CDF"/>
    <w:rsid w:val="00D51476"/>
    <w:rsid w:val="00D52058"/>
    <w:rsid w:val="00D52DBC"/>
    <w:rsid w:val="00D710DF"/>
    <w:rsid w:val="00D711FF"/>
    <w:rsid w:val="00D7137A"/>
    <w:rsid w:val="00D766EA"/>
    <w:rsid w:val="00D76992"/>
    <w:rsid w:val="00D82384"/>
    <w:rsid w:val="00D9485B"/>
    <w:rsid w:val="00DA0A7C"/>
    <w:rsid w:val="00DA6517"/>
    <w:rsid w:val="00DB5108"/>
    <w:rsid w:val="00DB72DB"/>
    <w:rsid w:val="00DE2390"/>
    <w:rsid w:val="00DE2940"/>
    <w:rsid w:val="00DF0748"/>
    <w:rsid w:val="00DF1E2F"/>
    <w:rsid w:val="00E064E0"/>
    <w:rsid w:val="00E073BA"/>
    <w:rsid w:val="00E10F94"/>
    <w:rsid w:val="00E14BCA"/>
    <w:rsid w:val="00E25490"/>
    <w:rsid w:val="00E2570A"/>
    <w:rsid w:val="00E257C9"/>
    <w:rsid w:val="00E346D6"/>
    <w:rsid w:val="00E40691"/>
    <w:rsid w:val="00E4181F"/>
    <w:rsid w:val="00E52B10"/>
    <w:rsid w:val="00E52C25"/>
    <w:rsid w:val="00E544A8"/>
    <w:rsid w:val="00E65190"/>
    <w:rsid w:val="00E66ED9"/>
    <w:rsid w:val="00E74069"/>
    <w:rsid w:val="00E774C4"/>
    <w:rsid w:val="00E85819"/>
    <w:rsid w:val="00EA14D1"/>
    <w:rsid w:val="00EA7E07"/>
    <w:rsid w:val="00EB2BAE"/>
    <w:rsid w:val="00EC6663"/>
    <w:rsid w:val="00EC6F81"/>
    <w:rsid w:val="00EE1A00"/>
    <w:rsid w:val="00EF6501"/>
    <w:rsid w:val="00EF6CFA"/>
    <w:rsid w:val="00F00425"/>
    <w:rsid w:val="00F06AA5"/>
    <w:rsid w:val="00F104A7"/>
    <w:rsid w:val="00F17647"/>
    <w:rsid w:val="00F37790"/>
    <w:rsid w:val="00F44970"/>
    <w:rsid w:val="00F45763"/>
    <w:rsid w:val="00F475AC"/>
    <w:rsid w:val="00F47C05"/>
    <w:rsid w:val="00F47E8C"/>
    <w:rsid w:val="00F5312F"/>
    <w:rsid w:val="00F54481"/>
    <w:rsid w:val="00F60C4D"/>
    <w:rsid w:val="00F67A90"/>
    <w:rsid w:val="00F70956"/>
    <w:rsid w:val="00F72873"/>
    <w:rsid w:val="00FA1D74"/>
    <w:rsid w:val="00FA3710"/>
    <w:rsid w:val="00FA650C"/>
    <w:rsid w:val="00FA6CF6"/>
    <w:rsid w:val="00FB057E"/>
    <w:rsid w:val="00FB5CAA"/>
    <w:rsid w:val="00FC139E"/>
    <w:rsid w:val="00FC4F2B"/>
    <w:rsid w:val="00FD163C"/>
    <w:rsid w:val="00FF71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352261"/>
  <w15:docId w15:val="{F9FF1156-30CB-4D44-88E9-4883FD3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D2463"/>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D246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BD2463"/>
    <w:pPr>
      <w:pBdr>
        <w:bottom w:val="single" w:sz="12" w:space="1" w:color="7F7F7F"/>
      </w:pBdr>
      <w:spacing w:after="360"/>
      <w:ind w:left="2880" w:right="2880"/>
    </w:pPr>
    <w:rPr>
      <w:rFonts w:ascii="Calibri" w:eastAsia="Calibri" w:hAnsi="Calibri" w:cs="Times New Roman"/>
      <w:sz w:val="18"/>
      <w:szCs w:val="22"/>
      <w:lang w:eastAsia="en-US"/>
    </w:rPr>
  </w:style>
  <w:style w:type="character" w:customStyle="1" w:styleId="BRChar">
    <w:name w:val="*BR* Char"/>
    <w:link w:val="BR"/>
    <w:rsid w:val="00BD2463"/>
    <w:rPr>
      <w:rFonts w:ascii="Calibri" w:eastAsia="Calibri" w:hAnsi="Calibri" w:cs="Times New Roman"/>
      <w:sz w:val="18"/>
      <w:szCs w:val="22"/>
      <w:lang w:eastAsia="en-US"/>
    </w:rPr>
  </w:style>
  <w:style w:type="paragraph" w:customStyle="1" w:styleId="BulletedList">
    <w:name w:val="*Bulleted List"/>
    <w:link w:val="BulletedListChar"/>
    <w:qFormat/>
    <w:rsid w:val="00BD2463"/>
    <w:pPr>
      <w:numPr>
        <w:numId w:val="1"/>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D2463"/>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D2463"/>
    <w:pPr>
      <w:ind w:left="360"/>
    </w:pPr>
    <w:rPr>
      <w:color w:val="4F81BD" w:themeColor="accent1"/>
    </w:rPr>
  </w:style>
  <w:style w:type="paragraph" w:customStyle="1" w:styleId="SA">
    <w:name w:val="*SA*"/>
    <w:link w:val="SAChar"/>
    <w:qFormat/>
    <w:rsid w:val="00B911C5"/>
    <w:pPr>
      <w:numPr>
        <w:numId w:val="3"/>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BD2463"/>
    <w:rPr>
      <w:color w:val="3F6CAF"/>
    </w:rPr>
  </w:style>
  <w:style w:type="paragraph" w:customStyle="1" w:styleId="SR">
    <w:name w:val="*SR*"/>
    <w:link w:val="SRChar"/>
    <w:qFormat/>
    <w:rsid w:val="00BD2463"/>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BD2463"/>
    <w:rPr>
      <w:rFonts w:ascii="Calibri" w:eastAsia="Calibri" w:hAnsi="Calibri" w:cs="Times New Roman"/>
      <w:sz w:val="22"/>
      <w:szCs w:val="22"/>
      <w:lang w:eastAsia="en-US"/>
    </w:rPr>
  </w:style>
  <w:style w:type="paragraph" w:customStyle="1" w:styleId="DCwithSR">
    <w:name w:val="*DC* with *SR*"/>
    <w:basedOn w:val="SR"/>
    <w:qFormat/>
    <w:rsid w:val="00BD2463"/>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D2463"/>
    <w:pPr>
      <w:numPr>
        <w:numId w:val="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D2463"/>
    <w:rPr>
      <w:rFonts w:ascii="Calibri" w:eastAsia="Calibri" w:hAnsi="Calibri" w:cs="Times New Roman"/>
      <w:color w:val="4F81BD"/>
      <w:sz w:val="22"/>
      <w:szCs w:val="22"/>
      <w:lang w:eastAsia="en-US"/>
    </w:rPr>
  </w:style>
  <w:style w:type="paragraph" w:customStyle="1" w:styleId="INBullet">
    <w:name w:val="*IN* Bullet"/>
    <w:link w:val="INBulletChar"/>
    <w:qFormat/>
    <w:rsid w:val="00BD2463"/>
    <w:pPr>
      <w:numPr>
        <w:numId w:val="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D2463"/>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BD2463"/>
    <w:pPr>
      <w:numPr>
        <w:ilvl w:val="1"/>
        <w:numId w:val="9"/>
      </w:numPr>
      <w:spacing w:before="120"/>
      <w:ind w:left="1080"/>
      <w:contextualSpacing/>
    </w:pPr>
  </w:style>
  <w:style w:type="character" w:customStyle="1" w:styleId="SASRBulletChar">
    <w:name w:val="*SA/SR Bullet Char"/>
    <w:basedOn w:val="DefaultParagraphFont"/>
    <w:link w:val="SASRBullet"/>
    <w:rsid w:val="00BD2463"/>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0"/>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D2463"/>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D2463"/>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5218">
      <w:bodyDiv w:val="1"/>
      <w:marLeft w:val="0"/>
      <w:marRight w:val="0"/>
      <w:marTop w:val="0"/>
      <w:marBottom w:val="0"/>
      <w:divBdr>
        <w:top w:val="none" w:sz="0" w:space="0" w:color="auto"/>
        <w:left w:val="none" w:sz="0" w:space="0" w:color="auto"/>
        <w:bottom w:val="none" w:sz="0" w:space="0" w:color="auto"/>
        <w:right w:val="none" w:sz="0" w:space="0" w:color="auto"/>
      </w:divBdr>
    </w:div>
    <w:div w:id="1225215983">
      <w:bodyDiv w:val="1"/>
      <w:marLeft w:val="0"/>
      <w:marRight w:val="0"/>
      <w:marTop w:val="0"/>
      <w:marBottom w:val="0"/>
      <w:divBdr>
        <w:top w:val="none" w:sz="0" w:space="0" w:color="auto"/>
        <w:left w:val="none" w:sz="0" w:space="0" w:color="auto"/>
        <w:bottom w:val="none" w:sz="0" w:space="0" w:color="auto"/>
        <w:right w:val="none" w:sz="0" w:space="0" w:color="auto"/>
      </w:divBdr>
    </w:div>
    <w:div w:id="1298414711">
      <w:bodyDiv w:val="1"/>
      <w:marLeft w:val="0"/>
      <w:marRight w:val="0"/>
      <w:marTop w:val="0"/>
      <w:marBottom w:val="0"/>
      <w:divBdr>
        <w:top w:val="none" w:sz="0" w:space="0" w:color="auto"/>
        <w:left w:val="none" w:sz="0" w:space="0" w:color="auto"/>
        <w:bottom w:val="none" w:sz="0" w:space="0" w:color="auto"/>
        <w:right w:val="none" w:sz="0" w:space="0" w:color="auto"/>
      </w:divBdr>
    </w:div>
    <w:div w:id="1352301348">
      <w:bodyDiv w:val="1"/>
      <w:marLeft w:val="0"/>
      <w:marRight w:val="0"/>
      <w:marTop w:val="0"/>
      <w:marBottom w:val="0"/>
      <w:divBdr>
        <w:top w:val="none" w:sz="0" w:space="0" w:color="auto"/>
        <w:left w:val="none" w:sz="0" w:space="0" w:color="auto"/>
        <w:bottom w:val="none" w:sz="0" w:space="0" w:color="auto"/>
        <w:right w:val="none" w:sz="0" w:space="0" w:color="auto"/>
      </w:divBdr>
    </w:div>
    <w:div w:id="1751002934">
      <w:bodyDiv w:val="1"/>
      <w:marLeft w:val="0"/>
      <w:marRight w:val="0"/>
      <w:marTop w:val="0"/>
      <w:marBottom w:val="0"/>
      <w:divBdr>
        <w:top w:val="none" w:sz="0" w:space="0" w:color="auto"/>
        <w:left w:val="none" w:sz="0" w:space="0" w:color="auto"/>
        <w:bottom w:val="none" w:sz="0" w:space="0" w:color="auto"/>
        <w:right w:val="none" w:sz="0" w:space="0" w:color="auto"/>
      </w:divBdr>
    </w:div>
    <w:div w:id="2053846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FD8A-3E02-445A-843D-70E3F7B6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2976</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Wade, Michelle</cp:lastModifiedBy>
  <cp:revision>2</cp:revision>
  <dcterms:created xsi:type="dcterms:W3CDTF">2015-06-29T20:54:00Z</dcterms:created>
  <dcterms:modified xsi:type="dcterms:W3CDTF">2015-06-29T20:54:00Z</dcterms:modified>
  <cp:category/>
</cp:coreProperties>
</file>