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A12FD" w:rsidRPr="0063473E" w14:paraId="36BE33E3" w14:textId="77777777" w:rsidTr="007A12FD">
        <w:trPr>
          <w:trHeight w:val="1008"/>
        </w:trPr>
        <w:tc>
          <w:tcPr>
            <w:tcW w:w="1980" w:type="dxa"/>
            <w:shd w:val="clear" w:color="auto" w:fill="385623"/>
            <w:vAlign w:val="center"/>
          </w:tcPr>
          <w:p w14:paraId="5D5E88A9" w14:textId="77777777" w:rsidR="007A12FD" w:rsidRPr="0063473E" w:rsidRDefault="007A12FD" w:rsidP="007A12FD">
            <w:pPr>
              <w:pStyle w:val="Header-banner"/>
              <w:rPr>
                <w:rFonts w:asciiTheme="majorHAnsi" w:hAnsiTheme="majorHAnsi"/>
              </w:rPr>
            </w:pPr>
            <w:bookmarkStart w:id="0" w:name="_GoBack"/>
            <w:bookmarkEnd w:id="0"/>
            <w:r>
              <w:rPr>
                <w:rFonts w:asciiTheme="majorHAnsi" w:hAnsiTheme="majorHAnsi"/>
              </w:rPr>
              <w:t>12</w:t>
            </w:r>
            <w:r w:rsidRPr="0063473E">
              <w:rPr>
                <w:rFonts w:asciiTheme="majorHAnsi" w:hAnsiTheme="majorHAnsi"/>
              </w:rPr>
              <w:t>.</w:t>
            </w:r>
            <w:r>
              <w:rPr>
                <w:rFonts w:asciiTheme="majorHAnsi" w:hAnsiTheme="majorHAnsi"/>
              </w:rPr>
              <w:t>4</w:t>
            </w:r>
            <w:r w:rsidRPr="0063473E">
              <w:rPr>
                <w:rFonts w:asciiTheme="majorHAnsi" w:hAnsiTheme="majorHAnsi"/>
              </w:rPr>
              <w:t>.</w:t>
            </w:r>
            <w:r>
              <w:rPr>
                <w:rFonts w:asciiTheme="majorHAnsi" w:hAnsiTheme="majorHAnsi"/>
              </w:rPr>
              <w:t>2</w:t>
            </w:r>
          </w:p>
        </w:tc>
        <w:tc>
          <w:tcPr>
            <w:tcW w:w="7470" w:type="dxa"/>
            <w:shd w:val="clear" w:color="auto" w:fill="76923C"/>
            <w:vAlign w:val="center"/>
          </w:tcPr>
          <w:p w14:paraId="0EADA5CC" w14:textId="77777777" w:rsidR="007A12FD" w:rsidRPr="0063473E" w:rsidRDefault="007A12FD" w:rsidP="007A12FD">
            <w:pPr>
              <w:pStyle w:val="Header2banner"/>
              <w:spacing w:line="240" w:lineRule="auto"/>
              <w:rPr>
                <w:rFonts w:asciiTheme="majorHAnsi" w:hAnsiTheme="majorHAnsi"/>
              </w:rPr>
            </w:pPr>
            <w:r w:rsidRPr="0063473E">
              <w:rPr>
                <w:rFonts w:asciiTheme="majorHAnsi" w:hAnsiTheme="majorHAnsi"/>
              </w:rPr>
              <w:t xml:space="preserve">Lesson </w:t>
            </w:r>
            <w:r>
              <w:rPr>
                <w:rFonts w:asciiTheme="majorHAnsi" w:hAnsiTheme="majorHAnsi"/>
              </w:rPr>
              <w:t>9</w:t>
            </w:r>
          </w:p>
        </w:tc>
      </w:tr>
    </w:tbl>
    <w:p w14:paraId="39D96ED2" w14:textId="77777777" w:rsidR="007A12FD" w:rsidRPr="0063473E" w:rsidRDefault="007A12FD" w:rsidP="007A12FD">
      <w:pPr>
        <w:pStyle w:val="Heading1"/>
        <w:rPr>
          <w:rFonts w:asciiTheme="majorHAnsi" w:hAnsiTheme="majorHAnsi"/>
        </w:rPr>
      </w:pPr>
      <w:r w:rsidRPr="0063473E">
        <w:rPr>
          <w:rFonts w:asciiTheme="majorHAnsi" w:hAnsiTheme="majorHAnsi"/>
        </w:rPr>
        <w:t>Introduction</w:t>
      </w:r>
    </w:p>
    <w:p w14:paraId="657D4295" w14:textId="2F3C2762" w:rsidR="007A12FD" w:rsidRDefault="007A12FD" w:rsidP="007A12FD">
      <w:pPr>
        <w:rPr>
          <w:rFonts w:asciiTheme="majorHAnsi" w:hAnsiTheme="majorHAnsi"/>
        </w:rPr>
      </w:pPr>
      <w:r w:rsidRPr="0063473E">
        <w:rPr>
          <w:rFonts w:asciiTheme="majorHAnsi" w:hAnsiTheme="majorHAnsi"/>
        </w:rPr>
        <w:t>In this lesson</w:t>
      </w:r>
      <w:r>
        <w:rPr>
          <w:rFonts w:asciiTheme="majorHAnsi" w:hAnsiTheme="majorHAnsi"/>
        </w:rPr>
        <w:t xml:space="preserve">, students </w:t>
      </w:r>
      <w:r w:rsidRPr="0063473E">
        <w:rPr>
          <w:rFonts w:asciiTheme="majorHAnsi" w:hAnsiTheme="majorHAnsi"/>
        </w:rPr>
        <w:t xml:space="preserve">read and analyze </w:t>
      </w:r>
      <w:r>
        <w:rPr>
          <w:rFonts w:asciiTheme="majorHAnsi" w:hAnsiTheme="majorHAnsi"/>
        </w:rPr>
        <w:t>pages 72</w:t>
      </w:r>
      <w:r w:rsidR="008D5622">
        <w:rPr>
          <w:rFonts w:asciiTheme="majorHAnsi" w:hAnsiTheme="majorHAnsi"/>
        </w:rPr>
        <w:t>–</w:t>
      </w:r>
      <w:r>
        <w:rPr>
          <w:rFonts w:asciiTheme="majorHAnsi" w:hAnsiTheme="majorHAnsi"/>
        </w:rPr>
        <w:t xml:space="preserve">88 of </w:t>
      </w:r>
      <w:r>
        <w:rPr>
          <w:rFonts w:asciiTheme="majorHAnsi" w:hAnsiTheme="majorHAnsi"/>
          <w:i/>
        </w:rPr>
        <w:t>The Namesake</w:t>
      </w:r>
      <w:r>
        <w:rPr>
          <w:rFonts w:asciiTheme="majorHAnsi" w:hAnsiTheme="majorHAnsi"/>
        </w:rPr>
        <w:t xml:space="preserve"> (from “Gogol’s fourteenth birthday. Like most</w:t>
      </w:r>
      <w:r w:rsidR="007B1678">
        <w:rPr>
          <w:rFonts w:asciiTheme="majorHAnsi" w:hAnsiTheme="majorHAnsi"/>
        </w:rPr>
        <w:t xml:space="preserve"> events in his life” to “</w:t>
      </w:r>
      <w:r w:rsidR="00945836">
        <w:rPr>
          <w:rFonts w:asciiTheme="majorHAnsi" w:hAnsiTheme="majorHAnsi"/>
        </w:rPr>
        <w:t xml:space="preserve">has passed, </w:t>
      </w:r>
      <w:r w:rsidR="007B1678">
        <w:rPr>
          <w:rFonts w:asciiTheme="majorHAnsi" w:hAnsiTheme="majorHAnsi"/>
        </w:rPr>
        <w:t>sudden</w:t>
      </w:r>
      <w:r>
        <w:rPr>
          <w:rFonts w:asciiTheme="majorHAnsi" w:hAnsiTheme="majorHAnsi"/>
        </w:rPr>
        <w:t>ly cumbersome, irrelevant to their lives</w:t>
      </w:r>
      <w:r>
        <w:rPr>
          <w:rFonts w:asciiTheme="majorHAnsi" w:hAnsiTheme="majorHAnsi"/>
          <w:i/>
        </w:rPr>
        <w:t>”</w:t>
      </w:r>
      <w:r>
        <w:rPr>
          <w:rFonts w:asciiTheme="majorHAnsi" w:hAnsiTheme="majorHAnsi"/>
        </w:rPr>
        <w:t>)</w:t>
      </w:r>
      <w:r w:rsidRPr="0063473E">
        <w:rPr>
          <w:rFonts w:asciiTheme="majorHAnsi" w:hAnsiTheme="majorHAnsi"/>
        </w:rPr>
        <w:t xml:space="preserve"> in which </w:t>
      </w:r>
      <w:r>
        <w:rPr>
          <w:rFonts w:asciiTheme="majorHAnsi" w:hAnsiTheme="majorHAnsi"/>
        </w:rPr>
        <w:t>the Gangulis celebrate Gogol’s fourteenth birthday and spend eight months in Calcutta during Ashoke’s sabbatical.</w:t>
      </w:r>
      <w:r w:rsidRPr="0063473E">
        <w:rPr>
          <w:rFonts w:asciiTheme="majorHAnsi" w:hAnsiTheme="majorHAnsi"/>
        </w:rPr>
        <w:t xml:space="preserve"> Students </w:t>
      </w:r>
      <w:r>
        <w:rPr>
          <w:rFonts w:asciiTheme="majorHAnsi" w:hAnsiTheme="majorHAnsi"/>
        </w:rPr>
        <w:t>explore the development of Gogol’s relationship</w:t>
      </w:r>
      <w:r w:rsidR="00067CCD">
        <w:rPr>
          <w:rFonts w:asciiTheme="majorHAnsi" w:hAnsiTheme="majorHAnsi"/>
        </w:rPr>
        <w:t>s</w:t>
      </w:r>
      <w:r>
        <w:rPr>
          <w:rFonts w:asciiTheme="majorHAnsi" w:hAnsiTheme="majorHAnsi"/>
        </w:rPr>
        <w:t xml:space="preserve"> with his parents and sister. Student learning is assessed via a Quick Write at the end of the lesson: </w:t>
      </w:r>
      <w:r w:rsidR="00C42E81">
        <w:rPr>
          <w:rFonts w:asciiTheme="majorHAnsi" w:hAnsiTheme="majorHAnsi"/>
        </w:rPr>
        <w:t>Analyze</w:t>
      </w:r>
      <w:r w:rsidR="003E71DA">
        <w:rPr>
          <w:rFonts w:asciiTheme="majorHAnsi" w:hAnsiTheme="majorHAnsi"/>
        </w:rPr>
        <w:t xml:space="preserve"> the rela</w:t>
      </w:r>
      <w:r w:rsidR="00C42E81">
        <w:rPr>
          <w:rFonts w:asciiTheme="majorHAnsi" w:hAnsiTheme="majorHAnsi"/>
        </w:rPr>
        <w:t>tionship between Gogol and his parents in this excerpt.</w:t>
      </w:r>
    </w:p>
    <w:p w14:paraId="1170353C" w14:textId="383E7C51" w:rsidR="007A12FD" w:rsidRPr="001A087C" w:rsidRDefault="007A12FD" w:rsidP="001A087C">
      <w:r w:rsidRPr="001A087C">
        <w:t xml:space="preserve">For homework, students </w:t>
      </w:r>
      <w:r w:rsidR="009C3624" w:rsidRPr="001A087C">
        <w:t>re</w:t>
      </w:r>
      <w:r w:rsidR="006A611D" w:rsidRPr="001A087C">
        <w:t>view</w:t>
      </w:r>
      <w:r w:rsidR="009C3624" w:rsidRPr="001A087C">
        <w:t xml:space="preserve"> pages 72</w:t>
      </w:r>
      <w:r w:rsidR="008D5622">
        <w:t>–</w:t>
      </w:r>
      <w:r w:rsidR="009C3624" w:rsidRPr="001A087C">
        <w:t xml:space="preserve">88 </w:t>
      </w:r>
      <w:r w:rsidR="00945836">
        <w:t xml:space="preserve">of </w:t>
      </w:r>
      <w:r w:rsidR="00945836" w:rsidRPr="00945836">
        <w:rPr>
          <w:i/>
        </w:rPr>
        <w:t xml:space="preserve">The Namesake </w:t>
      </w:r>
      <w:r w:rsidR="009C3624" w:rsidRPr="001A087C">
        <w:t xml:space="preserve">and respond briefly in writing to the following prompt: Analyze the relationship between Gogol and Sonia in this excerpt. Also for homework, students </w:t>
      </w:r>
      <w:r w:rsidRPr="001A087C">
        <w:t>read</w:t>
      </w:r>
      <w:r w:rsidR="007239C7" w:rsidRPr="001A087C">
        <w:t xml:space="preserve"> </w:t>
      </w:r>
      <w:r w:rsidR="003E71DA" w:rsidRPr="001A087C">
        <w:t>pages 88</w:t>
      </w:r>
      <w:r w:rsidR="008D5622">
        <w:t>–</w:t>
      </w:r>
      <w:r w:rsidR="003E71DA" w:rsidRPr="001A087C">
        <w:t>96</w:t>
      </w:r>
      <w:r w:rsidR="00AC09C8">
        <w:t xml:space="preserve"> of </w:t>
      </w:r>
      <w:r w:rsidR="00AC09C8" w:rsidRPr="00AC09C8">
        <w:rPr>
          <w:i/>
        </w:rPr>
        <w:t>The Namesake</w:t>
      </w:r>
      <w:r w:rsidR="003E71DA" w:rsidRPr="001A087C">
        <w:t xml:space="preserve"> and annotate for</w:t>
      </w:r>
      <w:r w:rsidR="00215462" w:rsidRPr="001A087C">
        <w:t xml:space="preserve"> the development of</w:t>
      </w:r>
      <w:r w:rsidR="003E71DA" w:rsidRPr="001A087C">
        <w:t xml:space="preserve"> central idea</w:t>
      </w:r>
      <w:r w:rsidR="009C3624" w:rsidRPr="001A087C">
        <w:t>s</w:t>
      </w:r>
      <w:r w:rsidRPr="001A087C">
        <w:t>.</w:t>
      </w:r>
    </w:p>
    <w:p w14:paraId="18B6EFE1" w14:textId="50340345" w:rsidR="007A12FD" w:rsidRPr="0063473E" w:rsidRDefault="007A12FD" w:rsidP="007A12FD">
      <w:pPr>
        <w:pStyle w:val="Heading1"/>
        <w:rPr>
          <w:rFonts w:asciiTheme="majorHAnsi" w:hAnsiTheme="majorHAnsi"/>
        </w:rPr>
      </w:pPr>
      <w:r w:rsidRPr="0063473E">
        <w:rPr>
          <w:rFonts w:asciiTheme="majorHAnsi" w:hAnsiTheme="majorHAnsi"/>
        </w:rP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7A12FD" w:rsidRPr="0063473E" w14:paraId="25C33756" w14:textId="77777777" w:rsidTr="007A12FD">
        <w:tc>
          <w:tcPr>
            <w:tcW w:w="9468" w:type="dxa"/>
            <w:gridSpan w:val="2"/>
            <w:shd w:val="clear" w:color="auto" w:fill="76923C"/>
          </w:tcPr>
          <w:p w14:paraId="3D1D3D3E" w14:textId="77777777" w:rsidR="007A12FD" w:rsidRPr="0063473E" w:rsidRDefault="007A12FD" w:rsidP="007A12FD">
            <w:pPr>
              <w:pStyle w:val="TableHeaders"/>
              <w:rPr>
                <w:rFonts w:asciiTheme="majorHAnsi" w:hAnsiTheme="majorHAnsi"/>
              </w:rPr>
            </w:pPr>
            <w:r w:rsidRPr="0063473E">
              <w:rPr>
                <w:rFonts w:asciiTheme="majorHAnsi" w:hAnsiTheme="majorHAnsi"/>
              </w:rPr>
              <w:t>Assessed Standard(s)</w:t>
            </w:r>
          </w:p>
        </w:tc>
      </w:tr>
      <w:tr w:rsidR="007A12FD" w:rsidRPr="0063473E" w14:paraId="7D714ACD" w14:textId="77777777" w:rsidTr="007A12FD">
        <w:tc>
          <w:tcPr>
            <w:tcW w:w="1344" w:type="dxa"/>
          </w:tcPr>
          <w:p w14:paraId="4D2EA07A" w14:textId="77777777" w:rsidR="007A12FD" w:rsidRPr="0063473E" w:rsidRDefault="007A12FD" w:rsidP="00F90324">
            <w:pPr>
              <w:pStyle w:val="TableText"/>
            </w:pPr>
            <w:r w:rsidRPr="0063473E">
              <w:t>RL.</w:t>
            </w:r>
            <w:r>
              <w:t>11-12</w:t>
            </w:r>
            <w:r w:rsidRPr="0063473E">
              <w:t>.</w:t>
            </w:r>
            <w:r>
              <w:t>3</w:t>
            </w:r>
          </w:p>
        </w:tc>
        <w:tc>
          <w:tcPr>
            <w:tcW w:w="8124" w:type="dxa"/>
          </w:tcPr>
          <w:p w14:paraId="10CF580B" w14:textId="77777777" w:rsidR="007A12FD" w:rsidRPr="0063473E" w:rsidRDefault="007A12FD" w:rsidP="00F90324">
            <w:pPr>
              <w:pStyle w:val="TableText"/>
            </w:pPr>
            <w:r w:rsidRPr="005715DD">
              <w:t>Analyze the impact of the author’s choices regarding how to develop and relate elements of a story or drama (e.g., where a story is set, how the action is ordered, how the characters are introduced and developed).</w:t>
            </w:r>
          </w:p>
        </w:tc>
      </w:tr>
      <w:tr w:rsidR="007A12FD" w:rsidRPr="0063473E" w14:paraId="4CC009AF" w14:textId="77777777" w:rsidTr="007A12FD">
        <w:tc>
          <w:tcPr>
            <w:tcW w:w="9468" w:type="dxa"/>
            <w:gridSpan w:val="2"/>
            <w:shd w:val="clear" w:color="auto" w:fill="76923C"/>
          </w:tcPr>
          <w:p w14:paraId="7E4F8C23" w14:textId="77777777" w:rsidR="007A12FD" w:rsidRPr="0063473E" w:rsidRDefault="007A12FD" w:rsidP="007A12FD">
            <w:pPr>
              <w:pStyle w:val="TableHeaders"/>
              <w:rPr>
                <w:rFonts w:asciiTheme="majorHAnsi" w:hAnsiTheme="majorHAnsi"/>
              </w:rPr>
            </w:pPr>
            <w:r w:rsidRPr="0063473E">
              <w:rPr>
                <w:rFonts w:asciiTheme="majorHAnsi" w:hAnsiTheme="majorHAnsi"/>
              </w:rPr>
              <w:t>Addressed Standard(s)</w:t>
            </w:r>
          </w:p>
        </w:tc>
      </w:tr>
      <w:tr w:rsidR="007A12FD" w:rsidRPr="0063473E" w14:paraId="7DA9A6E2" w14:textId="77777777" w:rsidTr="007A12FD">
        <w:tc>
          <w:tcPr>
            <w:tcW w:w="1344" w:type="dxa"/>
          </w:tcPr>
          <w:p w14:paraId="7E4058DC" w14:textId="77777777" w:rsidR="007A12FD" w:rsidRPr="0063473E" w:rsidRDefault="007A12FD" w:rsidP="00F90324">
            <w:pPr>
              <w:pStyle w:val="TableText"/>
            </w:pPr>
            <w:r>
              <w:t>W.11-12.9.a</w:t>
            </w:r>
          </w:p>
        </w:tc>
        <w:tc>
          <w:tcPr>
            <w:tcW w:w="8124" w:type="dxa"/>
          </w:tcPr>
          <w:p w14:paraId="059DEB68" w14:textId="77777777" w:rsidR="007A12FD" w:rsidRPr="0063473E" w:rsidRDefault="007A12FD" w:rsidP="00F90324">
            <w:pPr>
              <w:pStyle w:val="TableText"/>
            </w:pPr>
            <w:r w:rsidRPr="0063473E">
              <w:t>Draw evidence from literary or informational texts to support analysis, reflection, and research.</w:t>
            </w:r>
          </w:p>
          <w:p w14:paraId="165CB572" w14:textId="77777777" w:rsidR="007A12FD" w:rsidRPr="0063473E" w:rsidRDefault="007A12FD" w:rsidP="007A12FD">
            <w:pPr>
              <w:pStyle w:val="SubStandard"/>
              <w:rPr>
                <w:rFonts w:asciiTheme="majorHAnsi" w:hAnsiTheme="majorHAnsi"/>
              </w:rPr>
            </w:pPr>
            <w:r w:rsidRPr="004A42A9">
              <w:rPr>
                <w:rFonts w:asciiTheme="majorHAnsi" w:hAnsiTheme="majorHAnsi"/>
              </w:rPr>
              <w:t xml:space="preserve">Apply </w:t>
            </w:r>
            <w:r w:rsidRPr="004A42A9">
              <w:rPr>
                <w:rFonts w:asciiTheme="majorHAnsi" w:hAnsiTheme="majorHAnsi"/>
                <w:i/>
              </w:rPr>
              <w:t>grades 11–12 Reading standards</w:t>
            </w:r>
            <w:r w:rsidRPr="004A42A9">
              <w:rPr>
                <w:rFonts w:asciiTheme="majorHAnsi" w:hAnsiTheme="majorHAnsi"/>
              </w:rPr>
              <w:t xml:space="preserve"> to literature (e.g., “Demonstrate knowledge of eighteenth-, nineteenth- and early-twentieth-century foundational works of American literature, including how two or more texts from the same period treat similar themes or topics”).</w:t>
            </w:r>
          </w:p>
        </w:tc>
      </w:tr>
    </w:tbl>
    <w:p w14:paraId="70742F73" w14:textId="77777777" w:rsidR="007A12FD" w:rsidRPr="0063473E" w:rsidRDefault="007A12FD" w:rsidP="007A12FD">
      <w:pPr>
        <w:pStyle w:val="Heading1"/>
        <w:rPr>
          <w:rFonts w:asciiTheme="majorHAnsi" w:hAnsiTheme="majorHAnsi"/>
        </w:rPr>
      </w:pPr>
      <w:r w:rsidRPr="0063473E">
        <w:rPr>
          <w:rFonts w:asciiTheme="majorHAnsi" w:hAnsiTheme="majorHAnsi"/>
        </w:rP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7A12FD" w:rsidRPr="0063473E" w14:paraId="11832B79" w14:textId="77777777" w:rsidTr="007A12FD">
        <w:tc>
          <w:tcPr>
            <w:tcW w:w="9478" w:type="dxa"/>
            <w:shd w:val="clear" w:color="auto" w:fill="76923C"/>
          </w:tcPr>
          <w:p w14:paraId="344D38A7" w14:textId="77777777" w:rsidR="007A12FD" w:rsidRPr="0063473E" w:rsidRDefault="007A12FD" w:rsidP="007A12FD">
            <w:pPr>
              <w:pStyle w:val="TableHeaders"/>
              <w:rPr>
                <w:rFonts w:asciiTheme="majorHAnsi" w:hAnsiTheme="majorHAnsi"/>
              </w:rPr>
            </w:pPr>
            <w:r w:rsidRPr="0063473E">
              <w:rPr>
                <w:rFonts w:asciiTheme="majorHAnsi" w:hAnsiTheme="majorHAnsi"/>
              </w:rPr>
              <w:t>Assessment(s)</w:t>
            </w:r>
          </w:p>
        </w:tc>
      </w:tr>
      <w:tr w:rsidR="007A12FD" w:rsidRPr="0063473E" w14:paraId="1F2A62EF" w14:textId="77777777" w:rsidTr="007A12FD">
        <w:tc>
          <w:tcPr>
            <w:tcW w:w="9478" w:type="dxa"/>
            <w:tcBorders>
              <w:top w:val="single" w:sz="4" w:space="0" w:color="auto"/>
              <w:left w:val="single" w:sz="4" w:space="0" w:color="auto"/>
              <w:bottom w:val="single" w:sz="4" w:space="0" w:color="auto"/>
              <w:right w:val="single" w:sz="4" w:space="0" w:color="auto"/>
            </w:tcBorders>
          </w:tcPr>
          <w:p w14:paraId="70277B66" w14:textId="766E51B8" w:rsidR="007A12FD" w:rsidRPr="0063473E" w:rsidRDefault="007A12FD" w:rsidP="007A12FD">
            <w:pPr>
              <w:pStyle w:val="TableText"/>
              <w:rPr>
                <w:rFonts w:asciiTheme="majorHAnsi" w:hAnsiTheme="majorHAnsi"/>
              </w:rPr>
            </w:pPr>
            <w:r w:rsidRPr="0063473E">
              <w:rPr>
                <w:rFonts w:asciiTheme="majorHAnsi" w:hAnsiTheme="majorHAnsi"/>
              </w:rPr>
              <w:t xml:space="preserve">Student learning is assessed via a Quick Write at the end of the lesson. Students </w:t>
            </w:r>
            <w:r w:rsidR="00140EE0">
              <w:rPr>
                <w:rFonts w:asciiTheme="majorHAnsi" w:hAnsiTheme="majorHAnsi"/>
              </w:rPr>
              <w:t>respond to</w:t>
            </w:r>
            <w:r w:rsidR="00140EE0" w:rsidRPr="0063473E">
              <w:rPr>
                <w:rFonts w:asciiTheme="majorHAnsi" w:hAnsiTheme="majorHAnsi"/>
              </w:rPr>
              <w:t xml:space="preserve"> </w:t>
            </w:r>
            <w:r w:rsidRPr="0063473E">
              <w:rPr>
                <w:rFonts w:asciiTheme="majorHAnsi" w:hAnsiTheme="majorHAnsi"/>
              </w:rPr>
              <w:t>the following prompt, citing textual evidence to support analysis and inferences drawn from the text.</w:t>
            </w:r>
          </w:p>
          <w:p w14:paraId="35B5EBF8" w14:textId="78D10D33" w:rsidR="007A12FD" w:rsidRPr="004A42A9" w:rsidRDefault="00C42E81" w:rsidP="007A12FD">
            <w:pPr>
              <w:pStyle w:val="BulletedList"/>
              <w:ind w:left="317" w:hanging="317"/>
              <w:rPr>
                <w:rFonts w:asciiTheme="majorHAnsi" w:hAnsiTheme="majorHAnsi"/>
              </w:rPr>
            </w:pPr>
            <w:r>
              <w:rPr>
                <w:rFonts w:asciiTheme="majorHAnsi" w:hAnsiTheme="majorHAnsi"/>
              </w:rPr>
              <w:lastRenderedPageBreak/>
              <w:t>Analyze the relationship between Gogol and his parents in this excerpt</w:t>
            </w:r>
            <w:r w:rsidR="004863CA">
              <w:rPr>
                <w:rFonts w:asciiTheme="majorHAnsi" w:hAnsiTheme="majorHAnsi"/>
              </w:rPr>
              <w:t>.</w:t>
            </w:r>
          </w:p>
        </w:tc>
      </w:tr>
      <w:tr w:rsidR="007A12FD" w:rsidRPr="0063473E" w14:paraId="1477AD87" w14:textId="77777777" w:rsidTr="007A12FD">
        <w:tc>
          <w:tcPr>
            <w:tcW w:w="9478" w:type="dxa"/>
            <w:shd w:val="clear" w:color="auto" w:fill="76923C"/>
          </w:tcPr>
          <w:p w14:paraId="38223C7F" w14:textId="77777777" w:rsidR="007A12FD" w:rsidRPr="0063473E" w:rsidRDefault="007A12FD" w:rsidP="007A12FD">
            <w:pPr>
              <w:pStyle w:val="TableHeaders"/>
              <w:rPr>
                <w:rFonts w:asciiTheme="majorHAnsi" w:hAnsiTheme="majorHAnsi"/>
              </w:rPr>
            </w:pPr>
            <w:r w:rsidRPr="0063473E">
              <w:rPr>
                <w:rFonts w:asciiTheme="majorHAnsi" w:hAnsiTheme="majorHAnsi"/>
              </w:rPr>
              <w:lastRenderedPageBreak/>
              <w:t>High Performance Response(s)</w:t>
            </w:r>
          </w:p>
        </w:tc>
      </w:tr>
      <w:tr w:rsidR="007A12FD" w:rsidRPr="0063473E" w14:paraId="45B31044" w14:textId="77777777" w:rsidTr="007A12FD">
        <w:tc>
          <w:tcPr>
            <w:tcW w:w="9478" w:type="dxa"/>
          </w:tcPr>
          <w:p w14:paraId="4E48E244" w14:textId="2FD0E33B" w:rsidR="007A12FD" w:rsidRPr="0063473E" w:rsidRDefault="007A12FD" w:rsidP="007A12FD">
            <w:pPr>
              <w:pStyle w:val="TableText"/>
              <w:rPr>
                <w:rFonts w:asciiTheme="majorHAnsi" w:hAnsiTheme="majorHAnsi"/>
              </w:rPr>
            </w:pPr>
            <w:r w:rsidRPr="0063473E">
              <w:rPr>
                <w:rFonts w:asciiTheme="majorHAnsi" w:hAnsiTheme="majorHAnsi"/>
              </w:rPr>
              <w:t>A High Performance Response should:</w:t>
            </w:r>
          </w:p>
          <w:p w14:paraId="5D1D3CD1" w14:textId="360E1641" w:rsidR="000B0B95" w:rsidRPr="00FC0359" w:rsidRDefault="007A6165" w:rsidP="00FC0359">
            <w:pPr>
              <w:pStyle w:val="BulletedList"/>
              <w:rPr>
                <w:i/>
                <w:iCs/>
                <w:color w:val="404040" w:themeColor="text1" w:themeTint="BF"/>
              </w:rPr>
            </w:pPr>
            <w:r w:rsidRPr="004851CC">
              <w:t>Analyze the relationship between</w:t>
            </w:r>
            <w:r w:rsidR="003E71DA" w:rsidRPr="00AD1E75">
              <w:t xml:space="preserve"> </w:t>
            </w:r>
            <w:r w:rsidRPr="00AD1E75">
              <w:t>Gogol</w:t>
            </w:r>
            <w:r w:rsidR="003E71DA" w:rsidRPr="00AD1E75">
              <w:t xml:space="preserve"> </w:t>
            </w:r>
            <w:r w:rsidRPr="00AD1E75">
              <w:t>and his parents</w:t>
            </w:r>
            <w:r w:rsidR="003E71DA" w:rsidRPr="00AD1E75">
              <w:t xml:space="preserve"> (e.g., </w:t>
            </w:r>
            <w:r w:rsidR="000B0B95" w:rsidRPr="00AD1E75">
              <w:t xml:space="preserve">In this excerpt, Gogol begins to assert his independence from his parents. Ashoke “notices the </w:t>
            </w:r>
            <w:r w:rsidR="0011735B" w:rsidRPr="004851CC">
              <w:t>Lennon obituary pinned to the bulletin board, and then a cassette of classical Indian music he’d bought for Gogol months ago</w:t>
            </w:r>
            <w:r w:rsidR="00140EE0" w:rsidRPr="004851CC">
              <w:t xml:space="preserve"> </w:t>
            </w:r>
            <w:r w:rsidR="00957478" w:rsidRPr="004851CC">
              <w:t>…</w:t>
            </w:r>
            <w:r w:rsidR="0011735B" w:rsidRPr="004851CC">
              <w:t xml:space="preserve"> still sealed in its wrapper” (pp. 77</w:t>
            </w:r>
            <w:r w:rsidR="008D5622" w:rsidRPr="004851CC">
              <w:t>–</w:t>
            </w:r>
            <w:r w:rsidR="0011735B" w:rsidRPr="004851CC">
              <w:t xml:space="preserve">78), and begins to understand that his son is growing up and </w:t>
            </w:r>
            <w:r w:rsidR="0010217F" w:rsidRPr="004851CC">
              <w:t xml:space="preserve">seeking </w:t>
            </w:r>
            <w:r w:rsidR="00C44AF6" w:rsidRPr="004851CC">
              <w:t xml:space="preserve">an identity independent </w:t>
            </w:r>
            <w:r w:rsidR="002C5AE7" w:rsidRPr="004851CC">
              <w:t>from them</w:t>
            </w:r>
            <w:r w:rsidR="0011735B" w:rsidRPr="004851CC">
              <w:t xml:space="preserve">. However, </w:t>
            </w:r>
            <w:r w:rsidR="000B0B95" w:rsidRPr="004851CC">
              <w:t xml:space="preserve">the Gangulis’ eight-month stay in Calcutta temporarily </w:t>
            </w:r>
            <w:r w:rsidR="00A65B28" w:rsidRPr="004851CC">
              <w:t>forces Gogol into a different, less independent relationship with his parents</w:t>
            </w:r>
            <w:r w:rsidR="000B0B95" w:rsidRPr="004851CC">
              <w:t xml:space="preserve"> because, unlike in America, Ashima and Ashoke are culturally at ease where Gogol is not. While Ashima “wanders freely” in Calcutta, Go</w:t>
            </w:r>
            <w:r w:rsidR="007C698F" w:rsidRPr="004851CC">
              <w:t>gol “has no sense of direction”</w:t>
            </w:r>
            <w:r w:rsidR="004C0726" w:rsidRPr="004851CC">
              <w:t xml:space="preserve"> </w:t>
            </w:r>
            <w:r w:rsidR="000B0B95" w:rsidRPr="004851CC">
              <w:t xml:space="preserve">and must “surrender to confinement” (p. 83). </w:t>
            </w:r>
            <w:r w:rsidR="00EF1556" w:rsidRPr="00FC0359">
              <w:rPr>
                <w:rFonts w:eastAsia="Times New Roman"/>
                <w:color w:val="222222"/>
                <w:shd w:val="clear" w:color="auto" w:fill="FFFFFF"/>
              </w:rPr>
              <w:t>Upon returning to America, Gogol feels above all “relief</w:t>
            </w:r>
            <w:r w:rsidR="008D5622" w:rsidRPr="00FC0359">
              <w:rPr>
                <w:rFonts w:eastAsia="Times New Roman"/>
                <w:color w:val="222222"/>
                <w:shd w:val="clear" w:color="auto" w:fill="FFFFFF"/>
              </w:rPr>
              <w:t>,</w:t>
            </w:r>
            <w:r w:rsidR="00EF1556" w:rsidRPr="00FC0359">
              <w:rPr>
                <w:rFonts w:eastAsia="Times New Roman"/>
                <w:color w:val="222222"/>
                <w:shd w:val="clear" w:color="auto" w:fill="FFFFFF"/>
              </w:rPr>
              <w:t>” “as if they’ve never been gone” (p. 87). Gogol’s “relief” reflects his changing relationship with his parents and his desire for greater independence</w:t>
            </w:r>
            <w:r w:rsidR="0015264D" w:rsidRPr="00FC0359">
              <w:rPr>
                <w:rFonts w:eastAsia="Times New Roman"/>
                <w:color w:val="222222"/>
                <w:shd w:val="clear" w:color="auto" w:fill="FFFFFF"/>
              </w:rPr>
              <w:t xml:space="preserve"> because b</w:t>
            </w:r>
            <w:r w:rsidR="000B0B95" w:rsidRPr="004851CC">
              <w:t xml:space="preserve">ack on Pemberton Road, Gogol finds himself “free” </w:t>
            </w:r>
            <w:r w:rsidR="00B91320" w:rsidRPr="00AD1E75">
              <w:t>once more</w:t>
            </w:r>
            <w:r w:rsidR="00FC0359">
              <w:t xml:space="preserve"> </w:t>
            </w:r>
            <w:r w:rsidR="00FC0359" w:rsidRPr="004851CC">
              <w:t>(p. 87)</w:t>
            </w:r>
            <w:r w:rsidR="00927A7D" w:rsidRPr="00AD1E75">
              <w:t>.</w:t>
            </w:r>
            <w:r w:rsidR="003C7227" w:rsidRPr="00AD1E75">
              <w:t>).</w:t>
            </w:r>
          </w:p>
        </w:tc>
      </w:tr>
    </w:tbl>
    <w:p w14:paraId="0183E197" w14:textId="77777777" w:rsidR="007A12FD" w:rsidRDefault="007A12FD" w:rsidP="007A12FD">
      <w:pPr>
        <w:pStyle w:val="Heading1"/>
        <w:rPr>
          <w:rFonts w:asciiTheme="majorHAnsi" w:hAnsiTheme="majorHAnsi"/>
        </w:rPr>
      </w:pPr>
      <w:r w:rsidRPr="0063473E">
        <w:rPr>
          <w:rFonts w:asciiTheme="majorHAnsi" w:hAnsiTheme="majorHAnsi"/>
        </w:rP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A12FD" w:rsidRPr="000752C0" w14:paraId="2143A4BC" w14:textId="77777777" w:rsidTr="007A12FD">
        <w:tc>
          <w:tcPr>
            <w:tcW w:w="9450" w:type="dxa"/>
            <w:shd w:val="clear" w:color="auto" w:fill="76923C"/>
          </w:tcPr>
          <w:p w14:paraId="3B720C03" w14:textId="12EAE1E4" w:rsidR="007A12FD" w:rsidRPr="000752C0" w:rsidRDefault="00FE4253" w:rsidP="006823C7">
            <w:pPr>
              <w:pStyle w:val="TableHeaders"/>
            </w:pPr>
            <w:r w:rsidRPr="00FE4253">
              <w:t>Vocabulary to provide directly (will not include extended instruction)</w:t>
            </w:r>
          </w:p>
        </w:tc>
      </w:tr>
      <w:tr w:rsidR="007A12FD" w:rsidRPr="000752C0" w14:paraId="6C07362A" w14:textId="77777777" w:rsidTr="007A12FD">
        <w:tc>
          <w:tcPr>
            <w:tcW w:w="9450" w:type="dxa"/>
          </w:tcPr>
          <w:p w14:paraId="3B1396D7" w14:textId="0C07CBF7" w:rsidR="003E71DA" w:rsidRDefault="005D6EE5" w:rsidP="003E71DA">
            <w:pPr>
              <w:pStyle w:val="BulletedList"/>
              <w:ind w:left="317" w:hanging="317"/>
            </w:pPr>
            <w:r>
              <w:t>supercilious (adj.) – contemptuous</w:t>
            </w:r>
            <w:r w:rsidR="00BE305E">
              <w:t>, arrogant, or disdainful</w:t>
            </w:r>
          </w:p>
          <w:p w14:paraId="059B58FA" w14:textId="22287E87" w:rsidR="00A311D4" w:rsidRDefault="00A311D4" w:rsidP="003E71DA">
            <w:pPr>
              <w:pStyle w:val="BulletedList"/>
              <w:ind w:left="317" w:hanging="317"/>
            </w:pPr>
            <w:r>
              <w:t>obscure (adj.) – not well-known; not known to most people; difficult to understand</w:t>
            </w:r>
          </w:p>
          <w:p w14:paraId="2E276738" w14:textId="2048D195" w:rsidR="00A311D4" w:rsidRDefault="005743F5" w:rsidP="003E71DA">
            <w:pPr>
              <w:pStyle w:val="BulletedList"/>
              <w:ind w:left="317" w:hanging="317"/>
            </w:pPr>
            <w:r>
              <w:t>entity</w:t>
            </w:r>
            <w:r w:rsidR="00A311D4">
              <w:t xml:space="preserve"> (n.) – something that has a real existence; thing </w:t>
            </w:r>
          </w:p>
          <w:p w14:paraId="5F4550E3" w14:textId="73D11B04" w:rsidR="00A311D4" w:rsidRDefault="00A311D4" w:rsidP="003E71DA">
            <w:pPr>
              <w:pStyle w:val="BulletedList"/>
              <w:ind w:left="317" w:hanging="317"/>
            </w:pPr>
            <w:r>
              <w:t>gravity (n.) – dignity; solemnity</w:t>
            </w:r>
            <w:r w:rsidR="00617570">
              <w:t xml:space="preserve"> or seriousness</w:t>
            </w:r>
            <w:r>
              <w:t xml:space="preserve"> </w:t>
            </w:r>
          </w:p>
          <w:p w14:paraId="0A29BF97" w14:textId="6414B77D" w:rsidR="003679FA" w:rsidRPr="000752C0" w:rsidRDefault="00A311D4" w:rsidP="003E71DA">
            <w:pPr>
              <w:pStyle w:val="BulletedList"/>
              <w:ind w:left="317" w:hanging="317"/>
            </w:pPr>
            <w:r>
              <w:t xml:space="preserve">irrelevance (n.) – the quality or state of being unimportant </w:t>
            </w:r>
          </w:p>
          <w:p w14:paraId="43DD8380" w14:textId="2A4B3E51" w:rsidR="003679FA" w:rsidRDefault="005D6EE5" w:rsidP="003679FA">
            <w:pPr>
              <w:pStyle w:val="BulletedList"/>
              <w:ind w:left="317" w:hanging="317"/>
            </w:pPr>
            <w:r>
              <w:t>crestfallen (adj.) – very sad and disappointed</w:t>
            </w:r>
            <w:r w:rsidR="007A6165">
              <w:t xml:space="preserve"> </w:t>
            </w:r>
          </w:p>
          <w:p w14:paraId="798E8813" w14:textId="7575CC54" w:rsidR="001E226B" w:rsidRPr="000752C0" w:rsidRDefault="001E226B" w:rsidP="00DC558E">
            <w:pPr>
              <w:pStyle w:val="BulletedList"/>
              <w:ind w:left="317" w:hanging="317"/>
            </w:pPr>
            <w:r>
              <w:t xml:space="preserve">disconcerted (adj.) – </w:t>
            </w:r>
            <w:r w:rsidR="00DC558E">
              <w:t>bewildered or confused</w:t>
            </w:r>
            <w:r w:rsidR="00EB7F06">
              <w:t>, as by something unexpected</w:t>
            </w:r>
            <w:r>
              <w:t xml:space="preserve"> </w:t>
            </w:r>
          </w:p>
        </w:tc>
      </w:tr>
      <w:tr w:rsidR="007A12FD" w:rsidRPr="000752C0" w14:paraId="389715FC" w14:textId="77777777" w:rsidTr="007A12FD">
        <w:tc>
          <w:tcPr>
            <w:tcW w:w="9450" w:type="dxa"/>
            <w:shd w:val="clear" w:color="auto" w:fill="76923C"/>
          </w:tcPr>
          <w:p w14:paraId="6BB5CD6F" w14:textId="77777777" w:rsidR="007A12FD" w:rsidRPr="000752C0" w:rsidRDefault="007A12FD" w:rsidP="007A12FD">
            <w:pPr>
              <w:pStyle w:val="TableHeaders"/>
            </w:pPr>
            <w:r w:rsidRPr="000752C0">
              <w:t>Vocabulary to teach (may include direct word work and/or questions)</w:t>
            </w:r>
          </w:p>
        </w:tc>
      </w:tr>
      <w:tr w:rsidR="007A12FD" w:rsidRPr="000752C0" w14:paraId="202D18D5" w14:textId="77777777" w:rsidTr="007A12FD">
        <w:tc>
          <w:tcPr>
            <w:tcW w:w="9450" w:type="dxa"/>
          </w:tcPr>
          <w:p w14:paraId="1733255D" w14:textId="411B6EE9" w:rsidR="007A12FD" w:rsidRPr="000752C0" w:rsidRDefault="003E71DA" w:rsidP="007A12FD">
            <w:pPr>
              <w:pStyle w:val="BulletedList"/>
              <w:ind w:left="317" w:hanging="317"/>
            </w:pPr>
            <w:r>
              <w:t>None</w:t>
            </w:r>
            <w:r w:rsidR="004A4F73">
              <w:t>.</w:t>
            </w:r>
            <w:r>
              <w:t xml:space="preserve"> </w:t>
            </w:r>
          </w:p>
        </w:tc>
      </w:tr>
      <w:tr w:rsidR="007A12FD" w:rsidRPr="000752C0" w14:paraId="14F327D0" w14:textId="77777777" w:rsidTr="007A12FD">
        <w:tc>
          <w:tcPr>
            <w:tcW w:w="9450" w:type="dxa"/>
            <w:shd w:val="clear" w:color="auto" w:fill="76923C"/>
          </w:tcPr>
          <w:p w14:paraId="7D1E781F" w14:textId="66127007" w:rsidR="007A12FD" w:rsidRPr="000752C0" w:rsidRDefault="007A12FD" w:rsidP="007A12FD">
            <w:pPr>
              <w:pStyle w:val="TableHeaders"/>
            </w:pPr>
            <w:r w:rsidRPr="000752C0">
              <w:t xml:space="preserve">Additional vocabulary to support English Language Learners </w:t>
            </w:r>
            <w:r w:rsidR="006823C7">
              <w:t xml:space="preserve">(to provide </w:t>
            </w:r>
            <w:r w:rsidRPr="000752C0">
              <w:t>directly</w:t>
            </w:r>
            <w:r w:rsidR="006823C7">
              <w:t>)</w:t>
            </w:r>
          </w:p>
        </w:tc>
      </w:tr>
      <w:tr w:rsidR="007A12FD" w:rsidRPr="000752C0" w14:paraId="3609DC9E" w14:textId="77777777" w:rsidTr="007A12FD">
        <w:tc>
          <w:tcPr>
            <w:tcW w:w="9450" w:type="dxa"/>
          </w:tcPr>
          <w:p w14:paraId="4FDFEE71" w14:textId="068AB293" w:rsidR="00A311D4" w:rsidRDefault="00A311D4" w:rsidP="007A6165">
            <w:pPr>
              <w:pStyle w:val="BulletedList"/>
              <w:ind w:left="317" w:hanging="317"/>
            </w:pPr>
            <w:r>
              <w:t>mutation (n.) – change or alteration</w:t>
            </w:r>
          </w:p>
          <w:p w14:paraId="5783DF6D" w14:textId="0D3CDF5D" w:rsidR="00A311D4" w:rsidRDefault="00A311D4" w:rsidP="007A6165">
            <w:pPr>
              <w:pStyle w:val="BulletedList"/>
              <w:ind w:left="317" w:hanging="317"/>
            </w:pPr>
            <w:r>
              <w:t>receded (v.) – moved away gradually; became smaller or weaker</w:t>
            </w:r>
            <w:r w:rsidR="005743F5">
              <w:t xml:space="preserve"> </w:t>
            </w:r>
          </w:p>
          <w:p w14:paraId="65FA03A3" w14:textId="2AC6EB84" w:rsidR="00A311D4" w:rsidRDefault="00A311D4" w:rsidP="007A6165">
            <w:pPr>
              <w:pStyle w:val="BulletedList"/>
              <w:ind w:left="317" w:hanging="317"/>
            </w:pPr>
            <w:r>
              <w:t>itinerary (n.) – the places one goes to or plans to go to on a journey</w:t>
            </w:r>
            <w:r w:rsidR="005743F5">
              <w:t xml:space="preserve"> </w:t>
            </w:r>
          </w:p>
          <w:p w14:paraId="0E81DFA7" w14:textId="11F1675B" w:rsidR="007A6165" w:rsidRPr="005D6EE5" w:rsidRDefault="007A6165" w:rsidP="007A6165">
            <w:pPr>
              <w:pStyle w:val="BulletedList"/>
              <w:ind w:left="317" w:hanging="317"/>
            </w:pPr>
            <w:r>
              <w:t xml:space="preserve">rickshaw (n.) </w:t>
            </w:r>
            <w:r w:rsidR="004635FD">
              <w:t>–</w:t>
            </w:r>
            <w:r>
              <w:t xml:space="preserve"> </w:t>
            </w:r>
            <w:r w:rsidRPr="005D6EE5">
              <w:rPr>
                <w:shd w:val="clear" w:color="auto" w:fill="FFFFFF"/>
              </w:rPr>
              <w:t>a small, light vehicle with two wheels that is pulled by one person on foot or on a bicycle and that is used in some Asian countries</w:t>
            </w:r>
            <w:r>
              <w:rPr>
                <w:shd w:val="clear" w:color="auto" w:fill="FFFFFF"/>
              </w:rPr>
              <w:t xml:space="preserve"> </w:t>
            </w:r>
          </w:p>
          <w:p w14:paraId="276DB01C" w14:textId="7BC7A3B4" w:rsidR="005D6EE5" w:rsidRPr="000752C0" w:rsidRDefault="005D6EE5" w:rsidP="007A12FD">
            <w:pPr>
              <w:pStyle w:val="BulletedList"/>
              <w:ind w:left="317" w:hanging="317"/>
            </w:pPr>
            <w:r>
              <w:rPr>
                <w:shd w:val="clear" w:color="auto" w:fill="FFFFFF"/>
              </w:rPr>
              <w:lastRenderedPageBreak/>
              <w:t xml:space="preserve">cumbersome (adj.) </w:t>
            </w:r>
            <w:r w:rsidR="007A6165">
              <w:rPr>
                <w:shd w:val="clear" w:color="auto" w:fill="FFFFFF"/>
              </w:rPr>
              <w:t>–</w:t>
            </w:r>
            <w:r>
              <w:rPr>
                <w:shd w:val="clear" w:color="auto" w:fill="FFFFFF"/>
              </w:rPr>
              <w:t xml:space="preserve"> </w:t>
            </w:r>
            <w:r w:rsidR="007A6165">
              <w:rPr>
                <w:shd w:val="clear" w:color="auto" w:fill="FFFFFF"/>
              </w:rPr>
              <w:t xml:space="preserve">hard to handle or manage because of size or weight </w:t>
            </w:r>
          </w:p>
        </w:tc>
      </w:tr>
    </w:tbl>
    <w:p w14:paraId="336166F3" w14:textId="77777777" w:rsidR="007A12FD" w:rsidRPr="0063473E" w:rsidRDefault="007A12FD" w:rsidP="007A12FD">
      <w:pPr>
        <w:pStyle w:val="Heading1"/>
        <w:rPr>
          <w:rFonts w:asciiTheme="majorHAnsi" w:hAnsiTheme="majorHAnsi"/>
        </w:rPr>
      </w:pPr>
      <w:r w:rsidRPr="0063473E">
        <w:rPr>
          <w:rFonts w:asciiTheme="majorHAnsi" w:hAnsiTheme="majorHAnsi"/>
        </w:rP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7A12FD" w:rsidRPr="0063473E" w14:paraId="337FC28A" w14:textId="77777777" w:rsidTr="007A12FD">
        <w:tc>
          <w:tcPr>
            <w:tcW w:w="7830" w:type="dxa"/>
            <w:tcBorders>
              <w:bottom w:val="single" w:sz="4" w:space="0" w:color="auto"/>
            </w:tcBorders>
            <w:shd w:val="clear" w:color="auto" w:fill="76923C"/>
          </w:tcPr>
          <w:p w14:paraId="3AB7520B" w14:textId="77777777" w:rsidR="007A12FD" w:rsidRPr="0063473E" w:rsidRDefault="007A12FD" w:rsidP="007A12FD">
            <w:pPr>
              <w:pStyle w:val="TableHeaders"/>
              <w:rPr>
                <w:rFonts w:asciiTheme="majorHAnsi" w:hAnsiTheme="majorHAnsi"/>
              </w:rPr>
            </w:pPr>
            <w:r w:rsidRPr="0063473E">
              <w:rPr>
                <w:rFonts w:asciiTheme="majorHAnsi" w:hAnsiTheme="majorHAnsi"/>
              </w:rPr>
              <w:t>Student-Facing Agenda</w:t>
            </w:r>
          </w:p>
        </w:tc>
        <w:tc>
          <w:tcPr>
            <w:tcW w:w="1638" w:type="dxa"/>
            <w:tcBorders>
              <w:bottom w:val="single" w:sz="4" w:space="0" w:color="auto"/>
            </w:tcBorders>
            <w:shd w:val="clear" w:color="auto" w:fill="76923C"/>
          </w:tcPr>
          <w:p w14:paraId="25D33AB4" w14:textId="77777777" w:rsidR="007A12FD" w:rsidRPr="0063473E" w:rsidRDefault="007A12FD" w:rsidP="007A12FD">
            <w:pPr>
              <w:pStyle w:val="TableHeaders"/>
              <w:rPr>
                <w:rFonts w:asciiTheme="majorHAnsi" w:hAnsiTheme="majorHAnsi"/>
              </w:rPr>
            </w:pPr>
            <w:r w:rsidRPr="0063473E">
              <w:rPr>
                <w:rFonts w:asciiTheme="majorHAnsi" w:hAnsiTheme="majorHAnsi"/>
              </w:rPr>
              <w:t>% of Lesson</w:t>
            </w:r>
          </w:p>
        </w:tc>
      </w:tr>
      <w:tr w:rsidR="007A12FD" w:rsidRPr="0063473E" w14:paraId="0CF91D55" w14:textId="77777777" w:rsidTr="007A12FD">
        <w:trPr>
          <w:trHeight w:val="1313"/>
        </w:trPr>
        <w:tc>
          <w:tcPr>
            <w:tcW w:w="7830" w:type="dxa"/>
            <w:tcBorders>
              <w:bottom w:val="nil"/>
            </w:tcBorders>
          </w:tcPr>
          <w:p w14:paraId="4756F5FC" w14:textId="77777777" w:rsidR="007A12FD" w:rsidRPr="0063473E" w:rsidRDefault="007A12FD" w:rsidP="007A12FD">
            <w:pPr>
              <w:pStyle w:val="TableText"/>
              <w:rPr>
                <w:rFonts w:asciiTheme="majorHAnsi" w:hAnsiTheme="majorHAnsi"/>
                <w:b/>
              </w:rPr>
            </w:pPr>
            <w:r w:rsidRPr="0063473E">
              <w:rPr>
                <w:rFonts w:asciiTheme="majorHAnsi" w:hAnsiTheme="majorHAnsi"/>
                <w:b/>
              </w:rPr>
              <w:t>Standards &amp; Text:</w:t>
            </w:r>
          </w:p>
          <w:p w14:paraId="6E2793D2" w14:textId="7516B924" w:rsidR="007A12FD" w:rsidRDefault="007A12FD" w:rsidP="003E71DA">
            <w:pPr>
              <w:pStyle w:val="BulletedList"/>
              <w:ind w:left="317" w:hanging="317"/>
              <w:rPr>
                <w:rFonts w:asciiTheme="majorHAnsi" w:hAnsiTheme="majorHAnsi"/>
              </w:rPr>
            </w:pPr>
            <w:r w:rsidRPr="001A7340">
              <w:rPr>
                <w:rFonts w:asciiTheme="majorHAnsi" w:hAnsiTheme="majorHAnsi"/>
              </w:rPr>
              <w:t>Standards: RL.11-12.</w:t>
            </w:r>
            <w:r>
              <w:rPr>
                <w:rFonts w:asciiTheme="majorHAnsi" w:hAnsiTheme="majorHAnsi"/>
              </w:rPr>
              <w:t>3</w:t>
            </w:r>
            <w:r w:rsidRPr="001A7340">
              <w:rPr>
                <w:rFonts w:asciiTheme="majorHAnsi" w:hAnsiTheme="majorHAnsi"/>
              </w:rPr>
              <w:t>, W.11-12.9.a</w:t>
            </w:r>
          </w:p>
          <w:p w14:paraId="7F5EBFDE" w14:textId="52F70250" w:rsidR="007A12FD" w:rsidRPr="00FC0359" w:rsidRDefault="007A12FD" w:rsidP="00FC0359">
            <w:pPr>
              <w:pStyle w:val="BulletedList"/>
              <w:ind w:left="317" w:hanging="317"/>
              <w:rPr>
                <w:color w:val="4F81BD"/>
              </w:rPr>
            </w:pPr>
            <w:r w:rsidRPr="00FC0359">
              <w:rPr>
                <w:rFonts w:asciiTheme="majorHAnsi" w:hAnsiTheme="majorHAnsi"/>
              </w:rPr>
              <w:t xml:space="preserve">Text: </w:t>
            </w:r>
            <w:r w:rsidR="003E71DA" w:rsidRPr="00FC0359">
              <w:rPr>
                <w:rFonts w:asciiTheme="majorHAnsi" w:hAnsiTheme="majorHAnsi"/>
                <w:i/>
              </w:rPr>
              <w:t>The Namesake</w:t>
            </w:r>
            <w:r w:rsidR="00C17763" w:rsidRPr="00FC0359">
              <w:rPr>
                <w:rFonts w:asciiTheme="majorHAnsi" w:hAnsiTheme="majorHAnsi"/>
              </w:rPr>
              <w:t xml:space="preserve"> </w:t>
            </w:r>
            <w:r w:rsidR="003E71DA" w:rsidRPr="00FC0359">
              <w:rPr>
                <w:rFonts w:asciiTheme="majorHAnsi" w:hAnsiTheme="majorHAnsi"/>
              </w:rPr>
              <w:t>by Jhumpa Lahiri, pages</w:t>
            </w:r>
            <w:r w:rsidRPr="00FC0359">
              <w:rPr>
                <w:rFonts w:asciiTheme="majorHAnsi" w:hAnsiTheme="majorHAnsi"/>
              </w:rPr>
              <w:t xml:space="preserve"> 7</w:t>
            </w:r>
            <w:r w:rsidR="003E71DA" w:rsidRPr="00FC0359">
              <w:rPr>
                <w:rFonts w:asciiTheme="majorHAnsi" w:hAnsiTheme="majorHAnsi"/>
              </w:rPr>
              <w:t>2</w:t>
            </w:r>
            <w:r w:rsidR="00962B89" w:rsidRPr="00FC0359">
              <w:rPr>
                <w:rFonts w:asciiTheme="majorHAnsi" w:hAnsiTheme="majorHAnsi"/>
              </w:rPr>
              <w:t>–</w:t>
            </w:r>
            <w:r w:rsidR="003E71DA" w:rsidRPr="00FC0359">
              <w:rPr>
                <w:rFonts w:asciiTheme="majorHAnsi" w:hAnsiTheme="majorHAnsi"/>
              </w:rPr>
              <w:t>8</w:t>
            </w:r>
            <w:r w:rsidRPr="00FC0359">
              <w:rPr>
                <w:rFonts w:asciiTheme="majorHAnsi" w:hAnsiTheme="majorHAnsi"/>
              </w:rPr>
              <w:t>8</w:t>
            </w:r>
          </w:p>
        </w:tc>
        <w:tc>
          <w:tcPr>
            <w:tcW w:w="1638" w:type="dxa"/>
            <w:tcBorders>
              <w:bottom w:val="nil"/>
            </w:tcBorders>
          </w:tcPr>
          <w:p w14:paraId="70F3AD18" w14:textId="77777777" w:rsidR="007A12FD" w:rsidRPr="0063473E" w:rsidRDefault="007A12FD" w:rsidP="007A12FD">
            <w:pPr>
              <w:rPr>
                <w:rFonts w:asciiTheme="majorHAnsi" w:hAnsiTheme="majorHAnsi"/>
              </w:rPr>
            </w:pPr>
          </w:p>
          <w:p w14:paraId="4F445EE3" w14:textId="77777777" w:rsidR="007A12FD" w:rsidRPr="0063473E" w:rsidRDefault="007A12FD" w:rsidP="007A12FD">
            <w:pPr>
              <w:pStyle w:val="NumberedList"/>
              <w:numPr>
                <w:ilvl w:val="0"/>
                <w:numId w:val="0"/>
              </w:numPr>
              <w:rPr>
                <w:rFonts w:asciiTheme="majorHAnsi" w:hAnsiTheme="majorHAnsi"/>
              </w:rPr>
            </w:pPr>
          </w:p>
        </w:tc>
      </w:tr>
      <w:tr w:rsidR="007A12FD" w:rsidRPr="0063473E" w14:paraId="4AAEF713" w14:textId="77777777" w:rsidTr="007A12FD">
        <w:tc>
          <w:tcPr>
            <w:tcW w:w="7830" w:type="dxa"/>
            <w:tcBorders>
              <w:top w:val="nil"/>
            </w:tcBorders>
          </w:tcPr>
          <w:p w14:paraId="4BE70AD0" w14:textId="77777777" w:rsidR="007A12FD" w:rsidRPr="0063473E" w:rsidRDefault="007A12FD" w:rsidP="007A12FD">
            <w:pPr>
              <w:pStyle w:val="TableText"/>
              <w:rPr>
                <w:rFonts w:asciiTheme="majorHAnsi" w:hAnsiTheme="majorHAnsi"/>
                <w:b/>
              </w:rPr>
            </w:pPr>
            <w:r w:rsidRPr="0063473E">
              <w:rPr>
                <w:rFonts w:asciiTheme="majorHAnsi" w:hAnsiTheme="majorHAnsi"/>
                <w:b/>
              </w:rPr>
              <w:t>Learning Sequence:</w:t>
            </w:r>
          </w:p>
          <w:p w14:paraId="7996AB98"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Introduction of Lesson Agenda</w:t>
            </w:r>
          </w:p>
          <w:p w14:paraId="2441E4D9"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 xml:space="preserve">Homework Accountability </w:t>
            </w:r>
          </w:p>
          <w:p w14:paraId="0EF531C6" w14:textId="77777777" w:rsidR="007A12FD" w:rsidRPr="0063473E" w:rsidRDefault="003E71DA" w:rsidP="007A12FD">
            <w:pPr>
              <w:pStyle w:val="NumberedList"/>
              <w:numPr>
                <w:ilvl w:val="0"/>
                <w:numId w:val="11"/>
              </w:numPr>
              <w:rPr>
                <w:rFonts w:asciiTheme="majorHAnsi" w:hAnsiTheme="majorHAnsi"/>
              </w:rPr>
            </w:pPr>
            <w:r>
              <w:rPr>
                <w:rFonts w:asciiTheme="majorHAnsi" w:hAnsiTheme="majorHAnsi"/>
              </w:rPr>
              <w:t>Reading and Discussion</w:t>
            </w:r>
          </w:p>
          <w:p w14:paraId="6F8343B5"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Quick Write</w:t>
            </w:r>
          </w:p>
          <w:p w14:paraId="19C95B3C"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Closing</w:t>
            </w:r>
          </w:p>
        </w:tc>
        <w:tc>
          <w:tcPr>
            <w:tcW w:w="1638" w:type="dxa"/>
            <w:tcBorders>
              <w:top w:val="nil"/>
            </w:tcBorders>
          </w:tcPr>
          <w:p w14:paraId="5CBDD69A" w14:textId="77777777" w:rsidR="007A12FD" w:rsidRPr="0063473E" w:rsidRDefault="007A12FD" w:rsidP="007A12FD">
            <w:pPr>
              <w:pStyle w:val="TableText"/>
              <w:rPr>
                <w:rFonts w:asciiTheme="majorHAnsi" w:hAnsiTheme="majorHAnsi"/>
              </w:rPr>
            </w:pPr>
          </w:p>
          <w:p w14:paraId="79DEA88F" w14:textId="77777777" w:rsidR="007A12FD" w:rsidRPr="0063473E" w:rsidRDefault="007A12FD" w:rsidP="007A12FD">
            <w:pPr>
              <w:pStyle w:val="NumberedList"/>
              <w:rPr>
                <w:rFonts w:asciiTheme="majorHAnsi" w:hAnsiTheme="majorHAnsi"/>
              </w:rPr>
            </w:pPr>
            <w:r>
              <w:rPr>
                <w:rFonts w:asciiTheme="majorHAnsi" w:hAnsiTheme="majorHAnsi"/>
              </w:rPr>
              <w:t>5</w:t>
            </w:r>
            <w:r w:rsidRPr="0063473E">
              <w:rPr>
                <w:rFonts w:asciiTheme="majorHAnsi" w:hAnsiTheme="majorHAnsi"/>
              </w:rPr>
              <w:t>%</w:t>
            </w:r>
          </w:p>
          <w:p w14:paraId="6DF57540" w14:textId="5FF5CF3C" w:rsidR="007A12FD" w:rsidRPr="0063473E" w:rsidRDefault="001E226B" w:rsidP="007A12FD">
            <w:pPr>
              <w:pStyle w:val="NumberedList"/>
              <w:numPr>
                <w:ilvl w:val="0"/>
                <w:numId w:val="11"/>
              </w:numPr>
              <w:rPr>
                <w:rFonts w:asciiTheme="majorHAnsi" w:hAnsiTheme="majorHAnsi"/>
              </w:rPr>
            </w:pPr>
            <w:r>
              <w:rPr>
                <w:rFonts w:asciiTheme="majorHAnsi" w:hAnsiTheme="majorHAnsi"/>
              </w:rPr>
              <w:t>2</w:t>
            </w:r>
            <w:r w:rsidR="006E4993">
              <w:rPr>
                <w:rFonts w:asciiTheme="majorHAnsi" w:hAnsiTheme="majorHAnsi"/>
              </w:rPr>
              <w:t>5</w:t>
            </w:r>
            <w:r w:rsidR="007A12FD" w:rsidRPr="0063473E">
              <w:rPr>
                <w:rFonts w:asciiTheme="majorHAnsi" w:hAnsiTheme="majorHAnsi"/>
              </w:rPr>
              <w:t>%</w:t>
            </w:r>
          </w:p>
          <w:p w14:paraId="7CA00977" w14:textId="741C0CF5" w:rsidR="007A12FD" w:rsidRPr="0063473E" w:rsidRDefault="001E226B" w:rsidP="007A12FD">
            <w:pPr>
              <w:pStyle w:val="NumberedList"/>
              <w:numPr>
                <w:ilvl w:val="0"/>
                <w:numId w:val="11"/>
              </w:numPr>
              <w:rPr>
                <w:rFonts w:asciiTheme="majorHAnsi" w:hAnsiTheme="majorHAnsi"/>
              </w:rPr>
            </w:pPr>
            <w:r>
              <w:rPr>
                <w:rFonts w:asciiTheme="majorHAnsi" w:hAnsiTheme="majorHAnsi"/>
              </w:rPr>
              <w:t>5</w:t>
            </w:r>
            <w:r w:rsidR="006E4993">
              <w:rPr>
                <w:rFonts w:asciiTheme="majorHAnsi" w:hAnsiTheme="majorHAnsi"/>
              </w:rPr>
              <w:t>0</w:t>
            </w:r>
            <w:r w:rsidR="007A12FD" w:rsidRPr="0063473E">
              <w:rPr>
                <w:rFonts w:asciiTheme="majorHAnsi" w:hAnsiTheme="majorHAnsi"/>
              </w:rPr>
              <w:t>%</w:t>
            </w:r>
          </w:p>
          <w:p w14:paraId="229805C1"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15%</w:t>
            </w:r>
          </w:p>
          <w:p w14:paraId="3D2189C4" w14:textId="77777777" w:rsidR="007A12FD" w:rsidRPr="0063473E" w:rsidRDefault="007A12FD" w:rsidP="007A12FD">
            <w:pPr>
              <w:pStyle w:val="NumberedList"/>
              <w:numPr>
                <w:ilvl w:val="0"/>
                <w:numId w:val="11"/>
              </w:numPr>
              <w:rPr>
                <w:rFonts w:asciiTheme="majorHAnsi" w:hAnsiTheme="majorHAnsi"/>
              </w:rPr>
            </w:pPr>
            <w:r w:rsidRPr="0063473E">
              <w:rPr>
                <w:rFonts w:asciiTheme="majorHAnsi" w:hAnsiTheme="majorHAnsi"/>
              </w:rPr>
              <w:t>5%</w:t>
            </w:r>
          </w:p>
        </w:tc>
      </w:tr>
    </w:tbl>
    <w:p w14:paraId="354969B2" w14:textId="77777777" w:rsidR="007A12FD" w:rsidRPr="0063473E" w:rsidRDefault="007A12FD" w:rsidP="007A12FD">
      <w:pPr>
        <w:pStyle w:val="Heading1"/>
        <w:rPr>
          <w:rFonts w:asciiTheme="majorHAnsi" w:hAnsiTheme="majorHAnsi"/>
        </w:rPr>
      </w:pPr>
      <w:r w:rsidRPr="0063473E">
        <w:rPr>
          <w:rFonts w:asciiTheme="majorHAnsi" w:hAnsiTheme="majorHAnsi"/>
        </w:rPr>
        <w:t>Materials</w:t>
      </w:r>
    </w:p>
    <w:p w14:paraId="5C68AAAD" w14:textId="7F84B7CF" w:rsidR="007A12FD" w:rsidRPr="0063473E" w:rsidRDefault="007A12FD" w:rsidP="007A12FD">
      <w:pPr>
        <w:pStyle w:val="BulletedList"/>
        <w:ind w:left="317" w:hanging="317"/>
        <w:rPr>
          <w:rFonts w:asciiTheme="majorHAnsi" w:hAnsiTheme="majorHAnsi"/>
        </w:rPr>
      </w:pPr>
      <w:r w:rsidRPr="0063473E">
        <w:rPr>
          <w:rFonts w:asciiTheme="majorHAnsi" w:hAnsiTheme="majorHAnsi"/>
        </w:rPr>
        <w:t>Student copies of the Short Response Rubric</w:t>
      </w:r>
      <w:r w:rsidR="00C17763">
        <w:rPr>
          <w:rFonts w:asciiTheme="majorHAnsi" w:hAnsiTheme="majorHAnsi"/>
        </w:rPr>
        <w:t xml:space="preserve"> and Checklist</w:t>
      </w:r>
      <w:r w:rsidRPr="0063473E">
        <w:rPr>
          <w:rFonts w:asciiTheme="majorHAnsi" w:hAnsiTheme="majorHAnsi"/>
        </w:rPr>
        <w:t xml:space="preserve"> (refer </w:t>
      </w:r>
      <w:r>
        <w:rPr>
          <w:rFonts w:asciiTheme="majorHAnsi" w:hAnsiTheme="majorHAnsi"/>
        </w:rPr>
        <w:t>to 12.4.1</w:t>
      </w:r>
      <w:r w:rsidRPr="0063473E">
        <w:rPr>
          <w:rFonts w:asciiTheme="majorHAnsi" w:hAnsiTheme="majorHAnsi"/>
        </w:rPr>
        <w:t xml:space="preserve"> Lesson 1)</w:t>
      </w:r>
      <w:r>
        <w:rPr>
          <w:rFonts w:asciiTheme="majorHAnsi" w:hAnsiTheme="majorHAnsi"/>
        </w:rPr>
        <w:t xml:space="preserve"> (optional)</w:t>
      </w:r>
    </w:p>
    <w:p w14:paraId="3668A6F5" w14:textId="77777777" w:rsidR="007A12FD" w:rsidRPr="0063473E" w:rsidRDefault="007A12FD" w:rsidP="007A12FD">
      <w:pPr>
        <w:pStyle w:val="Heading1"/>
        <w:rPr>
          <w:rFonts w:asciiTheme="majorHAnsi" w:hAnsiTheme="majorHAnsi"/>
        </w:rPr>
      </w:pPr>
      <w:r w:rsidRPr="0063473E">
        <w:rPr>
          <w:rFonts w:asciiTheme="majorHAnsi" w:hAnsiTheme="majorHAnsi"/>
        </w:rP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7A12FD" w:rsidRPr="0063473E" w14:paraId="2D40EAE4" w14:textId="77777777" w:rsidTr="007A12FD">
        <w:tc>
          <w:tcPr>
            <w:tcW w:w="9468" w:type="dxa"/>
            <w:gridSpan w:val="2"/>
            <w:shd w:val="clear" w:color="auto" w:fill="76923C" w:themeFill="accent3" w:themeFillShade="BF"/>
          </w:tcPr>
          <w:p w14:paraId="67D9E55C" w14:textId="77777777" w:rsidR="007A12FD" w:rsidRPr="0063473E" w:rsidRDefault="007A12FD" w:rsidP="007A12FD">
            <w:pPr>
              <w:pStyle w:val="TableHeaders"/>
              <w:rPr>
                <w:rFonts w:asciiTheme="majorHAnsi" w:hAnsiTheme="majorHAnsi"/>
              </w:rPr>
            </w:pPr>
            <w:r w:rsidRPr="0063473E">
              <w:rPr>
                <w:rFonts w:asciiTheme="majorHAnsi" w:hAnsiTheme="majorHAnsi"/>
              </w:rPr>
              <w:t>How to Use the Learning Sequence</w:t>
            </w:r>
          </w:p>
        </w:tc>
      </w:tr>
      <w:tr w:rsidR="007A12FD" w:rsidRPr="0063473E" w14:paraId="59855625" w14:textId="77777777" w:rsidTr="007A12FD">
        <w:tc>
          <w:tcPr>
            <w:tcW w:w="894" w:type="dxa"/>
            <w:shd w:val="clear" w:color="auto" w:fill="76923C" w:themeFill="accent3" w:themeFillShade="BF"/>
          </w:tcPr>
          <w:p w14:paraId="2E7FF8F5" w14:textId="77777777" w:rsidR="007A12FD" w:rsidRPr="0063473E" w:rsidRDefault="007A12FD" w:rsidP="007A12FD">
            <w:pPr>
              <w:pStyle w:val="TableHeaders"/>
              <w:rPr>
                <w:rFonts w:asciiTheme="majorHAnsi" w:hAnsiTheme="majorHAnsi"/>
              </w:rPr>
            </w:pPr>
            <w:r w:rsidRPr="0063473E">
              <w:rPr>
                <w:rFonts w:asciiTheme="majorHAnsi" w:hAnsiTheme="majorHAnsi"/>
              </w:rPr>
              <w:t>Symbol</w:t>
            </w:r>
          </w:p>
        </w:tc>
        <w:tc>
          <w:tcPr>
            <w:tcW w:w="8574" w:type="dxa"/>
            <w:shd w:val="clear" w:color="auto" w:fill="76923C" w:themeFill="accent3" w:themeFillShade="BF"/>
          </w:tcPr>
          <w:p w14:paraId="7E7E9775" w14:textId="77777777" w:rsidR="007A12FD" w:rsidRPr="0063473E" w:rsidRDefault="007A12FD" w:rsidP="007A12FD">
            <w:pPr>
              <w:pStyle w:val="TableHeaders"/>
              <w:rPr>
                <w:rFonts w:asciiTheme="majorHAnsi" w:hAnsiTheme="majorHAnsi"/>
              </w:rPr>
            </w:pPr>
            <w:r w:rsidRPr="0063473E">
              <w:rPr>
                <w:rFonts w:asciiTheme="majorHAnsi" w:hAnsiTheme="majorHAnsi"/>
              </w:rPr>
              <w:t>Type of Text &amp; Interpretation of the Symbol</w:t>
            </w:r>
          </w:p>
        </w:tc>
      </w:tr>
      <w:tr w:rsidR="00361FA2" w:rsidRPr="0063473E" w14:paraId="7D74B55D" w14:textId="77777777" w:rsidTr="007A12FD">
        <w:tc>
          <w:tcPr>
            <w:tcW w:w="894" w:type="dxa"/>
          </w:tcPr>
          <w:p w14:paraId="6B469FFB" w14:textId="62BD99FB" w:rsidR="00361FA2" w:rsidRPr="0063473E" w:rsidRDefault="00361FA2" w:rsidP="007A12FD">
            <w:pPr>
              <w:spacing w:before="20" w:after="20" w:line="240" w:lineRule="auto"/>
              <w:jc w:val="center"/>
              <w:rPr>
                <w:rFonts w:asciiTheme="majorHAnsi" w:hAnsiTheme="majorHAnsi"/>
                <w:b/>
                <w:color w:val="4F81BD" w:themeColor="accent1"/>
                <w:sz w:val="20"/>
              </w:rPr>
            </w:pPr>
            <w:r w:rsidRPr="0043460D">
              <w:rPr>
                <w:b/>
                <w:color w:val="4F81BD"/>
                <w:sz w:val="20"/>
                <w:szCs w:val="20"/>
              </w:rPr>
              <w:t>10%</w:t>
            </w:r>
          </w:p>
        </w:tc>
        <w:tc>
          <w:tcPr>
            <w:tcW w:w="8574" w:type="dxa"/>
          </w:tcPr>
          <w:p w14:paraId="0F745886" w14:textId="22D368DC" w:rsidR="00361FA2" w:rsidRPr="0063473E" w:rsidRDefault="00361FA2" w:rsidP="007A12FD">
            <w:pPr>
              <w:spacing w:before="20" w:after="20" w:line="240" w:lineRule="auto"/>
              <w:rPr>
                <w:rFonts w:asciiTheme="majorHAnsi" w:hAnsiTheme="majorHAnsi"/>
                <w:b/>
                <w:color w:val="4F81BD" w:themeColor="accent1"/>
                <w:sz w:val="20"/>
              </w:rPr>
            </w:pPr>
            <w:r w:rsidRPr="0043460D">
              <w:rPr>
                <w:b/>
                <w:color w:val="4F81BD"/>
                <w:sz w:val="20"/>
                <w:szCs w:val="20"/>
              </w:rPr>
              <w:t>Percentage indicates the percentage of lesson time each activity should take.</w:t>
            </w:r>
          </w:p>
        </w:tc>
      </w:tr>
      <w:tr w:rsidR="00361FA2" w:rsidRPr="0063473E" w14:paraId="65A4DEEC" w14:textId="77777777" w:rsidTr="007A12FD">
        <w:tc>
          <w:tcPr>
            <w:tcW w:w="894" w:type="dxa"/>
            <w:vMerge w:val="restart"/>
            <w:vAlign w:val="center"/>
          </w:tcPr>
          <w:p w14:paraId="015EA2D5" w14:textId="4AC7C8F4" w:rsidR="00361FA2" w:rsidRPr="0063473E" w:rsidRDefault="00361FA2" w:rsidP="007A12FD">
            <w:pPr>
              <w:spacing w:before="20" w:after="20" w:line="240" w:lineRule="auto"/>
              <w:jc w:val="center"/>
              <w:rPr>
                <w:rFonts w:asciiTheme="majorHAnsi" w:hAnsiTheme="majorHAnsi"/>
                <w:sz w:val="18"/>
              </w:rPr>
            </w:pPr>
            <w:r w:rsidRPr="0043460D">
              <w:rPr>
                <w:sz w:val="18"/>
                <w:szCs w:val="20"/>
              </w:rPr>
              <w:t>no symbol</w:t>
            </w:r>
          </w:p>
        </w:tc>
        <w:tc>
          <w:tcPr>
            <w:tcW w:w="8574" w:type="dxa"/>
          </w:tcPr>
          <w:p w14:paraId="2699642D" w14:textId="3E58B59B" w:rsidR="00361FA2" w:rsidRPr="0063473E" w:rsidRDefault="00361FA2" w:rsidP="007A12FD">
            <w:pPr>
              <w:spacing w:before="20" w:after="20" w:line="240" w:lineRule="auto"/>
              <w:rPr>
                <w:rFonts w:asciiTheme="majorHAnsi" w:hAnsiTheme="majorHAnsi"/>
                <w:sz w:val="20"/>
              </w:rPr>
            </w:pPr>
            <w:r w:rsidRPr="0043460D">
              <w:rPr>
                <w:sz w:val="20"/>
                <w:szCs w:val="20"/>
              </w:rPr>
              <w:t>Plain text indicates teacher action.</w:t>
            </w:r>
          </w:p>
        </w:tc>
      </w:tr>
      <w:tr w:rsidR="00361FA2" w:rsidRPr="0063473E" w14:paraId="6DF1D2CC" w14:textId="77777777" w:rsidTr="007A12FD">
        <w:tc>
          <w:tcPr>
            <w:tcW w:w="894" w:type="dxa"/>
            <w:vMerge/>
          </w:tcPr>
          <w:p w14:paraId="01090181" w14:textId="77777777" w:rsidR="00361FA2" w:rsidRPr="0063473E" w:rsidRDefault="00361FA2" w:rsidP="007A12FD">
            <w:pPr>
              <w:spacing w:before="20" w:after="20" w:line="240" w:lineRule="auto"/>
              <w:jc w:val="center"/>
              <w:rPr>
                <w:rFonts w:asciiTheme="majorHAnsi" w:hAnsiTheme="majorHAnsi"/>
                <w:b/>
                <w:color w:val="000000" w:themeColor="text1"/>
                <w:sz w:val="20"/>
              </w:rPr>
            </w:pPr>
          </w:p>
        </w:tc>
        <w:tc>
          <w:tcPr>
            <w:tcW w:w="8574" w:type="dxa"/>
          </w:tcPr>
          <w:p w14:paraId="518B7419" w14:textId="505B4E3B" w:rsidR="00361FA2" w:rsidRPr="0063473E" w:rsidRDefault="00361FA2" w:rsidP="007A12FD">
            <w:pPr>
              <w:spacing w:before="20" w:after="20" w:line="240" w:lineRule="auto"/>
              <w:rPr>
                <w:rFonts w:asciiTheme="majorHAnsi" w:hAnsiTheme="majorHAnsi"/>
                <w:color w:val="4F81BD" w:themeColor="accent1"/>
                <w:sz w:val="20"/>
              </w:rPr>
            </w:pPr>
            <w:r w:rsidRPr="0043460D">
              <w:rPr>
                <w:b/>
                <w:sz w:val="20"/>
                <w:szCs w:val="20"/>
              </w:rPr>
              <w:t>Bold text indicates questions for the teacher to ask students.</w:t>
            </w:r>
          </w:p>
        </w:tc>
      </w:tr>
      <w:tr w:rsidR="00361FA2" w:rsidRPr="0063473E" w14:paraId="4925F0A2" w14:textId="77777777" w:rsidTr="007A12FD">
        <w:tc>
          <w:tcPr>
            <w:tcW w:w="894" w:type="dxa"/>
            <w:vMerge/>
          </w:tcPr>
          <w:p w14:paraId="7130E11B" w14:textId="77777777" w:rsidR="00361FA2" w:rsidRPr="0063473E" w:rsidRDefault="00361FA2" w:rsidP="007A12FD">
            <w:pPr>
              <w:spacing w:before="20" w:after="20" w:line="240" w:lineRule="auto"/>
              <w:jc w:val="center"/>
              <w:rPr>
                <w:rFonts w:asciiTheme="majorHAnsi" w:hAnsiTheme="majorHAnsi"/>
                <w:b/>
                <w:color w:val="000000" w:themeColor="text1"/>
                <w:sz w:val="20"/>
              </w:rPr>
            </w:pPr>
          </w:p>
        </w:tc>
        <w:tc>
          <w:tcPr>
            <w:tcW w:w="8574" w:type="dxa"/>
          </w:tcPr>
          <w:p w14:paraId="7B38B287" w14:textId="5F7BB7F5" w:rsidR="00361FA2" w:rsidRPr="0063473E" w:rsidRDefault="00361FA2" w:rsidP="007A12FD">
            <w:pPr>
              <w:spacing w:before="20" w:after="20" w:line="240" w:lineRule="auto"/>
              <w:rPr>
                <w:rFonts w:asciiTheme="majorHAnsi" w:hAnsiTheme="majorHAnsi"/>
                <w:i/>
                <w:sz w:val="20"/>
              </w:rPr>
            </w:pPr>
            <w:r w:rsidRPr="0043460D">
              <w:rPr>
                <w:i/>
                <w:sz w:val="20"/>
                <w:szCs w:val="20"/>
              </w:rPr>
              <w:t>Italicized text indicates a vocabulary word.</w:t>
            </w:r>
          </w:p>
        </w:tc>
      </w:tr>
      <w:tr w:rsidR="00361FA2" w:rsidRPr="0063473E" w14:paraId="2986F68B" w14:textId="77777777" w:rsidTr="007A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F8D5FFA" w14:textId="3269C580" w:rsidR="00361FA2" w:rsidRPr="0063473E" w:rsidRDefault="00361FA2" w:rsidP="007A12FD">
            <w:pPr>
              <w:spacing w:before="40" w:after="0" w:line="240" w:lineRule="auto"/>
              <w:jc w:val="center"/>
              <w:rPr>
                <w:rFonts w:asciiTheme="majorHAnsi" w:hAnsiTheme="majorHAnsi"/>
                <w:sz w:val="20"/>
              </w:rPr>
            </w:pPr>
            <w:r w:rsidRPr="0043460D">
              <w:rPr>
                <w:sz w:val="20"/>
                <w:szCs w:val="20"/>
              </w:rPr>
              <w:sym w:font="Webdings" w:char="F034"/>
            </w:r>
          </w:p>
        </w:tc>
        <w:tc>
          <w:tcPr>
            <w:tcW w:w="8574" w:type="dxa"/>
          </w:tcPr>
          <w:p w14:paraId="7DA7CD96" w14:textId="59F4181C" w:rsidR="00361FA2" w:rsidRPr="0063473E" w:rsidRDefault="00361FA2" w:rsidP="007A12FD">
            <w:pPr>
              <w:spacing w:before="20" w:after="20" w:line="240" w:lineRule="auto"/>
              <w:rPr>
                <w:rFonts w:asciiTheme="majorHAnsi" w:hAnsiTheme="majorHAnsi"/>
                <w:sz w:val="20"/>
              </w:rPr>
            </w:pPr>
            <w:r w:rsidRPr="0043460D">
              <w:rPr>
                <w:sz w:val="20"/>
                <w:szCs w:val="20"/>
              </w:rPr>
              <w:t>Indicates student action(s).</w:t>
            </w:r>
          </w:p>
        </w:tc>
      </w:tr>
      <w:tr w:rsidR="00361FA2" w:rsidRPr="0063473E" w14:paraId="33835FAC" w14:textId="77777777" w:rsidTr="007A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9AD007F" w14:textId="36D2B3D9" w:rsidR="00361FA2" w:rsidRPr="0063473E" w:rsidRDefault="00361FA2" w:rsidP="007A12FD">
            <w:pPr>
              <w:spacing w:before="80" w:after="0" w:line="240" w:lineRule="auto"/>
              <w:jc w:val="center"/>
              <w:rPr>
                <w:rFonts w:asciiTheme="majorHAnsi" w:hAnsiTheme="majorHAnsi"/>
                <w:sz w:val="20"/>
              </w:rPr>
            </w:pPr>
            <w:r w:rsidRPr="0043460D">
              <w:rPr>
                <w:sz w:val="20"/>
                <w:szCs w:val="20"/>
              </w:rPr>
              <w:sym w:font="Webdings" w:char="F028"/>
            </w:r>
          </w:p>
        </w:tc>
        <w:tc>
          <w:tcPr>
            <w:tcW w:w="8574" w:type="dxa"/>
          </w:tcPr>
          <w:p w14:paraId="3CF8E559" w14:textId="5CA14F5D" w:rsidR="00361FA2" w:rsidRPr="0063473E" w:rsidRDefault="00361FA2" w:rsidP="007A12FD">
            <w:pPr>
              <w:spacing w:before="20" w:after="20" w:line="240" w:lineRule="auto"/>
              <w:rPr>
                <w:rFonts w:asciiTheme="majorHAnsi" w:hAnsiTheme="majorHAnsi"/>
                <w:sz w:val="20"/>
              </w:rPr>
            </w:pPr>
            <w:r w:rsidRPr="0043460D">
              <w:rPr>
                <w:sz w:val="20"/>
                <w:szCs w:val="20"/>
              </w:rPr>
              <w:t>Indicates possible student response(s) to teacher questions.</w:t>
            </w:r>
          </w:p>
        </w:tc>
      </w:tr>
      <w:tr w:rsidR="00361FA2" w:rsidRPr="0063473E" w14:paraId="60F63D67" w14:textId="77777777" w:rsidTr="007A12FD">
        <w:tc>
          <w:tcPr>
            <w:tcW w:w="894" w:type="dxa"/>
            <w:vAlign w:val="bottom"/>
          </w:tcPr>
          <w:p w14:paraId="51FA293E" w14:textId="31848E3A" w:rsidR="00361FA2" w:rsidRPr="0063473E" w:rsidRDefault="00361FA2" w:rsidP="007A12FD">
            <w:pPr>
              <w:spacing w:after="0" w:line="240" w:lineRule="auto"/>
              <w:jc w:val="center"/>
              <w:rPr>
                <w:rFonts w:asciiTheme="majorHAnsi" w:hAnsiTheme="majorHAnsi"/>
                <w:color w:val="4F81BD" w:themeColor="accent1"/>
                <w:sz w:val="20"/>
              </w:rPr>
            </w:pPr>
            <w:r w:rsidRPr="0043460D">
              <w:rPr>
                <w:color w:val="4F81BD"/>
                <w:sz w:val="20"/>
                <w:szCs w:val="20"/>
              </w:rPr>
              <w:sym w:font="Webdings" w:char="F069"/>
            </w:r>
          </w:p>
        </w:tc>
        <w:tc>
          <w:tcPr>
            <w:tcW w:w="8574" w:type="dxa"/>
          </w:tcPr>
          <w:p w14:paraId="050D0E9D" w14:textId="54A1D9BB" w:rsidR="00361FA2" w:rsidRPr="0063473E" w:rsidRDefault="00361FA2" w:rsidP="007A12FD">
            <w:pPr>
              <w:spacing w:before="20" w:after="20" w:line="240" w:lineRule="auto"/>
              <w:rPr>
                <w:rFonts w:asciiTheme="majorHAnsi" w:hAnsiTheme="majorHAnsi"/>
                <w:color w:val="4F81BD" w:themeColor="accent1"/>
                <w:sz w:val="20"/>
              </w:rPr>
            </w:pPr>
            <w:r w:rsidRPr="0043460D">
              <w:rPr>
                <w:color w:val="4F81BD"/>
                <w:sz w:val="20"/>
                <w:szCs w:val="20"/>
              </w:rPr>
              <w:t>Indicates instructional notes for the teacher.</w:t>
            </w:r>
          </w:p>
        </w:tc>
      </w:tr>
    </w:tbl>
    <w:p w14:paraId="619E843D" w14:textId="77777777" w:rsidR="007A12FD" w:rsidRPr="0063473E" w:rsidRDefault="007A12FD" w:rsidP="007A12FD">
      <w:pPr>
        <w:pStyle w:val="LearningSequenceHeader"/>
        <w:rPr>
          <w:rFonts w:asciiTheme="majorHAnsi" w:hAnsiTheme="majorHAnsi"/>
        </w:rPr>
      </w:pPr>
      <w:r w:rsidRPr="0063473E">
        <w:rPr>
          <w:rFonts w:asciiTheme="majorHAnsi" w:hAnsiTheme="majorHAnsi"/>
        </w:rPr>
        <w:t>Activity 1: Introduction of Lesson Agenda</w:t>
      </w:r>
      <w:r w:rsidRPr="0063473E">
        <w:rPr>
          <w:rFonts w:asciiTheme="majorHAnsi" w:hAnsiTheme="majorHAnsi"/>
        </w:rPr>
        <w:tab/>
      </w:r>
      <w:r>
        <w:rPr>
          <w:rFonts w:asciiTheme="majorHAnsi" w:hAnsiTheme="majorHAnsi"/>
        </w:rPr>
        <w:t>5</w:t>
      </w:r>
      <w:r w:rsidRPr="0063473E">
        <w:rPr>
          <w:rFonts w:asciiTheme="majorHAnsi" w:hAnsiTheme="majorHAnsi"/>
        </w:rPr>
        <w:t>%</w:t>
      </w:r>
    </w:p>
    <w:p w14:paraId="1944009D" w14:textId="03C984EE" w:rsidR="007A12FD" w:rsidRPr="0063473E" w:rsidRDefault="007A12FD" w:rsidP="00361FA2">
      <w:pPr>
        <w:pStyle w:val="TA"/>
      </w:pPr>
      <w:r w:rsidRPr="0063473E">
        <w:t xml:space="preserve">Begin by reviewing the agenda and </w:t>
      </w:r>
      <w:r w:rsidR="000307A8">
        <w:t xml:space="preserve">the </w:t>
      </w:r>
      <w:r w:rsidRPr="0063473E">
        <w:t>assessed standard for this lesson</w:t>
      </w:r>
      <w:r>
        <w:t>: RL.11-12.3</w:t>
      </w:r>
      <w:r w:rsidRPr="0063473E">
        <w:t>. In th</w:t>
      </w:r>
      <w:r>
        <w:t xml:space="preserve">is lesson, students explore </w:t>
      </w:r>
      <w:r w:rsidR="000B6947">
        <w:t>the development of Gogol’s relationship with his family on pages 72</w:t>
      </w:r>
      <w:r w:rsidR="001878AB">
        <w:t>–</w:t>
      </w:r>
      <w:r w:rsidR="000B6947">
        <w:t xml:space="preserve">88 of </w:t>
      </w:r>
      <w:r w:rsidR="000B6947">
        <w:rPr>
          <w:i/>
        </w:rPr>
        <w:t xml:space="preserve">The </w:t>
      </w:r>
      <w:r w:rsidR="000B6947">
        <w:rPr>
          <w:i/>
        </w:rPr>
        <w:lastRenderedPageBreak/>
        <w:t>Namesake</w:t>
      </w:r>
      <w:r>
        <w:rPr>
          <w:i/>
        </w:rPr>
        <w:t>.</w:t>
      </w:r>
      <w:r w:rsidRPr="0063473E">
        <w:t xml:space="preserve"> Students engage in evidence-based discussion</w:t>
      </w:r>
      <w:r w:rsidR="00233A8F">
        <w:t xml:space="preserve"> and</w:t>
      </w:r>
      <w:r w:rsidRPr="0063473E">
        <w:t xml:space="preserve"> </w:t>
      </w:r>
      <w:r>
        <w:t>then</w:t>
      </w:r>
      <w:r w:rsidRPr="0063473E">
        <w:t xml:space="preserve"> complete a brief writing assignment to close the lesson.</w:t>
      </w:r>
    </w:p>
    <w:p w14:paraId="60D84274" w14:textId="77777777" w:rsidR="007A12FD" w:rsidRPr="0063473E" w:rsidRDefault="007A12FD" w:rsidP="007A12FD">
      <w:pPr>
        <w:pStyle w:val="SA"/>
        <w:numPr>
          <w:ilvl w:val="0"/>
          <w:numId w:val="2"/>
        </w:numPr>
        <w:rPr>
          <w:rFonts w:asciiTheme="majorHAnsi" w:hAnsiTheme="majorHAnsi"/>
        </w:rPr>
      </w:pPr>
      <w:r w:rsidRPr="0063473E">
        <w:rPr>
          <w:rFonts w:asciiTheme="majorHAnsi" w:hAnsiTheme="majorHAnsi"/>
        </w:rPr>
        <w:t xml:space="preserve">Students </w:t>
      </w:r>
      <w:r w:rsidR="00002776">
        <w:rPr>
          <w:rFonts w:asciiTheme="majorHAnsi" w:hAnsiTheme="majorHAnsi"/>
        </w:rPr>
        <w:t>look at the agenda</w:t>
      </w:r>
      <w:r w:rsidRPr="0063473E">
        <w:rPr>
          <w:rFonts w:asciiTheme="majorHAnsi" w:hAnsiTheme="majorHAnsi"/>
        </w:rPr>
        <w:t>.</w:t>
      </w:r>
    </w:p>
    <w:p w14:paraId="637A378D" w14:textId="5AB8358C" w:rsidR="007A12FD" w:rsidRPr="0063473E" w:rsidRDefault="007A12FD" w:rsidP="007A12FD">
      <w:pPr>
        <w:pStyle w:val="LearningSequenceHeader"/>
        <w:rPr>
          <w:rFonts w:asciiTheme="majorHAnsi" w:hAnsiTheme="majorHAnsi"/>
        </w:rPr>
      </w:pPr>
      <w:r w:rsidRPr="0063473E">
        <w:rPr>
          <w:rFonts w:asciiTheme="majorHAnsi" w:hAnsiTheme="majorHAnsi"/>
        </w:rPr>
        <w:t>Activ</w:t>
      </w:r>
      <w:r>
        <w:rPr>
          <w:rFonts w:asciiTheme="majorHAnsi" w:hAnsiTheme="majorHAnsi"/>
        </w:rPr>
        <w:t>ity 2: Homework Accountability</w:t>
      </w:r>
      <w:r>
        <w:rPr>
          <w:rFonts w:asciiTheme="majorHAnsi" w:hAnsiTheme="majorHAnsi"/>
        </w:rPr>
        <w:tab/>
      </w:r>
      <w:r w:rsidR="001E226B">
        <w:rPr>
          <w:rFonts w:asciiTheme="majorHAnsi" w:hAnsiTheme="majorHAnsi"/>
        </w:rPr>
        <w:t>2</w:t>
      </w:r>
      <w:r w:rsidR="009F27EE">
        <w:rPr>
          <w:rFonts w:asciiTheme="majorHAnsi" w:hAnsiTheme="majorHAnsi"/>
        </w:rPr>
        <w:t>5</w:t>
      </w:r>
      <w:r w:rsidRPr="0063473E">
        <w:rPr>
          <w:rFonts w:asciiTheme="majorHAnsi" w:hAnsiTheme="majorHAnsi"/>
        </w:rPr>
        <w:t>%</w:t>
      </w:r>
    </w:p>
    <w:p w14:paraId="001176A3" w14:textId="63F3729B" w:rsidR="001E226B" w:rsidRDefault="001E226B" w:rsidP="001E226B">
      <w:pPr>
        <w:pStyle w:val="TA"/>
        <w:rPr>
          <w:rFonts w:asciiTheme="majorHAnsi" w:hAnsiTheme="majorHAnsi"/>
        </w:rPr>
      </w:pPr>
      <w:r>
        <w:rPr>
          <w:rFonts w:asciiTheme="majorHAnsi" w:eastAsiaTheme="minorEastAsia" w:hAnsiTheme="majorHAnsi" w:cs="Arial"/>
          <w:color w:val="1A1A1A"/>
          <w:lang w:eastAsia="ja-JP"/>
        </w:rPr>
        <w:t>Instruct students to take out their responses to the</w:t>
      </w:r>
      <w:r w:rsidR="004C04EB">
        <w:rPr>
          <w:rFonts w:asciiTheme="majorHAnsi" w:eastAsiaTheme="minorEastAsia" w:hAnsiTheme="majorHAnsi" w:cs="Arial"/>
          <w:color w:val="1A1A1A"/>
          <w:lang w:eastAsia="ja-JP"/>
        </w:rPr>
        <w:t xml:space="preserve"> first part of the</w:t>
      </w:r>
      <w:r>
        <w:rPr>
          <w:rFonts w:asciiTheme="majorHAnsi" w:eastAsiaTheme="minorEastAsia" w:hAnsiTheme="majorHAnsi" w:cs="Arial"/>
          <w:color w:val="1A1A1A"/>
          <w:lang w:eastAsia="ja-JP"/>
        </w:rPr>
        <w:t xml:space="preserve"> previous lesson’s homework assignment (</w:t>
      </w:r>
      <w:r>
        <w:rPr>
          <w:rFonts w:asciiTheme="majorHAnsi" w:hAnsiTheme="majorHAnsi"/>
        </w:rPr>
        <w:t>Re</w:t>
      </w:r>
      <w:r w:rsidR="004C04EB">
        <w:rPr>
          <w:rFonts w:asciiTheme="majorHAnsi" w:hAnsiTheme="majorHAnsi"/>
        </w:rPr>
        <w:t>view</w:t>
      </w:r>
      <w:r>
        <w:rPr>
          <w:rFonts w:asciiTheme="majorHAnsi" w:hAnsiTheme="majorHAnsi"/>
        </w:rPr>
        <w:t xml:space="preserve"> pages 48</w:t>
      </w:r>
      <w:r w:rsidR="001878AB">
        <w:rPr>
          <w:rFonts w:asciiTheme="majorHAnsi" w:hAnsiTheme="majorHAnsi"/>
        </w:rPr>
        <w:t>–</w:t>
      </w:r>
      <w:r>
        <w:rPr>
          <w:rFonts w:asciiTheme="majorHAnsi" w:hAnsiTheme="majorHAnsi"/>
        </w:rPr>
        <w:t xml:space="preserve">71 of </w:t>
      </w:r>
      <w:r>
        <w:rPr>
          <w:rFonts w:asciiTheme="majorHAnsi" w:hAnsiTheme="majorHAnsi"/>
          <w:i/>
        </w:rPr>
        <w:t>The Namesake</w:t>
      </w:r>
      <w:r>
        <w:rPr>
          <w:rFonts w:asciiTheme="majorHAnsi" w:hAnsiTheme="majorHAnsi"/>
        </w:rPr>
        <w:t xml:space="preserve"> and respond briefly in writing to the following </w:t>
      </w:r>
      <w:r w:rsidR="00FC0359">
        <w:rPr>
          <w:rFonts w:asciiTheme="majorHAnsi" w:hAnsiTheme="majorHAnsi"/>
        </w:rPr>
        <w:t>question: How does Gogol’s relationship with his pet name develop over the course of pages 48–61?</w:t>
      </w:r>
      <w:r w:rsidR="00827CEF">
        <w:rPr>
          <w:rFonts w:asciiTheme="majorHAnsi" w:hAnsiTheme="majorHAnsi"/>
        </w:rPr>
        <w:t xml:space="preserve">) </w:t>
      </w:r>
      <w:r w:rsidR="006F4047">
        <w:rPr>
          <w:rFonts w:asciiTheme="majorHAnsi" w:hAnsiTheme="majorHAnsi"/>
        </w:rPr>
        <w:t xml:space="preserve">Instruct students to form pairs and share their responses. </w:t>
      </w:r>
    </w:p>
    <w:p w14:paraId="746E9289" w14:textId="77777777" w:rsidR="001E226B" w:rsidRDefault="001E226B" w:rsidP="001A087C">
      <w:pPr>
        <w:pStyle w:val="SR"/>
        <w:rPr>
          <w:lang w:eastAsia="ja-JP"/>
        </w:rPr>
      </w:pPr>
      <w:r>
        <w:rPr>
          <w:lang w:eastAsia="ja-JP"/>
        </w:rPr>
        <w:t xml:space="preserve">Student responses may include: </w:t>
      </w:r>
    </w:p>
    <w:p w14:paraId="50F87BDE" w14:textId="0CD94CD2" w:rsidR="001E226B" w:rsidRDefault="001E226B" w:rsidP="001A087C">
      <w:pPr>
        <w:pStyle w:val="SASRBullet"/>
      </w:pPr>
      <w:r>
        <w:t>As a child, Gogol remains attached to his pet name, and is so reluctant to change i</w:t>
      </w:r>
      <w:r w:rsidR="006039A9">
        <w:t>t</w:t>
      </w:r>
      <w:r>
        <w:t xml:space="preserve"> that he “doesn’t want to go to kindergarten” (p. 56) when he learns that he will have a different name there. Gogol responds fearfully to the idea of having a new name, with “tears springing to his eyes” (p. 57). The new name represents a new and unknown identity, and Gogol “is afraid to be Nikhil, someone he doesn’t know. Who doesn’t know him” (p.</w:t>
      </w:r>
      <w:r w:rsidR="004C0726">
        <w:t xml:space="preserve"> </w:t>
      </w:r>
      <w:r>
        <w:t>57).</w:t>
      </w:r>
    </w:p>
    <w:p w14:paraId="1C512366" w14:textId="3820625C" w:rsidR="001E226B" w:rsidRDefault="001E226B" w:rsidP="001A087C">
      <w:pPr>
        <w:pStyle w:val="SASRBullet"/>
      </w:pPr>
      <w:r>
        <w:t>Init</w:t>
      </w:r>
      <w:r w:rsidR="005F28CA">
        <w:t xml:space="preserve">ially, at school, Gogol seems content with his </w:t>
      </w:r>
      <w:r w:rsidR="00067CCD">
        <w:t xml:space="preserve">pet </w:t>
      </w:r>
      <w:r w:rsidR="005F28CA">
        <w:t>name</w:t>
      </w:r>
      <w:r>
        <w:t>.</w:t>
      </w:r>
      <w:r w:rsidR="005F28CA">
        <w:t xml:space="preserve"> As part of his early education, “he writes out his pet name again and again” (p. 60). </w:t>
      </w:r>
    </w:p>
    <w:p w14:paraId="2CE1B469" w14:textId="2A65E2BD" w:rsidR="005F28CA" w:rsidRDefault="005F28CA" w:rsidP="001A087C">
      <w:pPr>
        <w:pStyle w:val="SASRBullet"/>
      </w:pPr>
      <w:r>
        <w:t xml:space="preserve">As Gogol grows up, his name “seems perfectly normal” </w:t>
      </w:r>
      <w:r w:rsidR="004C0726">
        <w:t>to him</w:t>
      </w:r>
      <w:r w:rsidR="00FC0359">
        <w:t xml:space="preserve"> (p. 66)</w:t>
      </w:r>
      <w:r>
        <w:t>. Indeed, his parents encourage him to be proud of his name, telling him about the author Gogol and explaining that “the author’s name, and therefore his, is known throughout the world and will live on forever” (p. 66). Gogol does not suffer teasing because of his unusual name</w:t>
      </w:r>
      <w:r w:rsidR="004A7BF7">
        <w:t>;</w:t>
      </w:r>
      <w:r>
        <w:t xml:space="preserve"> his teachers “know not to give it a second thought”</w:t>
      </w:r>
      <w:r w:rsidR="00F60041">
        <w:t xml:space="preserve"> </w:t>
      </w:r>
      <w:r>
        <w:t>(</w:t>
      </w:r>
      <w:r w:rsidR="001E1E98">
        <w:t xml:space="preserve">p. </w:t>
      </w:r>
      <w:r>
        <w:t>67)</w:t>
      </w:r>
      <w:r w:rsidR="001E1E98">
        <w:t>.</w:t>
      </w:r>
      <w:r>
        <w:t xml:space="preserve"> </w:t>
      </w:r>
    </w:p>
    <w:p w14:paraId="78B95D08" w14:textId="7EE6CAA0" w:rsidR="001E1E98" w:rsidRDefault="00216470" w:rsidP="001A087C">
      <w:pPr>
        <w:pStyle w:val="SASRBullet"/>
      </w:pPr>
      <w:r>
        <w:t xml:space="preserve">The visit to the graveyard when Gogol is eleven makes him aware of “the peculiarity of his name” </w:t>
      </w:r>
      <w:r w:rsidR="004C0726">
        <w:t xml:space="preserve">(p. 68) </w:t>
      </w:r>
      <w:r>
        <w:t xml:space="preserve">for the first time. When the children make rubbings of the names on the gravestones, Gogol is unable, unlike the other children to “claim a grave” </w:t>
      </w:r>
      <w:r w:rsidR="004C0726">
        <w:t xml:space="preserve">(p. 69) </w:t>
      </w:r>
      <w:r>
        <w:t>with his name on</w:t>
      </w:r>
      <w:r w:rsidR="001E1E98">
        <w:t xml:space="preserve"> it</w:t>
      </w:r>
      <w:r>
        <w:t>. Instead, he identifies with names such as “Abijah,” aware that he “has never met a person named Abijah, just as, he now realizes, he has never met another Gogol” (pp. 6</w:t>
      </w:r>
      <w:r w:rsidR="004C0726">
        <w:t>9</w:t>
      </w:r>
      <w:r w:rsidR="0038691F">
        <w:t>–</w:t>
      </w:r>
      <w:r w:rsidR="004C0726">
        <w:t>70</w:t>
      </w:r>
      <w:r>
        <w:t xml:space="preserve">). The visit to the graveyard marks the first time that Gogol is </w:t>
      </w:r>
      <w:r w:rsidR="00067CCD">
        <w:t xml:space="preserve">completely </w:t>
      </w:r>
      <w:r>
        <w:t xml:space="preserve">aware of his </w:t>
      </w:r>
      <w:r w:rsidR="0010217F">
        <w:t xml:space="preserve">unique </w:t>
      </w:r>
      <w:r>
        <w:t>name</w:t>
      </w:r>
      <w:r w:rsidR="003C627F">
        <w:t xml:space="preserve">: he finds himself drawn to the Puritan names in his rubbings, because he identifies with the “oddness” and “flamboyance” (p. 70) of these names, and feels that they “have spoken to him” (p. 71).  </w:t>
      </w:r>
    </w:p>
    <w:p w14:paraId="74C7AFC8" w14:textId="1F6C9343" w:rsidR="00216470" w:rsidRDefault="00FC0359" w:rsidP="002A22DB">
      <w:pPr>
        <w:pStyle w:val="TA"/>
      </w:pPr>
      <w:r>
        <w:t>Lead a brief</w:t>
      </w:r>
      <w:r w:rsidR="00216470">
        <w:t xml:space="preserve"> whole-class discussion of student responses. </w:t>
      </w:r>
    </w:p>
    <w:p w14:paraId="67B4D547" w14:textId="77777777" w:rsidR="001E226B" w:rsidRDefault="001E226B" w:rsidP="002A22DB">
      <w:pPr>
        <w:pStyle w:val="BR"/>
      </w:pPr>
    </w:p>
    <w:p w14:paraId="62B20D23" w14:textId="6B46D2A4" w:rsidR="007A12FD" w:rsidRDefault="007A12FD" w:rsidP="007A12FD">
      <w:pPr>
        <w:pStyle w:val="TA"/>
        <w:rPr>
          <w:rFonts w:asciiTheme="majorHAnsi" w:eastAsiaTheme="minorEastAsia" w:hAnsiTheme="majorHAnsi" w:cs="Arial"/>
          <w:color w:val="1A1A1A"/>
          <w:lang w:eastAsia="ja-JP"/>
        </w:rPr>
      </w:pPr>
      <w:r>
        <w:rPr>
          <w:rFonts w:asciiTheme="majorHAnsi" w:eastAsiaTheme="minorEastAsia" w:hAnsiTheme="majorHAnsi" w:cs="Arial"/>
          <w:color w:val="1A1A1A"/>
          <w:lang w:eastAsia="ja-JP"/>
        </w:rPr>
        <w:lastRenderedPageBreak/>
        <w:t>Instruct students to take out their responses to the</w:t>
      </w:r>
      <w:r w:rsidR="001E226B">
        <w:rPr>
          <w:rFonts w:asciiTheme="majorHAnsi" w:eastAsiaTheme="minorEastAsia" w:hAnsiTheme="majorHAnsi" w:cs="Arial"/>
          <w:color w:val="1A1A1A"/>
          <w:lang w:eastAsia="ja-JP"/>
        </w:rPr>
        <w:t xml:space="preserve"> second part of the</w:t>
      </w:r>
      <w:r>
        <w:rPr>
          <w:rFonts w:asciiTheme="majorHAnsi" w:eastAsiaTheme="minorEastAsia" w:hAnsiTheme="majorHAnsi" w:cs="Arial"/>
          <w:color w:val="1A1A1A"/>
          <w:lang w:eastAsia="ja-JP"/>
        </w:rPr>
        <w:t xml:space="preserve"> previous lesson’s homework assignment (</w:t>
      </w:r>
      <w:r w:rsidR="000B6947" w:rsidRPr="006720B7">
        <w:rPr>
          <w:rFonts w:asciiTheme="majorHAnsi" w:hAnsiTheme="majorHAnsi"/>
          <w:shd w:val="clear" w:color="auto" w:fill="FFFFFF"/>
        </w:rPr>
        <w:t xml:space="preserve">Read </w:t>
      </w:r>
      <w:r w:rsidR="000B6947">
        <w:rPr>
          <w:rFonts w:asciiTheme="majorHAnsi" w:hAnsiTheme="majorHAnsi"/>
          <w:shd w:val="clear" w:color="auto" w:fill="FFFFFF"/>
        </w:rPr>
        <w:t>pages 72</w:t>
      </w:r>
      <w:r w:rsidR="0038691F">
        <w:rPr>
          <w:rFonts w:asciiTheme="majorHAnsi" w:hAnsiTheme="majorHAnsi"/>
          <w:shd w:val="clear" w:color="auto" w:fill="FFFFFF"/>
        </w:rPr>
        <w:t>–</w:t>
      </w:r>
      <w:r w:rsidR="000B6947">
        <w:rPr>
          <w:rFonts w:asciiTheme="majorHAnsi" w:hAnsiTheme="majorHAnsi"/>
          <w:shd w:val="clear" w:color="auto" w:fill="FFFFFF"/>
        </w:rPr>
        <w:t xml:space="preserve">88 </w:t>
      </w:r>
      <w:r w:rsidR="000B6947" w:rsidRPr="006720B7">
        <w:rPr>
          <w:rFonts w:asciiTheme="majorHAnsi" w:hAnsiTheme="majorHAnsi"/>
          <w:shd w:val="clear" w:color="auto" w:fill="FFFFFF"/>
        </w:rPr>
        <w:t xml:space="preserve">of </w:t>
      </w:r>
      <w:r w:rsidR="000B6947" w:rsidRPr="006720B7">
        <w:rPr>
          <w:rFonts w:asciiTheme="majorHAnsi" w:hAnsiTheme="majorHAnsi"/>
          <w:i/>
          <w:shd w:val="clear" w:color="auto" w:fill="FFFFFF"/>
        </w:rPr>
        <w:t xml:space="preserve">The </w:t>
      </w:r>
      <w:r w:rsidR="000B6947">
        <w:rPr>
          <w:rFonts w:asciiTheme="majorHAnsi" w:hAnsiTheme="majorHAnsi"/>
          <w:i/>
          <w:shd w:val="clear" w:color="auto" w:fill="FFFFFF"/>
        </w:rPr>
        <w:t>Namesake</w:t>
      </w:r>
      <w:r w:rsidR="000B6947" w:rsidRPr="006720B7">
        <w:rPr>
          <w:rFonts w:asciiTheme="majorHAnsi" w:hAnsiTheme="majorHAnsi"/>
          <w:shd w:val="clear" w:color="auto" w:fill="FFFFFF"/>
        </w:rPr>
        <w:t xml:space="preserve"> </w:t>
      </w:r>
      <w:r w:rsidR="000B6947">
        <w:rPr>
          <w:rFonts w:asciiTheme="majorHAnsi" w:hAnsiTheme="majorHAnsi"/>
          <w:shd w:val="clear" w:color="auto" w:fill="FFFFFF"/>
        </w:rPr>
        <w:t>and annotate for character development</w:t>
      </w:r>
      <w:r w:rsidR="00FC0359">
        <w:rPr>
          <w:shd w:val="clear" w:color="auto" w:fill="FFFFFF"/>
        </w:rPr>
        <w:t>.</w:t>
      </w:r>
      <w:r>
        <w:rPr>
          <w:rFonts w:asciiTheme="majorHAnsi" w:eastAsiaTheme="minorEastAsia" w:hAnsiTheme="majorHAnsi" w:cs="Arial"/>
          <w:color w:val="1A1A1A"/>
          <w:lang w:eastAsia="ja-JP"/>
        </w:rPr>
        <w:t>)</w:t>
      </w:r>
      <w:r w:rsidR="000B6947">
        <w:rPr>
          <w:rFonts w:asciiTheme="majorHAnsi" w:eastAsiaTheme="minorEastAsia" w:hAnsiTheme="majorHAnsi" w:cs="Arial"/>
          <w:color w:val="1A1A1A"/>
          <w:lang w:eastAsia="ja-JP"/>
        </w:rPr>
        <w:t xml:space="preserve"> Instruct student</w:t>
      </w:r>
      <w:r w:rsidR="00827CEF">
        <w:rPr>
          <w:rFonts w:asciiTheme="majorHAnsi" w:eastAsiaTheme="minorEastAsia" w:hAnsiTheme="majorHAnsi" w:cs="Arial"/>
          <w:color w:val="1A1A1A"/>
          <w:lang w:eastAsia="ja-JP"/>
        </w:rPr>
        <w:t xml:space="preserve"> pairs to </w:t>
      </w:r>
      <w:r w:rsidR="000B6947">
        <w:rPr>
          <w:rFonts w:asciiTheme="majorHAnsi" w:eastAsiaTheme="minorEastAsia" w:hAnsiTheme="majorHAnsi" w:cs="Arial"/>
          <w:color w:val="1A1A1A"/>
          <w:lang w:eastAsia="ja-JP"/>
        </w:rPr>
        <w:t xml:space="preserve">share their </w:t>
      </w:r>
      <w:r w:rsidR="00827CEF">
        <w:rPr>
          <w:rFonts w:asciiTheme="majorHAnsi" w:eastAsiaTheme="minorEastAsia" w:hAnsiTheme="majorHAnsi" w:cs="Arial"/>
          <w:color w:val="1A1A1A"/>
          <w:lang w:eastAsia="ja-JP"/>
        </w:rPr>
        <w:t>annotations</w:t>
      </w:r>
      <w:r w:rsidR="000B6947">
        <w:rPr>
          <w:rFonts w:asciiTheme="majorHAnsi" w:eastAsiaTheme="minorEastAsia" w:hAnsiTheme="majorHAnsi" w:cs="Arial"/>
          <w:color w:val="1A1A1A"/>
          <w:lang w:eastAsia="ja-JP"/>
        </w:rPr>
        <w:t xml:space="preserve">. </w:t>
      </w:r>
    </w:p>
    <w:p w14:paraId="48DFF5C3" w14:textId="4013A810" w:rsidR="007A12FD" w:rsidRDefault="007A12FD" w:rsidP="001A087C">
      <w:pPr>
        <w:pStyle w:val="SR"/>
        <w:rPr>
          <w:lang w:eastAsia="ja-JP"/>
        </w:rPr>
      </w:pPr>
      <w:r>
        <w:rPr>
          <w:lang w:eastAsia="ja-JP"/>
        </w:rPr>
        <w:t xml:space="preserve">Student </w:t>
      </w:r>
      <w:r w:rsidR="000B6947">
        <w:rPr>
          <w:lang w:eastAsia="ja-JP"/>
        </w:rPr>
        <w:t>annotations may include</w:t>
      </w:r>
      <w:r>
        <w:rPr>
          <w:lang w:eastAsia="ja-JP"/>
        </w:rPr>
        <w:t xml:space="preserve">: </w:t>
      </w:r>
    </w:p>
    <w:p w14:paraId="52E4085D" w14:textId="170BBC71" w:rsidR="007A12FD" w:rsidRDefault="00582514" w:rsidP="001A087C">
      <w:pPr>
        <w:pStyle w:val="SASRBullet"/>
      </w:pPr>
      <w:r>
        <w:t xml:space="preserve">“Lately [Gogol has] been lazy, addressing his parents in English though they continue to speak to him in Bengali” (p. 75) – Gogol </w:t>
      </w:r>
      <w:r w:rsidR="00A311D4">
        <w:t>becomes less and less interested in maintaining his connection to</w:t>
      </w:r>
      <w:r w:rsidR="003624CC">
        <w:t xml:space="preserve"> his</w:t>
      </w:r>
      <w:r w:rsidR="00A311D4">
        <w:t xml:space="preserve"> Bengali culture</w:t>
      </w:r>
      <w:r w:rsidR="001C7866">
        <w:t>, even for his parent’s sake.</w:t>
      </w:r>
    </w:p>
    <w:p w14:paraId="05FB460F" w14:textId="3848ED07" w:rsidR="00A311D4" w:rsidRDefault="00A311D4" w:rsidP="001A087C">
      <w:pPr>
        <w:pStyle w:val="SASRBullet"/>
      </w:pPr>
      <w:r>
        <w:t xml:space="preserve">Gogol “hates that his name is both absurd and obscure, that it has nothing to do with who he is, that it is neither Indian nor American but of all things Russian” (p. 76) – Gogol has grown to dislike his name, because he feels that it does not represent him, leaving him without a clear identity. Gogol’s resentment of the fact that his name is “both absurd and obscure” </w:t>
      </w:r>
      <w:r w:rsidR="004C0726">
        <w:t xml:space="preserve">(p. 76) </w:t>
      </w:r>
      <w:r>
        <w:t xml:space="preserve">suggests that he is looking to fit in, and </w:t>
      </w:r>
      <w:r w:rsidR="003C7227">
        <w:t xml:space="preserve">he </w:t>
      </w:r>
      <w:r>
        <w:t xml:space="preserve">feels that his name does not allow him to do so. </w:t>
      </w:r>
    </w:p>
    <w:p w14:paraId="00F8E47E" w14:textId="60BA054D" w:rsidR="00A311D4" w:rsidRDefault="00A311D4" w:rsidP="001A087C">
      <w:pPr>
        <w:pStyle w:val="SASRBullet"/>
      </w:pPr>
      <w:r>
        <w:t>Preparation for Gogol’s large Bengali birthday party is “less stressful to [Ashima] than the task of feeding a handful of American children, half of whom always claim they are allergic to milk, all of whom refuse to eat the crusts of their bread” (p. 72) – Ashima remains more comfortable with Bengali culture than with American culture.</w:t>
      </w:r>
    </w:p>
    <w:p w14:paraId="6A82A853" w14:textId="5B6A3A0E" w:rsidR="009C401A" w:rsidRDefault="009C401A" w:rsidP="001A087C">
      <w:pPr>
        <w:pStyle w:val="SASRBullet"/>
      </w:pPr>
      <w:r>
        <w:t xml:space="preserve">“For eight months [Ashima] does not set foot in a kitchen. She wanders freely around a city in which Gogol, in spite of his many visits, has no sense of direction” (p. 83) – Ashima has a different identity in Calcutta, where she moves more freely and feels more at home. </w:t>
      </w:r>
    </w:p>
    <w:p w14:paraId="5F330F13" w14:textId="1542182F" w:rsidR="009C401A" w:rsidRDefault="009C401A" w:rsidP="001A087C">
      <w:pPr>
        <w:pStyle w:val="SASRBullet"/>
      </w:pPr>
      <w:r>
        <w:t>Sonia addresses Gogol as “</w:t>
      </w:r>
      <w:r w:rsidR="009311D1">
        <w:t>’</w:t>
      </w:r>
      <w:r>
        <w:t>Goggles,</w:t>
      </w:r>
      <w:r w:rsidR="009311D1">
        <w:t>’</w:t>
      </w:r>
      <w:r>
        <w:t xml:space="preserve"> the name she insists on calling him instead of Dada” (p.</w:t>
      </w:r>
      <w:r w:rsidR="009311D1">
        <w:t xml:space="preserve"> </w:t>
      </w:r>
      <w:r>
        <w:t>74) – Sonia</w:t>
      </w:r>
      <w:r w:rsidR="00835B3F">
        <w:t xml:space="preserve"> relies</w:t>
      </w:r>
      <w:r>
        <w:t xml:space="preserve"> </w:t>
      </w:r>
      <w:r w:rsidR="003C627F">
        <w:t>more on her</w:t>
      </w:r>
      <w:r>
        <w:t xml:space="preserve"> American culture than </w:t>
      </w:r>
      <w:r w:rsidR="003C627F">
        <w:t xml:space="preserve">on </w:t>
      </w:r>
      <w:r>
        <w:t xml:space="preserve">her Bengali heritage, preferring to give Gogol an English nickname rather than use the Bengali form of address. </w:t>
      </w:r>
    </w:p>
    <w:p w14:paraId="56B90100" w14:textId="4F440057" w:rsidR="000B6947" w:rsidRDefault="000B6947" w:rsidP="000B6947">
      <w:pPr>
        <w:pStyle w:val="TA"/>
      </w:pPr>
      <w:r>
        <w:t>Lead a brie</w:t>
      </w:r>
      <w:r w:rsidR="00FC0359">
        <w:t>f</w:t>
      </w:r>
      <w:r>
        <w:t xml:space="preserve"> whole-class discussion of student responses.</w:t>
      </w:r>
    </w:p>
    <w:p w14:paraId="12683F62" w14:textId="3FE02EE2" w:rsidR="007A12FD" w:rsidRPr="0063473E" w:rsidRDefault="007A12FD" w:rsidP="007A12FD">
      <w:pPr>
        <w:pStyle w:val="LearningSequenceHeader"/>
        <w:rPr>
          <w:rFonts w:asciiTheme="majorHAnsi" w:hAnsiTheme="majorHAnsi"/>
        </w:rPr>
      </w:pPr>
      <w:r w:rsidRPr="0063473E">
        <w:rPr>
          <w:rFonts w:asciiTheme="majorHAnsi" w:hAnsiTheme="majorHAnsi"/>
        </w:rPr>
        <w:t xml:space="preserve">Activity </w:t>
      </w:r>
      <w:r>
        <w:rPr>
          <w:rFonts w:asciiTheme="majorHAnsi" w:hAnsiTheme="majorHAnsi"/>
        </w:rPr>
        <w:t>3</w:t>
      </w:r>
      <w:r w:rsidRPr="0063473E">
        <w:rPr>
          <w:rFonts w:asciiTheme="majorHAnsi" w:hAnsiTheme="majorHAnsi"/>
        </w:rPr>
        <w:t>: Reading and Discussion</w:t>
      </w:r>
      <w:r w:rsidRPr="0063473E">
        <w:rPr>
          <w:rFonts w:asciiTheme="majorHAnsi" w:hAnsiTheme="majorHAnsi"/>
        </w:rPr>
        <w:tab/>
      </w:r>
      <w:r w:rsidR="009F27EE">
        <w:rPr>
          <w:rFonts w:asciiTheme="majorHAnsi" w:hAnsiTheme="majorHAnsi"/>
        </w:rPr>
        <w:t>50</w:t>
      </w:r>
      <w:r w:rsidRPr="0063473E">
        <w:rPr>
          <w:rFonts w:asciiTheme="majorHAnsi" w:hAnsiTheme="majorHAnsi"/>
        </w:rPr>
        <w:t>%</w:t>
      </w:r>
    </w:p>
    <w:p w14:paraId="59B39439" w14:textId="722B0AC7" w:rsidR="007D680D" w:rsidRDefault="009F27EE" w:rsidP="002A22DB">
      <w:pPr>
        <w:pStyle w:val="TA"/>
      </w:pPr>
      <w:r>
        <w:t xml:space="preserve">Instruct students to form small groups. </w:t>
      </w:r>
      <w:r w:rsidR="007D680D">
        <w:t>Post or project each set of questions below for students to discuss.</w:t>
      </w:r>
      <w:r w:rsidR="00FC0359" w:rsidRPr="00FC0359">
        <w:t xml:space="preserve"> </w:t>
      </w:r>
      <w:r w:rsidR="00FC0359">
        <w:t xml:space="preserve">Instruct students to continue to annotate the text as they read and discuss </w:t>
      </w:r>
      <w:r w:rsidR="00FC0359" w:rsidRPr="004E2A87">
        <w:rPr>
          <w:color w:val="4F81BD"/>
        </w:rPr>
        <w:t>(W.11-12.9.a)</w:t>
      </w:r>
      <w:r w:rsidR="00FC0359">
        <w:t>.</w:t>
      </w:r>
    </w:p>
    <w:p w14:paraId="5C3EFCEA" w14:textId="4AD4D47F" w:rsidR="007A12FD" w:rsidRDefault="007A12FD" w:rsidP="007A12FD">
      <w:pPr>
        <w:pStyle w:val="IN"/>
      </w:pPr>
      <w:r>
        <w:rPr>
          <w:b/>
        </w:rPr>
        <w:t>Differentiation Consideration</w:t>
      </w:r>
      <w:r w:rsidRPr="00C57CA9">
        <w:rPr>
          <w:b/>
        </w:rPr>
        <w:t>:</w:t>
      </w:r>
      <w:r w:rsidRPr="00FC0359">
        <w:t xml:space="preserve"> </w:t>
      </w:r>
      <w:r>
        <w:t>Consider posting or projecting the following guiding question to support students throughout th</w:t>
      </w:r>
      <w:r w:rsidR="006C67AA">
        <w:t>is</w:t>
      </w:r>
      <w:r>
        <w:t xml:space="preserve"> lesson:</w:t>
      </w:r>
    </w:p>
    <w:p w14:paraId="77797D70" w14:textId="44F06F3B" w:rsidR="007A12FD" w:rsidRDefault="008E4A02" w:rsidP="007A12FD">
      <w:pPr>
        <w:pStyle w:val="DCwithQ"/>
      </w:pPr>
      <w:r>
        <w:t>Explain</w:t>
      </w:r>
      <w:r w:rsidR="000B6947">
        <w:t xml:space="preserve"> Gogol’s relationship with his </w:t>
      </w:r>
      <w:r w:rsidR="00C42E81">
        <w:t xml:space="preserve">parents </w:t>
      </w:r>
      <w:r w:rsidR="000B6947">
        <w:t>in this excerpt</w:t>
      </w:r>
      <w:r w:rsidR="007F05FB">
        <w:t>.</w:t>
      </w:r>
      <w:r w:rsidR="007A12FD">
        <w:t xml:space="preserve"> </w:t>
      </w:r>
    </w:p>
    <w:p w14:paraId="0ACE2920" w14:textId="4115DF1C" w:rsidR="000B6947" w:rsidRDefault="000B6947" w:rsidP="00361FA2">
      <w:pPr>
        <w:pStyle w:val="TA"/>
      </w:pPr>
      <w:r w:rsidRPr="009E6FDF">
        <w:t>Instruct student</w:t>
      </w:r>
      <w:r w:rsidR="00D75FF0">
        <w:t xml:space="preserve"> groups to </w:t>
      </w:r>
      <w:r w:rsidR="004808E1">
        <w:t>refer to</w:t>
      </w:r>
      <w:r w:rsidR="004808E1" w:rsidRPr="009E6FDF">
        <w:t xml:space="preserve"> </w:t>
      </w:r>
      <w:r w:rsidRPr="009E6FDF">
        <w:t xml:space="preserve">pages </w:t>
      </w:r>
      <w:r w:rsidR="0052688E">
        <w:t>72</w:t>
      </w:r>
      <w:r w:rsidR="0038691F">
        <w:t>–</w:t>
      </w:r>
      <w:r w:rsidR="0052688E">
        <w:t xml:space="preserve">78 </w:t>
      </w:r>
      <w:r w:rsidR="00002776">
        <w:t>(</w:t>
      </w:r>
      <w:r w:rsidR="0052688E">
        <w:t>from “Gogol’s fourteenth birthday. Like most events in his life” to “Not even the source of his namesake”</w:t>
      </w:r>
      <w:r w:rsidRPr="009E6FDF">
        <w:t xml:space="preserve">) and </w:t>
      </w:r>
      <w:r w:rsidR="004808E1">
        <w:t>discuss</w:t>
      </w:r>
      <w:r w:rsidR="004808E1" w:rsidRPr="009E6FDF">
        <w:t xml:space="preserve"> </w:t>
      </w:r>
      <w:r w:rsidRPr="009E6FDF">
        <w:t>the following questions before sharing out with the class</w:t>
      </w:r>
      <w:r w:rsidR="00002776">
        <w:t>.</w:t>
      </w:r>
      <w:r w:rsidR="001E226B">
        <w:t xml:space="preserve"> </w:t>
      </w:r>
    </w:p>
    <w:p w14:paraId="13031AC9" w14:textId="1F53B2BE" w:rsidR="004C7D27" w:rsidRPr="00FC0359" w:rsidRDefault="004C7D27" w:rsidP="004C7D27">
      <w:pPr>
        <w:pStyle w:val="TA"/>
      </w:pPr>
      <w:r>
        <w:lastRenderedPageBreak/>
        <w:t xml:space="preserve">Provide students with the definitions of </w:t>
      </w:r>
      <w:r>
        <w:rPr>
          <w:i/>
        </w:rPr>
        <w:t>supercilious</w:t>
      </w:r>
      <w:r>
        <w:t xml:space="preserve">, </w:t>
      </w:r>
      <w:r>
        <w:rPr>
          <w:i/>
        </w:rPr>
        <w:t>obscure</w:t>
      </w:r>
      <w:r>
        <w:t xml:space="preserve">, </w:t>
      </w:r>
      <w:r>
        <w:rPr>
          <w:i/>
        </w:rPr>
        <w:t>entity</w:t>
      </w:r>
      <w:r>
        <w:t>,</w:t>
      </w:r>
      <w:r>
        <w:rPr>
          <w:i/>
        </w:rPr>
        <w:t xml:space="preserve"> gravity</w:t>
      </w:r>
      <w:r w:rsidR="00694E32">
        <w:rPr>
          <w:i/>
        </w:rPr>
        <w:t>,</w:t>
      </w:r>
      <w:r w:rsidR="00603BBE">
        <w:t xml:space="preserve"> and</w:t>
      </w:r>
      <w:r>
        <w:t xml:space="preserve"> </w:t>
      </w:r>
      <w:r>
        <w:rPr>
          <w:i/>
        </w:rPr>
        <w:t>irrelevance.</w:t>
      </w:r>
    </w:p>
    <w:p w14:paraId="792743BE" w14:textId="77777777" w:rsidR="004C7D27" w:rsidRDefault="004C7D27" w:rsidP="004C7D27">
      <w:pPr>
        <w:pStyle w:val="IN"/>
      </w:pPr>
      <w:r>
        <w:t>Students may be familiar with some of these words. Consider asking students to volunteer definitions before providing them to the group.</w:t>
      </w:r>
    </w:p>
    <w:p w14:paraId="725ECF19" w14:textId="0ECFEF6D" w:rsidR="004C7D27" w:rsidRDefault="004C7D27" w:rsidP="004C7D27">
      <w:pPr>
        <w:pStyle w:val="SA"/>
      </w:pPr>
      <w:r>
        <w:t xml:space="preserve">Students write the definitions </w:t>
      </w:r>
      <w:r w:rsidR="00371FB9">
        <w:t xml:space="preserve">of </w:t>
      </w:r>
      <w:r w:rsidR="00371FB9">
        <w:rPr>
          <w:i/>
        </w:rPr>
        <w:t>supercilious</w:t>
      </w:r>
      <w:r w:rsidR="00371FB9">
        <w:t xml:space="preserve">, </w:t>
      </w:r>
      <w:r w:rsidR="00371FB9">
        <w:rPr>
          <w:i/>
        </w:rPr>
        <w:t>obscure</w:t>
      </w:r>
      <w:r w:rsidR="00371FB9">
        <w:t xml:space="preserve">, </w:t>
      </w:r>
      <w:r w:rsidR="00371FB9">
        <w:rPr>
          <w:i/>
        </w:rPr>
        <w:t>entity</w:t>
      </w:r>
      <w:r w:rsidR="00371FB9">
        <w:t>,</w:t>
      </w:r>
      <w:r w:rsidR="00371FB9">
        <w:rPr>
          <w:i/>
        </w:rPr>
        <w:t xml:space="preserve"> gravity,</w:t>
      </w:r>
      <w:r w:rsidR="00371FB9">
        <w:t xml:space="preserve"> and </w:t>
      </w:r>
      <w:r w:rsidR="00371FB9">
        <w:rPr>
          <w:i/>
        </w:rPr>
        <w:t>irrelevance</w:t>
      </w:r>
      <w:r w:rsidR="00371FB9">
        <w:t xml:space="preserve"> </w:t>
      </w:r>
      <w:r>
        <w:t xml:space="preserve">on their copies of the text or in a vocabulary journal. </w:t>
      </w:r>
    </w:p>
    <w:p w14:paraId="3A3BF4AF" w14:textId="55741941" w:rsidR="004C7D27" w:rsidRDefault="004C7D27" w:rsidP="004C7D27">
      <w:pPr>
        <w:pStyle w:val="IN"/>
      </w:pPr>
      <w:r>
        <w:rPr>
          <w:b/>
        </w:rPr>
        <w:t>Differentiation Consideration:</w:t>
      </w:r>
      <w:r>
        <w:t xml:space="preserve"> Consider providing students with the definitions of </w:t>
      </w:r>
      <w:r>
        <w:rPr>
          <w:i/>
        </w:rPr>
        <w:t>mutation</w:t>
      </w:r>
      <w:r w:rsidR="00603BBE">
        <w:t xml:space="preserve"> and </w:t>
      </w:r>
      <w:r>
        <w:rPr>
          <w:i/>
        </w:rPr>
        <w:t>receded</w:t>
      </w:r>
      <w:r>
        <w:t>.</w:t>
      </w:r>
    </w:p>
    <w:p w14:paraId="34C56010" w14:textId="0A3246ED" w:rsidR="004C7D27" w:rsidRPr="000B6947" w:rsidRDefault="004C7D27" w:rsidP="0068149F">
      <w:pPr>
        <w:pStyle w:val="DCwithSA"/>
      </w:pPr>
      <w:r>
        <w:t xml:space="preserve">Students write the definitions </w:t>
      </w:r>
      <w:r w:rsidR="00371FB9">
        <w:t xml:space="preserve">of </w:t>
      </w:r>
      <w:r w:rsidR="00371FB9">
        <w:rPr>
          <w:i/>
        </w:rPr>
        <w:t>mutation</w:t>
      </w:r>
      <w:r w:rsidR="00371FB9">
        <w:t xml:space="preserve"> and </w:t>
      </w:r>
      <w:r w:rsidR="00371FB9">
        <w:rPr>
          <w:i/>
        </w:rPr>
        <w:t>receded</w:t>
      </w:r>
      <w:r w:rsidR="00371FB9">
        <w:t xml:space="preserve"> </w:t>
      </w:r>
      <w:r>
        <w:t xml:space="preserve">on their copies of the text or in a vocabulary journal. </w:t>
      </w:r>
    </w:p>
    <w:p w14:paraId="7653F812" w14:textId="6E2D4C0A" w:rsidR="003F577A" w:rsidRDefault="00A65B28" w:rsidP="003F577A">
      <w:pPr>
        <w:pStyle w:val="Q"/>
      </w:pPr>
      <w:r>
        <w:t xml:space="preserve">What </w:t>
      </w:r>
      <w:r w:rsidR="003F577A">
        <w:t xml:space="preserve">do the descriptions of Gogol’s birthday parties </w:t>
      </w:r>
      <w:r>
        <w:t xml:space="preserve">suggest about </w:t>
      </w:r>
      <w:r w:rsidR="003F577A">
        <w:t xml:space="preserve">the relationship between Gogol and his parents? </w:t>
      </w:r>
    </w:p>
    <w:p w14:paraId="32BBD391" w14:textId="01BAB8BD" w:rsidR="0012626D" w:rsidRDefault="0012626D" w:rsidP="001A087C">
      <w:pPr>
        <w:pStyle w:val="SR"/>
      </w:pPr>
      <w:r>
        <w:t>Student responses may include:</w:t>
      </w:r>
    </w:p>
    <w:p w14:paraId="3D3F1B63" w14:textId="7B85BC30" w:rsidR="004C0D04" w:rsidRDefault="003158BD" w:rsidP="001A087C">
      <w:pPr>
        <w:pStyle w:val="SASRBullet"/>
      </w:pPr>
      <w:r>
        <w:t>The descriptions of Gogol’s birthday parties suggest that Gogol identifies himself as American as well as Bengali, and that his tastes are more American than those of his parents. Gogol’s birthday party with “[h]is own friends” features “pizzas that his father had picked up on his way home from work, a baseball game watched together on television, [and] some Ping-Pong in the den” (p. 72). For Gogol’s parents, on the other hand, his birthday is “another excuse</w:t>
      </w:r>
      <w:r w:rsidR="00F60041">
        <w:t xml:space="preserve"> </w:t>
      </w:r>
      <w:r>
        <w:t xml:space="preserve">… to throw a party for their Bengali friends” (p. 72). Although it is larger, the Bengali party is “less stressful” for Ashima than “the task of feeding a handful of American children" (p. 72). </w:t>
      </w:r>
    </w:p>
    <w:p w14:paraId="0ABF2184" w14:textId="5CD2668F" w:rsidR="004516E1" w:rsidRDefault="004516E1" w:rsidP="001A087C">
      <w:pPr>
        <w:pStyle w:val="SASRBullet"/>
      </w:pPr>
      <w:r>
        <w:t>For the first time, Gogol refuses a typical children’s birthday party, with “the frosted cake, the box of harlequin ice cream, the hot dogs in buns” (p. 72</w:t>
      </w:r>
      <w:r w:rsidR="00C079D5">
        <w:t>)</w:t>
      </w:r>
      <w:r>
        <w:t>. At his Bengali birthday party, Gogol finds himself “too old”</w:t>
      </w:r>
      <w:r w:rsidR="007B724C">
        <w:t xml:space="preserve"> </w:t>
      </w:r>
      <w:r>
        <w:t>to play with the other children present, but “not old enough”</w:t>
      </w:r>
      <w:r w:rsidR="007B724C" w:rsidRPr="007B724C">
        <w:t xml:space="preserve"> </w:t>
      </w:r>
      <w:r>
        <w:t>to join his parents and their friends</w:t>
      </w:r>
      <w:r w:rsidR="00C63F78">
        <w:t xml:space="preserve"> (p. 73)</w:t>
      </w:r>
      <w:r>
        <w:t xml:space="preserve">. In this way, the birthday parties highlight </w:t>
      </w:r>
      <w:r w:rsidR="00216FCB">
        <w:t xml:space="preserve">the fact </w:t>
      </w:r>
      <w:r>
        <w:t xml:space="preserve">that Gogol </w:t>
      </w:r>
      <w:r w:rsidR="00216FCB">
        <w:t xml:space="preserve">is no longer the young child that his parents knew, but at the same time, he is not ready to interact with them as an adult. </w:t>
      </w:r>
    </w:p>
    <w:p w14:paraId="0E60AFC5" w14:textId="5E135345" w:rsidR="003F577A" w:rsidRPr="003F577A" w:rsidRDefault="003F577A" w:rsidP="003F577A">
      <w:pPr>
        <w:pStyle w:val="IN"/>
        <w:ind w:left="426" w:hanging="426"/>
      </w:pPr>
      <w:r>
        <w:rPr>
          <w:b/>
        </w:rPr>
        <w:t xml:space="preserve">Differentiation Consideration: </w:t>
      </w:r>
      <w:r>
        <w:t xml:space="preserve">Consider </w:t>
      </w:r>
      <w:r w:rsidR="00586D75">
        <w:t xml:space="preserve">posing </w:t>
      </w:r>
      <w:r>
        <w:t>t</w:t>
      </w:r>
      <w:r w:rsidR="00586D75">
        <w:t>he</w:t>
      </w:r>
      <w:r>
        <w:t xml:space="preserve"> following extension question to deepen students’ understanding:</w:t>
      </w:r>
    </w:p>
    <w:p w14:paraId="2E43DB54" w14:textId="557D7919" w:rsidR="003F577A" w:rsidRDefault="003F577A" w:rsidP="003F577A">
      <w:pPr>
        <w:pStyle w:val="DCwithQ"/>
      </w:pPr>
      <w:r>
        <w:t>How does Lahiri develop a cen</w:t>
      </w:r>
      <w:r w:rsidR="00923AC7">
        <w:t>t</w:t>
      </w:r>
      <w:r>
        <w:t>ral idea through the character of Moushumi?</w:t>
      </w:r>
    </w:p>
    <w:p w14:paraId="55D6B72A" w14:textId="452E4EB0" w:rsidR="00216FCB" w:rsidRDefault="00216FCB" w:rsidP="001A087C">
      <w:pPr>
        <w:pStyle w:val="DCwithSR"/>
      </w:pPr>
      <w:r>
        <w:t xml:space="preserve">Lahiri’s description of Moushumi develops the central idea of </w:t>
      </w:r>
      <w:r w:rsidR="008C0AA0">
        <w:t>identity</w:t>
      </w:r>
      <w:r>
        <w:t xml:space="preserve"> by introducing a character who, like Gogol, </w:t>
      </w:r>
      <w:r w:rsidR="00715E6F">
        <w:t>struggles with multiple cultural influences. Moushumi’s family has “recently moved to Massachusetts from England</w:t>
      </w:r>
      <w:r w:rsidR="00586D75">
        <w:t>,</w:t>
      </w:r>
      <w:r w:rsidR="00715E6F">
        <w:t xml:space="preserve">” and rather than affirming her Bengali heritage or trying to fit in with American culture, Moushumi prefers to emphasize her English roots, reading </w:t>
      </w:r>
      <w:r w:rsidR="00715E6F">
        <w:rPr>
          <w:i/>
        </w:rPr>
        <w:t xml:space="preserve">Pride </w:t>
      </w:r>
      <w:r w:rsidR="00715E6F">
        <w:rPr>
          <w:i/>
        </w:rPr>
        <w:lastRenderedPageBreak/>
        <w:t>and Prejudice</w:t>
      </w:r>
      <w:r w:rsidR="00715E6F">
        <w:t xml:space="preserve"> while the other children watch American television, which she declares “in her English accent” that she “</w:t>
      </w:r>
      <w:r w:rsidR="007B724C">
        <w:t>‘</w:t>
      </w:r>
      <w:r w:rsidR="00715E6F">
        <w:t>detest[s]</w:t>
      </w:r>
      <w:r w:rsidR="007B724C">
        <w:t>’</w:t>
      </w:r>
      <w:r w:rsidR="00715E6F">
        <w:t xml:space="preserve">” (p. 73). </w:t>
      </w:r>
    </w:p>
    <w:p w14:paraId="48818BD7" w14:textId="54D40BBE" w:rsidR="007B1678" w:rsidRDefault="007B1678" w:rsidP="007B1678">
      <w:pPr>
        <w:pStyle w:val="Q"/>
      </w:pPr>
      <w:r>
        <w:t xml:space="preserve">How do Gogol’s </w:t>
      </w:r>
      <w:r w:rsidR="003C627F">
        <w:t xml:space="preserve">thoughts about his father’s gift of </w:t>
      </w:r>
      <w:r w:rsidR="003C627F">
        <w:rPr>
          <w:i/>
        </w:rPr>
        <w:t>The Short Stories of Nikolai Gogol</w:t>
      </w:r>
      <w:r w:rsidR="00261928">
        <w:t xml:space="preserve"> further</w:t>
      </w:r>
      <w:r>
        <w:t xml:space="preserve"> develop his relationship </w:t>
      </w:r>
      <w:r w:rsidR="00D91B53">
        <w:t>with</w:t>
      </w:r>
      <w:r>
        <w:t xml:space="preserve"> his name?</w:t>
      </w:r>
    </w:p>
    <w:p w14:paraId="6DC826CE" w14:textId="0549CB5C" w:rsidR="00795BF5" w:rsidRDefault="00795BF5" w:rsidP="001A087C">
      <w:pPr>
        <w:pStyle w:val="SR"/>
      </w:pPr>
      <w:r>
        <w:t>Student responses may include:</w:t>
      </w:r>
    </w:p>
    <w:p w14:paraId="3C2F7FE2" w14:textId="17445E56" w:rsidR="00795BF5" w:rsidRDefault="002767C5" w:rsidP="001A087C">
      <w:pPr>
        <w:pStyle w:val="SASRBullet"/>
      </w:pPr>
      <w:r>
        <w:t xml:space="preserve">Gogol’s </w:t>
      </w:r>
      <w:r w:rsidR="00067AC2">
        <w:t>thoughts about</w:t>
      </w:r>
      <w:r>
        <w:t xml:space="preserve"> his father’s gift of </w:t>
      </w:r>
      <w:r w:rsidR="00B1035C">
        <w:rPr>
          <w:i/>
        </w:rPr>
        <w:t>The</w:t>
      </w:r>
      <w:r>
        <w:rPr>
          <w:i/>
        </w:rPr>
        <w:t xml:space="preserve"> Short Stories of Nikolai Gogol </w:t>
      </w:r>
      <w:r>
        <w:t>show that he has come to resent his name, and in fact now “hates” it</w:t>
      </w:r>
      <w:r w:rsidR="00C63F78">
        <w:t xml:space="preserve"> (p. 76)</w:t>
      </w:r>
      <w:r>
        <w:t xml:space="preserve">. Above all, Gogol hates the fact that “his name is both awkward and obscure, that it has nothing to do with who he is, that it is neither Indian </w:t>
      </w:r>
      <w:r w:rsidR="007B724C">
        <w:t>n</w:t>
      </w:r>
      <w:r>
        <w:t xml:space="preserve">or American but of all things Russian” (p. 76). Gogol </w:t>
      </w:r>
      <w:r w:rsidR="004C223A">
        <w:t>feels tormented and set apart by his name, which “manages</w:t>
      </w:r>
      <w:r w:rsidR="007B724C">
        <w:t xml:space="preserve"> </w:t>
      </w:r>
      <w:r w:rsidR="004C223A">
        <w:t>… to distress him physically” (p. 76)</w:t>
      </w:r>
      <w:r>
        <w:t xml:space="preserve"> because it does not reflect any identity that Gogol recognizes. </w:t>
      </w:r>
      <w:r w:rsidR="002028AD">
        <w:t xml:space="preserve">In fact, as Gogol realizes after Ashoke has left, his name is “a last name turned </w:t>
      </w:r>
      <w:r w:rsidR="007B724C">
        <w:t xml:space="preserve">first </w:t>
      </w:r>
      <w:r w:rsidR="002028AD">
        <w:t>name</w:t>
      </w:r>
      <w:r w:rsidR="00C63F78">
        <w:t>,</w:t>
      </w:r>
      <w:r w:rsidR="002028AD">
        <w:t xml:space="preserve">” so he shares it with “no one he knows in the world” (p. 78). </w:t>
      </w:r>
    </w:p>
    <w:p w14:paraId="5D1501B5" w14:textId="7EB93407" w:rsidR="00795BF5" w:rsidRDefault="004C223A" w:rsidP="001A087C">
      <w:pPr>
        <w:pStyle w:val="SASRBullet"/>
      </w:pPr>
      <w:r>
        <w:t xml:space="preserve">Gogol’s </w:t>
      </w:r>
      <w:r w:rsidR="009641B3">
        <w:t>thoughts</w:t>
      </w:r>
      <w:r w:rsidR="006D313D">
        <w:t xml:space="preserve"> about</w:t>
      </w:r>
      <w:r>
        <w:t xml:space="preserve"> his father’s gift demonstrate that Gogol </w:t>
      </w:r>
      <w:r w:rsidR="00D12CF1">
        <w:t xml:space="preserve">remains </w:t>
      </w:r>
      <w:r>
        <w:t>unaware of the significance of the Russian writer</w:t>
      </w:r>
      <w:r w:rsidR="00C878E6">
        <w:t xml:space="preserve"> Nikolai Gogol’s</w:t>
      </w:r>
      <w:r>
        <w:t xml:space="preserve"> impact on his father’s life. Gogol has been “told only half the truth about Gogol: that his father is a fan” (p. 75). Without this understanding, Gogol’s name sounds “ludicrous to his ears, lacking dignity or gravity” because he sees only what appears to be the “irrelevance” of his name</w:t>
      </w:r>
      <w:r w:rsidR="00C63F78">
        <w:t xml:space="preserve"> (p. 76)</w:t>
      </w:r>
      <w:r>
        <w:t xml:space="preserve">, without understanding the deeper significance it holds for his father. </w:t>
      </w:r>
    </w:p>
    <w:p w14:paraId="1892191D" w14:textId="220DE3C9" w:rsidR="007B1678" w:rsidRDefault="007B1678" w:rsidP="007B1678">
      <w:pPr>
        <w:pStyle w:val="Q"/>
      </w:pPr>
      <w:r>
        <w:t xml:space="preserve">How do the interactions between Ashoke and Gogol </w:t>
      </w:r>
      <w:r w:rsidR="00C878E6">
        <w:t>on pages 74</w:t>
      </w:r>
      <w:r w:rsidR="00586D75">
        <w:t>–</w:t>
      </w:r>
      <w:r w:rsidR="00C878E6">
        <w:t xml:space="preserve">78 </w:t>
      </w:r>
      <w:r>
        <w:t>contribute to the development of their relationship?</w:t>
      </w:r>
    </w:p>
    <w:p w14:paraId="0DA756CE" w14:textId="77777777" w:rsidR="004C223A" w:rsidRDefault="004C223A" w:rsidP="001A087C">
      <w:pPr>
        <w:pStyle w:val="SR"/>
      </w:pPr>
      <w:r>
        <w:t>Student responses may include:</w:t>
      </w:r>
    </w:p>
    <w:p w14:paraId="3FD22695" w14:textId="67EFC808" w:rsidR="004C223A" w:rsidRDefault="00B45E54" w:rsidP="001A087C">
      <w:pPr>
        <w:pStyle w:val="SASRBullet"/>
      </w:pPr>
      <w:r>
        <w:t xml:space="preserve">The interactions between </w:t>
      </w:r>
      <w:r w:rsidR="004C223A">
        <w:t xml:space="preserve">Gogol </w:t>
      </w:r>
      <w:r>
        <w:t xml:space="preserve">and </w:t>
      </w:r>
      <w:r w:rsidR="00C40177">
        <w:t xml:space="preserve">Ashoke suggest that as Gogol has grown up, he has formed a cultural identity very different from his father’s. Gogol speaks English to Ashoke, “though [his parents] continue to speak to him in Bengali” and behaves in ways that reflect his American upbringing, “wander[ing] through the house with his running sneakers on” and eating with a </w:t>
      </w:r>
      <w:r w:rsidR="003521C2">
        <w:t>“</w:t>
      </w:r>
      <w:r w:rsidR="00C40177">
        <w:t>fork</w:t>
      </w:r>
      <w:r w:rsidR="003521C2">
        <w:t>”</w:t>
      </w:r>
      <w:r w:rsidR="00C40177">
        <w:t xml:space="preserve"> (p. 75). Similarly, Gogol rejects Ashoke’s attempts to interest him in Russian literature, and “would have preferred </w:t>
      </w:r>
      <w:r w:rsidR="00C40177">
        <w:rPr>
          <w:i/>
        </w:rPr>
        <w:t xml:space="preserve">The Hitchhiker’s Guide to the </w:t>
      </w:r>
      <w:r w:rsidR="00C40177" w:rsidRPr="00C40177">
        <w:rPr>
          <w:i/>
        </w:rPr>
        <w:t>Galaxy</w:t>
      </w:r>
      <w:r w:rsidR="00C40177">
        <w:t xml:space="preserve">” </w:t>
      </w:r>
      <w:r w:rsidR="00A94D3A">
        <w:t xml:space="preserve">(p. 75) </w:t>
      </w:r>
      <w:r w:rsidR="00C40177">
        <w:t xml:space="preserve">to the collection of stories by his namesake. </w:t>
      </w:r>
    </w:p>
    <w:p w14:paraId="24A7E90C" w14:textId="36411D16" w:rsidR="002028AD" w:rsidRDefault="00C40177" w:rsidP="001A087C">
      <w:pPr>
        <w:pStyle w:val="SASRBullet"/>
      </w:pPr>
      <w:r>
        <w:t xml:space="preserve">In his interactions with Ashoke, </w:t>
      </w:r>
      <w:r w:rsidR="002028AD">
        <w:t xml:space="preserve">Gogol </w:t>
      </w:r>
      <w:r>
        <w:t>begins to distance himself</w:t>
      </w:r>
      <w:r w:rsidR="002028AD">
        <w:t xml:space="preserve"> from his father</w:t>
      </w:r>
      <w:r>
        <w:t>. He is “eager to return to his [Beatles] lyrics” (p. 75) once Ashoke has presented him with his gift, responding “a bit impatiently” (p. 7</w:t>
      </w:r>
      <w:r w:rsidR="00A94D3A">
        <w:t>7</w:t>
      </w:r>
      <w:r>
        <w:t xml:space="preserve">) when Ashoke tries to explain to him why he feels such a connection with Gogol. After Ashoke leaves, Gogol </w:t>
      </w:r>
      <w:r w:rsidR="00B1035C">
        <w:t>“gets up and shuts the door behind his father, who has the annoying habit of always leaving it partly open” (p. 78), placing a barrier between them</w:t>
      </w:r>
      <w:r w:rsidR="00067AC2">
        <w:t xml:space="preserve">. </w:t>
      </w:r>
    </w:p>
    <w:p w14:paraId="18709C42" w14:textId="7CF5CD68" w:rsidR="002028AD" w:rsidRDefault="00B1035C" w:rsidP="001A087C">
      <w:pPr>
        <w:pStyle w:val="SASRBullet"/>
      </w:pPr>
      <w:r>
        <w:lastRenderedPageBreak/>
        <w:t>In his interactions with Gogol, Ashoke tries to establish a connection with his son. Ashoke “takes the opportunity to sit beside”</w:t>
      </w:r>
      <w:r w:rsidR="00A94D3A">
        <w:t xml:space="preserve"> </w:t>
      </w:r>
      <w:r>
        <w:t xml:space="preserve">Gogol, and reflects on his physical development, wondering “how closely Gogol resembles himself at this age” (p. 77). His gift of </w:t>
      </w:r>
      <w:r>
        <w:rPr>
          <w:i/>
        </w:rPr>
        <w:t>The Short Stories of Nikolai Gogol</w:t>
      </w:r>
      <w:r>
        <w:t xml:space="preserve"> represents an attempt to communicate with Gogol, and to explain his “special kinship” </w:t>
      </w:r>
      <w:r w:rsidR="00A94D3A">
        <w:t xml:space="preserve">(p. 77) </w:t>
      </w:r>
      <w:r>
        <w:t>with his son’s namesake.</w:t>
      </w:r>
      <w:r w:rsidR="002060B3">
        <w:t xml:space="preserve"> </w:t>
      </w:r>
      <w:r w:rsidR="00FC2869">
        <w:t xml:space="preserve">At the same time, </w:t>
      </w:r>
      <w:r w:rsidR="002060B3">
        <w:t>Ashoke remains respectful of his son’s attempts to form his own identity</w:t>
      </w:r>
      <w:r w:rsidR="00E600B9">
        <w:t>; when he</w:t>
      </w:r>
      <w:r w:rsidR="002060B3">
        <w:t xml:space="preserve"> notic</w:t>
      </w:r>
      <w:r w:rsidR="00E600B9">
        <w:t>es</w:t>
      </w:r>
      <w:r w:rsidR="002060B3">
        <w:t xml:space="preserve"> “the Lennon obituary pinned to the bulletin board, and then a cassette of classical Indian music he’d bought for Gogol months ago</w:t>
      </w:r>
      <w:r w:rsidR="00CC4710">
        <w:t xml:space="preserve"> </w:t>
      </w:r>
      <w:r w:rsidR="00C75334">
        <w:t>…</w:t>
      </w:r>
      <w:r w:rsidR="00CC4710">
        <w:t xml:space="preserve"> </w:t>
      </w:r>
      <w:r w:rsidR="002060B3">
        <w:t>still sealed in its wrapper” (p</w:t>
      </w:r>
      <w:r w:rsidR="009D2DCA">
        <w:t>p</w:t>
      </w:r>
      <w:r w:rsidR="002060B3">
        <w:t xml:space="preserve">. </w:t>
      </w:r>
      <w:r w:rsidR="009D2DCA">
        <w:t>77</w:t>
      </w:r>
      <w:r w:rsidR="00B2461B">
        <w:t>–</w:t>
      </w:r>
      <w:r w:rsidR="002060B3">
        <w:t xml:space="preserve">78), </w:t>
      </w:r>
      <w:r w:rsidR="00E600B9">
        <w:t>Ashoke</w:t>
      </w:r>
      <w:r w:rsidR="002060B3">
        <w:t xml:space="preserve"> chooses to leave rather than to intrude further.</w:t>
      </w:r>
    </w:p>
    <w:p w14:paraId="2A556EFD" w14:textId="21FDECCC" w:rsidR="00BC6FD5" w:rsidRDefault="00BC6FD5" w:rsidP="001A087C">
      <w:pPr>
        <w:pStyle w:val="SASRBullet"/>
      </w:pPr>
      <w:r>
        <w:t xml:space="preserve">The interactions between Ashoke and Gogol </w:t>
      </w:r>
      <w:r w:rsidR="005358DC">
        <w:t xml:space="preserve">suggest the importance that Gogol has in his father’s life, and the role that his birth played in helping Ashoke come to terms with the trauma of his accident. Ashoke begins to explain about the accident and his reasons for giving Gogol his name, but realizes that the accident has lost its importance, because “[e]ver since that day, the day he became a father, the memory of his accident has receded, diminishing over the years” (p. 78). As a result, Ashoke chooses not to explain why he chose Gogol’s name, because to Ashoke, Gogol represents hope and new life beyond his accident, and so he decides that “[t]oday, his son’s birthday, is a day to honor life, not brushes with death” (p. 78) and leaves the room. </w:t>
      </w:r>
    </w:p>
    <w:p w14:paraId="650F20AB" w14:textId="4F183D2A" w:rsidR="00C878E6" w:rsidRDefault="00B91320" w:rsidP="00B1690B">
      <w:pPr>
        <w:pStyle w:val="IN"/>
        <w:ind w:left="426" w:hanging="426"/>
      </w:pPr>
      <w:r>
        <w:rPr>
          <w:b/>
        </w:rPr>
        <w:t xml:space="preserve">Differentiation Consideration: </w:t>
      </w:r>
      <w:r>
        <w:t xml:space="preserve">If students struggle, consider </w:t>
      </w:r>
      <w:r w:rsidR="002F30E4">
        <w:t>posing</w:t>
      </w:r>
      <w:r>
        <w:t xml:space="preserve"> the following scaffolding questions:</w:t>
      </w:r>
    </w:p>
    <w:p w14:paraId="5CBF1324" w14:textId="004B1DAF" w:rsidR="00B91320" w:rsidRDefault="00B91320" w:rsidP="00B1690B">
      <w:pPr>
        <w:pStyle w:val="DCwithQ"/>
      </w:pPr>
      <w:r>
        <w:t>What does Ashoke explain about his “special kinship”</w:t>
      </w:r>
      <w:r w:rsidR="003203DD">
        <w:t xml:space="preserve"> (p. 77) with Nikolai Gogol in his conversation with his son?</w:t>
      </w:r>
      <w:r>
        <w:t xml:space="preserve"> </w:t>
      </w:r>
    </w:p>
    <w:p w14:paraId="41A04285" w14:textId="6FCEFD35" w:rsidR="003203DD" w:rsidRDefault="003203DD" w:rsidP="001A087C">
      <w:pPr>
        <w:pStyle w:val="DCwithSR"/>
      </w:pPr>
      <w:r>
        <w:t>Ashoke explains that he feels a “special kinship” with Gogol because “[Gogol] spent most of his adult life outside his homeland” (p. 77)</w:t>
      </w:r>
      <w:r w:rsidR="008E4A02">
        <w:t>, just as Ashoke did</w:t>
      </w:r>
      <w:r>
        <w:t>.</w:t>
      </w:r>
    </w:p>
    <w:p w14:paraId="761044E8" w14:textId="0E8602B6" w:rsidR="003203DD" w:rsidRDefault="003203DD" w:rsidP="00B1690B">
      <w:pPr>
        <w:pStyle w:val="DCwithQ"/>
      </w:pPr>
      <w:r>
        <w:t xml:space="preserve">What does Ashoke not explain about his “special kinship” </w:t>
      </w:r>
      <w:r w:rsidR="009D2DCA">
        <w:t xml:space="preserve">(p. 77) </w:t>
      </w:r>
      <w:r>
        <w:t xml:space="preserve">with Nikolai Gogol in his conversation with his son, and why? </w:t>
      </w:r>
    </w:p>
    <w:p w14:paraId="69764F9D" w14:textId="10D72796" w:rsidR="003203DD" w:rsidRDefault="00D16D66" w:rsidP="001A087C">
      <w:pPr>
        <w:pStyle w:val="DCwithSR"/>
      </w:pPr>
      <w:r>
        <w:t>Student responses may include:</w:t>
      </w:r>
    </w:p>
    <w:p w14:paraId="24DB6C51" w14:textId="72D4C9E5" w:rsidR="00D16D66" w:rsidRPr="00361FA2" w:rsidRDefault="00D16D66" w:rsidP="00361FA2">
      <w:pPr>
        <w:pStyle w:val="SASRBullet"/>
        <w:rPr>
          <w:color w:val="3F6CAF"/>
        </w:rPr>
      </w:pPr>
      <w:r w:rsidRPr="00361FA2">
        <w:rPr>
          <w:color w:val="3F6CAF"/>
        </w:rPr>
        <w:t>Ashoke does not explain about “his accident” (p. 78) and the role that the author Gogol</w:t>
      </w:r>
      <w:r w:rsidR="00067AC2" w:rsidRPr="00361FA2">
        <w:rPr>
          <w:color w:val="3F6CAF"/>
        </w:rPr>
        <w:t xml:space="preserve">’s </w:t>
      </w:r>
      <w:r w:rsidR="006B6CE3">
        <w:rPr>
          <w:color w:val="3F6CAF"/>
        </w:rPr>
        <w:t>story</w:t>
      </w:r>
      <w:r w:rsidR="006B6CE3" w:rsidRPr="00361FA2">
        <w:rPr>
          <w:color w:val="3F6CAF"/>
        </w:rPr>
        <w:t xml:space="preserve"> </w:t>
      </w:r>
      <w:r w:rsidR="00067AC2" w:rsidRPr="00361FA2">
        <w:rPr>
          <w:color w:val="3F6CAF"/>
        </w:rPr>
        <w:t>“The Overcoat”</w:t>
      </w:r>
      <w:r w:rsidRPr="00361FA2">
        <w:rPr>
          <w:color w:val="3F6CAF"/>
        </w:rPr>
        <w:t xml:space="preserve"> played in saving his life. </w:t>
      </w:r>
    </w:p>
    <w:p w14:paraId="79D07234" w14:textId="566E092B" w:rsidR="00D16D66" w:rsidRPr="00361FA2" w:rsidRDefault="00D16D66" w:rsidP="00361FA2">
      <w:pPr>
        <w:pStyle w:val="SASRBullet"/>
        <w:rPr>
          <w:color w:val="3F6CAF"/>
        </w:rPr>
      </w:pPr>
      <w:r w:rsidRPr="00361FA2">
        <w:rPr>
          <w:color w:val="3F6CAF"/>
        </w:rPr>
        <w:t xml:space="preserve">Ashoke does not explain his near-death experience because </w:t>
      </w:r>
      <w:r w:rsidR="009B47E8" w:rsidRPr="00361FA2">
        <w:rPr>
          <w:color w:val="3F6CAF"/>
        </w:rPr>
        <w:t>“[e]ver since that day, the day he became a father, the memory of his accident has receded, diminishing over the years” (p. 78). By building a new life in America and becoming a father, Ashoke has come to terms with his past, so that the train crash “no longer looms over his life” (p. 78).</w:t>
      </w:r>
    </w:p>
    <w:p w14:paraId="0129406B" w14:textId="37C3C9B8" w:rsidR="009B47E8" w:rsidRPr="00361FA2" w:rsidRDefault="009B47E8" w:rsidP="00361FA2">
      <w:pPr>
        <w:pStyle w:val="SASRBullet"/>
        <w:rPr>
          <w:color w:val="3F6CAF"/>
        </w:rPr>
      </w:pPr>
      <w:r w:rsidRPr="00361FA2">
        <w:rPr>
          <w:color w:val="3F6CAF"/>
        </w:rPr>
        <w:t>Ashoke does not tell Gogol about the train crash because</w:t>
      </w:r>
      <w:r w:rsidR="007E4810">
        <w:rPr>
          <w:color w:val="3F6CAF"/>
        </w:rPr>
        <w:t>,</w:t>
      </w:r>
      <w:r w:rsidRPr="00361FA2">
        <w:rPr>
          <w:color w:val="3F6CAF"/>
        </w:rPr>
        <w:t xml:space="preserve"> as he “notices the Lennon obituary pinned to the bulletin board” (pp. 77</w:t>
      </w:r>
      <w:r w:rsidR="006B6CE3">
        <w:rPr>
          <w:color w:val="3F6CAF"/>
        </w:rPr>
        <w:t>–</w:t>
      </w:r>
      <w:r w:rsidRPr="00361FA2">
        <w:rPr>
          <w:color w:val="3F6CAF"/>
        </w:rPr>
        <w:t xml:space="preserve">78) alongside the unopened cassette, he </w:t>
      </w:r>
      <w:r w:rsidRPr="00361FA2">
        <w:rPr>
          <w:color w:val="3F6CAF"/>
        </w:rPr>
        <w:lastRenderedPageBreak/>
        <w:t xml:space="preserve">realizes that Gogol is growing into an individual with his own identity, unaffected by the past. Ashoke decides that “[t]oday, his son’s birthday, is a day to honor life, not brushes with death” (p. 78), </w:t>
      </w:r>
      <w:r w:rsidR="00E51B93" w:rsidRPr="00361FA2">
        <w:rPr>
          <w:color w:val="3F6CAF"/>
        </w:rPr>
        <w:t xml:space="preserve">thus, </w:t>
      </w:r>
      <w:r w:rsidRPr="00361FA2">
        <w:rPr>
          <w:color w:val="3F6CAF"/>
        </w:rPr>
        <w:t>Gogol’s future means more to him now than his own past.</w:t>
      </w:r>
    </w:p>
    <w:p w14:paraId="7C41F948" w14:textId="6D1E5EB9" w:rsidR="00002776" w:rsidRDefault="00002776" w:rsidP="003F577A">
      <w:pPr>
        <w:pStyle w:val="TA"/>
      </w:pPr>
      <w:r>
        <w:t>Lead a brief whole-class discussion of student respons</w:t>
      </w:r>
      <w:r w:rsidR="003F577A">
        <w:t>es.</w:t>
      </w:r>
    </w:p>
    <w:p w14:paraId="0A054236" w14:textId="77777777" w:rsidR="007A12FD" w:rsidRDefault="007A12FD" w:rsidP="007A12FD">
      <w:pPr>
        <w:pStyle w:val="BR"/>
      </w:pPr>
    </w:p>
    <w:p w14:paraId="6DA3360F" w14:textId="386B4513" w:rsidR="00F83AD3" w:rsidRDefault="007A12FD" w:rsidP="007A12FD">
      <w:pPr>
        <w:pStyle w:val="TA"/>
      </w:pPr>
      <w:r>
        <w:t xml:space="preserve">Instruct student groups to </w:t>
      </w:r>
      <w:r w:rsidR="004808E1">
        <w:t xml:space="preserve">refer to </w:t>
      </w:r>
      <w:r w:rsidR="00002776">
        <w:t>pages</w:t>
      </w:r>
      <w:r w:rsidR="0052688E">
        <w:t xml:space="preserve"> 79</w:t>
      </w:r>
      <w:r w:rsidR="006B6CE3">
        <w:t>–</w:t>
      </w:r>
      <w:r w:rsidR="0052688E">
        <w:t>88</w:t>
      </w:r>
      <w:r>
        <w:t xml:space="preserve"> </w:t>
      </w:r>
      <w:r>
        <w:rPr>
          <w:rFonts w:asciiTheme="majorHAnsi" w:hAnsiTheme="majorHAnsi"/>
        </w:rPr>
        <w:t xml:space="preserve">(from </w:t>
      </w:r>
      <w:r w:rsidR="0052688E">
        <w:rPr>
          <w:rFonts w:asciiTheme="majorHAnsi" w:hAnsiTheme="majorHAnsi"/>
        </w:rPr>
        <w:t>“</w:t>
      </w:r>
      <w:r w:rsidR="0052688E">
        <w:t xml:space="preserve">The following year, Ashoke is up for a sabbatical” </w:t>
      </w:r>
      <w:r>
        <w:t xml:space="preserve">to </w:t>
      </w:r>
      <w:r>
        <w:rPr>
          <w:rFonts w:asciiTheme="majorHAnsi" w:hAnsiTheme="majorHAnsi"/>
        </w:rPr>
        <w:t>“</w:t>
      </w:r>
      <w:r w:rsidR="0052688E">
        <w:rPr>
          <w:rFonts w:asciiTheme="majorHAnsi" w:hAnsiTheme="majorHAnsi"/>
        </w:rPr>
        <w:t>suddenly cumbersome, irrelevant to their lives</w:t>
      </w:r>
      <w:r>
        <w:rPr>
          <w:rFonts w:asciiTheme="majorHAnsi" w:hAnsiTheme="majorHAnsi"/>
          <w:i/>
        </w:rPr>
        <w:t>”</w:t>
      </w:r>
      <w:r>
        <w:t xml:space="preserve">) and </w:t>
      </w:r>
      <w:r w:rsidR="004808E1">
        <w:t xml:space="preserve">discuss </w:t>
      </w:r>
      <w:r>
        <w:t>the following questions before sharing out with the class.</w:t>
      </w:r>
    </w:p>
    <w:p w14:paraId="14D4C35C" w14:textId="6C86617D" w:rsidR="00603BBE" w:rsidRPr="00C63F78" w:rsidRDefault="00603BBE" w:rsidP="00603BBE">
      <w:pPr>
        <w:pStyle w:val="TA"/>
      </w:pPr>
      <w:r>
        <w:t xml:space="preserve">Provide students with the definitions of </w:t>
      </w:r>
      <w:r>
        <w:rPr>
          <w:i/>
        </w:rPr>
        <w:t>crestfallen</w:t>
      </w:r>
      <w:r>
        <w:t xml:space="preserve"> and </w:t>
      </w:r>
      <w:r>
        <w:rPr>
          <w:i/>
        </w:rPr>
        <w:t>disconcerted.</w:t>
      </w:r>
    </w:p>
    <w:p w14:paraId="4157588B" w14:textId="77777777" w:rsidR="00603BBE" w:rsidRDefault="00603BBE" w:rsidP="00603BBE">
      <w:pPr>
        <w:pStyle w:val="IN"/>
      </w:pPr>
      <w:r>
        <w:t>Students may be familiar with some of these words. Consider asking students to volunteer definitions before providing them to the group.</w:t>
      </w:r>
    </w:p>
    <w:p w14:paraId="1011E5E5" w14:textId="6CA4261F" w:rsidR="00603BBE" w:rsidRDefault="00603BBE" w:rsidP="00603BBE">
      <w:pPr>
        <w:pStyle w:val="SA"/>
      </w:pPr>
      <w:r>
        <w:t xml:space="preserve">Students write the definitions </w:t>
      </w:r>
      <w:r w:rsidR="00371FB9">
        <w:t xml:space="preserve">of </w:t>
      </w:r>
      <w:r w:rsidR="00371FB9">
        <w:rPr>
          <w:i/>
        </w:rPr>
        <w:t>crestfallen</w:t>
      </w:r>
      <w:r w:rsidR="00371FB9">
        <w:t xml:space="preserve"> and </w:t>
      </w:r>
      <w:r w:rsidR="00371FB9">
        <w:rPr>
          <w:i/>
        </w:rPr>
        <w:t>disconcerted</w:t>
      </w:r>
      <w:r w:rsidR="00371FB9">
        <w:t xml:space="preserve"> </w:t>
      </w:r>
      <w:r>
        <w:t>on their copies of the text or in a vocabulary journal.</w:t>
      </w:r>
    </w:p>
    <w:p w14:paraId="01871577" w14:textId="75B4F587" w:rsidR="00603BBE" w:rsidRDefault="00603BBE" w:rsidP="00603BBE">
      <w:pPr>
        <w:pStyle w:val="IN"/>
      </w:pPr>
      <w:r>
        <w:rPr>
          <w:b/>
        </w:rPr>
        <w:t>Differentiation Consideration:</w:t>
      </w:r>
      <w:r>
        <w:t xml:space="preserve"> Consider providing students with the definitions of </w:t>
      </w:r>
      <w:r>
        <w:rPr>
          <w:i/>
        </w:rPr>
        <w:t>itinerary</w:t>
      </w:r>
      <w:r>
        <w:t xml:space="preserve">, </w:t>
      </w:r>
      <w:r>
        <w:rPr>
          <w:i/>
        </w:rPr>
        <w:t>rickshaw</w:t>
      </w:r>
      <w:r>
        <w:t xml:space="preserve"> and </w:t>
      </w:r>
      <w:r>
        <w:rPr>
          <w:i/>
        </w:rPr>
        <w:t>cumbersome</w:t>
      </w:r>
      <w:r>
        <w:t>.</w:t>
      </w:r>
    </w:p>
    <w:p w14:paraId="18D319EF" w14:textId="40274A0A" w:rsidR="00603BBE" w:rsidRDefault="00603BBE" w:rsidP="00603BBE">
      <w:pPr>
        <w:pStyle w:val="DCwithSA"/>
      </w:pPr>
      <w:r>
        <w:t xml:space="preserve">Students write the definitions </w:t>
      </w:r>
      <w:r w:rsidR="00371FB9">
        <w:t xml:space="preserve">of </w:t>
      </w:r>
      <w:r w:rsidR="00371FB9">
        <w:rPr>
          <w:i/>
        </w:rPr>
        <w:t>itinerary</w:t>
      </w:r>
      <w:r w:rsidR="00371FB9">
        <w:t xml:space="preserve">, </w:t>
      </w:r>
      <w:r w:rsidR="00371FB9">
        <w:rPr>
          <w:i/>
        </w:rPr>
        <w:t>rickshaw</w:t>
      </w:r>
      <w:r w:rsidR="00371FB9">
        <w:t xml:space="preserve"> and </w:t>
      </w:r>
      <w:r w:rsidR="00371FB9">
        <w:rPr>
          <w:i/>
        </w:rPr>
        <w:t>cumbersome</w:t>
      </w:r>
      <w:r w:rsidR="00371FB9">
        <w:t xml:space="preserve"> </w:t>
      </w:r>
      <w:r>
        <w:t>on their copies of the text or in a vocabulary journal.</w:t>
      </w:r>
    </w:p>
    <w:p w14:paraId="48D7988F" w14:textId="4C9E191A" w:rsidR="007B1678" w:rsidRDefault="007B1678" w:rsidP="007B1678">
      <w:pPr>
        <w:pStyle w:val="Q"/>
      </w:pPr>
      <w:r>
        <w:t xml:space="preserve">How does the change in setting </w:t>
      </w:r>
      <w:r w:rsidR="005A4D05">
        <w:t>affect</w:t>
      </w:r>
      <w:r>
        <w:t xml:space="preserve"> Ashoke and Ashima?</w:t>
      </w:r>
    </w:p>
    <w:p w14:paraId="047D217B" w14:textId="6948B913" w:rsidR="00203ED6" w:rsidRDefault="00203ED6" w:rsidP="001A087C">
      <w:pPr>
        <w:pStyle w:val="SR"/>
      </w:pPr>
      <w:r>
        <w:t>Student responses may include:</w:t>
      </w:r>
    </w:p>
    <w:p w14:paraId="661C5DD6" w14:textId="5C3890C9" w:rsidR="00203ED6" w:rsidRDefault="0011735B" w:rsidP="001A087C">
      <w:pPr>
        <w:pStyle w:val="SASRBullet"/>
      </w:pPr>
      <w:r>
        <w:t xml:space="preserve">Ashima and Ashoke’s response to landing in Calcutta </w:t>
      </w:r>
      <w:r w:rsidR="00C63F78">
        <w:t>i</w:t>
      </w:r>
      <w:r w:rsidR="00203ED6">
        <w:t xml:space="preserve">ndicates their </w:t>
      </w:r>
      <w:r w:rsidR="005A4D05">
        <w:t>happiness at returning</w:t>
      </w:r>
      <w:r w:rsidR="00203ED6">
        <w:t xml:space="preserve"> to a countr</w:t>
      </w:r>
      <w:r w:rsidR="00445B9E">
        <w:t xml:space="preserve">y that they still see as home. Ashima “weeps with relief” at being reunited with her family, while Ashoke “kisses his brothers on both cheeks, holds their heads in </w:t>
      </w:r>
      <w:r w:rsidR="009D2DCA">
        <w:t xml:space="preserve">his </w:t>
      </w:r>
      <w:r w:rsidR="00445B9E">
        <w:t xml:space="preserve">hands” (p. 81). </w:t>
      </w:r>
    </w:p>
    <w:p w14:paraId="540508B3" w14:textId="16E9D7DC" w:rsidR="00445B9E" w:rsidRDefault="00445B9E" w:rsidP="001A087C">
      <w:pPr>
        <w:pStyle w:val="SASRBullet"/>
      </w:pPr>
      <w:r>
        <w:t>The change in setting transforms both Ashoke and Ashima, suggesting a whole new side to their identit</w:t>
      </w:r>
      <w:r w:rsidR="007E4810">
        <w:t>ies</w:t>
      </w:r>
      <w:r>
        <w:t xml:space="preserve"> of which their children are unaware. Ashima begins her transformation on the plane as she “slips into the bathroom and changes” (p. 81). The change in their parents shocks Gogol and Sonia as “before their eyes, Ashima and Ashoke slip into bolder, less complic</w:t>
      </w:r>
      <w:r w:rsidR="00415F42">
        <w:t>a</w:t>
      </w:r>
      <w:r>
        <w:t>ted versions of themselves, their voices louder, their smiles wider, revealing a confidence Gogol and Sonia never see on Pemberton Road” (pp. 81</w:t>
      </w:r>
      <w:r w:rsidR="006B6CE3">
        <w:t>–</w:t>
      </w:r>
      <w:r>
        <w:t xml:space="preserve">82). The pet names </w:t>
      </w:r>
      <w:r w:rsidR="005358DC">
        <w:t>that the Gangulis</w:t>
      </w:r>
      <w:r w:rsidR="006B6CE3">
        <w:t>’</w:t>
      </w:r>
      <w:r w:rsidR="005358DC">
        <w:t xml:space="preserve"> Indian families begin to use at the airport, </w:t>
      </w:r>
      <w:r>
        <w:t>“Monu”</w:t>
      </w:r>
      <w:r w:rsidR="009D2DCA">
        <w:t xml:space="preserve"> </w:t>
      </w:r>
      <w:r>
        <w:t xml:space="preserve">for Ashima and “Mithu” for Ashoke </w:t>
      </w:r>
      <w:r w:rsidR="00C63F78">
        <w:t xml:space="preserve">(p. 81) </w:t>
      </w:r>
      <w:r w:rsidR="00026F95">
        <w:t xml:space="preserve">also </w:t>
      </w:r>
      <w:r>
        <w:t xml:space="preserve">reflect their new, more carefree identities. </w:t>
      </w:r>
    </w:p>
    <w:p w14:paraId="4E46CAA7" w14:textId="240AD0E4" w:rsidR="007B1678" w:rsidRDefault="007B1678" w:rsidP="007B1678">
      <w:pPr>
        <w:pStyle w:val="Q"/>
      </w:pPr>
      <w:r>
        <w:lastRenderedPageBreak/>
        <w:t xml:space="preserve">How does Lahiri </w:t>
      </w:r>
      <w:r w:rsidR="005A4D05">
        <w:t>demonstrate</w:t>
      </w:r>
      <w:r>
        <w:t xml:space="preserve"> Gogol and Sonia’s relationship to their Bengali heritage</w:t>
      </w:r>
      <w:r w:rsidR="00E36439">
        <w:t xml:space="preserve"> </w:t>
      </w:r>
      <w:r w:rsidR="00F96C89">
        <w:t>during</w:t>
      </w:r>
      <w:r w:rsidR="00E36439">
        <w:t xml:space="preserve"> their trip to India</w:t>
      </w:r>
      <w:r>
        <w:t>?</w:t>
      </w:r>
    </w:p>
    <w:p w14:paraId="18205CDF" w14:textId="77777777" w:rsidR="00203ED6" w:rsidRDefault="00203ED6" w:rsidP="001A087C">
      <w:pPr>
        <w:pStyle w:val="SR"/>
      </w:pPr>
      <w:r>
        <w:t>Student responses may include:</w:t>
      </w:r>
    </w:p>
    <w:p w14:paraId="2C97925B" w14:textId="1130A7FC" w:rsidR="00203ED6" w:rsidRDefault="00832718" w:rsidP="001A087C">
      <w:pPr>
        <w:pStyle w:val="SASRBullet"/>
      </w:pPr>
      <w:r>
        <w:t>As Ashoke checks the family in at the airport, he produces “two U.S. passports and two Indian one</w:t>
      </w:r>
      <w:r w:rsidR="00415F42">
        <w:t>s</w:t>
      </w:r>
      <w:r>
        <w:t>” and asks for “</w:t>
      </w:r>
      <w:r w:rsidR="009D2DCA">
        <w:t>‘[</w:t>
      </w:r>
      <w:r>
        <w:t>t</w:t>
      </w:r>
      <w:r w:rsidR="009D2DCA">
        <w:t>]</w:t>
      </w:r>
      <w:r>
        <w:t>wo Hindu meals</w:t>
      </w:r>
      <w:r w:rsidR="009D2DCA">
        <w:t>’</w:t>
      </w:r>
      <w:r>
        <w:t xml:space="preserve">” (p. 80). The differences between Gogol and Sonia’s passports and their eating habits and those of their parents suggest that they do not identify with India in the way that Ashima and Ashoke do. </w:t>
      </w:r>
    </w:p>
    <w:p w14:paraId="02C54E2F" w14:textId="12A919A2" w:rsidR="00EC6DF3" w:rsidRDefault="00832718" w:rsidP="001A087C">
      <w:pPr>
        <w:pStyle w:val="SASRBullet"/>
      </w:pPr>
      <w:r>
        <w:t>On the</w:t>
      </w:r>
      <w:r w:rsidR="00EC6DF3">
        <w:t xml:space="preserve"> plane</w:t>
      </w:r>
      <w:r>
        <w:t xml:space="preserve">, Gogol “savors each mouthful” of his </w:t>
      </w:r>
      <w:r w:rsidR="00B7525B">
        <w:t>omelet</w:t>
      </w:r>
      <w:r>
        <w:t xml:space="preserve">, “aware that for the next eight months nothing will taste quite the same” (p. 81). For Gogol, the meal represents a last taste of home, suggesting that while India is home for his parents, the same is not true for Gogol. </w:t>
      </w:r>
    </w:p>
    <w:p w14:paraId="69CFDEC5" w14:textId="1C6A5DD5" w:rsidR="00EB0EDD" w:rsidRDefault="00EB0EDD" w:rsidP="001A087C">
      <w:pPr>
        <w:pStyle w:val="SASRBullet"/>
      </w:pPr>
      <w:r>
        <w:t>The contrast between Gogol and Sonia’s feelings on arrival in Calcutta and those of their parents suggests that unlike Ashima and As</w:t>
      </w:r>
      <w:r w:rsidR="008A6C2E">
        <w:t>h</w:t>
      </w:r>
      <w:r>
        <w:t>oke, they do not feel comfortable in India. When Ashima and Ashoke greet their Bengali family, Gogol and Sonia, although they know their relatives</w:t>
      </w:r>
      <w:r w:rsidR="00FB695E">
        <w:t>,</w:t>
      </w:r>
      <w:r>
        <w:t xml:space="preserve"> “do not feel close to them as their parents do” (p. 81).</w:t>
      </w:r>
    </w:p>
    <w:p w14:paraId="75B5FEB2" w14:textId="567E2623" w:rsidR="00EB0EDD" w:rsidRDefault="00EB0EDD" w:rsidP="001A087C">
      <w:pPr>
        <w:pStyle w:val="SASRBullet"/>
      </w:pPr>
      <w:r>
        <w:t>Gogol is unable to go running in Calcutta because he,</w:t>
      </w:r>
      <w:r w:rsidR="00E36439">
        <w:t xml:space="preserve"> </w:t>
      </w:r>
      <w:r>
        <w:t>“in spite of his many visits, has no sense of direction”</w:t>
      </w:r>
      <w:r w:rsidR="00F835D2">
        <w:t xml:space="preserve"> (p. 83)</w:t>
      </w:r>
      <w:r>
        <w:t xml:space="preserve"> and Uma Maima has to send a servant after him to prevent him from getting lost. Gogol’s lack of direction and sense of “confinement” suggest his discomfort in India, in contrast to Ashima, who “wanders freely” (p. 83).</w:t>
      </w:r>
    </w:p>
    <w:p w14:paraId="3198EEBF" w14:textId="5294CC83" w:rsidR="003274A7" w:rsidRDefault="00832718" w:rsidP="001A087C">
      <w:pPr>
        <w:pStyle w:val="SASRBullet"/>
      </w:pPr>
      <w:r>
        <w:t>The list of different titles for Gogol and Sonia’s various aunts and uncles, “</w:t>
      </w:r>
      <w:r>
        <w:rPr>
          <w:i/>
        </w:rPr>
        <w:t xml:space="preserve">mashi </w:t>
      </w:r>
      <w:r>
        <w:t xml:space="preserve">and </w:t>
      </w:r>
      <w:r>
        <w:rPr>
          <w:i/>
        </w:rPr>
        <w:t>pishi</w:t>
      </w:r>
      <w:r>
        <w:t xml:space="preserve">, </w:t>
      </w:r>
      <w:r>
        <w:rPr>
          <w:i/>
        </w:rPr>
        <w:t>mama</w:t>
      </w:r>
      <w:r>
        <w:t xml:space="preserve"> and </w:t>
      </w:r>
      <w:r>
        <w:rPr>
          <w:i/>
        </w:rPr>
        <w:t>maima</w:t>
      </w:r>
      <w:r>
        <w:t xml:space="preserve">, </w:t>
      </w:r>
      <w:r>
        <w:rPr>
          <w:i/>
        </w:rPr>
        <w:t xml:space="preserve">kaku </w:t>
      </w:r>
      <w:r>
        <w:t xml:space="preserve">and </w:t>
      </w:r>
      <w:r>
        <w:rPr>
          <w:i/>
        </w:rPr>
        <w:t>jethu</w:t>
      </w:r>
      <w:r>
        <w:t>” (p. 81) represents the complexity of life in India for Gogol and Sonia. While they are confident and comfortable in American society</w:t>
      </w:r>
      <w:r w:rsidR="004845C5">
        <w:t xml:space="preserve">, they must use a “far more specific” vocabulary </w:t>
      </w:r>
      <w:r w:rsidR="00FB695E">
        <w:t xml:space="preserve">(p. 81) </w:t>
      </w:r>
      <w:r w:rsidR="004845C5">
        <w:t xml:space="preserve">in Calcutta. </w:t>
      </w:r>
    </w:p>
    <w:p w14:paraId="67A75DD9" w14:textId="4A11E259" w:rsidR="0010392F" w:rsidRDefault="005A4D05" w:rsidP="001A087C">
      <w:pPr>
        <w:pStyle w:val="SASRBullet"/>
      </w:pPr>
      <w:r>
        <w:t xml:space="preserve">Gogol and his sister grow closer in Calcutta as Sonia represents Gogol’s “only ally, the only person to speak and sit and see as he does” (p. 84). The two of them share “excruciating cravings” for American food, which they can only admit “privately” </w:t>
      </w:r>
      <w:r w:rsidR="00F835D2">
        <w:t xml:space="preserve">(p. 84) </w:t>
      </w:r>
      <w:r>
        <w:t>to one another.</w:t>
      </w:r>
      <w:r w:rsidR="009905E4">
        <w:t xml:space="preserve"> </w:t>
      </w:r>
      <w:r w:rsidR="004A7BF7">
        <w:t>The</w:t>
      </w:r>
      <w:r w:rsidR="009905E4">
        <w:t xml:space="preserve"> siblings share a </w:t>
      </w:r>
      <w:r w:rsidR="00E00C3B">
        <w:t>yearning</w:t>
      </w:r>
      <w:r w:rsidR="009905E4">
        <w:t xml:space="preserve"> for Boston, and feel out of place in Calcutta.</w:t>
      </w:r>
    </w:p>
    <w:p w14:paraId="29A125FB" w14:textId="1501C451" w:rsidR="00EB0EDD" w:rsidRDefault="00EB0EDD" w:rsidP="001A087C">
      <w:pPr>
        <w:pStyle w:val="SASRBullet"/>
      </w:pPr>
      <w:r>
        <w:t>The sickness suffered by Gogol and Sonia in Calcutta, as they both “get terribly ill” (p. 86)</w:t>
      </w:r>
      <w:r w:rsidR="009905E4">
        <w:t xml:space="preserve"> highlights their discomfort. The attitude of their Bengali relatives, who remark that Sonia and Gogol “were not ma</w:t>
      </w:r>
      <w:r w:rsidR="00927A7D">
        <w:t xml:space="preserve">de to survive in a poor country” (p. 86) highlights the sense that Sonia and Gogol do not belong in India, that they are foreigners in Calcutta, unlike their parents. </w:t>
      </w:r>
    </w:p>
    <w:p w14:paraId="5E6E9ABC" w14:textId="054367B2" w:rsidR="007B1678" w:rsidRDefault="009F27EE" w:rsidP="007B1678">
      <w:pPr>
        <w:pStyle w:val="Q"/>
      </w:pPr>
      <w:r>
        <w:t>In what ways do</w:t>
      </w:r>
      <w:r w:rsidR="00F842AD">
        <w:t xml:space="preserve"> the</w:t>
      </w:r>
      <w:r w:rsidR="00B44404">
        <w:t xml:space="preserve"> visit to Calcutta and the</w:t>
      </w:r>
      <w:r w:rsidR="00F842AD">
        <w:t xml:space="preserve"> return to Pemberton Road impact the relationship</w:t>
      </w:r>
      <w:r>
        <w:t>s</w:t>
      </w:r>
      <w:r w:rsidR="00F842AD">
        <w:t xml:space="preserve"> </w:t>
      </w:r>
      <w:r>
        <w:t>in the</w:t>
      </w:r>
      <w:r w:rsidR="00F842AD">
        <w:t xml:space="preserve"> Ganguli</w:t>
      </w:r>
      <w:r>
        <w:t xml:space="preserve"> family</w:t>
      </w:r>
      <w:r w:rsidR="00F842AD">
        <w:t>?</w:t>
      </w:r>
    </w:p>
    <w:p w14:paraId="5893E417" w14:textId="165CB48A" w:rsidR="003274A7" w:rsidRDefault="003274A7" w:rsidP="001A087C">
      <w:pPr>
        <w:pStyle w:val="SR"/>
      </w:pPr>
      <w:r>
        <w:t>Student responses may include:</w:t>
      </w:r>
    </w:p>
    <w:p w14:paraId="534ABEC8" w14:textId="2B2555B6" w:rsidR="00B44404" w:rsidRDefault="009F46D3" w:rsidP="001A087C">
      <w:pPr>
        <w:pStyle w:val="SASRBullet"/>
        <w:numPr>
          <w:ilvl w:val="1"/>
          <w:numId w:val="4"/>
        </w:numPr>
      </w:pPr>
      <w:r>
        <w:lastRenderedPageBreak/>
        <w:t xml:space="preserve">During the visit to </w:t>
      </w:r>
      <w:r w:rsidR="00B44404">
        <w:t>Calcutta</w:t>
      </w:r>
      <w:r w:rsidR="00F32175">
        <w:t>,</w:t>
      </w:r>
      <w:r w:rsidR="00B44404">
        <w:t xml:space="preserve"> </w:t>
      </w:r>
      <w:r>
        <w:t xml:space="preserve">the relationship between Ashima and Ashoke and their children </w:t>
      </w:r>
      <w:r w:rsidR="00B91320">
        <w:t>changes</w:t>
      </w:r>
      <w:r>
        <w:t xml:space="preserve">. Ashima and Ashoke are less comfortable than their children in American culture: preparing for Gogol’s parties, Ashima finds cooking for the larger Bengali party “less stressful </w:t>
      </w:r>
      <w:r w:rsidR="00EB0A07">
        <w:t xml:space="preserve">to her </w:t>
      </w:r>
      <w:r>
        <w:t xml:space="preserve">than </w:t>
      </w:r>
      <w:r w:rsidR="00EB0A07">
        <w:t>the task of feeding a handful of American children” (p. 72). In Calcutta, the reverse is true: Ashima, who is rarely seen out of the kitchen in America, “does not set foot in the kitchen. She wanders freely around a city in which Gogol, in spite of his many visits, has no sense of direction”</w:t>
      </w:r>
      <w:r w:rsidR="00F835D2">
        <w:t xml:space="preserve"> </w:t>
      </w:r>
      <w:r w:rsidR="00EB0A07">
        <w:t>(p. 83). In India, Ashoke and Ashima enjoy greater comfort and freedom than Sonia, who is “</w:t>
      </w:r>
      <w:r w:rsidR="00F835D2">
        <w:t>‘</w:t>
      </w:r>
      <w:r w:rsidR="00EB0A07">
        <w:t>scared</w:t>
      </w:r>
      <w:r w:rsidR="00F835D2">
        <w:t>’</w:t>
      </w:r>
      <w:r w:rsidR="00EB0A07">
        <w:t>” (p. 82) or Gogol, who, unable even to go running, must “surrender to confinement” (p. 83).</w:t>
      </w:r>
    </w:p>
    <w:p w14:paraId="7585D6FE" w14:textId="4D5A2F15" w:rsidR="00B44404" w:rsidRDefault="00B44404" w:rsidP="001A087C">
      <w:pPr>
        <w:pStyle w:val="SASRBullet"/>
        <w:numPr>
          <w:ilvl w:val="1"/>
          <w:numId w:val="4"/>
        </w:numPr>
      </w:pPr>
      <w:r>
        <w:t xml:space="preserve">In Calcutta, </w:t>
      </w:r>
      <w:r w:rsidR="00EB0A07">
        <w:t xml:space="preserve">the Gangulis are </w:t>
      </w:r>
      <w:r>
        <w:t xml:space="preserve">part of a </w:t>
      </w:r>
      <w:r w:rsidR="00416994">
        <w:t>larger family</w:t>
      </w:r>
      <w:r w:rsidR="00EB0A07">
        <w:t>, rather than four individuals. They do not rent their own apartment, but rather “spend eight months with their various relatives, shuttling from home to home” (p. 83). For Gogol, the eight months in Calcutta represent</w:t>
      </w:r>
      <w:r w:rsidR="00DB3D9F">
        <w:t>s</w:t>
      </w:r>
      <w:r w:rsidR="00EB0A07">
        <w:t xml:space="preserve"> “</w:t>
      </w:r>
      <w:r w:rsidR="00EB0A07" w:rsidRPr="0011735B">
        <w:rPr>
          <w:rFonts w:asciiTheme="majorHAnsi" w:hAnsiTheme="majorHAnsi"/>
        </w:rPr>
        <w:t>eight months without a room of his own, without his records and his stereo” (p. 79)</w:t>
      </w:r>
      <w:r w:rsidR="00EB0A07">
        <w:rPr>
          <w:rFonts w:asciiTheme="majorHAnsi" w:hAnsiTheme="majorHAnsi"/>
        </w:rPr>
        <w:t xml:space="preserve"> in which he must live without privacy. </w:t>
      </w:r>
      <w:r w:rsidR="00927A7D">
        <w:t>With their return to Pemberton Road</w:t>
      </w:r>
      <w:r w:rsidR="00BB1DF4">
        <w:t>,</w:t>
      </w:r>
      <w:r w:rsidR="00927A7D">
        <w:t xml:space="preserve"> the Gangulis are once more four individuals rather than part of a larger family unit, and they “retreat to their three rooms, to their three separate beds” (p. 87).</w:t>
      </w:r>
    </w:p>
    <w:p w14:paraId="1672D13D" w14:textId="54C62F68" w:rsidR="00566D3B" w:rsidRDefault="006A3978" w:rsidP="001A087C">
      <w:pPr>
        <w:pStyle w:val="SASRBullet"/>
        <w:numPr>
          <w:ilvl w:val="1"/>
          <w:numId w:val="4"/>
        </w:numPr>
      </w:pPr>
      <w:r>
        <w:t xml:space="preserve">When the Gangulis return to Pemberton Road, they slip easily back into their previous relationships “as if they’ve never been gone” (p. 87). Family members resume the </w:t>
      </w:r>
      <w:r w:rsidR="00AE60EF">
        <w:t xml:space="preserve">lives they led </w:t>
      </w:r>
      <w:r w:rsidR="008E4A02">
        <w:t>before the trip to Calcutta</w:t>
      </w:r>
      <w:r>
        <w:t xml:space="preserve"> </w:t>
      </w:r>
      <w:r w:rsidR="00566D3B">
        <w:t>and soon</w:t>
      </w:r>
      <w:r w:rsidR="00416994">
        <w:t xml:space="preserve"> there is no sign that life was ever any different as the eight months </w:t>
      </w:r>
      <w:r w:rsidR="00BB1DF4">
        <w:t>in India “</w:t>
      </w:r>
      <w:r w:rsidR="00416994">
        <w:t xml:space="preserve">are put behind them, quickly shed, quickly forgotten” (p. 88). </w:t>
      </w:r>
    </w:p>
    <w:p w14:paraId="54542F2F" w14:textId="72C70971" w:rsidR="007A12FD" w:rsidRPr="00054313" w:rsidRDefault="00566D3B" w:rsidP="00566D3B">
      <w:pPr>
        <w:pStyle w:val="TA"/>
      </w:pPr>
      <w:r>
        <w:t xml:space="preserve"> </w:t>
      </w:r>
      <w:r w:rsidR="007A12FD">
        <w:t>Lead a brief whole-class discussion of student</w:t>
      </w:r>
      <w:r w:rsidR="00DB3D9F">
        <w:t xml:space="preserve"> </w:t>
      </w:r>
      <w:r w:rsidR="007A12FD">
        <w:t>responses.</w:t>
      </w:r>
    </w:p>
    <w:p w14:paraId="3CA30686" w14:textId="696BE2D0" w:rsidR="007A12FD" w:rsidRPr="0063473E" w:rsidRDefault="007A12FD" w:rsidP="007A12FD">
      <w:pPr>
        <w:pStyle w:val="LearningSequenceHeader"/>
        <w:rPr>
          <w:rFonts w:asciiTheme="majorHAnsi" w:hAnsiTheme="majorHAnsi"/>
        </w:rPr>
      </w:pPr>
      <w:r w:rsidRPr="0063473E">
        <w:rPr>
          <w:rFonts w:asciiTheme="majorHAnsi" w:hAnsiTheme="majorHAnsi"/>
        </w:rPr>
        <w:t xml:space="preserve">Activity </w:t>
      </w:r>
      <w:r w:rsidR="00F835D2">
        <w:rPr>
          <w:rFonts w:asciiTheme="majorHAnsi" w:hAnsiTheme="majorHAnsi"/>
        </w:rPr>
        <w:t>4</w:t>
      </w:r>
      <w:r w:rsidRPr="0063473E">
        <w:rPr>
          <w:rFonts w:asciiTheme="majorHAnsi" w:hAnsiTheme="majorHAnsi"/>
        </w:rPr>
        <w:t>: Quick Write</w:t>
      </w:r>
      <w:r w:rsidRPr="0063473E">
        <w:rPr>
          <w:rFonts w:asciiTheme="majorHAnsi" w:hAnsiTheme="majorHAnsi"/>
        </w:rPr>
        <w:tab/>
        <w:t>15%</w:t>
      </w:r>
    </w:p>
    <w:p w14:paraId="553E2476" w14:textId="77777777" w:rsidR="007A12FD" w:rsidRPr="0063473E" w:rsidRDefault="007A12FD" w:rsidP="007A12FD">
      <w:pPr>
        <w:pStyle w:val="TA"/>
        <w:rPr>
          <w:rFonts w:asciiTheme="majorHAnsi" w:hAnsiTheme="majorHAnsi"/>
        </w:rPr>
      </w:pPr>
      <w:r w:rsidRPr="0063473E">
        <w:rPr>
          <w:rFonts w:asciiTheme="majorHAnsi" w:hAnsiTheme="majorHAnsi"/>
        </w:rPr>
        <w:t>Instruct students to respond briefly in writing to the following prompt</w:t>
      </w:r>
      <w:r>
        <w:rPr>
          <w:rFonts w:asciiTheme="majorHAnsi" w:hAnsiTheme="majorHAnsi"/>
        </w:rPr>
        <w:t>:</w:t>
      </w:r>
      <w:r w:rsidRPr="0063473E">
        <w:rPr>
          <w:rFonts w:asciiTheme="majorHAnsi" w:hAnsiTheme="majorHAnsi"/>
        </w:rPr>
        <w:t xml:space="preserve"> </w:t>
      </w:r>
    </w:p>
    <w:p w14:paraId="4C099E47" w14:textId="15CF09B3" w:rsidR="007A12FD" w:rsidRPr="0063473E" w:rsidRDefault="00C42E81" w:rsidP="007A12FD">
      <w:pPr>
        <w:pStyle w:val="Q"/>
        <w:rPr>
          <w:rFonts w:asciiTheme="majorHAnsi" w:hAnsiTheme="majorHAnsi"/>
        </w:rPr>
      </w:pPr>
      <w:r>
        <w:rPr>
          <w:rFonts w:asciiTheme="majorHAnsi" w:hAnsiTheme="majorHAnsi"/>
        </w:rPr>
        <w:t>Analyze the relationship between Gogol and his parents in this excerpt.</w:t>
      </w:r>
    </w:p>
    <w:p w14:paraId="2809FAB6" w14:textId="77777777" w:rsidR="007A12FD" w:rsidRPr="0007208A" w:rsidRDefault="007A12FD" w:rsidP="007A12FD">
      <w:pPr>
        <w:pStyle w:val="TA"/>
      </w:pPr>
      <w:r w:rsidRPr="000752C0">
        <w:t>Instruct students to look at their annotations to find evidence. Ask students to use this lesson’s vocabulary wherever possib</w:t>
      </w:r>
      <w:r>
        <w:t xml:space="preserve">le in their written responses. </w:t>
      </w:r>
    </w:p>
    <w:p w14:paraId="21E3E7B1" w14:textId="77777777" w:rsidR="007A12FD" w:rsidRPr="0063473E" w:rsidRDefault="007A12FD" w:rsidP="007A12FD">
      <w:pPr>
        <w:pStyle w:val="SA"/>
        <w:numPr>
          <w:ilvl w:val="0"/>
          <w:numId w:val="2"/>
        </w:numPr>
        <w:rPr>
          <w:rFonts w:asciiTheme="majorHAnsi" w:hAnsiTheme="majorHAnsi"/>
        </w:rPr>
      </w:pPr>
      <w:r w:rsidRPr="0063473E">
        <w:rPr>
          <w:rFonts w:asciiTheme="majorHAnsi" w:hAnsiTheme="majorHAnsi"/>
        </w:rPr>
        <w:t>Students listen and read the Quick Write prompt.</w:t>
      </w:r>
    </w:p>
    <w:p w14:paraId="3F3C4765" w14:textId="77777777" w:rsidR="007A12FD" w:rsidRPr="0063473E" w:rsidRDefault="007A12FD" w:rsidP="007A12FD">
      <w:pPr>
        <w:pStyle w:val="IN"/>
        <w:rPr>
          <w:rFonts w:asciiTheme="majorHAnsi" w:hAnsiTheme="majorHAnsi"/>
        </w:rPr>
      </w:pPr>
      <w:r w:rsidRPr="0063473E">
        <w:rPr>
          <w:rFonts w:asciiTheme="majorHAnsi" w:hAnsiTheme="majorHAnsi"/>
        </w:rPr>
        <w:t>Display the prompt for students to see, or provide the prompt in hard copy.</w:t>
      </w:r>
    </w:p>
    <w:p w14:paraId="068BBC38" w14:textId="77777777" w:rsidR="007A12FD" w:rsidRPr="0063473E" w:rsidRDefault="007A12FD" w:rsidP="007A12FD">
      <w:pPr>
        <w:pStyle w:val="TA"/>
        <w:rPr>
          <w:rFonts w:asciiTheme="majorHAnsi" w:hAnsiTheme="majorHAnsi" w:cs="Cambria"/>
        </w:rPr>
      </w:pPr>
      <w:r w:rsidRPr="0063473E">
        <w:rPr>
          <w:rFonts w:asciiTheme="majorHAnsi" w:hAnsiTheme="majorHAnsi" w:cs="Cambria"/>
        </w:rPr>
        <w:t>Transition to the independent Quick Write.</w:t>
      </w:r>
      <w:r w:rsidRPr="0063473E">
        <w:rPr>
          <w:rFonts w:asciiTheme="majorHAnsi" w:hAnsiTheme="majorHAnsi"/>
        </w:rPr>
        <w:t xml:space="preserve"> </w:t>
      </w:r>
    </w:p>
    <w:p w14:paraId="39C0719B" w14:textId="77777777" w:rsidR="007A12FD" w:rsidRPr="0063473E" w:rsidRDefault="007A12FD" w:rsidP="007A12FD">
      <w:pPr>
        <w:pStyle w:val="SA"/>
        <w:numPr>
          <w:ilvl w:val="0"/>
          <w:numId w:val="2"/>
        </w:numPr>
        <w:rPr>
          <w:rFonts w:asciiTheme="majorHAnsi" w:hAnsiTheme="majorHAnsi"/>
        </w:rPr>
      </w:pPr>
      <w:r w:rsidRPr="0063473E">
        <w:rPr>
          <w:rFonts w:asciiTheme="majorHAnsi" w:hAnsiTheme="majorHAnsi"/>
        </w:rPr>
        <w:t xml:space="preserve">Students independently answer the prompt, using evidence from the text. </w:t>
      </w:r>
    </w:p>
    <w:p w14:paraId="26D3292B" w14:textId="77777777" w:rsidR="007A12FD" w:rsidRDefault="007A12FD" w:rsidP="001A087C">
      <w:pPr>
        <w:pStyle w:val="SR"/>
      </w:pPr>
      <w:r w:rsidRPr="0063473E">
        <w:t>See the High Performance Response at the beginning of this lesson.</w:t>
      </w:r>
    </w:p>
    <w:p w14:paraId="0DDF12A4" w14:textId="6F2B7D5B" w:rsidR="007A12FD" w:rsidRPr="0007208A" w:rsidRDefault="007A12FD" w:rsidP="007A12FD">
      <w:pPr>
        <w:pStyle w:val="IN"/>
        <w:ind w:left="426" w:hanging="426"/>
      </w:pPr>
      <w:r>
        <w:lastRenderedPageBreak/>
        <w:t>Consider using the Short Response Rubric to assess students’ writing. Students may use the Short Response Rubric and Checklist to guide their written responses</w:t>
      </w:r>
      <w:r w:rsidR="00F835D2">
        <w:t>.</w:t>
      </w:r>
    </w:p>
    <w:p w14:paraId="41DAE403" w14:textId="6AE936A1" w:rsidR="007A12FD" w:rsidRPr="0063473E" w:rsidRDefault="007A12FD" w:rsidP="00361FA2">
      <w:pPr>
        <w:pStyle w:val="LearningSequenceHeader"/>
        <w:keepNext/>
        <w:rPr>
          <w:rFonts w:asciiTheme="majorHAnsi" w:hAnsiTheme="majorHAnsi"/>
        </w:rPr>
      </w:pPr>
      <w:r w:rsidRPr="0063473E">
        <w:rPr>
          <w:rFonts w:asciiTheme="majorHAnsi" w:hAnsiTheme="majorHAnsi"/>
        </w:rPr>
        <w:t xml:space="preserve">Activity </w:t>
      </w:r>
      <w:r w:rsidR="00F835D2">
        <w:rPr>
          <w:rFonts w:asciiTheme="majorHAnsi" w:hAnsiTheme="majorHAnsi"/>
        </w:rPr>
        <w:t>5</w:t>
      </w:r>
      <w:r w:rsidRPr="0063473E">
        <w:rPr>
          <w:rFonts w:asciiTheme="majorHAnsi" w:hAnsiTheme="majorHAnsi"/>
        </w:rPr>
        <w:t>: Closing</w:t>
      </w:r>
      <w:r w:rsidRPr="0063473E">
        <w:rPr>
          <w:rFonts w:asciiTheme="majorHAnsi" w:hAnsiTheme="majorHAnsi"/>
        </w:rPr>
        <w:tab/>
        <w:t>5%</w:t>
      </w:r>
    </w:p>
    <w:p w14:paraId="6167878A" w14:textId="58C21FF2" w:rsidR="007B1678" w:rsidRDefault="007A12FD" w:rsidP="00361FA2">
      <w:pPr>
        <w:pStyle w:val="TA"/>
      </w:pPr>
      <w:r w:rsidRPr="0063473E">
        <w:rPr>
          <w:szCs w:val="20"/>
          <w:shd w:val="clear" w:color="auto" w:fill="FFFFFF"/>
        </w:rPr>
        <w:t xml:space="preserve">Display and distribute the homework assignment. For homework, </w:t>
      </w:r>
      <w:r w:rsidR="007B1678">
        <w:rPr>
          <w:szCs w:val="20"/>
          <w:shd w:val="clear" w:color="auto" w:fill="FFFFFF"/>
        </w:rPr>
        <w:t>instruct students to re</w:t>
      </w:r>
      <w:r w:rsidR="00BF1237">
        <w:rPr>
          <w:szCs w:val="20"/>
          <w:shd w:val="clear" w:color="auto" w:fill="FFFFFF"/>
        </w:rPr>
        <w:t>view</w:t>
      </w:r>
      <w:r w:rsidR="007B1678">
        <w:rPr>
          <w:szCs w:val="20"/>
          <w:shd w:val="clear" w:color="auto" w:fill="FFFFFF"/>
        </w:rPr>
        <w:t xml:space="preserve"> pages 72</w:t>
      </w:r>
      <w:r w:rsidR="00DB3D9F">
        <w:rPr>
          <w:szCs w:val="20"/>
          <w:shd w:val="clear" w:color="auto" w:fill="FFFFFF"/>
        </w:rPr>
        <w:t>–</w:t>
      </w:r>
      <w:r w:rsidR="007B1678">
        <w:rPr>
          <w:szCs w:val="20"/>
          <w:shd w:val="clear" w:color="auto" w:fill="FFFFFF"/>
        </w:rPr>
        <w:t xml:space="preserve">88 of </w:t>
      </w:r>
      <w:r w:rsidR="007B1678">
        <w:rPr>
          <w:i/>
          <w:szCs w:val="20"/>
          <w:shd w:val="clear" w:color="auto" w:fill="FFFFFF"/>
        </w:rPr>
        <w:t xml:space="preserve">The Namesake </w:t>
      </w:r>
      <w:r w:rsidR="007B1678">
        <w:t>(from “Gogol’s fourteenth birthday. Like most events in his life” to “suddenly cumbersome, irrelevant to their lives</w:t>
      </w:r>
      <w:r w:rsidR="007B1678">
        <w:rPr>
          <w:i/>
        </w:rPr>
        <w:t>”</w:t>
      </w:r>
      <w:r w:rsidR="007B1678">
        <w:t>) and respond briefly in writing to the following prompt:</w:t>
      </w:r>
    </w:p>
    <w:p w14:paraId="1AAD8E8F" w14:textId="73A5D059" w:rsidR="007B1678" w:rsidRPr="007B1678" w:rsidRDefault="007B1678" w:rsidP="007B1678">
      <w:pPr>
        <w:pStyle w:val="Q"/>
        <w:rPr>
          <w:shd w:val="clear" w:color="auto" w:fill="FFFFFF"/>
        </w:rPr>
      </w:pPr>
      <w:r>
        <w:rPr>
          <w:shd w:val="clear" w:color="auto" w:fill="FFFFFF"/>
        </w:rPr>
        <w:t>Analyze the relationship between Gogol and Sonia in this excerpt.</w:t>
      </w:r>
    </w:p>
    <w:p w14:paraId="5202AD34" w14:textId="2A507656" w:rsidR="007A12FD" w:rsidRDefault="007B1678" w:rsidP="00361FA2">
      <w:pPr>
        <w:pStyle w:val="TA"/>
      </w:pPr>
      <w:r>
        <w:rPr>
          <w:szCs w:val="20"/>
          <w:shd w:val="clear" w:color="auto" w:fill="FFFFFF"/>
        </w:rPr>
        <w:t xml:space="preserve">Also for homework, </w:t>
      </w:r>
      <w:r w:rsidR="007A12FD" w:rsidRPr="0063473E">
        <w:rPr>
          <w:szCs w:val="20"/>
          <w:shd w:val="clear" w:color="auto" w:fill="FFFFFF"/>
        </w:rPr>
        <w:t xml:space="preserve">instruct students to </w:t>
      </w:r>
      <w:r w:rsidR="007A12FD">
        <w:t>read</w:t>
      </w:r>
      <w:r w:rsidR="007239C7">
        <w:t xml:space="preserve"> </w:t>
      </w:r>
      <w:r w:rsidR="00002776">
        <w:t>pages 88</w:t>
      </w:r>
      <w:r w:rsidR="00DB3D9F">
        <w:t>–</w:t>
      </w:r>
      <w:r w:rsidR="00002776">
        <w:t>96</w:t>
      </w:r>
      <w:r>
        <w:t xml:space="preserve"> of </w:t>
      </w:r>
      <w:r>
        <w:rPr>
          <w:i/>
        </w:rPr>
        <w:t>The Namesake</w:t>
      </w:r>
      <w:r w:rsidR="007A12FD">
        <w:t xml:space="preserve"> (from </w:t>
      </w:r>
      <w:r>
        <w:rPr>
          <w:i/>
        </w:rPr>
        <w:t>“</w:t>
      </w:r>
      <w:r>
        <w:t>In September, Gogol returns to high school</w:t>
      </w:r>
      <w:r w:rsidR="007A12FD">
        <w:t>” to “</w:t>
      </w:r>
      <w:r>
        <w:t>That Gogol had had nothing to do with it</w:t>
      </w:r>
      <w:r w:rsidR="007A12FD">
        <w:rPr>
          <w:i/>
        </w:rPr>
        <w:t>”</w:t>
      </w:r>
      <w:r w:rsidR="007A12FD">
        <w:t>)</w:t>
      </w:r>
      <w:r w:rsidR="00C42E81">
        <w:t xml:space="preserve"> </w:t>
      </w:r>
      <w:r>
        <w:t xml:space="preserve">and annotate </w:t>
      </w:r>
      <w:r w:rsidR="00C42E81">
        <w:t>for</w:t>
      </w:r>
      <w:r>
        <w:t xml:space="preserve"> </w:t>
      </w:r>
      <w:r w:rsidR="00BF1237">
        <w:t xml:space="preserve">the development of </w:t>
      </w:r>
      <w:r>
        <w:t>central ideas</w:t>
      </w:r>
      <w:r w:rsidR="00BF1237">
        <w:t xml:space="preserve"> </w:t>
      </w:r>
      <w:r w:rsidR="009C3624">
        <w:rPr>
          <w:color w:val="4F81BD" w:themeColor="accent1"/>
        </w:rPr>
        <w:t>(W.11-12.9.a)</w:t>
      </w:r>
      <w:r w:rsidR="00BF1237" w:rsidRPr="00FB695E">
        <w:t>.</w:t>
      </w:r>
      <w:r w:rsidR="007A12FD" w:rsidRPr="00DB3D9F">
        <w:t xml:space="preserve"> </w:t>
      </w:r>
    </w:p>
    <w:p w14:paraId="4BBB842C" w14:textId="77777777" w:rsidR="007A12FD" w:rsidRPr="0063473E" w:rsidRDefault="007A12FD" w:rsidP="00361FA2">
      <w:pPr>
        <w:pStyle w:val="SA"/>
      </w:pPr>
      <w:r w:rsidRPr="0063473E">
        <w:t>Students follow along.</w:t>
      </w:r>
    </w:p>
    <w:p w14:paraId="73CA757B" w14:textId="77777777" w:rsidR="007A12FD" w:rsidRPr="0063473E" w:rsidRDefault="007A12FD" w:rsidP="007A12FD">
      <w:pPr>
        <w:pStyle w:val="Heading1"/>
        <w:rPr>
          <w:rFonts w:asciiTheme="majorHAnsi" w:hAnsiTheme="majorHAnsi"/>
        </w:rPr>
      </w:pPr>
      <w:r w:rsidRPr="0063473E">
        <w:rPr>
          <w:rFonts w:asciiTheme="majorHAnsi" w:hAnsiTheme="majorHAnsi"/>
        </w:rPr>
        <w:t>Homework</w:t>
      </w:r>
    </w:p>
    <w:p w14:paraId="19B61CFF" w14:textId="51DDFBB0" w:rsidR="007A12FD" w:rsidRPr="0063473E" w:rsidRDefault="007B1678" w:rsidP="007A12FD">
      <w:pPr>
        <w:rPr>
          <w:rFonts w:asciiTheme="majorHAnsi" w:hAnsiTheme="majorHAnsi"/>
        </w:rPr>
      </w:pPr>
      <w:r>
        <w:rPr>
          <w:rFonts w:asciiTheme="majorHAnsi" w:hAnsiTheme="majorHAnsi"/>
          <w:szCs w:val="20"/>
          <w:shd w:val="clear" w:color="auto" w:fill="FFFFFF"/>
        </w:rPr>
        <w:t>Re</w:t>
      </w:r>
      <w:r w:rsidR="00AB422C">
        <w:rPr>
          <w:rFonts w:asciiTheme="majorHAnsi" w:hAnsiTheme="majorHAnsi"/>
          <w:szCs w:val="20"/>
          <w:shd w:val="clear" w:color="auto" w:fill="FFFFFF"/>
        </w:rPr>
        <w:t>view</w:t>
      </w:r>
      <w:r>
        <w:rPr>
          <w:rFonts w:asciiTheme="majorHAnsi" w:hAnsiTheme="majorHAnsi"/>
          <w:szCs w:val="20"/>
          <w:shd w:val="clear" w:color="auto" w:fill="FFFFFF"/>
        </w:rPr>
        <w:t xml:space="preserve"> pages 72</w:t>
      </w:r>
      <w:r w:rsidR="00DB3D9F">
        <w:rPr>
          <w:rFonts w:asciiTheme="majorHAnsi" w:hAnsiTheme="majorHAnsi"/>
          <w:szCs w:val="20"/>
          <w:shd w:val="clear" w:color="auto" w:fill="FFFFFF"/>
        </w:rPr>
        <w:t>–</w:t>
      </w:r>
      <w:r>
        <w:rPr>
          <w:rFonts w:asciiTheme="majorHAnsi" w:hAnsiTheme="majorHAnsi"/>
          <w:szCs w:val="20"/>
          <w:shd w:val="clear" w:color="auto" w:fill="FFFFFF"/>
        </w:rPr>
        <w:t xml:space="preserve">88 of </w:t>
      </w:r>
      <w:r>
        <w:rPr>
          <w:rFonts w:asciiTheme="majorHAnsi" w:hAnsiTheme="majorHAnsi"/>
          <w:i/>
          <w:szCs w:val="20"/>
          <w:shd w:val="clear" w:color="auto" w:fill="FFFFFF"/>
        </w:rPr>
        <w:t xml:space="preserve">The Namesake </w:t>
      </w:r>
      <w:r>
        <w:rPr>
          <w:rFonts w:asciiTheme="majorHAnsi" w:hAnsiTheme="majorHAnsi"/>
        </w:rPr>
        <w:t>(from “Gogol’s fourteenth birthday. Like most events in his life” to “suddenly cumbersome, irrelevant to their lives</w:t>
      </w:r>
      <w:r>
        <w:rPr>
          <w:rFonts w:asciiTheme="majorHAnsi" w:hAnsiTheme="majorHAnsi"/>
          <w:i/>
        </w:rPr>
        <w:t>”</w:t>
      </w:r>
      <w:r>
        <w:rPr>
          <w:rFonts w:asciiTheme="majorHAnsi" w:hAnsiTheme="majorHAnsi"/>
        </w:rPr>
        <w:t>) and respond briefly in writing to the following prompt:</w:t>
      </w:r>
    </w:p>
    <w:p w14:paraId="570859A2" w14:textId="20A84D2F" w:rsidR="007B1678" w:rsidRPr="007B1678" w:rsidRDefault="007B1678" w:rsidP="006579EC">
      <w:pPr>
        <w:pStyle w:val="Q"/>
        <w:spacing w:after="240"/>
        <w:rPr>
          <w:shd w:val="clear" w:color="auto" w:fill="FFFFFF"/>
        </w:rPr>
      </w:pPr>
      <w:r>
        <w:rPr>
          <w:shd w:val="clear" w:color="auto" w:fill="FFFFFF"/>
        </w:rPr>
        <w:t>Analyze the relationship between Gogol and Sonia in this excerpt.</w:t>
      </w:r>
    </w:p>
    <w:p w14:paraId="13A9148D" w14:textId="4C0D736A" w:rsidR="00EC6F81" w:rsidRDefault="007B1678" w:rsidP="00361FA2">
      <w:r>
        <w:t>Also, read pages 88</w:t>
      </w:r>
      <w:r w:rsidR="00DB3D9F">
        <w:t>–</w:t>
      </w:r>
      <w:r>
        <w:t xml:space="preserve">96 of </w:t>
      </w:r>
      <w:r>
        <w:rPr>
          <w:i/>
        </w:rPr>
        <w:t>The Namesake</w:t>
      </w:r>
      <w:r>
        <w:t xml:space="preserve"> (from </w:t>
      </w:r>
      <w:r>
        <w:rPr>
          <w:i/>
        </w:rPr>
        <w:t>“</w:t>
      </w:r>
      <w:r>
        <w:t>In September, Gogol returns to high school” to “That Gogol had had nothing to do with it</w:t>
      </w:r>
      <w:r>
        <w:rPr>
          <w:i/>
        </w:rPr>
        <w:t>”</w:t>
      </w:r>
      <w:r>
        <w:t>) and annotate for</w:t>
      </w:r>
      <w:r w:rsidR="00AB422C">
        <w:t xml:space="preserve"> the development of</w:t>
      </w:r>
      <w:r>
        <w:t xml:space="preserve"> central ideas.</w:t>
      </w:r>
    </w:p>
    <w:sectPr w:rsidR="00EC6F81" w:rsidSect="003F577A">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6BB6" w14:textId="77777777" w:rsidR="00370B68" w:rsidRDefault="00370B68" w:rsidP="007A12FD">
      <w:pPr>
        <w:spacing w:before="0" w:after="0" w:line="240" w:lineRule="auto"/>
      </w:pPr>
      <w:r>
        <w:separator/>
      </w:r>
    </w:p>
  </w:endnote>
  <w:endnote w:type="continuationSeparator" w:id="0">
    <w:p w14:paraId="7838E043" w14:textId="77777777" w:rsidR="00370B68" w:rsidRDefault="00370B68" w:rsidP="007A12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5A3E" w14:textId="77777777" w:rsidR="00C63F78" w:rsidRDefault="00C63F78" w:rsidP="007A12F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6720665" w14:textId="77777777" w:rsidR="00C63F78" w:rsidRDefault="00C63F78" w:rsidP="007A12FD">
    <w:pPr>
      <w:pStyle w:val="Footer"/>
    </w:pPr>
  </w:p>
  <w:p w14:paraId="7F6C0C8E" w14:textId="77777777" w:rsidR="00C63F78" w:rsidRDefault="00C63F78" w:rsidP="007A12FD"/>
  <w:p w14:paraId="6F2AA8CE" w14:textId="77777777" w:rsidR="00C63F78" w:rsidRDefault="00C63F78" w:rsidP="007A12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071E" w14:textId="77777777" w:rsidR="00C63F78" w:rsidRPr="00563CB8" w:rsidRDefault="00C63F78" w:rsidP="0094595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C63F78" w14:paraId="3816F255" w14:textId="77777777" w:rsidTr="00100029">
      <w:trPr>
        <w:trHeight w:val="705"/>
      </w:trPr>
      <w:tc>
        <w:tcPr>
          <w:tcW w:w="4484" w:type="dxa"/>
          <w:shd w:val="clear" w:color="auto" w:fill="auto"/>
          <w:vAlign w:val="center"/>
        </w:tcPr>
        <w:p w14:paraId="0FFBD295" w14:textId="6539CB34" w:rsidR="00C63F78" w:rsidRPr="002E4C92" w:rsidRDefault="00C63F78" w:rsidP="00100029">
          <w:pPr>
            <w:pStyle w:val="FooterText"/>
          </w:pPr>
          <w:r w:rsidRPr="002E4C92">
            <w:t>File:</w:t>
          </w:r>
          <w:r w:rsidRPr="0039525B">
            <w:rPr>
              <w:b w:val="0"/>
            </w:rPr>
            <w:t xml:space="preserve"> </w:t>
          </w:r>
          <w:r>
            <w:rPr>
              <w:b w:val="0"/>
            </w:rPr>
            <w:t>12.4.2</w:t>
          </w:r>
          <w:r w:rsidRPr="0039525B">
            <w:rPr>
              <w:b w:val="0"/>
            </w:rPr>
            <w:t xml:space="preserve"> Lesson </w:t>
          </w:r>
          <w:r>
            <w:rPr>
              <w:b w:val="0"/>
            </w:rPr>
            <w:t>9</w:t>
          </w:r>
          <w:r w:rsidRPr="002E4C92">
            <w:t xml:space="preserve"> Date:</w:t>
          </w:r>
          <w:r w:rsidRPr="0039525B">
            <w:rPr>
              <w:b w:val="0"/>
            </w:rPr>
            <w:t xml:space="preserve"> </w:t>
          </w:r>
          <w:r>
            <w:rPr>
              <w:b w:val="0"/>
            </w:rPr>
            <w:t>6/</w:t>
          </w:r>
          <w:r w:rsidR="00402A4C">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ACA58F3" w14:textId="46596883" w:rsidR="00C63F78" w:rsidRPr="0039525B" w:rsidRDefault="00C63F78" w:rsidP="00100029">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FC32C4E" w14:textId="77777777" w:rsidR="00C63F78" w:rsidRPr="0039525B" w:rsidRDefault="00C63F78" w:rsidP="00100029">
          <w:pPr>
            <w:pStyle w:val="FooterText"/>
            <w:rPr>
              <w:b w:val="0"/>
              <w:i/>
            </w:rPr>
          </w:pPr>
          <w:r w:rsidRPr="0039525B">
            <w:rPr>
              <w:b w:val="0"/>
              <w:i/>
              <w:sz w:val="12"/>
            </w:rPr>
            <w:t>Creative Commons Attribution-NonCommercial-ShareAlike 3.0 Unported License</w:t>
          </w:r>
        </w:p>
        <w:p w14:paraId="0D8797DD" w14:textId="77777777" w:rsidR="00C63F78" w:rsidRPr="002E4C92" w:rsidRDefault="00B87FE7" w:rsidP="00100029">
          <w:pPr>
            <w:pStyle w:val="FooterText"/>
          </w:pPr>
          <w:hyperlink r:id="rId1" w:history="1">
            <w:r w:rsidR="00C63F78" w:rsidRPr="0043460D">
              <w:rPr>
                <w:rStyle w:val="Hyperlink"/>
                <w:sz w:val="12"/>
                <w:szCs w:val="12"/>
              </w:rPr>
              <w:t>http://creativecommons.org/licenses/by-nc-sa/3.0/</w:t>
            </w:r>
          </w:hyperlink>
        </w:p>
      </w:tc>
      <w:tc>
        <w:tcPr>
          <w:tcW w:w="614" w:type="dxa"/>
          <w:shd w:val="clear" w:color="auto" w:fill="auto"/>
          <w:vAlign w:val="center"/>
        </w:tcPr>
        <w:p w14:paraId="25D99F80" w14:textId="77777777" w:rsidR="00C63F78" w:rsidRPr="002E4C92" w:rsidRDefault="00C63F78" w:rsidP="0010002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87FE7">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28C8BD67" w14:textId="57C4F703" w:rsidR="00C63F78" w:rsidRPr="002E4C92" w:rsidRDefault="00C63F78" w:rsidP="0010002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B7CAFED" wp14:editId="46697BF3">
                <wp:extent cx="1699895" cy="636905"/>
                <wp:effectExtent l="0" t="0" r="1905"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636905"/>
                        </a:xfrm>
                        <a:prstGeom prst="rect">
                          <a:avLst/>
                        </a:prstGeom>
                        <a:noFill/>
                        <a:ln>
                          <a:noFill/>
                        </a:ln>
                      </pic:spPr>
                    </pic:pic>
                  </a:graphicData>
                </a:graphic>
              </wp:inline>
            </w:drawing>
          </w:r>
        </w:p>
      </w:tc>
    </w:tr>
  </w:tbl>
  <w:p w14:paraId="57DF8E22" w14:textId="77777777" w:rsidR="00C63F78" w:rsidRPr="0039525B" w:rsidRDefault="00C63F78" w:rsidP="007A12FD">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C111" w14:textId="77777777" w:rsidR="00370B68" w:rsidRDefault="00370B68" w:rsidP="007A12FD">
      <w:pPr>
        <w:spacing w:before="0" w:after="0" w:line="240" w:lineRule="auto"/>
      </w:pPr>
      <w:r>
        <w:separator/>
      </w:r>
    </w:p>
  </w:footnote>
  <w:footnote w:type="continuationSeparator" w:id="0">
    <w:p w14:paraId="53300000" w14:textId="77777777" w:rsidR="00370B68" w:rsidRDefault="00370B68" w:rsidP="007A12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713"/>
      <w:gridCol w:w="2424"/>
      <w:gridCol w:w="3403"/>
    </w:tblGrid>
    <w:tr w:rsidR="00C63F78" w:rsidRPr="00E946A0" w14:paraId="2B058032" w14:textId="77777777" w:rsidTr="00FC0359">
      <w:tc>
        <w:tcPr>
          <w:tcW w:w="3713" w:type="dxa"/>
          <w:shd w:val="clear" w:color="auto" w:fill="auto"/>
        </w:tcPr>
        <w:p w14:paraId="76B8FDEB" w14:textId="77777777" w:rsidR="00C63F78" w:rsidRPr="00563CB8" w:rsidRDefault="00C63F78" w:rsidP="00FC0359">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1F21D21" w14:textId="77777777" w:rsidR="00C63F78" w:rsidRPr="00563CB8" w:rsidRDefault="00C63F78" w:rsidP="00FC0359">
          <w:pPr>
            <w:jc w:val="center"/>
          </w:pPr>
        </w:p>
      </w:tc>
      <w:tc>
        <w:tcPr>
          <w:tcW w:w="3403" w:type="dxa"/>
          <w:shd w:val="clear" w:color="auto" w:fill="auto"/>
        </w:tcPr>
        <w:p w14:paraId="30543F19" w14:textId="5ED40547" w:rsidR="00C63F78" w:rsidRPr="00E946A0" w:rsidRDefault="00C63F78" w:rsidP="00F87CEF">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 </w:t>
          </w:r>
          <w:r>
            <w:rPr>
              <w:b w:val="0"/>
            </w:rPr>
            <w:t>9</w:t>
          </w:r>
        </w:p>
      </w:tc>
    </w:tr>
  </w:tbl>
  <w:p w14:paraId="7787A422" w14:textId="77777777" w:rsidR="00C63F78" w:rsidRDefault="00C63F78" w:rsidP="007B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863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312E1D64"/>
    <w:lvl w:ilvl="0" w:tplc="4F469282">
      <w:start w:val="1"/>
      <w:numFmt w:val="bullet"/>
      <w:lvlText w:val=""/>
      <w:lvlJc w:val="left"/>
      <w:pPr>
        <w:ind w:left="1440" w:hanging="360"/>
      </w:pPr>
      <w:rPr>
        <w:rFonts w:ascii="Wingdings" w:hAnsi="Wingdings" w:hint="default"/>
      </w:rPr>
    </w:lvl>
    <w:lvl w:ilvl="1" w:tplc="02B6839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F62A36B4"/>
    <w:lvl w:ilvl="0" w:tplc="0F6015DA">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5C2EA8BC"/>
    <w:lvl w:ilvl="0" w:tplc="DE54012C">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34FA9"/>
    <w:multiLevelType w:val="hybridMultilevel"/>
    <w:tmpl w:val="B4442192"/>
    <w:lvl w:ilvl="0" w:tplc="62B884C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9"/>
  </w:num>
  <w:num w:numId="4">
    <w:abstractNumId w:val="6"/>
  </w:num>
  <w:num w:numId="5">
    <w:abstractNumId w:val="3"/>
  </w:num>
  <w:num w:numId="6">
    <w:abstractNumId w:val="1"/>
  </w:num>
  <w:num w:numId="7">
    <w:abstractNumId w:val="7"/>
  </w:num>
  <w:num w:numId="8">
    <w:abstractNumId w:val="4"/>
    <w:lvlOverride w:ilvl="0">
      <w:startOverride w:val="1"/>
    </w:lvlOverride>
  </w:num>
  <w:num w:numId="9">
    <w:abstractNumId w:val="2"/>
  </w:num>
  <w:num w:numId="10">
    <w:abstractNumId w:val="10"/>
  </w:num>
  <w:num w:numId="11">
    <w:abstractNumId w:val="4"/>
  </w:num>
  <w:num w:numId="12">
    <w:abstractNumId w:val="10"/>
    <w:lvlOverride w:ilvl="0">
      <w:startOverride w:val="1"/>
    </w:lvlOverride>
  </w:num>
  <w:num w:numId="13">
    <w:abstractNumId w:val="5"/>
  </w:num>
  <w:num w:numId="14">
    <w:abstractNumId w:val="9"/>
  </w:num>
  <w:num w:numId="15">
    <w:abstractNumId w:val="3"/>
  </w:num>
  <w:num w:numId="16">
    <w:abstractNumId w:val="1"/>
  </w:num>
  <w:num w:numId="17">
    <w:abstractNumId w:val="7"/>
  </w:num>
  <w:num w:numId="18">
    <w:abstractNumId w:val="4"/>
    <w:lvlOverride w:ilvl="0">
      <w:startOverride w:val="1"/>
    </w:lvlOverride>
  </w:num>
  <w:num w:numId="19">
    <w:abstractNumId w:val="9"/>
  </w:num>
  <w:num w:numId="20">
    <w:abstractNumId w:val="2"/>
  </w:num>
  <w:num w:numId="21">
    <w:abstractNumId w:val="6"/>
  </w:num>
  <w:num w:numId="22">
    <w:abstractNumId w:val="10"/>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FD"/>
    <w:rsid w:val="00002776"/>
    <w:rsid w:val="00011391"/>
    <w:rsid w:val="00026F95"/>
    <w:rsid w:val="000307A8"/>
    <w:rsid w:val="0003106B"/>
    <w:rsid w:val="00036D4D"/>
    <w:rsid w:val="0004587B"/>
    <w:rsid w:val="00047371"/>
    <w:rsid w:val="00051C4F"/>
    <w:rsid w:val="00065FFC"/>
    <w:rsid w:val="00066CC1"/>
    <w:rsid w:val="00067AC2"/>
    <w:rsid w:val="00067CCD"/>
    <w:rsid w:val="00071309"/>
    <w:rsid w:val="000B0B95"/>
    <w:rsid w:val="000B6947"/>
    <w:rsid w:val="000B7075"/>
    <w:rsid w:val="000C1AC0"/>
    <w:rsid w:val="000E016B"/>
    <w:rsid w:val="000E063C"/>
    <w:rsid w:val="000E4E63"/>
    <w:rsid w:val="000E5493"/>
    <w:rsid w:val="000F3163"/>
    <w:rsid w:val="000F472C"/>
    <w:rsid w:val="00100029"/>
    <w:rsid w:val="0010217F"/>
    <w:rsid w:val="0010392F"/>
    <w:rsid w:val="00104C31"/>
    <w:rsid w:val="00105F0E"/>
    <w:rsid w:val="0011211F"/>
    <w:rsid w:val="0011735B"/>
    <w:rsid w:val="0012626D"/>
    <w:rsid w:val="00140EE0"/>
    <w:rsid w:val="00146377"/>
    <w:rsid w:val="00146E5C"/>
    <w:rsid w:val="0015264D"/>
    <w:rsid w:val="00157C96"/>
    <w:rsid w:val="00172C67"/>
    <w:rsid w:val="00177148"/>
    <w:rsid w:val="00177933"/>
    <w:rsid w:val="001878AB"/>
    <w:rsid w:val="001939BD"/>
    <w:rsid w:val="001A087C"/>
    <w:rsid w:val="001A1C3B"/>
    <w:rsid w:val="001A408A"/>
    <w:rsid w:val="001A46FF"/>
    <w:rsid w:val="001B626D"/>
    <w:rsid w:val="001C7866"/>
    <w:rsid w:val="001D07B6"/>
    <w:rsid w:val="001D19B9"/>
    <w:rsid w:val="001D7017"/>
    <w:rsid w:val="001E1E98"/>
    <w:rsid w:val="001E226B"/>
    <w:rsid w:val="001E53DE"/>
    <w:rsid w:val="001F07CA"/>
    <w:rsid w:val="001F3DC1"/>
    <w:rsid w:val="002028AD"/>
    <w:rsid w:val="00203ED6"/>
    <w:rsid w:val="0020460D"/>
    <w:rsid w:val="002060B3"/>
    <w:rsid w:val="00206E55"/>
    <w:rsid w:val="00215462"/>
    <w:rsid w:val="00216470"/>
    <w:rsid w:val="00216FCB"/>
    <w:rsid w:val="002171BC"/>
    <w:rsid w:val="00223DE7"/>
    <w:rsid w:val="00233A8F"/>
    <w:rsid w:val="00241F41"/>
    <w:rsid w:val="00243B4C"/>
    <w:rsid w:val="002464D1"/>
    <w:rsid w:val="002539BB"/>
    <w:rsid w:val="0025412C"/>
    <w:rsid w:val="00260528"/>
    <w:rsid w:val="00261928"/>
    <w:rsid w:val="00264ED4"/>
    <w:rsid w:val="002767C5"/>
    <w:rsid w:val="0029305C"/>
    <w:rsid w:val="002A22DB"/>
    <w:rsid w:val="002A28AD"/>
    <w:rsid w:val="002A51E8"/>
    <w:rsid w:val="002B1A93"/>
    <w:rsid w:val="002B3C14"/>
    <w:rsid w:val="002B65C8"/>
    <w:rsid w:val="002C5AE7"/>
    <w:rsid w:val="002E01D8"/>
    <w:rsid w:val="002E27C3"/>
    <w:rsid w:val="002F30E4"/>
    <w:rsid w:val="002F38D4"/>
    <w:rsid w:val="00302CE8"/>
    <w:rsid w:val="00303290"/>
    <w:rsid w:val="003158BD"/>
    <w:rsid w:val="00317BD3"/>
    <w:rsid w:val="003203DD"/>
    <w:rsid w:val="00321319"/>
    <w:rsid w:val="00323C0C"/>
    <w:rsid w:val="003274A7"/>
    <w:rsid w:val="00341856"/>
    <w:rsid w:val="003521C2"/>
    <w:rsid w:val="00361B62"/>
    <w:rsid w:val="00361FA2"/>
    <w:rsid w:val="003624CC"/>
    <w:rsid w:val="00365A9F"/>
    <w:rsid w:val="003679FA"/>
    <w:rsid w:val="00370B68"/>
    <w:rsid w:val="00371FB9"/>
    <w:rsid w:val="00381E78"/>
    <w:rsid w:val="00382151"/>
    <w:rsid w:val="003832C6"/>
    <w:rsid w:val="00384262"/>
    <w:rsid w:val="003850FB"/>
    <w:rsid w:val="00385F75"/>
    <w:rsid w:val="0038691F"/>
    <w:rsid w:val="00387886"/>
    <w:rsid w:val="00395BB2"/>
    <w:rsid w:val="003B76CA"/>
    <w:rsid w:val="003C627F"/>
    <w:rsid w:val="003C7227"/>
    <w:rsid w:val="003E3285"/>
    <w:rsid w:val="003E71DA"/>
    <w:rsid w:val="003E733E"/>
    <w:rsid w:val="003E7D9D"/>
    <w:rsid w:val="003F577A"/>
    <w:rsid w:val="00402A4C"/>
    <w:rsid w:val="00407D7B"/>
    <w:rsid w:val="004159CB"/>
    <w:rsid w:val="00415BBF"/>
    <w:rsid w:val="00415F42"/>
    <w:rsid w:val="00416994"/>
    <w:rsid w:val="0042692F"/>
    <w:rsid w:val="00432CBB"/>
    <w:rsid w:val="00436045"/>
    <w:rsid w:val="00436A91"/>
    <w:rsid w:val="00436D4D"/>
    <w:rsid w:val="0043759F"/>
    <w:rsid w:val="00444BEB"/>
    <w:rsid w:val="00445B9E"/>
    <w:rsid w:val="00447F7C"/>
    <w:rsid w:val="004516E1"/>
    <w:rsid w:val="0045314D"/>
    <w:rsid w:val="004635FD"/>
    <w:rsid w:val="00464593"/>
    <w:rsid w:val="004705B9"/>
    <w:rsid w:val="00473D5A"/>
    <w:rsid w:val="00474B71"/>
    <w:rsid w:val="00475C0B"/>
    <w:rsid w:val="00477C8F"/>
    <w:rsid w:val="004808E1"/>
    <w:rsid w:val="004845C5"/>
    <w:rsid w:val="004851CC"/>
    <w:rsid w:val="004863CA"/>
    <w:rsid w:val="0048661F"/>
    <w:rsid w:val="00494B51"/>
    <w:rsid w:val="0049615A"/>
    <w:rsid w:val="004A3FAC"/>
    <w:rsid w:val="004A4F73"/>
    <w:rsid w:val="004A60DB"/>
    <w:rsid w:val="004A7BF7"/>
    <w:rsid w:val="004C04EB"/>
    <w:rsid w:val="004C0726"/>
    <w:rsid w:val="004C0D04"/>
    <w:rsid w:val="004C223A"/>
    <w:rsid w:val="004C3E02"/>
    <w:rsid w:val="004C7D27"/>
    <w:rsid w:val="004D2BD3"/>
    <w:rsid w:val="004D3474"/>
    <w:rsid w:val="004F4CDA"/>
    <w:rsid w:val="00501E36"/>
    <w:rsid w:val="0052251D"/>
    <w:rsid w:val="005265A9"/>
    <w:rsid w:val="0052688E"/>
    <w:rsid w:val="00531DF0"/>
    <w:rsid w:val="005358DC"/>
    <w:rsid w:val="00542784"/>
    <w:rsid w:val="0056020B"/>
    <w:rsid w:val="00566D3B"/>
    <w:rsid w:val="00572C31"/>
    <w:rsid w:val="005743F5"/>
    <w:rsid w:val="00582514"/>
    <w:rsid w:val="00586D75"/>
    <w:rsid w:val="00595A43"/>
    <w:rsid w:val="005A4D05"/>
    <w:rsid w:val="005A7571"/>
    <w:rsid w:val="005C1B1F"/>
    <w:rsid w:val="005C1DF5"/>
    <w:rsid w:val="005C25F1"/>
    <w:rsid w:val="005C6207"/>
    <w:rsid w:val="005D6EE5"/>
    <w:rsid w:val="005F28CA"/>
    <w:rsid w:val="00600115"/>
    <w:rsid w:val="00601E55"/>
    <w:rsid w:val="006039A9"/>
    <w:rsid w:val="00603BBE"/>
    <w:rsid w:val="006057EF"/>
    <w:rsid w:val="00610F17"/>
    <w:rsid w:val="00617570"/>
    <w:rsid w:val="00622934"/>
    <w:rsid w:val="00653C55"/>
    <w:rsid w:val="00657410"/>
    <w:rsid w:val="006579EC"/>
    <w:rsid w:val="00657C8D"/>
    <w:rsid w:val="006676DA"/>
    <w:rsid w:val="0068149F"/>
    <w:rsid w:val="006823C7"/>
    <w:rsid w:val="00694E32"/>
    <w:rsid w:val="0069748A"/>
    <w:rsid w:val="006A18B6"/>
    <w:rsid w:val="006A3978"/>
    <w:rsid w:val="006A611D"/>
    <w:rsid w:val="006A6910"/>
    <w:rsid w:val="006B6CE3"/>
    <w:rsid w:val="006C1F32"/>
    <w:rsid w:val="006C67AA"/>
    <w:rsid w:val="006D313D"/>
    <w:rsid w:val="006D325F"/>
    <w:rsid w:val="006E1276"/>
    <w:rsid w:val="006E4993"/>
    <w:rsid w:val="006F1437"/>
    <w:rsid w:val="006F31C3"/>
    <w:rsid w:val="006F4047"/>
    <w:rsid w:val="00702C67"/>
    <w:rsid w:val="00715E6F"/>
    <w:rsid w:val="007239C7"/>
    <w:rsid w:val="00736CCC"/>
    <w:rsid w:val="00743011"/>
    <w:rsid w:val="007578F5"/>
    <w:rsid w:val="0076265F"/>
    <w:rsid w:val="00770D1E"/>
    <w:rsid w:val="00773042"/>
    <w:rsid w:val="007952E2"/>
    <w:rsid w:val="00795BF5"/>
    <w:rsid w:val="007A12FD"/>
    <w:rsid w:val="007A3969"/>
    <w:rsid w:val="007A40F2"/>
    <w:rsid w:val="007A6165"/>
    <w:rsid w:val="007B1678"/>
    <w:rsid w:val="007B21DC"/>
    <w:rsid w:val="007B724C"/>
    <w:rsid w:val="007C14D4"/>
    <w:rsid w:val="007C3DFA"/>
    <w:rsid w:val="007C698F"/>
    <w:rsid w:val="007D12B8"/>
    <w:rsid w:val="007D5188"/>
    <w:rsid w:val="007D5F2D"/>
    <w:rsid w:val="007D680D"/>
    <w:rsid w:val="007E04AE"/>
    <w:rsid w:val="007E4810"/>
    <w:rsid w:val="007E6820"/>
    <w:rsid w:val="007F05FB"/>
    <w:rsid w:val="007F40CA"/>
    <w:rsid w:val="00801BA4"/>
    <w:rsid w:val="00806640"/>
    <w:rsid w:val="008070E7"/>
    <w:rsid w:val="008118B2"/>
    <w:rsid w:val="00815A44"/>
    <w:rsid w:val="0082063C"/>
    <w:rsid w:val="00827CEF"/>
    <w:rsid w:val="00832718"/>
    <w:rsid w:val="00833F5C"/>
    <w:rsid w:val="00835B3F"/>
    <w:rsid w:val="00836AC2"/>
    <w:rsid w:val="00876FAB"/>
    <w:rsid w:val="00886976"/>
    <w:rsid w:val="00892263"/>
    <w:rsid w:val="008A0061"/>
    <w:rsid w:val="008A2601"/>
    <w:rsid w:val="008A6C2E"/>
    <w:rsid w:val="008C0AA0"/>
    <w:rsid w:val="008C0D32"/>
    <w:rsid w:val="008D4FEE"/>
    <w:rsid w:val="008D5501"/>
    <w:rsid w:val="008D5622"/>
    <w:rsid w:val="008D75C3"/>
    <w:rsid w:val="008E1D1A"/>
    <w:rsid w:val="008E28AA"/>
    <w:rsid w:val="008E4A02"/>
    <w:rsid w:val="008F6C58"/>
    <w:rsid w:val="0090036E"/>
    <w:rsid w:val="0091408A"/>
    <w:rsid w:val="00917126"/>
    <w:rsid w:val="00923AC7"/>
    <w:rsid w:val="00927A7D"/>
    <w:rsid w:val="00927DD4"/>
    <w:rsid w:val="009311D1"/>
    <w:rsid w:val="00932BF8"/>
    <w:rsid w:val="009343FA"/>
    <w:rsid w:val="00936617"/>
    <w:rsid w:val="00945836"/>
    <w:rsid w:val="0094595A"/>
    <w:rsid w:val="00957478"/>
    <w:rsid w:val="00962B89"/>
    <w:rsid w:val="009641B3"/>
    <w:rsid w:val="009644CB"/>
    <w:rsid w:val="009723F9"/>
    <w:rsid w:val="0097421D"/>
    <w:rsid w:val="0098111B"/>
    <w:rsid w:val="009851A9"/>
    <w:rsid w:val="00985B39"/>
    <w:rsid w:val="00985C34"/>
    <w:rsid w:val="0098606C"/>
    <w:rsid w:val="009905E4"/>
    <w:rsid w:val="009917D1"/>
    <w:rsid w:val="009A6273"/>
    <w:rsid w:val="009B0A01"/>
    <w:rsid w:val="009B47E8"/>
    <w:rsid w:val="009C3624"/>
    <w:rsid w:val="009C401A"/>
    <w:rsid w:val="009C606A"/>
    <w:rsid w:val="009D2DCA"/>
    <w:rsid w:val="009E3A51"/>
    <w:rsid w:val="009E6839"/>
    <w:rsid w:val="009F0659"/>
    <w:rsid w:val="009F270C"/>
    <w:rsid w:val="009F27EE"/>
    <w:rsid w:val="009F46D3"/>
    <w:rsid w:val="009F498A"/>
    <w:rsid w:val="009F572D"/>
    <w:rsid w:val="00A00C6E"/>
    <w:rsid w:val="00A02412"/>
    <w:rsid w:val="00A117B9"/>
    <w:rsid w:val="00A14F84"/>
    <w:rsid w:val="00A1783B"/>
    <w:rsid w:val="00A218C5"/>
    <w:rsid w:val="00A26161"/>
    <w:rsid w:val="00A311D4"/>
    <w:rsid w:val="00A43B7D"/>
    <w:rsid w:val="00A50846"/>
    <w:rsid w:val="00A5269D"/>
    <w:rsid w:val="00A542E3"/>
    <w:rsid w:val="00A65B28"/>
    <w:rsid w:val="00A86164"/>
    <w:rsid w:val="00A94D3A"/>
    <w:rsid w:val="00AB422C"/>
    <w:rsid w:val="00AB4363"/>
    <w:rsid w:val="00AC03F0"/>
    <w:rsid w:val="00AC09C8"/>
    <w:rsid w:val="00AD1E75"/>
    <w:rsid w:val="00AD2B03"/>
    <w:rsid w:val="00AE60EF"/>
    <w:rsid w:val="00AF4792"/>
    <w:rsid w:val="00B01762"/>
    <w:rsid w:val="00B07FAE"/>
    <w:rsid w:val="00B1035C"/>
    <w:rsid w:val="00B1690B"/>
    <w:rsid w:val="00B20EBE"/>
    <w:rsid w:val="00B2461B"/>
    <w:rsid w:val="00B31B10"/>
    <w:rsid w:val="00B34101"/>
    <w:rsid w:val="00B40FB4"/>
    <w:rsid w:val="00B44404"/>
    <w:rsid w:val="00B45E54"/>
    <w:rsid w:val="00B578C6"/>
    <w:rsid w:val="00B64701"/>
    <w:rsid w:val="00B74CD6"/>
    <w:rsid w:val="00B7525B"/>
    <w:rsid w:val="00B75AEA"/>
    <w:rsid w:val="00B82A8E"/>
    <w:rsid w:val="00B87FE7"/>
    <w:rsid w:val="00B90FF9"/>
    <w:rsid w:val="00B911C5"/>
    <w:rsid w:val="00B911E9"/>
    <w:rsid w:val="00B91320"/>
    <w:rsid w:val="00BB1DF4"/>
    <w:rsid w:val="00BC473D"/>
    <w:rsid w:val="00BC5CA4"/>
    <w:rsid w:val="00BC6FD5"/>
    <w:rsid w:val="00BE305E"/>
    <w:rsid w:val="00BE7BD2"/>
    <w:rsid w:val="00BF09EF"/>
    <w:rsid w:val="00BF0BFC"/>
    <w:rsid w:val="00BF1237"/>
    <w:rsid w:val="00C0263F"/>
    <w:rsid w:val="00C079D5"/>
    <w:rsid w:val="00C1252B"/>
    <w:rsid w:val="00C12A62"/>
    <w:rsid w:val="00C15436"/>
    <w:rsid w:val="00C17763"/>
    <w:rsid w:val="00C215E2"/>
    <w:rsid w:val="00C27C27"/>
    <w:rsid w:val="00C40177"/>
    <w:rsid w:val="00C41D01"/>
    <w:rsid w:val="00C42E81"/>
    <w:rsid w:val="00C44AF6"/>
    <w:rsid w:val="00C60544"/>
    <w:rsid w:val="00C62795"/>
    <w:rsid w:val="00C63F78"/>
    <w:rsid w:val="00C70D3C"/>
    <w:rsid w:val="00C75334"/>
    <w:rsid w:val="00C850DF"/>
    <w:rsid w:val="00C878E6"/>
    <w:rsid w:val="00C92D3D"/>
    <w:rsid w:val="00C94654"/>
    <w:rsid w:val="00C96167"/>
    <w:rsid w:val="00C96927"/>
    <w:rsid w:val="00C96F39"/>
    <w:rsid w:val="00CB0DE5"/>
    <w:rsid w:val="00CC4710"/>
    <w:rsid w:val="00CD047D"/>
    <w:rsid w:val="00CD4EFF"/>
    <w:rsid w:val="00CE2F1B"/>
    <w:rsid w:val="00CF130D"/>
    <w:rsid w:val="00CF1AD5"/>
    <w:rsid w:val="00CF2F1C"/>
    <w:rsid w:val="00D02D1D"/>
    <w:rsid w:val="00D04BFD"/>
    <w:rsid w:val="00D054A5"/>
    <w:rsid w:val="00D12CF1"/>
    <w:rsid w:val="00D16D66"/>
    <w:rsid w:val="00D27B54"/>
    <w:rsid w:val="00D35DB9"/>
    <w:rsid w:val="00D468F7"/>
    <w:rsid w:val="00D5236E"/>
    <w:rsid w:val="00D54EEC"/>
    <w:rsid w:val="00D609D6"/>
    <w:rsid w:val="00D61EB8"/>
    <w:rsid w:val="00D75FF0"/>
    <w:rsid w:val="00D811D5"/>
    <w:rsid w:val="00D84B98"/>
    <w:rsid w:val="00D90168"/>
    <w:rsid w:val="00D90D9F"/>
    <w:rsid w:val="00D91B53"/>
    <w:rsid w:val="00DA0284"/>
    <w:rsid w:val="00DA298E"/>
    <w:rsid w:val="00DA3C0F"/>
    <w:rsid w:val="00DA509F"/>
    <w:rsid w:val="00DB3D9F"/>
    <w:rsid w:val="00DB443E"/>
    <w:rsid w:val="00DB4D16"/>
    <w:rsid w:val="00DB7926"/>
    <w:rsid w:val="00DC558E"/>
    <w:rsid w:val="00DC68A8"/>
    <w:rsid w:val="00DD1F64"/>
    <w:rsid w:val="00DD4E43"/>
    <w:rsid w:val="00DE516B"/>
    <w:rsid w:val="00DE61E4"/>
    <w:rsid w:val="00E00C3B"/>
    <w:rsid w:val="00E35C68"/>
    <w:rsid w:val="00E36439"/>
    <w:rsid w:val="00E4688C"/>
    <w:rsid w:val="00E51B93"/>
    <w:rsid w:val="00E51F6E"/>
    <w:rsid w:val="00E54D96"/>
    <w:rsid w:val="00E56319"/>
    <w:rsid w:val="00E600B9"/>
    <w:rsid w:val="00E65A6F"/>
    <w:rsid w:val="00E721EE"/>
    <w:rsid w:val="00E82F2B"/>
    <w:rsid w:val="00E92F7F"/>
    <w:rsid w:val="00EA0C0C"/>
    <w:rsid w:val="00EA21AC"/>
    <w:rsid w:val="00EB0167"/>
    <w:rsid w:val="00EB0A07"/>
    <w:rsid w:val="00EB0EDD"/>
    <w:rsid w:val="00EB6A14"/>
    <w:rsid w:val="00EB7F06"/>
    <w:rsid w:val="00EC6DF3"/>
    <w:rsid w:val="00EC6F81"/>
    <w:rsid w:val="00ED14C1"/>
    <w:rsid w:val="00ED4932"/>
    <w:rsid w:val="00EE281F"/>
    <w:rsid w:val="00EF1556"/>
    <w:rsid w:val="00F005B4"/>
    <w:rsid w:val="00F10472"/>
    <w:rsid w:val="00F32175"/>
    <w:rsid w:val="00F33D7D"/>
    <w:rsid w:val="00F3694D"/>
    <w:rsid w:val="00F56466"/>
    <w:rsid w:val="00F56A76"/>
    <w:rsid w:val="00F60041"/>
    <w:rsid w:val="00F60CAB"/>
    <w:rsid w:val="00F81EB6"/>
    <w:rsid w:val="00F835D2"/>
    <w:rsid w:val="00F83AD3"/>
    <w:rsid w:val="00F842AD"/>
    <w:rsid w:val="00F87CEF"/>
    <w:rsid w:val="00F90324"/>
    <w:rsid w:val="00F91F23"/>
    <w:rsid w:val="00F9485F"/>
    <w:rsid w:val="00F95EC8"/>
    <w:rsid w:val="00F96C89"/>
    <w:rsid w:val="00FA3EBF"/>
    <w:rsid w:val="00FA465F"/>
    <w:rsid w:val="00FA4B86"/>
    <w:rsid w:val="00FB4CA3"/>
    <w:rsid w:val="00FB695E"/>
    <w:rsid w:val="00FC0359"/>
    <w:rsid w:val="00FC2869"/>
    <w:rsid w:val="00FC3F07"/>
    <w:rsid w:val="00FD257B"/>
    <w:rsid w:val="00FD2831"/>
    <w:rsid w:val="00FD38F2"/>
    <w:rsid w:val="00FD4786"/>
    <w:rsid w:val="00FE06C8"/>
    <w:rsid w:val="00FE1C79"/>
    <w:rsid w:val="00FE4253"/>
    <w:rsid w:val="00FE5F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25EF1D"/>
  <w15:docId w15:val="{74FE6582-37EE-4728-8CB5-58E7C52E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A087C"/>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1A087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1A087C"/>
    <w:pPr>
      <w:pBdr>
        <w:bottom w:val="single" w:sz="12" w:space="1" w:color="7F7F7F"/>
      </w:pBdr>
      <w:spacing w:after="360"/>
      <w:ind w:left="2880" w:right="2880"/>
    </w:pPr>
    <w:rPr>
      <w:rFonts w:ascii="Calibri" w:eastAsia="Calibri" w:hAnsi="Calibri" w:cs="Times New Roman"/>
      <w:sz w:val="18"/>
      <w:szCs w:val="22"/>
      <w:lang w:eastAsia="en-US"/>
    </w:rPr>
  </w:style>
  <w:style w:type="character" w:customStyle="1" w:styleId="BRChar">
    <w:name w:val="*BR* Char"/>
    <w:link w:val="BR"/>
    <w:rsid w:val="001A087C"/>
    <w:rPr>
      <w:rFonts w:ascii="Calibri" w:eastAsia="Calibri" w:hAnsi="Calibri" w:cs="Times New Roman"/>
      <w:sz w:val="18"/>
      <w:szCs w:val="22"/>
      <w:lang w:eastAsia="en-US"/>
    </w:rPr>
  </w:style>
  <w:style w:type="paragraph" w:customStyle="1" w:styleId="BulletedList">
    <w:name w:val="*Bulleted List"/>
    <w:link w:val="BulletedListChar"/>
    <w:qFormat/>
    <w:rsid w:val="001A087C"/>
    <w:pPr>
      <w:numPr>
        <w:numId w:val="13"/>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link w:val="BulletedList"/>
    <w:rsid w:val="001A087C"/>
    <w:rPr>
      <w:rFonts w:ascii="Calibri" w:eastAsia="Calibri" w:hAnsi="Calibri" w:cs="Times New Roman"/>
      <w:sz w:val="22"/>
      <w:szCs w:val="22"/>
      <w:lang w:eastAsia="en-US"/>
    </w:rPr>
  </w:style>
  <w:style w:type="paragraph" w:customStyle="1" w:styleId="Q">
    <w:name w:val="*Q*"/>
    <w:link w:val="QChar"/>
    <w:qFormat/>
    <w:rsid w:val="001A087C"/>
    <w:pPr>
      <w:spacing w:before="240" w:after="0" w:line="276" w:lineRule="auto"/>
    </w:pPr>
    <w:rPr>
      <w:rFonts w:ascii="Calibri" w:eastAsia="Calibri" w:hAnsi="Calibri" w:cs="Times New Roman"/>
      <w:b/>
      <w:sz w:val="22"/>
      <w:szCs w:val="22"/>
      <w:lang w:eastAsia="en-US"/>
    </w:rPr>
  </w:style>
  <w:style w:type="character" w:customStyle="1" w:styleId="QChar">
    <w:name w:val="*Q* Char"/>
    <w:link w:val="Q"/>
    <w:rsid w:val="001A087C"/>
    <w:rPr>
      <w:rFonts w:ascii="Calibri" w:eastAsia="Calibri" w:hAnsi="Calibri" w:cs="Times New Roman"/>
      <w:b/>
      <w:sz w:val="22"/>
      <w:szCs w:val="22"/>
      <w:lang w:eastAsia="en-US"/>
    </w:rPr>
  </w:style>
  <w:style w:type="paragraph" w:customStyle="1" w:styleId="DCwithQ">
    <w:name w:val="*DC* with *Q*"/>
    <w:basedOn w:val="Q"/>
    <w:qFormat/>
    <w:rsid w:val="001A087C"/>
    <w:pPr>
      <w:ind w:left="360"/>
    </w:pPr>
    <w:rPr>
      <w:color w:val="4F81BD"/>
    </w:rPr>
  </w:style>
  <w:style w:type="paragraph" w:customStyle="1" w:styleId="SA">
    <w:name w:val="*SA*"/>
    <w:link w:val="SAChar"/>
    <w:uiPriority w:val="99"/>
    <w:qFormat/>
    <w:rsid w:val="001A087C"/>
    <w:pPr>
      <w:numPr>
        <w:numId w:val="19"/>
      </w:numPr>
      <w:spacing w:before="120" w:after="0" w:line="276" w:lineRule="auto"/>
    </w:pPr>
    <w:rPr>
      <w:rFonts w:ascii="Calibri" w:eastAsia="Calibri" w:hAnsi="Calibri" w:cs="Times New Roman"/>
      <w:sz w:val="22"/>
      <w:szCs w:val="22"/>
      <w:lang w:eastAsia="en-US"/>
    </w:rPr>
  </w:style>
  <w:style w:type="character" w:customStyle="1" w:styleId="SAChar">
    <w:name w:val="*SA* Char"/>
    <w:link w:val="SA"/>
    <w:uiPriority w:val="99"/>
    <w:rsid w:val="001A087C"/>
    <w:rPr>
      <w:rFonts w:ascii="Calibri" w:eastAsia="Calibri" w:hAnsi="Calibri" w:cs="Times New Roman"/>
      <w:sz w:val="22"/>
      <w:szCs w:val="22"/>
      <w:lang w:eastAsia="en-US"/>
    </w:rPr>
  </w:style>
  <w:style w:type="paragraph" w:customStyle="1" w:styleId="DCwithSA">
    <w:name w:val="*DC* with *SA*"/>
    <w:basedOn w:val="SA"/>
    <w:qFormat/>
    <w:rsid w:val="001A087C"/>
    <w:rPr>
      <w:color w:val="3F6CAF"/>
    </w:rPr>
  </w:style>
  <w:style w:type="paragraph" w:customStyle="1" w:styleId="SR">
    <w:name w:val="*SR*"/>
    <w:link w:val="SRChar"/>
    <w:qFormat/>
    <w:rsid w:val="001A087C"/>
    <w:pPr>
      <w:numPr>
        <w:numId w:val="21"/>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link w:val="SR"/>
    <w:rsid w:val="001A087C"/>
    <w:rPr>
      <w:rFonts w:ascii="Calibri" w:eastAsia="Calibri" w:hAnsi="Calibri" w:cs="Times New Roman"/>
      <w:sz w:val="22"/>
      <w:szCs w:val="22"/>
      <w:lang w:eastAsia="en-US"/>
    </w:rPr>
  </w:style>
  <w:style w:type="paragraph" w:customStyle="1" w:styleId="DCwithSR">
    <w:name w:val="*DC* with *SR*"/>
    <w:basedOn w:val="SR"/>
    <w:qFormat/>
    <w:rsid w:val="001A087C"/>
    <w:pPr>
      <w:numPr>
        <w:numId w:val="15"/>
      </w:numPr>
      <w:ind w:left="720"/>
    </w:pPr>
    <w:rPr>
      <w:color w:val="4F81BD"/>
    </w:rPr>
  </w:style>
  <w:style w:type="paragraph" w:customStyle="1" w:styleId="ExcerptAuthor">
    <w:name w:val="*ExcerptAuthor"/>
    <w:basedOn w:val="Normal"/>
    <w:link w:val="ExcerptAuthorChar"/>
    <w:qFormat/>
    <w:rsid w:val="001A087C"/>
    <w:pPr>
      <w:jc w:val="center"/>
    </w:pPr>
    <w:rPr>
      <w:rFonts w:ascii="Calibri Light" w:hAnsi="Calibri Light"/>
      <w:b/>
    </w:rPr>
  </w:style>
  <w:style w:type="character" w:customStyle="1" w:styleId="ExcerptAuthorChar">
    <w:name w:val="*ExcerptAuthor Char"/>
    <w:link w:val="ExcerptAuthor"/>
    <w:rsid w:val="001A087C"/>
    <w:rPr>
      <w:rFonts w:ascii="Calibri Light" w:eastAsia="Calibri" w:hAnsi="Calibri Light" w:cs="Times New Roman"/>
      <w:b/>
      <w:sz w:val="22"/>
      <w:szCs w:val="22"/>
      <w:lang w:eastAsia="en-US"/>
    </w:rPr>
  </w:style>
  <w:style w:type="paragraph" w:customStyle="1" w:styleId="ExcerptBody">
    <w:name w:val="*ExcerptBody"/>
    <w:basedOn w:val="Normal"/>
    <w:link w:val="ExcerptBodyChar"/>
    <w:qFormat/>
    <w:rsid w:val="001A087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A087C"/>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1A087C"/>
    <w:pPr>
      <w:jc w:val="center"/>
    </w:pPr>
    <w:rPr>
      <w:rFonts w:ascii="Calibri Light" w:hAnsi="Calibri Light"/>
      <w:b/>
      <w:smallCaps/>
      <w:sz w:val="32"/>
    </w:rPr>
  </w:style>
  <w:style w:type="character" w:customStyle="1" w:styleId="ExcerptTitleChar">
    <w:name w:val="*ExcerptTitle Char"/>
    <w:link w:val="ExcerptTitle"/>
    <w:rsid w:val="001A087C"/>
    <w:rPr>
      <w:rFonts w:ascii="Calibri Light" w:eastAsia="Calibri" w:hAnsi="Calibri Light" w:cs="Times New Roman"/>
      <w:b/>
      <w:smallCaps/>
      <w:sz w:val="32"/>
      <w:szCs w:val="22"/>
      <w:lang w:eastAsia="en-US"/>
    </w:rPr>
  </w:style>
  <w:style w:type="paragraph" w:customStyle="1" w:styleId="FooterText">
    <w:name w:val="*FooterText"/>
    <w:link w:val="FooterTextChar"/>
    <w:qFormat/>
    <w:rsid w:val="001A087C"/>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link w:val="FooterText"/>
    <w:rsid w:val="001A087C"/>
    <w:rPr>
      <w:rFonts w:ascii="Calibri" w:eastAsia="Verdana" w:hAnsi="Calibri" w:cs="Calibri"/>
      <w:b/>
      <w:color w:val="595959"/>
      <w:sz w:val="14"/>
      <w:szCs w:val="22"/>
      <w:lang w:eastAsia="en-US"/>
    </w:rPr>
  </w:style>
  <w:style w:type="paragraph" w:customStyle="1" w:styleId="IN">
    <w:name w:val="*IN*"/>
    <w:link w:val="INChar"/>
    <w:qFormat/>
    <w:rsid w:val="001A087C"/>
    <w:pPr>
      <w:numPr>
        <w:numId w:val="1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link w:val="IN"/>
    <w:rsid w:val="001A087C"/>
    <w:rPr>
      <w:rFonts w:ascii="Calibri" w:eastAsia="Calibri" w:hAnsi="Calibri" w:cs="Times New Roman"/>
      <w:color w:val="4F81BD"/>
      <w:sz w:val="22"/>
      <w:szCs w:val="22"/>
      <w:lang w:eastAsia="en-US"/>
    </w:rPr>
  </w:style>
  <w:style w:type="paragraph" w:customStyle="1" w:styleId="INBullet">
    <w:name w:val="*IN* Bullet"/>
    <w:link w:val="INBulletChar"/>
    <w:qFormat/>
    <w:rsid w:val="001A087C"/>
    <w:pPr>
      <w:numPr>
        <w:numId w:val="1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link w:val="INBullet"/>
    <w:rsid w:val="001A087C"/>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1A087C"/>
    <w:pPr>
      <w:pBdr>
        <w:bottom w:val="single" w:sz="12" w:space="1" w:color="9BBB59"/>
      </w:pBdr>
      <w:tabs>
        <w:tab w:val="right" w:pos="9360"/>
      </w:tabs>
      <w:spacing w:before="480" w:after="0"/>
    </w:pPr>
    <w:rPr>
      <w:rFonts w:ascii="Calibri" w:eastAsia="Calibri" w:hAnsi="Calibri" w:cs="Times New Roman"/>
      <w:b/>
      <w:bCs/>
      <w:color w:val="4F81BD"/>
      <w:sz w:val="28"/>
      <w:szCs w:val="26"/>
      <w:lang w:eastAsia="en-US"/>
    </w:rPr>
  </w:style>
  <w:style w:type="character" w:customStyle="1" w:styleId="LearningSequenceHeaderChar">
    <w:name w:val="*Learning Sequence Header Char"/>
    <w:link w:val="LearningSequenceHeader"/>
    <w:rsid w:val="001A087C"/>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1A087C"/>
    <w:pPr>
      <w:numPr>
        <w:numId w:val="18"/>
      </w:numPr>
      <w:spacing w:after="60"/>
    </w:pPr>
    <w:rPr>
      <w:rFonts w:ascii="Calibri" w:eastAsia="Calibri" w:hAnsi="Calibri" w:cs="Times New Roman"/>
      <w:sz w:val="22"/>
      <w:szCs w:val="22"/>
      <w:lang w:eastAsia="en-US"/>
    </w:rPr>
  </w:style>
  <w:style w:type="character" w:customStyle="1" w:styleId="NumberedListChar">
    <w:name w:val="*Numbered List Char"/>
    <w:link w:val="NumberedList"/>
    <w:rsid w:val="001A087C"/>
    <w:rPr>
      <w:rFonts w:ascii="Calibri" w:eastAsia="Calibri" w:hAnsi="Calibri" w:cs="Times New Roman"/>
      <w:sz w:val="22"/>
      <w:szCs w:val="22"/>
      <w:lang w:eastAsia="en-US"/>
    </w:rPr>
  </w:style>
  <w:style w:type="paragraph" w:customStyle="1" w:styleId="PageHeader">
    <w:name w:val="*PageHeader"/>
    <w:link w:val="PageHeaderChar"/>
    <w:qFormat/>
    <w:rsid w:val="001A087C"/>
    <w:pPr>
      <w:spacing w:before="120" w:after="0"/>
    </w:pPr>
    <w:rPr>
      <w:rFonts w:ascii="Calibri" w:eastAsia="Calibri" w:hAnsi="Calibri" w:cs="Times New Roman"/>
      <w:b/>
      <w:sz w:val="18"/>
      <w:szCs w:val="22"/>
      <w:lang w:eastAsia="en-US"/>
    </w:rPr>
  </w:style>
  <w:style w:type="character" w:customStyle="1" w:styleId="PageHeaderChar">
    <w:name w:val="*PageHeader Char"/>
    <w:link w:val="PageHeader"/>
    <w:rsid w:val="001A087C"/>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1A087C"/>
    <w:pPr>
      <w:numPr>
        <w:ilvl w:val="1"/>
        <w:numId w:val="20"/>
      </w:numPr>
      <w:spacing w:before="120"/>
      <w:ind w:left="1080"/>
      <w:contextualSpacing/>
    </w:pPr>
  </w:style>
  <w:style w:type="character" w:customStyle="1" w:styleId="SASRBulletChar">
    <w:name w:val="*SA/SR Bullet Char"/>
    <w:link w:val="SASRBullet"/>
    <w:rsid w:val="001A087C"/>
    <w:rPr>
      <w:rFonts w:ascii="Calibri" w:eastAsia="Calibri" w:hAnsi="Calibri" w:cs="Times New Roman"/>
      <w:sz w:val="22"/>
      <w:szCs w:val="22"/>
      <w:lang w:eastAsia="en-US"/>
    </w:rPr>
  </w:style>
  <w:style w:type="paragraph" w:customStyle="1" w:styleId="TableText">
    <w:name w:val="*TableText"/>
    <w:link w:val="TableTextChar"/>
    <w:qFormat/>
    <w:rsid w:val="001A087C"/>
    <w:pPr>
      <w:spacing w:before="40" w:after="40" w:line="276" w:lineRule="auto"/>
    </w:pPr>
    <w:rPr>
      <w:rFonts w:ascii="Calibri" w:eastAsia="Calibri" w:hAnsi="Calibri" w:cs="Times New Roman"/>
      <w:sz w:val="22"/>
      <w:szCs w:val="22"/>
      <w:lang w:eastAsia="en-US"/>
    </w:rPr>
  </w:style>
  <w:style w:type="character" w:customStyle="1" w:styleId="TableTextChar">
    <w:name w:val="*TableText Char"/>
    <w:link w:val="TableText"/>
    <w:rsid w:val="001A087C"/>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1A087C"/>
    <w:pPr>
      <w:numPr>
        <w:numId w:val="22"/>
      </w:numPr>
    </w:pPr>
  </w:style>
  <w:style w:type="character" w:customStyle="1" w:styleId="SubStandardChar">
    <w:name w:val="*SubStandard Char"/>
    <w:link w:val="SubStandard"/>
    <w:rsid w:val="001A087C"/>
    <w:rPr>
      <w:rFonts w:ascii="Calibri" w:eastAsia="Calibri" w:hAnsi="Calibri" w:cs="Times New Roman"/>
      <w:sz w:val="22"/>
      <w:szCs w:val="22"/>
      <w:lang w:eastAsia="en-US"/>
    </w:rPr>
  </w:style>
  <w:style w:type="paragraph" w:customStyle="1" w:styleId="TA">
    <w:name w:val="*TA*"/>
    <w:link w:val="TAChar"/>
    <w:qFormat/>
    <w:rsid w:val="001A087C"/>
    <w:pPr>
      <w:spacing w:before="180" w:after="180"/>
    </w:pPr>
    <w:rPr>
      <w:rFonts w:ascii="Calibri" w:eastAsia="Calibri" w:hAnsi="Calibri" w:cs="Times New Roman"/>
      <w:sz w:val="22"/>
      <w:szCs w:val="22"/>
      <w:lang w:eastAsia="en-US"/>
    </w:rPr>
  </w:style>
  <w:style w:type="character" w:customStyle="1" w:styleId="TAChar">
    <w:name w:val="*TA* Char"/>
    <w:link w:val="TA"/>
    <w:rsid w:val="001A087C"/>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1A087C"/>
    <w:pPr>
      <w:spacing w:before="40" w:after="40" w:line="240" w:lineRule="auto"/>
    </w:pPr>
    <w:rPr>
      <w:b/>
      <w:color w:val="FFFFFF"/>
    </w:rPr>
  </w:style>
  <w:style w:type="character" w:customStyle="1" w:styleId="TableHeadersChar">
    <w:name w:val="*TableHeaders Char"/>
    <w:link w:val="TableHeaders"/>
    <w:rsid w:val="001A087C"/>
    <w:rPr>
      <w:rFonts w:ascii="Calibri" w:eastAsia="Calibri" w:hAnsi="Calibri" w:cs="Times New Roman"/>
      <w:b/>
      <w:color w:val="FFFFFF"/>
      <w:sz w:val="22"/>
      <w:szCs w:val="22"/>
      <w:lang w:eastAsia="en-US"/>
    </w:rPr>
  </w:style>
  <w:style w:type="paragraph" w:customStyle="1" w:styleId="ToolHeader">
    <w:name w:val="*ToolHeader"/>
    <w:qFormat/>
    <w:rsid w:val="001A087C"/>
    <w:pPr>
      <w:spacing w:after="120"/>
    </w:pPr>
    <w:rPr>
      <w:rFonts w:ascii="Calibri" w:eastAsia="Calibri" w:hAnsi="Calibri" w:cs="Times New Roman"/>
      <w:b/>
      <w:bCs/>
      <w:color w:val="365F91"/>
      <w:sz w:val="32"/>
      <w:szCs w:val="28"/>
      <w:lang w:eastAsia="en-US"/>
    </w:rPr>
  </w:style>
  <w:style w:type="paragraph" w:customStyle="1" w:styleId="ToolTableText">
    <w:name w:val="*ToolTableText"/>
    <w:qFormat/>
    <w:rsid w:val="001A087C"/>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1A087C"/>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8C0AA0"/>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6287">
      <w:bodyDiv w:val="1"/>
      <w:marLeft w:val="0"/>
      <w:marRight w:val="0"/>
      <w:marTop w:val="0"/>
      <w:marBottom w:val="0"/>
      <w:divBdr>
        <w:top w:val="none" w:sz="0" w:space="0" w:color="auto"/>
        <w:left w:val="none" w:sz="0" w:space="0" w:color="auto"/>
        <w:bottom w:val="none" w:sz="0" w:space="0" w:color="auto"/>
        <w:right w:val="none" w:sz="0" w:space="0" w:color="auto"/>
      </w:divBdr>
    </w:div>
    <w:div w:id="333607484">
      <w:bodyDiv w:val="1"/>
      <w:marLeft w:val="0"/>
      <w:marRight w:val="0"/>
      <w:marTop w:val="0"/>
      <w:marBottom w:val="0"/>
      <w:divBdr>
        <w:top w:val="none" w:sz="0" w:space="0" w:color="auto"/>
        <w:left w:val="none" w:sz="0" w:space="0" w:color="auto"/>
        <w:bottom w:val="none" w:sz="0" w:space="0" w:color="auto"/>
        <w:right w:val="none" w:sz="0" w:space="0" w:color="auto"/>
      </w:divBdr>
    </w:div>
    <w:div w:id="631205299">
      <w:bodyDiv w:val="1"/>
      <w:marLeft w:val="0"/>
      <w:marRight w:val="0"/>
      <w:marTop w:val="0"/>
      <w:marBottom w:val="0"/>
      <w:divBdr>
        <w:top w:val="none" w:sz="0" w:space="0" w:color="auto"/>
        <w:left w:val="none" w:sz="0" w:space="0" w:color="auto"/>
        <w:bottom w:val="none" w:sz="0" w:space="0" w:color="auto"/>
        <w:right w:val="none" w:sz="0" w:space="0" w:color="auto"/>
      </w:divBdr>
    </w:div>
    <w:div w:id="1090204023">
      <w:bodyDiv w:val="1"/>
      <w:marLeft w:val="0"/>
      <w:marRight w:val="0"/>
      <w:marTop w:val="0"/>
      <w:marBottom w:val="0"/>
      <w:divBdr>
        <w:top w:val="none" w:sz="0" w:space="0" w:color="auto"/>
        <w:left w:val="none" w:sz="0" w:space="0" w:color="auto"/>
        <w:bottom w:val="none" w:sz="0" w:space="0" w:color="auto"/>
        <w:right w:val="none" w:sz="0" w:space="0" w:color="auto"/>
      </w:divBdr>
    </w:div>
    <w:div w:id="1285502569">
      <w:bodyDiv w:val="1"/>
      <w:marLeft w:val="0"/>
      <w:marRight w:val="0"/>
      <w:marTop w:val="0"/>
      <w:marBottom w:val="0"/>
      <w:divBdr>
        <w:top w:val="none" w:sz="0" w:space="0" w:color="auto"/>
        <w:left w:val="none" w:sz="0" w:space="0" w:color="auto"/>
        <w:bottom w:val="none" w:sz="0" w:space="0" w:color="auto"/>
        <w:right w:val="none" w:sz="0" w:space="0" w:color="auto"/>
      </w:divBdr>
    </w:div>
    <w:div w:id="1696999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dcterms:created xsi:type="dcterms:W3CDTF">2015-06-29T20:53:00Z</dcterms:created>
  <dcterms:modified xsi:type="dcterms:W3CDTF">2015-06-29T20:53:00Z</dcterms:modified>
  <cp:category/>
</cp:coreProperties>
</file>