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15"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14:paraId="4356F00D" w14:textId="77777777" w:rsidTr="5BB6B6C5">
        <w:trPr>
          <w:trHeight w:val="1008"/>
        </w:trPr>
        <w:tc>
          <w:tcPr>
            <w:tcW w:w="1980" w:type="dxa"/>
            <w:shd w:val="clear" w:color="auto" w:fill="385623"/>
            <w:vAlign w:val="center"/>
          </w:tcPr>
          <w:p w14:paraId="3CF4C45F" w14:textId="3F5FADDF" w:rsidR="00790BCC" w:rsidRPr="00D31F4D" w:rsidRDefault="5BB6B6C5" w:rsidP="00D31F4D">
            <w:pPr>
              <w:pStyle w:val="Header-banner"/>
              <w:rPr>
                <w:rFonts w:asciiTheme="minorHAnsi" w:hAnsiTheme="minorHAnsi"/>
              </w:rPr>
            </w:pPr>
            <w:bookmarkStart w:id="0" w:name="_GoBack"/>
            <w:bookmarkEnd w:id="0"/>
            <w:r w:rsidRPr="5BB6B6C5">
              <w:rPr>
                <w:rFonts w:asciiTheme="minorHAnsi" w:eastAsiaTheme="minorEastAsia" w:hAnsiTheme="minorHAnsi" w:cstheme="minorBidi"/>
              </w:rPr>
              <w:t>12.4.2</w:t>
            </w:r>
          </w:p>
        </w:tc>
        <w:tc>
          <w:tcPr>
            <w:tcW w:w="7380" w:type="dxa"/>
            <w:shd w:val="clear" w:color="auto" w:fill="76923C" w:themeFill="accent3" w:themeFillShade="BF"/>
            <w:vAlign w:val="center"/>
          </w:tcPr>
          <w:p w14:paraId="151E37FF" w14:textId="77777777" w:rsidR="00790BCC" w:rsidRPr="00D31F4D" w:rsidRDefault="00790BCC" w:rsidP="00D31F4D">
            <w:pPr>
              <w:pStyle w:val="Header2banner"/>
              <w:rPr>
                <w:rFonts w:asciiTheme="minorHAnsi" w:hAnsiTheme="minorHAnsi"/>
              </w:rPr>
            </w:pPr>
            <w:r w:rsidRPr="00D31F4D">
              <w:rPr>
                <w:rFonts w:asciiTheme="minorHAnsi" w:hAnsiTheme="minorHAnsi"/>
              </w:rPr>
              <w:t xml:space="preserve">Lesson </w:t>
            </w:r>
            <w:r w:rsidR="00714A21">
              <w:rPr>
                <w:rFonts w:asciiTheme="minorHAnsi" w:hAnsiTheme="minorHAnsi"/>
              </w:rPr>
              <w:t>2</w:t>
            </w:r>
            <w:r w:rsidR="005A4843">
              <w:rPr>
                <w:rFonts w:asciiTheme="minorHAnsi" w:hAnsiTheme="minorHAnsi"/>
              </w:rPr>
              <w:t>3</w:t>
            </w:r>
          </w:p>
        </w:tc>
      </w:tr>
    </w:tbl>
    <w:p w14:paraId="79440852" w14:textId="77777777" w:rsidR="00790BCC" w:rsidRPr="00790BCC" w:rsidRDefault="00790BCC" w:rsidP="00D31F4D">
      <w:pPr>
        <w:pStyle w:val="Heading1"/>
      </w:pPr>
      <w:r w:rsidRPr="00790BCC">
        <w:t>Introduction</w:t>
      </w:r>
    </w:p>
    <w:p w14:paraId="6F629BDA" w14:textId="2B19820B" w:rsidR="001031A4" w:rsidRPr="00790BCC" w:rsidRDefault="00714A21" w:rsidP="00DE6185">
      <w:r>
        <w:t>In this</w:t>
      </w:r>
      <w:r w:rsidR="005B4E3A">
        <w:t xml:space="preserve"> final</w:t>
      </w:r>
      <w:r>
        <w:t xml:space="preserve"> lesson</w:t>
      </w:r>
      <w:r w:rsidR="00DB6B4E">
        <w:t xml:space="preserve"> of the unit</w:t>
      </w:r>
      <w:r>
        <w:t>,</w:t>
      </w:r>
      <w:r w:rsidR="005B4E3A">
        <w:t xml:space="preserve"> the 12.4.2 </w:t>
      </w:r>
      <w:r>
        <w:t>End</w:t>
      </w:r>
      <w:r w:rsidR="00E44C3F">
        <w:t>-</w:t>
      </w:r>
      <w:r>
        <w:t>of</w:t>
      </w:r>
      <w:r w:rsidR="00E44C3F">
        <w:t>-</w:t>
      </w:r>
      <w:r>
        <w:t>Unit Assessment</w:t>
      </w:r>
      <w:r w:rsidR="005B4E3A">
        <w:t>, students</w:t>
      </w:r>
      <w:r w:rsidR="00FD07E1">
        <w:t xml:space="preserve"> engag</w:t>
      </w:r>
      <w:r w:rsidR="005B4E3A">
        <w:t>e</w:t>
      </w:r>
      <w:r w:rsidR="00FD07E1">
        <w:t xml:space="preserve"> in a</w:t>
      </w:r>
      <w:r w:rsidR="00DF2A9B">
        <w:t>n evidence-based</w:t>
      </w:r>
      <w:r w:rsidR="00FD07E1">
        <w:t xml:space="preserve"> discussion</w:t>
      </w:r>
      <w:r w:rsidR="005B4E3A">
        <w:t xml:space="preserve"> in which they</w:t>
      </w:r>
      <w:r>
        <w:t xml:space="preserve"> </w:t>
      </w:r>
      <w:r w:rsidR="00B87766">
        <w:t xml:space="preserve">analyze </w:t>
      </w:r>
      <w:r w:rsidR="005A4843">
        <w:t xml:space="preserve">how </w:t>
      </w:r>
      <w:r w:rsidR="00242EFD">
        <w:t>Nikolai Gogol and Jhumpa Lahiri treat</w:t>
      </w:r>
      <w:r w:rsidR="003A56B7">
        <w:t xml:space="preserve"> the concept</w:t>
      </w:r>
      <w:r w:rsidR="00242EFD">
        <w:t xml:space="preserve"> of identity </w:t>
      </w:r>
      <w:r w:rsidR="003A56B7">
        <w:t>similarly and differently</w:t>
      </w:r>
      <w:r w:rsidR="00242EFD">
        <w:t xml:space="preserve"> </w:t>
      </w:r>
      <w:r w:rsidR="003A56B7">
        <w:t xml:space="preserve">in </w:t>
      </w:r>
      <w:r w:rsidR="00242EFD">
        <w:t xml:space="preserve">their </w:t>
      </w:r>
      <w:r w:rsidR="008A7FA1">
        <w:t>respective</w:t>
      </w:r>
      <w:r w:rsidR="00242EFD">
        <w:t xml:space="preserve"> texts. </w:t>
      </w:r>
      <w:r w:rsidR="00815739">
        <w:t>S</w:t>
      </w:r>
      <w:r w:rsidR="003A56B7">
        <w:t xml:space="preserve">tudents </w:t>
      </w:r>
      <w:r>
        <w:t xml:space="preserve">consider the </w:t>
      </w:r>
      <w:r w:rsidR="00815739">
        <w:t>development of individual characters and central ideas in each text</w:t>
      </w:r>
      <w:r w:rsidR="00DF2A9B">
        <w:t>,</w:t>
      </w:r>
      <w:r w:rsidR="00815739">
        <w:t xml:space="preserve"> and make evidence-</w:t>
      </w:r>
      <w:r w:rsidR="00DF2A9B">
        <w:t xml:space="preserve">based claims during their small </w:t>
      </w:r>
      <w:r w:rsidR="00815739">
        <w:t>group discussions</w:t>
      </w:r>
      <w:r w:rsidR="00F87AF0">
        <w:t>. Additionally, students pose and respond to questions</w:t>
      </w:r>
      <w:r w:rsidR="009A097A">
        <w:t xml:space="preserve">, </w:t>
      </w:r>
      <w:r w:rsidRPr="000F4CD9">
        <w:t>prob</w:t>
      </w:r>
      <w:r w:rsidR="00F87AF0">
        <w:t>e</w:t>
      </w:r>
      <w:r w:rsidRPr="000F4CD9">
        <w:t xml:space="preserve"> </w:t>
      </w:r>
      <w:r w:rsidR="00DF2A9B">
        <w:t>the</w:t>
      </w:r>
      <w:r>
        <w:t xml:space="preserve"> reasoning and evidence </w:t>
      </w:r>
      <w:r w:rsidR="00DF2A9B">
        <w:t>presented by their peers, and</w:t>
      </w:r>
      <w:r>
        <w:t xml:space="preserve"> </w:t>
      </w:r>
      <w:r w:rsidRPr="000F4CD9">
        <w:t>clarify, verify, or challeng</w:t>
      </w:r>
      <w:r w:rsidR="00F87AF0">
        <w:t>e</w:t>
      </w:r>
      <w:r w:rsidRPr="000F4CD9">
        <w:t xml:space="preserve"> </w:t>
      </w:r>
      <w:r>
        <w:t xml:space="preserve">their own </w:t>
      </w:r>
      <w:r w:rsidRPr="000F4CD9">
        <w:t>ideas and conclusions.</w:t>
      </w:r>
      <w:r>
        <w:t xml:space="preserve"> Students are assessed via their participation in the evidence</w:t>
      </w:r>
      <w:r w:rsidR="00F1110B">
        <w:t>-</w:t>
      </w:r>
      <w:r>
        <w:t>based discussion</w:t>
      </w:r>
      <w:r w:rsidR="00446303">
        <w:t xml:space="preserve"> in response to the following prompt: </w:t>
      </w:r>
      <w:r w:rsidR="001031A4">
        <w:t>Compare Nikolai Gogol</w:t>
      </w:r>
      <w:r w:rsidR="005E2ECC">
        <w:t>’s</w:t>
      </w:r>
      <w:r w:rsidR="001031A4">
        <w:t xml:space="preserve"> and Jhumpa Lahiri’s approaches to identity in “The Overcoat” and </w:t>
      </w:r>
      <w:r w:rsidR="001031A4" w:rsidRPr="0052000A">
        <w:rPr>
          <w:i/>
        </w:rPr>
        <w:t>The Namesake</w:t>
      </w:r>
      <w:r w:rsidR="001031A4">
        <w:t>.</w:t>
      </w:r>
      <w:r w:rsidR="005C0DEB">
        <w:t xml:space="preserve"> </w:t>
      </w:r>
      <w:r w:rsidR="000C051B">
        <w:t xml:space="preserve">Student responses are assessed using the 12.4.2 End-of-Unit Rubric. </w:t>
      </w:r>
    </w:p>
    <w:p w14:paraId="1E4B1AD9" w14:textId="4BE8F658" w:rsidR="00714A21" w:rsidRPr="00563E99" w:rsidRDefault="00714A21" w:rsidP="00563E99">
      <w:r w:rsidRPr="00563E99">
        <w:t>For homework</w:t>
      </w:r>
      <w:r w:rsidR="00F1110B" w:rsidRPr="00563E99">
        <w:t xml:space="preserve">, </w:t>
      </w:r>
      <w:r w:rsidRPr="00563E99">
        <w:t xml:space="preserve">students </w:t>
      </w:r>
      <w:r w:rsidR="005E624E" w:rsidRPr="00563E99">
        <w:t xml:space="preserve">review the </w:t>
      </w:r>
      <w:r w:rsidR="00815739">
        <w:t>prompt options</w:t>
      </w:r>
      <w:r w:rsidR="005E624E" w:rsidRPr="00563E99">
        <w:t xml:space="preserve"> for the</w:t>
      </w:r>
      <w:r w:rsidR="0092039D">
        <w:t xml:space="preserve"> 12.4</w:t>
      </w:r>
      <w:r w:rsidR="005E624E" w:rsidRPr="00563E99">
        <w:t xml:space="preserve"> Module Performance Assessment and select the one for which they will write a response.</w:t>
      </w:r>
      <w:r w:rsidR="003D3040" w:rsidRPr="00563E99">
        <w:t xml:space="preserve"> Additionally, students take notes on</w:t>
      </w:r>
      <w:r w:rsidR="003F2293">
        <w:t xml:space="preserve"> their selected writing assessment</w:t>
      </w:r>
      <w:r w:rsidR="003D3040" w:rsidRPr="00563E99">
        <w:t xml:space="preserve"> to prepare for the</w:t>
      </w:r>
      <w:r w:rsidR="0092039D">
        <w:t xml:space="preserve"> 12.4</w:t>
      </w:r>
      <w:r w:rsidR="003D3040" w:rsidRPr="00563E99">
        <w:t xml:space="preserve"> Module Performance Assessment. </w:t>
      </w:r>
    </w:p>
    <w:p w14:paraId="4251BA1E" w14:textId="565A475D" w:rsidR="00790BCC" w:rsidRPr="00790BCC" w:rsidRDefault="00790BCC" w:rsidP="00D31F4D">
      <w:pPr>
        <w:pStyle w:val="Heading1"/>
      </w:pPr>
      <w:r w:rsidRPr="00790BCC">
        <w:t>Standards</w:t>
      </w:r>
    </w:p>
    <w:tbl>
      <w:tblPr>
        <w:tblW w:w="936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14:paraId="32A9DED5" w14:textId="77777777" w:rsidTr="00914A0B">
        <w:tc>
          <w:tcPr>
            <w:tcW w:w="9360" w:type="dxa"/>
            <w:gridSpan w:val="2"/>
            <w:shd w:val="clear" w:color="auto" w:fill="76923C"/>
          </w:tcPr>
          <w:p w14:paraId="545DEF15" w14:textId="77777777" w:rsidR="00790BCC" w:rsidRPr="00790BCC" w:rsidRDefault="00790BCC" w:rsidP="007017EB">
            <w:pPr>
              <w:pStyle w:val="TableHeaders"/>
            </w:pPr>
            <w:r w:rsidRPr="00790BCC">
              <w:t>Assessed Standard(s)</w:t>
            </w:r>
          </w:p>
        </w:tc>
      </w:tr>
      <w:tr w:rsidR="000E2A5E" w:rsidRPr="00790BCC" w14:paraId="28B69F4C" w14:textId="77777777" w:rsidTr="00914A0B">
        <w:tc>
          <w:tcPr>
            <w:tcW w:w="1329" w:type="dxa"/>
          </w:tcPr>
          <w:p w14:paraId="6BA3CB3F" w14:textId="15750F4C" w:rsidR="000E2A5E" w:rsidRDefault="000E2A5E" w:rsidP="00D31F4D">
            <w:pPr>
              <w:pStyle w:val="TableText"/>
            </w:pPr>
            <w:r>
              <w:t>CCRA.R.9</w:t>
            </w:r>
          </w:p>
        </w:tc>
        <w:tc>
          <w:tcPr>
            <w:tcW w:w="8031" w:type="dxa"/>
          </w:tcPr>
          <w:p w14:paraId="05B91711" w14:textId="7BAF25BD" w:rsidR="000E2A5E" w:rsidRPr="00F7509A" w:rsidRDefault="000E2A5E" w:rsidP="00026008">
            <w:pPr>
              <w:pStyle w:val="TableText"/>
            </w:pPr>
            <w:r>
              <w:rPr>
                <w:rFonts w:eastAsia="Times New Roman"/>
              </w:rPr>
              <w:t>Analyze how two or more texts address similar themes or topics in order to build knowledge or to compare the approaches the authors take.</w:t>
            </w:r>
          </w:p>
        </w:tc>
      </w:tr>
      <w:tr w:rsidR="003D4086" w:rsidRPr="00790BCC" w14:paraId="6732DE54" w14:textId="77777777" w:rsidTr="00BB058D">
        <w:tc>
          <w:tcPr>
            <w:tcW w:w="1329" w:type="dxa"/>
          </w:tcPr>
          <w:p w14:paraId="132A7CB9" w14:textId="77777777" w:rsidR="003D4086" w:rsidRDefault="003D4086" w:rsidP="00BB058D">
            <w:pPr>
              <w:pStyle w:val="TableText"/>
            </w:pPr>
            <w:r>
              <w:t>RL.11-12.2</w:t>
            </w:r>
          </w:p>
        </w:tc>
        <w:tc>
          <w:tcPr>
            <w:tcW w:w="8031" w:type="dxa"/>
          </w:tcPr>
          <w:p w14:paraId="5FFF7B87" w14:textId="77777777" w:rsidR="003D4086" w:rsidRDefault="003D4086" w:rsidP="00BB058D">
            <w:pPr>
              <w:pStyle w:val="TableText"/>
            </w:pPr>
            <w:r>
              <w:t>Determine two or more themes or central ideas of a text and analyze their development over the course of the text, including how they interact and build on one another to produce a complex account; provide an objective summary of the text.</w:t>
            </w:r>
          </w:p>
        </w:tc>
      </w:tr>
      <w:tr w:rsidR="003D4086" w:rsidRPr="00790BCC" w14:paraId="1AB43698" w14:textId="77777777" w:rsidTr="00BB058D">
        <w:tc>
          <w:tcPr>
            <w:tcW w:w="1329" w:type="dxa"/>
          </w:tcPr>
          <w:p w14:paraId="25883920" w14:textId="77777777" w:rsidR="003D4086" w:rsidRDefault="003D4086" w:rsidP="00BB058D">
            <w:pPr>
              <w:pStyle w:val="TableText"/>
            </w:pPr>
            <w:r>
              <w:t>RL.11-12.3</w:t>
            </w:r>
          </w:p>
        </w:tc>
        <w:tc>
          <w:tcPr>
            <w:tcW w:w="8031" w:type="dxa"/>
          </w:tcPr>
          <w:p w14:paraId="760436B8" w14:textId="77777777" w:rsidR="003D4086" w:rsidRDefault="003D4086" w:rsidP="00BB058D">
            <w:pPr>
              <w:pStyle w:val="TableText"/>
            </w:pPr>
            <w:r w:rsidRPr="00743D34">
              <w:t>A</w:t>
            </w:r>
            <w:r>
              <w:t>nalyze the impact of the author’</w:t>
            </w:r>
            <w:r w:rsidRPr="00743D34">
              <w:t>s choices regarding how to develop and relate elements of a story or drama (e.g., where a story is set, how the action is ordered, how the characters are introduced and developed).</w:t>
            </w:r>
          </w:p>
        </w:tc>
      </w:tr>
      <w:tr w:rsidR="003D4086" w:rsidRPr="00790BCC" w14:paraId="013D29BC" w14:textId="77777777" w:rsidTr="00BB058D">
        <w:tc>
          <w:tcPr>
            <w:tcW w:w="1329" w:type="dxa"/>
          </w:tcPr>
          <w:p w14:paraId="0E9F218A" w14:textId="77777777" w:rsidR="003D4086" w:rsidRDefault="003D4086" w:rsidP="00BB058D">
            <w:pPr>
              <w:pStyle w:val="TableText"/>
            </w:pPr>
            <w:r>
              <w:t>RL.11-12.5</w:t>
            </w:r>
          </w:p>
        </w:tc>
        <w:tc>
          <w:tcPr>
            <w:tcW w:w="8031" w:type="dxa"/>
          </w:tcPr>
          <w:p w14:paraId="09D66714" w14:textId="77777777" w:rsidR="003D4086" w:rsidRPr="00743D34" w:rsidRDefault="003D4086" w:rsidP="00BB058D">
            <w:pPr>
              <w:pStyle w:val="TableText"/>
            </w:pPr>
            <w:r w:rsidRPr="0011560C">
              <w:t>Analyze how an author’s choices concerning how to structure specific parts of a text (e.g., the choice of where to begin or end a story, the choice to provide a comedic or tragic resolution) contribute to its overall structure and meaning as well as its aesthetic impact.</w:t>
            </w:r>
          </w:p>
        </w:tc>
      </w:tr>
      <w:tr w:rsidR="000E2A5E" w:rsidRPr="00790BCC" w14:paraId="5C26F532" w14:textId="77777777" w:rsidTr="00914A0B">
        <w:tc>
          <w:tcPr>
            <w:tcW w:w="1329" w:type="dxa"/>
          </w:tcPr>
          <w:p w14:paraId="42383DC4" w14:textId="60709140" w:rsidR="000E2A5E" w:rsidRPr="00790BCC" w:rsidRDefault="000E2A5E" w:rsidP="00D31F4D">
            <w:pPr>
              <w:pStyle w:val="TableText"/>
            </w:pPr>
            <w:r>
              <w:lastRenderedPageBreak/>
              <w:t>SL.11-12.1.</w:t>
            </w:r>
            <w:r w:rsidR="00DF2A9B">
              <w:t xml:space="preserve"> </w:t>
            </w:r>
            <w:r>
              <w:t>a, c, d</w:t>
            </w:r>
          </w:p>
        </w:tc>
        <w:tc>
          <w:tcPr>
            <w:tcW w:w="8031" w:type="dxa"/>
          </w:tcPr>
          <w:p w14:paraId="02A655E8" w14:textId="77777777" w:rsidR="000E2A5E" w:rsidRDefault="000E2A5E" w:rsidP="00026008">
            <w:pPr>
              <w:pStyle w:val="TableText"/>
            </w:pPr>
            <w:r w:rsidRPr="00F7509A">
              <w:t xml:space="preserve">Initiate and participate effectively in a range of collaborative discussions (one-on-one, in groups, and teacher-led) with diverse partners on </w:t>
            </w:r>
            <w:r>
              <w:rPr>
                <w:i/>
              </w:rPr>
              <w:t>grades 11–</w:t>
            </w:r>
            <w:r w:rsidRPr="00583656">
              <w:rPr>
                <w:i/>
              </w:rPr>
              <w:t>12 topics, texts, and issues</w:t>
            </w:r>
            <w:r>
              <w:t>, building on others’</w:t>
            </w:r>
            <w:r w:rsidRPr="00F7509A">
              <w:t xml:space="preserve"> ideas and expressing their own clearly and persuasively.</w:t>
            </w:r>
          </w:p>
          <w:p w14:paraId="423A669E" w14:textId="77777777" w:rsidR="000E2A5E" w:rsidRDefault="000E2A5E" w:rsidP="000C6FD7">
            <w:pPr>
              <w:pStyle w:val="SubStandard"/>
            </w:pPr>
            <w:r w:rsidRPr="00F7509A">
              <w:t>Come to discussions prepared, having read and researched material under study; explicitly draw on that preparation by referring to evidence from texts and other research on the topic or issue to stimulate a thoughtful, well-reasoned exchange of ideas.</w:t>
            </w:r>
          </w:p>
          <w:p w14:paraId="557FA439" w14:textId="77777777" w:rsidR="000E2A5E" w:rsidRDefault="000E2A5E" w:rsidP="00563E99">
            <w:pPr>
              <w:pStyle w:val="SubStandard"/>
              <w:numPr>
                <w:ilvl w:val="0"/>
                <w:numId w:val="5"/>
              </w:numPr>
            </w:pPr>
            <w:r w:rsidRPr="004303AA">
              <w:t>Propel conversations by posing and responding to questions that probe reasoning and evidence; ensure a hearing for a full range of position</w:t>
            </w:r>
            <w:r>
              <w:t>s</w:t>
            </w:r>
            <w:r w:rsidRPr="004303AA">
              <w:t xml:space="preserve"> on a topic or issue; clarify, verify, or challenge ideas and conclusions; and promote divergent and creative perspectives</w:t>
            </w:r>
            <w:r w:rsidRPr="00F7509A">
              <w:t>.</w:t>
            </w:r>
          </w:p>
          <w:p w14:paraId="1CCC13F9" w14:textId="77777777" w:rsidR="000E2A5E" w:rsidRPr="000F4CD9" w:rsidRDefault="000E2A5E" w:rsidP="00563E99">
            <w:pPr>
              <w:pStyle w:val="SubStandard"/>
              <w:numPr>
                <w:ilvl w:val="0"/>
                <w:numId w:val="4"/>
              </w:numPr>
            </w:pPr>
            <w:r w:rsidRPr="00F7509A">
              <w:t>Respond thoughtfully to diverse perspectives; synthesize comments, claims, and evidence made on all sides of an issue; resolve contradictions when possible; and determine what additional information or research is required to deepen the investigation or complete the task.</w:t>
            </w:r>
          </w:p>
        </w:tc>
      </w:tr>
      <w:tr w:rsidR="000E2A5E" w:rsidRPr="00790BCC" w14:paraId="62D5208C" w14:textId="77777777" w:rsidTr="00914A0B">
        <w:tc>
          <w:tcPr>
            <w:tcW w:w="9360" w:type="dxa"/>
            <w:gridSpan w:val="2"/>
            <w:shd w:val="clear" w:color="auto" w:fill="76923C"/>
          </w:tcPr>
          <w:p w14:paraId="5D9972C7" w14:textId="77777777" w:rsidR="000E2A5E" w:rsidRPr="00790BCC" w:rsidRDefault="000E2A5E" w:rsidP="007017EB">
            <w:pPr>
              <w:pStyle w:val="TableHeaders"/>
            </w:pPr>
            <w:r w:rsidRPr="00790BCC">
              <w:t>Addressed Standard(s)</w:t>
            </w:r>
          </w:p>
        </w:tc>
      </w:tr>
      <w:tr w:rsidR="000E2A5E" w:rsidRPr="00790BCC" w14:paraId="2AC7FEBF" w14:textId="77777777" w:rsidTr="00914A0B">
        <w:tc>
          <w:tcPr>
            <w:tcW w:w="1329" w:type="dxa"/>
          </w:tcPr>
          <w:p w14:paraId="254E760D" w14:textId="77777777" w:rsidR="000E2A5E" w:rsidRPr="00790BCC" w:rsidRDefault="000E2A5E" w:rsidP="007017EB">
            <w:pPr>
              <w:pStyle w:val="TableText"/>
            </w:pPr>
            <w:r>
              <w:t>W.11-12.9.a</w:t>
            </w:r>
          </w:p>
        </w:tc>
        <w:tc>
          <w:tcPr>
            <w:tcW w:w="8031" w:type="dxa"/>
          </w:tcPr>
          <w:p w14:paraId="4E13865F" w14:textId="77777777" w:rsidR="000E2A5E" w:rsidRDefault="000E2A5E" w:rsidP="000F4CD9">
            <w:pPr>
              <w:pStyle w:val="TableText"/>
            </w:pPr>
            <w:r>
              <w:t>Draw evidence from literary or informational texts to support analysis, reflection, and research.</w:t>
            </w:r>
          </w:p>
          <w:p w14:paraId="5E16C672" w14:textId="77777777" w:rsidR="000E2A5E" w:rsidRPr="00790BCC" w:rsidRDefault="000E2A5E" w:rsidP="00563E99">
            <w:pPr>
              <w:pStyle w:val="SubStandard"/>
              <w:numPr>
                <w:ilvl w:val="0"/>
                <w:numId w:val="3"/>
              </w:numPr>
            </w:pPr>
            <w:r>
              <w:t xml:space="preserve">Apply </w:t>
            </w:r>
            <w:r w:rsidRPr="00583656">
              <w:rPr>
                <w:i/>
              </w:rPr>
              <w:t>grades 11–12 Reading standards</w:t>
            </w:r>
            <w:r>
              <w:t xml:space="preserve"> to literature </w:t>
            </w:r>
            <w:r w:rsidRPr="005E67A0">
              <w:t>(e.g., “Demonstrate</w:t>
            </w:r>
            <w:r>
              <w:t xml:space="preserve"> </w:t>
            </w:r>
            <w:r w:rsidRPr="005E67A0">
              <w:t>knowledge of eighteenth-, nineteenth- and early-twentieth-century</w:t>
            </w:r>
            <w:r>
              <w:t xml:space="preserve"> </w:t>
            </w:r>
            <w:r w:rsidRPr="005E67A0">
              <w:t>foundational works of American literature, including how two or more texts</w:t>
            </w:r>
            <w:r>
              <w:t xml:space="preserve"> </w:t>
            </w:r>
            <w:r w:rsidRPr="005E67A0">
              <w:t>from the same period treat similar themes or topics”).</w:t>
            </w:r>
          </w:p>
        </w:tc>
      </w:tr>
    </w:tbl>
    <w:p w14:paraId="5584BE7A" w14:textId="77777777" w:rsidR="00790BCC" w:rsidRPr="00790BCC" w:rsidRDefault="00790BCC" w:rsidP="00D31F4D">
      <w:pPr>
        <w:pStyle w:val="Heading1"/>
      </w:pPr>
      <w:r w:rsidRPr="00790BCC">
        <w:t>Assessment</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7BC26081" w14:textId="77777777" w:rsidTr="00914A0B">
        <w:tc>
          <w:tcPr>
            <w:tcW w:w="9360" w:type="dxa"/>
            <w:shd w:val="clear" w:color="auto" w:fill="76923C"/>
          </w:tcPr>
          <w:p w14:paraId="608C2709" w14:textId="77777777" w:rsidR="00790BCC" w:rsidRPr="00790BCC" w:rsidRDefault="00790BCC" w:rsidP="007017EB">
            <w:pPr>
              <w:pStyle w:val="TableHeaders"/>
            </w:pPr>
            <w:r w:rsidRPr="00790BCC">
              <w:t>Assessment(s)</w:t>
            </w:r>
          </w:p>
        </w:tc>
      </w:tr>
      <w:tr w:rsidR="00790BCC" w:rsidRPr="00790BCC" w14:paraId="000B0705" w14:textId="77777777" w:rsidTr="00914A0B">
        <w:tc>
          <w:tcPr>
            <w:tcW w:w="9360" w:type="dxa"/>
            <w:tcBorders>
              <w:top w:val="single" w:sz="4" w:space="0" w:color="auto"/>
              <w:left w:val="single" w:sz="4" w:space="0" w:color="auto"/>
              <w:bottom w:val="single" w:sz="4" w:space="0" w:color="auto"/>
              <w:right w:val="single" w:sz="4" w:space="0" w:color="auto"/>
            </w:tcBorders>
          </w:tcPr>
          <w:p w14:paraId="6AFD25B4" w14:textId="68CAE7FA" w:rsidR="00790BCC" w:rsidRDefault="000C6FD7" w:rsidP="00530F4C">
            <w:pPr>
              <w:pStyle w:val="TableText"/>
            </w:pPr>
            <w:r>
              <w:t xml:space="preserve">In this </w:t>
            </w:r>
            <w:r w:rsidR="00E44C3F">
              <w:t xml:space="preserve">End-of-Unit </w:t>
            </w:r>
            <w:r>
              <w:t>Assessment, student</w:t>
            </w:r>
            <w:r w:rsidR="00DB6B4E">
              <w:t xml:space="preserve"> learning is </w:t>
            </w:r>
            <w:r>
              <w:t>assessed via their participation in a</w:t>
            </w:r>
            <w:r w:rsidR="007D0C9E">
              <w:t xml:space="preserve"> small</w:t>
            </w:r>
            <w:r w:rsidR="00DF2A9B">
              <w:t xml:space="preserve"> </w:t>
            </w:r>
            <w:r w:rsidR="007D0C9E">
              <w:t>group</w:t>
            </w:r>
            <w:r w:rsidR="00B63F94" w:rsidRPr="00B63F94">
              <w:t xml:space="preserve"> </w:t>
            </w:r>
            <w:r w:rsidR="00DB6B4E">
              <w:t>e</w:t>
            </w:r>
            <w:r w:rsidR="00B63F94" w:rsidRPr="00B63F94">
              <w:t>vidence-</w:t>
            </w:r>
            <w:r w:rsidR="00DB6B4E">
              <w:t>b</w:t>
            </w:r>
            <w:r w:rsidR="00B63F94" w:rsidRPr="00B63F94">
              <w:t xml:space="preserve">ased </w:t>
            </w:r>
            <w:r w:rsidR="00DB6B4E">
              <w:t>d</w:t>
            </w:r>
            <w:r w:rsidR="00B63F94" w:rsidRPr="00B63F94">
              <w:t>iscussion</w:t>
            </w:r>
            <w:r w:rsidR="00403B57">
              <w:t xml:space="preserve"> in response to the following prompt</w:t>
            </w:r>
            <w:r w:rsidR="00B63F94" w:rsidRPr="00B63F94">
              <w:t xml:space="preserve">: </w:t>
            </w:r>
          </w:p>
          <w:p w14:paraId="088B4C1E" w14:textId="57721F6E" w:rsidR="00851F3D" w:rsidRPr="00790BCC" w:rsidRDefault="00851F3D" w:rsidP="00DE6185">
            <w:pPr>
              <w:pStyle w:val="BulletedList"/>
            </w:pPr>
            <w:r>
              <w:t>Compare Nikolai Gogol</w:t>
            </w:r>
            <w:r w:rsidR="00DF2A9B">
              <w:t>’s</w:t>
            </w:r>
            <w:r>
              <w:t xml:space="preserve"> and Jhumpa Lahiri’s approaches to identity in “The Overcoat” and </w:t>
            </w:r>
            <w:r w:rsidRPr="00DE6185">
              <w:rPr>
                <w:i/>
              </w:rPr>
              <w:t>The Namesake</w:t>
            </w:r>
            <w:r>
              <w:t>.</w:t>
            </w:r>
          </w:p>
          <w:p w14:paraId="6522B873" w14:textId="0C9E99C5" w:rsidR="00BA277F" w:rsidRPr="00790BCC" w:rsidRDefault="006A541B" w:rsidP="00FC6B9F">
            <w:pPr>
              <w:pStyle w:val="IN"/>
            </w:pPr>
            <w:r>
              <w:t>Student learning will be assessed</w:t>
            </w:r>
            <w:r w:rsidR="004F21AE">
              <w:t xml:space="preserve"> </w:t>
            </w:r>
            <w:r w:rsidR="008921BF">
              <w:t>using the 12</w:t>
            </w:r>
            <w:r w:rsidR="00BA277F">
              <w:t>.4.2 End-of-Unit Rubric.</w:t>
            </w:r>
          </w:p>
        </w:tc>
      </w:tr>
      <w:tr w:rsidR="00790BCC" w:rsidRPr="00790BCC" w14:paraId="55F6FCDD" w14:textId="77777777" w:rsidTr="00914A0B">
        <w:tc>
          <w:tcPr>
            <w:tcW w:w="9360" w:type="dxa"/>
            <w:shd w:val="clear" w:color="auto" w:fill="76923C"/>
          </w:tcPr>
          <w:p w14:paraId="42190C3B" w14:textId="77777777" w:rsidR="00790BCC" w:rsidRPr="00790BCC" w:rsidRDefault="00790BCC" w:rsidP="007017EB">
            <w:pPr>
              <w:pStyle w:val="TableHeaders"/>
            </w:pPr>
            <w:r w:rsidRPr="00790BCC">
              <w:t>High Performance Response(s)</w:t>
            </w:r>
          </w:p>
        </w:tc>
      </w:tr>
      <w:tr w:rsidR="00790BCC" w:rsidRPr="00790BCC" w14:paraId="1926D2F3" w14:textId="77777777" w:rsidTr="00914A0B">
        <w:tc>
          <w:tcPr>
            <w:tcW w:w="9360" w:type="dxa"/>
          </w:tcPr>
          <w:p w14:paraId="0B8436E7" w14:textId="59CD242D" w:rsidR="00CB3A0C" w:rsidRDefault="00CB3A0C" w:rsidP="007B166F">
            <w:pPr>
              <w:pStyle w:val="TA"/>
            </w:pPr>
            <w:r>
              <w:t>A High Performance Response should:</w:t>
            </w:r>
          </w:p>
          <w:p w14:paraId="6A3AF0D1" w14:textId="6363D035" w:rsidR="00CB3A0C" w:rsidRDefault="00F264FF" w:rsidP="00B570CC">
            <w:pPr>
              <w:pStyle w:val="BulletedList"/>
            </w:pPr>
            <w:r>
              <w:lastRenderedPageBreak/>
              <w:t xml:space="preserve">Develop </w:t>
            </w:r>
            <w:r w:rsidR="009A1389">
              <w:t>a</w:t>
            </w:r>
            <w:r w:rsidR="00CB3A0C">
              <w:t xml:space="preserve"> </w:t>
            </w:r>
            <w:r w:rsidR="00750951">
              <w:t>claim</w:t>
            </w:r>
            <w:r w:rsidR="00CB3A0C">
              <w:t xml:space="preserve"> </w:t>
            </w:r>
            <w:r w:rsidR="009A1389">
              <w:t xml:space="preserve">about </w:t>
            </w:r>
            <w:r w:rsidR="00CB3A0C">
              <w:t xml:space="preserve">how Nikolai Gogol and Jhumpa Lahiri </w:t>
            </w:r>
            <w:r w:rsidR="009A1389">
              <w:t>approach</w:t>
            </w:r>
            <w:r w:rsidR="00CB3A0C">
              <w:t xml:space="preserve"> identity </w:t>
            </w:r>
            <w:r w:rsidR="009A1389">
              <w:t xml:space="preserve">in </w:t>
            </w:r>
            <w:r w:rsidR="00CB3A0C">
              <w:t xml:space="preserve">“The Overcoat” and </w:t>
            </w:r>
            <w:r w:rsidR="00CB3A0C" w:rsidRPr="00B570CC">
              <w:rPr>
                <w:i/>
              </w:rPr>
              <w:t>The Namesake</w:t>
            </w:r>
            <w:r w:rsidR="00E27B13">
              <w:t xml:space="preserve"> </w:t>
            </w:r>
            <w:r w:rsidR="00D86316">
              <w:t>(e.g.,</w:t>
            </w:r>
            <w:r w:rsidR="008B7FB7">
              <w:t xml:space="preserve"> Both</w:t>
            </w:r>
            <w:r w:rsidR="005C368A">
              <w:t xml:space="preserve"> “</w:t>
            </w:r>
            <w:r w:rsidR="008B7FB7">
              <w:t>The Overcoat”</w:t>
            </w:r>
            <w:r w:rsidR="001D4DB0" w:rsidRPr="00DE6185">
              <w:rPr>
                <w:i/>
              </w:rPr>
              <w:t xml:space="preserve"> </w:t>
            </w:r>
            <w:r w:rsidR="001D4DB0">
              <w:t xml:space="preserve">and </w:t>
            </w:r>
            <w:r w:rsidR="001D4DB0" w:rsidRPr="00DE6185">
              <w:rPr>
                <w:i/>
              </w:rPr>
              <w:t>The Namesake</w:t>
            </w:r>
            <w:r w:rsidR="008B7FB7" w:rsidRPr="001E6BD6">
              <w:t xml:space="preserve"> demons</w:t>
            </w:r>
            <w:r w:rsidR="008B7FB7">
              <w:t>trate that identity is not fixed, but rather, shifts and changes depending on context</w:t>
            </w:r>
            <w:r w:rsidR="00D86316">
              <w:t>.)</w:t>
            </w:r>
            <w:r w:rsidR="00E27B13">
              <w:t>.</w:t>
            </w:r>
          </w:p>
          <w:p w14:paraId="14870BAC" w14:textId="0C613B95" w:rsidR="00A403C0" w:rsidRDefault="00A403C0" w:rsidP="00B570CC">
            <w:pPr>
              <w:pStyle w:val="BulletedList"/>
            </w:pPr>
            <w:r>
              <w:t>Support this claim with evidence (see examples below).</w:t>
            </w:r>
          </w:p>
          <w:p w14:paraId="3DC615F1" w14:textId="3D48C3C7" w:rsidR="007B166F" w:rsidRDefault="007B166F" w:rsidP="007B166F">
            <w:pPr>
              <w:pStyle w:val="TA"/>
            </w:pPr>
            <w:r>
              <w:t>A High Performance Response may include</w:t>
            </w:r>
            <w:r w:rsidR="00AE7197">
              <w:t xml:space="preserve"> the following evidence: </w:t>
            </w:r>
          </w:p>
          <w:p w14:paraId="278F4170" w14:textId="0A6C9F98" w:rsidR="001E6BD6" w:rsidRPr="001E6BD6" w:rsidRDefault="007A31C7" w:rsidP="001E6BD6">
            <w:pPr>
              <w:pStyle w:val="BulletedList"/>
            </w:pPr>
            <w:r>
              <w:t>Both</w:t>
            </w:r>
            <w:r w:rsidRPr="001E6BD6">
              <w:t xml:space="preserve"> </w:t>
            </w:r>
            <w:r w:rsidRPr="00DE6185">
              <w:rPr>
                <w:i/>
              </w:rPr>
              <w:t>The Namesake</w:t>
            </w:r>
            <w:r>
              <w:t xml:space="preserve"> and</w:t>
            </w:r>
            <w:r w:rsidR="00E27B13">
              <w:t xml:space="preserve"> “</w:t>
            </w:r>
            <w:r>
              <w:t>The Overcoat”</w:t>
            </w:r>
            <w:r w:rsidRPr="001E6BD6">
              <w:t xml:space="preserve"> demons</w:t>
            </w:r>
            <w:r>
              <w:t>trate</w:t>
            </w:r>
            <w:r w:rsidR="008F1590">
              <w:t xml:space="preserve"> that identity is not fixed, but rather, shifts and changes depending on context.</w:t>
            </w:r>
            <w:r>
              <w:t xml:space="preserve"> </w:t>
            </w:r>
            <w:r w:rsidR="001E6BD6" w:rsidRPr="001E6BD6">
              <w:t xml:space="preserve">In </w:t>
            </w:r>
            <w:r w:rsidR="001E6BD6" w:rsidRPr="00EC33CC">
              <w:rPr>
                <w:i/>
              </w:rPr>
              <w:t>The Namesake</w:t>
            </w:r>
            <w:r w:rsidR="00B43EE4">
              <w:t xml:space="preserve">, Gogol’s identify </w:t>
            </w:r>
            <w:r w:rsidR="00E4013E">
              <w:t>shifts</w:t>
            </w:r>
            <w:r w:rsidR="00EF575A">
              <w:t xml:space="preserve"> </w:t>
            </w:r>
            <w:r w:rsidR="001E6BD6" w:rsidRPr="001E6BD6">
              <w:t xml:space="preserve">in </w:t>
            </w:r>
            <w:r w:rsidR="003B0100">
              <w:t>re</w:t>
            </w:r>
            <w:r w:rsidR="001F06EC">
              <w:t>sponse</w:t>
            </w:r>
            <w:r w:rsidR="003B0100" w:rsidRPr="001E6BD6">
              <w:t xml:space="preserve"> </w:t>
            </w:r>
            <w:r w:rsidR="001E6BD6" w:rsidRPr="001E6BD6">
              <w:t xml:space="preserve">to his </w:t>
            </w:r>
            <w:r w:rsidR="00E460A3">
              <w:t>internal struggles with his identity</w:t>
            </w:r>
            <w:r w:rsidR="001E6BD6" w:rsidRPr="001E6BD6">
              <w:t xml:space="preserve">. </w:t>
            </w:r>
            <w:r w:rsidR="00AE4609">
              <w:t>For example,</w:t>
            </w:r>
            <w:r w:rsidR="00A52DA8">
              <w:t xml:space="preserve"> </w:t>
            </w:r>
            <w:r w:rsidR="00BF05A4">
              <w:t>i</w:t>
            </w:r>
            <w:r w:rsidR="00C21A7E">
              <w:t>n college, Gogol take</w:t>
            </w:r>
            <w:r w:rsidR="00E460A3">
              <w:t>s</w:t>
            </w:r>
            <w:r w:rsidR="00C21A7E">
              <w:t xml:space="preserve"> advantage of </w:t>
            </w:r>
            <w:r w:rsidR="007772AC">
              <w:t xml:space="preserve">a new setting </w:t>
            </w:r>
            <w:r w:rsidR="00C21A7E">
              <w:t>to change</w:t>
            </w:r>
            <w:r w:rsidR="00777F32">
              <w:t xml:space="preserve"> his name to Nikhil</w:t>
            </w:r>
            <w:r w:rsidR="00C21A7E">
              <w:t xml:space="preserve"> because</w:t>
            </w:r>
            <w:r w:rsidR="007772AC">
              <w:t xml:space="preserve"> </w:t>
            </w:r>
            <w:r w:rsidR="00C21A7E">
              <w:t>“everything else is suddenly so new, going by a new name doesn’t fe</w:t>
            </w:r>
            <w:r w:rsidR="007772AC">
              <w:t>el so terribly strange to Gogol” (</w:t>
            </w:r>
            <w:r w:rsidR="00DF2A9B">
              <w:t xml:space="preserve">Lahiri, </w:t>
            </w:r>
            <w:r w:rsidR="007772AC">
              <w:t>p. 104).</w:t>
            </w:r>
            <w:r w:rsidR="00454BD9">
              <w:t xml:space="preserve"> </w:t>
            </w:r>
            <w:r w:rsidR="002869F1">
              <w:t>Gogol’s identity also shifts in his relationship</w:t>
            </w:r>
            <w:r w:rsidR="006719A4">
              <w:t>s</w:t>
            </w:r>
            <w:r w:rsidR="002869F1">
              <w:t xml:space="preserve"> with</w:t>
            </w:r>
            <w:r w:rsidR="006719A4">
              <w:t xml:space="preserve"> various</w:t>
            </w:r>
            <w:r w:rsidR="002869F1">
              <w:t xml:space="preserve"> women. </w:t>
            </w:r>
            <w:r w:rsidR="00777F32">
              <w:t xml:space="preserve">Gogol </w:t>
            </w:r>
            <w:r w:rsidR="002869F1">
              <w:t>allows himself</w:t>
            </w:r>
            <w:r w:rsidR="00D41F1F">
              <w:t xml:space="preserve"> to be</w:t>
            </w:r>
            <w:r w:rsidR="00777F32">
              <w:t xml:space="preserve"> “effortlessly incorporated into” </w:t>
            </w:r>
            <w:r w:rsidR="00C16634">
              <w:t>Maxine’s “world” (</w:t>
            </w:r>
            <w:r w:rsidR="00DF2A9B">
              <w:t xml:space="preserve">Lahiri, </w:t>
            </w:r>
            <w:r w:rsidR="00C16634">
              <w:t>p</w:t>
            </w:r>
            <w:r w:rsidR="00DF2A9B">
              <w:t>p</w:t>
            </w:r>
            <w:r w:rsidR="00C16634">
              <w:t xml:space="preserve">. </w:t>
            </w:r>
            <w:r w:rsidR="00DF2A9B">
              <w:t xml:space="preserve">136 and </w:t>
            </w:r>
            <w:r w:rsidR="00C16634">
              <w:t>150)</w:t>
            </w:r>
            <w:r w:rsidR="002869F1">
              <w:t>, avoiding</w:t>
            </w:r>
            <w:r w:rsidR="00777F32">
              <w:t xml:space="preserve"> his own family and upbringing</w:t>
            </w:r>
            <w:r w:rsidR="00C16634">
              <w:t xml:space="preserve"> and experiencing freedom from “expectation” (</w:t>
            </w:r>
            <w:r w:rsidR="00DF2A9B">
              <w:t xml:space="preserve">Lahiri, </w:t>
            </w:r>
            <w:r w:rsidR="00C16634">
              <w:t>p. 142)</w:t>
            </w:r>
            <w:r w:rsidR="00777F32">
              <w:t>.</w:t>
            </w:r>
            <w:r w:rsidR="00C16634">
              <w:t xml:space="preserve"> </w:t>
            </w:r>
            <w:r w:rsidR="006719A4">
              <w:t xml:space="preserve">In his </w:t>
            </w:r>
            <w:r w:rsidR="002555B7">
              <w:t xml:space="preserve">marriage to </w:t>
            </w:r>
            <w:r w:rsidR="006719A4">
              <w:t>Moushumi</w:t>
            </w:r>
            <w:r w:rsidR="00C16634">
              <w:t>,</w:t>
            </w:r>
            <w:r w:rsidR="006719A4">
              <w:t xml:space="preserve"> Gogol’s identity shifts back to his Bengali roots, as he</w:t>
            </w:r>
            <w:r w:rsidR="00E13CF5">
              <w:t xml:space="preserve"> and Moushumi</w:t>
            </w:r>
            <w:r w:rsidR="006719A4">
              <w:t xml:space="preserve"> </w:t>
            </w:r>
            <w:r w:rsidR="00E13CF5">
              <w:t>fulfill</w:t>
            </w:r>
            <w:r w:rsidR="004F747E">
              <w:t xml:space="preserve"> a “collective, deep-seated desire</w:t>
            </w:r>
            <w:r w:rsidR="005C368A">
              <w:t>—</w:t>
            </w:r>
            <w:r w:rsidR="004F747E">
              <w:t>because they’re both Bengali” (</w:t>
            </w:r>
            <w:r w:rsidR="00DF2A9B">
              <w:t xml:space="preserve">Lahiri, </w:t>
            </w:r>
            <w:r w:rsidR="004F747E">
              <w:t>p. 224).</w:t>
            </w:r>
            <w:r w:rsidR="006719A4">
              <w:t xml:space="preserve"> </w:t>
            </w:r>
            <w:r w:rsidR="004C35FA">
              <w:t>In</w:t>
            </w:r>
            <w:r w:rsidR="004C35FA" w:rsidRPr="001E6BD6">
              <w:t xml:space="preserve"> </w:t>
            </w:r>
            <w:r w:rsidR="001E6BD6" w:rsidRPr="001E6BD6">
              <w:t>"The Overc</w:t>
            </w:r>
            <w:r w:rsidR="00EF575A">
              <w:t>oat</w:t>
            </w:r>
            <w:r w:rsidR="001E6BD6" w:rsidRPr="001E6BD6">
              <w:t>,</w:t>
            </w:r>
            <w:r w:rsidR="00EF575A">
              <w:t>”</w:t>
            </w:r>
            <w:r w:rsidR="001E6BD6" w:rsidRPr="001E6BD6">
              <w:t xml:space="preserve"> </w:t>
            </w:r>
            <w:r w:rsidR="00AB49C8">
              <w:t>Akaky Akakievich’s</w:t>
            </w:r>
            <w:r w:rsidR="00D46EA8">
              <w:t xml:space="preserve"> identity</w:t>
            </w:r>
            <w:r w:rsidR="00283C7A">
              <w:t xml:space="preserve"> changes</w:t>
            </w:r>
            <w:r w:rsidR="005159BF">
              <w:t xml:space="preserve"> in relation to his overcoat</w:t>
            </w:r>
            <w:r w:rsidR="001E6BD6" w:rsidRPr="001E6BD6">
              <w:t>.</w:t>
            </w:r>
            <w:r w:rsidR="0077603D">
              <w:t xml:space="preserve"> Before Akaky Akakievich obtains his new overcoat,</w:t>
            </w:r>
            <w:r w:rsidR="003F1016">
              <w:t xml:space="preserve"> “[o]utside [his] copying nothing seem[s] to exist for him</w:t>
            </w:r>
            <w:r w:rsidR="00DF2A9B">
              <w:t>”</w:t>
            </w:r>
            <w:r w:rsidR="00B1548C">
              <w:t xml:space="preserve"> (</w:t>
            </w:r>
            <w:r w:rsidR="00DF2A9B">
              <w:t xml:space="preserve">Gogol, </w:t>
            </w:r>
            <w:r w:rsidR="00B1548C">
              <w:t>p. 397</w:t>
            </w:r>
            <w:r w:rsidR="0077603D">
              <w:t>).</w:t>
            </w:r>
            <w:r w:rsidR="0090500C">
              <w:t xml:space="preserve"> </w:t>
            </w:r>
            <w:r w:rsidR="0077603D">
              <w:t>While</w:t>
            </w:r>
            <w:r w:rsidR="00ED338D">
              <w:t xml:space="preserve"> he waits for his new overcoat</w:t>
            </w:r>
            <w:r w:rsidR="0077603D">
              <w:t xml:space="preserve">, </w:t>
            </w:r>
            <w:r w:rsidR="00A767C7">
              <w:t xml:space="preserve">however, </w:t>
            </w:r>
            <w:r w:rsidR="0077603D">
              <w:t>Akaky Akakievich begins to change; he</w:t>
            </w:r>
            <w:r w:rsidR="00ED338D">
              <w:t xml:space="preserve"> finds</w:t>
            </w:r>
            <w:r w:rsidR="009310FD">
              <w:t xml:space="preserve"> himself “nourished spiritually</w:t>
            </w:r>
            <w:r w:rsidR="0077603D">
              <w:t>” (</w:t>
            </w:r>
            <w:r w:rsidR="00DF2A9B">
              <w:t xml:space="preserve">Gogol, </w:t>
            </w:r>
            <w:r w:rsidR="0077603D">
              <w:t xml:space="preserve">p. 406). </w:t>
            </w:r>
            <w:r w:rsidR="00114A27">
              <w:t xml:space="preserve">When his coat is completed, </w:t>
            </w:r>
            <w:r w:rsidR="0090500C">
              <w:t>Akaky Akakievich</w:t>
            </w:r>
            <w:r w:rsidR="009C6E1A">
              <w:t xml:space="preserve"> attend</w:t>
            </w:r>
            <w:r w:rsidR="00114A27">
              <w:t>s</w:t>
            </w:r>
            <w:r w:rsidR="00A767C7">
              <w:t xml:space="preserve"> “a party” with co-workers</w:t>
            </w:r>
            <w:r w:rsidR="00114A27">
              <w:t xml:space="preserve"> </w:t>
            </w:r>
            <w:r w:rsidR="00DF2A9B">
              <w:t xml:space="preserve">(Gogol, p. 409) </w:t>
            </w:r>
            <w:r w:rsidR="00114A27">
              <w:t>wearing his new overcoat</w:t>
            </w:r>
            <w:r w:rsidR="00A767C7">
              <w:t xml:space="preserve">, </w:t>
            </w:r>
            <w:r w:rsidR="00283C7A">
              <w:t xml:space="preserve">demonstrating </w:t>
            </w:r>
            <w:r w:rsidR="00E13780">
              <w:t xml:space="preserve">a shift in his identity from </w:t>
            </w:r>
            <w:r w:rsidR="0077603D">
              <w:t xml:space="preserve">someone </w:t>
            </w:r>
            <w:r w:rsidR="00A767C7">
              <w:t>who never before entertained a “diversion” (</w:t>
            </w:r>
            <w:r w:rsidR="00DF2A9B">
              <w:t xml:space="preserve">Gogol, </w:t>
            </w:r>
            <w:r w:rsidR="00A767C7">
              <w:t xml:space="preserve">p. 399) from his “copying” </w:t>
            </w:r>
            <w:r w:rsidR="00DF2A9B">
              <w:t xml:space="preserve">work </w:t>
            </w:r>
            <w:r w:rsidR="00A767C7">
              <w:t>(</w:t>
            </w:r>
            <w:r w:rsidR="00DF2A9B">
              <w:t xml:space="preserve">Gogol, </w:t>
            </w:r>
            <w:r w:rsidR="00A767C7">
              <w:t xml:space="preserve">p. 397), </w:t>
            </w:r>
            <w:r w:rsidR="00E13780">
              <w:t xml:space="preserve">to someone who </w:t>
            </w:r>
            <w:r w:rsidR="00A767C7">
              <w:t>interacts socially</w:t>
            </w:r>
            <w:r w:rsidR="0077603D">
              <w:t xml:space="preserve"> with co</w:t>
            </w:r>
            <w:r w:rsidR="00DF2A9B">
              <w:t>-</w:t>
            </w:r>
            <w:r w:rsidR="0077603D">
              <w:t>workers</w:t>
            </w:r>
            <w:r w:rsidR="00E13780">
              <w:t>.</w:t>
            </w:r>
            <w:r w:rsidR="00A05604">
              <w:t xml:space="preserve"> </w:t>
            </w:r>
          </w:p>
          <w:p w14:paraId="0998ED39" w14:textId="6060A452" w:rsidR="00DC5FE9" w:rsidRDefault="00E65C40" w:rsidP="001E6BD6">
            <w:pPr>
              <w:pStyle w:val="BulletedList"/>
            </w:pPr>
            <w:r>
              <w:t>Lahiri presents identity as a desperate search for belonging, while Gogol presents identity as an unwanted burden imposed by society.</w:t>
            </w:r>
            <w:r w:rsidR="001E6BD6" w:rsidRPr="001E6BD6">
              <w:t xml:space="preserve"> </w:t>
            </w:r>
            <w:r w:rsidR="00AF4A12">
              <w:t>For example,</w:t>
            </w:r>
            <w:r w:rsidR="009029F4">
              <w:t xml:space="preserve"> in </w:t>
            </w:r>
            <w:r w:rsidR="009029F4" w:rsidRPr="009029F4">
              <w:rPr>
                <w:i/>
              </w:rPr>
              <w:t>The Namesake</w:t>
            </w:r>
            <w:r w:rsidR="009029F4">
              <w:t>,</w:t>
            </w:r>
            <w:r w:rsidR="00AF4A12">
              <w:t xml:space="preserve"> Gogol forges a relationship with Maxine, a woman whose family and upbringing are opposite </w:t>
            </w:r>
            <w:r w:rsidR="005C368A">
              <w:t xml:space="preserve">to </w:t>
            </w:r>
            <w:r w:rsidR="00AF4A12">
              <w:t>his own</w:t>
            </w:r>
            <w:r w:rsidR="00784EBD">
              <w:t>.</w:t>
            </w:r>
            <w:r w:rsidR="00CE313F">
              <w:t xml:space="preserve"> By </w:t>
            </w:r>
            <w:r w:rsidR="006B519C">
              <w:t>“</w:t>
            </w:r>
            <w:r w:rsidR="00CE313F">
              <w:t>fall[ing]</w:t>
            </w:r>
            <w:r w:rsidR="006B519C">
              <w:t xml:space="preserve"> in love with Maxine, the house, and Gerald and Lydia’s manner of living” (</w:t>
            </w:r>
            <w:r w:rsidR="00BB0637">
              <w:t xml:space="preserve">Lahiri, </w:t>
            </w:r>
            <w:r w:rsidR="006B519C">
              <w:t>p. 137)</w:t>
            </w:r>
            <w:r w:rsidR="009A7F7E">
              <w:t>, Gogol tries to free himself from “responsibility, in willing ex</w:t>
            </w:r>
            <w:r w:rsidR="00ED516E">
              <w:t>ile from his own life” (</w:t>
            </w:r>
            <w:r w:rsidR="00BB0637">
              <w:t xml:space="preserve">Lahiri, </w:t>
            </w:r>
            <w:r w:rsidR="00ED516E">
              <w:t>p. 142), demonstrating his need to escape the Bengali part of his identity.</w:t>
            </w:r>
            <w:r w:rsidR="009A7F7E">
              <w:t xml:space="preserve"> </w:t>
            </w:r>
            <w:r w:rsidR="008678B9">
              <w:t xml:space="preserve">Subsequently, Gogol finds himself attracted to Moushumi, a woman whose family and upbringing are nearly identical to his own. </w:t>
            </w:r>
            <w:r w:rsidR="00796FDB">
              <w:t xml:space="preserve">With </w:t>
            </w:r>
            <w:r w:rsidR="008678B9">
              <w:t>Moushumi</w:t>
            </w:r>
            <w:r w:rsidR="00796FDB">
              <w:t xml:space="preserve">, Gogol </w:t>
            </w:r>
            <w:r w:rsidR="003B0460">
              <w:t>feels a “familiarity”</w:t>
            </w:r>
            <w:r w:rsidR="005C368A">
              <w:t xml:space="preserve"> </w:t>
            </w:r>
            <w:r w:rsidR="003B0460">
              <w:t>(</w:t>
            </w:r>
            <w:r w:rsidR="00BB0637">
              <w:t xml:space="preserve">Lahiri, </w:t>
            </w:r>
            <w:r w:rsidR="003B0460">
              <w:t xml:space="preserve">p. 199) he did not feel with Maxine. </w:t>
            </w:r>
            <w:r w:rsidR="002F116E">
              <w:t>Gogol seeks</w:t>
            </w:r>
            <w:r w:rsidR="007D32A3">
              <w:t xml:space="preserve"> Moushumi because</w:t>
            </w:r>
            <w:r w:rsidR="002F116E">
              <w:t xml:space="preserve"> she understands his upbringing, as Moushumi can recall details of his past</w:t>
            </w:r>
            <w:r w:rsidR="00C440A0">
              <w:t xml:space="preserve"> that Gogol finds “endearing” (</w:t>
            </w:r>
            <w:r w:rsidR="00BB0637">
              <w:t xml:space="preserve">Lahiri, </w:t>
            </w:r>
            <w:r w:rsidR="00C440A0">
              <w:t>p. 195).</w:t>
            </w:r>
            <w:r w:rsidR="007D32A3">
              <w:t xml:space="preserve"> </w:t>
            </w:r>
            <w:r w:rsidR="00E656F9">
              <w:t>In both relationships, Gogol avoids</w:t>
            </w:r>
            <w:r w:rsidR="00EA79B1">
              <w:t xml:space="preserve"> certain</w:t>
            </w:r>
            <w:r w:rsidR="00E656F9">
              <w:t xml:space="preserve"> aspects of his identity to find a sense of belonging. </w:t>
            </w:r>
            <w:r w:rsidR="00A61947">
              <w:t xml:space="preserve">On the other hand, </w:t>
            </w:r>
            <w:r w:rsidR="006120C2">
              <w:t xml:space="preserve">in “The Overcoat,” Akaky Akakievich experiences the </w:t>
            </w:r>
            <w:r w:rsidR="00A77D14">
              <w:t xml:space="preserve">unwanted </w:t>
            </w:r>
            <w:r w:rsidR="006120C2">
              <w:t xml:space="preserve">burden of identity, as his identity shifts in relation to his overcoat. </w:t>
            </w:r>
            <w:r w:rsidR="005B0688">
              <w:t xml:space="preserve">Before his new overcoat, Akaky Akakievich’s identity is </w:t>
            </w:r>
            <w:r w:rsidR="00964151">
              <w:t xml:space="preserve">solely </w:t>
            </w:r>
            <w:r w:rsidR="005B0688">
              <w:t>defined by his copying work, as he “saw in everything his own neat lines” (</w:t>
            </w:r>
            <w:r w:rsidR="00BB0637">
              <w:t xml:space="preserve">Gogol, </w:t>
            </w:r>
            <w:r w:rsidR="005B0688">
              <w:t xml:space="preserve">p. 398). Once his new overcoat receives “cheer[s]” </w:t>
            </w:r>
            <w:r w:rsidR="005B0688">
              <w:lastRenderedPageBreak/>
              <w:t>(</w:t>
            </w:r>
            <w:r w:rsidR="00BB0637">
              <w:t xml:space="preserve">Gogol, </w:t>
            </w:r>
            <w:r w:rsidR="005B0688">
              <w:t>p. 409), Akaky Akakievich’s identity shifts a</w:t>
            </w:r>
            <w:r w:rsidR="00A77D14">
              <w:t>s he engages with his co-workers</w:t>
            </w:r>
            <w:r w:rsidR="005B0688">
              <w:t xml:space="preserve"> in a new way, “accept[ing]”</w:t>
            </w:r>
            <w:r w:rsidR="00964151">
              <w:t xml:space="preserve"> </w:t>
            </w:r>
            <w:r w:rsidR="005B0688">
              <w:t>their party invitation</w:t>
            </w:r>
            <w:r w:rsidR="00BB0637">
              <w:t xml:space="preserve"> (Gogol, p. 409)</w:t>
            </w:r>
            <w:r w:rsidR="005B0688">
              <w:t>. But this shift in ident</w:t>
            </w:r>
            <w:r w:rsidR="00A77D14">
              <w:t>ity, influenced by his co-worker</w:t>
            </w:r>
            <w:r w:rsidR="005B0688">
              <w:t>s</w:t>
            </w:r>
            <w:r w:rsidR="00BB0637">
              <w:t>’</w:t>
            </w:r>
            <w:r w:rsidR="005B0688">
              <w:t xml:space="preserve"> reactions to his overcoat</w:t>
            </w:r>
            <w:r w:rsidR="00187115">
              <w:t>,</w:t>
            </w:r>
            <w:r w:rsidR="005B0688">
              <w:t xml:space="preserve"> only </w:t>
            </w:r>
            <w:r w:rsidR="00BB0637">
              <w:t>create problems for</w:t>
            </w:r>
            <w:r w:rsidR="005B0688">
              <w:t xml:space="preserve"> Akaky Akakievich as his coat is “taken off him” (</w:t>
            </w:r>
            <w:r w:rsidR="00BB0637">
              <w:t xml:space="preserve">Gogol, </w:t>
            </w:r>
            <w:r w:rsidR="005B0688">
              <w:t xml:space="preserve">p. 413) and he </w:t>
            </w:r>
            <w:r w:rsidR="00964151">
              <w:t xml:space="preserve">is </w:t>
            </w:r>
            <w:r w:rsidR="0021387F">
              <w:t>left with an identity that is unfamiliar to him</w:t>
            </w:r>
            <w:r w:rsidR="00964151">
              <w:t>.</w:t>
            </w:r>
          </w:p>
          <w:p w14:paraId="3FF5FF41" w14:textId="77777777" w:rsidR="00A51C47" w:rsidRDefault="001E6BD6" w:rsidP="00A51C47">
            <w:pPr>
              <w:pStyle w:val="BulletedList"/>
            </w:pPr>
            <w:r w:rsidRPr="001E6BD6">
              <w:t xml:space="preserve">Both texts demonstrate that </w:t>
            </w:r>
            <w:r w:rsidR="0021387F">
              <w:t>conflicts of</w:t>
            </w:r>
            <w:r w:rsidR="007A31C7">
              <w:t xml:space="preserve"> identity</w:t>
            </w:r>
            <w:r w:rsidRPr="001E6BD6">
              <w:t xml:space="preserve"> </w:t>
            </w:r>
            <w:r w:rsidR="0021387F">
              <w:t>can be</w:t>
            </w:r>
            <w:r w:rsidR="0021387F" w:rsidRPr="001E6BD6">
              <w:t xml:space="preserve"> </w:t>
            </w:r>
            <w:r w:rsidRPr="001E6BD6">
              <w:t>harmful</w:t>
            </w:r>
            <w:r w:rsidR="00D0149C">
              <w:t xml:space="preserve"> to </w:t>
            </w:r>
            <w:r w:rsidR="0021387F">
              <w:t>individuals</w:t>
            </w:r>
            <w:r w:rsidR="000949C5">
              <w:t>.</w:t>
            </w:r>
            <w:r w:rsidR="001B0CAD">
              <w:t xml:space="preserve"> </w:t>
            </w:r>
            <w:r w:rsidR="0021387F">
              <w:t>B</w:t>
            </w:r>
            <w:r w:rsidRPr="001E6BD6">
              <w:t>efore h</w:t>
            </w:r>
            <w:r w:rsidR="0021387F">
              <w:t>e gets</w:t>
            </w:r>
            <w:r w:rsidR="00770630">
              <w:t xml:space="preserve"> a</w:t>
            </w:r>
            <w:r w:rsidRPr="001E6BD6">
              <w:t xml:space="preserve"> new overcoat, </w:t>
            </w:r>
            <w:r w:rsidR="00FF491A">
              <w:t>Akaky Akakievich</w:t>
            </w:r>
            <w:r w:rsidRPr="001E6BD6">
              <w:t xml:space="preserve"> is </w:t>
            </w:r>
            <w:r w:rsidR="005C713A">
              <w:t>“</w:t>
            </w:r>
            <w:r w:rsidRPr="001E6BD6">
              <w:t>content</w:t>
            </w:r>
            <w:r w:rsidR="005C713A">
              <w:t>” (</w:t>
            </w:r>
            <w:r w:rsidR="00BB0637">
              <w:t xml:space="preserve">Gogol, </w:t>
            </w:r>
            <w:r w:rsidR="005C713A">
              <w:t>p. 399)</w:t>
            </w:r>
            <w:r w:rsidRPr="001E6BD6">
              <w:t xml:space="preserve"> with his life</w:t>
            </w:r>
            <w:r w:rsidR="000733A1">
              <w:t>, showing no interest in the “officialdom” of Petersburg society</w:t>
            </w:r>
            <w:r w:rsidR="000F3BB4">
              <w:t xml:space="preserve"> </w:t>
            </w:r>
            <w:r w:rsidR="00BB0637">
              <w:t xml:space="preserve">(Gogol, p. 394) </w:t>
            </w:r>
            <w:r w:rsidR="000F3BB4">
              <w:t>or any “diversion” (</w:t>
            </w:r>
            <w:r w:rsidR="00BB0637">
              <w:t xml:space="preserve">Gogol, </w:t>
            </w:r>
            <w:r w:rsidR="000F3BB4">
              <w:t>p. 399)</w:t>
            </w:r>
            <w:r w:rsidR="000733A1">
              <w:t>.</w:t>
            </w:r>
            <w:r w:rsidRPr="001E6BD6">
              <w:t xml:space="preserve"> However, after the new ov</w:t>
            </w:r>
            <w:r w:rsidR="00943EB3">
              <w:t>ercoat, his identity change</w:t>
            </w:r>
            <w:r w:rsidR="000733A1">
              <w:t>s</w:t>
            </w:r>
            <w:r w:rsidR="00943EB3">
              <w:t xml:space="preserve"> </w:t>
            </w:r>
            <w:r w:rsidR="000F3BB4">
              <w:t xml:space="preserve">in response to the confidence </w:t>
            </w:r>
            <w:r w:rsidR="001C727A">
              <w:t>and “inner satisfaction” he feels</w:t>
            </w:r>
            <w:r w:rsidR="00BB0637">
              <w:t xml:space="preserve"> (Gogol, p. 409)</w:t>
            </w:r>
            <w:r w:rsidR="000F3BB4">
              <w:t xml:space="preserve">. </w:t>
            </w:r>
            <w:r w:rsidR="00C53AA7">
              <w:t>Once this</w:t>
            </w:r>
            <w:r w:rsidR="00B51EE4">
              <w:t xml:space="preserve"> change in identity</w:t>
            </w:r>
            <w:r w:rsidR="00C53AA7">
              <w:t xml:space="preserve"> happens,</w:t>
            </w:r>
            <w:r w:rsidR="001C727A">
              <w:t xml:space="preserve"> however,</w:t>
            </w:r>
            <w:r w:rsidR="00C53AA7">
              <w:t xml:space="preserve"> it</w:t>
            </w:r>
            <w:r w:rsidRPr="001E6BD6">
              <w:t xml:space="preserve"> bring</w:t>
            </w:r>
            <w:r w:rsidR="00C53AA7">
              <w:t>s</w:t>
            </w:r>
            <w:r w:rsidR="00C338BE">
              <w:t xml:space="preserve"> Akaky Akakievich</w:t>
            </w:r>
            <w:r w:rsidR="00943EB3">
              <w:t xml:space="preserve"> nothing but conflict</w:t>
            </w:r>
            <w:r w:rsidRPr="001E6BD6">
              <w:t xml:space="preserve"> and even</w:t>
            </w:r>
            <w:r w:rsidR="0027575C">
              <w:t>tually</w:t>
            </w:r>
            <w:r w:rsidRPr="001E6BD6">
              <w:t xml:space="preserve"> death</w:t>
            </w:r>
            <w:r w:rsidR="00C338BE">
              <w:t xml:space="preserve"> because he is not able </w:t>
            </w:r>
            <w:r w:rsidR="00770EF4">
              <w:t>to maintain his empowered</w:t>
            </w:r>
            <w:r w:rsidR="00C338BE">
              <w:t xml:space="preserve"> ident</w:t>
            </w:r>
            <w:r w:rsidR="004657F5">
              <w:t>ity</w:t>
            </w:r>
            <w:r w:rsidR="00D533CB">
              <w:t xml:space="preserve"> during the “bad roasting” (</w:t>
            </w:r>
            <w:r w:rsidR="00BB0637">
              <w:t xml:space="preserve">Gogol, </w:t>
            </w:r>
            <w:r w:rsidR="00D533CB">
              <w:t>p. 418) by</w:t>
            </w:r>
            <w:r w:rsidR="00770EF4">
              <w:t xml:space="preserve"> the </w:t>
            </w:r>
            <w:r w:rsidR="00770EF4" w:rsidRPr="00770EF4">
              <w:rPr>
                <w:i/>
              </w:rPr>
              <w:t>important person</w:t>
            </w:r>
            <w:r w:rsidRPr="001E6BD6">
              <w:t xml:space="preserve">. </w:t>
            </w:r>
            <w:r w:rsidR="007A31C7">
              <w:t>In</w:t>
            </w:r>
            <w:r w:rsidRPr="001E6BD6">
              <w:t xml:space="preserve"> </w:t>
            </w:r>
            <w:r w:rsidRPr="00943EB3">
              <w:rPr>
                <w:i/>
              </w:rPr>
              <w:t>The Namesake</w:t>
            </w:r>
            <w:r w:rsidR="007A31C7">
              <w:t xml:space="preserve">, Gogol </w:t>
            </w:r>
            <w:r w:rsidR="00943EB3">
              <w:t>also experiences</w:t>
            </w:r>
            <w:r w:rsidRPr="001E6BD6">
              <w:t xml:space="preserve"> pain and discomfort as he tries to </w:t>
            </w:r>
            <w:r w:rsidR="004B79FC">
              <w:t xml:space="preserve">find </w:t>
            </w:r>
            <w:r w:rsidR="005F155A">
              <w:t xml:space="preserve">a </w:t>
            </w:r>
            <w:r w:rsidR="004B79FC">
              <w:t>resolution for</w:t>
            </w:r>
            <w:r w:rsidRPr="001E6BD6">
              <w:t xml:space="preserve"> hi</w:t>
            </w:r>
            <w:r w:rsidR="005F155A">
              <w:t>s struggles with</w:t>
            </w:r>
            <w:r w:rsidRPr="001E6BD6">
              <w:t xml:space="preserve"> identity</w:t>
            </w:r>
            <w:r w:rsidR="00C53AA7">
              <w:t xml:space="preserve">. For example, when </w:t>
            </w:r>
            <w:r w:rsidR="005F155A">
              <w:t>Gogol tries to transform his identity by changing his name to Nikhil, “he feels as if he’s cast himself in a play, acting the part of twins, indistinguishable to the naked eye yet fundamentally different” (</w:t>
            </w:r>
            <w:r w:rsidR="00BB0637">
              <w:t xml:space="preserve">Lahiri, </w:t>
            </w:r>
            <w:r w:rsidR="005F155A">
              <w:t>p. 105), demonstrating his</w:t>
            </w:r>
            <w:r w:rsidR="00464AC7">
              <w:t xml:space="preserve"> uneasiness with</w:t>
            </w:r>
            <w:r w:rsidR="00FC3E68">
              <w:t xml:space="preserve"> having two identities to shift between</w:t>
            </w:r>
            <w:r w:rsidR="00C53AA7">
              <w:t>.</w:t>
            </w:r>
            <w:r w:rsidR="009E696E">
              <w:t xml:space="preserve"> </w:t>
            </w:r>
            <w:r w:rsidR="00464AC7">
              <w:t>Additionally, w</w:t>
            </w:r>
            <w:r w:rsidR="007207D7">
              <w:t xml:space="preserve">hen </w:t>
            </w:r>
            <w:r w:rsidR="00F659CB">
              <w:t>Gogol</w:t>
            </w:r>
            <w:r w:rsidR="009E696E">
              <w:t xml:space="preserve"> seeks refuge in Moushumi’s familiarity, and they “marry within a year” (</w:t>
            </w:r>
            <w:r w:rsidR="00BB0637">
              <w:t xml:space="preserve">Lahiri, </w:t>
            </w:r>
            <w:r w:rsidR="009E696E">
              <w:t>p. 219)</w:t>
            </w:r>
            <w:r w:rsidR="00414EEA">
              <w:t>, he eventually “learn[s] of Moushumi’s affair</w:t>
            </w:r>
            <w:r w:rsidR="00000DFE">
              <w:t>”</w:t>
            </w:r>
            <w:r w:rsidR="00414EEA">
              <w:t xml:space="preserve"> (</w:t>
            </w:r>
            <w:r w:rsidR="00BB0637">
              <w:t xml:space="preserve">Lahiri, </w:t>
            </w:r>
            <w:r w:rsidR="00414EEA">
              <w:t>p. 282) and is heartbroken at their inability to sustain a relationship together</w:t>
            </w:r>
            <w:r w:rsidR="00784A7A">
              <w:t>.</w:t>
            </w:r>
            <w:r w:rsidR="00CA279F">
              <w:t xml:space="preserve"> </w:t>
            </w:r>
            <w:r w:rsidR="00D63CD9">
              <w:t>Gogol realizes that the marriage had been a “misstep” (</w:t>
            </w:r>
            <w:r w:rsidR="00BB0637">
              <w:t xml:space="preserve">Lahiri, </w:t>
            </w:r>
            <w:r w:rsidR="00D63CD9">
              <w:t>p. 287) because his identity struggles had led him to choose Moushumi only because of their “shared world” (</w:t>
            </w:r>
            <w:r w:rsidR="00BB0637">
              <w:t xml:space="preserve">Lahiri, </w:t>
            </w:r>
            <w:r w:rsidR="00D63CD9">
              <w:t>p</w:t>
            </w:r>
            <w:r w:rsidR="00BB0637">
              <w:t>.</w:t>
            </w:r>
            <w:r w:rsidR="00D63CD9">
              <w:t xml:space="preserve"> 284), causing him </w:t>
            </w:r>
            <w:r w:rsidR="008118ED">
              <w:t>to ignore other aspects of his identity.</w:t>
            </w:r>
          </w:p>
          <w:p w14:paraId="0E9F87BB" w14:textId="5B4E3F3F" w:rsidR="0068432D" w:rsidRPr="00A51C47" w:rsidRDefault="00CF2D27" w:rsidP="00A51C47">
            <w:pPr>
              <w:pStyle w:val="BulletedList"/>
            </w:pPr>
            <w:r w:rsidRPr="005C368A">
              <w:t xml:space="preserve">Both </w:t>
            </w:r>
            <w:r w:rsidRPr="00A51C47">
              <w:rPr>
                <w:i/>
              </w:rPr>
              <w:t>The Namesake</w:t>
            </w:r>
            <w:r w:rsidRPr="005C368A">
              <w:t xml:space="preserve"> and “The Overcoat</w:t>
            </w:r>
            <w:r w:rsidR="00A471AD" w:rsidRPr="005C368A">
              <w:t>” provide resolutions to their respective char</w:t>
            </w:r>
            <w:r w:rsidR="001A7780" w:rsidRPr="005C368A">
              <w:t>acters’ struggles with identity</w:t>
            </w:r>
            <w:r w:rsidR="0021387F" w:rsidRPr="005C368A">
              <w:t>, though</w:t>
            </w:r>
            <w:r w:rsidR="001A7780" w:rsidRPr="005C368A">
              <w:t xml:space="preserve"> in different ways.</w:t>
            </w:r>
            <w:r w:rsidR="00A471AD" w:rsidRPr="005C368A">
              <w:t xml:space="preserve"> In “The Overcoat,”</w:t>
            </w:r>
            <w:r w:rsidR="0071001D" w:rsidRPr="005C368A">
              <w:t xml:space="preserve"> Akaky Akakievich finds resolution to his struggles with identity through death. With death, Akaky Akakievich transforms into a </w:t>
            </w:r>
            <w:r w:rsidR="00167CDB" w:rsidRPr="005C368A">
              <w:t xml:space="preserve">fear-provoking </w:t>
            </w:r>
            <w:r w:rsidR="0071001D" w:rsidRPr="005C368A">
              <w:t>“dead man” (</w:t>
            </w:r>
            <w:r w:rsidR="00BB0637">
              <w:t xml:space="preserve">Gogol, </w:t>
            </w:r>
            <w:r w:rsidR="0071001D" w:rsidRPr="005C368A">
              <w:t>p. 420)</w:t>
            </w:r>
            <w:r w:rsidR="001A7780" w:rsidRPr="005C368A">
              <w:t>,</w:t>
            </w:r>
            <w:r w:rsidR="0071001D" w:rsidRPr="005C368A">
              <w:t xml:space="preserve"> providing relief from his conflicted identity as a “mere fly” (</w:t>
            </w:r>
            <w:r w:rsidR="00BB0637">
              <w:t xml:space="preserve">Gogol, </w:t>
            </w:r>
            <w:r w:rsidR="0071001D" w:rsidRPr="005C368A">
              <w:t>p. 396) and the man with the “new overcoat” (</w:t>
            </w:r>
            <w:r w:rsidR="00BB0637">
              <w:t xml:space="preserve">Gogol, </w:t>
            </w:r>
            <w:r w:rsidR="0071001D" w:rsidRPr="005C368A">
              <w:t>p. 409). Additionally, as the “dead man” (</w:t>
            </w:r>
            <w:r w:rsidR="00BB0637">
              <w:t xml:space="preserve">Gogol, </w:t>
            </w:r>
            <w:r w:rsidR="0071001D" w:rsidRPr="005C368A">
              <w:t xml:space="preserve">p. 420), </w:t>
            </w:r>
            <w:r w:rsidR="004225EB" w:rsidRPr="005C368A">
              <w:t xml:space="preserve">Akaky </w:t>
            </w:r>
            <w:r w:rsidR="00D8613F" w:rsidRPr="005C368A">
              <w:t xml:space="preserve">Akakievich </w:t>
            </w:r>
            <w:r w:rsidR="00D77CD6" w:rsidRPr="005C368A">
              <w:t>assumes</w:t>
            </w:r>
            <w:r w:rsidR="00D8613F" w:rsidRPr="005C368A">
              <w:t xml:space="preserve"> a new identity that </w:t>
            </w:r>
            <w:r w:rsidR="00673CB7" w:rsidRPr="005C368A">
              <w:t xml:space="preserve">allows him to be </w:t>
            </w:r>
            <w:r w:rsidR="004225EB" w:rsidRPr="005C368A">
              <w:t>the person he could not be in life</w:t>
            </w:r>
            <w:r w:rsidR="00D8613F" w:rsidRPr="005C368A">
              <w:t xml:space="preserve">. </w:t>
            </w:r>
            <w:r w:rsidR="00D77CD6" w:rsidRPr="005C368A">
              <w:t>Unlike in life</w:t>
            </w:r>
            <w:r w:rsidR="00F63582" w:rsidRPr="005C368A">
              <w:t xml:space="preserve"> when Akaky Akakievich was “stricken” and “unable to stand” (</w:t>
            </w:r>
            <w:r w:rsidR="00BB0637">
              <w:t xml:space="preserve">Gogol, </w:t>
            </w:r>
            <w:r w:rsidR="00F63582" w:rsidRPr="005C368A">
              <w:t>p.</w:t>
            </w:r>
            <w:r w:rsidR="004225EB" w:rsidRPr="005C368A">
              <w:t xml:space="preserve"> </w:t>
            </w:r>
            <w:r w:rsidR="00F63582" w:rsidRPr="005C368A">
              <w:t xml:space="preserve">418) in the presence of the </w:t>
            </w:r>
            <w:r w:rsidR="00F63582" w:rsidRPr="00A51C47">
              <w:rPr>
                <w:i/>
              </w:rPr>
              <w:t>important person’s</w:t>
            </w:r>
            <w:r w:rsidR="00F63582" w:rsidRPr="005C368A">
              <w:t xml:space="preserve"> anger</w:t>
            </w:r>
            <w:r w:rsidR="00D77CD6" w:rsidRPr="005C368A">
              <w:t xml:space="preserve">, his new identity as someone to be </w:t>
            </w:r>
            <w:r w:rsidR="00703739" w:rsidRPr="005C368A">
              <w:t>“</w:t>
            </w:r>
            <w:r w:rsidR="00D77CD6" w:rsidRPr="005C368A">
              <w:t>fear</w:t>
            </w:r>
            <w:r w:rsidR="00703739" w:rsidRPr="005C368A">
              <w:t>[</w:t>
            </w:r>
            <w:r w:rsidR="00D77CD6" w:rsidRPr="005C368A">
              <w:t>ed</w:t>
            </w:r>
            <w:r w:rsidR="00703739" w:rsidRPr="005C368A">
              <w:t>]” (</w:t>
            </w:r>
            <w:r w:rsidR="00BB0637">
              <w:t xml:space="preserve">Gogol, </w:t>
            </w:r>
            <w:r w:rsidR="00703739" w:rsidRPr="005C368A">
              <w:t>p. 420)</w:t>
            </w:r>
            <w:r w:rsidR="00D77CD6" w:rsidRPr="005C368A">
              <w:t xml:space="preserve"> provides him with the power to leave an “impression” </w:t>
            </w:r>
            <w:r w:rsidR="00F63582" w:rsidRPr="005C368A">
              <w:t>(</w:t>
            </w:r>
            <w:r w:rsidR="00BB0637">
              <w:t xml:space="preserve">Gogol, </w:t>
            </w:r>
            <w:r w:rsidR="00F63582" w:rsidRPr="005C368A">
              <w:t>p.</w:t>
            </w:r>
            <w:r w:rsidR="00673CB7" w:rsidRPr="005C368A">
              <w:t xml:space="preserve"> </w:t>
            </w:r>
            <w:r w:rsidR="00F63582" w:rsidRPr="005C368A">
              <w:t>423)</w:t>
            </w:r>
            <w:r w:rsidR="001B609C" w:rsidRPr="005C368A">
              <w:t xml:space="preserve">. </w:t>
            </w:r>
            <w:r w:rsidR="00810A24" w:rsidRPr="005C368A">
              <w:t xml:space="preserve">In </w:t>
            </w:r>
            <w:r w:rsidR="00810A24" w:rsidRPr="00A51C47">
              <w:rPr>
                <w:i/>
              </w:rPr>
              <w:t>The Namesake</w:t>
            </w:r>
            <w:r w:rsidR="00B34007">
              <w:t>,</w:t>
            </w:r>
            <w:r w:rsidR="00810A24" w:rsidRPr="005C368A">
              <w:t xml:space="preserve"> the resolution for Gogol is the acceptance of his conflicted identity. In the text’s conclusion, Gogol realizes that it “had not been possible to reinvent himself fully, to break from that mismatched name” (</w:t>
            </w:r>
            <w:r w:rsidR="00BB0637">
              <w:t xml:space="preserve">Lahiri, </w:t>
            </w:r>
            <w:r w:rsidR="00810A24" w:rsidRPr="005C368A">
              <w:t xml:space="preserve">p. </w:t>
            </w:r>
            <w:r w:rsidR="0015530B" w:rsidRPr="005C368A">
              <w:t xml:space="preserve">287), highlighting his understanding that his </w:t>
            </w:r>
            <w:r w:rsidR="00F4530D" w:rsidRPr="005C368A">
              <w:t xml:space="preserve">identity struggles </w:t>
            </w:r>
            <w:r w:rsidR="003B0761" w:rsidRPr="005C368A">
              <w:t xml:space="preserve">cannot </w:t>
            </w:r>
            <w:r w:rsidR="0015530B" w:rsidRPr="005C368A">
              <w:t>be reconciled</w:t>
            </w:r>
            <w:r w:rsidR="003B0761" w:rsidRPr="005C368A">
              <w:t>. For Gogol, the “accidents” and events that lead to his</w:t>
            </w:r>
            <w:r w:rsidR="00F4530D" w:rsidRPr="005C368A">
              <w:t xml:space="preserve"> multiple identities have “formed Gogol, shaped him, determined who he is” (</w:t>
            </w:r>
            <w:r w:rsidR="00BB0637">
              <w:t>Lahiri, p</w:t>
            </w:r>
            <w:r w:rsidR="00F4530D" w:rsidRPr="005C368A">
              <w:t xml:space="preserve">p. </w:t>
            </w:r>
            <w:r w:rsidR="00BB0637">
              <w:t>286-</w:t>
            </w:r>
            <w:r w:rsidR="00F4530D" w:rsidRPr="005C368A">
              <w:t>287)</w:t>
            </w:r>
            <w:r w:rsidR="003B0761" w:rsidRPr="005C368A">
              <w:t>, and he is</w:t>
            </w:r>
            <w:r w:rsidR="00282615" w:rsidRPr="005C368A">
              <w:t xml:space="preserve"> now</w:t>
            </w:r>
            <w:r w:rsidR="003B0761" w:rsidRPr="005C368A">
              <w:t xml:space="preserve"> ready to “accept, interpret, and comprehend” </w:t>
            </w:r>
            <w:r w:rsidR="00282615" w:rsidRPr="005C368A">
              <w:t>his conflicted identity</w:t>
            </w:r>
            <w:r w:rsidR="00BB0637">
              <w:t xml:space="preserve"> </w:t>
            </w:r>
            <w:r w:rsidR="00BB0637" w:rsidRPr="005C368A">
              <w:t>(</w:t>
            </w:r>
            <w:r w:rsidR="00BB0637">
              <w:t xml:space="preserve">Lahiri, </w:t>
            </w:r>
            <w:r w:rsidR="00BB0637" w:rsidRPr="005C368A">
              <w:t>p. 287)</w:t>
            </w:r>
            <w:r w:rsidR="00282615" w:rsidRPr="005C368A">
              <w:t xml:space="preserve">, </w:t>
            </w:r>
            <w:r w:rsidR="0021387F" w:rsidRPr="005C368A">
              <w:t>which provides him</w:t>
            </w:r>
            <w:r w:rsidR="00282615" w:rsidRPr="005C368A">
              <w:t xml:space="preserve"> resolution</w:t>
            </w:r>
            <w:r w:rsidR="003B0761" w:rsidRPr="005C368A">
              <w:t xml:space="preserve">. </w:t>
            </w:r>
          </w:p>
        </w:tc>
      </w:tr>
    </w:tbl>
    <w:p w14:paraId="017768BB" w14:textId="77777777" w:rsidR="00790BCC" w:rsidRPr="00790BCC" w:rsidRDefault="00790BCC" w:rsidP="00D31F4D">
      <w:pPr>
        <w:pStyle w:val="Heading1"/>
      </w:pPr>
      <w:r w:rsidRPr="00341F48">
        <w:lastRenderedPageBreak/>
        <w:t>Vocabulary</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6BC0E0FD" w14:textId="77777777" w:rsidTr="00914A0B">
        <w:tc>
          <w:tcPr>
            <w:tcW w:w="9360" w:type="dxa"/>
            <w:shd w:val="clear" w:color="auto" w:fill="76923C"/>
          </w:tcPr>
          <w:p w14:paraId="5CF9871A" w14:textId="3CEB8F0D" w:rsidR="00790BCC" w:rsidRPr="00790BCC" w:rsidRDefault="00012537" w:rsidP="00D31F4D">
            <w:pPr>
              <w:pStyle w:val="TableHeaders"/>
            </w:pPr>
            <w:r w:rsidRPr="00012537">
              <w:t>Vocabulary to provide directly (will not include extended instruction)</w:t>
            </w:r>
          </w:p>
        </w:tc>
      </w:tr>
      <w:tr w:rsidR="00790BCC" w:rsidRPr="00790BCC" w14:paraId="2611666D" w14:textId="77777777" w:rsidTr="00914A0B">
        <w:tc>
          <w:tcPr>
            <w:tcW w:w="9360" w:type="dxa"/>
          </w:tcPr>
          <w:p w14:paraId="61842878" w14:textId="77777777" w:rsidR="00790BCC" w:rsidRPr="00790BCC" w:rsidRDefault="00530F4C" w:rsidP="00D31F4D">
            <w:pPr>
              <w:pStyle w:val="BulletedList"/>
            </w:pPr>
            <w:r>
              <w:t>None.*</w:t>
            </w:r>
          </w:p>
        </w:tc>
      </w:tr>
      <w:tr w:rsidR="00790BCC" w:rsidRPr="00790BCC" w14:paraId="1D447EE8" w14:textId="77777777" w:rsidTr="00914A0B">
        <w:tc>
          <w:tcPr>
            <w:tcW w:w="9360" w:type="dxa"/>
            <w:shd w:val="clear" w:color="auto" w:fill="76923C"/>
          </w:tcPr>
          <w:p w14:paraId="04932D7B" w14:textId="77777777" w:rsidR="00790BCC" w:rsidRPr="00790BCC" w:rsidRDefault="00790BCC" w:rsidP="00D31F4D">
            <w:pPr>
              <w:pStyle w:val="TableHeaders"/>
            </w:pPr>
            <w:r w:rsidRPr="00790BCC">
              <w:t>Vocabulary to teach (may include direct word work and/or questions)</w:t>
            </w:r>
          </w:p>
        </w:tc>
      </w:tr>
      <w:tr w:rsidR="00790BCC" w:rsidRPr="00790BCC" w14:paraId="19DE339A" w14:textId="77777777" w:rsidTr="00914A0B">
        <w:tc>
          <w:tcPr>
            <w:tcW w:w="9360" w:type="dxa"/>
          </w:tcPr>
          <w:p w14:paraId="67C55F19" w14:textId="77777777" w:rsidR="00790BCC" w:rsidRPr="00790BCC" w:rsidRDefault="00530F4C" w:rsidP="00D31F4D">
            <w:pPr>
              <w:pStyle w:val="BulletedList"/>
            </w:pPr>
            <w:r>
              <w:t>None.*</w:t>
            </w:r>
          </w:p>
        </w:tc>
      </w:tr>
      <w:tr w:rsidR="00790BCC" w:rsidRPr="00790BCC" w14:paraId="2FD46A9F" w14:textId="77777777" w:rsidTr="00914A0B">
        <w:tc>
          <w:tcPr>
            <w:tcW w:w="9360" w:type="dxa"/>
            <w:tcBorders>
              <w:top w:val="single" w:sz="4" w:space="0" w:color="auto"/>
              <w:left w:val="single" w:sz="4" w:space="0" w:color="auto"/>
              <w:bottom w:val="single" w:sz="4" w:space="0" w:color="auto"/>
              <w:right w:val="single" w:sz="4" w:space="0" w:color="auto"/>
            </w:tcBorders>
            <w:shd w:val="clear" w:color="auto" w:fill="76923C"/>
          </w:tcPr>
          <w:p w14:paraId="7C6E5589" w14:textId="77777777" w:rsidR="00790BCC" w:rsidRPr="00790BCC" w:rsidRDefault="00790BCC" w:rsidP="00D31F4D">
            <w:pPr>
              <w:pStyle w:val="TableHeaders"/>
            </w:pPr>
            <w:r w:rsidRPr="00790BCC">
              <w:t>Additional vocabulary to support English Language Learners (to provide directly)</w:t>
            </w:r>
          </w:p>
        </w:tc>
      </w:tr>
      <w:tr w:rsidR="00790BCC" w:rsidRPr="00790BCC" w14:paraId="5DF1C6D7" w14:textId="77777777" w:rsidTr="00914A0B">
        <w:tc>
          <w:tcPr>
            <w:tcW w:w="9360" w:type="dxa"/>
            <w:tcBorders>
              <w:top w:val="single" w:sz="4" w:space="0" w:color="auto"/>
              <w:left w:val="single" w:sz="4" w:space="0" w:color="auto"/>
              <w:bottom w:val="single" w:sz="4" w:space="0" w:color="auto"/>
              <w:right w:val="single" w:sz="4" w:space="0" w:color="auto"/>
            </w:tcBorders>
          </w:tcPr>
          <w:p w14:paraId="030B275D" w14:textId="77777777" w:rsidR="00790BCC" w:rsidRPr="00790BCC" w:rsidRDefault="00530F4C" w:rsidP="00D31F4D">
            <w:pPr>
              <w:pStyle w:val="BulletedList"/>
            </w:pPr>
            <w:r>
              <w:t>None.*</w:t>
            </w:r>
          </w:p>
        </w:tc>
      </w:tr>
    </w:tbl>
    <w:p w14:paraId="1F661ED2" w14:textId="109F1264" w:rsidR="00530F4C" w:rsidRPr="0097474C" w:rsidRDefault="000F587F" w:rsidP="00530F4C">
      <w:pPr>
        <w:rPr>
          <w:sz w:val="18"/>
        </w:rPr>
      </w:pPr>
      <w:r>
        <w:rPr>
          <w:sz w:val="18"/>
        </w:rPr>
        <w:t>*</w:t>
      </w:r>
      <w:r w:rsidR="00674A90" w:rsidRPr="00674A90">
        <w:rPr>
          <w:sz w:val="18"/>
        </w:rPr>
        <w:t>Because this is not a close reading lesson, there is no specified vocabulary. However, in the process of returning to the text, students may uncover unfamiliar words. Teachers can guide students to make meaning of these words using the strategies outlined in L.11-12.4.a-d.</w:t>
      </w:r>
    </w:p>
    <w:p w14:paraId="2BB91A4F" w14:textId="77777777" w:rsidR="00790BCC" w:rsidRPr="00790BCC" w:rsidRDefault="00790BCC" w:rsidP="00D31F4D">
      <w:pPr>
        <w:pStyle w:val="Heading1"/>
      </w:pPr>
      <w:r w:rsidRPr="00790BCC">
        <w:t>Lesson Agenda/Overview</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gridCol w:w="1706"/>
      </w:tblGrid>
      <w:tr w:rsidR="00790BCC" w:rsidRPr="00790BCC" w14:paraId="13336B9F" w14:textId="77777777" w:rsidTr="00914A0B">
        <w:tc>
          <w:tcPr>
            <w:tcW w:w="7650" w:type="dxa"/>
            <w:tcBorders>
              <w:bottom w:val="single" w:sz="4" w:space="0" w:color="auto"/>
            </w:tcBorders>
            <w:shd w:val="clear" w:color="auto" w:fill="76923C"/>
          </w:tcPr>
          <w:p w14:paraId="77330F21" w14:textId="77777777" w:rsidR="00790BCC" w:rsidRPr="00790BCC" w:rsidRDefault="00790BCC" w:rsidP="00D31F4D">
            <w:pPr>
              <w:pStyle w:val="TableHeaders"/>
            </w:pPr>
            <w:r w:rsidRPr="00790BCC">
              <w:t>Student-Facing Agenda</w:t>
            </w:r>
          </w:p>
        </w:tc>
        <w:tc>
          <w:tcPr>
            <w:tcW w:w="1705" w:type="dxa"/>
            <w:tcBorders>
              <w:bottom w:val="single" w:sz="4" w:space="0" w:color="auto"/>
            </w:tcBorders>
            <w:shd w:val="clear" w:color="auto" w:fill="76923C"/>
          </w:tcPr>
          <w:p w14:paraId="7CD85B4C" w14:textId="77777777" w:rsidR="00790BCC" w:rsidRPr="00790BCC" w:rsidRDefault="00790BCC" w:rsidP="00D31F4D">
            <w:pPr>
              <w:pStyle w:val="TableHeaders"/>
            </w:pPr>
            <w:r w:rsidRPr="00790BCC">
              <w:t>% of Lesson</w:t>
            </w:r>
          </w:p>
        </w:tc>
      </w:tr>
      <w:tr w:rsidR="00790BCC" w:rsidRPr="00790BCC" w14:paraId="5FD072A3" w14:textId="77777777" w:rsidTr="00914A0B">
        <w:trPr>
          <w:trHeight w:val="1313"/>
        </w:trPr>
        <w:tc>
          <w:tcPr>
            <w:tcW w:w="7650" w:type="dxa"/>
            <w:tcBorders>
              <w:bottom w:val="nil"/>
            </w:tcBorders>
          </w:tcPr>
          <w:p w14:paraId="36B473BA" w14:textId="77777777" w:rsidR="00790BCC" w:rsidRPr="00D31F4D" w:rsidRDefault="00790BCC" w:rsidP="00D31F4D">
            <w:pPr>
              <w:pStyle w:val="TableText"/>
              <w:rPr>
                <w:b/>
              </w:rPr>
            </w:pPr>
            <w:r w:rsidRPr="00D31F4D">
              <w:rPr>
                <w:b/>
              </w:rPr>
              <w:t>Standards &amp; Text:</w:t>
            </w:r>
          </w:p>
          <w:p w14:paraId="43C86C8E" w14:textId="16E76C42" w:rsidR="00790BCC" w:rsidRPr="00790BCC" w:rsidRDefault="00B63F94" w:rsidP="00D31F4D">
            <w:pPr>
              <w:pStyle w:val="BulletedList"/>
            </w:pPr>
            <w:r>
              <w:t xml:space="preserve">Standards: </w:t>
            </w:r>
            <w:r w:rsidR="00422FDF">
              <w:t xml:space="preserve">CCRA.R.9, </w:t>
            </w:r>
            <w:r w:rsidR="005C368A">
              <w:t>RL. 11-12.2, RL.11-12.3,</w:t>
            </w:r>
            <w:r>
              <w:t xml:space="preserve"> </w:t>
            </w:r>
            <w:r w:rsidR="009435C9">
              <w:t xml:space="preserve">RL.11-12.5, </w:t>
            </w:r>
            <w:r w:rsidR="003D4086">
              <w:t xml:space="preserve">SL.11-12.1.a, c, d, </w:t>
            </w:r>
            <w:r>
              <w:t>W.11-12.9.a</w:t>
            </w:r>
          </w:p>
          <w:p w14:paraId="7AF95016" w14:textId="74626774" w:rsidR="00790BCC" w:rsidRPr="00790BCC" w:rsidRDefault="00790BCC" w:rsidP="00B51BBE">
            <w:pPr>
              <w:pStyle w:val="BulletedList"/>
            </w:pPr>
            <w:r w:rsidRPr="00790BCC">
              <w:t>Text</w:t>
            </w:r>
            <w:r w:rsidR="003646B4">
              <w:t>s</w:t>
            </w:r>
            <w:r w:rsidRPr="00790BCC">
              <w:t xml:space="preserve">: </w:t>
            </w:r>
            <w:r w:rsidR="00B51BBE">
              <w:t>“The Overcoat”</w:t>
            </w:r>
            <w:r w:rsidR="00303C17">
              <w:t xml:space="preserve"> from </w:t>
            </w:r>
            <w:r w:rsidR="00303C17" w:rsidRPr="00303C17">
              <w:rPr>
                <w:i/>
              </w:rPr>
              <w:t>The Collected Tales of Nikolai Gogol</w:t>
            </w:r>
            <w:r w:rsidR="00B51BBE">
              <w:t xml:space="preserve"> by Nikolai Gogol, and </w:t>
            </w:r>
            <w:r w:rsidR="00B51BBE">
              <w:rPr>
                <w:i/>
              </w:rPr>
              <w:t>The Namesake</w:t>
            </w:r>
            <w:r w:rsidR="00B51BBE">
              <w:t xml:space="preserve"> by Jhumpa Lahiri</w:t>
            </w:r>
          </w:p>
        </w:tc>
        <w:tc>
          <w:tcPr>
            <w:tcW w:w="1705" w:type="dxa"/>
            <w:tcBorders>
              <w:bottom w:val="nil"/>
            </w:tcBorders>
          </w:tcPr>
          <w:p w14:paraId="4982474A" w14:textId="77777777" w:rsidR="00790BCC" w:rsidRPr="00790BCC" w:rsidRDefault="00790BCC" w:rsidP="00790BCC"/>
          <w:p w14:paraId="25F5BFEB" w14:textId="77777777" w:rsidR="00790BCC" w:rsidRPr="00790BCC" w:rsidRDefault="00790BCC" w:rsidP="00790BCC">
            <w:pPr>
              <w:spacing w:after="60" w:line="240" w:lineRule="auto"/>
            </w:pPr>
          </w:p>
        </w:tc>
      </w:tr>
      <w:tr w:rsidR="00790BCC" w:rsidRPr="00790BCC" w14:paraId="7D57557D" w14:textId="77777777" w:rsidTr="00914A0B">
        <w:tc>
          <w:tcPr>
            <w:tcW w:w="7650" w:type="dxa"/>
            <w:tcBorders>
              <w:top w:val="nil"/>
            </w:tcBorders>
          </w:tcPr>
          <w:p w14:paraId="5ACAB001" w14:textId="77777777" w:rsidR="00790BCC" w:rsidRPr="00D31F4D" w:rsidRDefault="00790BCC" w:rsidP="00D31F4D">
            <w:pPr>
              <w:pStyle w:val="TableText"/>
              <w:rPr>
                <w:b/>
              </w:rPr>
            </w:pPr>
            <w:r w:rsidRPr="00D31F4D">
              <w:rPr>
                <w:b/>
              </w:rPr>
              <w:t>Learning Sequence:</w:t>
            </w:r>
          </w:p>
          <w:p w14:paraId="2CCEF992" w14:textId="77777777" w:rsidR="00790BCC" w:rsidRPr="00790BCC" w:rsidRDefault="00790BCC" w:rsidP="00D31F4D">
            <w:pPr>
              <w:pStyle w:val="NumberedList"/>
            </w:pPr>
            <w:r w:rsidRPr="00790BCC">
              <w:t>Introduction of Lesson Agenda</w:t>
            </w:r>
          </w:p>
          <w:p w14:paraId="1B491C66" w14:textId="77777777" w:rsidR="00790BCC" w:rsidRPr="00790BCC" w:rsidRDefault="00790BCC" w:rsidP="00D31F4D">
            <w:pPr>
              <w:pStyle w:val="NumberedList"/>
            </w:pPr>
            <w:r w:rsidRPr="00790BCC">
              <w:t>Homework Accountability</w:t>
            </w:r>
          </w:p>
          <w:p w14:paraId="5ED33E09" w14:textId="08802DCF" w:rsidR="00790BCC" w:rsidRPr="00790BCC" w:rsidRDefault="00B51BBE" w:rsidP="00D31F4D">
            <w:pPr>
              <w:pStyle w:val="NumberedList"/>
            </w:pPr>
            <w:r>
              <w:t>12</w:t>
            </w:r>
            <w:r w:rsidR="009F4D23">
              <w:t xml:space="preserve">.4.2 </w:t>
            </w:r>
            <w:r w:rsidR="00206E9B">
              <w:t xml:space="preserve">End-Of-Unit </w:t>
            </w:r>
            <w:r w:rsidR="00057593">
              <w:t xml:space="preserve">Assessment: </w:t>
            </w:r>
            <w:r w:rsidR="001C2C1F">
              <w:t>Evidence-Based Discussion</w:t>
            </w:r>
          </w:p>
          <w:p w14:paraId="68FFB5F6" w14:textId="77777777" w:rsidR="00790BCC" w:rsidRPr="00790BCC" w:rsidRDefault="001C2C1F" w:rsidP="001C2C1F">
            <w:pPr>
              <w:pStyle w:val="NumberedList"/>
            </w:pPr>
            <w:r>
              <w:t>Closing</w:t>
            </w:r>
          </w:p>
        </w:tc>
        <w:tc>
          <w:tcPr>
            <w:tcW w:w="1705" w:type="dxa"/>
            <w:tcBorders>
              <w:top w:val="nil"/>
            </w:tcBorders>
          </w:tcPr>
          <w:p w14:paraId="34F47E47" w14:textId="77777777" w:rsidR="00790BCC" w:rsidRPr="00790BCC" w:rsidRDefault="00790BCC" w:rsidP="00790BCC">
            <w:pPr>
              <w:spacing w:before="40" w:after="40"/>
            </w:pPr>
          </w:p>
          <w:p w14:paraId="229D3074" w14:textId="77777777" w:rsidR="00790BCC" w:rsidRPr="00790BCC" w:rsidRDefault="00790BCC" w:rsidP="00563E99">
            <w:pPr>
              <w:pStyle w:val="NumberedList"/>
              <w:numPr>
                <w:ilvl w:val="0"/>
                <w:numId w:val="2"/>
              </w:numPr>
            </w:pPr>
            <w:r w:rsidRPr="00790BCC">
              <w:t>5%</w:t>
            </w:r>
          </w:p>
          <w:p w14:paraId="035890A3" w14:textId="77777777" w:rsidR="00790BCC" w:rsidRPr="00790BCC" w:rsidRDefault="00790BCC" w:rsidP="00563E99">
            <w:pPr>
              <w:pStyle w:val="NumberedList"/>
              <w:numPr>
                <w:ilvl w:val="0"/>
                <w:numId w:val="2"/>
              </w:numPr>
            </w:pPr>
            <w:r w:rsidRPr="00790BCC">
              <w:t>10%</w:t>
            </w:r>
          </w:p>
          <w:p w14:paraId="77B15D0E" w14:textId="77777777" w:rsidR="00790BCC" w:rsidRPr="00790BCC" w:rsidRDefault="00403B57" w:rsidP="00563E99">
            <w:pPr>
              <w:pStyle w:val="NumberedList"/>
              <w:numPr>
                <w:ilvl w:val="0"/>
                <w:numId w:val="2"/>
              </w:numPr>
            </w:pPr>
            <w:r>
              <w:t>8</w:t>
            </w:r>
            <w:r w:rsidR="0060456C">
              <w:t>0</w:t>
            </w:r>
            <w:r w:rsidR="00790BCC" w:rsidRPr="00790BCC">
              <w:t>%</w:t>
            </w:r>
          </w:p>
          <w:p w14:paraId="6A4BE9DB" w14:textId="77777777" w:rsidR="00790BCC" w:rsidRPr="00790BCC" w:rsidRDefault="009D3695" w:rsidP="00563E99">
            <w:pPr>
              <w:pStyle w:val="NumberedList"/>
              <w:numPr>
                <w:ilvl w:val="0"/>
                <w:numId w:val="2"/>
              </w:numPr>
            </w:pPr>
            <w:r>
              <w:t>5</w:t>
            </w:r>
            <w:r w:rsidR="00790BCC" w:rsidRPr="00790BCC">
              <w:t>%</w:t>
            </w:r>
          </w:p>
        </w:tc>
      </w:tr>
    </w:tbl>
    <w:p w14:paraId="1A77A1EF" w14:textId="77777777" w:rsidR="00790BCC" w:rsidRPr="00790BCC" w:rsidRDefault="00790BCC" w:rsidP="00D31F4D">
      <w:pPr>
        <w:pStyle w:val="Heading1"/>
      </w:pPr>
      <w:r w:rsidRPr="00790BCC">
        <w:t>Materials</w:t>
      </w:r>
    </w:p>
    <w:p w14:paraId="7A8C1BAC" w14:textId="4B8D9756" w:rsidR="009D3695" w:rsidRDefault="00B51BBE" w:rsidP="00D31F4D">
      <w:pPr>
        <w:pStyle w:val="BulletedList"/>
      </w:pPr>
      <w:r>
        <w:t>Copies of the 12</w:t>
      </w:r>
      <w:r w:rsidR="009D3695">
        <w:t>.4.2 End</w:t>
      </w:r>
      <w:r w:rsidR="00CA0A46">
        <w:t>-</w:t>
      </w:r>
      <w:r w:rsidR="009D3695">
        <w:t>of</w:t>
      </w:r>
      <w:r w:rsidR="00CA0A46">
        <w:t>-</w:t>
      </w:r>
      <w:r w:rsidR="009D3695">
        <w:t>Unit Assessment for each student</w:t>
      </w:r>
    </w:p>
    <w:p w14:paraId="6C0E8B1F" w14:textId="3B7DCFC4" w:rsidR="00B63F94" w:rsidRDefault="003475E6" w:rsidP="00E44C3F">
      <w:pPr>
        <w:pStyle w:val="BulletedList"/>
      </w:pPr>
      <w:r>
        <w:t>Student c</w:t>
      </w:r>
      <w:r w:rsidR="00B63F94">
        <w:t xml:space="preserve">opies of the </w:t>
      </w:r>
      <w:r w:rsidR="00B51BBE">
        <w:t>12</w:t>
      </w:r>
      <w:r w:rsidR="001A59A0">
        <w:t xml:space="preserve">.4.2 </w:t>
      </w:r>
      <w:r w:rsidR="00187C72">
        <w:t xml:space="preserve">End-of-Unit </w:t>
      </w:r>
      <w:r w:rsidR="001A59A0">
        <w:t xml:space="preserve">Rubric </w:t>
      </w:r>
      <w:r w:rsidR="00B51BBE">
        <w:t>and Checklist</w:t>
      </w:r>
      <w:r w:rsidR="00024406">
        <w:t xml:space="preserve"> </w:t>
      </w:r>
      <w:r>
        <w:t>(refer to 12.4.2 Lesson 22)</w:t>
      </w:r>
    </w:p>
    <w:p w14:paraId="23BA5C41" w14:textId="4BECF511" w:rsidR="00BC6A67" w:rsidRPr="00790BCC" w:rsidRDefault="00BC6A67" w:rsidP="00E44C3F">
      <w:pPr>
        <w:pStyle w:val="BulletedList"/>
      </w:pPr>
      <w:r>
        <w:t>Copies of the 12.4 Performance Assessment Rubric and Checklist for each student</w:t>
      </w:r>
    </w:p>
    <w:p w14:paraId="04FC0500" w14:textId="77777777" w:rsidR="00790BCC" w:rsidRDefault="00790BCC" w:rsidP="00D31F4D">
      <w:pPr>
        <w:pStyle w:val="Heading1"/>
      </w:pPr>
      <w:r w:rsidRPr="00790BCC">
        <w:lastRenderedPageBreak/>
        <w:t>Learning Sequence</w:t>
      </w:r>
    </w:p>
    <w:tbl>
      <w:tblPr>
        <w:tblStyle w:val="TableGrid1"/>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14:paraId="02FF2F1B" w14:textId="77777777" w:rsidTr="00914A0B">
        <w:tc>
          <w:tcPr>
            <w:tcW w:w="9360" w:type="dxa"/>
            <w:gridSpan w:val="2"/>
            <w:shd w:val="clear" w:color="auto" w:fill="76923C"/>
          </w:tcPr>
          <w:p w14:paraId="5358714B" w14:textId="77777777" w:rsidR="00D31F4D" w:rsidRPr="00D31F4D" w:rsidRDefault="00D31F4D" w:rsidP="009450B7">
            <w:pPr>
              <w:pStyle w:val="TableHeaders"/>
            </w:pPr>
            <w:r w:rsidRPr="009450B7">
              <w:rPr>
                <w:sz w:val="22"/>
              </w:rPr>
              <w:t>How to Use the Learning Sequence</w:t>
            </w:r>
          </w:p>
        </w:tc>
      </w:tr>
      <w:tr w:rsidR="00D31F4D" w:rsidRPr="00D31F4D" w14:paraId="644E44D6" w14:textId="77777777" w:rsidTr="00914A0B">
        <w:tc>
          <w:tcPr>
            <w:tcW w:w="894" w:type="dxa"/>
            <w:shd w:val="clear" w:color="auto" w:fill="76923C"/>
          </w:tcPr>
          <w:p w14:paraId="12BEBEA8" w14:textId="77777777" w:rsidR="00D31F4D" w:rsidRPr="009450B7" w:rsidRDefault="00D31F4D" w:rsidP="00D31F4D">
            <w:pPr>
              <w:pStyle w:val="TableHeaders"/>
              <w:rPr>
                <w:sz w:val="22"/>
              </w:rPr>
            </w:pPr>
            <w:r w:rsidRPr="009450B7">
              <w:rPr>
                <w:sz w:val="22"/>
              </w:rPr>
              <w:t>Symbol</w:t>
            </w:r>
          </w:p>
        </w:tc>
        <w:tc>
          <w:tcPr>
            <w:tcW w:w="8466" w:type="dxa"/>
            <w:shd w:val="clear" w:color="auto" w:fill="76923C"/>
          </w:tcPr>
          <w:p w14:paraId="3AA4EE14" w14:textId="77777777" w:rsidR="00D31F4D" w:rsidRPr="009450B7" w:rsidRDefault="00D31F4D" w:rsidP="00D31F4D">
            <w:pPr>
              <w:pStyle w:val="TableHeaders"/>
              <w:rPr>
                <w:sz w:val="22"/>
              </w:rPr>
            </w:pPr>
            <w:r w:rsidRPr="009450B7">
              <w:rPr>
                <w:sz w:val="22"/>
              </w:rPr>
              <w:t>Type of Text &amp; Interpretation of the Symbol</w:t>
            </w:r>
          </w:p>
        </w:tc>
      </w:tr>
      <w:tr w:rsidR="00E843AD" w:rsidRPr="00D31F4D" w14:paraId="2CEBF35A" w14:textId="77777777" w:rsidTr="00914A0B">
        <w:tc>
          <w:tcPr>
            <w:tcW w:w="894" w:type="dxa"/>
          </w:tcPr>
          <w:p w14:paraId="29B3C233" w14:textId="2194335E" w:rsidR="00E843AD" w:rsidRPr="00D31F4D" w:rsidRDefault="00E843AD" w:rsidP="00D31F4D">
            <w:pPr>
              <w:spacing w:before="20" w:after="20" w:line="240" w:lineRule="auto"/>
              <w:jc w:val="center"/>
              <w:rPr>
                <w:b/>
                <w:color w:val="4F81BD"/>
              </w:rPr>
            </w:pPr>
            <w:r w:rsidRPr="0043460D">
              <w:rPr>
                <w:b/>
                <w:color w:val="4F81BD"/>
              </w:rPr>
              <w:t>10%</w:t>
            </w:r>
          </w:p>
        </w:tc>
        <w:tc>
          <w:tcPr>
            <w:tcW w:w="8466" w:type="dxa"/>
          </w:tcPr>
          <w:p w14:paraId="702DED0D" w14:textId="4403416A" w:rsidR="00E843AD" w:rsidRPr="00D31F4D" w:rsidRDefault="00E843AD" w:rsidP="00D31F4D">
            <w:pPr>
              <w:spacing w:before="20" w:after="20" w:line="240" w:lineRule="auto"/>
              <w:rPr>
                <w:b/>
                <w:color w:val="4F81BD"/>
              </w:rPr>
            </w:pPr>
            <w:r w:rsidRPr="0043460D">
              <w:rPr>
                <w:b/>
                <w:color w:val="4F81BD"/>
              </w:rPr>
              <w:t>Percentage indicates the percentage of lesson time each activity should take.</w:t>
            </w:r>
          </w:p>
        </w:tc>
      </w:tr>
      <w:tr w:rsidR="00E843AD" w:rsidRPr="00D31F4D" w14:paraId="44F146C3" w14:textId="77777777" w:rsidTr="00914A0B">
        <w:tc>
          <w:tcPr>
            <w:tcW w:w="894" w:type="dxa"/>
            <w:vMerge w:val="restart"/>
            <w:vAlign w:val="center"/>
          </w:tcPr>
          <w:p w14:paraId="72E37F43" w14:textId="056AB818" w:rsidR="00E843AD" w:rsidRPr="00D31F4D" w:rsidRDefault="00E843AD" w:rsidP="00D31F4D">
            <w:pPr>
              <w:spacing w:before="20" w:after="20" w:line="240" w:lineRule="auto"/>
              <w:jc w:val="center"/>
              <w:rPr>
                <w:sz w:val="18"/>
              </w:rPr>
            </w:pPr>
            <w:r w:rsidRPr="0043460D">
              <w:rPr>
                <w:sz w:val="18"/>
              </w:rPr>
              <w:t>no symbol</w:t>
            </w:r>
          </w:p>
        </w:tc>
        <w:tc>
          <w:tcPr>
            <w:tcW w:w="8466" w:type="dxa"/>
          </w:tcPr>
          <w:p w14:paraId="1C9616B1" w14:textId="2D606A0C" w:rsidR="00E843AD" w:rsidRPr="00D31F4D" w:rsidRDefault="00E843AD" w:rsidP="00D31F4D">
            <w:pPr>
              <w:spacing w:before="20" w:after="20" w:line="240" w:lineRule="auto"/>
            </w:pPr>
            <w:r w:rsidRPr="0043460D">
              <w:t>Plain text indicates teacher action.</w:t>
            </w:r>
          </w:p>
        </w:tc>
      </w:tr>
      <w:tr w:rsidR="00E843AD" w:rsidRPr="00D31F4D" w14:paraId="031A731E" w14:textId="77777777" w:rsidTr="00914A0B">
        <w:tc>
          <w:tcPr>
            <w:tcW w:w="894" w:type="dxa"/>
            <w:vMerge/>
          </w:tcPr>
          <w:p w14:paraId="77348519" w14:textId="77777777" w:rsidR="00E843AD" w:rsidRPr="00D31F4D" w:rsidRDefault="00E843AD" w:rsidP="00D31F4D">
            <w:pPr>
              <w:spacing w:before="20" w:after="20" w:line="240" w:lineRule="auto"/>
              <w:jc w:val="center"/>
              <w:rPr>
                <w:b/>
                <w:color w:val="000000"/>
              </w:rPr>
            </w:pPr>
          </w:p>
        </w:tc>
        <w:tc>
          <w:tcPr>
            <w:tcW w:w="8466" w:type="dxa"/>
          </w:tcPr>
          <w:p w14:paraId="34E2FD41" w14:textId="7C14F6D7" w:rsidR="00E843AD" w:rsidRPr="00D31F4D" w:rsidRDefault="00E843AD" w:rsidP="00D31F4D">
            <w:pPr>
              <w:spacing w:before="20" w:after="20" w:line="240" w:lineRule="auto"/>
              <w:rPr>
                <w:color w:val="4F81BD"/>
              </w:rPr>
            </w:pPr>
            <w:r w:rsidRPr="0043460D">
              <w:rPr>
                <w:b/>
              </w:rPr>
              <w:t>Bold text indicates questions for the teacher to ask students.</w:t>
            </w:r>
          </w:p>
        </w:tc>
      </w:tr>
      <w:tr w:rsidR="00E843AD" w:rsidRPr="00D31F4D" w14:paraId="1E98B0C7" w14:textId="77777777" w:rsidTr="00914A0B">
        <w:tc>
          <w:tcPr>
            <w:tcW w:w="894" w:type="dxa"/>
            <w:vMerge/>
          </w:tcPr>
          <w:p w14:paraId="28BF0AD6" w14:textId="77777777" w:rsidR="00E843AD" w:rsidRPr="00D31F4D" w:rsidRDefault="00E843AD" w:rsidP="00D31F4D">
            <w:pPr>
              <w:spacing w:before="20" w:after="20" w:line="240" w:lineRule="auto"/>
              <w:jc w:val="center"/>
              <w:rPr>
                <w:b/>
                <w:color w:val="000000"/>
              </w:rPr>
            </w:pPr>
          </w:p>
        </w:tc>
        <w:tc>
          <w:tcPr>
            <w:tcW w:w="8466" w:type="dxa"/>
          </w:tcPr>
          <w:p w14:paraId="440F6B6B" w14:textId="2122A3DD" w:rsidR="00E843AD" w:rsidRPr="00D31F4D" w:rsidRDefault="00E843AD" w:rsidP="00D31F4D">
            <w:pPr>
              <w:spacing w:before="20" w:after="20" w:line="240" w:lineRule="auto"/>
              <w:rPr>
                <w:i/>
              </w:rPr>
            </w:pPr>
            <w:r w:rsidRPr="0043460D">
              <w:rPr>
                <w:i/>
              </w:rPr>
              <w:t>Italicized text indicates a vocabulary word.</w:t>
            </w:r>
          </w:p>
        </w:tc>
      </w:tr>
      <w:tr w:rsidR="00E843AD" w:rsidRPr="00D31F4D" w14:paraId="0E226655" w14:textId="77777777" w:rsidTr="00914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62C29204" w14:textId="7B7D9116" w:rsidR="00E843AD" w:rsidRPr="00D31F4D" w:rsidRDefault="00E843AD" w:rsidP="00D31F4D">
            <w:pPr>
              <w:spacing w:before="40" w:after="0" w:line="240" w:lineRule="auto"/>
              <w:jc w:val="center"/>
            </w:pPr>
            <w:r w:rsidRPr="0043460D">
              <w:sym w:font="Webdings" w:char="F034"/>
            </w:r>
          </w:p>
        </w:tc>
        <w:tc>
          <w:tcPr>
            <w:tcW w:w="8466" w:type="dxa"/>
          </w:tcPr>
          <w:p w14:paraId="5D68877B" w14:textId="32CF31A4" w:rsidR="00E843AD" w:rsidRPr="00D31F4D" w:rsidRDefault="00E843AD" w:rsidP="00D31F4D">
            <w:pPr>
              <w:spacing w:before="20" w:after="20" w:line="240" w:lineRule="auto"/>
            </w:pPr>
            <w:r w:rsidRPr="0043460D">
              <w:t>Indicates student action(s).</w:t>
            </w:r>
          </w:p>
        </w:tc>
      </w:tr>
      <w:tr w:rsidR="00E843AD" w:rsidRPr="00D31F4D" w14:paraId="495E301D" w14:textId="77777777" w:rsidTr="00914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58BC8CE4" w14:textId="6E932580" w:rsidR="00E843AD" w:rsidRPr="00D31F4D" w:rsidRDefault="00E843AD" w:rsidP="00D31F4D">
            <w:pPr>
              <w:spacing w:before="80" w:after="0" w:line="240" w:lineRule="auto"/>
              <w:jc w:val="center"/>
            </w:pPr>
            <w:r w:rsidRPr="0043460D">
              <w:sym w:font="Webdings" w:char="F028"/>
            </w:r>
          </w:p>
        </w:tc>
        <w:tc>
          <w:tcPr>
            <w:tcW w:w="8466" w:type="dxa"/>
          </w:tcPr>
          <w:p w14:paraId="5475E1A4" w14:textId="49EA808E" w:rsidR="00E843AD" w:rsidRPr="00D31F4D" w:rsidRDefault="00E843AD" w:rsidP="00D31F4D">
            <w:pPr>
              <w:spacing w:before="20" w:after="20" w:line="240" w:lineRule="auto"/>
            </w:pPr>
            <w:r w:rsidRPr="0043460D">
              <w:t>Indicates possible student response(s) to teacher questions.</w:t>
            </w:r>
          </w:p>
        </w:tc>
      </w:tr>
      <w:tr w:rsidR="00E843AD" w:rsidRPr="00D31F4D" w14:paraId="4B00771A" w14:textId="77777777" w:rsidTr="00914A0B">
        <w:tc>
          <w:tcPr>
            <w:tcW w:w="894" w:type="dxa"/>
            <w:vAlign w:val="bottom"/>
          </w:tcPr>
          <w:p w14:paraId="3D6892B7" w14:textId="330A2D1F" w:rsidR="00E843AD" w:rsidRPr="00D31F4D" w:rsidRDefault="00E843AD" w:rsidP="00D31F4D">
            <w:pPr>
              <w:spacing w:after="0" w:line="240" w:lineRule="auto"/>
              <w:jc w:val="center"/>
              <w:rPr>
                <w:color w:val="4F81BD"/>
              </w:rPr>
            </w:pPr>
            <w:r w:rsidRPr="0043460D">
              <w:rPr>
                <w:color w:val="4F81BD"/>
              </w:rPr>
              <w:sym w:font="Webdings" w:char="F069"/>
            </w:r>
          </w:p>
        </w:tc>
        <w:tc>
          <w:tcPr>
            <w:tcW w:w="8466" w:type="dxa"/>
          </w:tcPr>
          <w:p w14:paraId="6FD14993" w14:textId="311A9F07" w:rsidR="00E843AD" w:rsidRPr="00D31F4D" w:rsidRDefault="00E843AD" w:rsidP="00D31F4D">
            <w:pPr>
              <w:spacing w:before="20" w:after="20" w:line="240" w:lineRule="auto"/>
              <w:rPr>
                <w:color w:val="4F81BD"/>
              </w:rPr>
            </w:pPr>
            <w:r w:rsidRPr="0043460D">
              <w:rPr>
                <w:color w:val="4F81BD"/>
              </w:rPr>
              <w:t>Indicates instructional notes for the teacher.</w:t>
            </w:r>
          </w:p>
        </w:tc>
      </w:tr>
    </w:tbl>
    <w:p w14:paraId="6BE5ED18" w14:textId="77777777" w:rsidR="00790BCC" w:rsidRPr="00790BCC" w:rsidRDefault="00790BCC" w:rsidP="00B14D0F">
      <w:pPr>
        <w:pStyle w:val="LearningSequenceHeader"/>
        <w:keepNext/>
      </w:pPr>
      <w:r w:rsidRPr="00790BCC">
        <w:t>Activity 1: Introduction of Lesson Agenda</w:t>
      </w:r>
      <w:r w:rsidRPr="00790BCC">
        <w:tab/>
        <w:t>5%</w:t>
      </w:r>
    </w:p>
    <w:p w14:paraId="2FB144C5" w14:textId="09C7D3BE" w:rsidR="00AB1F34" w:rsidRDefault="00714A21" w:rsidP="00941CC6">
      <w:pPr>
        <w:pStyle w:val="TA"/>
      </w:pPr>
      <w:r>
        <w:t xml:space="preserve">Begin by reviewing the agenda and </w:t>
      </w:r>
      <w:r w:rsidR="0014224F">
        <w:t xml:space="preserve">the </w:t>
      </w:r>
      <w:r>
        <w:t xml:space="preserve">assessed standards for this </w:t>
      </w:r>
      <w:r w:rsidR="000C6FD7">
        <w:t xml:space="preserve">lesson: </w:t>
      </w:r>
      <w:r w:rsidR="00DA243F">
        <w:t>CCRA.R.9</w:t>
      </w:r>
      <w:r w:rsidR="00040561">
        <w:t>, RL.11-12.2, RL.11-12.3, RL.11-12.5,</w:t>
      </w:r>
      <w:r w:rsidR="00DA243F">
        <w:t xml:space="preserve"> and </w:t>
      </w:r>
      <w:r w:rsidR="001178F2">
        <w:t>SL.11-12.1.a</w:t>
      </w:r>
      <w:r w:rsidR="00830631">
        <w:t>,</w:t>
      </w:r>
      <w:r w:rsidR="009B4A4B">
        <w:t xml:space="preserve"> </w:t>
      </w:r>
      <w:r w:rsidR="00830631">
        <w:t>c d</w:t>
      </w:r>
      <w:r w:rsidR="00DA243F">
        <w:t>.</w:t>
      </w:r>
      <w:r w:rsidR="00AB5B1B">
        <w:t xml:space="preserve"> </w:t>
      </w:r>
      <w:r>
        <w:t xml:space="preserve">In this lesson, students </w:t>
      </w:r>
      <w:r w:rsidRPr="00DB0E27">
        <w:t>complete</w:t>
      </w:r>
      <w:r>
        <w:t xml:space="preserve"> the</w:t>
      </w:r>
      <w:r w:rsidR="008D05E5">
        <w:t xml:space="preserve"> 12.4.2</w:t>
      </w:r>
      <w:r>
        <w:t xml:space="preserve"> </w:t>
      </w:r>
      <w:r w:rsidR="00E44C3F" w:rsidRPr="00E44C3F">
        <w:t xml:space="preserve">End-of-Unit </w:t>
      </w:r>
      <w:r>
        <w:t>Assessment by participating in an evidence</w:t>
      </w:r>
      <w:r w:rsidR="004E1B1F">
        <w:t>-</w:t>
      </w:r>
      <w:r>
        <w:t xml:space="preserve">based discussion </w:t>
      </w:r>
      <w:r w:rsidR="00836EBC">
        <w:t xml:space="preserve">of “The Overcoat” by Nikolai Gogol and </w:t>
      </w:r>
      <w:r w:rsidR="00836EBC">
        <w:rPr>
          <w:i/>
        </w:rPr>
        <w:t>The Namesake</w:t>
      </w:r>
      <w:r w:rsidR="00836EBC">
        <w:t xml:space="preserve"> by Jhumpa Lahiri </w:t>
      </w:r>
      <w:r>
        <w:t xml:space="preserve">in response to the </w:t>
      </w:r>
      <w:r w:rsidR="00215FCB">
        <w:t xml:space="preserve">12.4.2 </w:t>
      </w:r>
      <w:r w:rsidR="00E44C3F" w:rsidRPr="00E44C3F">
        <w:t xml:space="preserve">End-of-Unit </w:t>
      </w:r>
      <w:r>
        <w:t>Assessment prompt</w:t>
      </w:r>
      <w:r w:rsidR="00D547A4">
        <w:t xml:space="preserve">: </w:t>
      </w:r>
      <w:r w:rsidR="00942638">
        <w:t>Compare Nikolai Gogol</w:t>
      </w:r>
      <w:r w:rsidR="00733F1B">
        <w:t>’s</w:t>
      </w:r>
      <w:r w:rsidR="00942638">
        <w:t xml:space="preserve"> and Jhumpa Lahiri’s approaches to identity in “The Overcoat” and </w:t>
      </w:r>
      <w:r w:rsidR="00942638" w:rsidRPr="00DE6185">
        <w:rPr>
          <w:i/>
        </w:rPr>
        <w:t>The Namesake</w:t>
      </w:r>
      <w:r w:rsidR="00942638">
        <w:t>.</w:t>
      </w:r>
    </w:p>
    <w:p w14:paraId="303C2896" w14:textId="77777777" w:rsidR="00714A21" w:rsidRDefault="00714A21" w:rsidP="00941CC6">
      <w:pPr>
        <w:pStyle w:val="SA"/>
      </w:pPr>
      <w:r>
        <w:t>Students look at the agenda.</w:t>
      </w:r>
    </w:p>
    <w:p w14:paraId="0EEDC329" w14:textId="77777777" w:rsidR="00790BCC" w:rsidRPr="00790BCC" w:rsidRDefault="00790BCC" w:rsidP="007017EB">
      <w:pPr>
        <w:pStyle w:val="LearningSequenceHeader"/>
      </w:pPr>
      <w:r w:rsidRPr="00790BCC">
        <w:t>Activity 2: Homework Accountability</w:t>
      </w:r>
      <w:r w:rsidRPr="00790BCC">
        <w:tab/>
        <w:t>10%</w:t>
      </w:r>
    </w:p>
    <w:p w14:paraId="305615C7" w14:textId="76B4F34B" w:rsidR="000C3DAA" w:rsidRDefault="000C3DAA" w:rsidP="0093430F">
      <w:pPr>
        <w:pStyle w:val="TA"/>
      </w:pPr>
      <w:r>
        <w:t>Ask students to take out their materials for the 12.</w:t>
      </w:r>
      <w:r w:rsidR="005A468D">
        <w:t>4</w:t>
      </w:r>
      <w:r>
        <w:t>.</w:t>
      </w:r>
      <w:r w:rsidR="005A468D">
        <w:t>2</w:t>
      </w:r>
      <w:r>
        <w:t xml:space="preserve"> End-of-Unit Assessment, including all notes, annotations, and Quick Writes.</w:t>
      </w:r>
    </w:p>
    <w:p w14:paraId="4C0F6DBF" w14:textId="1110BCF8" w:rsidR="00AC79B4" w:rsidRDefault="00AC79B4" w:rsidP="003D4086">
      <w:pPr>
        <w:pStyle w:val="SA"/>
      </w:pPr>
      <w:r>
        <w:t>Students take out their materials for the 12.4.2 End-of-Unit Assessment.</w:t>
      </w:r>
    </w:p>
    <w:p w14:paraId="15C48CB1" w14:textId="48A1060A" w:rsidR="000C3DAA" w:rsidRDefault="000C3DAA" w:rsidP="00F11C52">
      <w:pPr>
        <w:pStyle w:val="IN"/>
      </w:pPr>
      <w:r>
        <w:t>Students demonstrate completion of their homework by having all of their materials organized and accessible for the assessment</w:t>
      </w:r>
      <w:r w:rsidR="003A5B4F">
        <w:t>.</w:t>
      </w:r>
    </w:p>
    <w:p w14:paraId="7E30B71B" w14:textId="74B16432" w:rsidR="00790BCC" w:rsidRPr="00790BCC" w:rsidRDefault="00DC2BD5" w:rsidP="00026008">
      <w:pPr>
        <w:pStyle w:val="LearningSequenceHeader"/>
        <w:keepNext/>
      </w:pPr>
      <w:r>
        <w:t>Activity 3:</w:t>
      </w:r>
      <w:r w:rsidR="00206E9B">
        <w:t xml:space="preserve"> </w:t>
      </w:r>
      <w:r w:rsidR="00C36EF6">
        <w:t>12</w:t>
      </w:r>
      <w:r w:rsidR="009F4D23">
        <w:t xml:space="preserve">.4.2 </w:t>
      </w:r>
      <w:r w:rsidR="00206E9B">
        <w:t>End-of-Unit</w:t>
      </w:r>
      <w:r>
        <w:t xml:space="preserve"> </w:t>
      </w:r>
      <w:r w:rsidR="00057593">
        <w:t xml:space="preserve">Assessment: </w:t>
      </w:r>
      <w:r>
        <w:t>Evidence-Based Discussion</w:t>
      </w:r>
      <w:r w:rsidR="009D3695">
        <w:tab/>
      </w:r>
      <w:r w:rsidR="00403B57">
        <w:t>8</w:t>
      </w:r>
      <w:r w:rsidR="00121A81">
        <w:t>0</w:t>
      </w:r>
      <w:r w:rsidR="00790BCC" w:rsidRPr="00790BCC">
        <w:t>%</w:t>
      </w:r>
    </w:p>
    <w:p w14:paraId="2DED8B22" w14:textId="7FAA6766" w:rsidR="00170C09" w:rsidRDefault="00AE4707" w:rsidP="007017EB">
      <w:pPr>
        <w:pStyle w:val="TA"/>
      </w:pPr>
      <w:r>
        <w:t xml:space="preserve">Distribute copies of the 12.4.2 End-of-Unit Assessment. </w:t>
      </w:r>
      <w:r w:rsidR="001D1743">
        <w:t>Instruct students to form small groups.</w:t>
      </w:r>
      <w:r w:rsidR="000C6FD7">
        <w:t xml:space="preserve"> Instruct student groups to present and discuss their </w:t>
      </w:r>
      <w:r w:rsidR="00CD0FB7">
        <w:t>claim</w:t>
      </w:r>
      <w:r w:rsidR="00BF7FD7">
        <w:t>s</w:t>
      </w:r>
      <w:r w:rsidR="000C6FD7">
        <w:t xml:space="preserve"> and evidence in response to the</w:t>
      </w:r>
      <w:r w:rsidR="00215FCB">
        <w:t xml:space="preserve"> 12.4.2</w:t>
      </w:r>
      <w:r w:rsidR="000C6FD7">
        <w:t xml:space="preserve"> </w:t>
      </w:r>
      <w:r w:rsidR="00E44C3F" w:rsidRPr="00E44C3F">
        <w:t xml:space="preserve">End-of-Unit </w:t>
      </w:r>
      <w:r w:rsidR="000C6FD7">
        <w:t>Assessment prompt</w:t>
      </w:r>
      <w:r w:rsidR="00170C09">
        <w:t>:</w:t>
      </w:r>
    </w:p>
    <w:p w14:paraId="2E7ADA84" w14:textId="4C336048" w:rsidR="007A5046" w:rsidRPr="007A5046" w:rsidRDefault="001B7E5A" w:rsidP="001B7E5A">
      <w:pPr>
        <w:pStyle w:val="Q"/>
      </w:pPr>
      <w:r>
        <w:t>Compare Nikolai Gogol</w:t>
      </w:r>
      <w:r w:rsidR="00733F1B">
        <w:t>’s</w:t>
      </w:r>
      <w:r>
        <w:t xml:space="preserve"> and Jhumpa Lahiri’s approaches to identity in “The Overcoat” and </w:t>
      </w:r>
      <w:r w:rsidRPr="00DE6185">
        <w:rPr>
          <w:i/>
        </w:rPr>
        <w:t>The Namesake</w:t>
      </w:r>
      <w:r>
        <w:t>.</w:t>
      </w:r>
    </w:p>
    <w:p w14:paraId="3D6444F5" w14:textId="64986AB1" w:rsidR="00790BCC" w:rsidRDefault="000C6FD7" w:rsidP="007017EB">
      <w:pPr>
        <w:pStyle w:val="TA"/>
      </w:pPr>
      <w:r>
        <w:lastRenderedPageBreak/>
        <w:t xml:space="preserve">Remind students to ensure that each member of the group has the opportunity to present </w:t>
      </w:r>
      <w:r w:rsidR="00BF7FD7">
        <w:t xml:space="preserve">his or her </w:t>
      </w:r>
      <w:r w:rsidR="00CD0FB7">
        <w:t>claim</w:t>
      </w:r>
      <w:r w:rsidR="00E44C3F">
        <w:t xml:space="preserve">. Remind students </w:t>
      </w:r>
      <w:r>
        <w:t>that the</w:t>
      </w:r>
      <w:r w:rsidR="00BF7FD7">
        <w:t>y will be assessed on their</w:t>
      </w:r>
      <w:r w:rsidR="00170C09">
        <w:t xml:space="preserve"> </w:t>
      </w:r>
      <w:r>
        <w:t xml:space="preserve">participation in </w:t>
      </w:r>
      <w:r w:rsidR="00BF7FD7">
        <w:t xml:space="preserve">the discussion, including how effectively they </w:t>
      </w:r>
      <w:r>
        <w:t>pos</w:t>
      </w:r>
      <w:r w:rsidR="00BF7FD7">
        <w:t>e</w:t>
      </w:r>
      <w:r>
        <w:t xml:space="preserve"> and respond to questions that challenge, clarify</w:t>
      </w:r>
      <w:r w:rsidR="00BF7FD7">
        <w:t>,</w:t>
      </w:r>
      <w:r>
        <w:t xml:space="preserve"> or verify their </w:t>
      </w:r>
      <w:r w:rsidR="00CD0FB7">
        <w:t>claim</w:t>
      </w:r>
      <w:r w:rsidR="00BF7FD7">
        <w:t xml:space="preserve">s, and the extent to which they </w:t>
      </w:r>
      <w:r w:rsidR="00057593" w:rsidRPr="00F7509A">
        <w:t xml:space="preserve">synthesize comments, claims, and evidence made on all sides of </w:t>
      </w:r>
      <w:r w:rsidR="00BF7FD7">
        <w:t>the</w:t>
      </w:r>
      <w:r w:rsidR="00057593" w:rsidRPr="00F7509A">
        <w:t xml:space="preserve"> issue</w:t>
      </w:r>
      <w:r w:rsidR="00057593">
        <w:t xml:space="preserve"> after the discussion</w:t>
      </w:r>
      <w:r>
        <w:t xml:space="preserve">. Remind students to use the </w:t>
      </w:r>
      <w:r w:rsidR="001A59A0" w:rsidRPr="001A59A0">
        <w:t>1</w:t>
      </w:r>
      <w:r w:rsidR="00845F4E">
        <w:t>2</w:t>
      </w:r>
      <w:r w:rsidR="001A59A0" w:rsidRPr="001A59A0">
        <w:t>.4.2 End</w:t>
      </w:r>
      <w:r w:rsidR="00403B57">
        <w:t>-</w:t>
      </w:r>
      <w:r w:rsidR="001A59A0" w:rsidRPr="001A59A0">
        <w:t>of</w:t>
      </w:r>
      <w:r w:rsidR="00403B57">
        <w:t>-</w:t>
      </w:r>
      <w:r w:rsidR="000F571E">
        <w:t xml:space="preserve">Unit </w:t>
      </w:r>
      <w:r w:rsidR="001A59A0" w:rsidRPr="001A59A0">
        <w:t>Rubric and Checklist</w:t>
      </w:r>
      <w:r>
        <w:t xml:space="preserve"> to guide their discussion.</w:t>
      </w:r>
      <w:r w:rsidR="00FC66CC">
        <w:t xml:space="preserve"> Remind students to also use evidence from the text to support their claims</w:t>
      </w:r>
      <w:r w:rsidR="00924523">
        <w:t xml:space="preserve"> </w:t>
      </w:r>
      <w:r w:rsidR="00FC66CC" w:rsidRPr="00941CC6">
        <w:rPr>
          <w:color w:val="4F81BD" w:themeColor="accent1"/>
        </w:rPr>
        <w:t>(</w:t>
      </w:r>
      <w:r w:rsidR="00FC66CC" w:rsidRPr="00F11C52">
        <w:rPr>
          <w:color w:val="4F81BD" w:themeColor="accent1"/>
        </w:rPr>
        <w:t>W.11-12.9.a</w:t>
      </w:r>
      <w:r w:rsidR="00FC66CC" w:rsidRPr="00941CC6">
        <w:rPr>
          <w:color w:val="4F81BD" w:themeColor="accent1"/>
        </w:rPr>
        <w:t>)</w:t>
      </w:r>
      <w:r w:rsidR="00924523">
        <w:t>.</w:t>
      </w:r>
    </w:p>
    <w:p w14:paraId="539E580D" w14:textId="16E66AAD" w:rsidR="00FC66CC" w:rsidRDefault="00FC66CC" w:rsidP="00FC66CC">
      <w:pPr>
        <w:pStyle w:val="IN"/>
      </w:pPr>
      <w:r>
        <w:t xml:space="preserve">Consider reminding students of their previous work with SL.11-12.1.a, </w:t>
      </w:r>
      <w:r w:rsidR="00E07421">
        <w:t>as this discussion</w:t>
      </w:r>
      <w:r w:rsidR="00C314DB">
        <w:t xml:space="preserve"> requires that students</w:t>
      </w:r>
      <w:r>
        <w:t xml:space="preserve"> come to class having read the material and asks them to explicitly draw on evidence from the text to support their discussion.</w:t>
      </w:r>
    </w:p>
    <w:p w14:paraId="7CA4BCEA" w14:textId="20972E04" w:rsidR="00FC66CC" w:rsidRDefault="00FC66CC" w:rsidP="00FC66CC">
      <w:pPr>
        <w:pStyle w:val="IN"/>
      </w:pPr>
      <w:r>
        <w:t xml:space="preserve">Consider reminding students of their previous work with SL.11-12.1.c, </w:t>
      </w:r>
      <w:r w:rsidR="00E07421">
        <w:t>as this discussion</w:t>
      </w:r>
      <w:r>
        <w:t xml:space="preserve"> requires that students pose and respond to questions, and qualify or justify their own points of agreement and disagreement with other students.</w:t>
      </w:r>
    </w:p>
    <w:p w14:paraId="56F0672D" w14:textId="62CD07A6" w:rsidR="00FC66CC" w:rsidRDefault="00FC66CC" w:rsidP="00FC66CC">
      <w:pPr>
        <w:pStyle w:val="IN"/>
      </w:pPr>
      <w:r>
        <w:t xml:space="preserve">Consider reminding students of their previous work with SL.11-12.1.d, </w:t>
      </w:r>
      <w:r w:rsidR="00E07421">
        <w:t>as this discussion</w:t>
      </w:r>
      <w:r>
        <w:t xml:space="preserve"> requires that students seek to understand and respond thoughtfully to diverse perspectives in order to deepen the investigation of their position and observations.</w:t>
      </w:r>
    </w:p>
    <w:p w14:paraId="308875D9" w14:textId="474DBE86" w:rsidR="000C6FD7" w:rsidRDefault="00733F1B" w:rsidP="000C6FD7">
      <w:pPr>
        <w:pStyle w:val="SA"/>
      </w:pPr>
      <w:r>
        <w:t xml:space="preserve">Students participate in small </w:t>
      </w:r>
      <w:r w:rsidR="000C6FD7">
        <w:t>group evidence</w:t>
      </w:r>
      <w:r w:rsidR="00385A4D">
        <w:t>-</w:t>
      </w:r>
      <w:r w:rsidR="000C6FD7">
        <w:t xml:space="preserve">based discussions </w:t>
      </w:r>
      <w:r w:rsidR="001A59A0">
        <w:t>in response to the</w:t>
      </w:r>
      <w:r w:rsidR="00215FCB">
        <w:t xml:space="preserve"> 12.4.2</w:t>
      </w:r>
      <w:r w:rsidR="001A59A0">
        <w:t xml:space="preserve"> </w:t>
      </w:r>
      <w:r w:rsidR="00E44C3F">
        <w:t xml:space="preserve">End-of-Unit </w:t>
      </w:r>
      <w:r w:rsidR="001A59A0">
        <w:t>A</w:t>
      </w:r>
      <w:r w:rsidR="000C6FD7">
        <w:t>ssessment prompt.</w:t>
      </w:r>
    </w:p>
    <w:p w14:paraId="7E1DD4E1" w14:textId="77777777" w:rsidR="000C6FD7" w:rsidRDefault="000C6FD7" w:rsidP="000C6FD7">
      <w:pPr>
        <w:pStyle w:val="SR"/>
      </w:pPr>
      <w:r>
        <w:t xml:space="preserve">See </w:t>
      </w:r>
      <w:r w:rsidR="00902E06">
        <w:t xml:space="preserve">the </w:t>
      </w:r>
      <w:r>
        <w:t>High Performance Response at the beginning of this lesson.</w:t>
      </w:r>
    </w:p>
    <w:p w14:paraId="1F2396D1" w14:textId="4641F5FF" w:rsidR="009C540F" w:rsidRDefault="0084647C" w:rsidP="00653702">
      <w:pPr>
        <w:pStyle w:val="TA"/>
      </w:pPr>
      <w:r>
        <w:t>A</w:t>
      </w:r>
      <w:r w:rsidR="004A49ED">
        <w:t>ssess student participation in the eviden</w:t>
      </w:r>
      <w:r w:rsidR="00F035E6">
        <w:t>ce-based discussion using the 12</w:t>
      </w:r>
      <w:r w:rsidR="004A49ED">
        <w:t>.4.2 End-of-Unit Rubric.</w:t>
      </w:r>
    </w:p>
    <w:p w14:paraId="335D9C81" w14:textId="77777777" w:rsidR="00402B67" w:rsidRDefault="00402B67" w:rsidP="00653702">
      <w:pPr>
        <w:pStyle w:val="BR"/>
      </w:pPr>
    </w:p>
    <w:p w14:paraId="2949CCC4" w14:textId="63DD3D89" w:rsidR="00402B67" w:rsidRDefault="007B166F" w:rsidP="008F70F0">
      <w:pPr>
        <w:pStyle w:val="TA"/>
      </w:pPr>
      <w:r w:rsidRPr="007B166F">
        <w:t>Instruct students to</w:t>
      </w:r>
      <w:r w:rsidR="005D5776">
        <w:t xml:space="preserve"> use the 12.4.2 End-of-Unit Rubric and Checklist to </w:t>
      </w:r>
      <w:r w:rsidRPr="007B166F">
        <w:t>self-assess their</w:t>
      </w:r>
      <w:r w:rsidR="0005594E">
        <w:t xml:space="preserve"> own application of CCRA.R.9</w:t>
      </w:r>
      <w:r w:rsidR="00040561">
        <w:t>, RL.11-12.2, RL.11-12.3, RL.11-12.5, and</w:t>
      </w:r>
      <w:r w:rsidR="0005594E">
        <w:t xml:space="preserve"> SL.11-12.1.a, c, d in </w:t>
      </w:r>
      <w:r w:rsidRPr="007B166F">
        <w:t>the</w:t>
      </w:r>
      <w:r w:rsidR="0005594E">
        <w:t xml:space="preserve"> small</w:t>
      </w:r>
      <w:r w:rsidR="00733F1B">
        <w:t xml:space="preserve"> </w:t>
      </w:r>
      <w:r w:rsidR="0005594E">
        <w:t>group discussion</w:t>
      </w:r>
      <w:r w:rsidR="001F04A1">
        <w:t>.</w:t>
      </w:r>
      <w:r w:rsidRPr="007B166F">
        <w:t xml:space="preserve"> Also</w:t>
      </w:r>
      <w:r w:rsidR="001F04A1">
        <w:t>,</w:t>
      </w:r>
      <w:r w:rsidRPr="007B166F">
        <w:t xml:space="preserve"> instruct students to provide a 1–2 sentence explanation of the</w:t>
      </w:r>
      <w:r w:rsidR="003C04D8">
        <w:t>ir</w:t>
      </w:r>
      <w:r w:rsidRPr="007B166F">
        <w:t xml:space="preserve"> self-assessment.</w:t>
      </w:r>
    </w:p>
    <w:p w14:paraId="0F41551F" w14:textId="37434C2B" w:rsidR="009E1B3F" w:rsidRDefault="009E1B3F" w:rsidP="00653702">
      <w:pPr>
        <w:pStyle w:val="SA"/>
      </w:pPr>
      <w:r w:rsidRPr="007B166F">
        <w:t>Students self-assess their speaking and listening skills</w:t>
      </w:r>
      <w:r w:rsidR="001F04A1">
        <w:t xml:space="preserve"> and text analysis</w:t>
      </w:r>
      <w:r w:rsidR="000A250F">
        <w:t xml:space="preserve"> skills</w:t>
      </w:r>
      <w:r w:rsidR="00F035E6">
        <w:t xml:space="preserve"> using the 12</w:t>
      </w:r>
      <w:r w:rsidR="008650DA">
        <w:t>.4.2 End-of-Unit Rubric and Checklist.</w:t>
      </w:r>
    </w:p>
    <w:p w14:paraId="2464DB67" w14:textId="4D11BCB2" w:rsidR="000C6FD7" w:rsidRPr="00790BCC" w:rsidRDefault="00E44C3F" w:rsidP="005E70DD">
      <w:pPr>
        <w:pStyle w:val="IN"/>
      </w:pPr>
      <w:r>
        <w:rPr>
          <w:b/>
        </w:rPr>
        <w:t>Differentiation Consideration:</w:t>
      </w:r>
      <w:r w:rsidRPr="00733F1B">
        <w:t xml:space="preserve"> </w:t>
      </w:r>
      <w:r>
        <w:t xml:space="preserve">Consider instructing students to briefly synthesize their </w:t>
      </w:r>
      <w:r w:rsidR="00CD0FB7">
        <w:t>claim</w:t>
      </w:r>
      <w:r w:rsidR="00383E57">
        <w:t xml:space="preserve"> and evidence </w:t>
      </w:r>
      <w:r>
        <w:t>in writing at the end of this lesson as another form of assessment.</w:t>
      </w:r>
    </w:p>
    <w:p w14:paraId="4C41CD04" w14:textId="77777777" w:rsidR="00790BCC" w:rsidRPr="00790BCC" w:rsidRDefault="00DC2BD5" w:rsidP="00E843AD">
      <w:pPr>
        <w:pStyle w:val="LearningSequenceHeader"/>
        <w:keepNext/>
      </w:pPr>
      <w:r>
        <w:t xml:space="preserve">Activity </w:t>
      </w:r>
      <w:r w:rsidR="00E44C3F">
        <w:t>4</w:t>
      </w:r>
      <w:r>
        <w:t>: Closing</w:t>
      </w:r>
      <w:r>
        <w:tab/>
        <w:t>5</w:t>
      </w:r>
      <w:r w:rsidR="00790BCC" w:rsidRPr="00790BCC">
        <w:t>%</w:t>
      </w:r>
    </w:p>
    <w:p w14:paraId="60A30EFA" w14:textId="0C92E7EF" w:rsidR="00F035E6" w:rsidRDefault="00FA2A7B" w:rsidP="00FA2A7B">
      <w:pPr>
        <w:pStyle w:val="TA"/>
      </w:pPr>
      <w:r>
        <w:t>Display and distribute the homework assignment. For homework, instruct students to</w:t>
      </w:r>
      <w:r w:rsidR="00FC66CC">
        <w:t xml:space="preserve"> </w:t>
      </w:r>
      <w:r w:rsidR="005E624E">
        <w:t>review the</w:t>
      </w:r>
      <w:r w:rsidR="004F22F7">
        <w:t xml:space="preserve"> following</w:t>
      </w:r>
      <w:r w:rsidR="004B5941">
        <w:t xml:space="preserve"> prompt</w:t>
      </w:r>
      <w:r w:rsidR="00BD4ADD">
        <w:t xml:space="preserve"> </w:t>
      </w:r>
      <w:r w:rsidR="005E624E">
        <w:t>options for the</w:t>
      </w:r>
      <w:r w:rsidR="00215FCB">
        <w:t xml:space="preserve"> 12.4</w:t>
      </w:r>
      <w:r w:rsidR="005E624E">
        <w:t xml:space="preserve"> Module Performance Assessment and select the one for which they will write a response.</w:t>
      </w:r>
      <w:r w:rsidR="00B64066">
        <w:t xml:space="preserve"> Additionally, instruct students to take note</w:t>
      </w:r>
      <w:r w:rsidR="009B0C9C">
        <w:t>s</w:t>
      </w:r>
      <w:r w:rsidR="00B64066">
        <w:t xml:space="preserve"> on</w:t>
      </w:r>
      <w:r w:rsidR="00BD4ADD">
        <w:t xml:space="preserve"> their selected writing assessment</w:t>
      </w:r>
      <w:r w:rsidR="00B64066">
        <w:t xml:space="preserve"> to prepare for the Module Performance Assessment. </w:t>
      </w:r>
    </w:p>
    <w:p w14:paraId="656D1AB1" w14:textId="049E511C" w:rsidR="004809D2" w:rsidRDefault="004809D2" w:rsidP="00BD4ADD">
      <w:pPr>
        <w:rPr>
          <w:b/>
        </w:rPr>
      </w:pPr>
      <w:r>
        <w:rPr>
          <w:b/>
        </w:rPr>
        <w:lastRenderedPageBreak/>
        <w:t>Performance Assessment (Choose from one of the two writing assessment options below.)</w:t>
      </w:r>
    </w:p>
    <w:p w14:paraId="4566FA97" w14:textId="77777777" w:rsidR="00BD4ADD" w:rsidRPr="0096315C" w:rsidRDefault="00BD4ADD" w:rsidP="00BD4ADD">
      <w:pPr>
        <w:rPr>
          <w:rFonts w:asciiTheme="minorHAnsi" w:hAnsiTheme="minorHAnsi"/>
        </w:rPr>
      </w:pPr>
      <w:r>
        <w:rPr>
          <w:b/>
        </w:rPr>
        <w:t xml:space="preserve">Option </w:t>
      </w:r>
      <w:r w:rsidRPr="00E95CAB">
        <w:rPr>
          <w:b/>
        </w:rPr>
        <w:t>#1</w:t>
      </w:r>
      <w:r>
        <w:rPr>
          <w:b/>
        </w:rPr>
        <w:t xml:space="preserve">: </w:t>
      </w:r>
      <w:r w:rsidRPr="00E95CAB">
        <w:rPr>
          <w:b/>
        </w:rPr>
        <w:t>Narrative + Informat</w:t>
      </w:r>
      <w:r>
        <w:rPr>
          <w:b/>
        </w:rPr>
        <w:t>ive</w:t>
      </w:r>
      <w:r w:rsidRPr="00E95CAB">
        <w:rPr>
          <w:b/>
        </w:rPr>
        <w:t xml:space="preserve"> W</w:t>
      </w:r>
      <w:r>
        <w:rPr>
          <w:b/>
        </w:rPr>
        <w:t>riting: This is a two-part writing assessment.</w:t>
      </w:r>
    </w:p>
    <w:p w14:paraId="1AA85610" w14:textId="5069F706" w:rsidR="00BD4ADD" w:rsidRDefault="00BD4ADD" w:rsidP="00BD4ADD">
      <w:pPr>
        <w:pStyle w:val="BulletedList"/>
        <w:numPr>
          <w:ilvl w:val="0"/>
          <w:numId w:val="15"/>
        </w:numPr>
        <w:ind w:left="705" w:hanging="720"/>
      </w:pPr>
      <w:r>
        <w:t>Choose a key scene or critical moment from one of the module texts. Rewrite the key scene or critical moment so that the character(s) make a different choice than the one made in the actual text. Choose whichever genre (play or story) best fits the scene. The scene should have a narrative arc and the content should remain consistent with the original text.</w:t>
      </w:r>
    </w:p>
    <w:p w14:paraId="46FA6A2C" w14:textId="1CE03E01" w:rsidR="00BD4ADD" w:rsidRDefault="00BD4ADD" w:rsidP="00BD4ADD">
      <w:pPr>
        <w:pStyle w:val="BulletedList"/>
        <w:numPr>
          <w:ilvl w:val="0"/>
          <w:numId w:val="15"/>
        </w:numPr>
        <w:ind w:left="705" w:hanging="720"/>
      </w:pPr>
      <w:r w:rsidRPr="007421DF">
        <w:t>After drafting the narrative, write a commentary on how the narrative choices you made shape or re-shape the character’s identity and explain how your choices impact the original text</w:t>
      </w:r>
      <w:r>
        <w:t>.</w:t>
      </w:r>
    </w:p>
    <w:p w14:paraId="0FC7E2F8" w14:textId="77777777" w:rsidR="00BD4ADD" w:rsidRDefault="00BD4ADD" w:rsidP="00BD4ADD">
      <w:pPr>
        <w:pStyle w:val="BulletedList"/>
        <w:numPr>
          <w:ilvl w:val="0"/>
          <w:numId w:val="0"/>
        </w:numPr>
        <w:ind w:left="360"/>
      </w:pPr>
    </w:p>
    <w:p w14:paraId="17C11DB1" w14:textId="77777777" w:rsidR="003D7299" w:rsidRDefault="00BD4ADD" w:rsidP="00BD4ADD">
      <w:pPr>
        <w:pStyle w:val="BulletedList"/>
        <w:numPr>
          <w:ilvl w:val="0"/>
          <w:numId w:val="0"/>
        </w:numPr>
        <w:rPr>
          <w:b/>
        </w:rPr>
      </w:pPr>
      <w:r>
        <w:rPr>
          <w:b/>
        </w:rPr>
        <w:t>Option</w:t>
      </w:r>
      <w:r w:rsidRPr="00F670BC">
        <w:rPr>
          <w:b/>
        </w:rPr>
        <w:t xml:space="preserve"> #2:</w:t>
      </w:r>
      <w:r>
        <w:rPr>
          <w:b/>
        </w:rPr>
        <w:t xml:space="preserve"> Argument + Narrative</w:t>
      </w:r>
      <w:r w:rsidRPr="00F670BC">
        <w:rPr>
          <w:b/>
        </w:rPr>
        <w:t xml:space="preserve"> W</w:t>
      </w:r>
      <w:r>
        <w:rPr>
          <w:b/>
        </w:rPr>
        <w:t>riting: This is a two-p</w:t>
      </w:r>
      <w:r w:rsidRPr="00F670BC">
        <w:rPr>
          <w:b/>
        </w:rPr>
        <w:t>art</w:t>
      </w:r>
      <w:r>
        <w:rPr>
          <w:b/>
        </w:rPr>
        <w:t xml:space="preserve"> writing assessment</w:t>
      </w:r>
      <w:r w:rsidRPr="00F670BC">
        <w:rPr>
          <w:b/>
        </w:rPr>
        <w:t>.</w:t>
      </w:r>
    </w:p>
    <w:p w14:paraId="26A9E0D0" w14:textId="0D03BB98" w:rsidR="003D7299" w:rsidRDefault="003D7299" w:rsidP="00733F1B">
      <w:pPr>
        <w:pStyle w:val="BulletedList"/>
        <w:numPr>
          <w:ilvl w:val="0"/>
          <w:numId w:val="25"/>
        </w:numPr>
        <w:ind w:hanging="720"/>
      </w:pPr>
      <w:r>
        <w:t>Select 1</w:t>
      </w:r>
      <w:r w:rsidRPr="00733F1B">
        <w:rPr>
          <w:i/>
        </w:rPr>
        <w:t>–</w:t>
      </w:r>
      <w:r>
        <w:t>2 of the module texts and make an evidence-based claim about the role of place or culture in creating an identity. Discuss the role of place or culture in creating an identity using textual evidence for support.</w:t>
      </w:r>
    </w:p>
    <w:p w14:paraId="5E224C86" w14:textId="3B0F2D39" w:rsidR="003D7299" w:rsidRDefault="003D7299" w:rsidP="00733F1B">
      <w:pPr>
        <w:pStyle w:val="BulletedList"/>
        <w:numPr>
          <w:ilvl w:val="0"/>
          <w:numId w:val="25"/>
        </w:numPr>
        <w:ind w:left="705" w:hanging="720"/>
      </w:pPr>
      <w:r>
        <w:t>Write a 1</w:t>
      </w:r>
      <w:r w:rsidRPr="00733F1B">
        <w:t>–</w:t>
      </w:r>
      <w:r>
        <w:t>2 page personal narrative about the influence of place or culture on your identity. Ground your narrative in a quote from one of the module texts or an experience of one of the characters.</w:t>
      </w:r>
    </w:p>
    <w:p w14:paraId="7D7A4FF7" w14:textId="2E2BB4AC" w:rsidR="005309CE" w:rsidRDefault="00733F1B" w:rsidP="00BD4ADD">
      <w:pPr>
        <w:pStyle w:val="TA"/>
      </w:pPr>
      <w:r>
        <w:t>D</w:t>
      </w:r>
      <w:r w:rsidR="005309CE">
        <w:t>istribute the 12.4 Performance Assessment Rubric and Checklist and instruct students to review the rubric and checklist as they select their writing assessment options.</w:t>
      </w:r>
    </w:p>
    <w:p w14:paraId="24E3F65B" w14:textId="77777777" w:rsidR="001178F2" w:rsidRPr="00790BCC" w:rsidRDefault="001178F2" w:rsidP="001178F2">
      <w:pPr>
        <w:pStyle w:val="SA"/>
      </w:pPr>
      <w:r>
        <w:t>Students follow along.</w:t>
      </w:r>
    </w:p>
    <w:p w14:paraId="586ED068" w14:textId="77777777" w:rsidR="00790BCC" w:rsidRPr="00790BCC" w:rsidRDefault="00790BCC" w:rsidP="001864AB">
      <w:pPr>
        <w:pStyle w:val="Heading1"/>
        <w:spacing w:before="360"/>
      </w:pPr>
      <w:r w:rsidRPr="00790BCC">
        <w:t>Homework</w:t>
      </w:r>
    </w:p>
    <w:p w14:paraId="703A1ED2" w14:textId="203CEA73" w:rsidR="00FC66CC" w:rsidRDefault="007F6BD1" w:rsidP="00FC66CC">
      <w:pPr>
        <w:pStyle w:val="TA"/>
      </w:pPr>
      <w:r>
        <w:t>R</w:t>
      </w:r>
      <w:r w:rsidR="00556DA4">
        <w:t xml:space="preserve">eview the following </w:t>
      </w:r>
      <w:r w:rsidR="002361AD">
        <w:t xml:space="preserve">prompt </w:t>
      </w:r>
      <w:r w:rsidR="00556DA4">
        <w:t>options for the</w:t>
      </w:r>
      <w:r w:rsidR="00215FCB">
        <w:t xml:space="preserve"> 12.4</w:t>
      </w:r>
      <w:r w:rsidR="00556DA4">
        <w:t xml:space="preserve"> Module Performance Assessment and select the one for which you will write a response.</w:t>
      </w:r>
      <w:r w:rsidR="00664ED0">
        <w:t xml:space="preserve"> Additionally, take notes o</w:t>
      </w:r>
      <w:r w:rsidR="00B34F35">
        <w:t>n your selected writing assessment</w:t>
      </w:r>
      <w:r w:rsidR="00664ED0">
        <w:t xml:space="preserve"> to prepare for the Module Performance Assessment.</w:t>
      </w:r>
    </w:p>
    <w:p w14:paraId="41A45343" w14:textId="77777777" w:rsidR="00B34F35" w:rsidRDefault="00B34F35" w:rsidP="00B34F35">
      <w:pPr>
        <w:rPr>
          <w:b/>
        </w:rPr>
      </w:pPr>
      <w:r>
        <w:rPr>
          <w:b/>
        </w:rPr>
        <w:t>Performance Assessment (Choose from one of the two writing assessment options below.)</w:t>
      </w:r>
    </w:p>
    <w:p w14:paraId="581B1691" w14:textId="77777777" w:rsidR="00B34F35" w:rsidRPr="0096315C" w:rsidRDefault="00B34F35" w:rsidP="00B34F35">
      <w:pPr>
        <w:rPr>
          <w:rFonts w:asciiTheme="minorHAnsi" w:hAnsiTheme="minorHAnsi"/>
        </w:rPr>
      </w:pPr>
      <w:r>
        <w:rPr>
          <w:b/>
        </w:rPr>
        <w:t xml:space="preserve">Option </w:t>
      </w:r>
      <w:r w:rsidRPr="00E95CAB">
        <w:rPr>
          <w:b/>
        </w:rPr>
        <w:t>#1</w:t>
      </w:r>
      <w:r>
        <w:rPr>
          <w:b/>
        </w:rPr>
        <w:t xml:space="preserve">: </w:t>
      </w:r>
      <w:r w:rsidRPr="00E95CAB">
        <w:rPr>
          <w:b/>
        </w:rPr>
        <w:t>Narrative + Informat</w:t>
      </w:r>
      <w:r>
        <w:rPr>
          <w:b/>
        </w:rPr>
        <w:t>ive</w:t>
      </w:r>
      <w:r w:rsidRPr="00E95CAB">
        <w:rPr>
          <w:b/>
        </w:rPr>
        <w:t xml:space="preserve"> W</w:t>
      </w:r>
      <w:r>
        <w:rPr>
          <w:b/>
        </w:rPr>
        <w:t>riting: This is a two-part writing assessment.</w:t>
      </w:r>
    </w:p>
    <w:p w14:paraId="1456FEDC" w14:textId="5BFAFB38" w:rsidR="00563C9E" w:rsidRDefault="00563C9E" w:rsidP="00733F1B">
      <w:pPr>
        <w:pStyle w:val="BulletedList"/>
        <w:numPr>
          <w:ilvl w:val="0"/>
          <w:numId w:val="26"/>
        </w:numPr>
        <w:ind w:hanging="720"/>
      </w:pPr>
      <w:r>
        <w:t>Choose a key scene or critical moment from one of the module texts. Rewrite the key scene or critical moment so that the character(s) make a different choice than the one made in the actual text. Choose whichever genre (play or story) best fits the scene. The scene should have a narrative arc and the content should remain consistent with the original text.</w:t>
      </w:r>
    </w:p>
    <w:p w14:paraId="687C0B65" w14:textId="77777777" w:rsidR="00563C9E" w:rsidRDefault="00563C9E" w:rsidP="00733F1B">
      <w:pPr>
        <w:pStyle w:val="BulletedList"/>
        <w:numPr>
          <w:ilvl w:val="0"/>
          <w:numId w:val="26"/>
        </w:numPr>
        <w:ind w:left="705" w:hanging="720"/>
      </w:pPr>
      <w:r w:rsidRPr="007421DF">
        <w:t>After drafting the narrative, write a commentary on</w:t>
      </w:r>
      <w:r>
        <w:t xml:space="preserve"> </w:t>
      </w:r>
      <w:r w:rsidRPr="007421DF">
        <w:t>how the narrative choices you made shape</w:t>
      </w:r>
      <w:r>
        <w:t xml:space="preserve"> </w:t>
      </w:r>
      <w:r w:rsidRPr="007421DF">
        <w:t>or re-shape</w:t>
      </w:r>
      <w:r>
        <w:t xml:space="preserve"> </w:t>
      </w:r>
      <w:r w:rsidRPr="007421DF">
        <w:t>the character’s identity and</w:t>
      </w:r>
      <w:r>
        <w:t xml:space="preserve"> </w:t>
      </w:r>
      <w:r w:rsidRPr="007421DF">
        <w:t>explain how your choices impact</w:t>
      </w:r>
      <w:r>
        <w:t xml:space="preserve"> </w:t>
      </w:r>
      <w:r w:rsidRPr="007421DF">
        <w:t>the original text</w:t>
      </w:r>
      <w:r>
        <w:t>.</w:t>
      </w:r>
    </w:p>
    <w:p w14:paraId="03AA0253" w14:textId="77777777" w:rsidR="00B34F35" w:rsidRDefault="00B34F35" w:rsidP="00B34F35">
      <w:pPr>
        <w:pStyle w:val="BulletedList"/>
        <w:numPr>
          <w:ilvl w:val="0"/>
          <w:numId w:val="0"/>
        </w:numPr>
        <w:ind w:left="360"/>
      </w:pPr>
    </w:p>
    <w:p w14:paraId="2C27D157" w14:textId="36099DF0" w:rsidR="00B34F35" w:rsidRPr="00F670BC" w:rsidRDefault="00B34F35" w:rsidP="00B34F35">
      <w:pPr>
        <w:pStyle w:val="BulletedList"/>
        <w:numPr>
          <w:ilvl w:val="0"/>
          <w:numId w:val="0"/>
        </w:numPr>
        <w:rPr>
          <w:b/>
        </w:rPr>
      </w:pPr>
      <w:r>
        <w:rPr>
          <w:b/>
        </w:rPr>
        <w:t>Option</w:t>
      </w:r>
      <w:r w:rsidRPr="00F670BC">
        <w:rPr>
          <w:b/>
        </w:rPr>
        <w:t xml:space="preserve"> #2:</w:t>
      </w:r>
      <w:r>
        <w:rPr>
          <w:b/>
        </w:rPr>
        <w:t xml:space="preserve"> Argument + Narrative</w:t>
      </w:r>
      <w:r w:rsidRPr="00F670BC">
        <w:rPr>
          <w:b/>
        </w:rPr>
        <w:t xml:space="preserve"> W</w:t>
      </w:r>
      <w:r>
        <w:rPr>
          <w:b/>
        </w:rPr>
        <w:t>riting: This is a two-p</w:t>
      </w:r>
      <w:r w:rsidRPr="00F670BC">
        <w:rPr>
          <w:b/>
        </w:rPr>
        <w:t>art</w:t>
      </w:r>
      <w:r>
        <w:rPr>
          <w:b/>
        </w:rPr>
        <w:t xml:space="preserve"> writing assessment</w:t>
      </w:r>
      <w:r w:rsidRPr="00F670BC">
        <w:rPr>
          <w:b/>
        </w:rPr>
        <w:t>.</w:t>
      </w:r>
    </w:p>
    <w:p w14:paraId="04F1D76B" w14:textId="77777777" w:rsidR="00563C9E" w:rsidRDefault="00563C9E" w:rsidP="00733F1B">
      <w:pPr>
        <w:pStyle w:val="BulletedList"/>
        <w:numPr>
          <w:ilvl w:val="0"/>
          <w:numId w:val="21"/>
        </w:numPr>
        <w:ind w:left="720" w:hanging="720"/>
      </w:pPr>
      <w:r>
        <w:t>Select 1</w:t>
      </w:r>
      <w:r w:rsidRPr="00345558">
        <w:t>–</w:t>
      </w:r>
      <w:r>
        <w:t>2 of the module texts and make an evidence-based claim about the role of place or culture in creating an identity. Discuss the role of place or culture in creating an identity using textual evidence for support.</w:t>
      </w:r>
    </w:p>
    <w:p w14:paraId="6DECAED4" w14:textId="334A4D13" w:rsidR="003D7299" w:rsidRDefault="00563C9E" w:rsidP="00733F1B">
      <w:pPr>
        <w:pStyle w:val="BulletedList"/>
        <w:numPr>
          <w:ilvl w:val="0"/>
          <w:numId w:val="21"/>
        </w:numPr>
        <w:ind w:left="705" w:hanging="720"/>
      </w:pPr>
      <w:r>
        <w:t>Write a 1</w:t>
      </w:r>
      <w:r w:rsidRPr="00345558">
        <w:t>–</w:t>
      </w:r>
      <w:r>
        <w:t>2 page personal narrative about the influence of place or culture on your identity. Ground your narrative in a quote from one of the module texts or an experience of one of the characters.</w:t>
      </w:r>
      <w:r w:rsidR="003D7299">
        <w:br w:type="page"/>
      </w:r>
    </w:p>
    <w:p w14:paraId="0D028B0B" w14:textId="7010D9AB" w:rsidR="00DC05C2" w:rsidRDefault="00F035E6" w:rsidP="00DC05C2">
      <w:pPr>
        <w:spacing w:before="0" w:after="160" w:line="259" w:lineRule="auto"/>
      </w:pPr>
      <w:r>
        <w:rPr>
          <w:rStyle w:val="Heading1Char"/>
        </w:rPr>
        <w:lastRenderedPageBreak/>
        <w:t>12</w:t>
      </w:r>
      <w:r w:rsidR="00DC05C2">
        <w:rPr>
          <w:rStyle w:val="Heading1Char"/>
        </w:rPr>
        <w:t>.4.2 E</w:t>
      </w:r>
      <w:r w:rsidR="00DC05C2" w:rsidRPr="003E0C8A">
        <w:rPr>
          <w:rStyle w:val="Heading1Char"/>
        </w:rPr>
        <w:t>nd-of-Unit Assessment</w:t>
      </w:r>
    </w:p>
    <w:p w14:paraId="359CD361" w14:textId="77777777" w:rsidR="00DC05C2" w:rsidRPr="00FF204E" w:rsidRDefault="00337B37" w:rsidP="00DC05C2">
      <w:pPr>
        <w:jc w:val="center"/>
        <w:rPr>
          <w:b/>
        </w:rPr>
      </w:pPr>
      <w:r>
        <w:rPr>
          <w:b/>
        </w:rPr>
        <w:t>Evidence</w:t>
      </w:r>
      <w:r w:rsidR="00D83447">
        <w:rPr>
          <w:b/>
        </w:rPr>
        <w:t>-</w:t>
      </w:r>
      <w:r>
        <w:rPr>
          <w:b/>
        </w:rPr>
        <w:t>Based</w:t>
      </w:r>
      <w:r w:rsidR="00DC05C2">
        <w:rPr>
          <w:b/>
        </w:rPr>
        <w:t xml:space="preserve"> Discussion</w:t>
      </w:r>
    </w:p>
    <w:p w14:paraId="5C65F46C" w14:textId="711FB892" w:rsidR="00DF46AB" w:rsidRDefault="00DC05C2" w:rsidP="00914A0B">
      <w:r w:rsidRPr="00FF204E">
        <w:rPr>
          <w:b/>
        </w:rPr>
        <w:t>You</w:t>
      </w:r>
      <w:r w:rsidRPr="009C3F6B">
        <w:rPr>
          <w:b/>
        </w:rPr>
        <w:t xml:space="preserve">r Task: </w:t>
      </w:r>
      <w:r w:rsidR="009E1B3F">
        <w:t>Based on your</w:t>
      </w:r>
      <w:r w:rsidR="00933233">
        <w:t xml:space="preserve"> analysis (</w:t>
      </w:r>
      <w:r w:rsidR="00F035E6">
        <w:t>CCRA.R.9</w:t>
      </w:r>
      <w:r w:rsidR="00933233">
        <w:t>) and discussion</w:t>
      </w:r>
      <w:r w:rsidR="00DD0A3C">
        <w:t>s</w:t>
      </w:r>
      <w:r w:rsidR="001178F2">
        <w:t xml:space="preserve"> (SL.11-12.1.a</w:t>
      </w:r>
      <w:r w:rsidR="00830631">
        <w:t>,</w:t>
      </w:r>
      <w:r w:rsidR="00142273">
        <w:t xml:space="preserve"> </w:t>
      </w:r>
      <w:r w:rsidR="00830631">
        <w:t>c,</w:t>
      </w:r>
      <w:r w:rsidR="00142273">
        <w:t xml:space="preserve"> </w:t>
      </w:r>
      <w:r w:rsidR="00830631">
        <w:t>d</w:t>
      </w:r>
      <w:r w:rsidR="009F2B81">
        <w:t xml:space="preserve">) </w:t>
      </w:r>
      <w:r w:rsidR="00933233">
        <w:t>throughout this unit</w:t>
      </w:r>
      <w:r w:rsidR="00142273">
        <w:t>,</w:t>
      </w:r>
      <w:r w:rsidR="00DF46AB">
        <w:t xml:space="preserve"> p</w:t>
      </w:r>
      <w:r w:rsidR="00E10227">
        <w:t xml:space="preserve">articipate in </w:t>
      </w:r>
      <w:r w:rsidR="00586F7A">
        <w:t xml:space="preserve">an </w:t>
      </w:r>
      <w:r w:rsidR="00E10227">
        <w:t>evidence</w:t>
      </w:r>
      <w:r w:rsidR="002960CD">
        <w:t>-</w:t>
      </w:r>
      <w:r w:rsidR="00E10227">
        <w:t xml:space="preserve">based discussion </w:t>
      </w:r>
      <w:r w:rsidR="00BF047E">
        <w:t xml:space="preserve">by making </w:t>
      </w:r>
      <w:r w:rsidR="000A250F">
        <w:t>claim</w:t>
      </w:r>
      <w:r w:rsidR="00BF047E">
        <w:t>s</w:t>
      </w:r>
      <w:r w:rsidR="000A250F">
        <w:t xml:space="preserve"> supported </w:t>
      </w:r>
      <w:r w:rsidR="0034641D">
        <w:t xml:space="preserve">with </w:t>
      </w:r>
      <w:r w:rsidR="00BF047E">
        <w:t>evidence</w:t>
      </w:r>
      <w:r w:rsidR="000A250F">
        <w:t xml:space="preserve"> in</w:t>
      </w:r>
      <w:r w:rsidR="00E10227">
        <w:t xml:space="preserve"> </w:t>
      </w:r>
      <w:r w:rsidR="00DD0A3C">
        <w:t>response</w:t>
      </w:r>
      <w:r w:rsidR="00DF46AB">
        <w:t xml:space="preserve"> to the following prompt: </w:t>
      </w:r>
    </w:p>
    <w:p w14:paraId="3C95EEA0" w14:textId="41C14873" w:rsidR="00DB2A4C" w:rsidRPr="00790BCC" w:rsidRDefault="00DB2A4C" w:rsidP="00991A42">
      <w:pPr>
        <w:pStyle w:val="Q"/>
      </w:pPr>
      <w:r>
        <w:t>Compare Nikolai Gogol</w:t>
      </w:r>
      <w:r w:rsidR="00733F1B">
        <w:t>’s</w:t>
      </w:r>
      <w:r>
        <w:t xml:space="preserve"> and Jhumpa Lahiri’s approaches to identity in “The Overcoat” and </w:t>
      </w:r>
      <w:r w:rsidRPr="00DE6185">
        <w:rPr>
          <w:i/>
        </w:rPr>
        <w:t>The Namesake</w:t>
      </w:r>
      <w:r>
        <w:t>.</w:t>
      </w:r>
    </w:p>
    <w:p w14:paraId="22D1B02D" w14:textId="29C2A3FA" w:rsidR="00DC05C2" w:rsidRPr="00E10227" w:rsidRDefault="00DF46AB" w:rsidP="00FC4FF3">
      <w:pPr>
        <w:spacing w:before="120"/>
      </w:pPr>
      <w:r>
        <w:t>T</w:t>
      </w:r>
      <w:r w:rsidR="00337B37">
        <w:t>he</w:t>
      </w:r>
      <w:r>
        <w:t xml:space="preserve"> discussion will be assessed using the</w:t>
      </w:r>
      <w:r w:rsidR="00F035E6">
        <w:t xml:space="preserve"> 12</w:t>
      </w:r>
      <w:r w:rsidR="00337B37">
        <w:t>.4.2 End-of-</w:t>
      </w:r>
      <w:r w:rsidR="00E44C3F">
        <w:t>Unit Rubric</w:t>
      </w:r>
      <w:r w:rsidR="00DC05C2" w:rsidRPr="009C3F6B">
        <w:t>.</w:t>
      </w:r>
      <w:r w:rsidR="00DC05C2">
        <w:t xml:space="preserve"> </w:t>
      </w:r>
    </w:p>
    <w:p w14:paraId="61608364" w14:textId="77777777" w:rsidR="00DC05C2" w:rsidRPr="00FF204E" w:rsidRDefault="00E10227" w:rsidP="003D30F0">
      <w:pPr>
        <w:rPr>
          <w:b/>
        </w:rPr>
      </w:pPr>
      <w:r>
        <w:rPr>
          <w:b/>
        </w:rPr>
        <w:t xml:space="preserve">Discussion </w:t>
      </w:r>
      <w:r w:rsidR="00DC05C2" w:rsidRPr="00FF204E">
        <w:rPr>
          <w:b/>
        </w:rPr>
        <w:t xml:space="preserve">Guidelines </w:t>
      </w:r>
    </w:p>
    <w:p w14:paraId="4E9D7363" w14:textId="77777777" w:rsidR="00DC05C2" w:rsidRPr="003D30F0" w:rsidRDefault="00E10227" w:rsidP="003D30F0">
      <w:pPr>
        <w:ind w:firstLine="720"/>
        <w:rPr>
          <w:b/>
        </w:rPr>
      </w:pPr>
      <w:r w:rsidRPr="003D30F0">
        <w:rPr>
          <w:b/>
        </w:rPr>
        <w:t>B</w:t>
      </w:r>
      <w:r w:rsidR="00DC05C2" w:rsidRPr="003D30F0">
        <w:rPr>
          <w:b/>
        </w:rPr>
        <w:t xml:space="preserve">e sure to: </w:t>
      </w:r>
    </w:p>
    <w:p w14:paraId="09607190" w14:textId="77777777" w:rsidR="00E10227" w:rsidRDefault="00E10227" w:rsidP="003D30F0">
      <w:pPr>
        <w:pStyle w:val="BulletedList"/>
        <w:ind w:left="1080"/>
      </w:pPr>
      <w:r>
        <w:t>Come to the discussion prepared</w:t>
      </w:r>
      <w:r w:rsidR="00FC4FF3">
        <w:t>.</w:t>
      </w:r>
    </w:p>
    <w:p w14:paraId="53F1578F" w14:textId="3EC9AB2C" w:rsidR="00E10227" w:rsidRDefault="00E10227" w:rsidP="003D30F0">
      <w:pPr>
        <w:pStyle w:val="BulletedList"/>
        <w:ind w:left="1080"/>
      </w:pPr>
      <w:r>
        <w:t>Participate thoughtfully a</w:t>
      </w:r>
      <w:r w:rsidR="0061617E">
        <w:t>nd respectfully in the evidence-</w:t>
      </w:r>
      <w:r>
        <w:t>based discussion.</w:t>
      </w:r>
    </w:p>
    <w:p w14:paraId="6CB8F644" w14:textId="77777777" w:rsidR="00E10227" w:rsidRDefault="00E10227" w:rsidP="003D30F0">
      <w:pPr>
        <w:pStyle w:val="BulletedList"/>
        <w:ind w:left="1080"/>
      </w:pPr>
      <w:r>
        <w:t xml:space="preserve">Clearly establish your </w:t>
      </w:r>
      <w:r w:rsidR="00CD0FB7">
        <w:t>claim</w:t>
      </w:r>
      <w:r>
        <w:t xml:space="preserve"> in response to the End</w:t>
      </w:r>
      <w:r w:rsidR="00337B37">
        <w:t>-</w:t>
      </w:r>
      <w:r>
        <w:t>of</w:t>
      </w:r>
      <w:r w:rsidR="00337B37">
        <w:t>-U</w:t>
      </w:r>
      <w:r>
        <w:t xml:space="preserve">nit </w:t>
      </w:r>
      <w:r w:rsidR="00D83447">
        <w:t>A</w:t>
      </w:r>
      <w:r>
        <w:t>ssessment prompt.</w:t>
      </w:r>
    </w:p>
    <w:p w14:paraId="0ECC8F6F" w14:textId="77777777" w:rsidR="00E10227" w:rsidRDefault="00E10227" w:rsidP="003D30F0">
      <w:pPr>
        <w:pStyle w:val="BulletedList"/>
        <w:ind w:left="1080"/>
      </w:pPr>
      <w:r>
        <w:t>Explicitly draw on your preparation by referring to evidence from the text.</w:t>
      </w:r>
    </w:p>
    <w:p w14:paraId="58A74B32" w14:textId="77777777" w:rsidR="00E10227" w:rsidRDefault="00E10227" w:rsidP="003D30F0">
      <w:pPr>
        <w:pStyle w:val="BulletedList"/>
        <w:ind w:left="1080"/>
      </w:pPr>
      <w:r w:rsidRPr="000F4CD9">
        <w:t xml:space="preserve">Propel conversations by posing and responding to questions </w:t>
      </w:r>
      <w:r>
        <w:t xml:space="preserve">that both clarify and challenge your </w:t>
      </w:r>
      <w:r w:rsidR="00CD0FB7">
        <w:t>claim</w:t>
      </w:r>
      <w:r>
        <w:t xml:space="preserve"> and those of your peers.</w:t>
      </w:r>
    </w:p>
    <w:p w14:paraId="24FCAE02" w14:textId="77777777" w:rsidR="00057593" w:rsidRDefault="00E10227" w:rsidP="003D30F0">
      <w:pPr>
        <w:pStyle w:val="BulletedList"/>
        <w:ind w:left="1080"/>
      </w:pPr>
      <w:r>
        <w:t xml:space="preserve">Consider how divergent </w:t>
      </w:r>
      <w:r w:rsidR="00CD0FB7">
        <w:t>claim</w:t>
      </w:r>
      <w:r>
        <w:t xml:space="preserve">s can challenge or clarify your own </w:t>
      </w:r>
      <w:r w:rsidRPr="000F4CD9">
        <w:t>ideas and conclusions</w:t>
      </w:r>
      <w:r>
        <w:t>.</w:t>
      </w:r>
    </w:p>
    <w:p w14:paraId="0CAC4B56" w14:textId="77777777" w:rsidR="00057593" w:rsidRDefault="00057593" w:rsidP="003D30F0">
      <w:pPr>
        <w:pStyle w:val="BulletedList"/>
        <w:ind w:left="1080"/>
      </w:pPr>
      <w:r w:rsidRPr="00057593">
        <w:t>Respond thoughtfully to diverse perspectives</w:t>
      </w:r>
      <w:r>
        <w:t xml:space="preserve"> presented during discussion</w:t>
      </w:r>
      <w:r w:rsidRPr="00057593">
        <w:t>.</w:t>
      </w:r>
    </w:p>
    <w:p w14:paraId="38C4C07B" w14:textId="77777777" w:rsidR="003D4086" w:rsidRDefault="003D4086" w:rsidP="003D30F0">
      <w:pPr>
        <w:spacing w:before="0" w:after="0"/>
      </w:pPr>
    </w:p>
    <w:tbl>
      <w:tblPr>
        <w:tblStyle w:val="TableGrid"/>
        <w:tblW w:w="9360" w:type="dxa"/>
        <w:tblInd w:w="115" w:type="dxa"/>
        <w:tblLook w:val="04A0" w:firstRow="1" w:lastRow="0" w:firstColumn="1" w:lastColumn="0" w:noHBand="0" w:noVBand="1"/>
      </w:tblPr>
      <w:tblGrid>
        <w:gridCol w:w="9360"/>
      </w:tblGrid>
      <w:tr w:rsidR="00337B37" w:rsidRPr="003F7E0D" w14:paraId="2D3CE3C8" w14:textId="77777777" w:rsidTr="001864AB">
        <w:tc>
          <w:tcPr>
            <w:tcW w:w="9360" w:type="dxa"/>
            <w:shd w:val="clear" w:color="auto" w:fill="D9D9D9" w:themeFill="background1" w:themeFillShade="D9"/>
          </w:tcPr>
          <w:p w14:paraId="48D2D618" w14:textId="464B8246" w:rsidR="00337B37" w:rsidRPr="003F7E0D" w:rsidRDefault="000476D6" w:rsidP="00C669FD">
            <w:pPr>
              <w:pStyle w:val="ToolTableText"/>
            </w:pPr>
            <w:r w:rsidRPr="003F7E0D">
              <w:rPr>
                <w:b/>
                <w:bCs/>
              </w:rPr>
              <w:t>CC</w:t>
            </w:r>
            <w:r w:rsidR="005901CB">
              <w:rPr>
                <w:b/>
                <w:bCs/>
              </w:rPr>
              <w:t>S</w:t>
            </w:r>
            <w:r w:rsidRPr="003F7E0D">
              <w:rPr>
                <w:b/>
                <w:bCs/>
              </w:rPr>
              <w:t>S</w:t>
            </w:r>
            <w:r w:rsidR="00337B37" w:rsidRPr="003F7E0D">
              <w:rPr>
                <w:b/>
                <w:bCs/>
              </w:rPr>
              <w:t xml:space="preserve">: </w:t>
            </w:r>
            <w:r w:rsidR="00337B37" w:rsidRPr="003F7E0D">
              <w:t xml:space="preserve"> </w:t>
            </w:r>
            <w:r w:rsidR="00F035E6">
              <w:t>CCRA.R.9</w:t>
            </w:r>
            <w:r w:rsidR="001864AB">
              <w:t>,</w:t>
            </w:r>
            <w:r w:rsidR="0049291C">
              <w:t xml:space="preserve"> RL.11-12.2, RL.11-12.3, RL.11-12.5,</w:t>
            </w:r>
            <w:r w:rsidR="00337B37" w:rsidRPr="003F7E0D">
              <w:t xml:space="preserve"> SL.11-12.1.a</w:t>
            </w:r>
            <w:r w:rsidR="00830631" w:rsidRPr="003F7E0D">
              <w:t>,</w:t>
            </w:r>
            <w:r w:rsidR="008A7C3C">
              <w:t xml:space="preserve"> </w:t>
            </w:r>
            <w:r w:rsidR="00830631" w:rsidRPr="003F7E0D">
              <w:t>c,</w:t>
            </w:r>
            <w:r w:rsidR="008A7C3C">
              <w:t xml:space="preserve"> </w:t>
            </w:r>
            <w:r w:rsidR="00830631" w:rsidRPr="003F7E0D">
              <w:t>d</w:t>
            </w:r>
          </w:p>
          <w:p w14:paraId="5B6C24DE" w14:textId="77777777" w:rsidR="00337B37" w:rsidRPr="003F7E0D" w:rsidRDefault="00337B37" w:rsidP="00C669FD">
            <w:pPr>
              <w:pStyle w:val="ToolTableText"/>
              <w:rPr>
                <w:b/>
                <w:bCs/>
              </w:rPr>
            </w:pPr>
            <w:r w:rsidRPr="003F7E0D">
              <w:rPr>
                <w:b/>
                <w:bCs/>
              </w:rPr>
              <w:t xml:space="preserve">Commentary on the Task: </w:t>
            </w:r>
          </w:p>
          <w:p w14:paraId="5ECF43CB" w14:textId="6FB51989" w:rsidR="00337B37" w:rsidRPr="003F7E0D" w:rsidRDefault="00337B37" w:rsidP="001864AB">
            <w:pPr>
              <w:pStyle w:val="ToolTableText"/>
              <w:spacing w:after="0"/>
            </w:pPr>
            <w:r w:rsidRPr="003F7E0D">
              <w:t>This task measures</w:t>
            </w:r>
            <w:r w:rsidR="00F035E6">
              <w:t xml:space="preserve"> CCRA.R.9</w:t>
            </w:r>
            <w:r w:rsidRPr="003F7E0D">
              <w:t xml:space="preserve"> because it demands that students: </w:t>
            </w:r>
          </w:p>
          <w:p w14:paraId="5C9606C3" w14:textId="0C1C3EA2" w:rsidR="00337B37" w:rsidRPr="00A51C47" w:rsidRDefault="00F035E6" w:rsidP="00F035E6">
            <w:pPr>
              <w:pStyle w:val="BulletedList"/>
              <w:ind w:left="335"/>
            </w:pPr>
            <w:r>
              <w:rPr>
                <w:rFonts w:eastAsia="Times New Roman"/>
              </w:rPr>
              <w:t>Analyze how two or more texts address similar themes or topics in order to build knowledge or to compare the approaches the authors take.</w:t>
            </w:r>
          </w:p>
          <w:p w14:paraId="0272FD42" w14:textId="77777777" w:rsidR="0049291C" w:rsidRDefault="0049291C" w:rsidP="00A51C47">
            <w:pPr>
              <w:pStyle w:val="BulletedList"/>
              <w:numPr>
                <w:ilvl w:val="0"/>
                <w:numId w:val="0"/>
              </w:numPr>
              <w:ind w:left="-25"/>
              <w:rPr>
                <w:rFonts w:eastAsia="Times New Roman"/>
              </w:rPr>
            </w:pPr>
            <w:r>
              <w:rPr>
                <w:rFonts w:eastAsia="Times New Roman"/>
              </w:rPr>
              <w:t xml:space="preserve">This task measures RL.11-12.2 because it demands that students: </w:t>
            </w:r>
          </w:p>
          <w:p w14:paraId="618192BA" w14:textId="42E6C2E3" w:rsidR="00E2394C" w:rsidRDefault="00E2394C" w:rsidP="00A51C47">
            <w:pPr>
              <w:pStyle w:val="BulletedList"/>
              <w:rPr>
                <w:rFonts w:eastAsia="Times New Roman"/>
              </w:rPr>
            </w:pPr>
            <w:r w:rsidRPr="00826F63">
              <w:t>Determine two or more themes or central ideas of a text and analyze their development over the course of the text, including how they interact and build on one another to produce a complex account; provide an objective summary of the text.</w:t>
            </w:r>
          </w:p>
          <w:p w14:paraId="5367F7E8" w14:textId="77777777" w:rsidR="0049291C" w:rsidRDefault="0049291C" w:rsidP="00A51C47">
            <w:pPr>
              <w:pStyle w:val="BulletedList"/>
              <w:numPr>
                <w:ilvl w:val="0"/>
                <w:numId w:val="0"/>
              </w:numPr>
              <w:rPr>
                <w:rFonts w:eastAsia="Times New Roman"/>
              </w:rPr>
            </w:pPr>
            <w:r>
              <w:rPr>
                <w:rFonts w:eastAsia="Times New Roman"/>
              </w:rPr>
              <w:t>This task measures RL.11-12.3 because it demands that students:</w:t>
            </w:r>
          </w:p>
          <w:p w14:paraId="5CE906A5" w14:textId="1461F976" w:rsidR="001C5C3F" w:rsidRPr="00A51C47" w:rsidRDefault="001C5C3F" w:rsidP="00A51C47">
            <w:pPr>
              <w:pStyle w:val="BulletedList"/>
              <w:numPr>
                <w:ilvl w:val="0"/>
                <w:numId w:val="27"/>
              </w:numPr>
              <w:ind w:left="360"/>
            </w:pPr>
            <w:r w:rsidRPr="004D4C34">
              <w:t xml:space="preserve">Analyze the impact of the author’s choices regarding how to develop and relate elements of a story or drama (e.g., where a story is set, how the action is ordered, how the characters are introduced and </w:t>
            </w:r>
            <w:r w:rsidRPr="004D4C34">
              <w:lastRenderedPageBreak/>
              <w:t>developed).</w:t>
            </w:r>
          </w:p>
          <w:p w14:paraId="5ADD302B" w14:textId="77777777" w:rsidR="0049291C" w:rsidRDefault="0049291C" w:rsidP="00A51C47">
            <w:pPr>
              <w:pStyle w:val="BulletedList"/>
              <w:numPr>
                <w:ilvl w:val="0"/>
                <w:numId w:val="0"/>
              </w:numPr>
              <w:rPr>
                <w:rFonts w:eastAsia="Times New Roman"/>
              </w:rPr>
            </w:pPr>
            <w:r>
              <w:rPr>
                <w:rFonts w:eastAsia="Times New Roman"/>
              </w:rPr>
              <w:t xml:space="preserve">This task measures RL.11-12.5 because it demands that students: </w:t>
            </w:r>
          </w:p>
          <w:p w14:paraId="728DD5AF" w14:textId="1C0C6159" w:rsidR="0049291C" w:rsidRPr="00CD6292" w:rsidRDefault="00CD6292" w:rsidP="00A51C47">
            <w:pPr>
              <w:pStyle w:val="BulletedList"/>
            </w:pPr>
            <w:r w:rsidRPr="00CD6292">
              <w:t>Analyze how an author’s choices concerning how to structure specific parts of a text (e.g., the choice of where to begin or end a story, the choice to provide a comedic or tragic resolution) contribute to its overall structure and meaning as well as its aesthetic impact.</w:t>
            </w:r>
          </w:p>
          <w:p w14:paraId="028E3EE2" w14:textId="77777777" w:rsidR="00337B37" w:rsidRPr="003F7E0D" w:rsidRDefault="00337B37" w:rsidP="001864AB">
            <w:pPr>
              <w:pStyle w:val="ToolTableText"/>
              <w:spacing w:after="0"/>
            </w:pPr>
            <w:r w:rsidRPr="003F7E0D">
              <w:t>This task measures SL.11-12.1.a</w:t>
            </w:r>
            <w:r w:rsidR="00830631" w:rsidRPr="003F7E0D">
              <w:t>,</w:t>
            </w:r>
            <w:r w:rsidR="00B376AF">
              <w:t xml:space="preserve"> </w:t>
            </w:r>
            <w:r w:rsidR="00830631" w:rsidRPr="003F7E0D">
              <w:t>c,</w:t>
            </w:r>
            <w:r w:rsidR="00B376AF">
              <w:t xml:space="preserve"> </w:t>
            </w:r>
            <w:r w:rsidR="00830631" w:rsidRPr="003F7E0D">
              <w:t>d</w:t>
            </w:r>
            <w:r w:rsidRPr="003F7E0D">
              <w:t xml:space="preserve"> because it demands that students:</w:t>
            </w:r>
          </w:p>
          <w:p w14:paraId="260F27FD" w14:textId="77777777" w:rsidR="005149DD" w:rsidRPr="003F7E0D" w:rsidRDefault="00337B37" w:rsidP="003321F2">
            <w:pPr>
              <w:pStyle w:val="BulletedList"/>
              <w:ind w:left="335"/>
            </w:pPr>
            <w:r w:rsidRPr="003F7E0D">
              <w:t>Come to the discussion prepared, having read and analyzed the text.</w:t>
            </w:r>
            <w:r w:rsidR="005149DD" w:rsidRPr="003F7E0D">
              <w:t xml:space="preserve"> </w:t>
            </w:r>
          </w:p>
          <w:p w14:paraId="2E7DDE1E" w14:textId="77777777" w:rsidR="00337B37" w:rsidRPr="003F7E0D" w:rsidRDefault="00337B37" w:rsidP="003321F2">
            <w:pPr>
              <w:pStyle w:val="BulletedList"/>
              <w:ind w:left="335"/>
            </w:pPr>
            <w:r w:rsidRPr="003F7E0D">
              <w:t>Clearly and persuasively communicate their claim and analysis.</w:t>
            </w:r>
          </w:p>
          <w:p w14:paraId="2DBF0123" w14:textId="77777777" w:rsidR="00337B37" w:rsidRPr="003F7E0D" w:rsidRDefault="00337B37" w:rsidP="003321F2">
            <w:pPr>
              <w:pStyle w:val="BulletedList"/>
              <w:ind w:left="335"/>
            </w:pPr>
            <w:r w:rsidRPr="003F7E0D">
              <w:t>Propel the discussion by posing and responding to questions that probe reasoning and evidence.</w:t>
            </w:r>
          </w:p>
          <w:p w14:paraId="139B6632" w14:textId="77777777" w:rsidR="00337B37" w:rsidRPr="003F7E0D" w:rsidRDefault="00337B37" w:rsidP="003321F2">
            <w:pPr>
              <w:pStyle w:val="BulletedList"/>
              <w:ind w:left="335"/>
            </w:pPr>
            <w:r w:rsidRPr="003F7E0D">
              <w:t>Clarify, verify, or challenge their ideas and conclusions through discussion.</w:t>
            </w:r>
          </w:p>
          <w:p w14:paraId="4BAC54C5" w14:textId="77777777" w:rsidR="00337B37" w:rsidRPr="003F7E0D" w:rsidRDefault="00337B37" w:rsidP="003321F2">
            <w:pPr>
              <w:pStyle w:val="BulletedList"/>
              <w:ind w:left="335"/>
            </w:pPr>
            <w:r w:rsidRPr="003F7E0D">
              <w:t>Respond thoughtfully to diverse perspectives.</w:t>
            </w:r>
          </w:p>
        </w:tc>
      </w:tr>
    </w:tbl>
    <w:p w14:paraId="13FB3DCF" w14:textId="77777777" w:rsidR="007E484F" w:rsidRPr="001864AB" w:rsidRDefault="007E484F" w:rsidP="00914A0B">
      <w:pPr>
        <w:spacing w:after="0" w:line="240" w:lineRule="auto"/>
        <w:rPr>
          <w:sz w:val="2"/>
          <w:szCs w:val="2"/>
        </w:rPr>
      </w:pPr>
    </w:p>
    <w:sectPr w:rsidR="007E484F" w:rsidRPr="001864AB" w:rsidSect="00530F4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48A80" w14:textId="77777777" w:rsidR="00445BD5" w:rsidRDefault="00445BD5">
      <w:pPr>
        <w:spacing w:before="0" w:after="0" w:line="240" w:lineRule="auto"/>
      </w:pPr>
      <w:r>
        <w:separator/>
      </w:r>
    </w:p>
  </w:endnote>
  <w:endnote w:type="continuationSeparator" w:id="0">
    <w:p w14:paraId="35AF84DA" w14:textId="77777777" w:rsidR="00445BD5" w:rsidRDefault="00445BD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C665E" w14:textId="77777777" w:rsidR="00733F1B" w:rsidRDefault="00733F1B" w:rsidP="00530F4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68019B6" w14:textId="77777777" w:rsidR="00733F1B" w:rsidRDefault="00733F1B" w:rsidP="00530F4C">
    <w:pPr>
      <w:pStyle w:val="Footer"/>
    </w:pPr>
  </w:p>
  <w:p w14:paraId="0B6734BC" w14:textId="77777777" w:rsidR="00733F1B" w:rsidRDefault="00733F1B" w:rsidP="00530F4C"/>
  <w:p w14:paraId="115ECD11" w14:textId="77777777" w:rsidR="00733F1B" w:rsidRDefault="00733F1B" w:rsidP="00530F4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F2EBE" w14:textId="77777777" w:rsidR="00733F1B" w:rsidRPr="00563CB8" w:rsidRDefault="00733F1B" w:rsidP="00426323">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733F1B" w14:paraId="58417C9F" w14:textId="77777777" w:rsidTr="009F360F">
      <w:trPr>
        <w:trHeight w:val="705"/>
      </w:trPr>
      <w:tc>
        <w:tcPr>
          <w:tcW w:w="4484" w:type="dxa"/>
          <w:shd w:val="clear" w:color="auto" w:fill="auto"/>
          <w:vAlign w:val="center"/>
        </w:tcPr>
        <w:p w14:paraId="60E11BBE" w14:textId="55721E56" w:rsidR="00733F1B" w:rsidRPr="002E4C92" w:rsidRDefault="00733F1B" w:rsidP="009F360F">
          <w:pPr>
            <w:pStyle w:val="FooterText"/>
          </w:pPr>
          <w:r w:rsidRPr="002E4C92">
            <w:t>File:</w:t>
          </w:r>
          <w:r w:rsidRPr="0039525B">
            <w:rPr>
              <w:b w:val="0"/>
            </w:rPr>
            <w:t xml:space="preserve"> </w:t>
          </w:r>
          <w:r>
            <w:rPr>
              <w:b w:val="0"/>
            </w:rPr>
            <w:t>12.4.2</w:t>
          </w:r>
          <w:r w:rsidRPr="0039525B">
            <w:rPr>
              <w:b w:val="0"/>
            </w:rPr>
            <w:t xml:space="preserve"> Lesson </w:t>
          </w:r>
          <w:r>
            <w:rPr>
              <w:b w:val="0"/>
            </w:rPr>
            <w:t>23</w:t>
          </w:r>
          <w:r w:rsidRPr="002E4C92">
            <w:t xml:space="preserve"> Date:</w:t>
          </w:r>
          <w:r w:rsidRPr="0039525B">
            <w:rPr>
              <w:b w:val="0"/>
            </w:rPr>
            <w:t xml:space="preserve"> </w:t>
          </w:r>
          <w:r>
            <w:rPr>
              <w:b w:val="0"/>
            </w:rPr>
            <w:t>6/</w:t>
          </w:r>
          <w:r w:rsidR="00A00F4D">
            <w:rPr>
              <w:b w:val="0"/>
            </w:rPr>
            <w:t>30</w:t>
          </w:r>
          <w:r w:rsidRPr="0039525B">
            <w:rPr>
              <w:b w:val="0"/>
            </w:rPr>
            <w:t>/</w:t>
          </w:r>
          <w:r>
            <w:rPr>
              <w:b w:val="0"/>
            </w:rPr>
            <w:t>15</w:t>
          </w:r>
          <w:r w:rsidRPr="0039525B">
            <w:rPr>
              <w:b w:val="0"/>
            </w:rPr>
            <w:t xml:space="preserve"> </w:t>
          </w:r>
          <w:r w:rsidRPr="002E4C92">
            <w:t>Classroom Use:</w:t>
          </w:r>
          <w:r>
            <w:rPr>
              <w:b w:val="0"/>
            </w:rPr>
            <w:t xml:space="preserve"> Starting 9</w:t>
          </w:r>
          <w:r w:rsidRPr="0039525B">
            <w:rPr>
              <w:b w:val="0"/>
            </w:rPr>
            <w:t>/</w:t>
          </w:r>
          <w:r>
            <w:rPr>
              <w:b w:val="0"/>
            </w:rPr>
            <w:t>2015</w:t>
          </w:r>
          <w:r w:rsidRPr="0039525B">
            <w:rPr>
              <w:b w:val="0"/>
            </w:rPr>
            <w:t xml:space="preserve"> </w:t>
          </w:r>
        </w:p>
        <w:p w14:paraId="36F2375E" w14:textId="16D3BBEC" w:rsidR="00733F1B" w:rsidRPr="0039525B" w:rsidRDefault="00733F1B" w:rsidP="009F360F">
          <w:pPr>
            <w:pStyle w:val="FooterText"/>
            <w:rPr>
              <w:b w:val="0"/>
              <w:i/>
              <w:sz w:val="12"/>
            </w:rPr>
          </w:pPr>
          <w:r w:rsidRPr="0039525B">
            <w:rPr>
              <w:b w:val="0"/>
              <w:sz w:val="12"/>
            </w:rPr>
            <w:t xml:space="preserve">© </w:t>
          </w:r>
          <w:r>
            <w:rPr>
              <w:b w:val="0"/>
              <w:sz w:val="12"/>
            </w:rPr>
            <w:t>2015</w:t>
          </w:r>
          <w:r w:rsidRPr="0039525B">
            <w:rPr>
              <w:b w:val="0"/>
              <w:sz w:val="12"/>
            </w:rPr>
            <w:t xml:space="preserve"> Public Consulting Group.</w:t>
          </w:r>
          <w:r w:rsidRPr="0039525B">
            <w:rPr>
              <w:b w:val="0"/>
              <w:i/>
              <w:sz w:val="12"/>
            </w:rPr>
            <w:t xml:space="preserve"> This work is licensed under a </w:t>
          </w:r>
        </w:p>
        <w:p w14:paraId="0542E7D8" w14:textId="77777777" w:rsidR="00733F1B" w:rsidRPr="0039525B" w:rsidRDefault="00733F1B" w:rsidP="009F360F">
          <w:pPr>
            <w:pStyle w:val="FooterText"/>
            <w:rPr>
              <w:b w:val="0"/>
              <w:i/>
            </w:rPr>
          </w:pPr>
          <w:r w:rsidRPr="0039525B">
            <w:rPr>
              <w:b w:val="0"/>
              <w:i/>
              <w:sz w:val="12"/>
            </w:rPr>
            <w:t>Creative Commons Attribution-NonCommercial-ShareAlike 3.0 Unported License</w:t>
          </w:r>
        </w:p>
        <w:p w14:paraId="72C50303" w14:textId="77777777" w:rsidR="00733F1B" w:rsidRPr="002E4C92" w:rsidRDefault="007D1BD0" w:rsidP="009F360F">
          <w:pPr>
            <w:pStyle w:val="FooterText"/>
          </w:pPr>
          <w:hyperlink r:id="rId1" w:history="1">
            <w:r w:rsidR="00733F1B" w:rsidRPr="0043460D">
              <w:rPr>
                <w:rStyle w:val="Hyperlink"/>
                <w:sz w:val="12"/>
                <w:szCs w:val="12"/>
              </w:rPr>
              <w:t>http://creativecommons.org/licenses/by-nc-sa/3.0/</w:t>
            </w:r>
          </w:hyperlink>
        </w:p>
      </w:tc>
      <w:tc>
        <w:tcPr>
          <w:tcW w:w="614" w:type="dxa"/>
          <w:shd w:val="clear" w:color="auto" w:fill="auto"/>
          <w:vAlign w:val="center"/>
        </w:tcPr>
        <w:p w14:paraId="0B11771D" w14:textId="77777777" w:rsidR="00733F1B" w:rsidRPr="002E4C92" w:rsidRDefault="00733F1B" w:rsidP="009F360F">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7D1BD0">
            <w:rPr>
              <w:rFonts w:ascii="Calibri" w:hAnsi="Calibri" w:cs="Calibri"/>
              <w:b/>
              <w:noProof/>
              <w:color w:val="1F4E79"/>
              <w:sz w:val="28"/>
            </w:rPr>
            <w:t>1</w:t>
          </w:r>
          <w:r w:rsidRPr="002E4C92">
            <w:rPr>
              <w:rFonts w:ascii="Calibri" w:hAnsi="Calibri" w:cs="Calibri"/>
              <w:b/>
              <w:color w:val="1F4E79"/>
              <w:sz w:val="28"/>
            </w:rPr>
            <w:fldChar w:fldCharType="end"/>
          </w:r>
        </w:p>
      </w:tc>
      <w:tc>
        <w:tcPr>
          <w:tcW w:w="4442" w:type="dxa"/>
          <w:shd w:val="clear" w:color="auto" w:fill="auto"/>
          <w:vAlign w:val="bottom"/>
        </w:tcPr>
        <w:p w14:paraId="3813521A" w14:textId="3FF57E66" w:rsidR="00733F1B" w:rsidRPr="002E4C92" w:rsidRDefault="00733F1B" w:rsidP="009F360F">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7D126D11" wp14:editId="518394EF">
                <wp:extent cx="1701800" cy="635000"/>
                <wp:effectExtent l="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1800" cy="635000"/>
                        </a:xfrm>
                        <a:prstGeom prst="rect">
                          <a:avLst/>
                        </a:prstGeom>
                        <a:noFill/>
                        <a:ln>
                          <a:noFill/>
                        </a:ln>
                      </pic:spPr>
                    </pic:pic>
                  </a:graphicData>
                </a:graphic>
              </wp:inline>
            </w:drawing>
          </w:r>
        </w:p>
      </w:tc>
    </w:tr>
  </w:tbl>
  <w:p w14:paraId="6E1BCB02" w14:textId="77777777" w:rsidR="00733F1B" w:rsidRPr="007017EB" w:rsidRDefault="00733F1B" w:rsidP="007017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0611C" w14:textId="77777777" w:rsidR="000D22DF" w:rsidRDefault="000D22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1068D" w14:textId="77777777" w:rsidR="00445BD5" w:rsidRDefault="00445BD5">
      <w:pPr>
        <w:spacing w:before="0" w:after="0" w:line="240" w:lineRule="auto"/>
      </w:pPr>
      <w:r>
        <w:separator/>
      </w:r>
    </w:p>
  </w:footnote>
  <w:footnote w:type="continuationSeparator" w:id="0">
    <w:p w14:paraId="20C5EFE3" w14:textId="77777777" w:rsidR="00445BD5" w:rsidRDefault="00445BD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35766" w14:textId="77777777" w:rsidR="000D22DF" w:rsidRDefault="000D22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A0" w:firstRow="1" w:lastRow="0" w:firstColumn="1" w:lastColumn="0" w:noHBand="0" w:noVBand="0"/>
    </w:tblPr>
    <w:tblGrid>
      <w:gridCol w:w="3708"/>
      <w:gridCol w:w="2430"/>
      <w:gridCol w:w="3438"/>
    </w:tblGrid>
    <w:tr w:rsidR="00733F1B" w:rsidRPr="00E946A0" w14:paraId="56722611" w14:textId="77777777" w:rsidTr="003A5B4F">
      <w:tc>
        <w:tcPr>
          <w:tcW w:w="3708" w:type="dxa"/>
        </w:tcPr>
        <w:p w14:paraId="7C860543" w14:textId="77777777" w:rsidR="00733F1B" w:rsidRPr="00563CB8" w:rsidRDefault="00733F1B" w:rsidP="003A5B4F">
          <w:pPr>
            <w:pStyle w:val="PageHeader"/>
          </w:pPr>
          <w:r w:rsidRPr="00563CB8">
            <w:t xml:space="preserve">NYS </w:t>
          </w:r>
          <w:r w:rsidRPr="00E946A0">
            <w:t>Common</w:t>
          </w:r>
          <w:r w:rsidRPr="00563CB8">
            <w:t xml:space="preserve"> Core ELA &amp; Literacy Curriculum</w:t>
          </w:r>
        </w:p>
      </w:tc>
      <w:tc>
        <w:tcPr>
          <w:tcW w:w="2430" w:type="dxa"/>
          <w:vAlign w:val="center"/>
        </w:tcPr>
        <w:p w14:paraId="3C84DA0B" w14:textId="67B63DEA" w:rsidR="00733F1B" w:rsidRPr="00563CB8" w:rsidRDefault="00733F1B" w:rsidP="003A5B4F">
          <w:pPr>
            <w:jc w:val="center"/>
          </w:pPr>
        </w:p>
      </w:tc>
      <w:tc>
        <w:tcPr>
          <w:tcW w:w="3438" w:type="dxa"/>
        </w:tcPr>
        <w:p w14:paraId="4FADB7D4" w14:textId="7CBA3266" w:rsidR="00733F1B" w:rsidRPr="00E946A0" w:rsidRDefault="00733F1B" w:rsidP="005C368A">
          <w:pPr>
            <w:pStyle w:val="PageHeader"/>
            <w:jc w:val="right"/>
            <w:rPr>
              <w:b w:val="0"/>
            </w:rPr>
          </w:pPr>
          <w:r>
            <w:rPr>
              <w:b w:val="0"/>
            </w:rPr>
            <w:t>Grade 12 • Module 4</w:t>
          </w:r>
          <w:r w:rsidRPr="00E946A0">
            <w:rPr>
              <w:b w:val="0"/>
            </w:rPr>
            <w:t xml:space="preserve">• Unit </w:t>
          </w:r>
          <w:r>
            <w:rPr>
              <w:b w:val="0"/>
            </w:rPr>
            <w:t>2 • Lesson 23</w:t>
          </w:r>
        </w:p>
      </w:tc>
    </w:tr>
  </w:tbl>
  <w:p w14:paraId="12378292" w14:textId="77777777" w:rsidR="00733F1B" w:rsidRPr="007017EB" w:rsidRDefault="00733F1B" w:rsidP="005C368A">
    <w:pPr>
      <w:pStyle w:val="Header"/>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46F8E" w14:textId="77777777" w:rsidR="000D22DF" w:rsidRDefault="000D22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5A946C7C"/>
    <w:lvl w:ilvl="0" w:tplc="4F469282">
      <w:start w:val="1"/>
      <w:numFmt w:val="bullet"/>
      <w:lvlText w:val=""/>
      <w:lvlJc w:val="left"/>
      <w:pPr>
        <w:ind w:left="1440" w:hanging="360"/>
      </w:pPr>
      <w:rPr>
        <w:rFonts w:ascii="Wingdings" w:hAnsi="Wingdings" w:hint="default"/>
      </w:rPr>
    </w:lvl>
    <w:lvl w:ilvl="1" w:tplc="43F21E82">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424C03"/>
    <w:multiLevelType w:val="multilevel"/>
    <w:tmpl w:val="DDD6D59A"/>
    <w:lvl w:ilvl="0">
      <w:start w:val="1"/>
      <w:numFmt w:val="upperLetter"/>
      <w:lvlText w:val="Part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DA16B8C"/>
    <w:multiLevelType w:val="hybridMultilevel"/>
    <w:tmpl w:val="6A42C40C"/>
    <w:lvl w:ilvl="0" w:tplc="865630BE">
      <w:start w:val="1"/>
      <w:numFmt w:val="upperLetter"/>
      <w:lvlText w:val="Part %1."/>
      <w:lvlJc w:val="left"/>
      <w:pPr>
        <w:ind w:left="630" w:hanging="360"/>
      </w:pPr>
      <w:rPr>
        <w:rFonts w:asciiTheme="minorHAnsi" w:hAnsiTheme="minorHAnsi"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6B65DBB"/>
    <w:multiLevelType w:val="hybridMultilevel"/>
    <w:tmpl w:val="DDD6D59A"/>
    <w:lvl w:ilvl="0" w:tplc="D2303A82">
      <w:start w:val="1"/>
      <w:numFmt w:val="upperLetter"/>
      <w:lvlText w:val="Par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A979F5"/>
    <w:multiLevelType w:val="hybridMultilevel"/>
    <w:tmpl w:val="12187712"/>
    <w:lvl w:ilvl="0" w:tplc="D2303A82">
      <w:start w:val="1"/>
      <w:numFmt w:val="upperLetter"/>
      <w:lvlText w:val="Par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300BC9"/>
    <w:multiLevelType w:val="hybridMultilevel"/>
    <w:tmpl w:val="4510D59A"/>
    <w:lvl w:ilvl="0" w:tplc="CE80B764">
      <w:start w:val="1"/>
      <w:numFmt w:val="upperLetter"/>
      <w:lvlText w:val="Part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CC7276"/>
    <w:multiLevelType w:val="hybridMultilevel"/>
    <w:tmpl w:val="B5389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D14D92"/>
    <w:multiLevelType w:val="hybridMultilevel"/>
    <w:tmpl w:val="DDD6D59A"/>
    <w:lvl w:ilvl="0" w:tplc="D2303A82">
      <w:start w:val="1"/>
      <w:numFmt w:val="upperLetter"/>
      <w:lvlText w:val="Part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7171F0E"/>
    <w:multiLevelType w:val="hybridMultilevel"/>
    <w:tmpl w:val="889E8C6E"/>
    <w:lvl w:ilvl="0" w:tplc="2D020844">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B404883"/>
    <w:multiLevelType w:val="hybridMultilevel"/>
    <w:tmpl w:val="77FA2C28"/>
    <w:lvl w:ilvl="0" w:tplc="5EE4DBA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B34FA9"/>
    <w:multiLevelType w:val="hybridMultilevel"/>
    <w:tmpl w:val="6ECE4E5C"/>
    <w:lvl w:ilvl="0" w:tplc="8A206DC0">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B1732A"/>
    <w:multiLevelType w:val="hybridMultilevel"/>
    <w:tmpl w:val="E4ECD5DC"/>
    <w:lvl w:ilvl="0" w:tplc="39EC9D5C">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4792150"/>
    <w:multiLevelType w:val="hybridMultilevel"/>
    <w:tmpl w:val="414E974E"/>
    <w:lvl w:ilvl="0" w:tplc="D2303A82">
      <w:start w:val="1"/>
      <w:numFmt w:val="upperLetter"/>
      <w:lvlText w:val="Par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BD14E6"/>
    <w:multiLevelType w:val="hybridMultilevel"/>
    <w:tmpl w:val="DDD6D59A"/>
    <w:lvl w:ilvl="0" w:tplc="D2303A82">
      <w:start w:val="1"/>
      <w:numFmt w:val="upperLetter"/>
      <w:lvlText w:val="Par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3B1221"/>
    <w:multiLevelType w:val="hybridMultilevel"/>
    <w:tmpl w:val="4510D59A"/>
    <w:lvl w:ilvl="0" w:tplc="CE80B764">
      <w:start w:val="1"/>
      <w:numFmt w:val="upperLetter"/>
      <w:lvlText w:val="Part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A1371F8"/>
    <w:multiLevelType w:val="hybridMultilevel"/>
    <w:tmpl w:val="4DA4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lvlOverride w:ilvl="0">
      <w:startOverride w:val="1"/>
    </w:lvlOverride>
  </w:num>
  <w:num w:numId="3">
    <w:abstractNumId w:val="16"/>
    <w:lvlOverride w:ilvl="0">
      <w:startOverride w:val="1"/>
    </w:lvlOverride>
  </w:num>
  <w:num w:numId="4">
    <w:abstractNumId w:val="16"/>
    <w:lvlOverride w:ilvl="0">
      <w:startOverride w:val="4"/>
    </w:lvlOverride>
  </w:num>
  <w:num w:numId="5">
    <w:abstractNumId w:val="16"/>
    <w:lvlOverride w:ilvl="0">
      <w:startOverride w:val="3"/>
    </w:lvlOverride>
  </w:num>
  <w:num w:numId="6">
    <w:abstractNumId w:val="9"/>
  </w:num>
  <w:num w:numId="7">
    <w:abstractNumId w:val="2"/>
  </w:num>
  <w:num w:numId="8">
    <w:abstractNumId w:val="0"/>
  </w:num>
  <w:num w:numId="9">
    <w:abstractNumId w:val="13"/>
  </w:num>
  <w:num w:numId="10">
    <w:abstractNumId w:val="5"/>
    <w:lvlOverride w:ilvl="0">
      <w:startOverride w:val="1"/>
    </w:lvlOverride>
  </w:num>
  <w:num w:numId="11">
    <w:abstractNumId w:val="15"/>
  </w:num>
  <w:num w:numId="12">
    <w:abstractNumId w:val="1"/>
  </w:num>
  <w:num w:numId="13">
    <w:abstractNumId w:val="11"/>
  </w:num>
  <w:num w:numId="14">
    <w:abstractNumId w:val="16"/>
  </w:num>
  <w:num w:numId="15">
    <w:abstractNumId w:val="18"/>
  </w:num>
  <w:num w:numId="16">
    <w:abstractNumId w:val="5"/>
  </w:num>
  <w:num w:numId="17">
    <w:abstractNumId w:val="20"/>
  </w:num>
  <w:num w:numId="18">
    <w:abstractNumId w:val="10"/>
  </w:num>
  <w:num w:numId="19">
    <w:abstractNumId w:val="17"/>
  </w:num>
  <w:num w:numId="20">
    <w:abstractNumId w:val="4"/>
  </w:num>
  <w:num w:numId="21">
    <w:abstractNumId w:val="19"/>
  </w:num>
  <w:num w:numId="22">
    <w:abstractNumId w:val="12"/>
  </w:num>
  <w:num w:numId="23">
    <w:abstractNumId w:val="8"/>
  </w:num>
  <w:num w:numId="24">
    <w:abstractNumId w:val="3"/>
  </w:num>
  <w:num w:numId="25">
    <w:abstractNumId w:val="7"/>
  </w:num>
  <w:num w:numId="26">
    <w:abstractNumId w:val="6"/>
  </w:num>
  <w:num w:numId="2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0DFE"/>
    <w:rsid w:val="0000526C"/>
    <w:rsid w:val="0000604A"/>
    <w:rsid w:val="00007549"/>
    <w:rsid w:val="000101EC"/>
    <w:rsid w:val="00010FC2"/>
    <w:rsid w:val="000113C3"/>
    <w:rsid w:val="000114C0"/>
    <w:rsid w:val="00012537"/>
    <w:rsid w:val="00012577"/>
    <w:rsid w:val="00013BF6"/>
    <w:rsid w:val="00013CCC"/>
    <w:rsid w:val="0001503F"/>
    <w:rsid w:val="00015B8D"/>
    <w:rsid w:val="000220C7"/>
    <w:rsid w:val="00022B75"/>
    <w:rsid w:val="00023843"/>
    <w:rsid w:val="00024406"/>
    <w:rsid w:val="00025F72"/>
    <w:rsid w:val="00026008"/>
    <w:rsid w:val="000309C3"/>
    <w:rsid w:val="00030C9D"/>
    <w:rsid w:val="00037322"/>
    <w:rsid w:val="00037C60"/>
    <w:rsid w:val="00040561"/>
    <w:rsid w:val="00040A25"/>
    <w:rsid w:val="00044FF0"/>
    <w:rsid w:val="000457C0"/>
    <w:rsid w:val="00046C7B"/>
    <w:rsid w:val="000476D6"/>
    <w:rsid w:val="00050772"/>
    <w:rsid w:val="000511B2"/>
    <w:rsid w:val="00051558"/>
    <w:rsid w:val="00051BFB"/>
    <w:rsid w:val="0005266E"/>
    <w:rsid w:val="00052F2D"/>
    <w:rsid w:val="0005594E"/>
    <w:rsid w:val="00056988"/>
    <w:rsid w:val="00057593"/>
    <w:rsid w:val="00057F4D"/>
    <w:rsid w:val="0006086A"/>
    <w:rsid w:val="00061625"/>
    <w:rsid w:val="0006395C"/>
    <w:rsid w:val="00066AA0"/>
    <w:rsid w:val="00067B8D"/>
    <w:rsid w:val="00070628"/>
    <w:rsid w:val="000733A1"/>
    <w:rsid w:val="00073E09"/>
    <w:rsid w:val="00074444"/>
    <w:rsid w:val="000807FC"/>
    <w:rsid w:val="00081C82"/>
    <w:rsid w:val="00083A60"/>
    <w:rsid w:val="000842CC"/>
    <w:rsid w:val="000856FB"/>
    <w:rsid w:val="00085BCA"/>
    <w:rsid w:val="000879BA"/>
    <w:rsid w:val="00090E5B"/>
    <w:rsid w:val="00091A1F"/>
    <w:rsid w:val="000949C5"/>
    <w:rsid w:val="00094A5B"/>
    <w:rsid w:val="000A03DA"/>
    <w:rsid w:val="000A192F"/>
    <w:rsid w:val="000A250F"/>
    <w:rsid w:val="000A7013"/>
    <w:rsid w:val="000A73F8"/>
    <w:rsid w:val="000B1658"/>
    <w:rsid w:val="000B2023"/>
    <w:rsid w:val="000B3273"/>
    <w:rsid w:val="000B3A6F"/>
    <w:rsid w:val="000B4709"/>
    <w:rsid w:val="000B50F2"/>
    <w:rsid w:val="000B51B8"/>
    <w:rsid w:val="000B5BED"/>
    <w:rsid w:val="000B7007"/>
    <w:rsid w:val="000C051B"/>
    <w:rsid w:val="000C0F11"/>
    <w:rsid w:val="000C1617"/>
    <w:rsid w:val="000C2713"/>
    <w:rsid w:val="000C2CC4"/>
    <w:rsid w:val="000C31A2"/>
    <w:rsid w:val="000C3DAA"/>
    <w:rsid w:val="000C64F5"/>
    <w:rsid w:val="000C6A39"/>
    <w:rsid w:val="000C6FD7"/>
    <w:rsid w:val="000D22DF"/>
    <w:rsid w:val="000D5EA9"/>
    <w:rsid w:val="000D65BF"/>
    <w:rsid w:val="000E2A5E"/>
    <w:rsid w:val="000E365F"/>
    <w:rsid w:val="000E6071"/>
    <w:rsid w:val="000E630C"/>
    <w:rsid w:val="000F3BB4"/>
    <w:rsid w:val="000F4CD9"/>
    <w:rsid w:val="000F571E"/>
    <w:rsid w:val="000F587F"/>
    <w:rsid w:val="000F6711"/>
    <w:rsid w:val="001031A4"/>
    <w:rsid w:val="001037D3"/>
    <w:rsid w:val="00103FBB"/>
    <w:rsid w:val="00110259"/>
    <w:rsid w:val="00112B86"/>
    <w:rsid w:val="00114A27"/>
    <w:rsid w:val="0011732E"/>
    <w:rsid w:val="001178F2"/>
    <w:rsid w:val="00120ED8"/>
    <w:rsid w:val="001212A4"/>
    <w:rsid w:val="00121A81"/>
    <w:rsid w:val="00121BB5"/>
    <w:rsid w:val="00123324"/>
    <w:rsid w:val="00123CFD"/>
    <w:rsid w:val="00124208"/>
    <w:rsid w:val="0012689C"/>
    <w:rsid w:val="00130D62"/>
    <w:rsid w:val="00133EB0"/>
    <w:rsid w:val="00135B4F"/>
    <w:rsid w:val="001361E2"/>
    <w:rsid w:val="00140CAE"/>
    <w:rsid w:val="00141EEA"/>
    <w:rsid w:val="0014224F"/>
    <w:rsid w:val="00142273"/>
    <w:rsid w:val="00144924"/>
    <w:rsid w:val="00144B97"/>
    <w:rsid w:val="0014609E"/>
    <w:rsid w:val="0015103C"/>
    <w:rsid w:val="00152FB3"/>
    <w:rsid w:val="001533AD"/>
    <w:rsid w:val="001542FD"/>
    <w:rsid w:val="00154BA7"/>
    <w:rsid w:val="0015530B"/>
    <w:rsid w:val="0016409A"/>
    <w:rsid w:val="0016681A"/>
    <w:rsid w:val="00167CDB"/>
    <w:rsid w:val="00170C09"/>
    <w:rsid w:val="001735F1"/>
    <w:rsid w:val="0017389B"/>
    <w:rsid w:val="00174A51"/>
    <w:rsid w:val="0017616F"/>
    <w:rsid w:val="0017649A"/>
    <w:rsid w:val="0017667B"/>
    <w:rsid w:val="001779D4"/>
    <w:rsid w:val="00181A90"/>
    <w:rsid w:val="00181C23"/>
    <w:rsid w:val="00183B4D"/>
    <w:rsid w:val="00186298"/>
    <w:rsid w:val="0018632C"/>
    <w:rsid w:val="001864AB"/>
    <w:rsid w:val="00187115"/>
    <w:rsid w:val="00187C72"/>
    <w:rsid w:val="0019056F"/>
    <w:rsid w:val="001912E5"/>
    <w:rsid w:val="00195731"/>
    <w:rsid w:val="00195BB1"/>
    <w:rsid w:val="00195FAC"/>
    <w:rsid w:val="001A1553"/>
    <w:rsid w:val="001A495B"/>
    <w:rsid w:val="001A5987"/>
    <w:rsid w:val="001A59A0"/>
    <w:rsid w:val="001A7780"/>
    <w:rsid w:val="001B0CAD"/>
    <w:rsid w:val="001B4217"/>
    <w:rsid w:val="001B5280"/>
    <w:rsid w:val="001B609C"/>
    <w:rsid w:val="001B700F"/>
    <w:rsid w:val="001B706A"/>
    <w:rsid w:val="001B76A9"/>
    <w:rsid w:val="001B7E5A"/>
    <w:rsid w:val="001C09A0"/>
    <w:rsid w:val="001C0E4B"/>
    <w:rsid w:val="001C1C14"/>
    <w:rsid w:val="001C2153"/>
    <w:rsid w:val="001C2C1F"/>
    <w:rsid w:val="001C5C3F"/>
    <w:rsid w:val="001C6128"/>
    <w:rsid w:val="001C727A"/>
    <w:rsid w:val="001C73F3"/>
    <w:rsid w:val="001D0043"/>
    <w:rsid w:val="001D1743"/>
    <w:rsid w:val="001D252B"/>
    <w:rsid w:val="001D2BA4"/>
    <w:rsid w:val="001D4DB0"/>
    <w:rsid w:val="001D4DE9"/>
    <w:rsid w:val="001D5B6D"/>
    <w:rsid w:val="001D643E"/>
    <w:rsid w:val="001D7603"/>
    <w:rsid w:val="001E0C95"/>
    <w:rsid w:val="001E27BD"/>
    <w:rsid w:val="001E3BA8"/>
    <w:rsid w:val="001E6A74"/>
    <w:rsid w:val="001E6BD6"/>
    <w:rsid w:val="001F04A1"/>
    <w:rsid w:val="001F06EC"/>
    <w:rsid w:val="001F0E6F"/>
    <w:rsid w:val="001F0F2E"/>
    <w:rsid w:val="001F24DB"/>
    <w:rsid w:val="001F335E"/>
    <w:rsid w:val="001F6865"/>
    <w:rsid w:val="002017CC"/>
    <w:rsid w:val="00202E85"/>
    <w:rsid w:val="00203006"/>
    <w:rsid w:val="00203055"/>
    <w:rsid w:val="0020310E"/>
    <w:rsid w:val="00205E37"/>
    <w:rsid w:val="0020678F"/>
    <w:rsid w:val="00206855"/>
    <w:rsid w:val="00206E9B"/>
    <w:rsid w:val="00210936"/>
    <w:rsid w:val="0021387F"/>
    <w:rsid w:val="00213CCA"/>
    <w:rsid w:val="00215FCB"/>
    <w:rsid w:val="00220993"/>
    <w:rsid w:val="00221B7F"/>
    <w:rsid w:val="002230AA"/>
    <w:rsid w:val="00223E66"/>
    <w:rsid w:val="0022515D"/>
    <w:rsid w:val="0022546E"/>
    <w:rsid w:val="00225809"/>
    <w:rsid w:val="002327BC"/>
    <w:rsid w:val="00235396"/>
    <w:rsid w:val="002361AD"/>
    <w:rsid w:val="00236C30"/>
    <w:rsid w:val="0023796D"/>
    <w:rsid w:val="002429C0"/>
    <w:rsid w:val="00242EFD"/>
    <w:rsid w:val="00243213"/>
    <w:rsid w:val="00245BC5"/>
    <w:rsid w:val="002476A6"/>
    <w:rsid w:val="00247FD0"/>
    <w:rsid w:val="00250D64"/>
    <w:rsid w:val="002555B7"/>
    <w:rsid w:val="0026259F"/>
    <w:rsid w:val="00264D39"/>
    <w:rsid w:val="0026797E"/>
    <w:rsid w:val="00270DD8"/>
    <w:rsid w:val="00274B2E"/>
    <w:rsid w:val="0027575C"/>
    <w:rsid w:val="0027584A"/>
    <w:rsid w:val="00275B47"/>
    <w:rsid w:val="00277E8E"/>
    <w:rsid w:val="002808FE"/>
    <w:rsid w:val="00282615"/>
    <w:rsid w:val="00282C09"/>
    <w:rsid w:val="0028322B"/>
    <w:rsid w:val="00283C7A"/>
    <w:rsid w:val="002850C3"/>
    <w:rsid w:val="0028539E"/>
    <w:rsid w:val="002869F1"/>
    <w:rsid w:val="00295F24"/>
    <w:rsid w:val="002960CD"/>
    <w:rsid w:val="002A15D4"/>
    <w:rsid w:val="002A64C5"/>
    <w:rsid w:val="002B09DF"/>
    <w:rsid w:val="002B1197"/>
    <w:rsid w:val="002B3C8F"/>
    <w:rsid w:val="002B43C3"/>
    <w:rsid w:val="002B4581"/>
    <w:rsid w:val="002B51AF"/>
    <w:rsid w:val="002B7A31"/>
    <w:rsid w:val="002C0D06"/>
    <w:rsid w:val="002C152C"/>
    <w:rsid w:val="002C256B"/>
    <w:rsid w:val="002D1BB3"/>
    <w:rsid w:val="002E19C0"/>
    <w:rsid w:val="002E37D4"/>
    <w:rsid w:val="002E42C9"/>
    <w:rsid w:val="002F116E"/>
    <w:rsid w:val="002F1382"/>
    <w:rsid w:val="002F5A37"/>
    <w:rsid w:val="002F6E29"/>
    <w:rsid w:val="002F794E"/>
    <w:rsid w:val="00303C17"/>
    <w:rsid w:val="0030521B"/>
    <w:rsid w:val="00307B1D"/>
    <w:rsid w:val="00312009"/>
    <w:rsid w:val="00314717"/>
    <w:rsid w:val="00314B7E"/>
    <w:rsid w:val="003248E3"/>
    <w:rsid w:val="003321F2"/>
    <w:rsid w:val="00337B37"/>
    <w:rsid w:val="00337D99"/>
    <w:rsid w:val="00341F48"/>
    <w:rsid w:val="0034517D"/>
    <w:rsid w:val="00345753"/>
    <w:rsid w:val="0034641D"/>
    <w:rsid w:val="003475E6"/>
    <w:rsid w:val="00350AAC"/>
    <w:rsid w:val="003522C6"/>
    <w:rsid w:val="00354B2D"/>
    <w:rsid w:val="00357CAB"/>
    <w:rsid w:val="00361700"/>
    <w:rsid w:val="003622D7"/>
    <w:rsid w:val="00364114"/>
    <w:rsid w:val="003646B4"/>
    <w:rsid w:val="00365084"/>
    <w:rsid w:val="00366664"/>
    <w:rsid w:val="00367295"/>
    <w:rsid w:val="003678B6"/>
    <w:rsid w:val="00371816"/>
    <w:rsid w:val="0037479A"/>
    <w:rsid w:val="00380674"/>
    <w:rsid w:val="00383E57"/>
    <w:rsid w:val="0038586E"/>
    <w:rsid w:val="00385A4D"/>
    <w:rsid w:val="00387468"/>
    <w:rsid w:val="00390C02"/>
    <w:rsid w:val="003A29C8"/>
    <w:rsid w:val="003A30F5"/>
    <w:rsid w:val="003A54E2"/>
    <w:rsid w:val="003A56B7"/>
    <w:rsid w:val="003A5B4F"/>
    <w:rsid w:val="003A63AA"/>
    <w:rsid w:val="003B0100"/>
    <w:rsid w:val="003B0460"/>
    <w:rsid w:val="003B0761"/>
    <w:rsid w:val="003B5102"/>
    <w:rsid w:val="003B5164"/>
    <w:rsid w:val="003C04D8"/>
    <w:rsid w:val="003C0F01"/>
    <w:rsid w:val="003C1589"/>
    <w:rsid w:val="003C2CCA"/>
    <w:rsid w:val="003C3D91"/>
    <w:rsid w:val="003C4D4F"/>
    <w:rsid w:val="003C4F60"/>
    <w:rsid w:val="003D1378"/>
    <w:rsid w:val="003D13F2"/>
    <w:rsid w:val="003D2950"/>
    <w:rsid w:val="003D3040"/>
    <w:rsid w:val="003D30F0"/>
    <w:rsid w:val="003D4086"/>
    <w:rsid w:val="003D7299"/>
    <w:rsid w:val="003E0C85"/>
    <w:rsid w:val="003E1E88"/>
    <w:rsid w:val="003E5C7A"/>
    <w:rsid w:val="003E74B7"/>
    <w:rsid w:val="003F1016"/>
    <w:rsid w:val="003F2293"/>
    <w:rsid w:val="003F27B9"/>
    <w:rsid w:val="003F3032"/>
    <w:rsid w:val="003F63BD"/>
    <w:rsid w:val="003F7D7D"/>
    <w:rsid w:val="003F7E0D"/>
    <w:rsid w:val="00400D81"/>
    <w:rsid w:val="004019F0"/>
    <w:rsid w:val="00401DEB"/>
    <w:rsid w:val="0040259D"/>
    <w:rsid w:val="00402B67"/>
    <w:rsid w:val="0040331F"/>
    <w:rsid w:val="00403A52"/>
    <w:rsid w:val="00403B57"/>
    <w:rsid w:val="00406040"/>
    <w:rsid w:val="004063CE"/>
    <w:rsid w:val="0040658B"/>
    <w:rsid w:val="00407256"/>
    <w:rsid w:val="00410044"/>
    <w:rsid w:val="0041236E"/>
    <w:rsid w:val="004128DA"/>
    <w:rsid w:val="004130DE"/>
    <w:rsid w:val="00414B79"/>
    <w:rsid w:val="00414EEA"/>
    <w:rsid w:val="00420307"/>
    <w:rsid w:val="004225EB"/>
    <w:rsid w:val="00422FDF"/>
    <w:rsid w:val="00423C03"/>
    <w:rsid w:val="00424B47"/>
    <w:rsid w:val="00426323"/>
    <w:rsid w:val="00426F13"/>
    <w:rsid w:val="004303AA"/>
    <w:rsid w:val="004328D8"/>
    <w:rsid w:val="00435C0E"/>
    <w:rsid w:val="00442E07"/>
    <w:rsid w:val="00443671"/>
    <w:rsid w:val="00443EDD"/>
    <w:rsid w:val="00444DF3"/>
    <w:rsid w:val="00444F89"/>
    <w:rsid w:val="00445BD5"/>
    <w:rsid w:val="00446303"/>
    <w:rsid w:val="00446746"/>
    <w:rsid w:val="0044775F"/>
    <w:rsid w:val="00450D39"/>
    <w:rsid w:val="004519BF"/>
    <w:rsid w:val="00452FA6"/>
    <w:rsid w:val="0045331A"/>
    <w:rsid w:val="00454112"/>
    <w:rsid w:val="00454BD9"/>
    <w:rsid w:val="00454CF9"/>
    <w:rsid w:val="00456D56"/>
    <w:rsid w:val="00460625"/>
    <w:rsid w:val="00460D56"/>
    <w:rsid w:val="00462530"/>
    <w:rsid w:val="004635DC"/>
    <w:rsid w:val="00464AC7"/>
    <w:rsid w:val="00464EED"/>
    <w:rsid w:val="004657F5"/>
    <w:rsid w:val="00467029"/>
    <w:rsid w:val="004672FE"/>
    <w:rsid w:val="00471500"/>
    <w:rsid w:val="004715B7"/>
    <w:rsid w:val="00475202"/>
    <w:rsid w:val="00476940"/>
    <w:rsid w:val="00477BE9"/>
    <w:rsid w:val="004809D2"/>
    <w:rsid w:val="00480F17"/>
    <w:rsid w:val="00491792"/>
    <w:rsid w:val="0049291C"/>
    <w:rsid w:val="00492BE1"/>
    <w:rsid w:val="00494638"/>
    <w:rsid w:val="004A0112"/>
    <w:rsid w:val="004A238E"/>
    <w:rsid w:val="004A3B52"/>
    <w:rsid w:val="004A49ED"/>
    <w:rsid w:val="004A7AD9"/>
    <w:rsid w:val="004B1575"/>
    <w:rsid w:val="004B28D9"/>
    <w:rsid w:val="004B2BE2"/>
    <w:rsid w:val="004B37E5"/>
    <w:rsid w:val="004B398D"/>
    <w:rsid w:val="004B41CE"/>
    <w:rsid w:val="004B5941"/>
    <w:rsid w:val="004B6F9C"/>
    <w:rsid w:val="004B79FC"/>
    <w:rsid w:val="004C2E6E"/>
    <w:rsid w:val="004C2F06"/>
    <w:rsid w:val="004C35FA"/>
    <w:rsid w:val="004C5C0B"/>
    <w:rsid w:val="004C7DBB"/>
    <w:rsid w:val="004D11F1"/>
    <w:rsid w:val="004D203C"/>
    <w:rsid w:val="004D2577"/>
    <w:rsid w:val="004E04B0"/>
    <w:rsid w:val="004E143D"/>
    <w:rsid w:val="004E1B1F"/>
    <w:rsid w:val="004E635D"/>
    <w:rsid w:val="004E64E2"/>
    <w:rsid w:val="004E6F4A"/>
    <w:rsid w:val="004F21AE"/>
    <w:rsid w:val="004F22F7"/>
    <w:rsid w:val="004F3511"/>
    <w:rsid w:val="004F4171"/>
    <w:rsid w:val="004F4210"/>
    <w:rsid w:val="004F49E9"/>
    <w:rsid w:val="004F6EEB"/>
    <w:rsid w:val="004F70EA"/>
    <w:rsid w:val="004F747E"/>
    <w:rsid w:val="004F764F"/>
    <w:rsid w:val="004F7BF9"/>
    <w:rsid w:val="0050505C"/>
    <w:rsid w:val="00505B80"/>
    <w:rsid w:val="00505E12"/>
    <w:rsid w:val="00507739"/>
    <w:rsid w:val="0050777B"/>
    <w:rsid w:val="0051187C"/>
    <w:rsid w:val="00512D63"/>
    <w:rsid w:val="005149DD"/>
    <w:rsid w:val="005159BF"/>
    <w:rsid w:val="00516CDC"/>
    <w:rsid w:val="0052672B"/>
    <w:rsid w:val="00526ACA"/>
    <w:rsid w:val="00526F43"/>
    <w:rsid w:val="005309CE"/>
    <w:rsid w:val="00530F4C"/>
    <w:rsid w:val="00531CB6"/>
    <w:rsid w:val="00532A1B"/>
    <w:rsid w:val="00537DA6"/>
    <w:rsid w:val="0054726D"/>
    <w:rsid w:val="00547628"/>
    <w:rsid w:val="005536D0"/>
    <w:rsid w:val="00554148"/>
    <w:rsid w:val="00556DA4"/>
    <w:rsid w:val="00557153"/>
    <w:rsid w:val="00557ADC"/>
    <w:rsid w:val="00562743"/>
    <w:rsid w:val="00563698"/>
    <w:rsid w:val="00563C9E"/>
    <w:rsid w:val="00563E99"/>
    <w:rsid w:val="0056522C"/>
    <w:rsid w:val="00566DBB"/>
    <w:rsid w:val="00567577"/>
    <w:rsid w:val="00567B94"/>
    <w:rsid w:val="005706B9"/>
    <w:rsid w:val="005706C4"/>
    <w:rsid w:val="00571D55"/>
    <w:rsid w:val="005800D1"/>
    <w:rsid w:val="005805D5"/>
    <w:rsid w:val="005818FC"/>
    <w:rsid w:val="005819FD"/>
    <w:rsid w:val="00583656"/>
    <w:rsid w:val="00585775"/>
    <w:rsid w:val="005857C8"/>
    <w:rsid w:val="0058690B"/>
    <w:rsid w:val="00586F7A"/>
    <w:rsid w:val="00587BA4"/>
    <w:rsid w:val="005901A2"/>
    <w:rsid w:val="005901CB"/>
    <w:rsid w:val="0059085D"/>
    <w:rsid w:val="005916E3"/>
    <w:rsid w:val="00596C68"/>
    <w:rsid w:val="005A3086"/>
    <w:rsid w:val="005A4392"/>
    <w:rsid w:val="005A468D"/>
    <w:rsid w:val="005A4843"/>
    <w:rsid w:val="005A577E"/>
    <w:rsid w:val="005A6EA0"/>
    <w:rsid w:val="005B0688"/>
    <w:rsid w:val="005B0C26"/>
    <w:rsid w:val="005B1AE2"/>
    <w:rsid w:val="005B4E3A"/>
    <w:rsid w:val="005B6243"/>
    <w:rsid w:val="005C0DEB"/>
    <w:rsid w:val="005C229B"/>
    <w:rsid w:val="005C2464"/>
    <w:rsid w:val="005C2B5A"/>
    <w:rsid w:val="005C368A"/>
    <w:rsid w:val="005C5C1E"/>
    <w:rsid w:val="005C713A"/>
    <w:rsid w:val="005D35E7"/>
    <w:rsid w:val="005D3B68"/>
    <w:rsid w:val="005D4B16"/>
    <w:rsid w:val="005D5776"/>
    <w:rsid w:val="005E29DD"/>
    <w:rsid w:val="005E2ECC"/>
    <w:rsid w:val="005E444C"/>
    <w:rsid w:val="005E57FA"/>
    <w:rsid w:val="005E624E"/>
    <w:rsid w:val="005E70DD"/>
    <w:rsid w:val="005E75CE"/>
    <w:rsid w:val="005F155A"/>
    <w:rsid w:val="005F214D"/>
    <w:rsid w:val="005F4645"/>
    <w:rsid w:val="005F5680"/>
    <w:rsid w:val="005F5E07"/>
    <w:rsid w:val="005F61A6"/>
    <w:rsid w:val="005F6C8C"/>
    <w:rsid w:val="005F7DB6"/>
    <w:rsid w:val="005F7E2D"/>
    <w:rsid w:val="006015C0"/>
    <w:rsid w:val="00602DF2"/>
    <w:rsid w:val="006041BB"/>
    <w:rsid w:val="0060456C"/>
    <w:rsid w:val="006118A4"/>
    <w:rsid w:val="00611E71"/>
    <w:rsid w:val="006120C2"/>
    <w:rsid w:val="00612117"/>
    <w:rsid w:val="006123CE"/>
    <w:rsid w:val="00612BDB"/>
    <w:rsid w:val="00613179"/>
    <w:rsid w:val="0061617E"/>
    <w:rsid w:val="006161B3"/>
    <w:rsid w:val="00616262"/>
    <w:rsid w:val="006237FA"/>
    <w:rsid w:val="00623F36"/>
    <w:rsid w:val="006248F3"/>
    <w:rsid w:val="00635EA7"/>
    <w:rsid w:val="00636490"/>
    <w:rsid w:val="00641CA6"/>
    <w:rsid w:val="00642F3E"/>
    <w:rsid w:val="00645DE2"/>
    <w:rsid w:val="00646566"/>
    <w:rsid w:val="00646623"/>
    <w:rsid w:val="0064676F"/>
    <w:rsid w:val="00646C7E"/>
    <w:rsid w:val="00647DFB"/>
    <w:rsid w:val="0065043E"/>
    <w:rsid w:val="00653702"/>
    <w:rsid w:val="0065576C"/>
    <w:rsid w:val="00657E6A"/>
    <w:rsid w:val="0066095D"/>
    <w:rsid w:val="006629C4"/>
    <w:rsid w:val="00664ED0"/>
    <w:rsid w:val="0066633C"/>
    <w:rsid w:val="0066666E"/>
    <w:rsid w:val="006708EC"/>
    <w:rsid w:val="006719A4"/>
    <w:rsid w:val="00673468"/>
    <w:rsid w:val="006734DC"/>
    <w:rsid w:val="00673CB7"/>
    <w:rsid w:val="00674A90"/>
    <w:rsid w:val="00674EF0"/>
    <w:rsid w:val="006762A7"/>
    <w:rsid w:val="00681B23"/>
    <w:rsid w:val="006824FB"/>
    <w:rsid w:val="006834A7"/>
    <w:rsid w:val="0068432D"/>
    <w:rsid w:val="006848BA"/>
    <w:rsid w:val="00692539"/>
    <w:rsid w:val="0069379B"/>
    <w:rsid w:val="00694CC8"/>
    <w:rsid w:val="00695525"/>
    <w:rsid w:val="00695FF9"/>
    <w:rsid w:val="00696C9D"/>
    <w:rsid w:val="00696CAF"/>
    <w:rsid w:val="0069718D"/>
    <w:rsid w:val="00697814"/>
    <w:rsid w:val="006A1EF9"/>
    <w:rsid w:val="006A48D2"/>
    <w:rsid w:val="006A4D90"/>
    <w:rsid w:val="006A5367"/>
    <w:rsid w:val="006A538F"/>
    <w:rsid w:val="006A541B"/>
    <w:rsid w:val="006A54EE"/>
    <w:rsid w:val="006A5855"/>
    <w:rsid w:val="006B149C"/>
    <w:rsid w:val="006B182C"/>
    <w:rsid w:val="006B1918"/>
    <w:rsid w:val="006B1A48"/>
    <w:rsid w:val="006B43D6"/>
    <w:rsid w:val="006B4EAF"/>
    <w:rsid w:val="006B519C"/>
    <w:rsid w:val="006C1751"/>
    <w:rsid w:val="006C39DB"/>
    <w:rsid w:val="006C5A2E"/>
    <w:rsid w:val="006C7274"/>
    <w:rsid w:val="006D101A"/>
    <w:rsid w:val="006D2E05"/>
    <w:rsid w:val="006D7EF9"/>
    <w:rsid w:val="006E36A5"/>
    <w:rsid w:val="006E3776"/>
    <w:rsid w:val="006E656E"/>
    <w:rsid w:val="006E767A"/>
    <w:rsid w:val="006F3F06"/>
    <w:rsid w:val="006F6574"/>
    <w:rsid w:val="006F6972"/>
    <w:rsid w:val="006F7705"/>
    <w:rsid w:val="007017EB"/>
    <w:rsid w:val="007025B8"/>
    <w:rsid w:val="00703739"/>
    <w:rsid w:val="00704647"/>
    <w:rsid w:val="00705854"/>
    <w:rsid w:val="0071001D"/>
    <w:rsid w:val="007101BB"/>
    <w:rsid w:val="00713AA4"/>
    <w:rsid w:val="00714A21"/>
    <w:rsid w:val="00714F30"/>
    <w:rsid w:val="0071770D"/>
    <w:rsid w:val="007207D7"/>
    <w:rsid w:val="007210B6"/>
    <w:rsid w:val="007215B1"/>
    <w:rsid w:val="00722C02"/>
    <w:rsid w:val="00723EC6"/>
    <w:rsid w:val="0072537C"/>
    <w:rsid w:val="00727B8C"/>
    <w:rsid w:val="00730C2F"/>
    <w:rsid w:val="00731687"/>
    <w:rsid w:val="007322B6"/>
    <w:rsid w:val="00733166"/>
    <w:rsid w:val="00733F1B"/>
    <w:rsid w:val="00735034"/>
    <w:rsid w:val="00735760"/>
    <w:rsid w:val="00735F68"/>
    <w:rsid w:val="0074208A"/>
    <w:rsid w:val="007438C3"/>
    <w:rsid w:val="0075079F"/>
    <w:rsid w:val="00750951"/>
    <w:rsid w:val="007509F2"/>
    <w:rsid w:val="007552F2"/>
    <w:rsid w:val="0075747D"/>
    <w:rsid w:val="0075782E"/>
    <w:rsid w:val="00760DDF"/>
    <w:rsid w:val="007625B3"/>
    <w:rsid w:val="0076284F"/>
    <w:rsid w:val="00763B9B"/>
    <w:rsid w:val="00770630"/>
    <w:rsid w:val="00770EF4"/>
    <w:rsid w:val="00775489"/>
    <w:rsid w:val="0077603D"/>
    <w:rsid w:val="00776ECC"/>
    <w:rsid w:val="007772AC"/>
    <w:rsid w:val="00777F32"/>
    <w:rsid w:val="007819ED"/>
    <w:rsid w:val="007838D0"/>
    <w:rsid w:val="0078449F"/>
    <w:rsid w:val="00784689"/>
    <w:rsid w:val="00784A7A"/>
    <w:rsid w:val="00784AF6"/>
    <w:rsid w:val="00784EBD"/>
    <w:rsid w:val="00786543"/>
    <w:rsid w:val="00786A31"/>
    <w:rsid w:val="0078763B"/>
    <w:rsid w:val="007878BF"/>
    <w:rsid w:val="00790BCC"/>
    <w:rsid w:val="00792301"/>
    <w:rsid w:val="00793E8B"/>
    <w:rsid w:val="007945EE"/>
    <w:rsid w:val="007966A0"/>
    <w:rsid w:val="00796ED4"/>
    <w:rsid w:val="00796FDB"/>
    <w:rsid w:val="007A0A13"/>
    <w:rsid w:val="007A129C"/>
    <w:rsid w:val="007A31C7"/>
    <w:rsid w:val="007A3CFF"/>
    <w:rsid w:val="007A5046"/>
    <w:rsid w:val="007A5E68"/>
    <w:rsid w:val="007A7BC0"/>
    <w:rsid w:val="007B166F"/>
    <w:rsid w:val="007B6176"/>
    <w:rsid w:val="007B7DBC"/>
    <w:rsid w:val="007C2F02"/>
    <w:rsid w:val="007C31CC"/>
    <w:rsid w:val="007C6929"/>
    <w:rsid w:val="007C7AD6"/>
    <w:rsid w:val="007D0C9E"/>
    <w:rsid w:val="007D1BD0"/>
    <w:rsid w:val="007D218F"/>
    <w:rsid w:val="007D2598"/>
    <w:rsid w:val="007D27BC"/>
    <w:rsid w:val="007D32A3"/>
    <w:rsid w:val="007D5256"/>
    <w:rsid w:val="007E484F"/>
    <w:rsid w:val="007E6247"/>
    <w:rsid w:val="007E7CAE"/>
    <w:rsid w:val="007F050B"/>
    <w:rsid w:val="007F6850"/>
    <w:rsid w:val="007F6BD1"/>
    <w:rsid w:val="008013EF"/>
    <w:rsid w:val="00802659"/>
    <w:rsid w:val="00803504"/>
    <w:rsid w:val="008053F6"/>
    <w:rsid w:val="00805528"/>
    <w:rsid w:val="00810A24"/>
    <w:rsid w:val="008118ED"/>
    <w:rsid w:val="00812086"/>
    <w:rsid w:val="008132CE"/>
    <w:rsid w:val="008155AF"/>
    <w:rsid w:val="00815739"/>
    <w:rsid w:val="00817F7A"/>
    <w:rsid w:val="008228EF"/>
    <w:rsid w:val="00823E7E"/>
    <w:rsid w:val="00824CD2"/>
    <w:rsid w:val="00825C52"/>
    <w:rsid w:val="00825CBA"/>
    <w:rsid w:val="00825DD4"/>
    <w:rsid w:val="00826BCA"/>
    <w:rsid w:val="00827782"/>
    <w:rsid w:val="00830631"/>
    <w:rsid w:val="00831908"/>
    <w:rsid w:val="00836EBC"/>
    <w:rsid w:val="00840494"/>
    <w:rsid w:val="00844A0F"/>
    <w:rsid w:val="00845128"/>
    <w:rsid w:val="00845F4E"/>
    <w:rsid w:val="0084647C"/>
    <w:rsid w:val="00846DFC"/>
    <w:rsid w:val="00851F3D"/>
    <w:rsid w:val="00857C99"/>
    <w:rsid w:val="00860623"/>
    <w:rsid w:val="008611F3"/>
    <w:rsid w:val="00864591"/>
    <w:rsid w:val="00864DEC"/>
    <w:rsid w:val="008650DA"/>
    <w:rsid w:val="008658E0"/>
    <w:rsid w:val="008663FE"/>
    <w:rsid w:val="00866F48"/>
    <w:rsid w:val="008678B9"/>
    <w:rsid w:val="00867C31"/>
    <w:rsid w:val="00872050"/>
    <w:rsid w:val="00873FFF"/>
    <w:rsid w:val="00875003"/>
    <w:rsid w:val="00875FFB"/>
    <w:rsid w:val="00877350"/>
    <w:rsid w:val="00880CE5"/>
    <w:rsid w:val="00880F20"/>
    <w:rsid w:val="00884656"/>
    <w:rsid w:val="0088481C"/>
    <w:rsid w:val="00887031"/>
    <w:rsid w:val="00887E6C"/>
    <w:rsid w:val="00890C09"/>
    <w:rsid w:val="0089204E"/>
    <w:rsid w:val="008921BF"/>
    <w:rsid w:val="00896746"/>
    <w:rsid w:val="008A05B8"/>
    <w:rsid w:val="008A220B"/>
    <w:rsid w:val="008A2C7E"/>
    <w:rsid w:val="008A2E31"/>
    <w:rsid w:val="008A3678"/>
    <w:rsid w:val="008A4426"/>
    <w:rsid w:val="008A4EAD"/>
    <w:rsid w:val="008A6296"/>
    <w:rsid w:val="008A7C3C"/>
    <w:rsid w:val="008A7FA1"/>
    <w:rsid w:val="008B06B8"/>
    <w:rsid w:val="008B124F"/>
    <w:rsid w:val="008B1AB3"/>
    <w:rsid w:val="008B26E4"/>
    <w:rsid w:val="008B4210"/>
    <w:rsid w:val="008B4D93"/>
    <w:rsid w:val="008B5BC9"/>
    <w:rsid w:val="008B5FC6"/>
    <w:rsid w:val="008B647A"/>
    <w:rsid w:val="008B6BEC"/>
    <w:rsid w:val="008B6F77"/>
    <w:rsid w:val="008B7FB7"/>
    <w:rsid w:val="008C062F"/>
    <w:rsid w:val="008C3EAD"/>
    <w:rsid w:val="008C4D42"/>
    <w:rsid w:val="008C62DF"/>
    <w:rsid w:val="008C721A"/>
    <w:rsid w:val="008D05E5"/>
    <w:rsid w:val="008D0C79"/>
    <w:rsid w:val="008D273F"/>
    <w:rsid w:val="008D2A66"/>
    <w:rsid w:val="008D495D"/>
    <w:rsid w:val="008E0122"/>
    <w:rsid w:val="008E0125"/>
    <w:rsid w:val="008E01F0"/>
    <w:rsid w:val="008E1A22"/>
    <w:rsid w:val="008E2FEF"/>
    <w:rsid w:val="008E400F"/>
    <w:rsid w:val="008F1590"/>
    <w:rsid w:val="008F1AF7"/>
    <w:rsid w:val="008F2370"/>
    <w:rsid w:val="008F70F0"/>
    <w:rsid w:val="009029F4"/>
    <w:rsid w:val="00902CF8"/>
    <w:rsid w:val="00902D5E"/>
    <w:rsid w:val="00902E06"/>
    <w:rsid w:val="0090487A"/>
    <w:rsid w:val="0090500C"/>
    <w:rsid w:val="0090635D"/>
    <w:rsid w:val="00914A0B"/>
    <w:rsid w:val="00915BF7"/>
    <w:rsid w:val="0092039D"/>
    <w:rsid w:val="00923643"/>
    <w:rsid w:val="00924523"/>
    <w:rsid w:val="00927828"/>
    <w:rsid w:val="009310FD"/>
    <w:rsid w:val="00931CEB"/>
    <w:rsid w:val="00932045"/>
    <w:rsid w:val="00932499"/>
    <w:rsid w:val="00933233"/>
    <w:rsid w:val="0093430F"/>
    <w:rsid w:val="00940151"/>
    <w:rsid w:val="00941CC6"/>
    <w:rsid w:val="00941E80"/>
    <w:rsid w:val="00942638"/>
    <w:rsid w:val="009435C9"/>
    <w:rsid w:val="00943C6D"/>
    <w:rsid w:val="00943EB3"/>
    <w:rsid w:val="00944BDB"/>
    <w:rsid w:val="009450B7"/>
    <w:rsid w:val="009450F1"/>
    <w:rsid w:val="009462E0"/>
    <w:rsid w:val="00946347"/>
    <w:rsid w:val="009463E6"/>
    <w:rsid w:val="00946A41"/>
    <w:rsid w:val="009521A3"/>
    <w:rsid w:val="0095731F"/>
    <w:rsid w:val="00960CAF"/>
    <w:rsid w:val="009628A8"/>
    <w:rsid w:val="00963170"/>
    <w:rsid w:val="00964151"/>
    <w:rsid w:val="0096442F"/>
    <w:rsid w:val="00967B38"/>
    <w:rsid w:val="00967C88"/>
    <w:rsid w:val="0097474C"/>
    <w:rsid w:val="00974858"/>
    <w:rsid w:val="00974925"/>
    <w:rsid w:val="00976833"/>
    <w:rsid w:val="0098183F"/>
    <w:rsid w:val="00982D6A"/>
    <w:rsid w:val="009832D2"/>
    <w:rsid w:val="00983B98"/>
    <w:rsid w:val="00983D11"/>
    <w:rsid w:val="0098527D"/>
    <w:rsid w:val="00986076"/>
    <w:rsid w:val="00987FA1"/>
    <w:rsid w:val="00990A64"/>
    <w:rsid w:val="00991A42"/>
    <w:rsid w:val="00995DEF"/>
    <w:rsid w:val="00996AE3"/>
    <w:rsid w:val="009A097A"/>
    <w:rsid w:val="009A1389"/>
    <w:rsid w:val="009A2E93"/>
    <w:rsid w:val="009A53A8"/>
    <w:rsid w:val="009A567C"/>
    <w:rsid w:val="009A7F7E"/>
    <w:rsid w:val="009B058D"/>
    <w:rsid w:val="009B0ADE"/>
    <w:rsid w:val="009B0C9C"/>
    <w:rsid w:val="009B14E3"/>
    <w:rsid w:val="009B1E6B"/>
    <w:rsid w:val="009B3325"/>
    <w:rsid w:val="009B3FBF"/>
    <w:rsid w:val="009B3FDC"/>
    <w:rsid w:val="009B4A4B"/>
    <w:rsid w:val="009B5AE5"/>
    <w:rsid w:val="009B69D7"/>
    <w:rsid w:val="009C1425"/>
    <w:rsid w:val="009C3314"/>
    <w:rsid w:val="009C540F"/>
    <w:rsid w:val="009C6E1A"/>
    <w:rsid w:val="009C7544"/>
    <w:rsid w:val="009D1218"/>
    <w:rsid w:val="009D253F"/>
    <w:rsid w:val="009D3695"/>
    <w:rsid w:val="009D4FE3"/>
    <w:rsid w:val="009E1B3F"/>
    <w:rsid w:val="009E2BA3"/>
    <w:rsid w:val="009E4B0A"/>
    <w:rsid w:val="009E6691"/>
    <w:rsid w:val="009E696E"/>
    <w:rsid w:val="009F2096"/>
    <w:rsid w:val="009F2B81"/>
    <w:rsid w:val="009F360F"/>
    <w:rsid w:val="009F3629"/>
    <w:rsid w:val="009F4D23"/>
    <w:rsid w:val="009F6105"/>
    <w:rsid w:val="009F74DF"/>
    <w:rsid w:val="00A00A35"/>
    <w:rsid w:val="00A00F4D"/>
    <w:rsid w:val="00A05604"/>
    <w:rsid w:val="00A064DA"/>
    <w:rsid w:val="00A06D8E"/>
    <w:rsid w:val="00A07D4C"/>
    <w:rsid w:val="00A10DE6"/>
    <w:rsid w:val="00A11630"/>
    <w:rsid w:val="00A136EF"/>
    <w:rsid w:val="00A13F81"/>
    <w:rsid w:val="00A155AA"/>
    <w:rsid w:val="00A157A7"/>
    <w:rsid w:val="00A160EA"/>
    <w:rsid w:val="00A16727"/>
    <w:rsid w:val="00A16A2D"/>
    <w:rsid w:val="00A25473"/>
    <w:rsid w:val="00A30333"/>
    <w:rsid w:val="00A30E3C"/>
    <w:rsid w:val="00A32E90"/>
    <w:rsid w:val="00A33945"/>
    <w:rsid w:val="00A350AB"/>
    <w:rsid w:val="00A350DF"/>
    <w:rsid w:val="00A36997"/>
    <w:rsid w:val="00A369F6"/>
    <w:rsid w:val="00A36AC2"/>
    <w:rsid w:val="00A403C0"/>
    <w:rsid w:val="00A45DFA"/>
    <w:rsid w:val="00A45E9C"/>
    <w:rsid w:val="00A471AD"/>
    <w:rsid w:val="00A47B1E"/>
    <w:rsid w:val="00A518AC"/>
    <w:rsid w:val="00A51C47"/>
    <w:rsid w:val="00A52DA8"/>
    <w:rsid w:val="00A5308E"/>
    <w:rsid w:val="00A5772A"/>
    <w:rsid w:val="00A61947"/>
    <w:rsid w:val="00A650E2"/>
    <w:rsid w:val="00A66237"/>
    <w:rsid w:val="00A767C7"/>
    <w:rsid w:val="00A77D14"/>
    <w:rsid w:val="00A808DB"/>
    <w:rsid w:val="00A83EA8"/>
    <w:rsid w:val="00A86BC2"/>
    <w:rsid w:val="00A90CE8"/>
    <w:rsid w:val="00A9157B"/>
    <w:rsid w:val="00A93506"/>
    <w:rsid w:val="00A94616"/>
    <w:rsid w:val="00A94EB5"/>
    <w:rsid w:val="00A952FD"/>
    <w:rsid w:val="00A95CC6"/>
    <w:rsid w:val="00A960AD"/>
    <w:rsid w:val="00A96B9C"/>
    <w:rsid w:val="00AA35EB"/>
    <w:rsid w:val="00AA439C"/>
    <w:rsid w:val="00AA4B0E"/>
    <w:rsid w:val="00AA5867"/>
    <w:rsid w:val="00AA5FB1"/>
    <w:rsid w:val="00AA69F3"/>
    <w:rsid w:val="00AB099A"/>
    <w:rsid w:val="00AB1B6A"/>
    <w:rsid w:val="00AB1F34"/>
    <w:rsid w:val="00AB2323"/>
    <w:rsid w:val="00AB34AE"/>
    <w:rsid w:val="00AB49C8"/>
    <w:rsid w:val="00AB5B1B"/>
    <w:rsid w:val="00AB758D"/>
    <w:rsid w:val="00AC2B87"/>
    <w:rsid w:val="00AC5DFF"/>
    <w:rsid w:val="00AC649B"/>
    <w:rsid w:val="00AC79B4"/>
    <w:rsid w:val="00AD0904"/>
    <w:rsid w:val="00AD1521"/>
    <w:rsid w:val="00AD1AF0"/>
    <w:rsid w:val="00AD2AED"/>
    <w:rsid w:val="00AD3F79"/>
    <w:rsid w:val="00AD7D12"/>
    <w:rsid w:val="00AE0874"/>
    <w:rsid w:val="00AE0A17"/>
    <w:rsid w:val="00AE0EA9"/>
    <w:rsid w:val="00AE3706"/>
    <w:rsid w:val="00AE4609"/>
    <w:rsid w:val="00AE4707"/>
    <w:rsid w:val="00AE472B"/>
    <w:rsid w:val="00AE604C"/>
    <w:rsid w:val="00AE6BDA"/>
    <w:rsid w:val="00AE7197"/>
    <w:rsid w:val="00AF2970"/>
    <w:rsid w:val="00AF4A12"/>
    <w:rsid w:val="00B0137A"/>
    <w:rsid w:val="00B10DF2"/>
    <w:rsid w:val="00B12C76"/>
    <w:rsid w:val="00B1316C"/>
    <w:rsid w:val="00B14D0F"/>
    <w:rsid w:val="00B14E8F"/>
    <w:rsid w:val="00B1548C"/>
    <w:rsid w:val="00B20841"/>
    <w:rsid w:val="00B222B4"/>
    <w:rsid w:val="00B30819"/>
    <w:rsid w:val="00B31331"/>
    <w:rsid w:val="00B3281E"/>
    <w:rsid w:val="00B34007"/>
    <w:rsid w:val="00B34F35"/>
    <w:rsid w:val="00B376AF"/>
    <w:rsid w:val="00B40C8A"/>
    <w:rsid w:val="00B4327E"/>
    <w:rsid w:val="00B43372"/>
    <w:rsid w:val="00B43571"/>
    <w:rsid w:val="00B43EE4"/>
    <w:rsid w:val="00B47FC0"/>
    <w:rsid w:val="00B5023F"/>
    <w:rsid w:val="00B5052D"/>
    <w:rsid w:val="00B510F9"/>
    <w:rsid w:val="00B514B7"/>
    <w:rsid w:val="00B51BBE"/>
    <w:rsid w:val="00B51EE4"/>
    <w:rsid w:val="00B52AE6"/>
    <w:rsid w:val="00B537DA"/>
    <w:rsid w:val="00B56BDD"/>
    <w:rsid w:val="00B570CC"/>
    <w:rsid w:val="00B60702"/>
    <w:rsid w:val="00B63B96"/>
    <w:rsid w:val="00B63F94"/>
    <w:rsid w:val="00B64066"/>
    <w:rsid w:val="00B65325"/>
    <w:rsid w:val="00B66F8B"/>
    <w:rsid w:val="00B674FB"/>
    <w:rsid w:val="00B67DD9"/>
    <w:rsid w:val="00B729E7"/>
    <w:rsid w:val="00B7500D"/>
    <w:rsid w:val="00B75437"/>
    <w:rsid w:val="00B773F4"/>
    <w:rsid w:val="00B80A88"/>
    <w:rsid w:val="00B81E1E"/>
    <w:rsid w:val="00B86B4D"/>
    <w:rsid w:val="00B87766"/>
    <w:rsid w:val="00B87BEE"/>
    <w:rsid w:val="00B87FF5"/>
    <w:rsid w:val="00B90B83"/>
    <w:rsid w:val="00B9314F"/>
    <w:rsid w:val="00BA160E"/>
    <w:rsid w:val="00BA277F"/>
    <w:rsid w:val="00BA318A"/>
    <w:rsid w:val="00BB0637"/>
    <w:rsid w:val="00BB443B"/>
    <w:rsid w:val="00BB7A58"/>
    <w:rsid w:val="00BC0348"/>
    <w:rsid w:val="00BC192E"/>
    <w:rsid w:val="00BC2F4F"/>
    <w:rsid w:val="00BC3AE4"/>
    <w:rsid w:val="00BC6A67"/>
    <w:rsid w:val="00BD049E"/>
    <w:rsid w:val="00BD0D87"/>
    <w:rsid w:val="00BD4ADD"/>
    <w:rsid w:val="00BD5795"/>
    <w:rsid w:val="00BD5C68"/>
    <w:rsid w:val="00BD5D48"/>
    <w:rsid w:val="00BD65A7"/>
    <w:rsid w:val="00BD6A36"/>
    <w:rsid w:val="00BD78E4"/>
    <w:rsid w:val="00BE0F14"/>
    <w:rsid w:val="00BE2DF6"/>
    <w:rsid w:val="00BE3097"/>
    <w:rsid w:val="00BE4392"/>
    <w:rsid w:val="00BE443D"/>
    <w:rsid w:val="00BE668C"/>
    <w:rsid w:val="00BE6B66"/>
    <w:rsid w:val="00BE6F23"/>
    <w:rsid w:val="00BE78D5"/>
    <w:rsid w:val="00BF047E"/>
    <w:rsid w:val="00BF05A4"/>
    <w:rsid w:val="00BF40E7"/>
    <w:rsid w:val="00BF4AAC"/>
    <w:rsid w:val="00BF5883"/>
    <w:rsid w:val="00BF7FD7"/>
    <w:rsid w:val="00C003CA"/>
    <w:rsid w:val="00C01058"/>
    <w:rsid w:val="00C02F76"/>
    <w:rsid w:val="00C03224"/>
    <w:rsid w:val="00C033BE"/>
    <w:rsid w:val="00C04B2A"/>
    <w:rsid w:val="00C05372"/>
    <w:rsid w:val="00C053A9"/>
    <w:rsid w:val="00C0716F"/>
    <w:rsid w:val="00C072B7"/>
    <w:rsid w:val="00C10C06"/>
    <w:rsid w:val="00C11046"/>
    <w:rsid w:val="00C13CE5"/>
    <w:rsid w:val="00C16634"/>
    <w:rsid w:val="00C216B8"/>
    <w:rsid w:val="00C21A7E"/>
    <w:rsid w:val="00C23EE7"/>
    <w:rsid w:val="00C27E40"/>
    <w:rsid w:val="00C30D86"/>
    <w:rsid w:val="00C314DB"/>
    <w:rsid w:val="00C338BE"/>
    <w:rsid w:val="00C34C41"/>
    <w:rsid w:val="00C352FE"/>
    <w:rsid w:val="00C36394"/>
    <w:rsid w:val="00C36EF6"/>
    <w:rsid w:val="00C37997"/>
    <w:rsid w:val="00C37E71"/>
    <w:rsid w:val="00C4274B"/>
    <w:rsid w:val="00C43AC6"/>
    <w:rsid w:val="00C43D79"/>
    <w:rsid w:val="00C440A0"/>
    <w:rsid w:val="00C458A5"/>
    <w:rsid w:val="00C46ABF"/>
    <w:rsid w:val="00C47715"/>
    <w:rsid w:val="00C5268D"/>
    <w:rsid w:val="00C53AA7"/>
    <w:rsid w:val="00C54FC3"/>
    <w:rsid w:val="00C62F30"/>
    <w:rsid w:val="00C636E9"/>
    <w:rsid w:val="00C669FD"/>
    <w:rsid w:val="00C706A4"/>
    <w:rsid w:val="00C71B00"/>
    <w:rsid w:val="00C75551"/>
    <w:rsid w:val="00C8047E"/>
    <w:rsid w:val="00C82793"/>
    <w:rsid w:val="00C8351C"/>
    <w:rsid w:val="00C83AF4"/>
    <w:rsid w:val="00C93D56"/>
    <w:rsid w:val="00C93F9F"/>
    <w:rsid w:val="00C940D7"/>
    <w:rsid w:val="00C94264"/>
    <w:rsid w:val="00C94302"/>
    <w:rsid w:val="00C967AC"/>
    <w:rsid w:val="00CA0102"/>
    <w:rsid w:val="00CA0A46"/>
    <w:rsid w:val="00CA1C9C"/>
    <w:rsid w:val="00CA279F"/>
    <w:rsid w:val="00CA2B60"/>
    <w:rsid w:val="00CA6CB7"/>
    <w:rsid w:val="00CB1EB7"/>
    <w:rsid w:val="00CB38FB"/>
    <w:rsid w:val="00CB3A0C"/>
    <w:rsid w:val="00CB3D82"/>
    <w:rsid w:val="00CC13E2"/>
    <w:rsid w:val="00CC16FC"/>
    <w:rsid w:val="00CC3380"/>
    <w:rsid w:val="00CC5FE5"/>
    <w:rsid w:val="00CD0FB7"/>
    <w:rsid w:val="00CD2099"/>
    <w:rsid w:val="00CD44B4"/>
    <w:rsid w:val="00CD546E"/>
    <w:rsid w:val="00CD6292"/>
    <w:rsid w:val="00CD7FBB"/>
    <w:rsid w:val="00CE2739"/>
    <w:rsid w:val="00CE313F"/>
    <w:rsid w:val="00CE378B"/>
    <w:rsid w:val="00CF04EF"/>
    <w:rsid w:val="00CF16D3"/>
    <w:rsid w:val="00CF2D27"/>
    <w:rsid w:val="00CF7067"/>
    <w:rsid w:val="00CF7A28"/>
    <w:rsid w:val="00D0149C"/>
    <w:rsid w:val="00D03BCA"/>
    <w:rsid w:val="00D15522"/>
    <w:rsid w:val="00D16648"/>
    <w:rsid w:val="00D21670"/>
    <w:rsid w:val="00D31F4D"/>
    <w:rsid w:val="00D32496"/>
    <w:rsid w:val="00D332AF"/>
    <w:rsid w:val="00D3458D"/>
    <w:rsid w:val="00D41F1F"/>
    <w:rsid w:val="00D42907"/>
    <w:rsid w:val="00D43571"/>
    <w:rsid w:val="00D43FB6"/>
    <w:rsid w:val="00D46EA8"/>
    <w:rsid w:val="00D50052"/>
    <w:rsid w:val="00D50FBF"/>
    <w:rsid w:val="00D533CB"/>
    <w:rsid w:val="00D547A4"/>
    <w:rsid w:val="00D56716"/>
    <w:rsid w:val="00D637C9"/>
    <w:rsid w:val="00D63CD9"/>
    <w:rsid w:val="00D66236"/>
    <w:rsid w:val="00D7063D"/>
    <w:rsid w:val="00D71736"/>
    <w:rsid w:val="00D71A83"/>
    <w:rsid w:val="00D72843"/>
    <w:rsid w:val="00D73639"/>
    <w:rsid w:val="00D74449"/>
    <w:rsid w:val="00D74F8E"/>
    <w:rsid w:val="00D7504E"/>
    <w:rsid w:val="00D767FF"/>
    <w:rsid w:val="00D776F3"/>
    <w:rsid w:val="00D7795F"/>
    <w:rsid w:val="00D77CD6"/>
    <w:rsid w:val="00D80CE9"/>
    <w:rsid w:val="00D812ED"/>
    <w:rsid w:val="00D83356"/>
    <w:rsid w:val="00D83447"/>
    <w:rsid w:val="00D839B9"/>
    <w:rsid w:val="00D83CD4"/>
    <w:rsid w:val="00D83F88"/>
    <w:rsid w:val="00D8613F"/>
    <w:rsid w:val="00D86316"/>
    <w:rsid w:val="00D907B3"/>
    <w:rsid w:val="00D90A61"/>
    <w:rsid w:val="00D917CB"/>
    <w:rsid w:val="00DA2225"/>
    <w:rsid w:val="00DA243F"/>
    <w:rsid w:val="00DA36E2"/>
    <w:rsid w:val="00DA4FB5"/>
    <w:rsid w:val="00DA7113"/>
    <w:rsid w:val="00DB0E27"/>
    <w:rsid w:val="00DB2A4C"/>
    <w:rsid w:val="00DB4C1D"/>
    <w:rsid w:val="00DB53DB"/>
    <w:rsid w:val="00DB682C"/>
    <w:rsid w:val="00DB6B4E"/>
    <w:rsid w:val="00DC03D5"/>
    <w:rsid w:val="00DC05C2"/>
    <w:rsid w:val="00DC1A22"/>
    <w:rsid w:val="00DC2BD5"/>
    <w:rsid w:val="00DC56C8"/>
    <w:rsid w:val="00DC5FE9"/>
    <w:rsid w:val="00DC6DAB"/>
    <w:rsid w:val="00DD0A3C"/>
    <w:rsid w:val="00DD0C91"/>
    <w:rsid w:val="00DD55B9"/>
    <w:rsid w:val="00DE04AF"/>
    <w:rsid w:val="00DE1E83"/>
    <w:rsid w:val="00DE5801"/>
    <w:rsid w:val="00DE6185"/>
    <w:rsid w:val="00DE6C70"/>
    <w:rsid w:val="00DF0874"/>
    <w:rsid w:val="00DF2A9B"/>
    <w:rsid w:val="00DF46AB"/>
    <w:rsid w:val="00DF4D8E"/>
    <w:rsid w:val="00DF5063"/>
    <w:rsid w:val="00E04F84"/>
    <w:rsid w:val="00E05C9F"/>
    <w:rsid w:val="00E07421"/>
    <w:rsid w:val="00E10227"/>
    <w:rsid w:val="00E10A45"/>
    <w:rsid w:val="00E11A53"/>
    <w:rsid w:val="00E1214A"/>
    <w:rsid w:val="00E13780"/>
    <w:rsid w:val="00E13CF5"/>
    <w:rsid w:val="00E152E1"/>
    <w:rsid w:val="00E15521"/>
    <w:rsid w:val="00E22A31"/>
    <w:rsid w:val="00E2394C"/>
    <w:rsid w:val="00E2680D"/>
    <w:rsid w:val="00E272D3"/>
    <w:rsid w:val="00E27B13"/>
    <w:rsid w:val="00E30418"/>
    <w:rsid w:val="00E32B0F"/>
    <w:rsid w:val="00E3748B"/>
    <w:rsid w:val="00E4013E"/>
    <w:rsid w:val="00E42A53"/>
    <w:rsid w:val="00E442F7"/>
    <w:rsid w:val="00E44662"/>
    <w:rsid w:val="00E44C3F"/>
    <w:rsid w:val="00E460A3"/>
    <w:rsid w:val="00E46453"/>
    <w:rsid w:val="00E46908"/>
    <w:rsid w:val="00E51710"/>
    <w:rsid w:val="00E5236B"/>
    <w:rsid w:val="00E54861"/>
    <w:rsid w:val="00E550EA"/>
    <w:rsid w:val="00E5661D"/>
    <w:rsid w:val="00E568E1"/>
    <w:rsid w:val="00E60E25"/>
    <w:rsid w:val="00E61BCC"/>
    <w:rsid w:val="00E6514B"/>
    <w:rsid w:val="00E656F9"/>
    <w:rsid w:val="00E65C40"/>
    <w:rsid w:val="00E67460"/>
    <w:rsid w:val="00E7011E"/>
    <w:rsid w:val="00E73338"/>
    <w:rsid w:val="00E737B3"/>
    <w:rsid w:val="00E74A99"/>
    <w:rsid w:val="00E7795B"/>
    <w:rsid w:val="00E81D56"/>
    <w:rsid w:val="00E843AD"/>
    <w:rsid w:val="00E84A3B"/>
    <w:rsid w:val="00E85604"/>
    <w:rsid w:val="00E86C9F"/>
    <w:rsid w:val="00E87322"/>
    <w:rsid w:val="00E904D2"/>
    <w:rsid w:val="00E90A5F"/>
    <w:rsid w:val="00E926F4"/>
    <w:rsid w:val="00E952B9"/>
    <w:rsid w:val="00E973D5"/>
    <w:rsid w:val="00EA1AAA"/>
    <w:rsid w:val="00EA3971"/>
    <w:rsid w:val="00EA4EB5"/>
    <w:rsid w:val="00EA5069"/>
    <w:rsid w:val="00EA6113"/>
    <w:rsid w:val="00EA79B1"/>
    <w:rsid w:val="00EA7F24"/>
    <w:rsid w:val="00EB193A"/>
    <w:rsid w:val="00EB33AC"/>
    <w:rsid w:val="00EB480E"/>
    <w:rsid w:val="00EB6F04"/>
    <w:rsid w:val="00EB701C"/>
    <w:rsid w:val="00EC0AC2"/>
    <w:rsid w:val="00EC2305"/>
    <w:rsid w:val="00EC33CC"/>
    <w:rsid w:val="00EC7924"/>
    <w:rsid w:val="00EC7ECB"/>
    <w:rsid w:val="00ED338D"/>
    <w:rsid w:val="00ED4454"/>
    <w:rsid w:val="00ED516E"/>
    <w:rsid w:val="00EE1139"/>
    <w:rsid w:val="00EE1570"/>
    <w:rsid w:val="00EE3F53"/>
    <w:rsid w:val="00EE777E"/>
    <w:rsid w:val="00EF1586"/>
    <w:rsid w:val="00EF1A07"/>
    <w:rsid w:val="00EF1F52"/>
    <w:rsid w:val="00EF3343"/>
    <w:rsid w:val="00EF3705"/>
    <w:rsid w:val="00EF564B"/>
    <w:rsid w:val="00EF575A"/>
    <w:rsid w:val="00EF58D5"/>
    <w:rsid w:val="00EF6450"/>
    <w:rsid w:val="00F035E6"/>
    <w:rsid w:val="00F06F3E"/>
    <w:rsid w:val="00F1110B"/>
    <w:rsid w:val="00F11C52"/>
    <w:rsid w:val="00F15F22"/>
    <w:rsid w:val="00F201FD"/>
    <w:rsid w:val="00F20329"/>
    <w:rsid w:val="00F21E81"/>
    <w:rsid w:val="00F256E9"/>
    <w:rsid w:val="00F262E4"/>
    <w:rsid w:val="00F264FF"/>
    <w:rsid w:val="00F26D08"/>
    <w:rsid w:val="00F26D10"/>
    <w:rsid w:val="00F31DB2"/>
    <w:rsid w:val="00F32987"/>
    <w:rsid w:val="00F3372C"/>
    <w:rsid w:val="00F33824"/>
    <w:rsid w:val="00F33E81"/>
    <w:rsid w:val="00F37CE9"/>
    <w:rsid w:val="00F4530D"/>
    <w:rsid w:val="00F46C9D"/>
    <w:rsid w:val="00F47935"/>
    <w:rsid w:val="00F50490"/>
    <w:rsid w:val="00F50578"/>
    <w:rsid w:val="00F5311A"/>
    <w:rsid w:val="00F5315B"/>
    <w:rsid w:val="00F53A26"/>
    <w:rsid w:val="00F624E1"/>
    <w:rsid w:val="00F63582"/>
    <w:rsid w:val="00F63FAB"/>
    <w:rsid w:val="00F64743"/>
    <w:rsid w:val="00F659CB"/>
    <w:rsid w:val="00F659E2"/>
    <w:rsid w:val="00F67BD0"/>
    <w:rsid w:val="00F8575F"/>
    <w:rsid w:val="00F87577"/>
    <w:rsid w:val="00F87AF0"/>
    <w:rsid w:val="00F87FC8"/>
    <w:rsid w:val="00F95E80"/>
    <w:rsid w:val="00FA1782"/>
    <w:rsid w:val="00FA2A7B"/>
    <w:rsid w:val="00FB11A1"/>
    <w:rsid w:val="00FB4518"/>
    <w:rsid w:val="00FC3E68"/>
    <w:rsid w:val="00FC4FF3"/>
    <w:rsid w:val="00FC66CC"/>
    <w:rsid w:val="00FC6B9F"/>
    <w:rsid w:val="00FC73E5"/>
    <w:rsid w:val="00FD07E1"/>
    <w:rsid w:val="00FD2055"/>
    <w:rsid w:val="00FD4E71"/>
    <w:rsid w:val="00FD4EFA"/>
    <w:rsid w:val="00FD6459"/>
    <w:rsid w:val="00FD6A3F"/>
    <w:rsid w:val="00FE0245"/>
    <w:rsid w:val="00FE1A40"/>
    <w:rsid w:val="00FE25C1"/>
    <w:rsid w:val="00FE31F6"/>
    <w:rsid w:val="00FE6DF9"/>
    <w:rsid w:val="00FF07A2"/>
    <w:rsid w:val="00FF2240"/>
    <w:rsid w:val="00FF2491"/>
    <w:rsid w:val="00FF4577"/>
    <w:rsid w:val="00FF491A"/>
    <w:rsid w:val="00FF4B63"/>
    <w:rsid w:val="00FF53E8"/>
    <w:rsid w:val="00FF5959"/>
    <w:rsid w:val="00FF63E1"/>
    <w:rsid w:val="00FF6CDB"/>
    <w:rsid w:val="5BB6B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9D5351A"/>
  <w15:docId w15:val="{417D0F72-9353-4515-973D-9A4692F3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75747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75747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75747D"/>
    <w:pPr>
      <w:numPr>
        <w:numId w:val="10"/>
      </w:numPr>
      <w:spacing w:after="60" w:line="240" w:lineRule="auto"/>
    </w:pPr>
    <w:rPr>
      <w:rFonts w:ascii="Calibri" w:eastAsia="Calibri" w:hAnsi="Calibri" w:cs="Times New Roman"/>
    </w:rPr>
  </w:style>
  <w:style w:type="paragraph" w:customStyle="1" w:styleId="PageHeader">
    <w:name w:val="*PageHeader"/>
    <w:link w:val="PageHeaderChar"/>
    <w:qFormat/>
    <w:rsid w:val="0075747D"/>
    <w:pPr>
      <w:spacing w:before="120" w:after="0" w:line="240" w:lineRule="auto"/>
    </w:pPr>
    <w:rPr>
      <w:rFonts w:ascii="Calibri" w:eastAsia="Calibri" w:hAnsi="Calibri" w:cs="Times New Roman"/>
      <w:b/>
      <w:sz w:val="18"/>
    </w:rPr>
  </w:style>
  <w:style w:type="character" w:customStyle="1" w:styleId="PageHeaderChar">
    <w:name w:val="*PageHeader Char"/>
    <w:link w:val="PageHeader"/>
    <w:rsid w:val="0075747D"/>
    <w:rPr>
      <w:rFonts w:ascii="Calibri" w:eastAsia="Calibri" w:hAnsi="Calibri" w:cs="Times New Roman"/>
      <w:b/>
      <w:sz w:val="18"/>
    </w:rPr>
  </w:style>
  <w:style w:type="paragraph" w:customStyle="1" w:styleId="FooterText">
    <w:name w:val="*FooterText"/>
    <w:link w:val="FooterTextChar"/>
    <w:qFormat/>
    <w:rsid w:val="0075747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link w:val="FooterText"/>
    <w:rsid w:val="0075747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75747D"/>
    <w:pPr>
      <w:pBdr>
        <w:bottom w:val="single" w:sz="12" w:space="1" w:color="7F7F7F"/>
      </w:pBdr>
      <w:spacing w:after="360" w:line="240" w:lineRule="auto"/>
      <w:ind w:left="2880" w:right="2880"/>
    </w:pPr>
    <w:rPr>
      <w:rFonts w:ascii="Calibri" w:eastAsia="Calibri" w:hAnsi="Calibri" w:cs="Times New Roman"/>
      <w:sz w:val="18"/>
    </w:rPr>
  </w:style>
  <w:style w:type="character" w:customStyle="1" w:styleId="BRChar">
    <w:name w:val="*BR* Char"/>
    <w:link w:val="BR"/>
    <w:rsid w:val="0075747D"/>
    <w:rPr>
      <w:rFonts w:ascii="Calibri" w:eastAsia="Calibri" w:hAnsi="Calibri" w:cs="Times New Roman"/>
      <w:sz w:val="18"/>
    </w:rPr>
  </w:style>
  <w:style w:type="paragraph" w:customStyle="1" w:styleId="BulletedList">
    <w:name w:val="*Bulleted List"/>
    <w:link w:val="BulletedListChar"/>
    <w:qFormat/>
    <w:rsid w:val="0075747D"/>
    <w:pPr>
      <w:numPr>
        <w:numId w:val="6"/>
      </w:numPr>
      <w:spacing w:before="60" w:after="60" w:line="276" w:lineRule="auto"/>
      <w:ind w:left="360"/>
    </w:pPr>
    <w:rPr>
      <w:rFonts w:ascii="Calibri" w:eastAsia="Calibri" w:hAnsi="Calibri" w:cs="Times New Roman"/>
    </w:rPr>
  </w:style>
  <w:style w:type="character" w:customStyle="1" w:styleId="BulletedListChar">
    <w:name w:val="*Bulleted List Char"/>
    <w:link w:val="BulletedList"/>
    <w:rsid w:val="0075747D"/>
    <w:rPr>
      <w:rFonts w:ascii="Calibri" w:eastAsia="Calibri" w:hAnsi="Calibri" w:cs="Times New Roman"/>
    </w:rPr>
  </w:style>
  <w:style w:type="paragraph" w:customStyle="1" w:styleId="ExcerptAuthor">
    <w:name w:val="*ExcerptAuthor"/>
    <w:basedOn w:val="Normal"/>
    <w:link w:val="ExcerptAuthorChar"/>
    <w:qFormat/>
    <w:rsid w:val="0075747D"/>
    <w:pPr>
      <w:jc w:val="center"/>
    </w:pPr>
    <w:rPr>
      <w:rFonts w:ascii="Calibri Light" w:hAnsi="Calibri Light"/>
      <w:b/>
    </w:rPr>
  </w:style>
  <w:style w:type="character" w:customStyle="1" w:styleId="ExcerptAuthorChar">
    <w:name w:val="*ExcerptAuthor Char"/>
    <w:link w:val="ExcerptAuthor"/>
    <w:rsid w:val="0075747D"/>
    <w:rPr>
      <w:rFonts w:ascii="Calibri Light" w:eastAsia="Calibri" w:hAnsi="Calibri Light" w:cs="Times New Roman"/>
      <w:b/>
    </w:rPr>
  </w:style>
  <w:style w:type="paragraph" w:customStyle="1" w:styleId="ExcerptBody">
    <w:name w:val="*ExcerptBody"/>
    <w:basedOn w:val="Normal"/>
    <w:link w:val="ExcerptBodyChar"/>
    <w:qFormat/>
    <w:rsid w:val="0075747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75747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75747D"/>
    <w:pPr>
      <w:jc w:val="center"/>
    </w:pPr>
    <w:rPr>
      <w:rFonts w:ascii="Calibri Light" w:hAnsi="Calibri Light"/>
      <w:b/>
      <w:smallCaps/>
      <w:sz w:val="32"/>
    </w:rPr>
  </w:style>
  <w:style w:type="character" w:customStyle="1" w:styleId="ExcerptTitleChar">
    <w:name w:val="*ExcerptTitle Char"/>
    <w:link w:val="ExcerptTitle"/>
    <w:rsid w:val="0075747D"/>
    <w:rPr>
      <w:rFonts w:ascii="Calibri Light" w:eastAsia="Calibri" w:hAnsi="Calibri Light" w:cs="Times New Roman"/>
      <w:b/>
      <w:smallCaps/>
      <w:sz w:val="32"/>
    </w:rPr>
  </w:style>
  <w:style w:type="paragraph" w:customStyle="1" w:styleId="IN">
    <w:name w:val="*IN*"/>
    <w:link w:val="INChar"/>
    <w:qFormat/>
    <w:rsid w:val="0075747D"/>
    <w:pPr>
      <w:numPr>
        <w:numId w:val="8"/>
      </w:numPr>
      <w:spacing w:before="120" w:after="60" w:line="276" w:lineRule="auto"/>
      <w:ind w:left="360"/>
    </w:pPr>
    <w:rPr>
      <w:rFonts w:ascii="Calibri" w:eastAsia="Calibri" w:hAnsi="Calibri" w:cs="Times New Roman"/>
      <w:color w:val="4F81BD"/>
    </w:rPr>
  </w:style>
  <w:style w:type="character" w:customStyle="1" w:styleId="INChar">
    <w:name w:val="*IN* Char"/>
    <w:link w:val="IN"/>
    <w:rsid w:val="0075747D"/>
    <w:rPr>
      <w:rFonts w:ascii="Calibri" w:eastAsia="Calibri" w:hAnsi="Calibri" w:cs="Times New Roman"/>
      <w:color w:val="4F81BD"/>
    </w:rPr>
  </w:style>
  <w:style w:type="paragraph" w:customStyle="1" w:styleId="INBullet">
    <w:name w:val="*IN* Bullet"/>
    <w:link w:val="INBulletChar"/>
    <w:qFormat/>
    <w:rsid w:val="0075747D"/>
    <w:pPr>
      <w:numPr>
        <w:numId w:val="9"/>
      </w:numPr>
      <w:spacing w:after="60" w:line="276" w:lineRule="auto"/>
      <w:ind w:left="720"/>
    </w:pPr>
    <w:rPr>
      <w:rFonts w:ascii="Calibri" w:eastAsia="Calibri" w:hAnsi="Calibri" w:cs="Times New Roman"/>
      <w:color w:val="4F81BD"/>
    </w:rPr>
  </w:style>
  <w:style w:type="character" w:customStyle="1" w:styleId="INBulletChar">
    <w:name w:val="*IN* Bullet Char"/>
    <w:link w:val="INBullet"/>
    <w:rsid w:val="0075747D"/>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75747D"/>
    <w:pPr>
      <w:pBdr>
        <w:bottom w:val="single" w:sz="12" w:space="1" w:color="9BBB59"/>
      </w:pBdr>
      <w:tabs>
        <w:tab w:val="right" w:pos="9360"/>
      </w:tabs>
      <w:spacing w:before="480" w:after="0" w:line="240" w:lineRule="auto"/>
    </w:pPr>
    <w:rPr>
      <w:rFonts w:ascii="Calibri" w:eastAsia="Calibri" w:hAnsi="Calibri" w:cs="Times New Roman"/>
      <w:b/>
      <w:bCs/>
      <w:color w:val="4F81BD"/>
      <w:sz w:val="28"/>
      <w:szCs w:val="26"/>
    </w:rPr>
  </w:style>
  <w:style w:type="character" w:customStyle="1" w:styleId="LearningSequenceHeaderChar">
    <w:name w:val="*Learning Sequence Header Char"/>
    <w:link w:val="LearningSequenceHeader"/>
    <w:rsid w:val="0075747D"/>
    <w:rPr>
      <w:rFonts w:ascii="Calibri" w:eastAsia="Calibri" w:hAnsi="Calibri" w:cs="Times New Roman"/>
      <w:b/>
      <w:bCs/>
      <w:color w:val="4F81BD"/>
      <w:sz w:val="28"/>
      <w:szCs w:val="26"/>
    </w:rPr>
  </w:style>
  <w:style w:type="character" w:customStyle="1" w:styleId="NumberedListChar">
    <w:name w:val="*Numbered List Char"/>
    <w:link w:val="NumberedList"/>
    <w:rsid w:val="0075747D"/>
    <w:rPr>
      <w:rFonts w:ascii="Calibri" w:eastAsia="Calibri" w:hAnsi="Calibri" w:cs="Times New Roman"/>
    </w:rPr>
  </w:style>
  <w:style w:type="paragraph" w:customStyle="1" w:styleId="Q">
    <w:name w:val="*Q*"/>
    <w:link w:val="QChar"/>
    <w:qFormat/>
    <w:rsid w:val="0075747D"/>
    <w:pPr>
      <w:spacing w:before="240" w:after="0" w:line="276" w:lineRule="auto"/>
    </w:pPr>
    <w:rPr>
      <w:rFonts w:ascii="Calibri" w:eastAsia="Calibri" w:hAnsi="Calibri" w:cs="Times New Roman"/>
      <w:b/>
    </w:rPr>
  </w:style>
  <w:style w:type="character" w:customStyle="1" w:styleId="QChar">
    <w:name w:val="*Q* Char"/>
    <w:link w:val="Q"/>
    <w:rsid w:val="0075747D"/>
    <w:rPr>
      <w:rFonts w:ascii="Calibri" w:eastAsia="Calibri" w:hAnsi="Calibri" w:cs="Times New Roman"/>
      <w:b/>
    </w:rPr>
  </w:style>
  <w:style w:type="paragraph" w:customStyle="1" w:styleId="SA">
    <w:name w:val="*SA*"/>
    <w:link w:val="SAChar"/>
    <w:qFormat/>
    <w:rsid w:val="0075747D"/>
    <w:pPr>
      <w:numPr>
        <w:numId w:val="11"/>
      </w:numPr>
      <w:spacing w:before="120" w:after="0" w:line="276" w:lineRule="auto"/>
    </w:pPr>
    <w:rPr>
      <w:rFonts w:ascii="Calibri" w:eastAsia="Calibri" w:hAnsi="Calibri" w:cs="Times New Roman"/>
    </w:rPr>
  </w:style>
  <w:style w:type="character" w:customStyle="1" w:styleId="SAChar">
    <w:name w:val="*SA* Char"/>
    <w:link w:val="SA"/>
    <w:rsid w:val="0075747D"/>
    <w:rPr>
      <w:rFonts w:ascii="Calibri" w:eastAsia="Calibri" w:hAnsi="Calibri" w:cs="Times New Roman"/>
    </w:rPr>
  </w:style>
  <w:style w:type="paragraph" w:customStyle="1" w:styleId="SASRBullet">
    <w:name w:val="*SA/SR Bullet"/>
    <w:basedOn w:val="Normal"/>
    <w:link w:val="SASRBulletChar"/>
    <w:qFormat/>
    <w:rsid w:val="0075747D"/>
    <w:pPr>
      <w:numPr>
        <w:ilvl w:val="1"/>
        <w:numId w:val="12"/>
      </w:numPr>
      <w:spacing w:before="120"/>
      <w:ind w:left="1080"/>
      <w:contextualSpacing/>
    </w:pPr>
  </w:style>
  <w:style w:type="character" w:customStyle="1" w:styleId="SASRBulletChar">
    <w:name w:val="*SA/SR Bullet Char"/>
    <w:link w:val="SASRBullet"/>
    <w:rsid w:val="0075747D"/>
    <w:rPr>
      <w:rFonts w:ascii="Calibri" w:eastAsia="Calibri" w:hAnsi="Calibri" w:cs="Times New Roman"/>
    </w:rPr>
  </w:style>
  <w:style w:type="paragraph" w:customStyle="1" w:styleId="SR">
    <w:name w:val="*SR*"/>
    <w:link w:val="SRChar"/>
    <w:qFormat/>
    <w:rsid w:val="00563E99"/>
    <w:pPr>
      <w:numPr>
        <w:numId w:val="13"/>
      </w:numPr>
      <w:spacing w:before="120" w:after="0" w:line="276" w:lineRule="auto"/>
      <w:ind w:left="720"/>
    </w:pPr>
    <w:rPr>
      <w:rFonts w:ascii="Calibri" w:eastAsia="Calibri" w:hAnsi="Calibri" w:cs="Times New Roman"/>
    </w:rPr>
  </w:style>
  <w:style w:type="character" w:customStyle="1" w:styleId="SRChar">
    <w:name w:val="*SR* Char"/>
    <w:link w:val="SR"/>
    <w:rsid w:val="00563E99"/>
    <w:rPr>
      <w:rFonts w:ascii="Calibri" w:eastAsia="Calibri" w:hAnsi="Calibri" w:cs="Times New Roman"/>
    </w:rPr>
  </w:style>
  <w:style w:type="paragraph" w:customStyle="1" w:styleId="TableText">
    <w:name w:val="*TableText"/>
    <w:link w:val="TableTextChar"/>
    <w:qFormat/>
    <w:rsid w:val="0075747D"/>
    <w:pPr>
      <w:spacing w:before="40" w:after="40" w:line="276" w:lineRule="auto"/>
    </w:pPr>
    <w:rPr>
      <w:rFonts w:ascii="Calibri" w:eastAsia="Calibri" w:hAnsi="Calibri" w:cs="Times New Roman"/>
    </w:rPr>
  </w:style>
  <w:style w:type="character" w:customStyle="1" w:styleId="TableTextChar">
    <w:name w:val="*TableText Char"/>
    <w:link w:val="TableText"/>
    <w:rsid w:val="0075747D"/>
    <w:rPr>
      <w:rFonts w:ascii="Calibri" w:eastAsia="Calibri" w:hAnsi="Calibri" w:cs="Times New Roman"/>
    </w:rPr>
  </w:style>
  <w:style w:type="paragraph" w:customStyle="1" w:styleId="SubStandard">
    <w:name w:val="*SubStandard"/>
    <w:basedOn w:val="TableText"/>
    <w:link w:val="SubStandardChar"/>
    <w:qFormat/>
    <w:rsid w:val="0075747D"/>
    <w:pPr>
      <w:numPr>
        <w:numId w:val="14"/>
      </w:numPr>
    </w:pPr>
  </w:style>
  <w:style w:type="character" w:customStyle="1" w:styleId="SubStandardChar">
    <w:name w:val="*SubStandard Char"/>
    <w:link w:val="SubStandard"/>
    <w:rsid w:val="0075747D"/>
    <w:rPr>
      <w:rFonts w:ascii="Calibri" w:eastAsia="Calibri" w:hAnsi="Calibri" w:cs="Times New Roman"/>
    </w:rPr>
  </w:style>
  <w:style w:type="paragraph" w:customStyle="1" w:styleId="TA">
    <w:name w:val="*TA*"/>
    <w:link w:val="TAChar"/>
    <w:qFormat/>
    <w:rsid w:val="0075747D"/>
    <w:pPr>
      <w:spacing w:before="180" w:after="180" w:line="240" w:lineRule="auto"/>
    </w:pPr>
    <w:rPr>
      <w:rFonts w:ascii="Calibri" w:eastAsia="Calibri" w:hAnsi="Calibri" w:cs="Times New Roman"/>
    </w:rPr>
  </w:style>
  <w:style w:type="character" w:customStyle="1" w:styleId="TAChar">
    <w:name w:val="*TA* Char"/>
    <w:link w:val="TA"/>
    <w:rsid w:val="0075747D"/>
    <w:rPr>
      <w:rFonts w:ascii="Calibri" w:eastAsia="Calibri" w:hAnsi="Calibri" w:cs="Times New Roman"/>
    </w:rPr>
  </w:style>
  <w:style w:type="paragraph" w:customStyle="1" w:styleId="TableHeaders">
    <w:name w:val="*TableHeaders"/>
    <w:basedOn w:val="Normal"/>
    <w:link w:val="TableHeadersChar"/>
    <w:qFormat/>
    <w:rsid w:val="0075747D"/>
    <w:pPr>
      <w:spacing w:before="40" w:after="40" w:line="240" w:lineRule="auto"/>
    </w:pPr>
    <w:rPr>
      <w:b/>
      <w:color w:val="FFFFFF"/>
    </w:rPr>
  </w:style>
  <w:style w:type="character" w:customStyle="1" w:styleId="TableHeadersChar">
    <w:name w:val="*TableHeaders Char"/>
    <w:link w:val="TableHeaders"/>
    <w:rsid w:val="0075747D"/>
    <w:rPr>
      <w:rFonts w:ascii="Calibri" w:eastAsia="Calibri" w:hAnsi="Calibri" w:cs="Times New Roman"/>
      <w:b/>
      <w:color w:val="FFFFFF"/>
    </w:rPr>
  </w:style>
  <w:style w:type="paragraph" w:customStyle="1" w:styleId="ToolHeader">
    <w:name w:val="*ToolHeader"/>
    <w:qFormat/>
    <w:rsid w:val="0075747D"/>
    <w:pPr>
      <w:spacing w:after="120" w:line="240" w:lineRule="auto"/>
    </w:pPr>
    <w:rPr>
      <w:rFonts w:ascii="Calibri" w:eastAsia="Calibri" w:hAnsi="Calibri" w:cs="Times New Roman"/>
      <w:b/>
      <w:bCs/>
      <w:color w:val="365F91"/>
      <w:sz w:val="32"/>
      <w:szCs w:val="28"/>
    </w:rPr>
  </w:style>
  <w:style w:type="paragraph" w:customStyle="1" w:styleId="ToolTableText">
    <w:name w:val="*ToolTableText"/>
    <w:qFormat/>
    <w:rsid w:val="0075747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75747D"/>
    <w:rPr>
      <w:rFonts w:ascii="Calibri" w:eastAsia="Calibri" w:hAnsi="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qFormat/>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75747D"/>
    <w:pPr>
      <w:ind w:left="360"/>
    </w:pPr>
    <w:rPr>
      <w:color w:val="4F81BD"/>
    </w:rPr>
  </w:style>
  <w:style w:type="paragraph" w:customStyle="1" w:styleId="DCwithSA">
    <w:name w:val="*DC* with *SA*"/>
    <w:basedOn w:val="SA"/>
    <w:qFormat/>
    <w:rsid w:val="00563E99"/>
    <w:rPr>
      <w:color w:val="3F6CAF"/>
    </w:rPr>
  </w:style>
  <w:style w:type="paragraph" w:customStyle="1" w:styleId="DCwithSR">
    <w:name w:val="*DC* with *SR*"/>
    <w:basedOn w:val="SR"/>
    <w:qFormat/>
    <w:rsid w:val="00563E99"/>
    <w:pPr>
      <w:numPr>
        <w:numId w:val="7"/>
      </w:numPr>
      <w:ind w:left="720"/>
    </w:pPr>
    <w:rPr>
      <w:color w:val="4F81BD"/>
    </w:rPr>
  </w:style>
  <w:style w:type="paragraph" w:styleId="Revision">
    <w:name w:val="Revision"/>
    <w:hidden/>
    <w:uiPriority w:val="99"/>
    <w:semiHidden/>
    <w:rsid w:val="002960CD"/>
    <w:pPr>
      <w:spacing w:after="0" w:line="240" w:lineRule="auto"/>
    </w:pPr>
    <w:rPr>
      <w:rFonts w:ascii="Calibri" w:eastAsia="Calibri" w:hAnsi="Calibri" w:cs="Times New Roman"/>
    </w:rPr>
  </w:style>
  <w:style w:type="paragraph" w:styleId="DocumentMap">
    <w:name w:val="Document Map"/>
    <w:basedOn w:val="Normal"/>
    <w:link w:val="DocumentMapChar"/>
    <w:uiPriority w:val="99"/>
    <w:semiHidden/>
    <w:unhideWhenUsed/>
    <w:rsid w:val="00CD0FB7"/>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D0FB7"/>
    <w:rPr>
      <w:rFonts w:ascii="Lucida Grande" w:eastAsia="Calibri"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726102">
      <w:bodyDiv w:val="1"/>
      <w:marLeft w:val="0"/>
      <w:marRight w:val="0"/>
      <w:marTop w:val="0"/>
      <w:marBottom w:val="0"/>
      <w:divBdr>
        <w:top w:val="none" w:sz="0" w:space="0" w:color="auto"/>
        <w:left w:val="none" w:sz="0" w:space="0" w:color="auto"/>
        <w:bottom w:val="none" w:sz="0" w:space="0" w:color="auto"/>
        <w:right w:val="none" w:sz="0" w:space="0" w:color="auto"/>
      </w:divBdr>
    </w:div>
    <w:div w:id="698704178">
      <w:bodyDiv w:val="1"/>
      <w:marLeft w:val="0"/>
      <w:marRight w:val="0"/>
      <w:marTop w:val="0"/>
      <w:marBottom w:val="0"/>
      <w:divBdr>
        <w:top w:val="none" w:sz="0" w:space="0" w:color="auto"/>
        <w:left w:val="none" w:sz="0" w:space="0" w:color="auto"/>
        <w:bottom w:val="none" w:sz="0" w:space="0" w:color="auto"/>
        <w:right w:val="none" w:sz="0" w:space="0" w:color="auto"/>
      </w:divBdr>
    </w:div>
    <w:div w:id="832527138">
      <w:bodyDiv w:val="1"/>
      <w:marLeft w:val="0"/>
      <w:marRight w:val="0"/>
      <w:marTop w:val="0"/>
      <w:marBottom w:val="0"/>
      <w:divBdr>
        <w:top w:val="none" w:sz="0" w:space="0" w:color="auto"/>
        <w:left w:val="none" w:sz="0" w:space="0" w:color="auto"/>
        <w:bottom w:val="none" w:sz="0" w:space="0" w:color="auto"/>
        <w:right w:val="none" w:sz="0" w:space="0" w:color="auto"/>
      </w:divBdr>
      <w:divsChild>
        <w:div w:id="627928695">
          <w:marLeft w:val="0"/>
          <w:marRight w:val="0"/>
          <w:marTop w:val="0"/>
          <w:marBottom w:val="0"/>
          <w:divBdr>
            <w:top w:val="none" w:sz="0" w:space="0" w:color="auto"/>
            <w:left w:val="none" w:sz="0" w:space="0" w:color="auto"/>
            <w:bottom w:val="none" w:sz="0" w:space="0" w:color="auto"/>
            <w:right w:val="none" w:sz="0" w:space="0" w:color="auto"/>
          </w:divBdr>
        </w:div>
        <w:div w:id="91979746">
          <w:marLeft w:val="0"/>
          <w:marRight w:val="0"/>
          <w:marTop w:val="0"/>
          <w:marBottom w:val="0"/>
          <w:divBdr>
            <w:top w:val="none" w:sz="0" w:space="0" w:color="auto"/>
            <w:left w:val="none" w:sz="0" w:space="0" w:color="auto"/>
            <w:bottom w:val="none" w:sz="0" w:space="0" w:color="auto"/>
            <w:right w:val="none" w:sz="0" w:space="0" w:color="auto"/>
          </w:divBdr>
        </w:div>
        <w:div w:id="981957748">
          <w:marLeft w:val="0"/>
          <w:marRight w:val="0"/>
          <w:marTop w:val="0"/>
          <w:marBottom w:val="0"/>
          <w:divBdr>
            <w:top w:val="none" w:sz="0" w:space="0" w:color="auto"/>
            <w:left w:val="none" w:sz="0" w:space="0" w:color="auto"/>
            <w:bottom w:val="none" w:sz="0" w:space="0" w:color="auto"/>
            <w:right w:val="none" w:sz="0" w:space="0" w:color="auto"/>
          </w:divBdr>
        </w:div>
        <w:div w:id="464933475">
          <w:marLeft w:val="0"/>
          <w:marRight w:val="0"/>
          <w:marTop w:val="0"/>
          <w:marBottom w:val="0"/>
          <w:divBdr>
            <w:top w:val="none" w:sz="0" w:space="0" w:color="auto"/>
            <w:left w:val="none" w:sz="0" w:space="0" w:color="auto"/>
            <w:bottom w:val="none" w:sz="0" w:space="0" w:color="auto"/>
            <w:right w:val="none" w:sz="0" w:space="0" w:color="auto"/>
          </w:divBdr>
        </w:div>
      </w:divsChild>
    </w:div>
    <w:div w:id="1014844920">
      <w:bodyDiv w:val="1"/>
      <w:marLeft w:val="0"/>
      <w:marRight w:val="0"/>
      <w:marTop w:val="0"/>
      <w:marBottom w:val="0"/>
      <w:divBdr>
        <w:top w:val="none" w:sz="0" w:space="0" w:color="auto"/>
        <w:left w:val="none" w:sz="0" w:space="0" w:color="auto"/>
        <w:bottom w:val="none" w:sz="0" w:space="0" w:color="auto"/>
        <w:right w:val="none" w:sz="0" w:space="0" w:color="auto"/>
      </w:divBdr>
    </w:div>
    <w:div w:id="1023432573">
      <w:bodyDiv w:val="1"/>
      <w:marLeft w:val="0"/>
      <w:marRight w:val="0"/>
      <w:marTop w:val="0"/>
      <w:marBottom w:val="0"/>
      <w:divBdr>
        <w:top w:val="none" w:sz="0" w:space="0" w:color="auto"/>
        <w:left w:val="none" w:sz="0" w:space="0" w:color="auto"/>
        <w:bottom w:val="none" w:sz="0" w:space="0" w:color="auto"/>
        <w:right w:val="none" w:sz="0" w:space="0" w:color="auto"/>
      </w:divBdr>
      <w:divsChild>
        <w:div w:id="283508805">
          <w:marLeft w:val="0"/>
          <w:marRight w:val="0"/>
          <w:marTop w:val="0"/>
          <w:marBottom w:val="0"/>
          <w:divBdr>
            <w:top w:val="none" w:sz="0" w:space="0" w:color="auto"/>
            <w:left w:val="none" w:sz="0" w:space="0" w:color="auto"/>
            <w:bottom w:val="none" w:sz="0" w:space="0" w:color="auto"/>
            <w:right w:val="none" w:sz="0" w:space="0" w:color="auto"/>
          </w:divBdr>
        </w:div>
        <w:div w:id="1302224897">
          <w:marLeft w:val="0"/>
          <w:marRight w:val="0"/>
          <w:marTop w:val="0"/>
          <w:marBottom w:val="0"/>
          <w:divBdr>
            <w:top w:val="none" w:sz="0" w:space="0" w:color="auto"/>
            <w:left w:val="none" w:sz="0" w:space="0" w:color="auto"/>
            <w:bottom w:val="none" w:sz="0" w:space="0" w:color="auto"/>
            <w:right w:val="none" w:sz="0" w:space="0" w:color="auto"/>
          </w:divBdr>
        </w:div>
        <w:div w:id="762263712">
          <w:marLeft w:val="0"/>
          <w:marRight w:val="0"/>
          <w:marTop w:val="0"/>
          <w:marBottom w:val="0"/>
          <w:divBdr>
            <w:top w:val="none" w:sz="0" w:space="0" w:color="auto"/>
            <w:left w:val="none" w:sz="0" w:space="0" w:color="auto"/>
            <w:bottom w:val="none" w:sz="0" w:space="0" w:color="auto"/>
            <w:right w:val="none" w:sz="0" w:space="0" w:color="auto"/>
          </w:divBdr>
        </w:div>
        <w:div w:id="2030644852">
          <w:marLeft w:val="0"/>
          <w:marRight w:val="0"/>
          <w:marTop w:val="0"/>
          <w:marBottom w:val="0"/>
          <w:divBdr>
            <w:top w:val="none" w:sz="0" w:space="0" w:color="auto"/>
            <w:left w:val="none" w:sz="0" w:space="0" w:color="auto"/>
            <w:bottom w:val="none" w:sz="0" w:space="0" w:color="auto"/>
            <w:right w:val="none" w:sz="0" w:space="0" w:color="auto"/>
          </w:divBdr>
        </w:div>
      </w:divsChild>
    </w:div>
    <w:div w:id="1133327426">
      <w:bodyDiv w:val="1"/>
      <w:marLeft w:val="0"/>
      <w:marRight w:val="0"/>
      <w:marTop w:val="0"/>
      <w:marBottom w:val="0"/>
      <w:divBdr>
        <w:top w:val="none" w:sz="0" w:space="0" w:color="auto"/>
        <w:left w:val="none" w:sz="0" w:space="0" w:color="auto"/>
        <w:bottom w:val="none" w:sz="0" w:space="0" w:color="auto"/>
        <w:right w:val="none" w:sz="0" w:space="0" w:color="auto"/>
      </w:divBdr>
    </w:div>
    <w:div w:id="1619146519">
      <w:bodyDiv w:val="1"/>
      <w:marLeft w:val="0"/>
      <w:marRight w:val="0"/>
      <w:marTop w:val="0"/>
      <w:marBottom w:val="0"/>
      <w:divBdr>
        <w:top w:val="none" w:sz="0" w:space="0" w:color="auto"/>
        <w:left w:val="none" w:sz="0" w:space="0" w:color="auto"/>
        <w:bottom w:val="none" w:sz="0" w:space="0" w:color="auto"/>
        <w:right w:val="none" w:sz="0" w:space="0" w:color="auto"/>
      </w:divBdr>
      <w:divsChild>
        <w:div w:id="1071000934">
          <w:marLeft w:val="0"/>
          <w:marRight w:val="0"/>
          <w:marTop w:val="0"/>
          <w:marBottom w:val="0"/>
          <w:divBdr>
            <w:top w:val="none" w:sz="0" w:space="0" w:color="auto"/>
            <w:left w:val="none" w:sz="0" w:space="0" w:color="auto"/>
            <w:bottom w:val="none" w:sz="0" w:space="0" w:color="auto"/>
            <w:right w:val="none" w:sz="0" w:space="0" w:color="auto"/>
          </w:divBdr>
        </w:div>
        <w:div w:id="1006595956">
          <w:marLeft w:val="0"/>
          <w:marRight w:val="0"/>
          <w:marTop w:val="0"/>
          <w:marBottom w:val="0"/>
          <w:divBdr>
            <w:top w:val="none" w:sz="0" w:space="0" w:color="auto"/>
            <w:left w:val="none" w:sz="0" w:space="0" w:color="auto"/>
            <w:bottom w:val="none" w:sz="0" w:space="0" w:color="auto"/>
            <w:right w:val="none" w:sz="0" w:space="0" w:color="auto"/>
          </w:divBdr>
        </w:div>
        <w:div w:id="1790319097">
          <w:marLeft w:val="0"/>
          <w:marRight w:val="0"/>
          <w:marTop w:val="0"/>
          <w:marBottom w:val="0"/>
          <w:divBdr>
            <w:top w:val="none" w:sz="0" w:space="0" w:color="auto"/>
            <w:left w:val="none" w:sz="0" w:space="0" w:color="auto"/>
            <w:bottom w:val="none" w:sz="0" w:space="0" w:color="auto"/>
            <w:right w:val="none" w:sz="0" w:space="0" w:color="auto"/>
          </w:divBdr>
        </w:div>
        <w:div w:id="82655125">
          <w:marLeft w:val="0"/>
          <w:marRight w:val="0"/>
          <w:marTop w:val="0"/>
          <w:marBottom w:val="0"/>
          <w:divBdr>
            <w:top w:val="none" w:sz="0" w:space="0" w:color="auto"/>
            <w:left w:val="none" w:sz="0" w:space="0" w:color="auto"/>
            <w:bottom w:val="none" w:sz="0" w:space="0" w:color="auto"/>
            <w:right w:val="none" w:sz="0" w:space="0" w:color="auto"/>
          </w:divBdr>
        </w:div>
      </w:divsChild>
    </w:div>
    <w:div w:id="1746295137">
      <w:bodyDiv w:val="1"/>
      <w:marLeft w:val="0"/>
      <w:marRight w:val="0"/>
      <w:marTop w:val="0"/>
      <w:marBottom w:val="0"/>
      <w:divBdr>
        <w:top w:val="none" w:sz="0" w:space="0" w:color="auto"/>
        <w:left w:val="none" w:sz="0" w:space="0" w:color="auto"/>
        <w:bottom w:val="none" w:sz="0" w:space="0" w:color="auto"/>
        <w:right w:val="none" w:sz="0" w:space="0" w:color="auto"/>
      </w:divBdr>
    </w:div>
    <w:div w:id="186721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B3914-8CE7-4710-BFFA-3F79C4533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3287</Words>
  <Characters>18741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21985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Wade, Michelle</cp:lastModifiedBy>
  <cp:revision>2</cp:revision>
  <cp:lastPrinted>2015-04-06T15:11:00Z</cp:lastPrinted>
  <dcterms:created xsi:type="dcterms:W3CDTF">2015-06-29T21:16:00Z</dcterms:created>
  <dcterms:modified xsi:type="dcterms:W3CDTF">2015-06-29T21:16:00Z</dcterms:modified>
</cp:coreProperties>
</file>