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583A38A9" w14:textId="77777777" w:rsidTr="01A4244B">
        <w:trPr>
          <w:trHeight w:val="1008"/>
        </w:trPr>
        <w:tc>
          <w:tcPr>
            <w:tcW w:w="1872" w:type="dxa"/>
            <w:shd w:val="clear" w:color="auto" w:fill="385623"/>
            <w:vAlign w:val="center"/>
          </w:tcPr>
          <w:p w14:paraId="4E8CF863" w14:textId="77777777" w:rsidR="00790BCC" w:rsidRPr="00E21CE6" w:rsidRDefault="00345235" w:rsidP="00D31F4D">
            <w:pPr>
              <w:pStyle w:val="Header-banner"/>
            </w:pPr>
            <w:bookmarkStart w:id="0" w:name="_GoBack"/>
            <w:bookmarkEnd w:id="0"/>
            <w:r>
              <w:t>12.4</w:t>
            </w:r>
            <w:r w:rsidR="00790BCC" w:rsidRPr="00E21CE6">
              <w:t>.</w:t>
            </w:r>
            <w:r>
              <w:t>2</w:t>
            </w:r>
          </w:p>
        </w:tc>
        <w:tc>
          <w:tcPr>
            <w:tcW w:w="7578" w:type="dxa"/>
            <w:shd w:val="clear" w:color="auto" w:fill="76923C"/>
            <w:vAlign w:val="center"/>
          </w:tcPr>
          <w:p w14:paraId="1121C975" w14:textId="7E6C7445" w:rsidR="00790BCC" w:rsidRPr="00E21CE6" w:rsidRDefault="01A4244B" w:rsidP="00D31F4D">
            <w:pPr>
              <w:pStyle w:val="Header2banner"/>
            </w:pPr>
            <w:r>
              <w:t>Lesson 22</w:t>
            </w:r>
          </w:p>
        </w:tc>
      </w:tr>
    </w:tbl>
    <w:p w14:paraId="4C9C9D36" w14:textId="77777777" w:rsidR="00790BCC" w:rsidRPr="00790BCC" w:rsidRDefault="00790BCC" w:rsidP="00D31F4D">
      <w:pPr>
        <w:pStyle w:val="Heading1"/>
      </w:pPr>
      <w:r w:rsidRPr="00790BCC">
        <w:t>Introduction</w:t>
      </w:r>
    </w:p>
    <w:p w14:paraId="715BD0B6" w14:textId="2AC160C0" w:rsidR="00AB37E7" w:rsidRPr="00CB6410" w:rsidRDefault="00AB37E7" w:rsidP="00864F11">
      <w:r w:rsidRPr="00CB6410">
        <w:t xml:space="preserve">In this lesson, students analyze </w:t>
      </w:r>
      <w:r w:rsidR="00F013B2" w:rsidRPr="00CB6410">
        <w:t>“The Overcoat” and</w:t>
      </w:r>
      <w:r w:rsidR="00F013B2" w:rsidRPr="00553B5D">
        <w:rPr>
          <w:i/>
        </w:rPr>
        <w:t xml:space="preserve"> </w:t>
      </w:r>
      <w:r w:rsidRPr="00553B5D">
        <w:rPr>
          <w:i/>
        </w:rPr>
        <w:t>The Namesake</w:t>
      </w:r>
      <w:r w:rsidR="00996549" w:rsidRPr="00CB6410">
        <w:t xml:space="preserve"> </w:t>
      </w:r>
      <w:r w:rsidRPr="00CB6410">
        <w:t>in preparation for the</w:t>
      </w:r>
      <w:r w:rsidR="00146B4D">
        <w:t xml:space="preserve"> 12.4.2</w:t>
      </w:r>
      <w:r w:rsidRPr="00CB6410">
        <w:t xml:space="preserve"> End-of-Unit Assessment in the following lesson. Students work in pairs to discuss the text and develop two claims supported by evidence in response to the</w:t>
      </w:r>
      <w:r w:rsidR="00747B7D">
        <w:t xml:space="preserve"> 12.4.2</w:t>
      </w:r>
      <w:r w:rsidRPr="00CB6410">
        <w:t xml:space="preserve"> End-of-Unit Assessment prompt:</w:t>
      </w:r>
      <w:r w:rsidR="006364C8" w:rsidRPr="00CB6410">
        <w:t xml:space="preserve"> </w:t>
      </w:r>
      <w:r w:rsidR="00864F11">
        <w:t>Compare Nikolai Gogol</w:t>
      </w:r>
      <w:r w:rsidR="003674F3">
        <w:t>’s</w:t>
      </w:r>
      <w:r w:rsidR="00864F11">
        <w:t xml:space="preserve"> and Jhumpa Lahiri’s approaches to identity in “The Overcoat” and </w:t>
      </w:r>
      <w:r w:rsidR="00864F11" w:rsidRPr="00DE6185">
        <w:rPr>
          <w:i/>
        </w:rPr>
        <w:t>The Namesake</w:t>
      </w:r>
      <w:r w:rsidR="00864F11">
        <w:t xml:space="preserve">. </w:t>
      </w:r>
      <w:r w:rsidRPr="00CB6410">
        <w:t>Student analysis focuses on</w:t>
      </w:r>
      <w:r w:rsidR="0044455F" w:rsidRPr="00CB6410">
        <w:t xml:space="preserve"> making connections between the two texts </w:t>
      </w:r>
      <w:r w:rsidR="00A623B1">
        <w:t>by</w:t>
      </w:r>
      <w:r w:rsidR="0044455F" w:rsidRPr="00CB6410">
        <w:t xml:space="preserve"> analyzing </w:t>
      </w:r>
      <w:r w:rsidR="00F04A56" w:rsidRPr="00CB6410">
        <w:t>how</w:t>
      </w:r>
      <w:r w:rsidR="00747C61">
        <w:t xml:space="preserve"> the concept of </w:t>
      </w:r>
      <w:r w:rsidR="006364C8" w:rsidRPr="00CB6410">
        <w:t xml:space="preserve">identity is treated in </w:t>
      </w:r>
      <w:r w:rsidR="0044455F" w:rsidRPr="00CB6410">
        <w:t xml:space="preserve">“The Overcoat” </w:t>
      </w:r>
      <w:r w:rsidR="008B5A90">
        <w:t xml:space="preserve">and </w:t>
      </w:r>
      <w:r w:rsidR="0044455F" w:rsidRPr="00553B5D">
        <w:rPr>
          <w:i/>
        </w:rPr>
        <w:t>The Namesake</w:t>
      </w:r>
      <w:r w:rsidR="0044455F" w:rsidRPr="00CB6410">
        <w:t>.</w:t>
      </w:r>
      <w:r w:rsidRPr="00CB6410">
        <w:t xml:space="preserve"> </w:t>
      </w:r>
      <w:r w:rsidR="0044455F" w:rsidRPr="00CB6410">
        <w:t xml:space="preserve">Students </w:t>
      </w:r>
      <w:r w:rsidR="001C005E" w:rsidRPr="00CB6410">
        <w:t xml:space="preserve">are assessed via the completion of </w:t>
      </w:r>
      <w:r w:rsidRPr="00CB6410">
        <w:t xml:space="preserve">the 12.4.2 Lesson 22 Exit Slip in which they </w:t>
      </w:r>
      <w:r w:rsidR="00C57E94">
        <w:t>identify</w:t>
      </w:r>
      <w:r w:rsidRPr="00CB6410">
        <w:t xml:space="preserve"> two claims they developed </w:t>
      </w:r>
      <w:r w:rsidR="003674F3">
        <w:t>in pairs</w:t>
      </w:r>
      <w:r w:rsidRPr="00CB6410">
        <w:t>.</w:t>
      </w:r>
    </w:p>
    <w:p w14:paraId="25E79EC5" w14:textId="5C4AADDD" w:rsidR="00183B86" w:rsidRPr="00790BCC" w:rsidRDefault="00183B86" w:rsidP="00183B86">
      <w:r>
        <w:t>For homework, students review and expand their notes</w:t>
      </w:r>
      <w:r w:rsidR="00BD11CB">
        <w:t>,</w:t>
      </w:r>
      <w:r>
        <w:t xml:space="preserve"> annotations</w:t>
      </w:r>
      <w:r w:rsidR="00BD11CB">
        <w:t>, and Quick Writes</w:t>
      </w:r>
      <w:r>
        <w:t xml:space="preserve"> in preparation for the 12.4.2 End-of-Unit Assessment in the following lesson.</w:t>
      </w:r>
      <w:r w:rsidR="00BD11CB">
        <w:t xml:space="preserve"> Additionally, students review the 12.4.2 End-of-Unit Rubric and Checklist to prepare for the End-of-Unit Assessment. </w:t>
      </w:r>
    </w:p>
    <w:p w14:paraId="5D2AF6A8" w14:textId="77777777"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14:paraId="06B6FF9E" w14:textId="77777777" w:rsidTr="00C23017">
        <w:tc>
          <w:tcPr>
            <w:tcW w:w="9450" w:type="dxa"/>
            <w:gridSpan w:val="2"/>
            <w:shd w:val="clear" w:color="auto" w:fill="76923C"/>
          </w:tcPr>
          <w:p w14:paraId="54456EC3" w14:textId="77777777" w:rsidR="00790BCC" w:rsidRPr="00E21CE6" w:rsidRDefault="00790BCC" w:rsidP="007017EB">
            <w:pPr>
              <w:pStyle w:val="TableHeaders"/>
            </w:pPr>
            <w:r w:rsidRPr="00E21CE6">
              <w:t>Assessed Standard(s)</w:t>
            </w:r>
          </w:p>
        </w:tc>
      </w:tr>
      <w:tr w:rsidR="00537A7C" w:rsidRPr="00790BCC" w14:paraId="36E06E77" w14:textId="77777777" w:rsidTr="002D7299">
        <w:tc>
          <w:tcPr>
            <w:tcW w:w="1214" w:type="dxa"/>
          </w:tcPr>
          <w:p w14:paraId="3578FC88" w14:textId="00D61C80" w:rsidR="00537A7C" w:rsidRDefault="002D7299" w:rsidP="00537A7C">
            <w:pPr>
              <w:pStyle w:val="TableText"/>
            </w:pPr>
            <w:r>
              <w:t>CCRA.R.9</w:t>
            </w:r>
          </w:p>
        </w:tc>
        <w:tc>
          <w:tcPr>
            <w:tcW w:w="8236" w:type="dxa"/>
          </w:tcPr>
          <w:p w14:paraId="7D7CC6B8" w14:textId="0A4AA4DF" w:rsidR="00537A7C" w:rsidRPr="00D9789E" w:rsidRDefault="002D7299" w:rsidP="00D9789E">
            <w:pPr>
              <w:pStyle w:val="TableText"/>
            </w:pPr>
            <w:r>
              <w:t>Analyze how two or more texts address similar themes or topics in order to build knowledge or to compare the approaches the authors take.</w:t>
            </w:r>
          </w:p>
        </w:tc>
      </w:tr>
      <w:tr w:rsidR="009925B6" w:rsidRPr="00790BCC" w14:paraId="2F6AA5EA" w14:textId="77777777" w:rsidTr="00553A53">
        <w:tc>
          <w:tcPr>
            <w:tcW w:w="1214" w:type="dxa"/>
          </w:tcPr>
          <w:p w14:paraId="317A0D1F" w14:textId="77777777" w:rsidR="009925B6" w:rsidRDefault="009925B6" w:rsidP="00553A53">
            <w:pPr>
              <w:pStyle w:val="TableText"/>
            </w:pPr>
            <w:r>
              <w:t>RL.11-12.2</w:t>
            </w:r>
          </w:p>
        </w:tc>
        <w:tc>
          <w:tcPr>
            <w:tcW w:w="8236" w:type="dxa"/>
          </w:tcPr>
          <w:p w14:paraId="32562F8B" w14:textId="77777777" w:rsidR="009925B6" w:rsidRDefault="009925B6" w:rsidP="00553A53">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9925B6" w:rsidRPr="00790BCC" w14:paraId="55158811" w14:textId="77777777" w:rsidTr="00553A53">
        <w:tc>
          <w:tcPr>
            <w:tcW w:w="1214" w:type="dxa"/>
          </w:tcPr>
          <w:p w14:paraId="296BC140" w14:textId="77777777" w:rsidR="009925B6" w:rsidRDefault="009925B6" w:rsidP="00553A53">
            <w:pPr>
              <w:pStyle w:val="TableText"/>
            </w:pPr>
            <w:r>
              <w:t>RL.11-12.3</w:t>
            </w:r>
          </w:p>
        </w:tc>
        <w:tc>
          <w:tcPr>
            <w:tcW w:w="8236" w:type="dxa"/>
          </w:tcPr>
          <w:p w14:paraId="25E1736B" w14:textId="77777777" w:rsidR="009925B6" w:rsidRDefault="009925B6" w:rsidP="00553A53">
            <w:pPr>
              <w:pStyle w:val="TableText"/>
            </w:pPr>
            <w:r w:rsidRPr="00743D34">
              <w:t>A</w:t>
            </w:r>
            <w:r>
              <w:t>nalyze the impact of the author’</w:t>
            </w:r>
            <w:r w:rsidRPr="00743D34">
              <w:t>s choices regarding how to develop and relate elements of a story or drama (e.g., where a story is set, how the action is ordered, how the characters are introduced and developed).</w:t>
            </w:r>
          </w:p>
        </w:tc>
      </w:tr>
      <w:tr w:rsidR="009925B6" w:rsidRPr="00790BCC" w14:paraId="0C59111E" w14:textId="77777777" w:rsidTr="00553A53">
        <w:tc>
          <w:tcPr>
            <w:tcW w:w="1214" w:type="dxa"/>
          </w:tcPr>
          <w:p w14:paraId="3611D6DB" w14:textId="77777777" w:rsidR="009925B6" w:rsidRDefault="009925B6" w:rsidP="00553A53">
            <w:pPr>
              <w:pStyle w:val="TableText"/>
            </w:pPr>
            <w:r>
              <w:t>RL.11-12.5</w:t>
            </w:r>
          </w:p>
        </w:tc>
        <w:tc>
          <w:tcPr>
            <w:tcW w:w="8236" w:type="dxa"/>
          </w:tcPr>
          <w:p w14:paraId="656C71DD" w14:textId="77777777" w:rsidR="009925B6" w:rsidRDefault="009925B6" w:rsidP="00553A53">
            <w:pPr>
              <w:pStyle w:val="TableText"/>
            </w:pPr>
            <w:r w:rsidRPr="0011560C">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0B5248" w:rsidRPr="00790BCC" w14:paraId="545368CF" w14:textId="77777777" w:rsidTr="00BB058D">
        <w:tc>
          <w:tcPr>
            <w:tcW w:w="1214" w:type="dxa"/>
          </w:tcPr>
          <w:p w14:paraId="491F7356" w14:textId="77777777" w:rsidR="000B5248" w:rsidRDefault="000B5248" w:rsidP="00BB058D">
            <w:pPr>
              <w:pStyle w:val="TableText"/>
            </w:pPr>
            <w:r>
              <w:t>W.11-12. 9.a</w:t>
            </w:r>
          </w:p>
        </w:tc>
        <w:tc>
          <w:tcPr>
            <w:tcW w:w="8236" w:type="dxa"/>
          </w:tcPr>
          <w:p w14:paraId="56987612" w14:textId="77777777" w:rsidR="000B5248" w:rsidRDefault="000B5248" w:rsidP="00BB058D">
            <w:pPr>
              <w:pStyle w:val="TableText"/>
            </w:pPr>
            <w:r w:rsidRPr="00980D65">
              <w:t>Draw evidence from literary or informational texts to support analysis, reflection, and research.</w:t>
            </w:r>
          </w:p>
          <w:p w14:paraId="31F6637C" w14:textId="77777777" w:rsidR="000B5248" w:rsidRPr="00D027B3" w:rsidRDefault="000B5248" w:rsidP="00BB058D">
            <w:pPr>
              <w:pStyle w:val="SubStandard"/>
            </w:pPr>
            <w:r>
              <w:t xml:space="preserve">Apply </w:t>
            </w:r>
            <w:r w:rsidRPr="00122394">
              <w:rPr>
                <w:i/>
              </w:rPr>
              <w:t>grades 11</w:t>
            </w:r>
            <w:r>
              <w:t>–</w:t>
            </w:r>
            <w:r w:rsidRPr="00122394">
              <w:rPr>
                <w:i/>
              </w:rPr>
              <w:t xml:space="preserve">12 Reading standards </w:t>
            </w:r>
            <w:r>
              <w:t xml:space="preserve">to literature (e.g., “Demonstrate knowledge </w:t>
            </w:r>
            <w:r>
              <w:lastRenderedPageBreak/>
              <w:t>of eighteenth-, nineteenth- and early-twentieth-century foundational works of American literature, including how two or more texts from the same period treat similar themes or topics”).</w:t>
            </w:r>
          </w:p>
        </w:tc>
      </w:tr>
      <w:tr w:rsidR="00790BCC" w:rsidRPr="00790BCC" w14:paraId="56742FB6" w14:textId="77777777" w:rsidTr="00C23017">
        <w:tc>
          <w:tcPr>
            <w:tcW w:w="9450" w:type="dxa"/>
            <w:gridSpan w:val="2"/>
            <w:shd w:val="clear" w:color="auto" w:fill="76923C"/>
          </w:tcPr>
          <w:p w14:paraId="224F476F" w14:textId="77777777" w:rsidR="00790BCC" w:rsidRPr="00E21CE6" w:rsidRDefault="00790BCC" w:rsidP="007017EB">
            <w:pPr>
              <w:pStyle w:val="TableHeaders"/>
            </w:pPr>
            <w:r w:rsidRPr="00E21CE6">
              <w:lastRenderedPageBreak/>
              <w:t>Addressed Standard(s)</w:t>
            </w:r>
          </w:p>
        </w:tc>
      </w:tr>
      <w:tr w:rsidR="00C550FF" w:rsidRPr="00790BCC" w14:paraId="0D9EA48C" w14:textId="77777777" w:rsidTr="00C23017">
        <w:tc>
          <w:tcPr>
            <w:tcW w:w="1214" w:type="dxa"/>
          </w:tcPr>
          <w:p w14:paraId="2BC2E775" w14:textId="3027485D" w:rsidR="00C550FF" w:rsidRDefault="00C550FF" w:rsidP="003674F3">
            <w:pPr>
              <w:pStyle w:val="TableText"/>
            </w:pPr>
            <w:r>
              <w:t>W.11-</w:t>
            </w:r>
            <w:r w:rsidR="003674F3">
              <w:t>1</w:t>
            </w:r>
            <w:r>
              <w:t>2.</w:t>
            </w:r>
            <w:r w:rsidR="003674F3">
              <w:t xml:space="preserve"> </w:t>
            </w:r>
            <w:r>
              <w:t>3.a-d</w:t>
            </w:r>
          </w:p>
        </w:tc>
        <w:tc>
          <w:tcPr>
            <w:tcW w:w="8236" w:type="dxa"/>
          </w:tcPr>
          <w:p w14:paraId="54DF3FC1" w14:textId="77777777" w:rsidR="00C550FF" w:rsidRDefault="00C550FF" w:rsidP="00C550FF">
            <w:pPr>
              <w:pStyle w:val="TableText"/>
            </w:pPr>
            <w:r>
              <w:t>Write narratives to develop real or imagined experiences or events using effective technique, well-chosen details, and well-structure event sequences.</w:t>
            </w:r>
          </w:p>
          <w:p w14:paraId="139D9F11" w14:textId="762CE5E6" w:rsidR="00C550FF" w:rsidRPr="00622A01" w:rsidRDefault="00C550FF" w:rsidP="00CB6410">
            <w:pPr>
              <w:pStyle w:val="SubStandard"/>
              <w:numPr>
                <w:ilvl w:val="0"/>
                <w:numId w:val="3"/>
              </w:numPr>
            </w:pPr>
            <w:r w:rsidRPr="00622A01">
              <w:t xml:space="preserve">Engage </w:t>
            </w:r>
            <w:r w:rsidR="003674F3">
              <w:t xml:space="preserve">and orient </w:t>
            </w:r>
            <w:r w:rsidRPr="00622A01">
              <w:t>the reader by setting out a problem, situation, or observation and its significance, establishing one or multiple point(s) of view, and introducing a narrator and/or character</w:t>
            </w:r>
            <w:r w:rsidR="003674F3">
              <w:t>s</w:t>
            </w:r>
            <w:r w:rsidRPr="00622A01">
              <w:t>; create a smooth progression of experiences or events.</w:t>
            </w:r>
          </w:p>
          <w:p w14:paraId="6202CD99" w14:textId="6D613337" w:rsidR="00C550FF" w:rsidRPr="00622A01" w:rsidRDefault="00C550FF" w:rsidP="00271831">
            <w:pPr>
              <w:pStyle w:val="SubStandard"/>
            </w:pPr>
            <w:r w:rsidRPr="00622A01">
              <w:t xml:space="preserve">Use narrative techniques, such as dialogue, pacing, description, reflection, and multiple plot lines, to develop experiences, events, and/or characters. </w:t>
            </w:r>
          </w:p>
          <w:p w14:paraId="20965D32" w14:textId="44F6B60C" w:rsidR="00C550FF" w:rsidRPr="00622A01" w:rsidRDefault="00C550FF" w:rsidP="00271831">
            <w:pPr>
              <w:pStyle w:val="SubStandard"/>
            </w:pPr>
            <w:r w:rsidRPr="00622A01">
              <w:t>Use a variety of techniques to sequence events so that they build on one another to create a coherent whole and build toward a particular tone and outcome (e.g., a sense of mystery, suspense, growth, or resolution).</w:t>
            </w:r>
          </w:p>
          <w:p w14:paraId="6F363510" w14:textId="47B2C7F2" w:rsidR="00C550FF" w:rsidRPr="00980D65" w:rsidRDefault="00C550FF" w:rsidP="00271831">
            <w:pPr>
              <w:pStyle w:val="SubStandard"/>
            </w:pPr>
            <w:r w:rsidRPr="00622A01">
              <w:t>Use precise words and phrases, telling details, and sensory language to convey a vivid picture of the experiences, events, setting, and/or characters.</w:t>
            </w:r>
          </w:p>
        </w:tc>
      </w:tr>
      <w:tr w:rsidR="00790BCC" w:rsidRPr="00790BCC" w14:paraId="4D7CFB7E" w14:textId="77777777" w:rsidTr="00C23017">
        <w:tc>
          <w:tcPr>
            <w:tcW w:w="1214" w:type="dxa"/>
          </w:tcPr>
          <w:p w14:paraId="42573069" w14:textId="451ADE54" w:rsidR="00790BCC" w:rsidRPr="00790BCC" w:rsidRDefault="00FE1AD3" w:rsidP="007017EB">
            <w:pPr>
              <w:pStyle w:val="TableText"/>
            </w:pPr>
            <w:r>
              <w:t>SL.11-12.1</w:t>
            </w:r>
          </w:p>
        </w:tc>
        <w:tc>
          <w:tcPr>
            <w:tcW w:w="8236" w:type="dxa"/>
          </w:tcPr>
          <w:p w14:paraId="755B5FF4" w14:textId="7184FD86" w:rsidR="00790BCC" w:rsidRPr="003674F3" w:rsidRDefault="00FE1AD3">
            <w:pPr>
              <w:pStyle w:val="TableText"/>
              <w:rPr>
                <w:rFonts w:asciiTheme="majorHAnsi" w:eastAsiaTheme="majorEastAsia" w:hAnsiTheme="majorHAnsi" w:cstheme="majorBidi"/>
                <w:i/>
                <w:iCs/>
                <w:color w:val="1F4D78" w:themeColor="accent1" w:themeShade="7F"/>
              </w:rPr>
            </w:pPr>
            <w:r w:rsidRPr="00EA5C02">
              <w:t xml:space="preserve">Initiate and participate effectively in a range of collaborative discussions (one-on-one, in groups, and teacher-led) with diverse partners on </w:t>
            </w:r>
            <w:r w:rsidRPr="009B277E">
              <w:rPr>
                <w:i/>
              </w:rPr>
              <w:t>grades 11</w:t>
            </w:r>
            <w:r w:rsidR="009B277E" w:rsidRPr="003674F3">
              <w:rPr>
                <w:i/>
              </w:rPr>
              <w:t>–</w:t>
            </w:r>
            <w:r w:rsidRPr="009B277E">
              <w:rPr>
                <w:i/>
              </w:rPr>
              <w:t>12 topics, texts, and issues</w:t>
            </w:r>
            <w:r w:rsidRPr="00EA5C02">
              <w:t>, building on others’ ideas and expressing their own clearly and persuasively.</w:t>
            </w:r>
          </w:p>
        </w:tc>
      </w:tr>
    </w:tbl>
    <w:p w14:paraId="4EC8E152"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8D260B4" w14:textId="77777777" w:rsidTr="00C23017">
        <w:tc>
          <w:tcPr>
            <w:tcW w:w="9450" w:type="dxa"/>
            <w:shd w:val="clear" w:color="auto" w:fill="76923C"/>
          </w:tcPr>
          <w:p w14:paraId="0B78EABF" w14:textId="77777777" w:rsidR="00790BCC" w:rsidRPr="00E21CE6" w:rsidRDefault="00790BCC" w:rsidP="007017EB">
            <w:pPr>
              <w:pStyle w:val="TableHeaders"/>
            </w:pPr>
            <w:r w:rsidRPr="00E21CE6">
              <w:t>Assessment(s)</w:t>
            </w:r>
          </w:p>
        </w:tc>
      </w:tr>
      <w:tr w:rsidR="00790BCC" w:rsidRPr="00790BCC" w14:paraId="1BD60C08" w14:textId="77777777" w:rsidTr="00C23017">
        <w:tc>
          <w:tcPr>
            <w:tcW w:w="9450" w:type="dxa"/>
            <w:tcBorders>
              <w:top w:val="single" w:sz="4" w:space="0" w:color="auto"/>
              <w:left w:val="single" w:sz="4" w:space="0" w:color="auto"/>
              <w:bottom w:val="single" w:sz="4" w:space="0" w:color="auto"/>
              <w:right w:val="single" w:sz="4" w:space="0" w:color="auto"/>
            </w:tcBorders>
          </w:tcPr>
          <w:p w14:paraId="79D49F85" w14:textId="3FC92C36" w:rsidR="00537A7C" w:rsidRDefault="00537A7C" w:rsidP="00537A7C">
            <w:pPr>
              <w:pStyle w:val="TableText"/>
            </w:pPr>
            <w:r>
              <w:t xml:space="preserve">Student learning is assessed via </w:t>
            </w:r>
            <w:r w:rsidR="001B562E">
              <w:t>a</w:t>
            </w:r>
            <w:r w:rsidR="002139D3">
              <w:t xml:space="preserve">n Exit Slip </w:t>
            </w:r>
            <w:r>
              <w:t>at the end of the lesson. Students</w:t>
            </w:r>
            <w:r w:rsidR="002139D3">
              <w:t xml:space="preserve"> </w:t>
            </w:r>
            <w:r w:rsidR="00C57E94">
              <w:t>identify</w:t>
            </w:r>
            <w:r w:rsidR="00C258E1">
              <w:t xml:space="preserve"> two claims they developed with their partners in response to the</w:t>
            </w:r>
            <w:r w:rsidR="00A44A56">
              <w:t xml:space="preserve"> following</w:t>
            </w:r>
            <w:r w:rsidR="00C258E1">
              <w:t xml:space="preserve"> End-of-Unit Assessment prompt</w:t>
            </w:r>
            <w:r w:rsidR="00A44A56">
              <w:t>:</w:t>
            </w:r>
          </w:p>
          <w:p w14:paraId="6CF8B21E" w14:textId="6026578F" w:rsidR="00790BCC" w:rsidRPr="001A5758" w:rsidRDefault="00C57E94" w:rsidP="006364C8">
            <w:pPr>
              <w:pStyle w:val="BulletedList"/>
            </w:pPr>
            <w:r>
              <w:t>Compare Nikolai Gogol</w:t>
            </w:r>
            <w:r w:rsidR="003674F3">
              <w:t>’s</w:t>
            </w:r>
            <w:r>
              <w:t xml:space="preserve"> and Jhumpa Lahiri’s approaches to identity in “The Overcoat” and </w:t>
            </w:r>
            <w:r w:rsidRPr="00DE6185">
              <w:rPr>
                <w:i/>
              </w:rPr>
              <w:t>The Namesake</w:t>
            </w:r>
            <w:r>
              <w:t>.</w:t>
            </w:r>
          </w:p>
        </w:tc>
      </w:tr>
      <w:tr w:rsidR="00790BCC" w:rsidRPr="00790BCC" w14:paraId="57036695" w14:textId="77777777" w:rsidTr="00C23017">
        <w:tc>
          <w:tcPr>
            <w:tcW w:w="9450" w:type="dxa"/>
            <w:shd w:val="clear" w:color="auto" w:fill="76923C"/>
          </w:tcPr>
          <w:p w14:paraId="7D984E5E" w14:textId="77777777" w:rsidR="00790BCC" w:rsidRPr="00E21CE6" w:rsidRDefault="00790BCC" w:rsidP="007017EB">
            <w:pPr>
              <w:pStyle w:val="TableHeaders"/>
            </w:pPr>
            <w:r w:rsidRPr="00E21CE6">
              <w:t>High Performance Response(s)</w:t>
            </w:r>
          </w:p>
        </w:tc>
      </w:tr>
      <w:tr w:rsidR="00790BCC" w:rsidRPr="00790BCC" w14:paraId="34C4EB45" w14:textId="77777777" w:rsidTr="00C23017">
        <w:tc>
          <w:tcPr>
            <w:tcW w:w="9450" w:type="dxa"/>
          </w:tcPr>
          <w:p w14:paraId="3883347A" w14:textId="77777777" w:rsidR="001A0745" w:rsidRDefault="001A0745" w:rsidP="007356E7">
            <w:pPr>
              <w:pStyle w:val="TableText"/>
            </w:pPr>
            <w:r>
              <w:t xml:space="preserve">A </w:t>
            </w:r>
            <w:r w:rsidR="00912B90">
              <w:t>High Performance Response should:</w:t>
            </w:r>
          </w:p>
          <w:p w14:paraId="1AAB5D87" w14:textId="3FD7739E" w:rsidR="00912B90" w:rsidRDefault="00F340F2" w:rsidP="00912B90">
            <w:pPr>
              <w:pStyle w:val="BulletedList"/>
            </w:pPr>
            <w:r>
              <w:t>Identify</w:t>
            </w:r>
            <w:r w:rsidR="00C258E1">
              <w:t xml:space="preserve"> two claims </w:t>
            </w:r>
            <w:r w:rsidR="0094116F">
              <w:t xml:space="preserve">developed </w:t>
            </w:r>
            <w:r w:rsidR="00C258E1">
              <w:t>in response to the End-of-Unit Assessment prompt.</w:t>
            </w:r>
          </w:p>
          <w:p w14:paraId="3B2FD32B" w14:textId="626EE162" w:rsidR="003E2F2C" w:rsidRPr="00790BCC" w:rsidRDefault="002139D3" w:rsidP="00414BCE">
            <w:pPr>
              <w:pStyle w:val="IN"/>
            </w:pPr>
            <w:r>
              <w:t xml:space="preserve">See </w:t>
            </w:r>
            <w:r w:rsidR="00D729BA">
              <w:t xml:space="preserve">Model 12.4.2 Lesson 22 Exit Slip </w:t>
            </w:r>
            <w:r w:rsidR="001A5758">
              <w:t>at the end of this lesson</w:t>
            </w:r>
            <w:r>
              <w:t xml:space="preserve">. </w:t>
            </w:r>
          </w:p>
        </w:tc>
      </w:tr>
    </w:tbl>
    <w:p w14:paraId="018276F5"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E161470" w14:textId="77777777" w:rsidTr="00C23017">
        <w:tc>
          <w:tcPr>
            <w:tcW w:w="9450" w:type="dxa"/>
            <w:shd w:val="clear" w:color="auto" w:fill="76923C"/>
          </w:tcPr>
          <w:p w14:paraId="051A5406" w14:textId="545ADDCE" w:rsidR="00790BCC" w:rsidRPr="00E21CE6" w:rsidRDefault="00B82278" w:rsidP="00D31F4D">
            <w:pPr>
              <w:pStyle w:val="TableHeaders"/>
            </w:pPr>
            <w:r w:rsidRPr="00E21CE6">
              <w:t>Vocabulary to teach (may include direct word work and/or questions)</w:t>
            </w:r>
          </w:p>
        </w:tc>
      </w:tr>
      <w:tr w:rsidR="00790BCC" w:rsidRPr="00790BCC" w14:paraId="77530B68" w14:textId="77777777" w:rsidTr="00C23017">
        <w:tc>
          <w:tcPr>
            <w:tcW w:w="9450" w:type="dxa"/>
          </w:tcPr>
          <w:p w14:paraId="101B031C" w14:textId="77777777" w:rsidR="0096159E" w:rsidRPr="00790BCC" w:rsidRDefault="00D26A4D" w:rsidP="009B0386">
            <w:pPr>
              <w:pStyle w:val="BulletedList"/>
            </w:pPr>
            <w:r>
              <w:t>None.*</w:t>
            </w:r>
            <w:r w:rsidR="00BB32B0">
              <w:t xml:space="preserve"> </w:t>
            </w:r>
          </w:p>
        </w:tc>
      </w:tr>
      <w:tr w:rsidR="00790BCC" w:rsidRPr="00790BCC" w14:paraId="648CF5BE" w14:textId="77777777" w:rsidTr="00C23017">
        <w:tc>
          <w:tcPr>
            <w:tcW w:w="9450" w:type="dxa"/>
            <w:shd w:val="clear" w:color="auto" w:fill="76923C"/>
          </w:tcPr>
          <w:p w14:paraId="47E98480" w14:textId="77777777" w:rsidR="00790BCC" w:rsidRPr="00E21CE6" w:rsidRDefault="00790BCC" w:rsidP="00D31F4D">
            <w:pPr>
              <w:pStyle w:val="TableHeaders"/>
            </w:pPr>
            <w:r w:rsidRPr="00E21CE6">
              <w:t>Vocabulary to teach (may include direct word work and/or questions)</w:t>
            </w:r>
          </w:p>
        </w:tc>
      </w:tr>
      <w:tr w:rsidR="00790BCC" w:rsidRPr="00790BCC" w14:paraId="6E8781CD" w14:textId="77777777" w:rsidTr="00C23017">
        <w:tc>
          <w:tcPr>
            <w:tcW w:w="9450" w:type="dxa"/>
          </w:tcPr>
          <w:p w14:paraId="0EBC72A9" w14:textId="77777777" w:rsidR="00D948BA" w:rsidRPr="00790BCC" w:rsidRDefault="00D26A4D" w:rsidP="00812B2B">
            <w:pPr>
              <w:pStyle w:val="BulletedList"/>
            </w:pPr>
            <w:r>
              <w:t>None.*</w:t>
            </w:r>
          </w:p>
        </w:tc>
      </w:tr>
      <w:tr w:rsidR="00790BCC" w:rsidRPr="00790BCC" w14:paraId="080B4A42" w14:textId="77777777" w:rsidTr="00C23017">
        <w:tc>
          <w:tcPr>
            <w:tcW w:w="9450" w:type="dxa"/>
            <w:tcBorders>
              <w:top w:val="single" w:sz="4" w:space="0" w:color="auto"/>
              <w:left w:val="single" w:sz="4" w:space="0" w:color="auto"/>
              <w:bottom w:val="single" w:sz="4" w:space="0" w:color="auto"/>
              <w:right w:val="single" w:sz="4" w:space="0" w:color="auto"/>
            </w:tcBorders>
            <w:shd w:val="clear" w:color="auto" w:fill="76923C"/>
          </w:tcPr>
          <w:p w14:paraId="5F8B8F74" w14:textId="77777777" w:rsidR="00790BCC" w:rsidRPr="00E21CE6" w:rsidRDefault="00790BCC" w:rsidP="00D31F4D">
            <w:pPr>
              <w:pStyle w:val="TableHeaders"/>
            </w:pPr>
            <w:r w:rsidRPr="00E21CE6">
              <w:t>Additional vocabulary to support English Language Learners (to provide directly)</w:t>
            </w:r>
          </w:p>
        </w:tc>
      </w:tr>
      <w:tr w:rsidR="00790BCC" w:rsidRPr="00790BCC" w14:paraId="28AF4F27" w14:textId="77777777" w:rsidTr="00C23017">
        <w:tc>
          <w:tcPr>
            <w:tcW w:w="9450" w:type="dxa"/>
            <w:tcBorders>
              <w:top w:val="single" w:sz="4" w:space="0" w:color="auto"/>
              <w:left w:val="single" w:sz="4" w:space="0" w:color="auto"/>
              <w:bottom w:val="single" w:sz="4" w:space="0" w:color="auto"/>
              <w:right w:val="single" w:sz="4" w:space="0" w:color="auto"/>
            </w:tcBorders>
          </w:tcPr>
          <w:p w14:paraId="342C75C8" w14:textId="77777777" w:rsidR="00790BCC" w:rsidRPr="00790BCC" w:rsidRDefault="00D26A4D" w:rsidP="00D948BA">
            <w:pPr>
              <w:pStyle w:val="BulletedList"/>
            </w:pPr>
            <w:r>
              <w:t>None.*</w:t>
            </w:r>
            <w:r w:rsidR="00E775C6">
              <w:t xml:space="preserve"> </w:t>
            </w:r>
          </w:p>
        </w:tc>
      </w:tr>
    </w:tbl>
    <w:p w14:paraId="7F3099D6" w14:textId="14F05445" w:rsidR="002D7299" w:rsidRPr="002D7299" w:rsidRDefault="002D7299" w:rsidP="002D7299">
      <w:pPr>
        <w:rPr>
          <w:sz w:val="18"/>
          <w:szCs w:val="18"/>
        </w:rPr>
      </w:pPr>
      <w:r>
        <w:rPr>
          <w:sz w:val="18"/>
          <w:szCs w:val="18"/>
        </w:rPr>
        <w:t>*</w:t>
      </w:r>
      <w:r w:rsidRPr="002D7299">
        <w:rPr>
          <w:sz w:val="18"/>
          <w:szCs w:val="18"/>
        </w:rPr>
        <w:t>Because this is not a close reading lesson, there is no specified vocabulary. However, in the process of returning to the text, students may uncover unfamiliar words. Teacher can guide students to make meaning of these words using the strategies outlined in L.11-12-4.a-d.</w:t>
      </w:r>
    </w:p>
    <w:p w14:paraId="02EEE0EF" w14:textId="068AABBE" w:rsidR="00790BCC" w:rsidRPr="00790BCC" w:rsidRDefault="00790BCC" w:rsidP="002D7299">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14:paraId="61247402" w14:textId="77777777" w:rsidTr="00C23017">
        <w:tc>
          <w:tcPr>
            <w:tcW w:w="7542" w:type="dxa"/>
            <w:tcBorders>
              <w:bottom w:val="single" w:sz="4" w:space="0" w:color="auto"/>
            </w:tcBorders>
            <w:shd w:val="clear" w:color="auto" w:fill="76923C"/>
          </w:tcPr>
          <w:p w14:paraId="2137E953" w14:textId="77777777" w:rsidR="00790BCC" w:rsidRPr="00E21CE6" w:rsidRDefault="00790BCC" w:rsidP="00D31F4D">
            <w:pPr>
              <w:pStyle w:val="TableHeaders"/>
            </w:pPr>
            <w:r w:rsidRPr="00E21CE6">
              <w:t>Student-Facing Agenda</w:t>
            </w:r>
          </w:p>
        </w:tc>
        <w:tc>
          <w:tcPr>
            <w:tcW w:w="1908" w:type="dxa"/>
            <w:tcBorders>
              <w:bottom w:val="single" w:sz="4" w:space="0" w:color="auto"/>
            </w:tcBorders>
            <w:shd w:val="clear" w:color="auto" w:fill="76923C"/>
          </w:tcPr>
          <w:p w14:paraId="78FEC6FB" w14:textId="77777777" w:rsidR="00790BCC" w:rsidRPr="00E21CE6" w:rsidRDefault="00790BCC" w:rsidP="00D31F4D">
            <w:pPr>
              <w:pStyle w:val="TableHeaders"/>
            </w:pPr>
            <w:r w:rsidRPr="00E21CE6">
              <w:t>% of Lesson</w:t>
            </w:r>
          </w:p>
        </w:tc>
      </w:tr>
      <w:tr w:rsidR="00790BCC" w:rsidRPr="00790BCC" w14:paraId="6F3027B4" w14:textId="77777777" w:rsidTr="00C23017">
        <w:trPr>
          <w:trHeight w:val="1313"/>
        </w:trPr>
        <w:tc>
          <w:tcPr>
            <w:tcW w:w="7542" w:type="dxa"/>
            <w:tcBorders>
              <w:bottom w:val="nil"/>
            </w:tcBorders>
          </w:tcPr>
          <w:p w14:paraId="4E834F10" w14:textId="77777777" w:rsidR="00790BCC" w:rsidRPr="00D31F4D" w:rsidRDefault="00790BCC" w:rsidP="00D31F4D">
            <w:pPr>
              <w:pStyle w:val="TableText"/>
              <w:rPr>
                <w:b/>
              </w:rPr>
            </w:pPr>
            <w:r w:rsidRPr="00D31F4D">
              <w:rPr>
                <w:b/>
              </w:rPr>
              <w:t>Standards &amp; Text:</w:t>
            </w:r>
          </w:p>
          <w:p w14:paraId="1E7CE697" w14:textId="4220C8F1" w:rsidR="00790BCC" w:rsidRPr="00790BCC" w:rsidRDefault="003E2F2C" w:rsidP="008D6789">
            <w:pPr>
              <w:pStyle w:val="BulletedList"/>
            </w:pPr>
            <w:r>
              <w:t xml:space="preserve">Standards: </w:t>
            </w:r>
            <w:r w:rsidR="00854D33">
              <w:t>CCR</w:t>
            </w:r>
            <w:r w:rsidR="002B780A">
              <w:t>A.R.9,</w:t>
            </w:r>
            <w:r w:rsidR="001872DA">
              <w:t xml:space="preserve"> </w:t>
            </w:r>
            <w:r w:rsidR="009925B6">
              <w:t xml:space="preserve">RL.11-12.2, RL.11-12.3, RL.11-12.5, </w:t>
            </w:r>
            <w:r w:rsidR="000B5248">
              <w:t xml:space="preserve">W.11-12.9.a, </w:t>
            </w:r>
            <w:r w:rsidR="003D2A55">
              <w:t xml:space="preserve">W.11-12.3.a-d, </w:t>
            </w:r>
            <w:r w:rsidR="008B6AD2">
              <w:t>SL.11-12.1</w:t>
            </w:r>
          </w:p>
          <w:p w14:paraId="38A6F729" w14:textId="179FFE72" w:rsidR="00790BCC" w:rsidRPr="00790BCC" w:rsidRDefault="00790BCC" w:rsidP="009D5085">
            <w:pPr>
              <w:pStyle w:val="BulletedList"/>
            </w:pPr>
            <w:r w:rsidRPr="00790BCC">
              <w:t>Text</w:t>
            </w:r>
            <w:r w:rsidR="00C15667">
              <w:t>s</w:t>
            </w:r>
            <w:r w:rsidRPr="00790BCC">
              <w:t xml:space="preserve">: </w:t>
            </w:r>
            <w:r w:rsidR="00542863" w:rsidRPr="00090996">
              <w:t>“</w:t>
            </w:r>
            <w:r w:rsidR="009D5085">
              <w:t>The Overcoat” by Nikolai Gogol</w:t>
            </w:r>
            <w:r w:rsidR="00C15667">
              <w:t xml:space="preserve"> from </w:t>
            </w:r>
            <w:r w:rsidR="00C15667" w:rsidRPr="00553B5D">
              <w:rPr>
                <w:i/>
              </w:rPr>
              <w:t>The Collected Tales of Nikolai Gogol</w:t>
            </w:r>
            <w:r w:rsidR="009D5085">
              <w:t xml:space="preserve"> and </w:t>
            </w:r>
            <w:r w:rsidR="009D5085">
              <w:rPr>
                <w:i/>
              </w:rPr>
              <w:t xml:space="preserve">The Namesake </w:t>
            </w:r>
            <w:r w:rsidR="009D5085">
              <w:t>by Jhumpa Lahiri</w:t>
            </w:r>
            <w:r w:rsidR="002A0646">
              <w:t xml:space="preserve"> </w:t>
            </w:r>
          </w:p>
        </w:tc>
        <w:tc>
          <w:tcPr>
            <w:tcW w:w="1908" w:type="dxa"/>
            <w:tcBorders>
              <w:bottom w:val="nil"/>
            </w:tcBorders>
          </w:tcPr>
          <w:p w14:paraId="7864C498" w14:textId="77777777" w:rsidR="00790BCC" w:rsidRPr="00790BCC" w:rsidRDefault="00790BCC" w:rsidP="00790BCC"/>
          <w:p w14:paraId="4CD70037" w14:textId="77777777" w:rsidR="00790BCC" w:rsidRPr="00790BCC" w:rsidRDefault="00790BCC" w:rsidP="00790BCC">
            <w:pPr>
              <w:spacing w:after="60" w:line="240" w:lineRule="auto"/>
            </w:pPr>
          </w:p>
        </w:tc>
      </w:tr>
      <w:tr w:rsidR="00790BCC" w:rsidRPr="00790BCC" w14:paraId="5053985E" w14:textId="77777777" w:rsidTr="00C23017">
        <w:tc>
          <w:tcPr>
            <w:tcW w:w="7542" w:type="dxa"/>
            <w:tcBorders>
              <w:top w:val="nil"/>
            </w:tcBorders>
          </w:tcPr>
          <w:p w14:paraId="2570098C" w14:textId="77777777" w:rsidR="00790BCC" w:rsidRPr="00D31F4D" w:rsidRDefault="00790BCC" w:rsidP="00D31F4D">
            <w:pPr>
              <w:pStyle w:val="TableText"/>
              <w:rPr>
                <w:b/>
              </w:rPr>
            </w:pPr>
            <w:r w:rsidRPr="00D31F4D">
              <w:rPr>
                <w:b/>
              </w:rPr>
              <w:t>Learning Sequence:</w:t>
            </w:r>
          </w:p>
          <w:p w14:paraId="562AFBBA" w14:textId="77777777" w:rsidR="00790BCC" w:rsidRPr="00790BCC" w:rsidRDefault="00790BCC" w:rsidP="00D31F4D">
            <w:pPr>
              <w:pStyle w:val="NumberedList"/>
            </w:pPr>
            <w:r w:rsidRPr="00790BCC">
              <w:t>Introduction of Lesson Agenda</w:t>
            </w:r>
          </w:p>
          <w:p w14:paraId="4A07ED6E" w14:textId="77777777" w:rsidR="00790BCC" w:rsidRPr="00790BCC" w:rsidRDefault="00790BCC" w:rsidP="00D31F4D">
            <w:pPr>
              <w:pStyle w:val="NumberedList"/>
            </w:pPr>
            <w:r w:rsidRPr="00790BCC">
              <w:t>Homework Accountability</w:t>
            </w:r>
          </w:p>
          <w:p w14:paraId="1C6442FE" w14:textId="606C78FF" w:rsidR="007A6A37" w:rsidRDefault="001F4E63" w:rsidP="00D31F4D">
            <w:pPr>
              <w:pStyle w:val="NumberedList"/>
            </w:pPr>
            <w:r>
              <w:t>Cross-Text Analysis</w:t>
            </w:r>
          </w:p>
          <w:p w14:paraId="4D6ACB3C" w14:textId="77777777" w:rsidR="003E2F2C" w:rsidRPr="00790BCC" w:rsidRDefault="00345235" w:rsidP="00D31F4D">
            <w:pPr>
              <w:pStyle w:val="NumberedList"/>
            </w:pPr>
            <w:r>
              <w:t>12.4.2 Lesson 22</w:t>
            </w:r>
            <w:r w:rsidR="007A6A37">
              <w:t xml:space="preserve"> Exit Slip</w:t>
            </w:r>
            <w:r w:rsidR="00D170AF">
              <w:t xml:space="preserve"> and Assessment</w:t>
            </w:r>
          </w:p>
          <w:p w14:paraId="1503A925" w14:textId="77777777" w:rsidR="00790BCC" w:rsidRPr="00790BCC" w:rsidRDefault="00790BCC" w:rsidP="00D31F4D">
            <w:pPr>
              <w:pStyle w:val="NumberedList"/>
            </w:pPr>
            <w:r w:rsidRPr="00790BCC">
              <w:t>Closing</w:t>
            </w:r>
          </w:p>
        </w:tc>
        <w:tc>
          <w:tcPr>
            <w:tcW w:w="1908" w:type="dxa"/>
            <w:tcBorders>
              <w:top w:val="nil"/>
            </w:tcBorders>
          </w:tcPr>
          <w:p w14:paraId="487CBCF1" w14:textId="77777777" w:rsidR="00790BCC" w:rsidRPr="00790BCC" w:rsidRDefault="00790BCC" w:rsidP="00790BCC">
            <w:pPr>
              <w:spacing w:before="40" w:after="40"/>
            </w:pPr>
          </w:p>
          <w:p w14:paraId="746954D8" w14:textId="77777777" w:rsidR="00790BCC" w:rsidRPr="00790BCC" w:rsidRDefault="00790BCC" w:rsidP="00CB6410">
            <w:pPr>
              <w:pStyle w:val="NumberedList"/>
              <w:numPr>
                <w:ilvl w:val="0"/>
                <w:numId w:val="2"/>
              </w:numPr>
            </w:pPr>
            <w:r w:rsidRPr="00790BCC">
              <w:t>5%</w:t>
            </w:r>
          </w:p>
          <w:p w14:paraId="07E8E6DF" w14:textId="3C6AC6E6" w:rsidR="00790BCC" w:rsidRPr="00790BCC" w:rsidRDefault="00C550FF" w:rsidP="00CB6410">
            <w:pPr>
              <w:pStyle w:val="NumberedList"/>
              <w:numPr>
                <w:ilvl w:val="0"/>
                <w:numId w:val="2"/>
              </w:numPr>
            </w:pPr>
            <w:r>
              <w:t>1</w:t>
            </w:r>
            <w:r w:rsidR="005E3567">
              <w:t>5</w:t>
            </w:r>
            <w:r w:rsidR="00790BCC" w:rsidRPr="00790BCC">
              <w:t>%</w:t>
            </w:r>
          </w:p>
          <w:p w14:paraId="14C58BAC" w14:textId="2777084F" w:rsidR="00790BCC" w:rsidRDefault="005E3567" w:rsidP="00CB6410">
            <w:pPr>
              <w:pStyle w:val="NumberedList"/>
              <w:numPr>
                <w:ilvl w:val="0"/>
                <w:numId w:val="2"/>
              </w:numPr>
            </w:pPr>
            <w:r>
              <w:t>65</w:t>
            </w:r>
            <w:r w:rsidR="007A6A37">
              <w:t>%</w:t>
            </w:r>
          </w:p>
          <w:p w14:paraId="798BFE34" w14:textId="1C868044" w:rsidR="007A6A37" w:rsidRPr="00790BCC" w:rsidRDefault="004B2082" w:rsidP="00CB6410">
            <w:pPr>
              <w:pStyle w:val="NumberedList"/>
              <w:numPr>
                <w:ilvl w:val="0"/>
                <w:numId w:val="2"/>
              </w:numPr>
            </w:pPr>
            <w:r>
              <w:t>1</w:t>
            </w:r>
            <w:r w:rsidR="001F4E63">
              <w:t>0</w:t>
            </w:r>
            <w:r w:rsidR="007A6A37">
              <w:t>%</w:t>
            </w:r>
          </w:p>
          <w:p w14:paraId="0AA3FDFD" w14:textId="77777777" w:rsidR="00790BCC" w:rsidRPr="00790BCC" w:rsidRDefault="00790BCC" w:rsidP="00CB6410">
            <w:pPr>
              <w:pStyle w:val="NumberedList"/>
              <w:numPr>
                <w:ilvl w:val="0"/>
                <w:numId w:val="2"/>
              </w:numPr>
            </w:pPr>
            <w:r w:rsidRPr="00790BCC">
              <w:t>5%</w:t>
            </w:r>
          </w:p>
        </w:tc>
      </w:tr>
    </w:tbl>
    <w:p w14:paraId="3209369A" w14:textId="77777777" w:rsidR="00790BCC" w:rsidRPr="00790BCC" w:rsidRDefault="00790BCC" w:rsidP="00D31F4D">
      <w:pPr>
        <w:pStyle w:val="Heading1"/>
      </w:pPr>
      <w:r w:rsidRPr="00790BCC">
        <w:t>Materials</w:t>
      </w:r>
    </w:p>
    <w:p w14:paraId="2880B012" w14:textId="4A7304A2" w:rsidR="00A75577" w:rsidRDefault="00A75577" w:rsidP="00A75577">
      <w:pPr>
        <w:pStyle w:val="BulletedList"/>
      </w:pPr>
      <w:r>
        <w:t>Student copies of the 12.4 Narrative Writing Rubric and Checklist (refer to 12.4.1 Lesson 4)</w:t>
      </w:r>
    </w:p>
    <w:p w14:paraId="27F06433" w14:textId="4AC7215B" w:rsidR="00AF5F36" w:rsidRDefault="007A6A37" w:rsidP="00282F7B">
      <w:pPr>
        <w:pStyle w:val="BulletedList"/>
      </w:pPr>
      <w:r>
        <w:t>Copies of the 12.</w:t>
      </w:r>
      <w:r w:rsidR="00122394">
        <w:t>4</w:t>
      </w:r>
      <w:r w:rsidR="00A47425">
        <w:t>.</w:t>
      </w:r>
      <w:r w:rsidR="00122394">
        <w:t>2</w:t>
      </w:r>
      <w:r w:rsidR="00A47425">
        <w:t xml:space="preserve"> </w:t>
      </w:r>
      <w:r>
        <w:t xml:space="preserve">Lesson </w:t>
      </w:r>
      <w:r w:rsidR="00122394">
        <w:t>22</w:t>
      </w:r>
      <w:r>
        <w:t xml:space="preserve"> Exit Slip for each student</w:t>
      </w:r>
    </w:p>
    <w:p w14:paraId="7B972076" w14:textId="37FCDE03" w:rsidR="00AB6683" w:rsidRDefault="00AB6683" w:rsidP="00282F7B">
      <w:pPr>
        <w:pStyle w:val="BulletedList"/>
      </w:pPr>
      <w:r>
        <w:t>Copies of the 12.4.2 End-of-Unit Rubric and Checklist for each student</w:t>
      </w:r>
    </w:p>
    <w:p w14:paraId="4C40C315" w14:textId="77777777" w:rsidR="00790BCC" w:rsidRDefault="00790BCC" w:rsidP="00B82278">
      <w:pPr>
        <w:pStyle w:val="Heading1"/>
        <w:keepLines w:val="0"/>
        <w:widowControl w:val="0"/>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A0EBCFB" w14:textId="77777777" w:rsidTr="00C23017">
        <w:tc>
          <w:tcPr>
            <w:tcW w:w="9450" w:type="dxa"/>
            <w:gridSpan w:val="2"/>
            <w:shd w:val="clear" w:color="auto" w:fill="76923C"/>
          </w:tcPr>
          <w:p w14:paraId="6B88CC33" w14:textId="77777777" w:rsidR="00D31F4D" w:rsidRPr="00E21CE6" w:rsidRDefault="00D31F4D" w:rsidP="009450B7">
            <w:pPr>
              <w:pStyle w:val="TableHeaders"/>
              <w:rPr>
                <w:sz w:val="20"/>
                <w:szCs w:val="20"/>
              </w:rPr>
            </w:pPr>
            <w:r w:rsidRPr="00E21CE6">
              <w:rPr>
                <w:szCs w:val="20"/>
              </w:rPr>
              <w:t>How to Use the Learning Sequence</w:t>
            </w:r>
          </w:p>
        </w:tc>
      </w:tr>
      <w:tr w:rsidR="00D31F4D" w:rsidRPr="00D31F4D" w14:paraId="268BB6E1" w14:textId="77777777" w:rsidTr="00C23017">
        <w:tc>
          <w:tcPr>
            <w:tcW w:w="894" w:type="dxa"/>
            <w:shd w:val="clear" w:color="auto" w:fill="76923C"/>
          </w:tcPr>
          <w:p w14:paraId="2274DE26" w14:textId="77777777" w:rsidR="00D31F4D" w:rsidRPr="00E21CE6" w:rsidRDefault="00D31F4D" w:rsidP="00D31F4D">
            <w:pPr>
              <w:pStyle w:val="TableHeaders"/>
              <w:rPr>
                <w:szCs w:val="20"/>
              </w:rPr>
            </w:pPr>
            <w:r w:rsidRPr="00E21CE6">
              <w:rPr>
                <w:szCs w:val="20"/>
              </w:rPr>
              <w:t>Symbol</w:t>
            </w:r>
          </w:p>
        </w:tc>
        <w:tc>
          <w:tcPr>
            <w:tcW w:w="8556" w:type="dxa"/>
            <w:shd w:val="clear" w:color="auto" w:fill="76923C"/>
          </w:tcPr>
          <w:p w14:paraId="787B201B" w14:textId="77777777" w:rsidR="00D31F4D" w:rsidRPr="00E21CE6" w:rsidRDefault="00D31F4D" w:rsidP="00D31F4D">
            <w:pPr>
              <w:pStyle w:val="TableHeaders"/>
              <w:rPr>
                <w:szCs w:val="20"/>
              </w:rPr>
            </w:pPr>
            <w:r w:rsidRPr="00E21CE6">
              <w:rPr>
                <w:szCs w:val="20"/>
              </w:rPr>
              <w:t>Type of Text &amp; Interpretation of the Symbol</w:t>
            </w:r>
          </w:p>
        </w:tc>
      </w:tr>
      <w:tr w:rsidR="007E690E" w:rsidRPr="00D31F4D" w14:paraId="7DFC5D0E" w14:textId="77777777" w:rsidTr="00C23017">
        <w:tc>
          <w:tcPr>
            <w:tcW w:w="894" w:type="dxa"/>
            <w:shd w:val="clear" w:color="auto" w:fill="auto"/>
          </w:tcPr>
          <w:p w14:paraId="58F38E02" w14:textId="727B24CA" w:rsidR="007E690E" w:rsidRPr="00E21CE6" w:rsidRDefault="007E690E" w:rsidP="00E21CE6">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129BCC61" w14:textId="0F5F559A" w:rsidR="007E690E" w:rsidRPr="00E21CE6" w:rsidRDefault="007E690E" w:rsidP="00E21CE6">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7E690E" w:rsidRPr="00D31F4D" w14:paraId="63891AEF" w14:textId="77777777" w:rsidTr="00C23017">
        <w:tc>
          <w:tcPr>
            <w:tcW w:w="894" w:type="dxa"/>
            <w:vMerge w:val="restart"/>
            <w:shd w:val="clear" w:color="auto" w:fill="auto"/>
            <w:vAlign w:val="center"/>
          </w:tcPr>
          <w:p w14:paraId="558AEEA7" w14:textId="2826A78B" w:rsidR="007E690E" w:rsidRPr="00E21CE6" w:rsidRDefault="007E690E" w:rsidP="00E21CE6">
            <w:pPr>
              <w:spacing w:before="20" w:after="20" w:line="240" w:lineRule="auto"/>
              <w:jc w:val="center"/>
              <w:rPr>
                <w:sz w:val="18"/>
                <w:szCs w:val="20"/>
              </w:rPr>
            </w:pPr>
            <w:r w:rsidRPr="0043460D">
              <w:rPr>
                <w:sz w:val="18"/>
                <w:szCs w:val="20"/>
              </w:rPr>
              <w:t>no symbol</w:t>
            </w:r>
          </w:p>
        </w:tc>
        <w:tc>
          <w:tcPr>
            <w:tcW w:w="8556" w:type="dxa"/>
            <w:shd w:val="clear" w:color="auto" w:fill="auto"/>
          </w:tcPr>
          <w:p w14:paraId="4DF24D37" w14:textId="1AA0BA07" w:rsidR="007E690E" w:rsidRPr="00E21CE6" w:rsidRDefault="007E690E" w:rsidP="00E21CE6">
            <w:pPr>
              <w:spacing w:before="20" w:after="20" w:line="240" w:lineRule="auto"/>
              <w:rPr>
                <w:sz w:val="20"/>
                <w:szCs w:val="20"/>
              </w:rPr>
            </w:pPr>
            <w:r w:rsidRPr="0043460D">
              <w:rPr>
                <w:sz w:val="20"/>
                <w:szCs w:val="20"/>
              </w:rPr>
              <w:t>Plain text indicates teacher action.</w:t>
            </w:r>
          </w:p>
        </w:tc>
      </w:tr>
      <w:tr w:rsidR="007E690E" w:rsidRPr="00D31F4D" w14:paraId="4F52EB13" w14:textId="77777777" w:rsidTr="00C23017">
        <w:tc>
          <w:tcPr>
            <w:tcW w:w="894" w:type="dxa"/>
            <w:vMerge/>
            <w:shd w:val="clear" w:color="auto" w:fill="auto"/>
          </w:tcPr>
          <w:p w14:paraId="1DDB2881" w14:textId="77777777" w:rsidR="007E690E" w:rsidRPr="00E21CE6" w:rsidRDefault="007E690E" w:rsidP="00E21CE6">
            <w:pPr>
              <w:spacing w:before="20" w:after="20" w:line="240" w:lineRule="auto"/>
              <w:jc w:val="center"/>
              <w:rPr>
                <w:b/>
                <w:color w:val="000000"/>
                <w:sz w:val="20"/>
                <w:szCs w:val="20"/>
              </w:rPr>
            </w:pPr>
          </w:p>
        </w:tc>
        <w:tc>
          <w:tcPr>
            <w:tcW w:w="8556" w:type="dxa"/>
            <w:shd w:val="clear" w:color="auto" w:fill="auto"/>
          </w:tcPr>
          <w:p w14:paraId="7BADA2FE" w14:textId="50CB5E97" w:rsidR="007E690E" w:rsidRPr="00E21CE6" w:rsidRDefault="007E690E" w:rsidP="00E21CE6">
            <w:pPr>
              <w:spacing w:before="20" w:after="20" w:line="240" w:lineRule="auto"/>
              <w:rPr>
                <w:color w:val="4F81BD"/>
                <w:sz w:val="20"/>
                <w:szCs w:val="20"/>
              </w:rPr>
            </w:pPr>
            <w:r w:rsidRPr="0043460D">
              <w:rPr>
                <w:b/>
                <w:sz w:val="20"/>
                <w:szCs w:val="20"/>
              </w:rPr>
              <w:t>Bold text indicates questions for the teacher to ask students.</w:t>
            </w:r>
          </w:p>
        </w:tc>
      </w:tr>
      <w:tr w:rsidR="007E690E" w:rsidRPr="00D31F4D" w14:paraId="2D320B7F" w14:textId="77777777" w:rsidTr="00C23017">
        <w:tc>
          <w:tcPr>
            <w:tcW w:w="894" w:type="dxa"/>
            <w:vMerge/>
            <w:shd w:val="clear" w:color="auto" w:fill="auto"/>
          </w:tcPr>
          <w:p w14:paraId="3B111B08" w14:textId="77777777" w:rsidR="007E690E" w:rsidRPr="00E21CE6" w:rsidRDefault="007E690E" w:rsidP="00E21CE6">
            <w:pPr>
              <w:spacing w:before="20" w:after="20" w:line="240" w:lineRule="auto"/>
              <w:jc w:val="center"/>
              <w:rPr>
                <w:b/>
                <w:color w:val="000000"/>
                <w:sz w:val="20"/>
                <w:szCs w:val="20"/>
              </w:rPr>
            </w:pPr>
          </w:p>
        </w:tc>
        <w:tc>
          <w:tcPr>
            <w:tcW w:w="8556" w:type="dxa"/>
            <w:shd w:val="clear" w:color="auto" w:fill="auto"/>
          </w:tcPr>
          <w:p w14:paraId="1A46E7A9" w14:textId="747B38D4" w:rsidR="007E690E" w:rsidRPr="00E21CE6" w:rsidRDefault="007E690E" w:rsidP="00E21CE6">
            <w:pPr>
              <w:spacing w:before="20" w:after="20" w:line="240" w:lineRule="auto"/>
              <w:rPr>
                <w:i/>
                <w:sz w:val="20"/>
                <w:szCs w:val="20"/>
              </w:rPr>
            </w:pPr>
            <w:r w:rsidRPr="0043460D">
              <w:rPr>
                <w:i/>
                <w:sz w:val="20"/>
                <w:szCs w:val="20"/>
              </w:rPr>
              <w:t>Italicized text indicates a vocabulary word.</w:t>
            </w:r>
          </w:p>
        </w:tc>
      </w:tr>
      <w:tr w:rsidR="007E690E" w:rsidRPr="00D31F4D" w14:paraId="73DD5260" w14:textId="77777777" w:rsidTr="00C23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3EFDD74" w14:textId="53BC49F4" w:rsidR="007E690E" w:rsidRPr="00E21CE6" w:rsidRDefault="007E690E" w:rsidP="00E21CE6">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540F8E92" w14:textId="0AA5A68E" w:rsidR="007E690E" w:rsidRPr="00E21CE6" w:rsidRDefault="007E690E" w:rsidP="00E21CE6">
            <w:pPr>
              <w:spacing w:before="20" w:after="20" w:line="240" w:lineRule="auto"/>
              <w:rPr>
                <w:sz w:val="20"/>
                <w:szCs w:val="20"/>
              </w:rPr>
            </w:pPr>
            <w:r w:rsidRPr="0043460D">
              <w:rPr>
                <w:sz w:val="20"/>
                <w:szCs w:val="20"/>
              </w:rPr>
              <w:t>Indicates student action(s).</w:t>
            </w:r>
          </w:p>
        </w:tc>
      </w:tr>
      <w:tr w:rsidR="007E690E" w:rsidRPr="00D31F4D" w14:paraId="781E9BCA" w14:textId="77777777" w:rsidTr="00C23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CAE16D4" w14:textId="0551E4F3" w:rsidR="007E690E" w:rsidRPr="00E21CE6" w:rsidRDefault="007E690E" w:rsidP="00E21CE6">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0DAE7080" w14:textId="07732DD2" w:rsidR="007E690E" w:rsidRPr="00E21CE6" w:rsidRDefault="007E690E" w:rsidP="00E21CE6">
            <w:pPr>
              <w:spacing w:before="20" w:after="20" w:line="240" w:lineRule="auto"/>
              <w:rPr>
                <w:sz w:val="20"/>
                <w:szCs w:val="20"/>
              </w:rPr>
            </w:pPr>
            <w:r w:rsidRPr="0043460D">
              <w:rPr>
                <w:sz w:val="20"/>
                <w:szCs w:val="20"/>
              </w:rPr>
              <w:t>Indicates possible student response(s) to teacher questions.</w:t>
            </w:r>
          </w:p>
        </w:tc>
      </w:tr>
      <w:tr w:rsidR="007E690E" w:rsidRPr="00D31F4D" w14:paraId="49EF4FEA" w14:textId="77777777" w:rsidTr="00C23017">
        <w:tc>
          <w:tcPr>
            <w:tcW w:w="894" w:type="dxa"/>
            <w:shd w:val="clear" w:color="auto" w:fill="auto"/>
            <w:vAlign w:val="bottom"/>
          </w:tcPr>
          <w:p w14:paraId="494B848D" w14:textId="7CD1E9C9" w:rsidR="007E690E" w:rsidRPr="00E21CE6" w:rsidRDefault="007E690E" w:rsidP="00E21CE6">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7128EBE9" w14:textId="31960BCD" w:rsidR="007E690E" w:rsidRPr="00E21CE6" w:rsidRDefault="007E690E" w:rsidP="00E21CE6">
            <w:pPr>
              <w:spacing w:before="20" w:after="20" w:line="240" w:lineRule="auto"/>
              <w:rPr>
                <w:color w:val="4F81BD"/>
                <w:sz w:val="20"/>
                <w:szCs w:val="20"/>
              </w:rPr>
            </w:pPr>
            <w:r w:rsidRPr="0043460D">
              <w:rPr>
                <w:color w:val="4F81BD"/>
                <w:sz w:val="20"/>
                <w:szCs w:val="20"/>
              </w:rPr>
              <w:t>Indicates instructional notes for the teacher.</w:t>
            </w:r>
          </w:p>
        </w:tc>
      </w:tr>
    </w:tbl>
    <w:p w14:paraId="7CD9B106" w14:textId="77777777" w:rsidR="00790BCC" w:rsidRPr="00790BCC" w:rsidRDefault="00790BCC" w:rsidP="007E690E">
      <w:pPr>
        <w:pStyle w:val="LearningSequenceHeader"/>
        <w:keepNext/>
      </w:pPr>
      <w:r w:rsidRPr="00790BCC">
        <w:t>Activity 1: Introduction of Lesson Agenda</w:t>
      </w:r>
      <w:r w:rsidRPr="00790BCC">
        <w:tab/>
        <w:t>5%</w:t>
      </w:r>
    </w:p>
    <w:p w14:paraId="46693E65" w14:textId="2BA2DBE0" w:rsidR="0089321B" w:rsidRDefault="003108B7" w:rsidP="0089321B">
      <w:pPr>
        <w:pStyle w:val="TA"/>
      </w:pPr>
      <w:r w:rsidRPr="006705A3">
        <w:t xml:space="preserve">Begin by reviewing the agenda and </w:t>
      </w:r>
      <w:r w:rsidR="006775DE">
        <w:t xml:space="preserve">the </w:t>
      </w:r>
      <w:r w:rsidR="00916298">
        <w:t>assessed standard</w:t>
      </w:r>
      <w:r w:rsidR="007D3676">
        <w:t>s</w:t>
      </w:r>
      <w:r w:rsidRPr="006705A3">
        <w:t xml:space="preserve"> for this lesson:</w:t>
      </w:r>
      <w:r w:rsidR="00C83CFC">
        <w:t xml:space="preserve"> </w:t>
      </w:r>
      <w:r w:rsidR="009D5085">
        <w:t>CCRA.R.9</w:t>
      </w:r>
      <w:r w:rsidR="00623BAE">
        <w:t>, RL.11-12.2, RL.11-12.3, RL.11-12.5,</w:t>
      </w:r>
      <w:r w:rsidR="007049E2">
        <w:t xml:space="preserve"> </w:t>
      </w:r>
      <w:r w:rsidR="005E31ED">
        <w:t xml:space="preserve">and </w:t>
      </w:r>
      <w:r w:rsidR="002D4C6C">
        <w:t>W.11-12.9.a</w:t>
      </w:r>
      <w:r w:rsidR="00C94652">
        <w:t>.</w:t>
      </w:r>
      <w:r>
        <w:t xml:space="preserve"> In this lesson, students </w:t>
      </w:r>
      <w:r w:rsidR="002275AA">
        <w:t>work in pairs</w:t>
      </w:r>
      <w:r w:rsidR="00A40188">
        <w:t xml:space="preserve"> to</w:t>
      </w:r>
      <w:r w:rsidR="009D5085">
        <w:t xml:space="preserve"> </w:t>
      </w:r>
      <w:r w:rsidR="008A7FCA">
        <w:t xml:space="preserve">analyze </w:t>
      </w:r>
      <w:r w:rsidR="009D5085">
        <w:t>how Nikolai Gogo</w:t>
      </w:r>
      <w:r w:rsidR="006364C8">
        <w:t>l and</w:t>
      </w:r>
      <w:r w:rsidR="009D5085">
        <w:t xml:space="preserve"> Jhumpa Lahiri </w:t>
      </w:r>
      <w:r w:rsidR="00C95F55">
        <w:t>approach the concept of</w:t>
      </w:r>
      <w:r w:rsidR="006364C8">
        <w:t xml:space="preserve"> identity in their respective texts</w:t>
      </w:r>
      <w:r w:rsidR="006C1DEF">
        <w:t xml:space="preserve">. Students then </w:t>
      </w:r>
      <w:r w:rsidR="00A40188">
        <w:t xml:space="preserve">develop </w:t>
      </w:r>
      <w:r w:rsidR="00906341">
        <w:t>two</w:t>
      </w:r>
      <w:r w:rsidR="00A40188">
        <w:t xml:space="preserve"> claims </w:t>
      </w:r>
      <w:r w:rsidR="009D5085">
        <w:t xml:space="preserve">in preparation for the </w:t>
      </w:r>
      <w:r w:rsidR="005733BA">
        <w:t xml:space="preserve">12.4.2 </w:t>
      </w:r>
      <w:r w:rsidR="009D5085">
        <w:t xml:space="preserve">End-of-Unit Assessment. </w:t>
      </w:r>
      <w:r w:rsidR="002E6180" w:rsidRPr="009D5085">
        <w:t>Students</w:t>
      </w:r>
      <w:r w:rsidR="002E6180">
        <w:t xml:space="preserve"> complete an Exit Slip to close the lesson.</w:t>
      </w:r>
      <w:r w:rsidR="00046A18">
        <w:t xml:space="preserve"> </w:t>
      </w:r>
    </w:p>
    <w:p w14:paraId="4E8B9569" w14:textId="77777777" w:rsidR="00FD4EFA" w:rsidRPr="001735F1" w:rsidRDefault="003108B7" w:rsidP="0089321B">
      <w:pPr>
        <w:pStyle w:val="SA"/>
      </w:pPr>
      <w:r>
        <w:t>Students look at the agenda.</w:t>
      </w:r>
    </w:p>
    <w:p w14:paraId="5BEFCC7D" w14:textId="0531A92A" w:rsidR="00D5131E" w:rsidRDefault="00790BCC" w:rsidP="007017EB">
      <w:pPr>
        <w:pStyle w:val="LearningSequenceHeader"/>
      </w:pPr>
      <w:r w:rsidRPr="00790BCC">
        <w:t>Activi</w:t>
      </w:r>
      <w:r w:rsidR="009D5085">
        <w:t>ty 2: Homework Accountability</w:t>
      </w:r>
      <w:r w:rsidR="009D5085">
        <w:tab/>
      </w:r>
      <w:r w:rsidR="00A40188">
        <w:t>1</w:t>
      </w:r>
      <w:r w:rsidR="005E3567">
        <w:t>5</w:t>
      </w:r>
      <w:r w:rsidRPr="00790BCC">
        <w:t>%</w:t>
      </w:r>
    </w:p>
    <w:p w14:paraId="10F6BD38" w14:textId="09B54BA5" w:rsidR="00205A1C" w:rsidRPr="00E9176F" w:rsidRDefault="00205A1C">
      <w:pPr>
        <w:pStyle w:val="TA"/>
        <w:rPr>
          <w:rFonts w:asciiTheme="minorHAnsi" w:hAnsiTheme="minorHAnsi"/>
          <w:b/>
          <w:bCs/>
          <w:color w:val="365F91"/>
          <w:sz w:val="32"/>
          <w:szCs w:val="28"/>
        </w:rPr>
      </w:pPr>
      <w:r w:rsidRPr="00EA5C02">
        <w:t xml:space="preserve">Instruct students to take out their responses to the previous lesson’s homework assignment. (Write a text-based narrative writing piece in response to the following prompt: Choose a character from </w:t>
      </w:r>
      <w:r w:rsidRPr="006775DE">
        <w:rPr>
          <w:i/>
        </w:rPr>
        <w:t>The Namesake</w:t>
      </w:r>
      <w:r w:rsidRPr="00E9176F">
        <w:t xml:space="preserve"> and rewrite a key scene in the novel from his or her</w:t>
      </w:r>
      <w:r w:rsidR="00DB5668" w:rsidRPr="00EA5C02">
        <w:t xml:space="preserve"> first-person</w:t>
      </w:r>
      <w:r w:rsidRPr="00EA5C02">
        <w:t xml:space="preserve"> perspective.</w:t>
      </w:r>
      <w:r w:rsidR="007B1B5B" w:rsidRPr="00EA5C02">
        <w:t xml:space="preserve"> Use the skills outlined in W.11-12.3.a-d when writing your scene.</w:t>
      </w:r>
      <w:r w:rsidRPr="00EA5C02">
        <w:t>) Instruct students to form pairs and share their narrative writing pieces, specifically discussing how their narrative writing aligns to W.11-12.3.a</w:t>
      </w:r>
      <w:r w:rsidR="00C550FF" w:rsidRPr="00EA5C02">
        <w:t>-d</w:t>
      </w:r>
      <w:r w:rsidRPr="00EA5C02">
        <w:t xml:space="preserve">. </w:t>
      </w:r>
    </w:p>
    <w:p w14:paraId="20097D8C" w14:textId="5444605E" w:rsidR="009D5085" w:rsidRDefault="00205A1C" w:rsidP="00C66218">
      <w:pPr>
        <w:pStyle w:val="SR"/>
      </w:pPr>
      <w:r>
        <w:t>Student responses will vary depending on their narrative writing pieces. Students should use the language of W.11-12.3.a</w:t>
      </w:r>
      <w:r w:rsidR="00C550FF">
        <w:t>-d</w:t>
      </w:r>
      <w:r w:rsidR="00972802">
        <w:t xml:space="preserve"> from the 12.4 Narrative Writing Rubric and Checklist</w:t>
      </w:r>
      <w:r>
        <w:t xml:space="preserve"> in</w:t>
      </w:r>
      <w:r w:rsidR="00E9176F">
        <w:t xml:space="preserve"> </w:t>
      </w:r>
      <w:r>
        <w:t>discussion.</w:t>
      </w:r>
    </w:p>
    <w:p w14:paraId="7EF91D23" w14:textId="0BE716E2" w:rsidR="00EA30D0" w:rsidRDefault="009D5085" w:rsidP="00581EE3">
      <w:pPr>
        <w:pStyle w:val="LearningSequenceHeader"/>
        <w:keepNext/>
      </w:pPr>
      <w:r>
        <w:t>Activity 3</w:t>
      </w:r>
      <w:r w:rsidR="00EA30D0">
        <w:t xml:space="preserve">: </w:t>
      </w:r>
      <w:r w:rsidR="00100120">
        <w:t>Cross-Text Analysis</w:t>
      </w:r>
      <w:r w:rsidR="004B2082">
        <w:t xml:space="preserve"> </w:t>
      </w:r>
      <w:r w:rsidR="004B2082">
        <w:tab/>
      </w:r>
      <w:r w:rsidR="00CA7339">
        <w:t>65</w:t>
      </w:r>
      <w:r w:rsidR="00EA30D0">
        <w:t>%</w:t>
      </w:r>
    </w:p>
    <w:p w14:paraId="04519BD4" w14:textId="3B6593C6" w:rsidR="002B780A" w:rsidRDefault="002B780A" w:rsidP="002B780A">
      <w:pPr>
        <w:pStyle w:val="TA"/>
      </w:pPr>
      <w:r>
        <w:t xml:space="preserve">Instruct students to </w:t>
      </w:r>
      <w:r w:rsidR="002275AA">
        <w:t>remain in pairs</w:t>
      </w:r>
      <w:r w:rsidR="00EE0806">
        <w:t xml:space="preserve"> from the previous activity</w:t>
      </w:r>
      <w:r>
        <w:t>. Post or project the</w:t>
      </w:r>
      <w:r w:rsidR="00993A6D">
        <w:t xml:space="preserve"> 12.4.2</w:t>
      </w:r>
      <w:r>
        <w:t xml:space="preserve"> End-of-Unit Assessment prompt:</w:t>
      </w:r>
    </w:p>
    <w:p w14:paraId="453CD421" w14:textId="0AB22F31" w:rsidR="00E85E19" w:rsidRDefault="00E85E19" w:rsidP="0073167B">
      <w:pPr>
        <w:pStyle w:val="Q"/>
      </w:pPr>
      <w:r>
        <w:lastRenderedPageBreak/>
        <w:t>Compare Nikolai Gogol</w:t>
      </w:r>
      <w:r w:rsidR="00E9176F">
        <w:t>’s</w:t>
      </w:r>
      <w:r>
        <w:t xml:space="preserve"> and Jhumpa Lahiri’s approaches to identity in “The Overcoat” and </w:t>
      </w:r>
      <w:r w:rsidRPr="00DE6185">
        <w:rPr>
          <w:i/>
        </w:rPr>
        <w:t>The Namesake</w:t>
      </w:r>
      <w:r>
        <w:t>.</w:t>
      </w:r>
    </w:p>
    <w:p w14:paraId="5BFDC56D" w14:textId="33DA9650" w:rsidR="002B780A" w:rsidRDefault="002B780A" w:rsidP="002B780A">
      <w:pPr>
        <w:pStyle w:val="IN"/>
      </w:pPr>
      <w:r>
        <w:t>Display the</w:t>
      </w:r>
      <w:r w:rsidRPr="002C38DB">
        <w:t xml:space="preserve"> prompt for students to see</w:t>
      </w:r>
      <w:r>
        <w:t>, or provide the prompt in</w:t>
      </w:r>
      <w:r w:rsidRPr="002C38DB">
        <w:t xml:space="preserve"> hard copy</w:t>
      </w:r>
      <w:r>
        <w:t>.</w:t>
      </w:r>
    </w:p>
    <w:p w14:paraId="3ECFB3B1" w14:textId="4FF2599B" w:rsidR="001F4E63" w:rsidRDefault="000508EB" w:rsidP="002B780A">
      <w:pPr>
        <w:pStyle w:val="TA"/>
      </w:pPr>
      <w:r>
        <w:t>Explain to students that the activi</w:t>
      </w:r>
      <w:r w:rsidR="00CB22CC">
        <w:t>ti</w:t>
      </w:r>
      <w:r>
        <w:t>es in this lesson prepare them for the</w:t>
      </w:r>
      <w:r w:rsidR="005733BA">
        <w:t xml:space="preserve"> 12.4.2</w:t>
      </w:r>
      <w:r>
        <w:t xml:space="preserve"> End-of-Unit Assessment by engaging them in cross-tex</w:t>
      </w:r>
      <w:r w:rsidR="004979ED">
        <w:t>t</w:t>
      </w:r>
      <w:r>
        <w:t xml:space="preserve"> analysis of “The Overcoat” and </w:t>
      </w:r>
      <w:r>
        <w:rPr>
          <w:i/>
        </w:rPr>
        <w:t xml:space="preserve">The </w:t>
      </w:r>
      <w:r w:rsidRPr="000508EB">
        <w:rPr>
          <w:i/>
        </w:rPr>
        <w:t>Namesake</w:t>
      </w:r>
      <w:r>
        <w:rPr>
          <w:i/>
        </w:rPr>
        <w:t xml:space="preserve">. </w:t>
      </w:r>
      <w:r>
        <w:t>Explain to students that they will engage in a</w:t>
      </w:r>
      <w:r w:rsidR="001B4641">
        <w:t>n assessment</w:t>
      </w:r>
      <w:r>
        <w:t xml:space="preserve"> discussion in the following lesson</w:t>
      </w:r>
      <w:r w:rsidR="001B4641">
        <w:t xml:space="preserve"> (12.4.2 Lesson 23)</w:t>
      </w:r>
      <w:r w:rsidR="0074045E">
        <w:t>, comparing</w:t>
      </w:r>
      <w:r w:rsidR="006364C8">
        <w:t xml:space="preserve"> how Jhumpa Lahiri and Nikolai Gogol </w:t>
      </w:r>
      <w:r w:rsidR="0074045E">
        <w:t>approach</w:t>
      </w:r>
      <w:r w:rsidR="006364C8">
        <w:t xml:space="preserve"> identity in their respective texts. </w:t>
      </w:r>
      <w:r w:rsidR="001F4E63" w:rsidRPr="000508EB">
        <w:t>Instruct</w:t>
      </w:r>
      <w:r w:rsidR="001F4E63" w:rsidRPr="005D5D2F">
        <w:t xml:space="preserve"> </w:t>
      </w:r>
      <w:r w:rsidR="001F4E63">
        <w:t xml:space="preserve">student pairs to consider the connections between Nikolai Gogol’s “The Overcoat” and Jhumpa Lahiri’s </w:t>
      </w:r>
      <w:r w:rsidR="001F4E63">
        <w:rPr>
          <w:i/>
        </w:rPr>
        <w:t>The Namesake</w:t>
      </w:r>
      <w:r w:rsidR="001F4E63" w:rsidRPr="00792515">
        <w:t>.</w:t>
      </w:r>
      <w:r w:rsidR="001F4E63">
        <w:t xml:space="preserve"> Instruct students to use the following guiding questions to </w:t>
      </w:r>
      <w:r w:rsidR="004723BC">
        <w:t>facilitate</w:t>
      </w:r>
      <w:r w:rsidR="001F4E63">
        <w:t xml:space="preserve"> their cross-text analysis:</w:t>
      </w:r>
    </w:p>
    <w:p w14:paraId="055387D5" w14:textId="71D45658" w:rsidR="001F4E63" w:rsidRDefault="006364C8" w:rsidP="002D246B">
      <w:pPr>
        <w:pStyle w:val="Q"/>
      </w:pPr>
      <w:r>
        <w:t xml:space="preserve">How does Lahiri </w:t>
      </w:r>
      <w:r w:rsidR="00FF67C1">
        <w:t>approach</w:t>
      </w:r>
      <w:r>
        <w:t xml:space="preserve"> identity throughout </w:t>
      </w:r>
      <w:r>
        <w:rPr>
          <w:i/>
        </w:rPr>
        <w:t>The Namesake</w:t>
      </w:r>
      <w:r w:rsidR="001F4E63">
        <w:t>?</w:t>
      </w:r>
    </w:p>
    <w:p w14:paraId="4D3053A3" w14:textId="2150519B" w:rsidR="008C2992" w:rsidRDefault="008C2992" w:rsidP="002D246B">
      <w:pPr>
        <w:pStyle w:val="SR"/>
      </w:pPr>
      <w:r>
        <w:t>Student responses may include:</w:t>
      </w:r>
    </w:p>
    <w:p w14:paraId="4A9719ED" w14:textId="06044C6A" w:rsidR="00301BCC" w:rsidRPr="002D246B" w:rsidRDefault="00301BCC" w:rsidP="00301BCC">
      <w:pPr>
        <w:pStyle w:val="SASRBullet"/>
      </w:pPr>
      <w:r w:rsidRPr="001E6BD6">
        <w:t>Lahiri</w:t>
      </w:r>
      <w:r>
        <w:t xml:space="preserve"> </w:t>
      </w:r>
      <w:r w:rsidR="00E638C5">
        <w:t>approaches</w:t>
      </w:r>
      <w:r>
        <w:t xml:space="preserve"> identity as a </w:t>
      </w:r>
      <w:r w:rsidR="00E638C5">
        <w:t>search</w:t>
      </w:r>
      <w:r w:rsidR="00B76344">
        <w:t xml:space="preserve"> </w:t>
      </w:r>
      <w:r>
        <w:t>for belonging</w:t>
      </w:r>
      <w:r w:rsidR="00E32E10">
        <w:t>, as Gogol attempts</w:t>
      </w:r>
      <w:r w:rsidR="00EE7646">
        <w:t xml:space="preserve"> to find a resolution </w:t>
      </w:r>
      <w:r w:rsidR="00E32E10">
        <w:t xml:space="preserve">to his struggles with identity throughout the novel.  </w:t>
      </w:r>
    </w:p>
    <w:p w14:paraId="1FF1C55D" w14:textId="2EDF94BA" w:rsidR="00301BCC" w:rsidRDefault="00301BCC" w:rsidP="00553B5D">
      <w:pPr>
        <w:pStyle w:val="SASRBullet"/>
      </w:pPr>
      <w:r w:rsidRPr="00C93F9F">
        <w:t xml:space="preserve">In </w:t>
      </w:r>
      <w:r w:rsidRPr="00A518AC">
        <w:rPr>
          <w:i/>
        </w:rPr>
        <w:t>The</w:t>
      </w:r>
      <w:r w:rsidRPr="00C93F9F">
        <w:t xml:space="preserve"> </w:t>
      </w:r>
      <w:r w:rsidRPr="00A518AC">
        <w:rPr>
          <w:i/>
        </w:rPr>
        <w:t>Namesake</w:t>
      </w:r>
      <w:r w:rsidRPr="00C93F9F">
        <w:t xml:space="preserve">, </w:t>
      </w:r>
      <w:r>
        <w:t>Lahiri portrays</w:t>
      </w:r>
      <w:r w:rsidRPr="001E6BD6">
        <w:t xml:space="preserve"> identity</w:t>
      </w:r>
      <w:r w:rsidR="00E033DD">
        <w:t xml:space="preserve"> as </w:t>
      </w:r>
      <w:r w:rsidR="00E638C5">
        <w:t>shifting</w:t>
      </w:r>
      <w:r w:rsidR="00E033DD">
        <w:t xml:space="preserve"> or changing, as</w:t>
      </w:r>
      <w:r w:rsidRPr="001E6BD6">
        <w:t xml:space="preserve"> </w:t>
      </w:r>
      <w:r>
        <w:t xml:space="preserve">Gogol </w:t>
      </w:r>
      <w:r w:rsidR="00F0044B">
        <w:t>negotiates</w:t>
      </w:r>
      <w:r w:rsidR="00E638C5">
        <w:t xml:space="preserve"> </w:t>
      </w:r>
      <w:r>
        <w:t xml:space="preserve">his </w:t>
      </w:r>
      <w:r w:rsidR="00F0044B">
        <w:t xml:space="preserve">Bengali-American identity </w:t>
      </w:r>
      <w:r w:rsidR="00E033DD">
        <w:t xml:space="preserve">throughout the text by changing his name, engaging in different relationships, and living </w:t>
      </w:r>
      <w:r w:rsidR="002768F5">
        <w:t>separate</w:t>
      </w:r>
      <w:r w:rsidR="008F5610">
        <w:t>ly</w:t>
      </w:r>
      <w:r w:rsidR="002768F5">
        <w:t xml:space="preserve"> from his parents</w:t>
      </w:r>
      <w:r>
        <w:t xml:space="preserve">. </w:t>
      </w:r>
    </w:p>
    <w:p w14:paraId="56219C6F" w14:textId="21C95E1E" w:rsidR="003F4B3D" w:rsidRDefault="003F4B3D" w:rsidP="00553B5D">
      <w:pPr>
        <w:pStyle w:val="SASRBullet"/>
      </w:pPr>
      <w:r w:rsidRPr="0073167B">
        <w:rPr>
          <w:i/>
        </w:rPr>
        <w:t>The Namesake</w:t>
      </w:r>
      <w:r>
        <w:t xml:space="preserve"> demonstrates how conflicts of identity can be harmful to individuals, as Gogol experiences pain and discomfort as he tries to find a resolution for his struggles with identity. </w:t>
      </w:r>
    </w:p>
    <w:p w14:paraId="19F39553" w14:textId="52595FE3" w:rsidR="001F4E63" w:rsidRPr="00797993" w:rsidRDefault="00797993">
      <w:pPr>
        <w:pStyle w:val="Q"/>
      </w:pPr>
      <w:r>
        <w:t xml:space="preserve">How does Nikolai Gogol </w:t>
      </w:r>
      <w:r w:rsidR="00FF67C1">
        <w:t>approach</w:t>
      </w:r>
      <w:r>
        <w:t xml:space="preserve"> identity throughout “The Overcoat”?</w:t>
      </w:r>
    </w:p>
    <w:p w14:paraId="7B8E1F5C" w14:textId="7DE46B3B" w:rsidR="008C2992" w:rsidRDefault="008C2992" w:rsidP="002D246B">
      <w:pPr>
        <w:pStyle w:val="SR"/>
      </w:pPr>
      <w:r>
        <w:t>Student responses may include:</w:t>
      </w:r>
    </w:p>
    <w:p w14:paraId="16560AAE" w14:textId="10AF5467" w:rsidR="008C2992" w:rsidRDefault="00797F3C" w:rsidP="00CB6410">
      <w:pPr>
        <w:pStyle w:val="SASRBullet"/>
      </w:pPr>
      <w:r>
        <w:t xml:space="preserve">Nikolai </w:t>
      </w:r>
      <w:r w:rsidR="00797993">
        <w:t xml:space="preserve">Gogol treats identity </w:t>
      </w:r>
      <w:r w:rsidR="00301BCC">
        <w:t>as closely</w:t>
      </w:r>
      <w:r w:rsidR="00E735A8">
        <w:t xml:space="preserve"> linked</w:t>
      </w:r>
      <w:r w:rsidR="00301BCC" w:rsidRPr="001E6BD6">
        <w:t xml:space="preserve"> </w:t>
      </w:r>
      <w:r w:rsidR="00301BCC">
        <w:t>to</w:t>
      </w:r>
      <w:r w:rsidR="00301BCC" w:rsidRPr="001E6BD6">
        <w:t xml:space="preserve"> </w:t>
      </w:r>
      <w:r w:rsidR="00301BCC">
        <w:t>Petersburg’s power structure</w:t>
      </w:r>
      <w:r w:rsidR="00265A5F">
        <w:t>; m</w:t>
      </w:r>
      <w:r w:rsidR="00301BCC">
        <w:t>ost of the power</w:t>
      </w:r>
      <w:r w:rsidR="00301BCC" w:rsidRPr="001E6BD6">
        <w:t xml:space="preserve"> in Petersburg determines </w:t>
      </w:r>
      <w:r w:rsidR="00301BCC">
        <w:t>“</w:t>
      </w:r>
      <w:r w:rsidR="00301BCC" w:rsidRPr="001E6BD6">
        <w:t>rank</w:t>
      </w:r>
      <w:r w:rsidR="00301BCC">
        <w:t>”</w:t>
      </w:r>
      <w:r w:rsidR="00E91FB4" w:rsidDel="006D5F72">
        <w:t xml:space="preserve"> </w:t>
      </w:r>
      <w:r w:rsidR="00301BCC">
        <w:t>(p. 394)</w:t>
      </w:r>
      <w:r w:rsidR="00301BCC" w:rsidRPr="001E6BD6">
        <w:t xml:space="preserve"> and title</w:t>
      </w:r>
      <w:r w:rsidR="00301BCC">
        <w:t xml:space="preserve">, and </w:t>
      </w:r>
      <w:r w:rsidR="00301BCC" w:rsidRPr="001E6BD6">
        <w:t>thus id</w:t>
      </w:r>
      <w:r w:rsidR="00301BCC">
        <w:t>entity</w:t>
      </w:r>
      <w:r w:rsidR="00E91FB4">
        <w:t>.</w:t>
      </w:r>
    </w:p>
    <w:p w14:paraId="038F0A76" w14:textId="4CD3151F" w:rsidR="001D10F0" w:rsidRDefault="001D10F0" w:rsidP="00CB6410">
      <w:pPr>
        <w:pStyle w:val="SASRBullet"/>
      </w:pPr>
      <w:r>
        <w:t xml:space="preserve">Gogol treats identity as shifting based on context, </w:t>
      </w:r>
      <w:r w:rsidR="00E71EC2">
        <w:t xml:space="preserve">as Akaky Akakievich’s identity changes in </w:t>
      </w:r>
      <w:r>
        <w:t>relation to the overcoat.</w:t>
      </w:r>
    </w:p>
    <w:p w14:paraId="2191010C" w14:textId="3145BCD9" w:rsidR="001D10F0" w:rsidRDefault="00D24A09" w:rsidP="00CB6410">
      <w:pPr>
        <w:pStyle w:val="SASRBullet"/>
      </w:pPr>
      <w:r>
        <w:t xml:space="preserve">“The Overcoat” provides </w:t>
      </w:r>
      <w:r w:rsidR="00043053">
        <w:t>a resolution to Akaky Akakievich’s struggles with identity through</w:t>
      </w:r>
      <w:r w:rsidR="00CD76CC">
        <w:t xml:space="preserve"> his</w:t>
      </w:r>
      <w:r w:rsidR="00043053">
        <w:t xml:space="preserve"> death</w:t>
      </w:r>
      <w:r w:rsidR="00CD76CC">
        <w:t xml:space="preserve"> and transformation into a fear-provoking “dead man” (p. 420)</w:t>
      </w:r>
      <w:r w:rsidR="00043053">
        <w:t>.</w:t>
      </w:r>
    </w:p>
    <w:p w14:paraId="592352B2" w14:textId="20FFCCA8" w:rsidR="00CA1F3D" w:rsidRDefault="000E3721" w:rsidP="00271831">
      <w:pPr>
        <w:pStyle w:val="Q"/>
      </w:pPr>
      <w:r>
        <w:t>Analyze the</w:t>
      </w:r>
      <w:r w:rsidR="00CA1F3D">
        <w:t xml:space="preserve"> connections between the authors’ </w:t>
      </w:r>
      <w:r>
        <w:t>approaches</w:t>
      </w:r>
      <w:r w:rsidR="00CA1F3D">
        <w:t xml:space="preserve"> </w:t>
      </w:r>
      <w:r>
        <w:t>to</w:t>
      </w:r>
      <w:r w:rsidR="00CA1F3D">
        <w:t xml:space="preserve"> identity</w:t>
      </w:r>
      <w:r>
        <w:t>.</w:t>
      </w:r>
    </w:p>
    <w:p w14:paraId="161CEF98" w14:textId="0202C464" w:rsidR="00E22978" w:rsidRDefault="00E22978" w:rsidP="00E9176F">
      <w:pPr>
        <w:pStyle w:val="SR"/>
      </w:pPr>
      <w:r>
        <w:t>Student responses may include:</w:t>
      </w:r>
    </w:p>
    <w:p w14:paraId="046DB4D8" w14:textId="7760D1C9" w:rsidR="00097A27" w:rsidRDefault="00350DF4" w:rsidP="00CB6410">
      <w:pPr>
        <w:pStyle w:val="SASRBullet"/>
      </w:pPr>
      <w:r w:rsidRPr="001E6BD6">
        <w:t xml:space="preserve">Both </w:t>
      </w:r>
      <w:r w:rsidR="003A38AA">
        <w:t>Lahiri and Gogol portray</w:t>
      </w:r>
      <w:r w:rsidRPr="001E6BD6">
        <w:t xml:space="preserve"> identity as </w:t>
      </w:r>
      <w:r w:rsidR="00984800">
        <w:t xml:space="preserve">not fixed, but rather, shifting and changing depending on context. In </w:t>
      </w:r>
      <w:r w:rsidR="00984800" w:rsidRPr="0073167B">
        <w:rPr>
          <w:i/>
        </w:rPr>
        <w:t>The Namesake</w:t>
      </w:r>
      <w:r w:rsidR="00984800">
        <w:t>, Gogol’s identity shifts in response</w:t>
      </w:r>
      <w:r w:rsidR="003A38AA">
        <w:t xml:space="preserve"> to his internal struggles with identity. In “The Overcoat,” Akaky Akakievich’</w:t>
      </w:r>
      <w:r w:rsidR="00B66AB1">
        <w:t>s identity changes in relation</w:t>
      </w:r>
      <w:r w:rsidR="003A38AA">
        <w:t xml:space="preserve"> to his overcoat.  </w:t>
      </w:r>
      <w:r w:rsidR="00984800">
        <w:t xml:space="preserve"> </w:t>
      </w:r>
    </w:p>
    <w:p w14:paraId="5D8B9F94" w14:textId="585CFC90" w:rsidR="00CA1F3D" w:rsidRDefault="00097A27" w:rsidP="00CB6410">
      <w:pPr>
        <w:pStyle w:val="SASRBullet"/>
      </w:pPr>
      <w:r>
        <w:lastRenderedPageBreak/>
        <w:t xml:space="preserve">Both </w:t>
      </w:r>
      <w:r w:rsidRPr="0073167B">
        <w:rPr>
          <w:i/>
        </w:rPr>
        <w:t>The Namesake</w:t>
      </w:r>
      <w:r>
        <w:t xml:space="preserve"> and “The Overcoat” provide resolutions to their respective characters’ struggles with identity. </w:t>
      </w:r>
      <w:r w:rsidR="00020EEF">
        <w:t xml:space="preserve">In “The Overcoat,” Akaky Akakievich finds resolution to his struggles with identity through </w:t>
      </w:r>
      <w:r w:rsidR="00D946CB">
        <w:t xml:space="preserve">his </w:t>
      </w:r>
      <w:r w:rsidR="00020EEF">
        <w:t>death</w:t>
      </w:r>
      <w:r w:rsidR="00D946CB">
        <w:t xml:space="preserve"> and transformation into a fear-provoking “dead man” (p. 420)</w:t>
      </w:r>
      <w:r w:rsidR="00020EEF">
        <w:t xml:space="preserve">. In </w:t>
      </w:r>
      <w:r w:rsidR="00020EEF" w:rsidRPr="0073167B">
        <w:rPr>
          <w:i/>
        </w:rPr>
        <w:t>The Namesake</w:t>
      </w:r>
      <w:r w:rsidR="004E00F7">
        <w:t>,</w:t>
      </w:r>
      <w:r w:rsidR="00020EEF">
        <w:t xml:space="preserve"> the resolution for Gogol is the accept</w:t>
      </w:r>
      <w:r w:rsidR="00D946CB">
        <w:t>ance of his conflicted identity, as Gogol realizes that it “had not been possible to reinvent himself fully, to break from that mismatched name”</w:t>
      </w:r>
      <w:r w:rsidR="00E65EE0">
        <w:t xml:space="preserve"> (p. 287).</w:t>
      </w:r>
    </w:p>
    <w:p w14:paraId="0251F390" w14:textId="77777777" w:rsidR="00E9176F" w:rsidRDefault="00E9176F" w:rsidP="00E9176F">
      <w:pPr>
        <w:pStyle w:val="BR"/>
      </w:pPr>
    </w:p>
    <w:p w14:paraId="5DEBA61C" w14:textId="2702E689" w:rsidR="002B780A" w:rsidRDefault="002B780A" w:rsidP="002B780A">
      <w:pPr>
        <w:pStyle w:val="TA"/>
      </w:pPr>
      <w:r w:rsidRPr="001F4E63">
        <w:t>Instruct</w:t>
      </w:r>
      <w:r>
        <w:t xml:space="preserve"> student</w:t>
      </w:r>
      <w:r w:rsidR="0085532C">
        <w:t xml:space="preserve"> pairs</w:t>
      </w:r>
      <w:r>
        <w:t xml:space="preserve"> to develop </w:t>
      </w:r>
      <w:r w:rsidR="00C53501">
        <w:t>two</w:t>
      </w:r>
      <w:r>
        <w:t xml:space="preserve"> claims supported by evidence in response to the</w:t>
      </w:r>
      <w:r w:rsidR="009E7956">
        <w:t xml:space="preserve"> 12.4.2</w:t>
      </w:r>
      <w:r>
        <w:t xml:space="preserve"> End-of-Unit Assessment prompt</w:t>
      </w:r>
      <w:r w:rsidR="005D14F9">
        <w:t xml:space="preserve"> in preparation for the discussion in the </w:t>
      </w:r>
      <w:r w:rsidR="0085532C">
        <w:t>following</w:t>
      </w:r>
      <w:r w:rsidR="005D14F9">
        <w:t xml:space="preserve"> lesson</w:t>
      </w:r>
      <w:r w:rsidR="0085532C">
        <w:t xml:space="preserve"> (12.4.2 Lesson 23)</w:t>
      </w:r>
      <w:r w:rsidR="005D14F9">
        <w:t>.</w:t>
      </w:r>
    </w:p>
    <w:p w14:paraId="00B48326" w14:textId="3552DB61" w:rsidR="00722EFB" w:rsidRDefault="005D14F9" w:rsidP="00CB6410">
      <w:pPr>
        <w:pStyle w:val="SA"/>
        <w:numPr>
          <w:ilvl w:val="0"/>
          <w:numId w:val="1"/>
        </w:numPr>
      </w:pPr>
      <w:r>
        <w:t>Student</w:t>
      </w:r>
      <w:r w:rsidR="0085532C">
        <w:t xml:space="preserve"> pairs </w:t>
      </w:r>
      <w:r>
        <w:t xml:space="preserve">develop </w:t>
      </w:r>
      <w:r w:rsidR="00C53501">
        <w:t>two</w:t>
      </w:r>
      <w:r>
        <w:t xml:space="preserve"> claims and gather evidence in preparation for the</w:t>
      </w:r>
      <w:r w:rsidR="009E7956">
        <w:t xml:space="preserve"> 12.4.2</w:t>
      </w:r>
      <w:r>
        <w:t xml:space="preserve"> End-of-Unit Assessment</w:t>
      </w:r>
      <w:r w:rsidR="0085532C">
        <w:t xml:space="preserve"> discussion in the following lesson. </w:t>
      </w:r>
    </w:p>
    <w:p w14:paraId="18755AC0" w14:textId="6E3ACD0F" w:rsidR="00B73810" w:rsidRDefault="00B73810" w:rsidP="00CA6992">
      <w:pPr>
        <w:pStyle w:val="SR"/>
      </w:pPr>
      <w:r>
        <w:t>See the 12.4.2 Lesson 22 Exit Slip for example student responses.</w:t>
      </w:r>
    </w:p>
    <w:p w14:paraId="70224377" w14:textId="193EF1B2" w:rsidR="00B73810" w:rsidRDefault="00B73810" w:rsidP="00CA6992">
      <w:pPr>
        <w:pStyle w:val="IN"/>
      </w:pPr>
      <w:r>
        <w:t>See 12.4.2 Lesson 23</w:t>
      </w:r>
      <w:r w:rsidR="00354CD0">
        <w:t xml:space="preserve"> High Performance Response</w:t>
      </w:r>
      <w:r>
        <w:t xml:space="preserve"> for more examples of claims </w:t>
      </w:r>
      <w:r w:rsidR="00354CD0">
        <w:t xml:space="preserve">supported by </w:t>
      </w:r>
      <w:r>
        <w:t xml:space="preserve">evidence. </w:t>
      </w:r>
    </w:p>
    <w:p w14:paraId="345070A4" w14:textId="7FC12BC6" w:rsidR="002B780A" w:rsidRPr="008C237C" w:rsidRDefault="00722EFB" w:rsidP="002D246B">
      <w:pPr>
        <w:pStyle w:val="IN"/>
      </w:pPr>
      <w:r>
        <w:t>Remind students</w:t>
      </w:r>
      <w:r w:rsidR="00A12DB5">
        <w:t xml:space="preserve"> to record notes during </w:t>
      </w:r>
      <w:r w:rsidR="0078705E">
        <w:t xml:space="preserve">the </w:t>
      </w:r>
      <w:r w:rsidR="00A12DB5">
        <w:t xml:space="preserve">discussion to prepare for this lesson’s </w:t>
      </w:r>
      <w:r w:rsidR="005201D0">
        <w:t xml:space="preserve">Exit Slip </w:t>
      </w:r>
      <w:r w:rsidR="00A12DB5">
        <w:t>assessment and the following lesson’s asses</w:t>
      </w:r>
      <w:r w:rsidR="006E2850">
        <w:t>sed</w:t>
      </w:r>
      <w:r w:rsidR="00A12DB5">
        <w:t xml:space="preserve"> discussion (12.4.2 Lesson 23). </w:t>
      </w:r>
    </w:p>
    <w:p w14:paraId="3E2779E5" w14:textId="77777777" w:rsidR="0078705E" w:rsidRDefault="001809D1" w:rsidP="0073167B">
      <w:pPr>
        <w:pStyle w:val="IN"/>
      </w:pPr>
      <w:r w:rsidRPr="00C633C7">
        <w:t>Consider drawing students’ attention to their application of SL.11-12.1 through the process of participating effectively in a range of collaborative discussion</w:t>
      </w:r>
      <w:r w:rsidR="00643993">
        <w:t>.</w:t>
      </w:r>
      <w:r w:rsidR="0078705E">
        <w:t xml:space="preserve"> </w:t>
      </w:r>
    </w:p>
    <w:p w14:paraId="6AD7F12F" w14:textId="0B7C1CF6" w:rsidR="002B780A" w:rsidRDefault="002B780A" w:rsidP="002B780A">
      <w:pPr>
        <w:pStyle w:val="TA"/>
      </w:pPr>
      <w:r>
        <w:t xml:space="preserve">Lead a brief whole-class discussion of student responses. </w:t>
      </w:r>
    </w:p>
    <w:p w14:paraId="077DA023" w14:textId="5B5AA460" w:rsidR="00771333" w:rsidRDefault="00771333" w:rsidP="00771333">
      <w:pPr>
        <w:pStyle w:val="LearningSequenceHeader"/>
      </w:pPr>
      <w:r>
        <w:t xml:space="preserve">Activity </w:t>
      </w:r>
      <w:r w:rsidR="009D5085">
        <w:t>4</w:t>
      </w:r>
      <w:r>
        <w:t xml:space="preserve">: </w:t>
      </w:r>
      <w:r w:rsidR="00345235">
        <w:t>12.4.2 Lesson 22</w:t>
      </w:r>
      <w:r w:rsidR="00EA30D0">
        <w:t xml:space="preserve"> Exit Slip</w:t>
      </w:r>
      <w:r w:rsidR="003470DF">
        <w:t xml:space="preserve"> and Assessment</w:t>
      </w:r>
      <w:r w:rsidR="004B2082">
        <w:tab/>
        <w:t>1</w:t>
      </w:r>
      <w:r w:rsidR="003F4D89">
        <w:t>0</w:t>
      </w:r>
      <w:r>
        <w:t>%</w:t>
      </w:r>
    </w:p>
    <w:p w14:paraId="79750BD2" w14:textId="62ABA0BA" w:rsidR="00EA30D0" w:rsidRDefault="00345235" w:rsidP="00EA30D0">
      <w:pPr>
        <w:pStyle w:val="TA"/>
      </w:pPr>
      <w:r>
        <w:t>Distribute the 12.4.2 Lesson 2</w:t>
      </w:r>
      <w:r w:rsidR="00BC25D8">
        <w:t>2</w:t>
      </w:r>
      <w:r w:rsidR="003576E9">
        <w:t xml:space="preserve"> Exit Slip. Instruct students to complete </w:t>
      </w:r>
      <w:r w:rsidR="00F573FD">
        <w:t>the Ex</w:t>
      </w:r>
      <w:r w:rsidR="00C83CFC">
        <w:t xml:space="preserve">it Slip independently. </w:t>
      </w:r>
    </w:p>
    <w:p w14:paraId="1A535E78" w14:textId="77777777" w:rsidR="003576E9" w:rsidRDefault="00345235" w:rsidP="003576E9">
      <w:pPr>
        <w:pStyle w:val="SR"/>
      </w:pPr>
      <w:r>
        <w:t>See the Model 12.4.2 Lesson 22</w:t>
      </w:r>
      <w:r w:rsidR="003576E9">
        <w:t xml:space="preserve"> Exit Slip </w:t>
      </w:r>
      <w:r w:rsidR="0044185A">
        <w:t>at the end of this lesson</w:t>
      </w:r>
      <w:r w:rsidR="003576E9">
        <w:t xml:space="preserve">. </w:t>
      </w:r>
    </w:p>
    <w:p w14:paraId="0B5BD9B8" w14:textId="77777777" w:rsidR="00C83CFC" w:rsidRDefault="00C83CFC" w:rsidP="00C83CFC">
      <w:pPr>
        <w:pStyle w:val="TA"/>
      </w:pPr>
      <w:r>
        <w:t>Collect student Exit Slips.</w:t>
      </w:r>
    </w:p>
    <w:p w14:paraId="5DBC1D31" w14:textId="7F5CBC90" w:rsidR="00790BCC" w:rsidRPr="00790BCC" w:rsidRDefault="009D5085" w:rsidP="007017EB">
      <w:pPr>
        <w:pStyle w:val="LearningSequenceHeader"/>
      </w:pPr>
      <w:r>
        <w:t>Activity 5</w:t>
      </w:r>
      <w:r w:rsidR="00790BCC" w:rsidRPr="00790BCC">
        <w:t>: Closing</w:t>
      </w:r>
      <w:r w:rsidR="00790BCC" w:rsidRPr="00790BCC">
        <w:tab/>
        <w:t>5%</w:t>
      </w:r>
    </w:p>
    <w:p w14:paraId="6E04BFF4" w14:textId="5E31E890" w:rsidR="004126EE" w:rsidRDefault="004126EE" w:rsidP="00D729BA">
      <w:pPr>
        <w:pStyle w:val="TA"/>
      </w:pPr>
      <w:r>
        <w:t xml:space="preserve">Display and distribute the homework assignment. For homework, instruct students to </w:t>
      </w:r>
      <w:r w:rsidRPr="00581EE3">
        <w:t>review and expand their notes</w:t>
      </w:r>
      <w:r w:rsidR="004230D5">
        <w:t>,</w:t>
      </w:r>
      <w:r w:rsidRPr="00581EE3">
        <w:t xml:space="preserve"> annotations</w:t>
      </w:r>
      <w:r w:rsidR="004230D5">
        <w:t>, and Quick Writes</w:t>
      </w:r>
      <w:r>
        <w:t xml:space="preserve"> in preparation for the 12.4.2</w:t>
      </w:r>
      <w:r w:rsidRPr="00581EE3">
        <w:t xml:space="preserve"> </w:t>
      </w:r>
      <w:r>
        <w:t>End</w:t>
      </w:r>
      <w:r w:rsidRPr="00581EE3">
        <w:t>-</w:t>
      </w:r>
      <w:r>
        <w:t>of-</w:t>
      </w:r>
      <w:r w:rsidRPr="00581EE3">
        <w:t>Unit Assessment</w:t>
      </w:r>
      <w:r>
        <w:t xml:space="preserve"> in the following lesson. </w:t>
      </w:r>
      <w:r w:rsidRPr="00AF1297">
        <w:rPr>
          <w:rStyle w:val="CommentReference"/>
        </w:rPr>
        <w:t xml:space="preserve"> </w:t>
      </w:r>
    </w:p>
    <w:p w14:paraId="272955B5" w14:textId="35F27D29" w:rsidR="0092053A" w:rsidRDefault="00D91C8A" w:rsidP="00D729BA">
      <w:pPr>
        <w:pStyle w:val="TA"/>
      </w:pPr>
      <w:r>
        <w:lastRenderedPageBreak/>
        <w:t>D</w:t>
      </w:r>
      <w:r w:rsidR="00557A1F">
        <w:t>istribute the 12.4.2 End-of-Unit Rubric and C</w:t>
      </w:r>
      <w:r w:rsidR="004126EE">
        <w:t>hecklist</w:t>
      </w:r>
      <w:r>
        <w:t xml:space="preserve">. Instruct </w:t>
      </w:r>
      <w:r w:rsidR="004126EE">
        <w:t>student</w:t>
      </w:r>
      <w:r>
        <w:t xml:space="preserve">s to review the 12.4.2 End-of-Unit Rubric and Checklist </w:t>
      </w:r>
      <w:r w:rsidR="00AD0C33">
        <w:t>to prepare for the End-of-Unit A</w:t>
      </w:r>
      <w:r>
        <w:t>ssessment.</w:t>
      </w:r>
      <w:r w:rsidR="004126EE">
        <w:t xml:space="preserve"> </w:t>
      </w:r>
    </w:p>
    <w:p w14:paraId="25F8A588" w14:textId="77777777" w:rsidR="00D729BA" w:rsidRPr="00790BCC" w:rsidRDefault="00D729BA" w:rsidP="00CB6410">
      <w:pPr>
        <w:pStyle w:val="SA"/>
        <w:numPr>
          <w:ilvl w:val="0"/>
          <w:numId w:val="1"/>
        </w:numPr>
      </w:pPr>
      <w:r>
        <w:t xml:space="preserve">Students follow along. </w:t>
      </w:r>
    </w:p>
    <w:p w14:paraId="3ED9A2DE" w14:textId="77777777" w:rsidR="005E766B" w:rsidRPr="00790BCC" w:rsidRDefault="005E766B" w:rsidP="005E766B">
      <w:pPr>
        <w:pStyle w:val="Heading1"/>
      </w:pPr>
      <w:r w:rsidRPr="00790BCC">
        <w:t>Homework</w:t>
      </w:r>
    </w:p>
    <w:p w14:paraId="6D985C6A" w14:textId="32B86D6E" w:rsidR="00D729BA" w:rsidRPr="00581EE3" w:rsidRDefault="00D729BA" w:rsidP="007E690E">
      <w:r>
        <w:t>R</w:t>
      </w:r>
      <w:r w:rsidRPr="00581EE3">
        <w:t xml:space="preserve">eview and expand </w:t>
      </w:r>
      <w:r>
        <w:t>your</w:t>
      </w:r>
      <w:r w:rsidRPr="00581EE3">
        <w:t xml:space="preserve"> notes</w:t>
      </w:r>
      <w:r w:rsidR="004230D5">
        <w:t>,</w:t>
      </w:r>
      <w:r w:rsidRPr="00581EE3">
        <w:t xml:space="preserve"> annotations</w:t>
      </w:r>
      <w:r w:rsidR="004230D5">
        <w:t>, and Quick Writes</w:t>
      </w:r>
      <w:r>
        <w:t xml:space="preserve"> in preparation for the 12.4.2</w:t>
      </w:r>
      <w:r w:rsidRPr="00581EE3">
        <w:t xml:space="preserve"> </w:t>
      </w:r>
      <w:r w:rsidR="00AB23A7">
        <w:t>End-of-Unit</w:t>
      </w:r>
      <w:r w:rsidRPr="00581EE3">
        <w:t xml:space="preserve"> Assessment</w:t>
      </w:r>
      <w:r>
        <w:t xml:space="preserve"> in the following lesson</w:t>
      </w:r>
      <w:r w:rsidRPr="00581EE3">
        <w:t>.</w:t>
      </w:r>
      <w:r w:rsidR="003863B5">
        <w:t xml:space="preserve"> Also, review the 12.4.2 End-of-Unit Rubric and Checklist to prepare for the End-of-Unit Assessment. </w:t>
      </w:r>
    </w:p>
    <w:p w14:paraId="4780EE78" w14:textId="77777777" w:rsidR="007E690E" w:rsidRDefault="007E690E">
      <w:pPr>
        <w:spacing w:before="0" w:after="0" w:line="240" w:lineRule="auto"/>
        <w:sectPr w:rsidR="007E690E" w:rsidSect="00B82278">
          <w:headerReference w:type="default" r:id="rId7"/>
          <w:footerReference w:type="default" r:id="rId8"/>
          <w:pgSz w:w="12240" w:h="15840"/>
          <w:pgMar w:top="1440" w:right="1440" w:bottom="1440" w:left="1440" w:header="432" w:footer="648" w:gutter="0"/>
          <w:cols w:space="720"/>
          <w:docGrid w:linePitch="299"/>
        </w:sectPr>
      </w:pPr>
    </w:p>
    <w:p w14:paraId="36549C36" w14:textId="7A6F39FA" w:rsidR="005B5363" w:rsidRDefault="00345235" w:rsidP="005B5363">
      <w:pPr>
        <w:pStyle w:val="ToolHeader"/>
      </w:pPr>
      <w:r>
        <w:lastRenderedPageBreak/>
        <w:t>12.4.2 Lesson 22</w:t>
      </w:r>
      <w:r w:rsidR="005B5363">
        <w:t xml:space="preserve"> Exit Slip</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6"/>
        <w:gridCol w:w="732"/>
        <w:gridCol w:w="3045"/>
        <w:gridCol w:w="720"/>
        <w:gridCol w:w="1348"/>
      </w:tblGrid>
      <w:tr w:rsidR="005B5363" w:rsidRPr="005B5363" w14:paraId="04A0250F" w14:textId="77777777" w:rsidTr="00D47511">
        <w:trPr>
          <w:trHeight w:val="557"/>
        </w:trPr>
        <w:tc>
          <w:tcPr>
            <w:tcW w:w="816" w:type="dxa"/>
            <w:shd w:val="clear" w:color="auto" w:fill="D9D9D9"/>
            <w:vAlign w:val="center"/>
          </w:tcPr>
          <w:p w14:paraId="66F993F0" w14:textId="77777777" w:rsidR="005B5363" w:rsidRPr="005B5363" w:rsidRDefault="005B5363" w:rsidP="00D47511">
            <w:pPr>
              <w:pStyle w:val="ToolTableText"/>
              <w:rPr>
                <w:b/>
              </w:rPr>
            </w:pPr>
            <w:r w:rsidRPr="005B5363">
              <w:rPr>
                <w:b/>
              </w:rPr>
              <w:t>Name:</w:t>
            </w:r>
          </w:p>
        </w:tc>
        <w:tc>
          <w:tcPr>
            <w:tcW w:w="2786" w:type="dxa"/>
            <w:shd w:val="clear" w:color="auto" w:fill="auto"/>
            <w:vAlign w:val="center"/>
          </w:tcPr>
          <w:p w14:paraId="0FAD539A" w14:textId="77777777" w:rsidR="005B5363" w:rsidRPr="005B5363" w:rsidRDefault="005B5363" w:rsidP="00D47511">
            <w:pPr>
              <w:pStyle w:val="ToolTableText"/>
              <w:rPr>
                <w:b/>
              </w:rPr>
            </w:pPr>
          </w:p>
        </w:tc>
        <w:tc>
          <w:tcPr>
            <w:tcW w:w="728" w:type="dxa"/>
            <w:shd w:val="clear" w:color="auto" w:fill="D9D9D9"/>
            <w:vAlign w:val="center"/>
          </w:tcPr>
          <w:p w14:paraId="076D06A0" w14:textId="77777777" w:rsidR="005B5363" w:rsidRPr="005B5363" w:rsidRDefault="005B5363" w:rsidP="00D47511">
            <w:pPr>
              <w:pStyle w:val="ToolTableText"/>
              <w:rPr>
                <w:b/>
              </w:rPr>
            </w:pPr>
            <w:r w:rsidRPr="005B5363">
              <w:rPr>
                <w:b/>
              </w:rPr>
              <w:t>Class:</w:t>
            </w:r>
          </w:p>
        </w:tc>
        <w:tc>
          <w:tcPr>
            <w:tcW w:w="3045" w:type="dxa"/>
            <w:shd w:val="clear" w:color="auto" w:fill="auto"/>
            <w:vAlign w:val="center"/>
          </w:tcPr>
          <w:p w14:paraId="7CA3ED21" w14:textId="77777777" w:rsidR="005B5363" w:rsidRPr="005B5363" w:rsidRDefault="005B5363" w:rsidP="00D47511">
            <w:pPr>
              <w:pStyle w:val="ToolTableText"/>
              <w:rPr>
                <w:b/>
              </w:rPr>
            </w:pPr>
          </w:p>
        </w:tc>
        <w:tc>
          <w:tcPr>
            <w:tcW w:w="720" w:type="dxa"/>
            <w:shd w:val="clear" w:color="auto" w:fill="D9D9D9"/>
            <w:vAlign w:val="center"/>
          </w:tcPr>
          <w:p w14:paraId="37CD165B" w14:textId="77777777" w:rsidR="005B5363" w:rsidRPr="005B5363" w:rsidRDefault="005B5363" w:rsidP="00D47511">
            <w:pPr>
              <w:pStyle w:val="ToolTableText"/>
              <w:rPr>
                <w:b/>
              </w:rPr>
            </w:pPr>
            <w:r w:rsidRPr="005B5363">
              <w:rPr>
                <w:b/>
              </w:rPr>
              <w:t>Date:</w:t>
            </w:r>
          </w:p>
        </w:tc>
        <w:tc>
          <w:tcPr>
            <w:tcW w:w="1348" w:type="dxa"/>
            <w:shd w:val="clear" w:color="auto" w:fill="auto"/>
            <w:vAlign w:val="center"/>
          </w:tcPr>
          <w:p w14:paraId="51DF7534" w14:textId="77777777" w:rsidR="005B5363" w:rsidRPr="005B5363" w:rsidRDefault="005B5363" w:rsidP="00D47511">
            <w:pPr>
              <w:pStyle w:val="ToolTableText"/>
              <w:rPr>
                <w:b/>
              </w:rPr>
            </w:pPr>
          </w:p>
        </w:tc>
      </w:tr>
    </w:tbl>
    <w:p w14:paraId="0EBA69C6" w14:textId="77777777" w:rsidR="005B5363" w:rsidRPr="005B5363" w:rsidRDefault="005B5363" w:rsidP="005B5363">
      <w:pPr>
        <w:pStyle w:val="ToolTableText"/>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5B5363" w:rsidRPr="00DC3A6D" w14:paraId="4A3A3E6D" w14:textId="77777777" w:rsidTr="00D47511">
        <w:trPr>
          <w:trHeight w:val="557"/>
        </w:trPr>
        <w:tc>
          <w:tcPr>
            <w:tcW w:w="9443" w:type="dxa"/>
            <w:shd w:val="clear" w:color="auto" w:fill="D9D9D9"/>
            <w:vAlign w:val="center"/>
          </w:tcPr>
          <w:p w14:paraId="207882AF" w14:textId="44E032C2" w:rsidR="005B5363" w:rsidRPr="00085333" w:rsidRDefault="005B5363" w:rsidP="006E2850">
            <w:pPr>
              <w:pStyle w:val="ToolTableText"/>
              <w:rPr>
                <w:b/>
              </w:rPr>
            </w:pPr>
            <w:r w:rsidRPr="00085333">
              <w:rPr>
                <w:b/>
              </w:rPr>
              <w:t>Directions:</w:t>
            </w:r>
            <w:r w:rsidRPr="00DC3A6D">
              <w:t xml:space="preserve"> </w:t>
            </w:r>
            <w:r w:rsidR="004048A4">
              <w:t xml:space="preserve">Identify </w:t>
            </w:r>
            <w:r w:rsidR="005B593C">
              <w:t>two</w:t>
            </w:r>
            <w:r w:rsidR="00D36321">
              <w:t xml:space="preserve"> claims in response to the</w:t>
            </w:r>
            <w:r w:rsidR="005E77AE">
              <w:t xml:space="preserve"> 12.4.2</w:t>
            </w:r>
            <w:r w:rsidR="00D36321">
              <w:t xml:space="preserve"> End-of-Unit Assessment prompt.</w:t>
            </w:r>
          </w:p>
        </w:tc>
      </w:tr>
    </w:tbl>
    <w:p w14:paraId="3779C70C" w14:textId="77777777" w:rsidR="005B5363" w:rsidRPr="005B5363" w:rsidRDefault="005B5363" w:rsidP="005B5363">
      <w:pPr>
        <w:pStyle w:val="ToolTableText"/>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640"/>
      </w:tblGrid>
      <w:tr w:rsidR="005B5363" w:rsidRPr="0053566B" w14:paraId="53AAE670" w14:textId="77777777" w:rsidTr="00435493">
        <w:trPr>
          <w:trHeight w:val="562"/>
        </w:trPr>
        <w:tc>
          <w:tcPr>
            <w:tcW w:w="803" w:type="dxa"/>
            <w:shd w:val="clear" w:color="auto" w:fill="D9D9D9"/>
            <w:vAlign w:val="center"/>
          </w:tcPr>
          <w:p w14:paraId="55D5DCF7" w14:textId="77777777" w:rsidR="005B5363" w:rsidRPr="00F158B0" w:rsidRDefault="005B5363" w:rsidP="00435493">
            <w:pPr>
              <w:pStyle w:val="ToolTableText"/>
            </w:pPr>
            <w:r w:rsidRPr="00085333">
              <w:rPr>
                <w:b/>
              </w:rPr>
              <w:t>Text:</w:t>
            </w:r>
            <w:r w:rsidRPr="00DC3A6D">
              <w:t xml:space="preserve"> </w:t>
            </w:r>
          </w:p>
        </w:tc>
        <w:tc>
          <w:tcPr>
            <w:tcW w:w="8640" w:type="dxa"/>
            <w:shd w:val="clear" w:color="auto" w:fill="auto"/>
            <w:vAlign w:val="center"/>
          </w:tcPr>
          <w:p w14:paraId="088AE61F" w14:textId="71594E73" w:rsidR="005B5363" w:rsidRPr="003A5917" w:rsidRDefault="005B5363" w:rsidP="003A5917">
            <w:pPr>
              <w:pStyle w:val="ToolTableText"/>
            </w:pPr>
            <w:r>
              <w:t>“</w:t>
            </w:r>
            <w:r w:rsidR="003A5917">
              <w:t>The Overcoat</w:t>
            </w:r>
            <w:r>
              <w:t>”</w:t>
            </w:r>
            <w:r>
              <w:rPr>
                <w:i/>
              </w:rPr>
              <w:t xml:space="preserve"> </w:t>
            </w:r>
            <w:r w:rsidRPr="006C539D">
              <w:t xml:space="preserve">by </w:t>
            </w:r>
            <w:r w:rsidR="003A5917">
              <w:t xml:space="preserve">Nikolai Gogol and </w:t>
            </w:r>
            <w:r w:rsidR="003A5917">
              <w:rPr>
                <w:i/>
              </w:rPr>
              <w:t>The Namesake</w:t>
            </w:r>
            <w:r w:rsidR="003A5917">
              <w:t xml:space="preserve"> by Jhumpa Lahiri</w:t>
            </w:r>
          </w:p>
        </w:tc>
      </w:tr>
    </w:tbl>
    <w:p w14:paraId="5E5732D9" w14:textId="77777777" w:rsidR="005B5363" w:rsidRPr="005B5363" w:rsidRDefault="005B5363" w:rsidP="005B5363">
      <w:pPr>
        <w:spacing w:after="0" w:line="240" w:lineRule="auto"/>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5B5363" w:rsidRPr="0053566B" w14:paraId="795D247A" w14:textId="77777777" w:rsidTr="00D47511">
        <w:tc>
          <w:tcPr>
            <w:tcW w:w="9443" w:type="dxa"/>
            <w:shd w:val="clear" w:color="auto" w:fill="D9D9D9"/>
          </w:tcPr>
          <w:p w14:paraId="524698B4" w14:textId="563DA62E" w:rsidR="005B5363" w:rsidRPr="00DC3A6D" w:rsidRDefault="005B5363" w:rsidP="007D0A35">
            <w:pPr>
              <w:pStyle w:val="ToolTableText"/>
            </w:pPr>
            <w:r w:rsidRPr="00085333">
              <w:rPr>
                <w:rFonts w:eastAsia="Times New Roman" w:cs="Arial"/>
                <w:b/>
                <w:color w:val="000000"/>
              </w:rPr>
              <w:t>Prompt:</w:t>
            </w:r>
            <w:r w:rsidRPr="00085333">
              <w:rPr>
                <w:rFonts w:eastAsia="Times New Roman" w:cs="Arial"/>
                <w:color w:val="000000"/>
              </w:rPr>
              <w:t xml:space="preserve"> </w:t>
            </w:r>
            <w:r w:rsidR="007D0A35">
              <w:t>Compare Nikolai Gogol</w:t>
            </w:r>
            <w:r w:rsidR="00B84ED9">
              <w:t>’s</w:t>
            </w:r>
            <w:r w:rsidR="007D0A35">
              <w:t xml:space="preserve"> and Jhumpa Lahiri’s approaches to identity in “The Overcoat” and </w:t>
            </w:r>
            <w:r w:rsidR="007D0A35" w:rsidRPr="00DE6185">
              <w:rPr>
                <w:i/>
              </w:rPr>
              <w:t>The Namesake</w:t>
            </w:r>
            <w:r w:rsidR="007D0A35">
              <w:t>.</w:t>
            </w:r>
          </w:p>
        </w:tc>
      </w:tr>
      <w:tr w:rsidR="005B5363" w:rsidRPr="00790BCC" w14:paraId="03E3526E" w14:textId="77777777" w:rsidTr="00D47511">
        <w:tc>
          <w:tcPr>
            <w:tcW w:w="9443" w:type="dxa"/>
            <w:shd w:val="clear" w:color="auto" w:fill="D9D9D9"/>
          </w:tcPr>
          <w:p w14:paraId="054D5C87" w14:textId="1AF1B60D" w:rsidR="005B5363" w:rsidRPr="00085333" w:rsidRDefault="007D0A35" w:rsidP="00B84ED9">
            <w:pPr>
              <w:pStyle w:val="ToolTableText"/>
              <w:rPr>
                <w:b/>
              </w:rPr>
            </w:pPr>
            <w:r>
              <w:rPr>
                <w:b/>
              </w:rPr>
              <w:t xml:space="preserve">Identify </w:t>
            </w:r>
            <w:r w:rsidR="005B593C">
              <w:rPr>
                <w:b/>
              </w:rPr>
              <w:t>two</w:t>
            </w:r>
            <w:r w:rsidR="00931C4F">
              <w:rPr>
                <w:b/>
              </w:rPr>
              <w:t xml:space="preserve"> claims you developed with your p</w:t>
            </w:r>
            <w:r w:rsidR="001A53D2">
              <w:rPr>
                <w:b/>
              </w:rPr>
              <w:t>artner</w:t>
            </w:r>
            <w:r w:rsidR="00931C4F">
              <w:rPr>
                <w:b/>
              </w:rPr>
              <w:t>.</w:t>
            </w:r>
          </w:p>
        </w:tc>
      </w:tr>
      <w:tr w:rsidR="005B5363" w:rsidRPr="00790BCC" w14:paraId="59B1241B" w14:textId="77777777" w:rsidTr="00D47511">
        <w:trPr>
          <w:trHeight w:val="5040"/>
        </w:trPr>
        <w:tc>
          <w:tcPr>
            <w:tcW w:w="9443" w:type="dxa"/>
            <w:shd w:val="clear" w:color="auto" w:fill="auto"/>
          </w:tcPr>
          <w:p w14:paraId="3D24039C" w14:textId="1EF8818C" w:rsidR="00095E4E" w:rsidRDefault="00931C4F" w:rsidP="00095E4E">
            <w:pPr>
              <w:pStyle w:val="ToolTableText"/>
            </w:pPr>
            <w:r>
              <w:t>Claim 1</w:t>
            </w:r>
            <w:r w:rsidR="00095E4E">
              <w:t>:</w:t>
            </w:r>
          </w:p>
          <w:p w14:paraId="29AB5063" w14:textId="77777777" w:rsidR="00095E4E" w:rsidRDefault="00095E4E" w:rsidP="00095E4E">
            <w:pPr>
              <w:pStyle w:val="ToolTableText"/>
            </w:pPr>
          </w:p>
          <w:p w14:paraId="42DDFFF5" w14:textId="0960BEBD" w:rsidR="005B5363" w:rsidRPr="004B2082" w:rsidRDefault="00931C4F" w:rsidP="00095E4E">
            <w:pPr>
              <w:pStyle w:val="ToolTableText"/>
            </w:pPr>
            <w:r>
              <w:t>Claim 2</w:t>
            </w:r>
            <w:r w:rsidR="00095E4E">
              <w:t>:</w:t>
            </w:r>
          </w:p>
        </w:tc>
      </w:tr>
    </w:tbl>
    <w:p w14:paraId="05A1DC6F" w14:textId="77777777" w:rsidR="00762B0D" w:rsidRDefault="005B5363" w:rsidP="00762B0D">
      <w:pPr>
        <w:pStyle w:val="ToolHeader"/>
      </w:pPr>
      <w:r>
        <w:br w:type="page"/>
      </w:r>
      <w:r w:rsidR="002139D3">
        <w:lastRenderedPageBreak/>
        <w:t xml:space="preserve">Model </w:t>
      </w:r>
      <w:r w:rsidR="00345235">
        <w:t>12.4.2 Lesson 22</w:t>
      </w:r>
      <w:r w:rsidR="00762B0D">
        <w:t xml:space="preserve"> Exit Slip</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6"/>
        <w:gridCol w:w="732"/>
        <w:gridCol w:w="3045"/>
        <w:gridCol w:w="720"/>
        <w:gridCol w:w="1348"/>
      </w:tblGrid>
      <w:tr w:rsidR="00762B0D" w:rsidRPr="005B5363" w14:paraId="757BE976" w14:textId="77777777" w:rsidTr="00330818">
        <w:trPr>
          <w:trHeight w:val="557"/>
        </w:trPr>
        <w:tc>
          <w:tcPr>
            <w:tcW w:w="816" w:type="dxa"/>
            <w:shd w:val="clear" w:color="auto" w:fill="D9D9D9"/>
            <w:vAlign w:val="center"/>
          </w:tcPr>
          <w:p w14:paraId="2D923450" w14:textId="77777777" w:rsidR="00762B0D" w:rsidRPr="005B5363" w:rsidRDefault="00762B0D" w:rsidP="00762B0D">
            <w:pPr>
              <w:pStyle w:val="ToolTableText"/>
              <w:rPr>
                <w:b/>
              </w:rPr>
            </w:pPr>
            <w:r w:rsidRPr="005B5363">
              <w:rPr>
                <w:b/>
              </w:rPr>
              <w:t>Name:</w:t>
            </w:r>
          </w:p>
        </w:tc>
        <w:tc>
          <w:tcPr>
            <w:tcW w:w="2786" w:type="dxa"/>
            <w:shd w:val="clear" w:color="auto" w:fill="auto"/>
            <w:vAlign w:val="center"/>
          </w:tcPr>
          <w:p w14:paraId="5CEDBE6C" w14:textId="77777777" w:rsidR="00762B0D" w:rsidRPr="005B5363" w:rsidRDefault="00762B0D" w:rsidP="00762B0D">
            <w:pPr>
              <w:pStyle w:val="ToolTableText"/>
              <w:rPr>
                <w:b/>
              </w:rPr>
            </w:pPr>
          </w:p>
        </w:tc>
        <w:tc>
          <w:tcPr>
            <w:tcW w:w="728" w:type="dxa"/>
            <w:shd w:val="clear" w:color="auto" w:fill="D9D9D9"/>
            <w:vAlign w:val="center"/>
          </w:tcPr>
          <w:p w14:paraId="27AF1B83" w14:textId="77777777" w:rsidR="00762B0D" w:rsidRPr="005B5363" w:rsidRDefault="00762B0D" w:rsidP="00762B0D">
            <w:pPr>
              <w:pStyle w:val="ToolTableText"/>
              <w:rPr>
                <w:b/>
              </w:rPr>
            </w:pPr>
            <w:r w:rsidRPr="005B5363">
              <w:rPr>
                <w:b/>
              </w:rPr>
              <w:t>Class:</w:t>
            </w:r>
          </w:p>
        </w:tc>
        <w:tc>
          <w:tcPr>
            <w:tcW w:w="3045" w:type="dxa"/>
            <w:shd w:val="clear" w:color="auto" w:fill="auto"/>
            <w:vAlign w:val="center"/>
          </w:tcPr>
          <w:p w14:paraId="03BF481C" w14:textId="77777777" w:rsidR="00762B0D" w:rsidRPr="005B5363" w:rsidRDefault="00762B0D" w:rsidP="00762B0D">
            <w:pPr>
              <w:pStyle w:val="ToolTableText"/>
              <w:rPr>
                <w:b/>
              </w:rPr>
            </w:pPr>
          </w:p>
        </w:tc>
        <w:tc>
          <w:tcPr>
            <w:tcW w:w="720" w:type="dxa"/>
            <w:shd w:val="clear" w:color="auto" w:fill="D9D9D9"/>
            <w:vAlign w:val="center"/>
          </w:tcPr>
          <w:p w14:paraId="5C3E13A4" w14:textId="77777777" w:rsidR="00762B0D" w:rsidRPr="005B5363" w:rsidRDefault="00762B0D" w:rsidP="00762B0D">
            <w:pPr>
              <w:pStyle w:val="ToolTableText"/>
              <w:rPr>
                <w:b/>
              </w:rPr>
            </w:pPr>
            <w:r w:rsidRPr="005B5363">
              <w:rPr>
                <w:b/>
              </w:rPr>
              <w:t>Date:</w:t>
            </w:r>
          </w:p>
        </w:tc>
        <w:tc>
          <w:tcPr>
            <w:tcW w:w="1348" w:type="dxa"/>
            <w:shd w:val="clear" w:color="auto" w:fill="auto"/>
            <w:vAlign w:val="center"/>
          </w:tcPr>
          <w:p w14:paraId="548460A1" w14:textId="77777777" w:rsidR="00762B0D" w:rsidRPr="005B5363" w:rsidRDefault="00762B0D" w:rsidP="00762B0D">
            <w:pPr>
              <w:pStyle w:val="ToolTableText"/>
              <w:rPr>
                <w:b/>
              </w:rPr>
            </w:pPr>
          </w:p>
        </w:tc>
      </w:tr>
    </w:tbl>
    <w:p w14:paraId="2DB84011" w14:textId="77777777" w:rsidR="00762B0D" w:rsidRPr="005B5363" w:rsidRDefault="00762B0D" w:rsidP="00762B0D">
      <w:pPr>
        <w:pStyle w:val="ToolTableText"/>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62B0D" w:rsidRPr="00DC3A6D" w14:paraId="619D6833" w14:textId="77777777" w:rsidTr="00330818">
        <w:trPr>
          <w:trHeight w:val="557"/>
        </w:trPr>
        <w:tc>
          <w:tcPr>
            <w:tcW w:w="9443" w:type="dxa"/>
            <w:shd w:val="clear" w:color="auto" w:fill="D9D9D9"/>
            <w:vAlign w:val="center"/>
          </w:tcPr>
          <w:p w14:paraId="107E8ABE" w14:textId="3A228AEB" w:rsidR="00762B0D" w:rsidRPr="00085333" w:rsidRDefault="00762B0D" w:rsidP="00F46893">
            <w:pPr>
              <w:pStyle w:val="ToolTableText"/>
              <w:rPr>
                <w:b/>
              </w:rPr>
            </w:pPr>
            <w:r w:rsidRPr="00085333">
              <w:rPr>
                <w:b/>
              </w:rPr>
              <w:t>Directions:</w:t>
            </w:r>
            <w:r w:rsidRPr="00DC3A6D">
              <w:t xml:space="preserve"> </w:t>
            </w:r>
            <w:r w:rsidR="00F46893">
              <w:t xml:space="preserve">Identify </w:t>
            </w:r>
            <w:r w:rsidR="002337BE">
              <w:t xml:space="preserve">two </w:t>
            </w:r>
            <w:r w:rsidR="00F46893">
              <w:t>claims in response to the 12.4.2 End-of-Unit Assessment prompt.</w:t>
            </w:r>
          </w:p>
        </w:tc>
      </w:tr>
    </w:tbl>
    <w:p w14:paraId="6EB349CF" w14:textId="77777777" w:rsidR="00762B0D" w:rsidRPr="005B5363" w:rsidRDefault="00762B0D" w:rsidP="00762B0D">
      <w:pPr>
        <w:pStyle w:val="ToolTableText"/>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640"/>
      </w:tblGrid>
      <w:tr w:rsidR="00762B0D" w:rsidRPr="0053566B" w14:paraId="0DD774D7" w14:textId="77777777" w:rsidTr="00435493">
        <w:trPr>
          <w:trHeight w:val="562"/>
        </w:trPr>
        <w:tc>
          <w:tcPr>
            <w:tcW w:w="803" w:type="dxa"/>
            <w:shd w:val="clear" w:color="auto" w:fill="D9D9D9"/>
            <w:vAlign w:val="center"/>
          </w:tcPr>
          <w:p w14:paraId="6F238FDE" w14:textId="77777777" w:rsidR="00762B0D" w:rsidRPr="00F158B0" w:rsidRDefault="00762B0D" w:rsidP="00435493">
            <w:pPr>
              <w:pStyle w:val="ToolTableText"/>
            </w:pPr>
            <w:r w:rsidRPr="00085333">
              <w:rPr>
                <w:b/>
              </w:rPr>
              <w:t>Text:</w:t>
            </w:r>
            <w:r w:rsidRPr="00DC3A6D">
              <w:t xml:space="preserve"> </w:t>
            </w:r>
          </w:p>
        </w:tc>
        <w:tc>
          <w:tcPr>
            <w:tcW w:w="8640" w:type="dxa"/>
            <w:shd w:val="clear" w:color="auto" w:fill="auto"/>
            <w:vAlign w:val="center"/>
          </w:tcPr>
          <w:p w14:paraId="425339A6" w14:textId="4804C032" w:rsidR="00762B0D" w:rsidRPr="00F158B0" w:rsidRDefault="003A5917" w:rsidP="00435493">
            <w:pPr>
              <w:pStyle w:val="ToolTableText"/>
            </w:pPr>
            <w:r>
              <w:t>“The Overcoat”</w:t>
            </w:r>
            <w:r>
              <w:rPr>
                <w:i/>
              </w:rPr>
              <w:t xml:space="preserve"> </w:t>
            </w:r>
            <w:r w:rsidRPr="006C539D">
              <w:t xml:space="preserve">by </w:t>
            </w:r>
            <w:r>
              <w:t xml:space="preserve">Nikolai Gogol and </w:t>
            </w:r>
            <w:r>
              <w:rPr>
                <w:i/>
              </w:rPr>
              <w:t>The Namesake</w:t>
            </w:r>
            <w:r>
              <w:t xml:space="preserve"> by Jhumpa Lahiri</w:t>
            </w:r>
          </w:p>
        </w:tc>
      </w:tr>
    </w:tbl>
    <w:p w14:paraId="1DAA2649" w14:textId="77777777" w:rsidR="00762B0D" w:rsidRPr="005B5363" w:rsidRDefault="00762B0D" w:rsidP="00762B0D">
      <w:pPr>
        <w:spacing w:after="0" w:line="240" w:lineRule="auto"/>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62B0D" w:rsidRPr="0053566B" w14:paraId="3C5E1EBC" w14:textId="77777777" w:rsidTr="00330818">
        <w:tc>
          <w:tcPr>
            <w:tcW w:w="9443" w:type="dxa"/>
            <w:shd w:val="clear" w:color="auto" w:fill="D9D9D9"/>
          </w:tcPr>
          <w:p w14:paraId="238B919E" w14:textId="4AD3C64A" w:rsidR="00762B0D" w:rsidRPr="00DC3A6D" w:rsidRDefault="00762B0D" w:rsidP="00F46893">
            <w:pPr>
              <w:pStyle w:val="ToolTableText"/>
            </w:pPr>
            <w:r w:rsidRPr="00085333">
              <w:rPr>
                <w:rFonts w:eastAsia="Times New Roman" w:cs="Arial"/>
                <w:b/>
                <w:color w:val="000000"/>
              </w:rPr>
              <w:t>Prompt:</w:t>
            </w:r>
            <w:r w:rsidRPr="00085333">
              <w:rPr>
                <w:rFonts w:eastAsia="Times New Roman" w:cs="Arial"/>
                <w:color w:val="000000"/>
              </w:rPr>
              <w:t xml:space="preserve"> </w:t>
            </w:r>
            <w:r w:rsidR="00F46893">
              <w:t>Compare Nikolai Gogol</w:t>
            </w:r>
            <w:r w:rsidR="00B84ED9">
              <w:t>’s</w:t>
            </w:r>
            <w:r w:rsidR="00F46893">
              <w:t xml:space="preserve"> and Jhumpa Lahiri’s approaches to identity in “The Overcoat” and </w:t>
            </w:r>
            <w:r w:rsidR="00F46893" w:rsidRPr="00DE6185">
              <w:rPr>
                <w:i/>
              </w:rPr>
              <w:t>The Namesake</w:t>
            </w:r>
            <w:r w:rsidR="00F46893">
              <w:t>.</w:t>
            </w:r>
          </w:p>
        </w:tc>
      </w:tr>
      <w:tr w:rsidR="00762B0D" w:rsidRPr="00790BCC" w14:paraId="51EEE326" w14:textId="77777777" w:rsidTr="00330818">
        <w:tc>
          <w:tcPr>
            <w:tcW w:w="9443" w:type="dxa"/>
            <w:shd w:val="clear" w:color="auto" w:fill="D9D9D9"/>
          </w:tcPr>
          <w:p w14:paraId="01CDDEF4" w14:textId="45E1D847" w:rsidR="00762B0D" w:rsidRPr="00085333" w:rsidRDefault="009822AE" w:rsidP="00B84ED9">
            <w:pPr>
              <w:pStyle w:val="ToolTableText"/>
              <w:rPr>
                <w:b/>
              </w:rPr>
            </w:pPr>
            <w:r>
              <w:rPr>
                <w:b/>
              </w:rPr>
              <w:t xml:space="preserve">Identify </w:t>
            </w:r>
            <w:r w:rsidR="002337BE">
              <w:rPr>
                <w:b/>
              </w:rPr>
              <w:t>two</w:t>
            </w:r>
            <w:r>
              <w:rPr>
                <w:b/>
              </w:rPr>
              <w:t xml:space="preserve"> claims you developed with your partner.</w:t>
            </w:r>
          </w:p>
        </w:tc>
      </w:tr>
      <w:tr w:rsidR="00762B0D" w:rsidRPr="00790BCC" w14:paraId="4010239A" w14:textId="77777777" w:rsidTr="005B5363">
        <w:trPr>
          <w:trHeight w:val="5040"/>
        </w:trPr>
        <w:tc>
          <w:tcPr>
            <w:tcW w:w="9443" w:type="dxa"/>
            <w:shd w:val="clear" w:color="auto" w:fill="auto"/>
          </w:tcPr>
          <w:p w14:paraId="4EAC8CB5" w14:textId="3098644A" w:rsidR="00095E4E" w:rsidRDefault="00931C4F" w:rsidP="00553B5D">
            <w:r>
              <w:t xml:space="preserve">Claim </w:t>
            </w:r>
            <w:r w:rsidR="00095E4E">
              <w:t xml:space="preserve">1: </w:t>
            </w:r>
            <w:r w:rsidR="00047C1F">
              <w:t xml:space="preserve"> </w:t>
            </w:r>
            <w:r w:rsidR="00CA407F">
              <w:t>Both texts demonstrate that conflicts of identity can be harmful to individuals.</w:t>
            </w:r>
          </w:p>
          <w:p w14:paraId="4C9ECF60" w14:textId="77777777" w:rsidR="00095E4E" w:rsidRDefault="00095E4E" w:rsidP="00095E4E">
            <w:pPr>
              <w:pStyle w:val="ToolTableText"/>
            </w:pPr>
          </w:p>
          <w:p w14:paraId="548CFE99" w14:textId="42D35A1B" w:rsidR="0049610F" w:rsidRPr="00C44654" w:rsidRDefault="00931C4F" w:rsidP="00B84ED9">
            <w:pPr>
              <w:rPr>
                <w:rFonts w:ascii="Verdana" w:eastAsia="Verdana" w:hAnsi="Verdana" w:cs="Calibri"/>
                <w:b/>
                <w:color w:val="595959"/>
              </w:rPr>
            </w:pPr>
            <w:r>
              <w:t xml:space="preserve">Claim </w:t>
            </w:r>
            <w:r w:rsidR="00095E4E">
              <w:t>2:</w:t>
            </w:r>
            <w:r w:rsidR="00047C1F">
              <w:t xml:space="preserve"> </w:t>
            </w:r>
            <w:r w:rsidR="0073167B">
              <w:t xml:space="preserve">Both </w:t>
            </w:r>
            <w:r w:rsidR="0073167B" w:rsidRPr="0073167B">
              <w:rPr>
                <w:i/>
              </w:rPr>
              <w:t>The Namesake</w:t>
            </w:r>
            <w:r w:rsidR="0073167B">
              <w:t xml:space="preserve"> and “The Overcoat” demonstrate that identity is not fixed, but rather, shifts and changes depending on context.</w:t>
            </w:r>
          </w:p>
        </w:tc>
      </w:tr>
    </w:tbl>
    <w:p w14:paraId="6C885B1F" w14:textId="77777777" w:rsidR="00DB19BA" w:rsidRDefault="00DB19BA">
      <w:pPr>
        <w:pStyle w:val="ToolHeader"/>
        <w:rPr>
          <w:rFonts w:ascii="Calibri Light" w:hAnsi="Calibri Light"/>
        </w:rPr>
        <w:sectPr w:rsidR="00DB19BA" w:rsidSect="00B82278">
          <w:pgSz w:w="12240" w:h="15840"/>
          <w:pgMar w:top="1440" w:right="1440" w:bottom="1440" w:left="1440" w:header="432" w:footer="648" w:gutter="0"/>
          <w:cols w:space="720"/>
          <w:docGrid w:linePitch="299"/>
        </w:sectPr>
      </w:pPr>
    </w:p>
    <w:p w14:paraId="15F69053" w14:textId="230F4D75" w:rsidR="00DB19BA" w:rsidRDefault="00DB19BA" w:rsidP="00DB19BA">
      <w:pPr>
        <w:pStyle w:val="ToolHeader"/>
        <w:rPr>
          <w:sz w:val="22"/>
          <w:szCs w:val="22"/>
        </w:rPr>
      </w:pPr>
      <w:r>
        <w:lastRenderedPageBreak/>
        <w:t>12.4.2 End-of-Unit Rubric</w:t>
      </w:r>
      <w:r>
        <w:tab/>
      </w:r>
      <w:r>
        <w:tab/>
      </w:r>
      <w:r>
        <w:tab/>
      </w:r>
      <w:r>
        <w:tab/>
      </w:r>
      <w:r>
        <w:tab/>
      </w:r>
      <w:r>
        <w:tab/>
      </w:r>
      <w:r>
        <w:tab/>
      </w:r>
      <w:r w:rsidR="005E371A">
        <w:tab/>
      </w:r>
      <w:r w:rsidR="005E371A">
        <w:tab/>
      </w:r>
      <w:r w:rsidR="005E371A">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C37E3E">
        <w:rPr>
          <w:sz w:val="22"/>
          <w:szCs w:val="22"/>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DB19BA" w:rsidRPr="00D20E7B" w14:paraId="318D8032" w14:textId="77777777" w:rsidTr="00B86741">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2F0B6D1C" w14:textId="77777777" w:rsidR="00DB19BA" w:rsidRPr="00D20E7B" w:rsidRDefault="00DB19BA" w:rsidP="00B86741">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465A469" w14:textId="77777777" w:rsidR="00DB19BA" w:rsidRPr="00D20E7B" w:rsidRDefault="00DB19BA" w:rsidP="00B86741">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A6136CC" w14:textId="77777777" w:rsidR="00DB19BA" w:rsidRPr="00D20E7B" w:rsidRDefault="00DB19BA" w:rsidP="00B86741">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E80041A" w14:textId="77777777" w:rsidR="00DB19BA" w:rsidRPr="00D20E7B" w:rsidRDefault="00DB19BA" w:rsidP="00B86741">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02A4B09" w14:textId="77777777" w:rsidR="00DB19BA" w:rsidRPr="00D20E7B" w:rsidRDefault="00DB19BA" w:rsidP="00B86741">
            <w:pPr>
              <w:pStyle w:val="ToolTableText"/>
              <w:rPr>
                <w:b/>
                <w:sz w:val="16"/>
                <w:szCs w:val="13"/>
              </w:rPr>
            </w:pPr>
            <w:r w:rsidRPr="00D20E7B">
              <w:rPr>
                <w:b/>
                <w:sz w:val="16"/>
                <w:szCs w:val="13"/>
              </w:rPr>
              <w:t>1 – Responses at this Level:</w:t>
            </w:r>
          </w:p>
        </w:tc>
      </w:tr>
      <w:tr w:rsidR="00DB19BA" w:rsidRPr="00D20E7B" w14:paraId="57D71F7C" w14:textId="77777777" w:rsidTr="00B86741">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C7BD588" w14:textId="77777777" w:rsidR="00DB19BA" w:rsidRPr="00D20E7B" w:rsidRDefault="00DB19BA" w:rsidP="00B86741">
            <w:pPr>
              <w:pStyle w:val="ToolTableText"/>
              <w:rPr>
                <w:b/>
                <w:sz w:val="16"/>
                <w:szCs w:val="13"/>
              </w:rPr>
            </w:pPr>
            <w:r w:rsidRPr="00D20E7B">
              <w:rPr>
                <w:b/>
                <w:sz w:val="16"/>
                <w:szCs w:val="13"/>
              </w:rPr>
              <w:t>Content and Analysis</w:t>
            </w:r>
          </w:p>
          <w:p w14:paraId="55BB944D" w14:textId="77777777" w:rsidR="00DB19BA" w:rsidRPr="00D20E7B" w:rsidRDefault="00DB19BA" w:rsidP="00B86741">
            <w:pPr>
              <w:pStyle w:val="ToolTableText"/>
              <w:rPr>
                <w:b/>
                <w:sz w:val="16"/>
                <w:szCs w:val="13"/>
              </w:rPr>
            </w:pPr>
            <w:r w:rsidRPr="00D20E7B">
              <w:rPr>
                <w:b/>
                <w:sz w:val="16"/>
                <w:szCs w:val="13"/>
              </w:rPr>
              <w:t>The extent to which the response analyzes how two or more texts address similar themes or topics in order to build knowledge or to compare the approaches the authors take.</w:t>
            </w:r>
          </w:p>
          <w:p w14:paraId="18353C45" w14:textId="77777777" w:rsidR="00DB19BA" w:rsidRPr="00D20E7B" w:rsidRDefault="00DB19BA" w:rsidP="00B86741">
            <w:pPr>
              <w:pStyle w:val="ToolTableText"/>
              <w:rPr>
                <w:b/>
                <w:sz w:val="16"/>
                <w:szCs w:val="13"/>
              </w:rPr>
            </w:pPr>
            <w:r w:rsidRPr="00D20E7B">
              <w:rPr>
                <w:b/>
                <w:sz w:val="16"/>
                <w:szCs w:val="13"/>
              </w:rPr>
              <w:t>CCSS.ELA-Literacy.CCRA.R.9</w:t>
            </w:r>
          </w:p>
          <w:p w14:paraId="4D55E4EE" w14:textId="77777777" w:rsidR="00DB19BA" w:rsidRPr="00AF3D12" w:rsidRDefault="00DB19BA" w:rsidP="00B86741">
            <w:pPr>
              <w:pStyle w:val="ToolTableText"/>
              <w:rPr>
                <w:b/>
                <w:sz w:val="16"/>
                <w:szCs w:val="13"/>
              </w:rPr>
            </w:pPr>
            <w:r w:rsidRPr="00D20E7B">
              <w:rPr>
                <w:sz w:val="16"/>
                <w:szCs w:val="13"/>
              </w:rPr>
              <w:t>Analyze how two or more texts address similar themes or topics in order to build knowledge or to compare the approaches the authors take.</w:t>
            </w:r>
          </w:p>
        </w:tc>
        <w:tc>
          <w:tcPr>
            <w:tcW w:w="2736" w:type="dxa"/>
            <w:tcBorders>
              <w:top w:val="single" w:sz="4" w:space="0" w:color="auto"/>
              <w:left w:val="single" w:sz="4" w:space="0" w:color="auto"/>
              <w:bottom w:val="single" w:sz="4" w:space="0" w:color="auto"/>
              <w:right w:val="single" w:sz="4" w:space="0" w:color="auto"/>
            </w:tcBorders>
          </w:tcPr>
          <w:p w14:paraId="733C4B56" w14:textId="77777777" w:rsidR="00DB19BA" w:rsidRDefault="00DB19BA" w:rsidP="00B86741">
            <w:pPr>
              <w:pStyle w:val="ToolTableText"/>
              <w:rPr>
                <w:sz w:val="16"/>
                <w:szCs w:val="13"/>
              </w:rPr>
            </w:pPr>
            <w:r w:rsidRPr="00D20E7B">
              <w:rPr>
                <w:sz w:val="16"/>
                <w:szCs w:val="13"/>
              </w:rPr>
              <w:t>Skillfully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6B230A04" w14:textId="77777777" w:rsidR="00DB19BA" w:rsidRDefault="00DB19BA" w:rsidP="00B86741">
            <w:pPr>
              <w:pStyle w:val="ToolTableText"/>
              <w:rPr>
                <w:sz w:val="16"/>
                <w:szCs w:val="13"/>
              </w:rPr>
            </w:pPr>
            <w:r>
              <w:rPr>
                <w:sz w:val="16"/>
                <w:szCs w:val="13"/>
              </w:rPr>
              <w:t>Accurately</w:t>
            </w:r>
            <w:r w:rsidRPr="00D20E7B">
              <w:rPr>
                <w:sz w:val="16"/>
                <w:szCs w:val="13"/>
              </w:rPr>
              <w:t xml:space="preserve">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3A442B52" w14:textId="77777777" w:rsidR="00DB19BA" w:rsidRDefault="00DB19BA" w:rsidP="00B86741">
            <w:pPr>
              <w:pStyle w:val="ToolTableText"/>
              <w:rPr>
                <w:sz w:val="16"/>
                <w:szCs w:val="13"/>
              </w:rPr>
            </w:pPr>
            <w:r>
              <w:rPr>
                <w:sz w:val="16"/>
                <w:szCs w:val="13"/>
              </w:rPr>
              <w:t>With partial accuracy, analyze</w:t>
            </w:r>
            <w:r w:rsidRPr="00D20E7B">
              <w:rPr>
                <w:sz w:val="16"/>
                <w:szCs w:val="13"/>
              </w:rPr>
              <w:t xml:space="preserv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643EC9F8" w14:textId="77777777" w:rsidR="00DB19BA" w:rsidRPr="00AF3D12" w:rsidRDefault="00DB19BA" w:rsidP="00B86741">
            <w:pPr>
              <w:pStyle w:val="ToolTableText"/>
              <w:rPr>
                <w:sz w:val="16"/>
                <w:szCs w:val="13"/>
              </w:rPr>
            </w:pPr>
            <w:r w:rsidRPr="00D20E7B">
              <w:rPr>
                <w:sz w:val="16"/>
                <w:szCs w:val="13"/>
              </w:rPr>
              <w:t>Inaccurately analyze how two or more texts address similar themes or topics.</w:t>
            </w:r>
          </w:p>
        </w:tc>
      </w:tr>
      <w:tr w:rsidR="005E371A" w:rsidRPr="00D20E7B" w14:paraId="0E05AB9A" w14:textId="77777777" w:rsidTr="00B86741">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06E3238" w14:textId="77777777" w:rsidR="005E371A" w:rsidRPr="00D20E7B" w:rsidRDefault="005E371A" w:rsidP="005E371A">
            <w:pPr>
              <w:pStyle w:val="ToolTableText"/>
              <w:rPr>
                <w:b/>
                <w:sz w:val="16"/>
                <w:szCs w:val="13"/>
              </w:rPr>
            </w:pPr>
            <w:r w:rsidRPr="00D20E7B">
              <w:rPr>
                <w:b/>
                <w:sz w:val="16"/>
                <w:szCs w:val="13"/>
              </w:rPr>
              <w:t>Content and Analysis</w:t>
            </w:r>
          </w:p>
          <w:p w14:paraId="5E8970B9" w14:textId="77777777" w:rsidR="005E371A" w:rsidRPr="00D20E7B" w:rsidRDefault="005E371A" w:rsidP="005E371A">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59B65600" w14:textId="77777777" w:rsidR="005E371A" w:rsidRPr="00D20E7B" w:rsidRDefault="005E371A" w:rsidP="005E371A">
            <w:pPr>
              <w:pStyle w:val="ToolTableText"/>
              <w:rPr>
                <w:b/>
                <w:sz w:val="16"/>
                <w:szCs w:val="13"/>
              </w:rPr>
            </w:pPr>
            <w:r w:rsidRPr="00D20E7B">
              <w:rPr>
                <w:b/>
                <w:sz w:val="16"/>
                <w:szCs w:val="13"/>
              </w:rPr>
              <w:t>CCSS.ELA-Literacy.RL.11-12.2</w:t>
            </w:r>
          </w:p>
          <w:p w14:paraId="2B96E24A" w14:textId="0DD73B80" w:rsidR="005E371A" w:rsidRPr="00D20E7B" w:rsidRDefault="005E371A" w:rsidP="005E371A">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single" w:sz="4" w:space="0" w:color="auto"/>
              <w:right w:val="single" w:sz="4" w:space="0" w:color="auto"/>
            </w:tcBorders>
          </w:tcPr>
          <w:p w14:paraId="56740DF1" w14:textId="12F9B3A3" w:rsidR="005E371A" w:rsidRPr="00D20E7B" w:rsidRDefault="005E371A" w:rsidP="005E371A">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3D47C751" w14:textId="106D2E23" w:rsidR="005E371A" w:rsidRDefault="005E371A" w:rsidP="005E371A">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05B6566E" w14:textId="478FB7DA" w:rsidR="005E371A" w:rsidRDefault="005E371A" w:rsidP="005E371A">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single" w:sz="4" w:space="0" w:color="auto"/>
              <w:right w:val="single" w:sz="4" w:space="0" w:color="auto"/>
            </w:tcBorders>
          </w:tcPr>
          <w:p w14:paraId="3F1E71EF" w14:textId="6F8CF671" w:rsidR="005E371A" w:rsidRPr="00D20E7B" w:rsidRDefault="005E371A" w:rsidP="005E371A">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5E371A" w:rsidRPr="00D20E7B" w14:paraId="5D3B69FF" w14:textId="77777777" w:rsidTr="00B86741">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D1E9D55" w14:textId="77777777" w:rsidR="005E371A" w:rsidRPr="00D20E7B" w:rsidRDefault="005E371A" w:rsidP="005E371A">
            <w:pPr>
              <w:pStyle w:val="ToolTableText"/>
              <w:rPr>
                <w:b/>
                <w:sz w:val="16"/>
                <w:szCs w:val="13"/>
              </w:rPr>
            </w:pPr>
            <w:r w:rsidRPr="00D20E7B">
              <w:rPr>
                <w:b/>
                <w:sz w:val="16"/>
                <w:szCs w:val="13"/>
              </w:rPr>
              <w:lastRenderedPageBreak/>
              <w:t>Content and Analysis</w:t>
            </w:r>
          </w:p>
          <w:p w14:paraId="4A86C0C3" w14:textId="77777777" w:rsidR="005E371A" w:rsidRPr="00D20E7B" w:rsidRDefault="005E371A" w:rsidP="005E371A">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2E9DCE7C" w14:textId="77777777" w:rsidR="005E371A" w:rsidRPr="00D20E7B" w:rsidRDefault="005E371A" w:rsidP="005E371A">
            <w:pPr>
              <w:pStyle w:val="ToolTableText"/>
              <w:rPr>
                <w:b/>
                <w:sz w:val="16"/>
                <w:szCs w:val="13"/>
              </w:rPr>
            </w:pPr>
            <w:r>
              <w:rPr>
                <w:b/>
                <w:sz w:val="16"/>
                <w:szCs w:val="13"/>
              </w:rPr>
              <w:t>CCSS.ELA-Literacy.RL.11-12</w:t>
            </w:r>
            <w:r w:rsidRPr="00D20E7B">
              <w:rPr>
                <w:b/>
                <w:sz w:val="16"/>
                <w:szCs w:val="13"/>
              </w:rPr>
              <w:t>.3</w:t>
            </w:r>
          </w:p>
          <w:p w14:paraId="2AE13F0E" w14:textId="7707361F" w:rsidR="005E371A" w:rsidRPr="00D20E7B" w:rsidRDefault="005E371A" w:rsidP="005E371A">
            <w:pPr>
              <w:pStyle w:val="ToolTableText"/>
              <w:rPr>
                <w:b/>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developed).</w:t>
            </w:r>
          </w:p>
        </w:tc>
        <w:tc>
          <w:tcPr>
            <w:tcW w:w="2736" w:type="dxa"/>
            <w:tcBorders>
              <w:top w:val="single" w:sz="4" w:space="0" w:color="auto"/>
              <w:left w:val="single" w:sz="4" w:space="0" w:color="auto"/>
              <w:bottom w:val="single" w:sz="4" w:space="0" w:color="auto"/>
              <w:right w:val="single" w:sz="4" w:space="0" w:color="auto"/>
            </w:tcBorders>
          </w:tcPr>
          <w:p w14:paraId="6AB4439D" w14:textId="77777777" w:rsidR="005E371A" w:rsidRDefault="005E371A" w:rsidP="005E371A">
            <w:pPr>
              <w:pStyle w:val="ToolTableText"/>
              <w:rPr>
                <w:sz w:val="16"/>
                <w:szCs w:val="13"/>
              </w:rPr>
            </w:pPr>
            <w:r>
              <w:rPr>
                <w:sz w:val="16"/>
                <w:szCs w:val="13"/>
              </w:rPr>
              <w:t xml:space="preserve">Skillfully analyze the impact of the author’s choices regarding how to develop and relate elements of a story. </w:t>
            </w:r>
          </w:p>
          <w:p w14:paraId="1E3CD39B" w14:textId="77777777" w:rsidR="005E371A" w:rsidRPr="00D20E7B" w:rsidRDefault="005E371A" w:rsidP="005E371A">
            <w:pPr>
              <w:pStyle w:val="ToolTableText"/>
              <w:rPr>
                <w:sz w:val="16"/>
                <w:szCs w:val="13"/>
              </w:rPr>
            </w:pPr>
          </w:p>
        </w:tc>
        <w:tc>
          <w:tcPr>
            <w:tcW w:w="2736" w:type="dxa"/>
            <w:tcBorders>
              <w:top w:val="single" w:sz="4" w:space="0" w:color="auto"/>
              <w:left w:val="single" w:sz="4" w:space="0" w:color="auto"/>
              <w:bottom w:val="single" w:sz="4" w:space="0" w:color="auto"/>
              <w:right w:val="single" w:sz="4" w:space="0" w:color="auto"/>
            </w:tcBorders>
          </w:tcPr>
          <w:p w14:paraId="1E8EB1C9" w14:textId="2092BDB9" w:rsidR="005E371A" w:rsidRDefault="005E371A" w:rsidP="005E371A">
            <w:pPr>
              <w:pStyle w:val="ToolTableText"/>
              <w:rPr>
                <w:sz w:val="16"/>
                <w:szCs w:val="13"/>
              </w:rPr>
            </w:pPr>
            <w:r>
              <w:rPr>
                <w:sz w:val="16"/>
                <w:szCs w:val="13"/>
              </w:rPr>
              <w:t>Accurately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634722A4" w14:textId="388513F6" w:rsidR="005E371A" w:rsidRDefault="005E371A" w:rsidP="005E371A">
            <w:pPr>
              <w:pStyle w:val="ToolTableText"/>
              <w:rPr>
                <w:sz w:val="16"/>
                <w:szCs w:val="13"/>
              </w:rPr>
            </w:pPr>
            <w:r>
              <w:rPr>
                <w:sz w:val="16"/>
                <w:szCs w:val="13"/>
              </w:rPr>
              <w:t>With partial accuracy,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3B08D761" w14:textId="645B8F38" w:rsidR="005E371A" w:rsidRPr="00D20E7B" w:rsidRDefault="005E371A" w:rsidP="005E371A">
            <w:pPr>
              <w:pStyle w:val="ToolTableText"/>
              <w:rPr>
                <w:sz w:val="16"/>
                <w:szCs w:val="13"/>
              </w:rPr>
            </w:pPr>
            <w:r>
              <w:rPr>
                <w:sz w:val="16"/>
                <w:szCs w:val="13"/>
              </w:rPr>
              <w:t>Inaccurately analyze the impact of the author’s choices regarding how to develop and relate elements of a story.</w:t>
            </w:r>
            <w:r w:rsidRPr="00D20E7B">
              <w:rPr>
                <w:sz w:val="16"/>
                <w:szCs w:val="13"/>
              </w:rPr>
              <w:t xml:space="preserve"> </w:t>
            </w:r>
          </w:p>
        </w:tc>
      </w:tr>
      <w:tr w:rsidR="005E371A" w:rsidRPr="00D20E7B" w14:paraId="15823E38" w14:textId="77777777" w:rsidTr="00B86741">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49CBA3A" w14:textId="77777777" w:rsidR="005E371A" w:rsidRPr="00D20E7B" w:rsidRDefault="005E371A" w:rsidP="005E371A">
            <w:pPr>
              <w:pStyle w:val="ToolTableText"/>
              <w:rPr>
                <w:b/>
                <w:sz w:val="16"/>
                <w:szCs w:val="13"/>
              </w:rPr>
            </w:pPr>
            <w:r w:rsidRPr="00D20E7B">
              <w:rPr>
                <w:b/>
                <w:sz w:val="16"/>
                <w:szCs w:val="13"/>
              </w:rPr>
              <w:t>Content and Analysis</w:t>
            </w:r>
          </w:p>
          <w:p w14:paraId="2BA0FBB8" w14:textId="77777777" w:rsidR="005E371A" w:rsidRPr="00D20E7B" w:rsidRDefault="005E371A" w:rsidP="005E371A">
            <w:pPr>
              <w:pStyle w:val="ToolTableText"/>
              <w:rPr>
                <w:b/>
                <w:sz w:val="16"/>
                <w:szCs w:val="13"/>
              </w:rPr>
            </w:pPr>
            <w:r w:rsidRPr="00D20E7B">
              <w:rPr>
                <w:b/>
                <w:sz w:val="16"/>
                <w:szCs w:val="13"/>
              </w:rPr>
              <w:t xml:space="preserve">The extent to which the response analyzes how an author’s choices concerning how to structure </w:t>
            </w:r>
            <w:r>
              <w:rPr>
                <w:b/>
                <w:sz w:val="16"/>
                <w:szCs w:val="13"/>
              </w:rPr>
              <w:t>specific parts of a text contribute to its overall structure and meaning as well as its aesthetic impact.</w:t>
            </w:r>
          </w:p>
          <w:p w14:paraId="59E5819B" w14:textId="77777777" w:rsidR="005E371A" w:rsidRPr="00D20E7B" w:rsidRDefault="005E371A" w:rsidP="005E371A">
            <w:pPr>
              <w:pStyle w:val="ToolTableText"/>
              <w:rPr>
                <w:b/>
                <w:sz w:val="16"/>
                <w:szCs w:val="13"/>
              </w:rPr>
            </w:pPr>
            <w:r w:rsidRPr="00D20E7B">
              <w:rPr>
                <w:b/>
                <w:sz w:val="16"/>
                <w:szCs w:val="13"/>
              </w:rPr>
              <w:t>CCSS.ELA-Literacy.RL.</w:t>
            </w:r>
            <w:r>
              <w:rPr>
                <w:b/>
                <w:sz w:val="16"/>
                <w:szCs w:val="13"/>
              </w:rPr>
              <w:t>11-12</w:t>
            </w:r>
            <w:r w:rsidRPr="00D20E7B">
              <w:rPr>
                <w:b/>
                <w:sz w:val="16"/>
                <w:szCs w:val="13"/>
              </w:rPr>
              <w:t>.5</w:t>
            </w:r>
          </w:p>
          <w:p w14:paraId="33BD6ECE" w14:textId="54AA0740" w:rsidR="005E371A" w:rsidRPr="00D20E7B" w:rsidRDefault="005E371A" w:rsidP="005E371A">
            <w:pPr>
              <w:pStyle w:val="ToolTableText"/>
              <w:rPr>
                <w:b/>
                <w:sz w:val="16"/>
                <w:szCs w:val="13"/>
              </w:rPr>
            </w:pPr>
            <w:r w:rsidRPr="00D20E7B">
              <w:rPr>
                <w:sz w:val="16"/>
                <w:szCs w:val="13"/>
              </w:rPr>
              <w:t>Analyze how an author’s choices concerning how to structure</w:t>
            </w:r>
            <w:r w:rsidRPr="00ED52FC">
              <w:rPr>
                <w:sz w:val="16"/>
                <w:szCs w:val="13"/>
              </w:rPr>
              <w:t xml:space="preserve"> specific parts of a text</w:t>
            </w:r>
            <w:r>
              <w:rPr>
                <w:sz w:val="16"/>
                <w:szCs w:val="13"/>
              </w:rPr>
              <w:t xml:space="preserve"> (e.g., the choice of where to begin or end a story, the choice to provide a comedic or tragic resolution)</w:t>
            </w:r>
            <w:r w:rsidRPr="00ED52FC">
              <w:rPr>
                <w:sz w:val="16"/>
                <w:szCs w:val="13"/>
              </w:rPr>
              <w:t xml:space="preserve"> contribute to its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0550A9A9" w14:textId="19E50A54" w:rsidR="005E371A" w:rsidRPr="00D20E7B" w:rsidRDefault="005E371A" w:rsidP="005E371A">
            <w:pPr>
              <w:pStyle w:val="ToolTableText"/>
              <w:rPr>
                <w:sz w:val="16"/>
                <w:szCs w:val="13"/>
              </w:rPr>
            </w:pPr>
            <w:r>
              <w:rPr>
                <w:sz w:val="16"/>
                <w:szCs w:val="13"/>
              </w:rPr>
              <w:t>Skillfully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02895D30" w14:textId="02C9F776" w:rsidR="005E371A" w:rsidRDefault="005E371A" w:rsidP="005E371A">
            <w:pPr>
              <w:pStyle w:val="ToolTableText"/>
              <w:rPr>
                <w:sz w:val="16"/>
                <w:szCs w:val="13"/>
              </w:rPr>
            </w:pPr>
            <w:r>
              <w:rPr>
                <w:sz w:val="16"/>
                <w:szCs w:val="13"/>
              </w:rPr>
              <w:t xml:space="preserve">Accurately analyze how an author’s choices concerning how to structure specific parts of a text contribute to the text’s overall structure and meaning as well as its aesthetic impact. </w:t>
            </w:r>
          </w:p>
        </w:tc>
        <w:tc>
          <w:tcPr>
            <w:tcW w:w="2736" w:type="dxa"/>
            <w:tcBorders>
              <w:top w:val="single" w:sz="4" w:space="0" w:color="auto"/>
              <w:left w:val="single" w:sz="4" w:space="0" w:color="auto"/>
              <w:bottom w:val="single" w:sz="4" w:space="0" w:color="auto"/>
              <w:right w:val="single" w:sz="4" w:space="0" w:color="auto"/>
            </w:tcBorders>
          </w:tcPr>
          <w:p w14:paraId="6AC8B507" w14:textId="19270D29" w:rsidR="005E371A" w:rsidRDefault="005E371A" w:rsidP="005E371A">
            <w:pPr>
              <w:pStyle w:val="ToolTableText"/>
              <w:rPr>
                <w:sz w:val="16"/>
                <w:szCs w:val="13"/>
              </w:rPr>
            </w:pPr>
            <w:r>
              <w:rPr>
                <w:sz w:val="16"/>
                <w:szCs w:val="13"/>
              </w:rPr>
              <w:t>With partial accuracy,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30D5CF66" w14:textId="0A30A695" w:rsidR="005E371A" w:rsidRPr="00D20E7B" w:rsidRDefault="005E371A" w:rsidP="005E371A">
            <w:pPr>
              <w:pStyle w:val="ToolTableText"/>
              <w:rPr>
                <w:sz w:val="16"/>
                <w:szCs w:val="13"/>
              </w:rPr>
            </w:pPr>
            <w:r>
              <w:rPr>
                <w:sz w:val="16"/>
                <w:szCs w:val="13"/>
              </w:rPr>
              <w:t>Inaccurately analyze how an author’s choices concerning how to structure specific parts of a text contribute to the text’s overall structure and meaning as well as its aesthetic impact.</w:t>
            </w:r>
          </w:p>
        </w:tc>
      </w:tr>
      <w:tr w:rsidR="005E371A" w:rsidRPr="00D20E7B" w14:paraId="365849E3" w14:textId="77777777" w:rsidTr="00B86741">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72DFC391" w14:textId="77777777" w:rsidR="005E371A" w:rsidRPr="00D20E7B" w:rsidRDefault="005E371A" w:rsidP="005E371A">
            <w:pPr>
              <w:pStyle w:val="ToolTableText"/>
              <w:rPr>
                <w:b/>
                <w:sz w:val="16"/>
                <w:szCs w:val="13"/>
              </w:rPr>
            </w:pPr>
            <w:r w:rsidRPr="00D20E7B">
              <w:rPr>
                <w:b/>
                <w:sz w:val="16"/>
                <w:szCs w:val="13"/>
              </w:rPr>
              <w:t>Command of Evidence and Reasoning</w:t>
            </w:r>
          </w:p>
          <w:p w14:paraId="0D5E849F" w14:textId="77777777" w:rsidR="005E371A" w:rsidRPr="00D20E7B" w:rsidRDefault="005E371A" w:rsidP="005E371A">
            <w:pPr>
              <w:pStyle w:val="ToolTableText"/>
              <w:rPr>
                <w:b/>
                <w:sz w:val="16"/>
                <w:szCs w:val="13"/>
              </w:rPr>
            </w:pPr>
            <w:r w:rsidRPr="00D20E7B">
              <w:rPr>
                <w:b/>
                <w:sz w:val="16"/>
                <w:szCs w:val="13"/>
              </w:rPr>
              <w:lastRenderedPageBreak/>
              <w:t xml:space="preserve">The extent to which the </w:t>
            </w:r>
            <w:r>
              <w:rPr>
                <w:b/>
                <w:sz w:val="16"/>
                <w:szCs w:val="13"/>
              </w:rPr>
              <w:t>speaker</w:t>
            </w:r>
            <w:r w:rsidRPr="00D20E7B">
              <w:rPr>
                <w:b/>
                <w:sz w:val="16"/>
                <w:szCs w:val="13"/>
              </w:rPr>
              <w:t xml:space="preserve"> demonstrates preparation for the discussion by explicitly drawing on evidence from texts and</w:t>
            </w:r>
            <w:r>
              <w:rPr>
                <w:b/>
                <w:sz w:val="16"/>
                <w:szCs w:val="13"/>
              </w:rPr>
              <w:t>/or</w:t>
            </w:r>
            <w:r w:rsidRPr="00D20E7B">
              <w:rPr>
                <w:b/>
                <w:sz w:val="16"/>
                <w:szCs w:val="13"/>
              </w:rPr>
              <w:t xml:space="preserve"> other research on the topic or issue to stimulate a thoughtful, well-reasoned exchange of ideas. </w:t>
            </w:r>
          </w:p>
          <w:p w14:paraId="7E126D72" w14:textId="77777777" w:rsidR="005E371A" w:rsidRPr="00D20E7B" w:rsidRDefault="005E371A" w:rsidP="005E371A">
            <w:pPr>
              <w:pStyle w:val="ToolTableText"/>
              <w:rPr>
                <w:b/>
                <w:sz w:val="16"/>
                <w:szCs w:val="13"/>
              </w:rPr>
            </w:pPr>
            <w:r w:rsidRPr="00D20E7B">
              <w:rPr>
                <w:b/>
                <w:sz w:val="16"/>
                <w:szCs w:val="13"/>
              </w:rPr>
              <w:t>CCSS.ELA-Literacy.SL.11-12.1</w:t>
            </w:r>
          </w:p>
          <w:p w14:paraId="23FDBCA1" w14:textId="77777777" w:rsidR="005E371A" w:rsidRPr="00D20E7B" w:rsidRDefault="005E371A" w:rsidP="005E371A">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sidRPr="00D20E7B">
              <w:rPr>
                <w:i/>
                <w:sz w:val="16"/>
                <w:szCs w:val="13"/>
              </w:rPr>
              <w:t>grades 11–12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583A3D09" w14:textId="77777777" w:rsidR="005E371A" w:rsidRPr="00D20E7B" w:rsidRDefault="005E371A" w:rsidP="005E371A">
            <w:pPr>
              <w:pStyle w:val="ToolTableText"/>
              <w:rPr>
                <w:b/>
                <w:sz w:val="16"/>
                <w:szCs w:val="13"/>
              </w:rPr>
            </w:pPr>
            <w:r w:rsidRPr="00D20E7B">
              <w:rPr>
                <w:b/>
                <w:sz w:val="16"/>
                <w:szCs w:val="13"/>
              </w:rPr>
              <w:t>CCSS.ELA-Literacy.SL.11-12.1.a</w:t>
            </w:r>
          </w:p>
          <w:p w14:paraId="4D446639" w14:textId="77777777" w:rsidR="005E371A" w:rsidRPr="00D20E7B" w:rsidRDefault="005E371A" w:rsidP="005E371A">
            <w:pPr>
              <w:pStyle w:val="ToolTableText"/>
              <w:rPr>
                <w:sz w:val="16"/>
                <w:szCs w:val="13"/>
              </w:rPr>
            </w:pPr>
            <w:r w:rsidRPr="00D20E7B">
              <w:rPr>
                <w:sz w:val="16"/>
                <w:szCs w:val="13"/>
              </w:rPr>
              <w:t>Come to discussions prepared, having read and researched material under study; explicitly draw on that preparation by referring to evidence from texts and other research on the topic or issue to stimulate a thoughtful, well-reasoned exchange of ideas.</w:t>
            </w:r>
          </w:p>
          <w:p w14:paraId="54127E62" w14:textId="77777777" w:rsidR="005E371A" w:rsidRPr="00D20E7B" w:rsidRDefault="005E371A" w:rsidP="005E371A">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propels conversations by posing and responding to questions that probe reasoning and evidence; ensures a hearing for a full range of positions on a topic or issue; clarifies, verifies, or challenges ideas and conclusions; and promotes divergent and creative perspectives.</w:t>
            </w:r>
          </w:p>
          <w:p w14:paraId="64876219" w14:textId="77777777" w:rsidR="005E371A" w:rsidRPr="00D20E7B" w:rsidRDefault="005E371A" w:rsidP="005E371A">
            <w:pPr>
              <w:pStyle w:val="ToolTableText"/>
              <w:rPr>
                <w:b/>
                <w:sz w:val="16"/>
                <w:szCs w:val="13"/>
              </w:rPr>
            </w:pPr>
            <w:r w:rsidRPr="00D20E7B">
              <w:rPr>
                <w:b/>
                <w:sz w:val="16"/>
                <w:szCs w:val="13"/>
              </w:rPr>
              <w:t>CCSS.ELA-Literacy.SL.11-12.1.c</w:t>
            </w:r>
          </w:p>
          <w:p w14:paraId="38CB3385" w14:textId="77777777" w:rsidR="005E371A" w:rsidRPr="00AF3D12" w:rsidRDefault="005E371A" w:rsidP="005E371A">
            <w:pPr>
              <w:pStyle w:val="ToolTableText"/>
              <w:rPr>
                <w:b/>
                <w:sz w:val="16"/>
                <w:szCs w:val="13"/>
              </w:rPr>
            </w:pPr>
            <w:r w:rsidRPr="00D20E7B">
              <w:rPr>
                <w:sz w:val="16"/>
                <w:szCs w:val="13"/>
              </w:rPr>
              <w:lastRenderedPageBreak/>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36" w:type="dxa"/>
            <w:tcBorders>
              <w:top w:val="single" w:sz="4" w:space="0" w:color="auto"/>
              <w:left w:val="single" w:sz="4" w:space="0" w:color="auto"/>
              <w:bottom w:val="single" w:sz="4" w:space="0" w:color="auto"/>
              <w:right w:val="single" w:sz="4" w:space="0" w:color="auto"/>
            </w:tcBorders>
          </w:tcPr>
          <w:p w14:paraId="6684585F" w14:textId="77777777" w:rsidR="005E371A" w:rsidRDefault="005E371A" w:rsidP="005E371A">
            <w:pPr>
              <w:pStyle w:val="ToolTableText"/>
              <w:rPr>
                <w:color w:val="000000" w:themeColor="text1"/>
                <w:sz w:val="16"/>
                <w:szCs w:val="13"/>
              </w:rPr>
            </w:pPr>
            <w:r w:rsidRPr="00D20E7B">
              <w:rPr>
                <w:color w:val="000000" w:themeColor="text1"/>
                <w:sz w:val="16"/>
                <w:szCs w:val="13"/>
              </w:rPr>
              <w:lastRenderedPageBreak/>
              <w:t xml:space="preserve">Demonstrate thorough preparation for the discussion by explicitly drawing </w:t>
            </w:r>
            <w:r w:rsidRPr="00D20E7B">
              <w:rPr>
                <w:color w:val="000000" w:themeColor="text1"/>
                <w:sz w:val="16"/>
                <w:szCs w:val="13"/>
              </w:rPr>
              <w:lastRenderedPageBreak/>
              <w:t>on precise and sufficient evidence from texts and</w:t>
            </w:r>
            <w:r>
              <w:rPr>
                <w:color w:val="000000" w:themeColor="text1"/>
                <w:sz w:val="16"/>
                <w:szCs w:val="13"/>
              </w:rPr>
              <w:t>/or</w:t>
            </w:r>
            <w:r w:rsidRPr="00D20E7B">
              <w:rPr>
                <w:color w:val="000000" w:themeColor="text1"/>
                <w:sz w:val="16"/>
                <w:szCs w:val="13"/>
              </w:rPr>
              <w:t xml:space="preserve"> other research on the topic or issue to stimulate a thoughtful, well-reasoned exchange of ideas. (SL.11-12.1.a)</w:t>
            </w:r>
          </w:p>
          <w:p w14:paraId="7E3F134B" w14:textId="77777777" w:rsidR="005E371A" w:rsidRDefault="005E371A" w:rsidP="005E371A">
            <w:pPr>
              <w:pStyle w:val="ToolTableText"/>
              <w:rPr>
                <w:color w:val="000000" w:themeColor="text1"/>
                <w:sz w:val="16"/>
                <w:szCs w:val="13"/>
              </w:rPr>
            </w:pPr>
            <w:r w:rsidRPr="00D20E7B">
              <w:rPr>
                <w:color w:val="000000" w:themeColor="text1"/>
                <w:sz w:val="16"/>
                <w:szCs w:val="16"/>
              </w:rPr>
              <w:t>Skillfully propel conversations by consistently posing and responding to questions that probe reasoning and evidence; actively ensure a hearing for a full range of positions on a topic or issue; consistently clarify, verify, or challenge ideas and conclusions; and actively promote divergent and creative perspectives. (SL.11-12.1.c)</w:t>
            </w:r>
          </w:p>
          <w:p w14:paraId="54D41BD5" w14:textId="77777777" w:rsidR="005E371A" w:rsidRPr="00AD0E1D" w:rsidRDefault="005E371A" w:rsidP="005E371A">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683C9052" w14:textId="77777777" w:rsidR="005E371A" w:rsidRDefault="005E371A" w:rsidP="005E371A">
            <w:pPr>
              <w:spacing w:before="40" w:after="120" w:line="240" w:lineRule="auto"/>
              <w:rPr>
                <w:color w:val="000000" w:themeColor="text1"/>
                <w:sz w:val="16"/>
                <w:szCs w:val="16"/>
              </w:rPr>
            </w:pPr>
            <w:r w:rsidRPr="00D20E7B">
              <w:rPr>
                <w:color w:val="000000" w:themeColor="text1"/>
                <w:sz w:val="16"/>
                <w:szCs w:val="16"/>
              </w:rPr>
              <w:lastRenderedPageBreak/>
              <w:t xml:space="preserve">Demonstrate preparation for the discussion by explicitly drawing on </w:t>
            </w:r>
            <w:r w:rsidRPr="00D20E7B">
              <w:rPr>
                <w:color w:val="000000" w:themeColor="text1"/>
                <w:sz w:val="16"/>
                <w:szCs w:val="16"/>
              </w:rPr>
              <w:lastRenderedPageBreak/>
              <w:t>relevant and sufficient evidence from texts and</w:t>
            </w:r>
            <w:r>
              <w:rPr>
                <w:color w:val="000000" w:themeColor="text1"/>
                <w:sz w:val="16"/>
                <w:szCs w:val="16"/>
              </w:rPr>
              <w:t>/or</w:t>
            </w:r>
            <w:r w:rsidRPr="00D20E7B">
              <w:rPr>
                <w:color w:val="000000" w:themeColor="text1"/>
                <w:sz w:val="16"/>
                <w:szCs w:val="16"/>
              </w:rPr>
              <w:t xml:space="preserve"> other research on the topic or issue to stimulate a thoughtful, well-reasoned exchange of ideas. (SL.11-12.1.a)</w:t>
            </w:r>
          </w:p>
          <w:p w14:paraId="767980BD" w14:textId="77777777" w:rsidR="005E371A" w:rsidRPr="00AD0E1D" w:rsidRDefault="005E371A" w:rsidP="005E371A">
            <w:pPr>
              <w:pStyle w:val="ToolTableText"/>
              <w:rPr>
                <w:color w:val="000000"/>
                <w:sz w:val="16"/>
                <w:szCs w:val="13"/>
              </w:rPr>
            </w:pPr>
            <w:r>
              <w:rPr>
                <w:color w:val="000000" w:themeColor="text1"/>
                <w:sz w:val="16"/>
                <w:szCs w:val="16"/>
              </w:rPr>
              <w:t>P</w:t>
            </w:r>
            <w:r w:rsidRPr="00D20E7B">
              <w:rPr>
                <w:color w:val="000000" w:themeColor="text1"/>
                <w:sz w:val="16"/>
                <w:szCs w:val="16"/>
              </w:rPr>
              <w:t>ropel conversations by posing and responding to questions that probe reasoning and evidence; ensure a hearing for a full range of positions on a topic or issue; clarify, verify, or challenge ideas and conclusions; and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2E4CC288" w14:textId="77777777" w:rsidR="005E371A" w:rsidRPr="00D20E7B" w:rsidRDefault="005E371A" w:rsidP="005E371A">
            <w:pPr>
              <w:spacing w:before="40" w:after="120" w:line="240" w:lineRule="auto"/>
              <w:rPr>
                <w:color w:val="000000" w:themeColor="text1"/>
                <w:sz w:val="16"/>
                <w:szCs w:val="16"/>
              </w:rPr>
            </w:pPr>
            <w:r w:rsidRPr="00D20E7B">
              <w:rPr>
                <w:color w:val="000000" w:themeColor="text1"/>
                <w:sz w:val="16"/>
                <w:szCs w:val="16"/>
              </w:rPr>
              <w:lastRenderedPageBreak/>
              <w:t xml:space="preserve">Demonstrate </w:t>
            </w:r>
            <w:r>
              <w:rPr>
                <w:color w:val="000000" w:themeColor="text1"/>
                <w:sz w:val="16"/>
                <w:szCs w:val="16"/>
              </w:rPr>
              <w:t>partial</w:t>
            </w:r>
            <w:r w:rsidRPr="00D20E7B">
              <w:rPr>
                <w:color w:val="000000" w:themeColor="text1"/>
                <w:sz w:val="16"/>
                <w:szCs w:val="16"/>
              </w:rPr>
              <w:t xml:space="preserve"> preparation for the discussion by inconsistently </w:t>
            </w:r>
            <w:r w:rsidRPr="00D20E7B">
              <w:rPr>
                <w:color w:val="000000" w:themeColor="text1"/>
                <w:sz w:val="16"/>
                <w:szCs w:val="16"/>
              </w:rPr>
              <w:lastRenderedPageBreak/>
              <w:t>drawing on relevant or sufficient evidence from texts and</w:t>
            </w:r>
            <w:r>
              <w:rPr>
                <w:color w:val="000000" w:themeColor="text1"/>
                <w:sz w:val="16"/>
                <w:szCs w:val="16"/>
              </w:rPr>
              <w:t>/or</w:t>
            </w:r>
            <w:r w:rsidRPr="00D20E7B">
              <w:rPr>
                <w:color w:val="000000" w:themeColor="text1"/>
                <w:sz w:val="16"/>
                <w:szCs w:val="16"/>
              </w:rPr>
              <w:t xml:space="preserve"> other research on the topic or issue, occasionally stimulating a thoughtful, well-reasoned exchange of ideas. (SL.11-12.1.a)</w:t>
            </w:r>
          </w:p>
          <w:p w14:paraId="51CF9639" w14:textId="77777777" w:rsidR="005E371A" w:rsidRPr="00AD0E1D" w:rsidRDefault="005E371A" w:rsidP="005E371A">
            <w:pPr>
              <w:pStyle w:val="ToolTableText"/>
              <w:rPr>
                <w:color w:val="000000"/>
                <w:sz w:val="16"/>
                <w:szCs w:val="13"/>
              </w:rPr>
            </w:pPr>
            <w:r>
              <w:rPr>
                <w:color w:val="000000" w:themeColor="text1"/>
                <w:sz w:val="16"/>
                <w:szCs w:val="16"/>
              </w:rPr>
              <w:t>Somewhat effectively</w:t>
            </w:r>
            <w:r w:rsidRPr="00D20E7B">
              <w:rPr>
                <w:color w:val="000000" w:themeColor="text1"/>
                <w:sz w:val="16"/>
                <w:szCs w:val="16"/>
              </w:rPr>
              <w:t xml:space="preserve"> propel conversations by inconsistently posing and responding to questions that probe reasoning and evidence; occasionally ensure a hearing for a full range of positions on a topic or issue; inconsistently clarify, verify, or challenge ideas and conclusions; and occasionally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23C2F91A" w14:textId="77777777" w:rsidR="005E371A" w:rsidRPr="00D20E7B" w:rsidRDefault="005E371A" w:rsidP="005E371A">
            <w:pPr>
              <w:spacing w:before="40" w:after="120" w:line="240" w:lineRule="auto"/>
              <w:rPr>
                <w:color w:val="000000" w:themeColor="text1"/>
                <w:sz w:val="16"/>
                <w:szCs w:val="16"/>
              </w:rPr>
            </w:pPr>
            <w:r w:rsidRPr="00D20E7B">
              <w:rPr>
                <w:color w:val="000000" w:themeColor="text1"/>
                <w:sz w:val="16"/>
                <w:szCs w:val="16"/>
              </w:rPr>
              <w:lastRenderedPageBreak/>
              <w:t xml:space="preserve">Demonstrate </w:t>
            </w:r>
            <w:r>
              <w:rPr>
                <w:color w:val="000000" w:themeColor="text1"/>
                <w:sz w:val="16"/>
                <w:szCs w:val="16"/>
              </w:rPr>
              <w:t>a lack of</w:t>
            </w:r>
            <w:r w:rsidRPr="00D20E7B">
              <w:rPr>
                <w:color w:val="000000" w:themeColor="text1"/>
                <w:sz w:val="16"/>
                <w:szCs w:val="16"/>
              </w:rPr>
              <w:t xml:space="preserve"> preparation for the discussion by </w:t>
            </w:r>
            <w:r>
              <w:rPr>
                <w:color w:val="000000" w:themeColor="text1"/>
                <w:sz w:val="16"/>
                <w:szCs w:val="16"/>
              </w:rPr>
              <w:t>rarely</w:t>
            </w:r>
            <w:r w:rsidRPr="00D20E7B">
              <w:rPr>
                <w:color w:val="000000" w:themeColor="text1"/>
                <w:sz w:val="16"/>
                <w:szCs w:val="16"/>
              </w:rPr>
              <w:t xml:space="preserve"> draw</w:t>
            </w:r>
            <w:r>
              <w:rPr>
                <w:color w:val="000000" w:themeColor="text1"/>
                <w:sz w:val="16"/>
                <w:szCs w:val="16"/>
              </w:rPr>
              <w:t>ing</w:t>
            </w:r>
            <w:r w:rsidRPr="00D20E7B">
              <w:rPr>
                <w:color w:val="000000" w:themeColor="text1"/>
                <w:sz w:val="16"/>
                <w:szCs w:val="16"/>
              </w:rPr>
              <w:t xml:space="preserve"> on </w:t>
            </w:r>
            <w:r w:rsidRPr="00D20E7B">
              <w:rPr>
                <w:color w:val="000000" w:themeColor="text1"/>
                <w:sz w:val="16"/>
                <w:szCs w:val="16"/>
              </w:rPr>
              <w:lastRenderedPageBreak/>
              <w:t xml:space="preserve">relevant or sufficient evidence from texts </w:t>
            </w:r>
            <w:r>
              <w:rPr>
                <w:color w:val="000000" w:themeColor="text1"/>
                <w:sz w:val="16"/>
                <w:szCs w:val="16"/>
              </w:rPr>
              <w:t>and/</w:t>
            </w:r>
            <w:r w:rsidRPr="00D20E7B">
              <w:rPr>
                <w:color w:val="000000" w:themeColor="text1"/>
                <w:sz w:val="16"/>
                <w:szCs w:val="16"/>
              </w:rPr>
              <w:t>or other research on the topic or issue</w:t>
            </w:r>
            <w:r>
              <w:rPr>
                <w:color w:val="000000" w:themeColor="text1"/>
                <w:sz w:val="16"/>
                <w:szCs w:val="16"/>
              </w:rPr>
              <w:t>, rarely stimulating</w:t>
            </w:r>
            <w:r w:rsidRPr="00D20E7B">
              <w:rPr>
                <w:color w:val="000000" w:themeColor="text1"/>
                <w:sz w:val="16"/>
                <w:szCs w:val="16"/>
              </w:rPr>
              <w:t xml:space="preserve"> a thoughtful or well-reasoned exchange of ideas. (SL.11-12.1.a)</w:t>
            </w:r>
          </w:p>
          <w:p w14:paraId="09DB1F9C" w14:textId="77777777" w:rsidR="005E371A" w:rsidRDefault="005E371A" w:rsidP="005E371A">
            <w:pPr>
              <w:pStyle w:val="ToolTableText"/>
              <w:rPr>
                <w:sz w:val="16"/>
                <w:szCs w:val="13"/>
              </w:rPr>
            </w:pPr>
            <w:r>
              <w:rPr>
                <w:color w:val="000000" w:themeColor="text1"/>
                <w:sz w:val="16"/>
                <w:szCs w:val="16"/>
              </w:rPr>
              <w:t>Ineffectively</w:t>
            </w:r>
            <w:r w:rsidRPr="00D20E7B">
              <w:rPr>
                <w:color w:val="000000" w:themeColor="text1"/>
                <w:sz w:val="16"/>
                <w:szCs w:val="16"/>
              </w:rPr>
              <w:t xml:space="preserve"> propel conversations by </w:t>
            </w:r>
            <w:r>
              <w:rPr>
                <w:color w:val="000000" w:themeColor="text1"/>
                <w:sz w:val="16"/>
                <w:szCs w:val="16"/>
              </w:rPr>
              <w:t>rarely posing</w:t>
            </w:r>
            <w:r w:rsidRPr="00D20E7B">
              <w:rPr>
                <w:color w:val="000000" w:themeColor="text1"/>
                <w:sz w:val="16"/>
                <w:szCs w:val="16"/>
              </w:rPr>
              <w:t xml:space="preserve"> or respond</w:t>
            </w:r>
            <w:r>
              <w:rPr>
                <w:color w:val="000000" w:themeColor="text1"/>
                <w:sz w:val="16"/>
                <w:szCs w:val="16"/>
              </w:rPr>
              <w:t>ing</w:t>
            </w:r>
            <w:r w:rsidRPr="00D20E7B">
              <w:rPr>
                <w:color w:val="000000" w:themeColor="text1"/>
                <w:sz w:val="16"/>
                <w:szCs w:val="16"/>
              </w:rPr>
              <w:t xml:space="preserve"> to questions that probe reasoning and evidence; </w:t>
            </w:r>
            <w:r>
              <w:rPr>
                <w:color w:val="000000" w:themeColor="text1"/>
                <w:sz w:val="16"/>
                <w:szCs w:val="16"/>
              </w:rPr>
              <w:t>rarely ensure</w:t>
            </w:r>
            <w:r w:rsidRPr="00D20E7B">
              <w:rPr>
                <w:color w:val="000000" w:themeColor="text1"/>
                <w:sz w:val="16"/>
                <w:szCs w:val="16"/>
              </w:rPr>
              <w:t xml:space="preserve"> a hearing for a full range of positions on a topic or issue; </w:t>
            </w:r>
            <w:r>
              <w:rPr>
                <w:color w:val="000000" w:themeColor="text1"/>
                <w:sz w:val="16"/>
                <w:szCs w:val="16"/>
              </w:rPr>
              <w:t>rarely</w:t>
            </w:r>
            <w:r w:rsidRPr="00D20E7B">
              <w:rPr>
                <w:color w:val="000000" w:themeColor="text1"/>
                <w:sz w:val="16"/>
                <w:szCs w:val="16"/>
              </w:rPr>
              <w:t xml:space="preserve"> clarify, verify, or challenge ideas and conclusions; and prevent divergent and creative perspectives. (SL.11-12.1.c)</w:t>
            </w:r>
          </w:p>
        </w:tc>
      </w:tr>
      <w:tr w:rsidR="005E371A" w:rsidRPr="00D20E7B" w14:paraId="09556119" w14:textId="77777777" w:rsidTr="00B86741">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7417555D" w14:textId="77777777" w:rsidR="005E371A" w:rsidRDefault="005E371A" w:rsidP="005E371A">
            <w:pPr>
              <w:pStyle w:val="ToolTableText"/>
              <w:rPr>
                <w:b/>
                <w:sz w:val="16"/>
                <w:szCs w:val="13"/>
              </w:rPr>
            </w:pPr>
            <w:r>
              <w:rPr>
                <w:b/>
                <w:sz w:val="16"/>
                <w:szCs w:val="13"/>
              </w:rPr>
              <w:lastRenderedPageBreak/>
              <w:t>Collaboration and Presentation</w:t>
            </w:r>
          </w:p>
          <w:p w14:paraId="3E32D110" w14:textId="77777777" w:rsidR="005E371A" w:rsidRDefault="005E371A" w:rsidP="005E371A">
            <w:pPr>
              <w:pStyle w:val="ToolTableText"/>
              <w:rPr>
                <w:b/>
                <w:sz w:val="16"/>
                <w:szCs w:val="13"/>
              </w:rPr>
            </w:pPr>
            <w:r>
              <w:rPr>
                <w:b/>
                <w:sz w:val="16"/>
                <w:szCs w:val="13"/>
              </w:rPr>
              <w:t>The extent to which the speaker works with peers to promote civil, democratic discussions and decision-making, setting clear goals and deadlines and establishing individual roles as needed.</w:t>
            </w:r>
          </w:p>
          <w:p w14:paraId="3E8B2B74" w14:textId="77777777" w:rsidR="005E371A" w:rsidRPr="00D20E7B" w:rsidRDefault="005E371A" w:rsidP="005E371A">
            <w:pPr>
              <w:pStyle w:val="ToolTableText"/>
              <w:rPr>
                <w:b/>
                <w:sz w:val="16"/>
                <w:szCs w:val="13"/>
              </w:rPr>
            </w:pPr>
            <w:r w:rsidRPr="00D20E7B">
              <w:rPr>
                <w:b/>
                <w:sz w:val="16"/>
                <w:szCs w:val="13"/>
              </w:rPr>
              <w:t>CCSS.ELA-Literacy.SL.11-12.1</w:t>
            </w:r>
          </w:p>
          <w:p w14:paraId="7C0ED668" w14:textId="77777777" w:rsidR="005E371A" w:rsidRPr="007D54CD" w:rsidRDefault="005E371A" w:rsidP="005E371A">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Pr>
                <w:i/>
                <w:sz w:val="16"/>
                <w:szCs w:val="13"/>
              </w:rPr>
              <w:t>grades 11</w:t>
            </w:r>
            <w:r w:rsidRPr="00D20E7B">
              <w:rPr>
                <w:i/>
                <w:sz w:val="16"/>
                <w:szCs w:val="13"/>
              </w:rPr>
              <w:t>–12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604448BE" w14:textId="77777777" w:rsidR="005E371A" w:rsidRDefault="005E371A" w:rsidP="005E371A">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w:t>
            </w:r>
            <w:r>
              <w:rPr>
                <w:b/>
                <w:sz w:val="16"/>
                <w:szCs w:val="13"/>
              </w:rPr>
              <w:t>responds to</w:t>
            </w:r>
            <w:r w:rsidRPr="00D20E7B">
              <w:rPr>
                <w:b/>
                <w:sz w:val="16"/>
                <w:szCs w:val="13"/>
              </w:rPr>
              <w:t xml:space="preserve"> diverse perspectives; synthesizes comments, claims, and evidence made on all sides of an issue; resolves contradictions when possible; and determines what additional information or research is required to deepen the investigation or complete the task.</w:t>
            </w:r>
          </w:p>
          <w:p w14:paraId="36A78FB2" w14:textId="77777777" w:rsidR="005E371A" w:rsidRPr="00D20E7B" w:rsidRDefault="005E371A" w:rsidP="005E371A">
            <w:pPr>
              <w:pStyle w:val="ToolTableText"/>
              <w:rPr>
                <w:b/>
                <w:sz w:val="16"/>
                <w:szCs w:val="13"/>
              </w:rPr>
            </w:pPr>
            <w:r w:rsidRPr="00D20E7B">
              <w:rPr>
                <w:b/>
                <w:sz w:val="16"/>
                <w:szCs w:val="13"/>
              </w:rPr>
              <w:t>CCSS.ELA-Literacy.SL.11-12.1.d</w:t>
            </w:r>
          </w:p>
          <w:p w14:paraId="55405E01" w14:textId="77777777" w:rsidR="005E371A" w:rsidRPr="00AF3D12" w:rsidRDefault="005E371A" w:rsidP="005E371A">
            <w:pPr>
              <w:pStyle w:val="ToolTableText"/>
              <w:rPr>
                <w:b/>
                <w:sz w:val="16"/>
                <w:szCs w:val="13"/>
              </w:rPr>
            </w:pPr>
            <w:r w:rsidRPr="00D20E7B">
              <w:rPr>
                <w:sz w:val="16"/>
                <w:szCs w:val="13"/>
              </w:rPr>
              <w:lastRenderedPageBreak/>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736" w:type="dxa"/>
            <w:tcBorders>
              <w:top w:val="single" w:sz="4" w:space="0" w:color="auto"/>
              <w:left w:val="single" w:sz="4" w:space="0" w:color="auto"/>
              <w:bottom w:val="single" w:sz="4" w:space="0" w:color="auto"/>
              <w:right w:val="single" w:sz="4" w:space="0" w:color="auto"/>
            </w:tcBorders>
          </w:tcPr>
          <w:p w14:paraId="21632B00" w14:textId="77777777" w:rsidR="005E371A" w:rsidRDefault="005E371A" w:rsidP="005E371A">
            <w:pPr>
              <w:pStyle w:val="ToolTableText"/>
              <w:rPr>
                <w:color w:val="000000" w:themeColor="text1"/>
                <w:sz w:val="16"/>
                <w:szCs w:val="13"/>
              </w:rPr>
            </w:pPr>
            <w:r w:rsidRPr="00D20E7B">
              <w:rPr>
                <w:color w:val="000000" w:themeColor="text1"/>
                <w:sz w:val="16"/>
                <w:szCs w:val="13"/>
              </w:rPr>
              <w:lastRenderedPageBreak/>
              <w:t xml:space="preserve">Skillfully </w:t>
            </w:r>
            <w:r>
              <w:rPr>
                <w:color w:val="000000" w:themeColor="text1"/>
                <w:sz w:val="16"/>
                <w:szCs w:val="13"/>
              </w:rPr>
              <w:t>respond to</w:t>
            </w:r>
            <w:r w:rsidRPr="00D20E7B">
              <w:rPr>
                <w:color w:val="000000" w:themeColor="text1"/>
                <w:sz w:val="16"/>
                <w:szCs w:val="13"/>
              </w:rPr>
              <w:t xml:space="preserve"> </w:t>
            </w:r>
            <w:r w:rsidRPr="00D20E7B">
              <w:rPr>
                <w:sz w:val="16"/>
                <w:szCs w:val="13"/>
              </w:rPr>
              <w:t xml:space="preserve">diverse perspectives; skillfully synthesize comments, claims, and evidence made on all sides of an issue; </w:t>
            </w:r>
            <w:r>
              <w:rPr>
                <w:sz w:val="16"/>
                <w:szCs w:val="13"/>
              </w:rPr>
              <w:t>frequently</w:t>
            </w:r>
            <w:r w:rsidRPr="00D20E7B">
              <w:rPr>
                <w:sz w:val="16"/>
                <w:szCs w:val="13"/>
              </w:rPr>
              <w:t xml:space="preserve"> resolve contradictions when possible; and </w:t>
            </w:r>
            <w:r>
              <w:rPr>
                <w:sz w:val="16"/>
                <w:szCs w:val="13"/>
              </w:rPr>
              <w:t>precisely</w:t>
            </w:r>
            <w:r w:rsidRPr="00D20E7B">
              <w:rPr>
                <w:sz w:val="16"/>
                <w:szCs w:val="13"/>
              </w:rPr>
              <w:t xml:space="preserve"> determine what additional information or research is required to deepen the investigation or complete the task. (SL.11-12.1.d)</w:t>
            </w:r>
          </w:p>
          <w:p w14:paraId="74756248" w14:textId="77777777" w:rsidR="005E371A" w:rsidRPr="00B01D65" w:rsidRDefault="005E371A" w:rsidP="005E371A">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64868B4" w14:textId="77777777" w:rsidR="005E371A" w:rsidRDefault="005E371A" w:rsidP="005E371A">
            <w:pPr>
              <w:pStyle w:val="ToolTableText"/>
              <w:rPr>
                <w:color w:val="000000" w:themeColor="text1"/>
                <w:sz w:val="16"/>
                <w:szCs w:val="13"/>
              </w:rPr>
            </w:pPr>
            <w:r>
              <w:rPr>
                <w:color w:val="000000" w:themeColor="text1"/>
                <w:sz w:val="16"/>
                <w:szCs w:val="13"/>
              </w:rPr>
              <w:t>Effectively respond to</w:t>
            </w:r>
            <w:r w:rsidRPr="00D20E7B">
              <w:rPr>
                <w:color w:val="000000" w:themeColor="text1"/>
                <w:sz w:val="16"/>
                <w:szCs w:val="13"/>
              </w:rPr>
              <w:t xml:space="preserve"> </w:t>
            </w:r>
            <w:r w:rsidRPr="00D20E7B">
              <w:rPr>
                <w:sz w:val="16"/>
                <w:szCs w:val="13"/>
              </w:rPr>
              <w:t xml:space="preserve">diverse perspectives; </w:t>
            </w:r>
            <w:r>
              <w:rPr>
                <w:sz w:val="16"/>
                <w:szCs w:val="13"/>
              </w:rPr>
              <w:t xml:space="preserve">accurately </w:t>
            </w:r>
            <w:r w:rsidRPr="00D20E7B">
              <w:rPr>
                <w:sz w:val="16"/>
                <w:szCs w:val="13"/>
              </w:rPr>
              <w:t>synthesize comments, claims, and evidence made on all sides of an issue; resolve contradictions when possible; and</w:t>
            </w:r>
            <w:r>
              <w:rPr>
                <w:sz w:val="16"/>
                <w:szCs w:val="13"/>
              </w:rPr>
              <w:t xml:space="preserve"> accurately</w:t>
            </w:r>
            <w:r w:rsidRPr="00D20E7B">
              <w:rPr>
                <w:sz w:val="16"/>
                <w:szCs w:val="13"/>
              </w:rPr>
              <w:t xml:space="preserve"> determine what additional information or research is required to deepen the investigation or complete the task. (SL.11-12.1.d)</w:t>
            </w:r>
          </w:p>
          <w:p w14:paraId="32E5A7AB" w14:textId="77777777" w:rsidR="005E371A" w:rsidRPr="00B01D65" w:rsidRDefault="005E371A" w:rsidP="005E371A">
            <w:pPr>
              <w:spacing w:before="40" w:after="120" w:line="240" w:lineRule="auto"/>
              <w:rPr>
                <w:color w:val="000000"/>
                <w:sz w:val="16"/>
                <w:szCs w:val="16"/>
              </w:rPr>
            </w:pPr>
          </w:p>
        </w:tc>
        <w:tc>
          <w:tcPr>
            <w:tcW w:w="2736" w:type="dxa"/>
            <w:tcBorders>
              <w:top w:val="single" w:sz="4" w:space="0" w:color="auto"/>
              <w:left w:val="single" w:sz="4" w:space="0" w:color="auto"/>
              <w:bottom w:val="single" w:sz="4" w:space="0" w:color="auto"/>
              <w:right w:val="single" w:sz="4" w:space="0" w:color="auto"/>
            </w:tcBorders>
          </w:tcPr>
          <w:p w14:paraId="2F5E22A4" w14:textId="77777777" w:rsidR="005E371A" w:rsidRDefault="005E371A" w:rsidP="005E371A">
            <w:pPr>
              <w:pStyle w:val="ToolTableText"/>
              <w:rPr>
                <w:color w:val="000000" w:themeColor="text1"/>
                <w:sz w:val="16"/>
                <w:szCs w:val="13"/>
              </w:rPr>
            </w:pPr>
            <w:r>
              <w:rPr>
                <w:color w:val="000000" w:themeColor="text1"/>
                <w:sz w:val="16"/>
                <w:szCs w:val="13"/>
              </w:rPr>
              <w:t>Somewhat effectively</w:t>
            </w:r>
            <w:r w:rsidRPr="00D20E7B">
              <w:rPr>
                <w:color w:val="000000" w:themeColor="text1"/>
                <w:sz w:val="16"/>
                <w:szCs w:val="13"/>
              </w:rPr>
              <w:t xml:space="preserve"> </w:t>
            </w:r>
            <w:r>
              <w:rPr>
                <w:color w:val="000000" w:themeColor="text1"/>
                <w:sz w:val="16"/>
                <w:szCs w:val="13"/>
              </w:rPr>
              <w:t>respond to</w:t>
            </w:r>
            <w:r w:rsidRPr="00D20E7B">
              <w:rPr>
                <w:color w:val="000000" w:themeColor="text1"/>
                <w:sz w:val="16"/>
                <w:szCs w:val="13"/>
              </w:rPr>
              <w:t xml:space="preserve"> </w:t>
            </w:r>
            <w:r w:rsidRPr="00D20E7B">
              <w:rPr>
                <w:sz w:val="16"/>
                <w:szCs w:val="13"/>
              </w:rPr>
              <w:t xml:space="preserve">diverse perspectives; </w:t>
            </w:r>
            <w:r>
              <w:rPr>
                <w:sz w:val="16"/>
                <w:szCs w:val="13"/>
              </w:rPr>
              <w:t>with partial accuracy,</w:t>
            </w:r>
            <w:r w:rsidRPr="00D20E7B">
              <w:rPr>
                <w:sz w:val="16"/>
                <w:szCs w:val="13"/>
              </w:rPr>
              <w:t xml:space="preserve"> synthesize comments, claims, and evidence made on all sides of an issue; </w:t>
            </w:r>
            <w:r>
              <w:rPr>
                <w:sz w:val="16"/>
                <w:szCs w:val="13"/>
              </w:rPr>
              <w:t xml:space="preserve">occasionally </w:t>
            </w:r>
            <w:r w:rsidRPr="00D20E7B">
              <w:rPr>
                <w:sz w:val="16"/>
                <w:szCs w:val="13"/>
              </w:rPr>
              <w:t>resolve co</w:t>
            </w:r>
            <w:r>
              <w:rPr>
                <w:sz w:val="16"/>
                <w:szCs w:val="13"/>
              </w:rPr>
              <w:t>ntradictions when possible; and</w:t>
            </w:r>
            <w:r w:rsidRPr="00D20E7B">
              <w:rPr>
                <w:sz w:val="16"/>
                <w:szCs w:val="13"/>
              </w:rPr>
              <w:t xml:space="preserve"> determine </w:t>
            </w:r>
            <w:r>
              <w:rPr>
                <w:sz w:val="16"/>
                <w:szCs w:val="13"/>
              </w:rPr>
              <w:t xml:space="preserve">with partial accuracy </w:t>
            </w:r>
            <w:r w:rsidRPr="00D20E7B">
              <w:rPr>
                <w:sz w:val="16"/>
                <w:szCs w:val="13"/>
              </w:rPr>
              <w:t>what additional information or research is required to deepen the investigation or complete the task. (SL.11-12.1.d)</w:t>
            </w:r>
          </w:p>
          <w:p w14:paraId="4963A70C" w14:textId="77777777" w:rsidR="005E371A" w:rsidRPr="00B01D65" w:rsidRDefault="005E371A" w:rsidP="005E371A">
            <w:pPr>
              <w:spacing w:before="40" w:after="120" w:line="240" w:lineRule="auto"/>
              <w:rPr>
                <w:color w:val="000000"/>
                <w:sz w:val="16"/>
                <w:szCs w:val="16"/>
              </w:rPr>
            </w:pPr>
          </w:p>
        </w:tc>
        <w:tc>
          <w:tcPr>
            <w:tcW w:w="2736" w:type="dxa"/>
            <w:tcBorders>
              <w:top w:val="single" w:sz="4" w:space="0" w:color="auto"/>
              <w:left w:val="single" w:sz="4" w:space="0" w:color="auto"/>
              <w:bottom w:val="single" w:sz="4" w:space="0" w:color="auto"/>
              <w:right w:val="single" w:sz="4" w:space="0" w:color="auto"/>
            </w:tcBorders>
          </w:tcPr>
          <w:p w14:paraId="0F0C5D6A" w14:textId="77777777" w:rsidR="005E371A" w:rsidRDefault="005E371A" w:rsidP="005E371A">
            <w:pPr>
              <w:pStyle w:val="ToolTableText"/>
              <w:rPr>
                <w:color w:val="000000" w:themeColor="text1"/>
                <w:sz w:val="16"/>
                <w:szCs w:val="13"/>
              </w:rPr>
            </w:pPr>
            <w:r>
              <w:rPr>
                <w:color w:val="000000" w:themeColor="text1"/>
                <w:sz w:val="16"/>
                <w:szCs w:val="13"/>
              </w:rPr>
              <w:t>Ineffectively respond to</w:t>
            </w:r>
            <w:r w:rsidRPr="00D20E7B">
              <w:rPr>
                <w:color w:val="000000" w:themeColor="text1"/>
                <w:sz w:val="16"/>
                <w:szCs w:val="13"/>
              </w:rPr>
              <w:t xml:space="preserve"> </w:t>
            </w:r>
            <w:r w:rsidRPr="00D20E7B">
              <w:rPr>
                <w:sz w:val="16"/>
                <w:szCs w:val="13"/>
              </w:rPr>
              <w:t xml:space="preserve">diverse perspectives; </w:t>
            </w:r>
            <w:r>
              <w:rPr>
                <w:sz w:val="16"/>
                <w:szCs w:val="13"/>
              </w:rPr>
              <w:t>inaccurately</w:t>
            </w:r>
            <w:r w:rsidRPr="00D20E7B">
              <w:rPr>
                <w:sz w:val="16"/>
                <w:szCs w:val="13"/>
              </w:rPr>
              <w:t xml:space="preserve"> synthesize comments, claims, and evidence made on all sides of an issue; </w:t>
            </w:r>
            <w:r>
              <w:rPr>
                <w:sz w:val="16"/>
                <w:szCs w:val="13"/>
              </w:rPr>
              <w:t>rarely</w:t>
            </w:r>
            <w:r w:rsidRPr="00D20E7B">
              <w:rPr>
                <w:sz w:val="16"/>
                <w:szCs w:val="13"/>
              </w:rPr>
              <w:t xml:space="preserve"> resolve contradictions when possible; and </w:t>
            </w:r>
            <w:r>
              <w:rPr>
                <w:sz w:val="16"/>
                <w:szCs w:val="13"/>
              </w:rPr>
              <w:t>inaccurately</w:t>
            </w:r>
            <w:r w:rsidRPr="00D20E7B">
              <w:rPr>
                <w:sz w:val="16"/>
                <w:szCs w:val="13"/>
              </w:rPr>
              <w:t xml:space="preserve"> determine what additional information or research is required to deepen the investigation or complete the task. (SL.11-12.1.d)</w:t>
            </w:r>
          </w:p>
          <w:p w14:paraId="68686E1E" w14:textId="77777777" w:rsidR="005E371A" w:rsidRPr="00B01D65" w:rsidRDefault="005E371A" w:rsidP="005E371A">
            <w:pPr>
              <w:spacing w:before="40" w:after="120" w:line="240" w:lineRule="auto"/>
              <w:rPr>
                <w:color w:val="000000"/>
                <w:sz w:val="16"/>
                <w:szCs w:val="16"/>
              </w:rPr>
            </w:pPr>
          </w:p>
        </w:tc>
      </w:tr>
    </w:tbl>
    <w:p w14:paraId="2B7ABAA6" w14:textId="77777777" w:rsidR="00DB19BA" w:rsidRPr="00D20E7B" w:rsidRDefault="00DB19BA" w:rsidP="00DB19BA">
      <w:pPr>
        <w:pStyle w:val="BulletedList"/>
        <w:spacing w:before="0" w:after="0" w:line="240" w:lineRule="auto"/>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1E573F7C" w14:textId="77777777" w:rsidR="00DB19BA" w:rsidRDefault="00DB19BA" w:rsidP="00DB19BA">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142B2EF9" w14:textId="1AC82095" w:rsidR="00DB19BA" w:rsidRDefault="00DB19BA" w:rsidP="00DB19BA">
      <w:pPr>
        <w:pStyle w:val="BulletedList"/>
        <w:spacing w:before="0" w:after="0"/>
        <w:rPr>
          <w:sz w:val="16"/>
          <w:szCs w:val="16"/>
        </w:rPr>
      </w:pPr>
      <w:r w:rsidRPr="00A72CA0">
        <w:rPr>
          <w:sz w:val="16"/>
          <w:szCs w:val="16"/>
        </w:rPr>
        <w:t xml:space="preserve">A response that is totally unrelated to the task, illegible, incoherent, blank, or unrecognizable as English must be </w:t>
      </w:r>
      <w:r>
        <w:rPr>
          <w:sz w:val="16"/>
          <w:szCs w:val="16"/>
        </w:rPr>
        <w:t>scored as a 0</w:t>
      </w:r>
    </w:p>
    <w:p w14:paraId="120A7BF3" w14:textId="77777777" w:rsidR="00DB19BA" w:rsidRDefault="00DB19BA" w:rsidP="00DB19BA">
      <w:pPr>
        <w:pStyle w:val="BulletedList"/>
        <w:numPr>
          <w:ilvl w:val="0"/>
          <w:numId w:val="0"/>
        </w:numPr>
        <w:spacing w:before="0" w:after="0"/>
        <w:ind w:left="360" w:hanging="360"/>
        <w:rPr>
          <w:sz w:val="16"/>
          <w:szCs w:val="16"/>
        </w:rPr>
      </w:pPr>
    </w:p>
    <w:p w14:paraId="066B3614" w14:textId="77777777" w:rsidR="00DB19BA" w:rsidRDefault="00DB19BA" w:rsidP="00DB19BA">
      <w:pPr>
        <w:pStyle w:val="BulletedList"/>
        <w:numPr>
          <w:ilvl w:val="0"/>
          <w:numId w:val="0"/>
        </w:numPr>
        <w:spacing w:before="0" w:after="0"/>
        <w:ind w:left="360" w:hanging="360"/>
        <w:rPr>
          <w:sz w:val="16"/>
          <w:szCs w:val="16"/>
        </w:rPr>
        <w:sectPr w:rsidR="00DB19BA" w:rsidSect="008B2BE9">
          <w:headerReference w:type="default" r:id="rId9"/>
          <w:footerReference w:type="default" r:id="rId10"/>
          <w:pgSz w:w="15840" w:h="12240" w:orient="landscape"/>
          <w:pgMar w:top="1440" w:right="1440" w:bottom="1440" w:left="1440" w:header="432" w:footer="648" w:gutter="0"/>
          <w:cols w:space="720"/>
          <w:docGrid w:linePitch="299"/>
        </w:sectPr>
      </w:pPr>
    </w:p>
    <w:p w14:paraId="5635CBF7" w14:textId="1D1B417F" w:rsidR="00DB19BA" w:rsidRDefault="00DB19BA" w:rsidP="00DB19BA">
      <w:pPr>
        <w:pStyle w:val="ToolHeader"/>
      </w:pPr>
      <w:r>
        <w:lastRenderedPageBreak/>
        <w:t>12.4.2 End-of-Unit Checklist</w:t>
      </w:r>
    </w:p>
    <w:p w14:paraId="3F232667" w14:textId="77777777" w:rsidR="00DB19BA" w:rsidRDefault="00DB19BA" w:rsidP="00DB19BA">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DB19BA" w:rsidRPr="005E371A" w14:paraId="16693D9E" w14:textId="77777777" w:rsidTr="00B86741">
        <w:trPr>
          <w:trHeight w:val="368"/>
        </w:trPr>
        <w:tc>
          <w:tcPr>
            <w:tcW w:w="2561" w:type="dxa"/>
            <w:tcBorders>
              <w:bottom w:val="single" w:sz="4" w:space="0" w:color="auto"/>
            </w:tcBorders>
            <w:shd w:val="clear" w:color="auto" w:fill="D9D9D9"/>
            <w:vAlign w:val="center"/>
          </w:tcPr>
          <w:p w14:paraId="3FE9F60C" w14:textId="77777777" w:rsidR="00DB19BA" w:rsidRPr="005E371A" w:rsidRDefault="00DB19BA" w:rsidP="00B86741">
            <w:pPr>
              <w:pStyle w:val="ToolTableText"/>
              <w:jc w:val="center"/>
              <w:rPr>
                <w:b/>
              </w:rPr>
            </w:pPr>
          </w:p>
        </w:tc>
        <w:tc>
          <w:tcPr>
            <w:tcW w:w="5647" w:type="dxa"/>
            <w:shd w:val="clear" w:color="auto" w:fill="D9D9D9"/>
            <w:vAlign w:val="center"/>
          </w:tcPr>
          <w:p w14:paraId="0D90FC2F" w14:textId="77777777" w:rsidR="00DB19BA" w:rsidRPr="005E371A" w:rsidRDefault="00DB19BA" w:rsidP="00B86741">
            <w:pPr>
              <w:pStyle w:val="ToolTableText"/>
              <w:jc w:val="center"/>
              <w:rPr>
                <w:b/>
              </w:rPr>
            </w:pPr>
            <w:r w:rsidRPr="005E371A">
              <w:rPr>
                <w:b/>
              </w:rPr>
              <w:t>Does my writing…</w:t>
            </w:r>
          </w:p>
        </w:tc>
        <w:tc>
          <w:tcPr>
            <w:tcW w:w="1316" w:type="dxa"/>
            <w:shd w:val="clear" w:color="auto" w:fill="D9D9D9"/>
            <w:vAlign w:val="center"/>
          </w:tcPr>
          <w:p w14:paraId="0E27580A" w14:textId="77777777" w:rsidR="00DB19BA" w:rsidRPr="005E371A" w:rsidRDefault="00DB19BA" w:rsidP="00B86741">
            <w:pPr>
              <w:pStyle w:val="ToolTableText"/>
              <w:jc w:val="center"/>
              <w:rPr>
                <w:b/>
              </w:rPr>
            </w:pPr>
            <w:r w:rsidRPr="005E371A">
              <w:rPr>
                <w:rFonts w:ascii="MS Mincho" w:eastAsia="MS Mincho" w:hAnsi="MS Mincho" w:cs="MS Mincho" w:hint="eastAsia"/>
                <w:b/>
              </w:rPr>
              <w:t>✔</w:t>
            </w:r>
          </w:p>
        </w:tc>
      </w:tr>
      <w:tr w:rsidR="005E371A" w:rsidRPr="005E371A" w14:paraId="333890B3" w14:textId="77777777" w:rsidTr="005E371A">
        <w:trPr>
          <w:trHeight w:val="302"/>
        </w:trPr>
        <w:tc>
          <w:tcPr>
            <w:tcW w:w="2561" w:type="dxa"/>
            <w:vMerge w:val="restart"/>
            <w:tcBorders>
              <w:top w:val="single" w:sz="4" w:space="0" w:color="auto"/>
            </w:tcBorders>
            <w:shd w:val="clear" w:color="auto" w:fill="auto"/>
          </w:tcPr>
          <w:p w14:paraId="5E6DA2E6" w14:textId="77777777" w:rsidR="005E371A" w:rsidRPr="005E371A" w:rsidRDefault="005E371A" w:rsidP="00B86741">
            <w:pPr>
              <w:pStyle w:val="ToolTableText"/>
              <w:rPr>
                <w:b/>
              </w:rPr>
            </w:pPr>
            <w:r w:rsidRPr="005E371A">
              <w:rPr>
                <w:b/>
              </w:rPr>
              <w:t>Content and Analysis</w:t>
            </w:r>
          </w:p>
        </w:tc>
        <w:tc>
          <w:tcPr>
            <w:tcW w:w="5647" w:type="dxa"/>
            <w:shd w:val="clear" w:color="auto" w:fill="auto"/>
          </w:tcPr>
          <w:p w14:paraId="2F0F3CDA" w14:textId="77777777" w:rsidR="005E371A" w:rsidRPr="005E371A" w:rsidRDefault="005E371A" w:rsidP="00B86741">
            <w:pPr>
              <w:pStyle w:val="ToolTableText"/>
              <w:rPr>
                <w:b/>
              </w:rPr>
            </w:pPr>
            <w:r w:rsidRPr="005E371A">
              <w:t xml:space="preserve">Analyze how two or more texts address similar themes or topics? </w:t>
            </w:r>
            <w:r w:rsidRPr="005E371A">
              <w:rPr>
                <w:b/>
              </w:rPr>
              <w:t>(CCRA.R.9)</w:t>
            </w:r>
          </w:p>
        </w:tc>
        <w:tc>
          <w:tcPr>
            <w:tcW w:w="1316" w:type="dxa"/>
            <w:shd w:val="clear" w:color="auto" w:fill="auto"/>
            <w:vAlign w:val="center"/>
          </w:tcPr>
          <w:p w14:paraId="769E553A" w14:textId="77777777" w:rsidR="005E371A" w:rsidRPr="005E371A" w:rsidRDefault="005E371A" w:rsidP="00B86741">
            <w:pPr>
              <w:pStyle w:val="ToolTableText"/>
              <w:jc w:val="center"/>
            </w:pPr>
            <w:r w:rsidRPr="005E371A">
              <w:sym w:font="Wingdings 2" w:char="F0A3"/>
            </w:r>
          </w:p>
        </w:tc>
      </w:tr>
      <w:tr w:rsidR="005E371A" w:rsidRPr="005E371A" w14:paraId="2E17A443" w14:textId="77777777" w:rsidTr="005E371A">
        <w:trPr>
          <w:trHeight w:val="302"/>
        </w:trPr>
        <w:tc>
          <w:tcPr>
            <w:tcW w:w="2561" w:type="dxa"/>
            <w:vMerge/>
            <w:shd w:val="clear" w:color="auto" w:fill="auto"/>
          </w:tcPr>
          <w:p w14:paraId="082A7A16" w14:textId="77777777" w:rsidR="005E371A" w:rsidRPr="005E371A" w:rsidRDefault="005E371A" w:rsidP="005E371A">
            <w:pPr>
              <w:pStyle w:val="ToolTableText"/>
              <w:rPr>
                <w:b/>
              </w:rPr>
            </w:pPr>
          </w:p>
        </w:tc>
        <w:tc>
          <w:tcPr>
            <w:tcW w:w="5647" w:type="dxa"/>
            <w:shd w:val="clear" w:color="auto" w:fill="auto"/>
          </w:tcPr>
          <w:p w14:paraId="609A4A7F" w14:textId="1775C21D" w:rsidR="005E371A" w:rsidRPr="005E371A" w:rsidRDefault="005E371A" w:rsidP="005E371A">
            <w:pPr>
              <w:pStyle w:val="ToolTableText"/>
            </w:pPr>
            <w:r w:rsidRPr="005E371A">
              <w:t xml:space="preserve">Identify two or more central ideas from the text and analyze their development? </w:t>
            </w:r>
            <w:r w:rsidRPr="005E371A">
              <w:rPr>
                <w:b/>
              </w:rPr>
              <w:t>(RL.11-12.2)</w:t>
            </w:r>
          </w:p>
        </w:tc>
        <w:tc>
          <w:tcPr>
            <w:tcW w:w="1316" w:type="dxa"/>
            <w:shd w:val="clear" w:color="auto" w:fill="auto"/>
            <w:vAlign w:val="center"/>
          </w:tcPr>
          <w:p w14:paraId="1A28E64C" w14:textId="2B5112B5" w:rsidR="005E371A" w:rsidRPr="005E371A" w:rsidRDefault="005E371A" w:rsidP="005E371A">
            <w:pPr>
              <w:pStyle w:val="ToolTableText"/>
              <w:jc w:val="center"/>
            </w:pPr>
            <w:r w:rsidRPr="005E371A">
              <w:sym w:font="Wingdings 2" w:char="F0A3"/>
            </w:r>
          </w:p>
        </w:tc>
      </w:tr>
      <w:tr w:rsidR="005E371A" w:rsidRPr="005E371A" w14:paraId="7F9BB330" w14:textId="77777777" w:rsidTr="005E371A">
        <w:trPr>
          <w:trHeight w:val="302"/>
        </w:trPr>
        <w:tc>
          <w:tcPr>
            <w:tcW w:w="2561" w:type="dxa"/>
            <w:vMerge/>
            <w:shd w:val="clear" w:color="auto" w:fill="auto"/>
          </w:tcPr>
          <w:p w14:paraId="60DC477C" w14:textId="77777777" w:rsidR="005E371A" w:rsidRPr="005E371A" w:rsidRDefault="005E371A" w:rsidP="005E371A">
            <w:pPr>
              <w:pStyle w:val="ToolTableText"/>
              <w:rPr>
                <w:b/>
              </w:rPr>
            </w:pPr>
          </w:p>
        </w:tc>
        <w:tc>
          <w:tcPr>
            <w:tcW w:w="5647" w:type="dxa"/>
            <w:shd w:val="clear" w:color="auto" w:fill="auto"/>
          </w:tcPr>
          <w:p w14:paraId="7DAF372F" w14:textId="70731805" w:rsidR="005E371A" w:rsidRPr="005E371A" w:rsidRDefault="005E371A" w:rsidP="005E371A">
            <w:pPr>
              <w:pStyle w:val="ToolTableText"/>
            </w:pPr>
            <w:r w:rsidRPr="005E371A">
              <w:t xml:space="preserve">Provide examples to support analysis of how the central ideas interact and build on one another? </w:t>
            </w:r>
            <w:r w:rsidRPr="005E371A">
              <w:rPr>
                <w:b/>
              </w:rPr>
              <w:t>(RL.11-12.2)</w:t>
            </w:r>
          </w:p>
        </w:tc>
        <w:tc>
          <w:tcPr>
            <w:tcW w:w="1316" w:type="dxa"/>
            <w:shd w:val="clear" w:color="auto" w:fill="auto"/>
            <w:vAlign w:val="center"/>
          </w:tcPr>
          <w:p w14:paraId="45E50FCB" w14:textId="76EB4133" w:rsidR="005E371A" w:rsidRPr="005E371A" w:rsidRDefault="005E371A" w:rsidP="005E371A">
            <w:pPr>
              <w:pStyle w:val="ToolTableText"/>
              <w:jc w:val="center"/>
            </w:pPr>
            <w:r w:rsidRPr="005E371A">
              <w:sym w:font="Wingdings 2" w:char="F0A3"/>
            </w:r>
          </w:p>
        </w:tc>
      </w:tr>
      <w:tr w:rsidR="005E371A" w:rsidRPr="005E371A" w14:paraId="7330025B" w14:textId="77777777" w:rsidTr="005E371A">
        <w:trPr>
          <w:trHeight w:val="302"/>
        </w:trPr>
        <w:tc>
          <w:tcPr>
            <w:tcW w:w="2561" w:type="dxa"/>
            <w:vMerge/>
            <w:shd w:val="clear" w:color="auto" w:fill="auto"/>
          </w:tcPr>
          <w:p w14:paraId="4EF5742A" w14:textId="77777777" w:rsidR="005E371A" w:rsidRPr="005E371A" w:rsidRDefault="005E371A" w:rsidP="005E371A">
            <w:pPr>
              <w:pStyle w:val="ToolTableText"/>
              <w:rPr>
                <w:b/>
              </w:rPr>
            </w:pPr>
          </w:p>
        </w:tc>
        <w:tc>
          <w:tcPr>
            <w:tcW w:w="5647" w:type="dxa"/>
            <w:shd w:val="clear" w:color="auto" w:fill="auto"/>
          </w:tcPr>
          <w:p w14:paraId="39765F20" w14:textId="63835EA6" w:rsidR="005E371A" w:rsidRPr="005E371A" w:rsidRDefault="005E371A" w:rsidP="005E371A">
            <w:pPr>
              <w:pStyle w:val="ToolTableText"/>
            </w:pPr>
            <w:r w:rsidRPr="005E371A">
              <w:t xml:space="preserve">If necessary, include a brief summary of the text to frame the development of the central ideas? </w:t>
            </w:r>
            <w:r w:rsidRPr="005E371A">
              <w:rPr>
                <w:b/>
              </w:rPr>
              <w:t>(RL.11-12.2)</w:t>
            </w:r>
          </w:p>
        </w:tc>
        <w:tc>
          <w:tcPr>
            <w:tcW w:w="1316" w:type="dxa"/>
            <w:shd w:val="clear" w:color="auto" w:fill="auto"/>
            <w:vAlign w:val="center"/>
          </w:tcPr>
          <w:p w14:paraId="0D2C2FBC" w14:textId="74200CA6" w:rsidR="005E371A" w:rsidRPr="005E371A" w:rsidRDefault="005E371A" w:rsidP="005E371A">
            <w:pPr>
              <w:pStyle w:val="ToolTableText"/>
              <w:jc w:val="center"/>
            </w:pPr>
            <w:r w:rsidRPr="005E371A">
              <w:sym w:font="Wingdings 2" w:char="F0A3"/>
            </w:r>
          </w:p>
        </w:tc>
      </w:tr>
      <w:tr w:rsidR="005E371A" w:rsidRPr="005E371A" w14:paraId="1B4C6DD6" w14:textId="77777777" w:rsidTr="005E371A">
        <w:trPr>
          <w:trHeight w:val="302"/>
        </w:trPr>
        <w:tc>
          <w:tcPr>
            <w:tcW w:w="2561" w:type="dxa"/>
            <w:vMerge/>
            <w:shd w:val="clear" w:color="auto" w:fill="auto"/>
          </w:tcPr>
          <w:p w14:paraId="78ABA05F" w14:textId="77777777" w:rsidR="005E371A" w:rsidRPr="005E371A" w:rsidRDefault="005E371A" w:rsidP="005E371A">
            <w:pPr>
              <w:pStyle w:val="ToolTableText"/>
              <w:rPr>
                <w:b/>
              </w:rPr>
            </w:pPr>
          </w:p>
        </w:tc>
        <w:tc>
          <w:tcPr>
            <w:tcW w:w="5647" w:type="dxa"/>
            <w:shd w:val="clear" w:color="auto" w:fill="auto"/>
          </w:tcPr>
          <w:p w14:paraId="6B345718" w14:textId="0C9226C8" w:rsidR="005E371A" w:rsidRPr="005E371A" w:rsidRDefault="005E371A" w:rsidP="005E371A">
            <w:pPr>
              <w:pStyle w:val="ToolTableText"/>
            </w:pPr>
            <w:r w:rsidRPr="005E371A">
              <w:t xml:space="preserve">Analyze the impact of the author’s choices regarding how to </w:t>
            </w:r>
            <w:r w:rsidRPr="00AD0C33">
              <w:rPr>
                <w:spacing w:val="-8"/>
              </w:rPr>
              <w:t xml:space="preserve">develop and relate the elements of a story or drama? </w:t>
            </w:r>
            <w:r w:rsidRPr="00AD0C33">
              <w:rPr>
                <w:b/>
                <w:spacing w:val="-8"/>
              </w:rPr>
              <w:t>(RL.11-12.3)</w:t>
            </w:r>
          </w:p>
        </w:tc>
        <w:tc>
          <w:tcPr>
            <w:tcW w:w="1316" w:type="dxa"/>
            <w:shd w:val="clear" w:color="auto" w:fill="auto"/>
            <w:vAlign w:val="center"/>
          </w:tcPr>
          <w:p w14:paraId="51FE13DA" w14:textId="5DE67E7A" w:rsidR="005E371A" w:rsidRPr="005E371A" w:rsidRDefault="005E371A" w:rsidP="005E371A">
            <w:pPr>
              <w:pStyle w:val="ToolTableText"/>
              <w:jc w:val="center"/>
            </w:pPr>
            <w:r w:rsidRPr="005E371A">
              <w:sym w:font="Wingdings 2" w:char="F0A3"/>
            </w:r>
          </w:p>
        </w:tc>
      </w:tr>
      <w:tr w:rsidR="005E371A" w:rsidRPr="005E371A" w14:paraId="2B84074D" w14:textId="77777777" w:rsidTr="005E371A">
        <w:trPr>
          <w:trHeight w:val="302"/>
        </w:trPr>
        <w:tc>
          <w:tcPr>
            <w:tcW w:w="2561" w:type="dxa"/>
            <w:vMerge/>
            <w:shd w:val="clear" w:color="auto" w:fill="auto"/>
          </w:tcPr>
          <w:p w14:paraId="25E451E7" w14:textId="77777777" w:rsidR="005E371A" w:rsidRPr="005E371A" w:rsidRDefault="005E371A" w:rsidP="005E371A">
            <w:pPr>
              <w:pStyle w:val="ToolTableText"/>
              <w:rPr>
                <w:b/>
              </w:rPr>
            </w:pPr>
          </w:p>
        </w:tc>
        <w:tc>
          <w:tcPr>
            <w:tcW w:w="5647" w:type="dxa"/>
            <w:shd w:val="clear" w:color="auto" w:fill="auto"/>
          </w:tcPr>
          <w:p w14:paraId="4326DB17" w14:textId="7D478939" w:rsidR="005E371A" w:rsidRPr="005E371A" w:rsidRDefault="005E371A" w:rsidP="005E371A">
            <w:pPr>
              <w:pStyle w:val="ToolTableText"/>
            </w:pPr>
            <w:r w:rsidRPr="005E371A">
              <w:t xml:space="preserve">Analyze how an author’s choices concerning how to structure specific parts of a text contribute to the text’s overall structure and meaning as well as its aesthetic impact? </w:t>
            </w:r>
            <w:r w:rsidRPr="005E371A">
              <w:rPr>
                <w:b/>
              </w:rPr>
              <w:t>(RL.11-12.5)</w:t>
            </w:r>
          </w:p>
        </w:tc>
        <w:tc>
          <w:tcPr>
            <w:tcW w:w="1316" w:type="dxa"/>
            <w:shd w:val="clear" w:color="auto" w:fill="auto"/>
            <w:vAlign w:val="center"/>
          </w:tcPr>
          <w:p w14:paraId="44AFE8D5" w14:textId="07FC70D2" w:rsidR="005E371A" w:rsidRPr="005E371A" w:rsidRDefault="005E371A" w:rsidP="005E371A">
            <w:pPr>
              <w:pStyle w:val="ToolTableText"/>
              <w:jc w:val="center"/>
            </w:pPr>
            <w:r w:rsidRPr="005E371A">
              <w:sym w:font="Wingdings 2" w:char="F0A3"/>
            </w:r>
          </w:p>
        </w:tc>
      </w:tr>
      <w:tr w:rsidR="005E371A" w:rsidRPr="005E371A" w14:paraId="2B84D981" w14:textId="77777777" w:rsidTr="00B86741">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1C13FBF8" w14:textId="77777777" w:rsidR="005E371A" w:rsidRPr="005E371A" w:rsidRDefault="005E371A" w:rsidP="005E371A">
            <w:pPr>
              <w:pStyle w:val="ToolTableText"/>
              <w:rPr>
                <w:b/>
              </w:rPr>
            </w:pPr>
            <w:r w:rsidRPr="005E371A">
              <w:rPr>
                <w:b/>
              </w:rPr>
              <w:t xml:space="preserve">Command of Evidence and Reasoning </w:t>
            </w:r>
          </w:p>
        </w:tc>
        <w:tc>
          <w:tcPr>
            <w:tcW w:w="5647" w:type="dxa"/>
            <w:tcBorders>
              <w:left w:val="single" w:sz="4" w:space="0" w:color="auto"/>
            </w:tcBorders>
            <w:shd w:val="clear" w:color="auto" w:fill="auto"/>
          </w:tcPr>
          <w:p w14:paraId="45B623DF" w14:textId="77777777" w:rsidR="005E371A" w:rsidRPr="005E371A" w:rsidRDefault="005E371A" w:rsidP="005E371A">
            <w:pPr>
              <w:pStyle w:val="ToolTableText"/>
            </w:pPr>
            <w:r w:rsidRPr="005E371A">
              <w:t xml:space="preserve">Explicitly draw on evidence from texts and/or other research on the topic or issue? </w:t>
            </w:r>
            <w:r w:rsidRPr="005E371A">
              <w:rPr>
                <w:b/>
              </w:rPr>
              <w:t>(SL.11-12.1.a)</w:t>
            </w:r>
          </w:p>
        </w:tc>
        <w:tc>
          <w:tcPr>
            <w:tcW w:w="1316" w:type="dxa"/>
            <w:shd w:val="clear" w:color="auto" w:fill="auto"/>
            <w:vAlign w:val="center"/>
          </w:tcPr>
          <w:p w14:paraId="778B067D" w14:textId="77777777" w:rsidR="005E371A" w:rsidRPr="005E371A" w:rsidRDefault="005E371A" w:rsidP="005E371A">
            <w:pPr>
              <w:pStyle w:val="ToolTableText"/>
              <w:jc w:val="center"/>
            </w:pPr>
            <w:r w:rsidRPr="005E371A">
              <w:sym w:font="Wingdings 2" w:char="F0A3"/>
            </w:r>
          </w:p>
        </w:tc>
      </w:tr>
      <w:tr w:rsidR="005E371A" w:rsidRPr="005E371A" w14:paraId="4AE0528A" w14:textId="77777777" w:rsidTr="00B86741">
        <w:trPr>
          <w:trHeight w:val="305"/>
        </w:trPr>
        <w:tc>
          <w:tcPr>
            <w:tcW w:w="2561" w:type="dxa"/>
            <w:vMerge/>
            <w:tcBorders>
              <w:left w:val="single" w:sz="4" w:space="0" w:color="auto"/>
              <w:right w:val="single" w:sz="4" w:space="0" w:color="auto"/>
            </w:tcBorders>
            <w:shd w:val="clear" w:color="auto" w:fill="auto"/>
          </w:tcPr>
          <w:p w14:paraId="2298F984" w14:textId="77777777" w:rsidR="005E371A" w:rsidRPr="005E371A" w:rsidRDefault="005E371A" w:rsidP="005E371A">
            <w:pPr>
              <w:pStyle w:val="ToolTableText"/>
              <w:rPr>
                <w:b/>
              </w:rPr>
            </w:pPr>
          </w:p>
        </w:tc>
        <w:tc>
          <w:tcPr>
            <w:tcW w:w="5647" w:type="dxa"/>
            <w:tcBorders>
              <w:left w:val="single" w:sz="4" w:space="0" w:color="auto"/>
            </w:tcBorders>
            <w:shd w:val="clear" w:color="auto" w:fill="auto"/>
          </w:tcPr>
          <w:p w14:paraId="61A8F3A6" w14:textId="77777777" w:rsidR="005E371A" w:rsidRPr="005E371A" w:rsidRDefault="005E371A" w:rsidP="005E371A">
            <w:pPr>
              <w:pStyle w:val="ToolTableText"/>
            </w:pPr>
            <w:r w:rsidRPr="005E371A">
              <w:t xml:space="preserve">Pose and respond to questions that probe reasoning and evidence? </w:t>
            </w:r>
            <w:r w:rsidRPr="005E371A">
              <w:rPr>
                <w:b/>
              </w:rPr>
              <w:t>(SL.11-12.1.c)</w:t>
            </w:r>
          </w:p>
        </w:tc>
        <w:tc>
          <w:tcPr>
            <w:tcW w:w="1316" w:type="dxa"/>
            <w:shd w:val="clear" w:color="auto" w:fill="auto"/>
            <w:vAlign w:val="center"/>
          </w:tcPr>
          <w:p w14:paraId="29981813" w14:textId="77777777" w:rsidR="005E371A" w:rsidRPr="005E371A" w:rsidRDefault="005E371A" w:rsidP="005E371A">
            <w:pPr>
              <w:pStyle w:val="ToolTableText"/>
              <w:jc w:val="center"/>
            </w:pPr>
            <w:r w:rsidRPr="005E371A">
              <w:sym w:font="Wingdings 2" w:char="F0A3"/>
            </w:r>
          </w:p>
        </w:tc>
      </w:tr>
      <w:tr w:rsidR="005E371A" w:rsidRPr="005E371A" w14:paraId="364E29A1" w14:textId="77777777" w:rsidTr="00B86741">
        <w:trPr>
          <w:trHeight w:val="305"/>
        </w:trPr>
        <w:tc>
          <w:tcPr>
            <w:tcW w:w="2561" w:type="dxa"/>
            <w:vMerge/>
            <w:tcBorders>
              <w:left w:val="single" w:sz="4" w:space="0" w:color="auto"/>
              <w:right w:val="single" w:sz="4" w:space="0" w:color="auto"/>
            </w:tcBorders>
            <w:shd w:val="clear" w:color="auto" w:fill="auto"/>
          </w:tcPr>
          <w:p w14:paraId="1ACB5678" w14:textId="77777777" w:rsidR="005E371A" w:rsidRPr="005E371A" w:rsidRDefault="005E371A" w:rsidP="005E371A">
            <w:pPr>
              <w:pStyle w:val="ToolTableText"/>
              <w:rPr>
                <w:b/>
              </w:rPr>
            </w:pPr>
          </w:p>
        </w:tc>
        <w:tc>
          <w:tcPr>
            <w:tcW w:w="5647" w:type="dxa"/>
            <w:tcBorders>
              <w:left w:val="single" w:sz="4" w:space="0" w:color="auto"/>
            </w:tcBorders>
            <w:shd w:val="clear" w:color="auto" w:fill="auto"/>
          </w:tcPr>
          <w:p w14:paraId="05C10760" w14:textId="77777777" w:rsidR="005E371A" w:rsidRPr="005E371A" w:rsidRDefault="005E371A" w:rsidP="005E371A">
            <w:pPr>
              <w:pStyle w:val="ToolTableText"/>
            </w:pPr>
            <w:r w:rsidRPr="005E371A">
              <w:t xml:space="preserve">Ensure a hearing for a full range of positions on a topic or issue? </w:t>
            </w:r>
            <w:r w:rsidRPr="005E371A">
              <w:rPr>
                <w:b/>
              </w:rPr>
              <w:t>(SL.11-12.1.c)</w:t>
            </w:r>
          </w:p>
        </w:tc>
        <w:tc>
          <w:tcPr>
            <w:tcW w:w="1316" w:type="dxa"/>
            <w:shd w:val="clear" w:color="auto" w:fill="auto"/>
            <w:vAlign w:val="center"/>
          </w:tcPr>
          <w:p w14:paraId="59448FD1" w14:textId="77777777" w:rsidR="005E371A" w:rsidRPr="005E371A" w:rsidRDefault="005E371A" w:rsidP="005E371A">
            <w:pPr>
              <w:pStyle w:val="ToolTableText"/>
              <w:jc w:val="center"/>
            </w:pPr>
            <w:r w:rsidRPr="005E371A">
              <w:sym w:font="Wingdings 2" w:char="F0A3"/>
            </w:r>
          </w:p>
        </w:tc>
      </w:tr>
      <w:tr w:rsidR="005E371A" w:rsidRPr="005E371A" w14:paraId="401C04F6" w14:textId="77777777" w:rsidTr="00B86741">
        <w:trPr>
          <w:trHeight w:val="305"/>
        </w:trPr>
        <w:tc>
          <w:tcPr>
            <w:tcW w:w="2561" w:type="dxa"/>
            <w:vMerge/>
            <w:tcBorders>
              <w:left w:val="single" w:sz="4" w:space="0" w:color="auto"/>
              <w:right w:val="single" w:sz="4" w:space="0" w:color="auto"/>
            </w:tcBorders>
            <w:shd w:val="clear" w:color="auto" w:fill="auto"/>
          </w:tcPr>
          <w:p w14:paraId="6F9FE41F" w14:textId="77777777" w:rsidR="005E371A" w:rsidRPr="005E371A" w:rsidRDefault="005E371A" w:rsidP="005E371A">
            <w:pPr>
              <w:pStyle w:val="ToolTableText"/>
              <w:rPr>
                <w:b/>
              </w:rPr>
            </w:pPr>
          </w:p>
        </w:tc>
        <w:tc>
          <w:tcPr>
            <w:tcW w:w="5647" w:type="dxa"/>
            <w:tcBorders>
              <w:left w:val="single" w:sz="4" w:space="0" w:color="auto"/>
            </w:tcBorders>
            <w:shd w:val="clear" w:color="auto" w:fill="auto"/>
          </w:tcPr>
          <w:p w14:paraId="63FF62E9" w14:textId="77777777" w:rsidR="005E371A" w:rsidRPr="00AD0C33" w:rsidRDefault="005E371A" w:rsidP="005E371A">
            <w:pPr>
              <w:pStyle w:val="ToolTableText"/>
              <w:rPr>
                <w:spacing w:val="-6"/>
              </w:rPr>
            </w:pPr>
            <w:r w:rsidRPr="00AD0C33">
              <w:rPr>
                <w:spacing w:val="-6"/>
              </w:rPr>
              <w:t xml:space="preserve">Clarify, verify, or challenge ideas and conclusions? </w:t>
            </w:r>
            <w:r w:rsidRPr="00AD0C33">
              <w:rPr>
                <w:b/>
                <w:spacing w:val="-6"/>
              </w:rPr>
              <w:t>(SL.11-12.1.c)</w:t>
            </w:r>
            <w:r w:rsidRPr="00AD0C33">
              <w:rPr>
                <w:spacing w:val="-6"/>
              </w:rPr>
              <w:t xml:space="preserve"> </w:t>
            </w:r>
          </w:p>
        </w:tc>
        <w:tc>
          <w:tcPr>
            <w:tcW w:w="1316" w:type="dxa"/>
            <w:shd w:val="clear" w:color="auto" w:fill="auto"/>
            <w:vAlign w:val="center"/>
          </w:tcPr>
          <w:p w14:paraId="578262FA" w14:textId="77777777" w:rsidR="005E371A" w:rsidRPr="005E371A" w:rsidRDefault="005E371A" w:rsidP="005E371A">
            <w:pPr>
              <w:pStyle w:val="ToolTableText"/>
              <w:jc w:val="center"/>
            </w:pPr>
            <w:r w:rsidRPr="005E371A">
              <w:sym w:font="Wingdings 2" w:char="F0A3"/>
            </w:r>
          </w:p>
        </w:tc>
      </w:tr>
      <w:tr w:rsidR="005E371A" w:rsidRPr="005E371A" w14:paraId="4AB02C30" w14:textId="77777777" w:rsidTr="00B86741">
        <w:trPr>
          <w:trHeight w:val="305"/>
        </w:trPr>
        <w:tc>
          <w:tcPr>
            <w:tcW w:w="2561" w:type="dxa"/>
            <w:vMerge/>
            <w:tcBorders>
              <w:left w:val="single" w:sz="4" w:space="0" w:color="auto"/>
              <w:right w:val="single" w:sz="4" w:space="0" w:color="auto"/>
            </w:tcBorders>
            <w:shd w:val="clear" w:color="auto" w:fill="auto"/>
          </w:tcPr>
          <w:p w14:paraId="0DF719AD" w14:textId="77777777" w:rsidR="005E371A" w:rsidRPr="005E371A" w:rsidRDefault="005E371A" w:rsidP="005E371A">
            <w:pPr>
              <w:pStyle w:val="ToolTableText"/>
              <w:rPr>
                <w:b/>
              </w:rPr>
            </w:pPr>
          </w:p>
        </w:tc>
        <w:tc>
          <w:tcPr>
            <w:tcW w:w="5647" w:type="dxa"/>
            <w:tcBorders>
              <w:left w:val="single" w:sz="4" w:space="0" w:color="auto"/>
            </w:tcBorders>
            <w:shd w:val="clear" w:color="auto" w:fill="auto"/>
          </w:tcPr>
          <w:p w14:paraId="5BA0C030" w14:textId="77777777" w:rsidR="005E371A" w:rsidRPr="005E371A" w:rsidRDefault="005E371A" w:rsidP="005E371A">
            <w:pPr>
              <w:pStyle w:val="ToolTableText"/>
            </w:pPr>
            <w:r w:rsidRPr="005E371A">
              <w:t xml:space="preserve">Promote divergent and creative perspectives? </w:t>
            </w:r>
            <w:r w:rsidRPr="005E371A">
              <w:rPr>
                <w:b/>
              </w:rPr>
              <w:t>(SL.11-12.1.c)</w:t>
            </w:r>
          </w:p>
        </w:tc>
        <w:tc>
          <w:tcPr>
            <w:tcW w:w="1316" w:type="dxa"/>
            <w:shd w:val="clear" w:color="auto" w:fill="auto"/>
            <w:vAlign w:val="center"/>
          </w:tcPr>
          <w:p w14:paraId="40F9D012" w14:textId="77777777" w:rsidR="005E371A" w:rsidRPr="005E371A" w:rsidRDefault="005E371A" w:rsidP="005E371A">
            <w:pPr>
              <w:pStyle w:val="ToolTableText"/>
              <w:jc w:val="center"/>
            </w:pPr>
            <w:r w:rsidRPr="005E371A">
              <w:sym w:font="Wingdings 2" w:char="F0A3"/>
            </w:r>
          </w:p>
        </w:tc>
      </w:tr>
      <w:tr w:rsidR="005E371A" w:rsidRPr="005E371A" w14:paraId="40B803D3" w14:textId="77777777" w:rsidTr="00B86741">
        <w:trPr>
          <w:trHeight w:val="305"/>
        </w:trPr>
        <w:tc>
          <w:tcPr>
            <w:tcW w:w="2561" w:type="dxa"/>
            <w:vMerge w:val="restart"/>
            <w:tcBorders>
              <w:left w:val="single" w:sz="4" w:space="0" w:color="auto"/>
              <w:right w:val="single" w:sz="4" w:space="0" w:color="auto"/>
            </w:tcBorders>
            <w:shd w:val="clear" w:color="auto" w:fill="auto"/>
          </w:tcPr>
          <w:p w14:paraId="639C0B9F" w14:textId="77777777" w:rsidR="005E371A" w:rsidRPr="005E371A" w:rsidRDefault="005E371A" w:rsidP="005E371A">
            <w:pPr>
              <w:pStyle w:val="ToolTableText"/>
              <w:rPr>
                <w:b/>
              </w:rPr>
            </w:pPr>
            <w:r w:rsidRPr="005E371A">
              <w:rPr>
                <w:b/>
              </w:rPr>
              <w:t>Collaboration and Presentation</w:t>
            </w:r>
          </w:p>
        </w:tc>
        <w:tc>
          <w:tcPr>
            <w:tcW w:w="5647" w:type="dxa"/>
            <w:tcBorders>
              <w:left w:val="single" w:sz="4" w:space="0" w:color="auto"/>
            </w:tcBorders>
            <w:shd w:val="clear" w:color="auto" w:fill="auto"/>
          </w:tcPr>
          <w:p w14:paraId="7476B8F6" w14:textId="77777777" w:rsidR="005E371A" w:rsidRPr="005E371A" w:rsidRDefault="005E371A" w:rsidP="005E371A">
            <w:pPr>
              <w:pStyle w:val="ToolTableText"/>
            </w:pPr>
            <w:r w:rsidRPr="005E371A">
              <w:t xml:space="preserve">Respond to diverse perspectives? </w:t>
            </w:r>
            <w:r w:rsidRPr="005E371A">
              <w:rPr>
                <w:b/>
              </w:rPr>
              <w:t>(SL.11-12.1.d)</w:t>
            </w:r>
          </w:p>
        </w:tc>
        <w:tc>
          <w:tcPr>
            <w:tcW w:w="1316" w:type="dxa"/>
            <w:shd w:val="clear" w:color="auto" w:fill="auto"/>
            <w:vAlign w:val="center"/>
          </w:tcPr>
          <w:p w14:paraId="09A2AC48" w14:textId="77777777" w:rsidR="005E371A" w:rsidRPr="005E371A" w:rsidRDefault="005E371A" w:rsidP="005E371A">
            <w:pPr>
              <w:pStyle w:val="ToolTableText"/>
              <w:jc w:val="center"/>
            </w:pPr>
            <w:r w:rsidRPr="005E371A">
              <w:sym w:font="Wingdings 2" w:char="F0A3"/>
            </w:r>
          </w:p>
        </w:tc>
      </w:tr>
      <w:tr w:rsidR="005E371A" w:rsidRPr="005E371A" w14:paraId="36AC9416" w14:textId="77777777" w:rsidTr="00B86741">
        <w:trPr>
          <w:trHeight w:val="305"/>
        </w:trPr>
        <w:tc>
          <w:tcPr>
            <w:tcW w:w="2561" w:type="dxa"/>
            <w:vMerge/>
            <w:tcBorders>
              <w:left w:val="single" w:sz="4" w:space="0" w:color="auto"/>
              <w:right w:val="single" w:sz="4" w:space="0" w:color="auto"/>
            </w:tcBorders>
            <w:shd w:val="clear" w:color="auto" w:fill="auto"/>
          </w:tcPr>
          <w:p w14:paraId="6E777BEF" w14:textId="77777777" w:rsidR="005E371A" w:rsidRPr="005E371A" w:rsidRDefault="005E371A" w:rsidP="005E371A">
            <w:pPr>
              <w:pStyle w:val="ToolTableText"/>
              <w:rPr>
                <w:b/>
              </w:rPr>
            </w:pPr>
          </w:p>
        </w:tc>
        <w:tc>
          <w:tcPr>
            <w:tcW w:w="5647" w:type="dxa"/>
            <w:tcBorders>
              <w:left w:val="single" w:sz="4" w:space="0" w:color="auto"/>
            </w:tcBorders>
            <w:shd w:val="clear" w:color="auto" w:fill="auto"/>
          </w:tcPr>
          <w:p w14:paraId="78DA6832" w14:textId="77777777" w:rsidR="005E371A" w:rsidRPr="005E371A" w:rsidRDefault="005E371A" w:rsidP="005E371A">
            <w:pPr>
              <w:pStyle w:val="ToolTableText"/>
            </w:pPr>
            <w:r w:rsidRPr="005E371A">
              <w:t xml:space="preserve">Synthesize comments, claims, and evidence made on all sides of an issue? </w:t>
            </w:r>
            <w:r w:rsidRPr="005E371A">
              <w:rPr>
                <w:b/>
              </w:rPr>
              <w:t>(SL.11-12.1.d)</w:t>
            </w:r>
          </w:p>
        </w:tc>
        <w:tc>
          <w:tcPr>
            <w:tcW w:w="1316" w:type="dxa"/>
            <w:shd w:val="clear" w:color="auto" w:fill="auto"/>
            <w:vAlign w:val="center"/>
          </w:tcPr>
          <w:p w14:paraId="6DDC476A" w14:textId="77777777" w:rsidR="005E371A" w:rsidRPr="005E371A" w:rsidRDefault="005E371A" w:rsidP="005E371A">
            <w:pPr>
              <w:pStyle w:val="ToolTableText"/>
              <w:jc w:val="center"/>
            </w:pPr>
            <w:r w:rsidRPr="005E371A">
              <w:sym w:font="Wingdings 2" w:char="F0A3"/>
            </w:r>
          </w:p>
        </w:tc>
      </w:tr>
      <w:tr w:rsidR="005E371A" w:rsidRPr="005E371A" w14:paraId="075EF24B" w14:textId="77777777" w:rsidTr="00B86741">
        <w:trPr>
          <w:trHeight w:val="305"/>
        </w:trPr>
        <w:tc>
          <w:tcPr>
            <w:tcW w:w="2561" w:type="dxa"/>
            <w:vMerge/>
            <w:tcBorders>
              <w:left w:val="single" w:sz="4" w:space="0" w:color="auto"/>
              <w:right w:val="single" w:sz="4" w:space="0" w:color="auto"/>
            </w:tcBorders>
            <w:shd w:val="clear" w:color="auto" w:fill="auto"/>
          </w:tcPr>
          <w:p w14:paraId="15B9DD19" w14:textId="77777777" w:rsidR="005E371A" w:rsidRPr="005E371A" w:rsidRDefault="005E371A" w:rsidP="005E371A">
            <w:pPr>
              <w:pStyle w:val="ToolTableText"/>
              <w:rPr>
                <w:b/>
              </w:rPr>
            </w:pPr>
          </w:p>
        </w:tc>
        <w:tc>
          <w:tcPr>
            <w:tcW w:w="5647" w:type="dxa"/>
            <w:tcBorders>
              <w:left w:val="single" w:sz="4" w:space="0" w:color="auto"/>
            </w:tcBorders>
            <w:shd w:val="clear" w:color="auto" w:fill="auto"/>
          </w:tcPr>
          <w:p w14:paraId="1663B80A" w14:textId="77777777" w:rsidR="005E371A" w:rsidRPr="005E371A" w:rsidRDefault="005E371A" w:rsidP="005E371A">
            <w:pPr>
              <w:pStyle w:val="ToolTableText"/>
            </w:pPr>
            <w:r w:rsidRPr="005E371A">
              <w:t xml:space="preserve">Resolve contradictions when possible? </w:t>
            </w:r>
            <w:r w:rsidRPr="005E371A">
              <w:rPr>
                <w:b/>
              </w:rPr>
              <w:t>(SL.11-12.1.d)</w:t>
            </w:r>
          </w:p>
        </w:tc>
        <w:tc>
          <w:tcPr>
            <w:tcW w:w="1316" w:type="dxa"/>
            <w:shd w:val="clear" w:color="auto" w:fill="auto"/>
            <w:vAlign w:val="center"/>
          </w:tcPr>
          <w:p w14:paraId="0A9814B4" w14:textId="77777777" w:rsidR="005E371A" w:rsidRPr="005E371A" w:rsidRDefault="005E371A" w:rsidP="005E371A">
            <w:pPr>
              <w:pStyle w:val="ToolTableText"/>
              <w:jc w:val="center"/>
            </w:pPr>
            <w:r w:rsidRPr="005E371A">
              <w:sym w:font="Wingdings 2" w:char="F0A3"/>
            </w:r>
          </w:p>
        </w:tc>
      </w:tr>
      <w:tr w:rsidR="005E371A" w:rsidRPr="005E371A" w14:paraId="30704207" w14:textId="77777777" w:rsidTr="00B86741">
        <w:trPr>
          <w:trHeight w:val="305"/>
        </w:trPr>
        <w:tc>
          <w:tcPr>
            <w:tcW w:w="2561" w:type="dxa"/>
            <w:vMerge/>
            <w:tcBorders>
              <w:left w:val="single" w:sz="4" w:space="0" w:color="auto"/>
              <w:bottom w:val="single" w:sz="4" w:space="0" w:color="auto"/>
              <w:right w:val="single" w:sz="4" w:space="0" w:color="auto"/>
            </w:tcBorders>
            <w:shd w:val="clear" w:color="auto" w:fill="auto"/>
          </w:tcPr>
          <w:p w14:paraId="6081E3DD" w14:textId="77777777" w:rsidR="005E371A" w:rsidRPr="005E371A" w:rsidRDefault="005E371A" w:rsidP="005E371A">
            <w:pPr>
              <w:pStyle w:val="ToolTableText"/>
              <w:rPr>
                <w:b/>
              </w:rPr>
            </w:pPr>
          </w:p>
        </w:tc>
        <w:tc>
          <w:tcPr>
            <w:tcW w:w="5647" w:type="dxa"/>
            <w:tcBorders>
              <w:left w:val="single" w:sz="4" w:space="0" w:color="auto"/>
            </w:tcBorders>
            <w:shd w:val="clear" w:color="auto" w:fill="auto"/>
          </w:tcPr>
          <w:p w14:paraId="720F6D19" w14:textId="77777777" w:rsidR="005E371A" w:rsidRPr="005E371A" w:rsidRDefault="005E371A" w:rsidP="005E371A">
            <w:pPr>
              <w:pStyle w:val="ToolTableText"/>
            </w:pPr>
            <w:r w:rsidRPr="005E371A">
              <w:rPr>
                <w:spacing w:val="-4"/>
              </w:rPr>
              <w:t>Determine what additional information or research is required</w:t>
            </w:r>
            <w:r w:rsidRPr="005E371A">
              <w:t xml:space="preserve"> </w:t>
            </w:r>
            <w:r w:rsidRPr="00AD0C33">
              <w:rPr>
                <w:spacing w:val="-6"/>
              </w:rPr>
              <w:t xml:space="preserve">to deepen the investigation or complete the task? </w:t>
            </w:r>
            <w:r w:rsidRPr="00AD0C33">
              <w:rPr>
                <w:b/>
                <w:spacing w:val="-6"/>
              </w:rPr>
              <w:t>(SL.11-12.1.d)</w:t>
            </w:r>
          </w:p>
        </w:tc>
        <w:tc>
          <w:tcPr>
            <w:tcW w:w="1316" w:type="dxa"/>
            <w:shd w:val="clear" w:color="auto" w:fill="auto"/>
            <w:vAlign w:val="center"/>
          </w:tcPr>
          <w:p w14:paraId="54D953CA" w14:textId="77777777" w:rsidR="005E371A" w:rsidRPr="005E371A" w:rsidRDefault="005E371A" w:rsidP="005E371A">
            <w:pPr>
              <w:pStyle w:val="ToolTableText"/>
              <w:jc w:val="center"/>
            </w:pPr>
            <w:r w:rsidRPr="005E371A">
              <w:sym w:font="Wingdings 2" w:char="F0A3"/>
            </w:r>
          </w:p>
        </w:tc>
      </w:tr>
    </w:tbl>
    <w:p w14:paraId="1D56424F" w14:textId="34848E0F" w:rsidR="00330818" w:rsidRPr="00AD0C33" w:rsidRDefault="00AD0C33">
      <w:pPr>
        <w:pStyle w:val="ToolHeader"/>
        <w:rPr>
          <w:rFonts w:ascii="Calibri Light" w:hAnsi="Calibri Light"/>
          <w:sz w:val="2"/>
          <w:szCs w:val="2"/>
        </w:rPr>
      </w:pPr>
      <w:r>
        <w:rPr>
          <w:rFonts w:ascii="Calibri Light" w:hAnsi="Calibri Light"/>
          <w:sz w:val="2"/>
          <w:szCs w:val="2"/>
        </w:rPr>
        <w:t>s</w:t>
      </w:r>
    </w:p>
    <w:sectPr w:rsidR="00330818" w:rsidRPr="00AD0C33" w:rsidSect="00AD0C33">
      <w:headerReference w:type="default"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718E" w14:textId="77777777" w:rsidR="007411A9" w:rsidRDefault="007411A9">
      <w:pPr>
        <w:spacing w:before="0" w:after="0" w:line="240" w:lineRule="auto"/>
      </w:pPr>
      <w:r>
        <w:separator/>
      </w:r>
    </w:p>
  </w:endnote>
  <w:endnote w:type="continuationSeparator" w:id="0">
    <w:p w14:paraId="7C6B40D0" w14:textId="77777777" w:rsidR="007411A9" w:rsidRDefault="007411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4590" w14:textId="77777777" w:rsidR="00E9176F" w:rsidRPr="00563CB8" w:rsidRDefault="00E9176F" w:rsidP="00E446A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E9176F" w14:paraId="2C6815D1" w14:textId="77777777" w:rsidTr="00301BCC">
      <w:trPr>
        <w:trHeight w:val="705"/>
      </w:trPr>
      <w:tc>
        <w:tcPr>
          <w:tcW w:w="4484" w:type="dxa"/>
          <w:shd w:val="clear" w:color="auto" w:fill="auto"/>
          <w:vAlign w:val="center"/>
        </w:tcPr>
        <w:p w14:paraId="578B94F4" w14:textId="53CEAA9A" w:rsidR="00E9176F" w:rsidRPr="002E4C92" w:rsidRDefault="00E9176F" w:rsidP="00301BCC">
          <w:pPr>
            <w:pStyle w:val="FooterText"/>
          </w:pPr>
          <w:r w:rsidRPr="002E4C92">
            <w:t>File:</w:t>
          </w:r>
          <w:r w:rsidRPr="0039525B">
            <w:rPr>
              <w:b w:val="0"/>
            </w:rPr>
            <w:t xml:space="preserve"> </w:t>
          </w:r>
          <w:r>
            <w:rPr>
              <w:b w:val="0"/>
            </w:rPr>
            <w:t>12.4.2</w:t>
          </w:r>
          <w:r w:rsidRPr="0039525B">
            <w:rPr>
              <w:b w:val="0"/>
            </w:rPr>
            <w:t xml:space="preserve"> Lesson </w:t>
          </w:r>
          <w:r>
            <w:rPr>
              <w:b w:val="0"/>
            </w:rPr>
            <w:t>22</w:t>
          </w:r>
          <w:r w:rsidRPr="002E4C92">
            <w:t xml:space="preserve"> Date:</w:t>
          </w:r>
          <w:r w:rsidRPr="0039525B">
            <w:rPr>
              <w:b w:val="0"/>
            </w:rPr>
            <w:t xml:space="preserve"> </w:t>
          </w:r>
          <w:r>
            <w:rPr>
              <w:b w:val="0"/>
            </w:rPr>
            <w:t>6/</w:t>
          </w:r>
          <w:r w:rsidR="00F228C4">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0DE475C" w14:textId="0D5CC91C" w:rsidR="00E9176F" w:rsidRPr="0039525B" w:rsidRDefault="00E9176F" w:rsidP="00301BCC">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0A644B6C" w14:textId="77777777" w:rsidR="00E9176F" w:rsidRPr="0039525B" w:rsidRDefault="00E9176F" w:rsidP="00301BCC">
          <w:pPr>
            <w:pStyle w:val="FooterText"/>
            <w:rPr>
              <w:b w:val="0"/>
              <w:i/>
            </w:rPr>
          </w:pPr>
          <w:r w:rsidRPr="0039525B">
            <w:rPr>
              <w:b w:val="0"/>
              <w:i/>
              <w:sz w:val="12"/>
            </w:rPr>
            <w:t>Creative Commons Attribution-NonCommercial-ShareAlike 3.0 Unported License</w:t>
          </w:r>
        </w:p>
        <w:p w14:paraId="44AE2E26" w14:textId="77777777" w:rsidR="00E9176F" w:rsidRPr="002E4C92" w:rsidRDefault="00456A10" w:rsidP="00301BCC">
          <w:pPr>
            <w:pStyle w:val="FooterText"/>
          </w:pPr>
          <w:hyperlink r:id="rId1" w:history="1">
            <w:r w:rsidR="00E9176F" w:rsidRPr="0043460D">
              <w:rPr>
                <w:rStyle w:val="Hyperlink"/>
                <w:sz w:val="12"/>
                <w:szCs w:val="12"/>
              </w:rPr>
              <w:t>http://creativecommons.org/licenses/by-nc-sa/3.0/</w:t>
            </w:r>
          </w:hyperlink>
        </w:p>
      </w:tc>
      <w:tc>
        <w:tcPr>
          <w:tcW w:w="614" w:type="dxa"/>
          <w:shd w:val="clear" w:color="auto" w:fill="auto"/>
          <w:vAlign w:val="center"/>
        </w:tcPr>
        <w:p w14:paraId="692D3F52" w14:textId="77777777" w:rsidR="00E9176F" w:rsidRPr="002E4C92" w:rsidRDefault="00E9176F" w:rsidP="00301BC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56A10">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07E30CA0" w14:textId="1A828A54" w:rsidR="00E9176F" w:rsidRPr="002E4C92" w:rsidRDefault="00E9176F" w:rsidP="00301BC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D984275" wp14:editId="65CA3C92">
                <wp:extent cx="1701800"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14C47DAF" w14:textId="77777777" w:rsidR="00E9176F" w:rsidRPr="008D5B21" w:rsidRDefault="00E9176F" w:rsidP="008D5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6341"/>
      <w:gridCol w:w="860"/>
      <w:gridCol w:w="5951"/>
    </w:tblGrid>
    <w:tr w:rsidR="00DB19BA" w14:paraId="0FE5B775" w14:textId="77777777" w:rsidTr="007B62A9">
      <w:trPr>
        <w:trHeight w:val="705"/>
      </w:trPr>
      <w:tc>
        <w:tcPr>
          <w:tcW w:w="4609" w:type="dxa"/>
          <w:shd w:val="clear" w:color="auto" w:fill="auto"/>
          <w:vAlign w:val="center"/>
        </w:tcPr>
        <w:p w14:paraId="1052CC45" w14:textId="550AF0B2" w:rsidR="00DB19BA" w:rsidRPr="000D33AE" w:rsidRDefault="00DB19BA" w:rsidP="00A72CA0">
          <w:pPr>
            <w:pStyle w:val="folio"/>
            <w:pBdr>
              <w:top w:val="none" w:sz="0" w:space="0" w:color="auto"/>
            </w:pBdr>
            <w:tabs>
              <w:tab w:val="clear" w:pos="6480"/>
              <w:tab w:val="clear" w:pos="10080"/>
            </w:tabs>
            <w:spacing w:before="0" w:after="0" w:line="200" w:lineRule="exact"/>
            <w:rPr>
              <w:rFonts w:ascii="Calibri" w:hAnsi="Calibri" w:cs="Calibri"/>
              <w:sz w:val="14"/>
            </w:rPr>
          </w:pPr>
          <w:r w:rsidRPr="000D33AE">
            <w:rPr>
              <w:rFonts w:ascii="Calibri" w:hAnsi="Calibri" w:cs="Calibri"/>
              <w:b/>
              <w:sz w:val="14"/>
            </w:rPr>
            <w:t xml:space="preserve">File: </w:t>
          </w:r>
          <w:r w:rsidRPr="000D33AE">
            <w:rPr>
              <w:rFonts w:ascii="Calibri" w:hAnsi="Calibri" w:cs="Calibri"/>
              <w:sz w:val="14"/>
            </w:rPr>
            <w:t>1</w:t>
          </w:r>
          <w:r>
            <w:rPr>
              <w:rFonts w:ascii="Calibri" w:hAnsi="Calibri" w:cs="Calibri"/>
              <w:sz w:val="14"/>
            </w:rPr>
            <w:t>2</w:t>
          </w:r>
          <w:r w:rsidRPr="000D33AE">
            <w:rPr>
              <w:rFonts w:ascii="Calibri" w:hAnsi="Calibri" w:cs="Calibri"/>
              <w:sz w:val="14"/>
            </w:rPr>
            <w:t>.</w:t>
          </w:r>
          <w:r>
            <w:rPr>
              <w:rFonts w:ascii="Calibri" w:hAnsi="Calibri" w:cs="Calibri"/>
              <w:sz w:val="14"/>
            </w:rPr>
            <w:t>4</w:t>
          </w:r>
          <w:r w:rsidRPr="000D33AE">
            <w:rPr>
              <w:rFonts w:ascii="Calibri" w:hAnsi="Calibri" w:cs="Calibri"/>
              <w:sz w:val="14"/>
            </w:rPr>
            <w:t>.</w:t>
          </w:r>
          <w:r>
            <w:rPr>
              <w:rFonts w:ascii="Calibri" w:hAnsi="Calibri" w:cs="Calibri"/>
              <w:sz w:val="14"/>
            </w:rPr>
            <w:t>2 Lesson 22</w:t>
          </w:r>
          <w:r w:rsidRPr="000D33AE">
            <w:rPr>
              <w:rFonts w:ascii="Calibri" w:hAnsi="Calibri" w:cs="Calibri"/>
              <w:sz w:val="14"/>
            </w:rPr>
            <w:t xml:space="preserve"> </w:t>
          </w:r>
          <w:r w:rsidRPr="000D33AE">
            <w:rPr>
              <w:rFonts w:ascii="Calibri" w:hAnsi="Calibri" w:cs="Calibri"/>
              <w:b/>
              <w:sz w:val="14"/>
            </w:rPr>
            <w:t>Date:</w:t>
          </w:r>
          <w:r>
            <w:rPr>
              <w:rFonts w:ascii="Calibri" w:hAnsi="Calibri" w:cs="Calibri"/>
              <w:sz w:val="14"/>
            </w:rPr>
            <w:t xml:space="preserve"> 6</w:t>
          </w:r>
          <w:r w:rsidRPr="000D33AE">
            <w:rPr>
              <w:rFonts w:ascii="Calibri" w:hAnsi="Calibri" w:cs="Calibri"/>
              <w:sz w:val="14"/>
            </w:rPr>
            <w:t>/</w:t>
          </w:r>
          <w:r>
            <w:rPr>
              <w:rFonts w:ascii="Calibri" w:hAnsi="Calibri" w:cs="Calibri"/>
              <w:sz w:val="14"/>
            </w:rPr>
            <w:t>30</w:t>
          </w:r>
          <w:r w:rsidRPr="000D33AE">
            <w:rPr>
              <w:rFonts w:ascii="Calibri" w:hAnsi="Calibri" w:cs="Calibri"/>
              <w:sz w:val="14"/>
            </w:rPr>
            <w:t>/</w:t>
          </w:r>
          <w:r>
            <w:rPr>
              <w:rFonts w:ascii="Calibri" w:hAnsi="Calibri" w:cs="Calibri"/>
              <w:sz w:val="14"/>
            </w:rPr>
            <w:t>15</w:t>
          </w:r>
          <w:r w:rsidRPr="000D33AE">
            <w:rPr>
              <w:rFonts w:ascii="Calibri" w:hAnsi="Calibri" w:cs="Calibri"/>
              <w:sz w:val="14"/>
            </w:rPr>
            <w:t xml:space="preserve"> </w:t>
          </w:r>
          <w:r w:rsidRPr="000D33AE">
            <w:rPr>
              <w:rFonts w:ascii="Calibri" w:hAnsi="Calibri" w:cs="Calibri"/>
              <w:b/>
              <w:sz w:val="14"/>
            </w:rPr>
            <w:t>Classroom Use:</w:t>
          </w:r>
          <w:r>
            <w:rPr>
              <w:rFonts w:ascii="Calibri" w:hAnsi="Calibri" w:cs="Calibri"/>
              <w:sz w:val="14"/>
            </w:rPr>
            <w:t xml:space="preserve"> Starting 9</w:t>
          </w:r>
          <w:r w:rsidRPr="000D33AE">
            <w:rPr>
              <w:rFonts w:ascii="Calibri" w:hAnsi="Calibri" w:cs="Calibri"/>
              <w:sz w:val="14"/>
            </w:rPr>
            <w:t>/</w:t>
          </w:r>
          <w:r>
            <w:rPr>
              <w:rFonts w:ascii="Calibri" w:hAnsi="Calibri" w:cs="Calibri"/>
              <w:sz w:val="14"/>
            </w:rPr>
            <w:t>2015</w:t>
          </w:r>
          <w:r w:rsidRPr="000D33AE">
            <w:rPr>
              <w:rFonts w:ascii="Calibri" w:hAnsi="Calibri" w:cs="Calibri"/>
              <w:sz w:val="14"/>
            </w:rPr>
            <w:t xml:space="preserve"> </w:t>
          </w:r>
        </w:p>
        <w:p w14:paraId="53732D23" w14:textId="77777777" w:rsidR="00DB19BA" w:rsidRPr="00440948" w:rsidRDefault="00DB19BA" w:rsidP="00A72CA0">
          <w:pPr>
            <w:pStyle w:val="folio"/>
            <w:pBdr>
              <w:top w:val="none" w:sz="0" w:space="0" w:color="auto"/>
            </w:pBdr>
            <w:tabs>
              <w:tab w:val="clear" w:pos="6480"/>
              <w:tab w:val="clear" w:pos="10080"/>
            </w:tabs>
            <w:spacing w:before="0" w:after="0" w:line="200" w:lineRule="exact"/>
            <w:rPr>
              <w:rFonts w:ascii="Calibri" w:hAnsi="Calibri" w:cs="Calibri"/>
              <w:i/>
              <w:sz w:val="12"/>
            </w:rPr>
          </w:pPr>
          <w:r w:rsidRPr="000D33AE">
            <w:rPr>
              <w:rFonts w:ascii="Calibri" w:hAnsi="Calibri" w:cs="Calibri"/>
              <w:sz w:val="12"/>
            </w:rPr>
            <w:t xml:space="preserve">© </w:t>
          </w:r>
          <w:r>
            <w:rPr>
              <w:rFonts w:ascii="Calibri" w:hAnsi="Calibri" w:cs="Calibri"/>
              <w:sz w:val="12"/>
            </w:rPr>
            <w:t>2015</w:t>
          </w:r>
          <w:r w:rsidRPr="000D33AE">
            <w:rPr>
              <w:rFonts w:ascii="Calibri" w:hAnsi="Calibri" w:cs="Calibri"/>
              <w:sz w:val="12"/>
            </w:rPr>
            <w:t xml:space="preserve"> Public Consulting Group. </w:t>
          </w:r>
          <w:r w:rsidRPr="000D33AE">
            <w:rPr>
              <w:rFonts w:ascii="Calibri" w:hAnsi="Calibri" w:cs="Calibri"/>
              <w:i/>
              <w:sz w:val="12"/>
            </w:rPr>
            <w:t>This work is licensed under a</w:t>
          </w:r>
          <w:r w:rsidRPr="00440948">
            <w:rPr>
              <w:rFonts w:ascii="Calibri" w:hAnsi="Calibri" w:cs="Calibri"/>
              <w:i/>
              <w:sz w:val="12"/>
            </w:rPr>
            <w:t xml:space="preserve"> </w:t>
          </w:r>
        </w:p>
        <w:p w14:paraId="049768CB" w14:textId="77777777" w:rsidR="00DB19BA" w:rsidRDefault="00DB19BA" w:rsidP="00A72CA0">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3F9BD564" w14:textId="77777777" w:rsidR="00DB19BA" w:rsidRPr="002E4C92" w:rsidRDefault="00456A10" w:rsidP="00A72CA0">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DB19BA"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58562628" w14:textId="77777777" w:rsidR="00DB19BA" w:rsidRPr="002E4C92" w:rsidRDefault="00DB19BA" w:rsidP="00A72CA0">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7C02BBA6" w14:textId="77777777" w:rsidR="00DB19BA" w:rsidRPr="002E4C92" w:rsidRDefault="00DB19BA" w:rsidP="00A72CA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9CA1BFC" wp14:editId="29A05888">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ABBC98F" w14:textId="77777777" w:rsidR="00DB19BA" w:rsidRDefault="00DB1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CA26" w14:textId="77777777" w:rsidR="00DB19BA" w:rsidRPr="00563CB8" w:rsidRDefault="00DB19BA" w:rsidP="00E446A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DB19BA" w14:paraId="519C9889" w14:textId="77777777" w:rsidTr="00301BCC">
      <w:trPr>
        <w:trHeight w:val="705"/>
      </w:trPr>
      <w:tc>
        <w:tcPr>
          <w:tcW w:w="4484" w:type="dxa"/>
          <w:shd w:val="clear" w:color="auto" w:fill="auto"/>
          <w:vAlign w:val="center"/>
        </w:tcPr>
        <w:p w14:paraId="1FFCD405" w14:textId="77777777" w:rsidR="00DB19BA" w:rsidRPr="002E4C92" w:rsidRDefault="00DB19BA" w:rsidP="00301BCC">
          <w:pPr>
            <w:pStyle w:val="FooterText"/>
          </w:pPr>
          <w:r w:rsidRPr="002E4C92">
            <w:t>File:</w:t>
          </w:r>
          <w:r w:rsidRPr="0039525B">
            <w:rPr>
              <w:b w:val="0"/>
            </w:rPr>
            <w:t xml:space="preserve"> </w:t>
          </w:r>
          <w:r>
            <w:rPr>
              <w:b w:val="0"/>
            </w:rPr>
            <w:t>12.4.2</w:t>
          </w:r>
          <w:r w:rsidRPr="0039525B">
            <w:rPr>
              <w:b w:val="0"/>
            </w:rPr>
            <w:t xml:space="preserve"> Lesson </w:t>
          </w:r>
          <w:r>
            <w:rPr>
              <w:b w:val="0"/>
            </w:rPr>
            <w:t>22</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15E90D8" w14:textId="77777777" w:rsidR="00DB19BA" w:rsidRPr="0039525B" w:rsidRDefault="00DB19BA" w:rsidP="00301BCC">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63E77DD1" w14:textId="77777777" w:rsidR="00DB19BA" w:rsidRPr="0039525B" w:rsidRDefault="00DB19BA" w:rsidP="00301BCC">
          <w:pPr>
            <w:pStyle w:val="FooterText"/>
            <w:rPr>
              <w:b w:val="0"/>
              <w:i/>
            </w:rPr>
          </w:pPr>
          <w:r w:rsidRPr="0039525B">
            <w:rPr>
              <w:b w:val="0"/>
              <w:i/>
              <w:sz w:val="12"/>
            </w:rPr>
            <w:t>Creative Commons Attribution-NonCommercial-ShareAlike 3.0 Unported License</w:t>
          </w:r>
        </w:p>
        <w:p w14:paraId="42D2A27A" w14:textId="77777777" w:rsidR="00DB19BA" w:rsidRPr="002E4C92" w:rsidRDefault="00456A10" w:rsidP="00301BCC">
          <w:pPr>
            <w:pStyle w:val="FooterText"/>
          </w:pPr>
          <w:hyperlink r:id="rId1" w:history="1">
            <w:r w:rsidR="00DB19BA" w:rsidRPr="0043460D">
              <w:rPr>
                <w:rStyle w:val="Hyperlink"/>
                <w:sz w:val="12"/>
                <w:szCs w:val="12"/>
              </w:rPr>
              <w:t>http://creativecommons.org/licenses/by-nc-sa/3.0/</w:t>
            </w:r>
          </w:hyperlink>
        </w:p>
      </w:tc>
      <w:tc>
        <w:tcPr>
          <w:tcW w:w="614" w:type="dxa"/>
          <w:shd w:val="clear" w:color="auto" w:fill="auto"/>
          <w:vAlign w:val="center"/>
        </w:tcPr>
        <w:p w14:paraId="25AFFD36" w14:textId="77777777" w:rsidR="00DB19BA" w:rsidRPr="002E4C92" w:rsidRDefault="00DB19BA" w:rsidP="00301BC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56A10">
            <w:rPr>
              <w:rFonts w:ascii="Calibri" w:hAnsi="Calibri" w:cs="Calibri"/>
              <w:b/>
              <w:noProof/>
              <w:color w:val="1F4E79"/>
              <w:sz w:val="28"/>
            </w:rPr>
            <w:t>15</w:t>
          </w:r>
          <w:r w:rsidRPr="002E4C92">
            <w:rPr>
              <w:rFonts w:ascii="Calibri" w:hAnsi="Calibri" w:cs="Calibri"/>
              <w:b/>
              <w:color w:val="1F4E79"/>
              <w:sz w:val="28"/>
            </w:rPr>
            <w:fldChar w:fldCharType="end"/>
          </w:r>
        </w:p>
      </w:tc>
      <w:tc>
        <w:tcPr>
          <w:tcW w:w="4442" w:type="dxa"/>
          <w:shd w:val="clear" w:color="auto" w:fill="auto"/>
          <w:vAlign w:val="bottom"/>
        </w:tcPr>
        <w:p w14:paraId="6B91C0C1" w14:textId="77777777" w:rsidR="00DB19BA" w:rsidRPr="002E4C92" w:rsidRDefault="00DB19BA" w:rsidP="00301BC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1E45236" wp14:editId="2F3295B2">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7F949350" w14:textId="77777777" w:rsidR="00DB19BA" w:rsidRPr="008D5B21" w:rsidRDefault="00DB19BA"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C16A5" w14:textId="77777777" w:rsidR="007411A9" w:rsidRDefault="007411A9">
      <w:pPr>
        <w:spacing w:before="0" w:after="0" w:line="240" w:lineRule="auto"/>
      </w:pPr>
      <w:r>
        <w:separator/>
      </w:r>
    </w:p>
  </w:footnote>
  <w:footnote w:type="continuationSeparator" w:id="0">
    <w:p w14:paraId="6393B670" w14:textId="77777777" w:rsidR="007411A9" w:rsidRDefault="007411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2430"/>
      <w:gridCol w:w="3438"/>
    </w:tblGrid>
    <w:tr w:rsidR="00E9176F" w:rsidRPr="00E946A0" w14:paraId="67DDD15C" w14:textId="77777777" w:rsidTr="003C4EBD">
      <w:tc>
        <w:tcPr>
          <w:tcW w:w="3708" w:type="dxa"/>
        </w:tcPr>
        <w:p w14:paraId="2430B992" w14:textId="77777777" w:rsidR="00E9176F" w:rsidRPr="00563CB8" w:rsidRDefault="00E9176F" w:rsidP="003C4EBD">
          <w:pPr>
            <w:pStyle w:val="PageHeader"/>
          </w:pPr>
          <w:r w:rsidRPr="00563CB8">
            <w:t xml:space="preserve">NYS </w:t>
          </w:r>
          <w:r w:rsidRPr="00E946A0">
            <w:t>Common</w:t>
          </w:r>
          <w:r w:rsidRPr="00563CB8">
            <w:t xml:space="preserve"> Core ELA &amp; Literacy Curriculum</w:t>
          </w:r>
        </w:p>
      </w:tc>
      <w:tc>
        <w:tcPr>
          <w:tcW w:w="2430" w:type="dxa"/>
          <w:vAlign w:val="center"/>
        </w:tcPr>
        <w:p w14:paraId="7C4BD6A9" w14:textId="41AAE2E1" w:rsidR="00E9176F" w:rsidRPr="00563CB8" w:rsidRDefault="00E9176F" w:rsidP="003C4EBD">
          <w:pPr>
            <w:jc w:val="center"/>
          </w:pPr>
        </w:p>
      </w:tc>
      <w:tc>
        <w:tcPr>
          <w:tcW w:w="3438" w:type="dxa"/>
        </w:tcPr>
        <w:p w14:paraId="047717EF" w14:textId="12624327" w:rsidR="00E9176F" w:rsidRPr="00E946A0" w:rsidRDefault="00E9176F">
          <w:pPr>
            <w:pStyle w:val="PageHeader"/>
            <w:jc w:val="right"/>
            <w:rPr>
              <w:b w:val="0"/>
            </w:rPr>
          </w:pPr>
          <w:r>
            <w:rPr>
              <w:b w:val="0"/>
            </w:rPr>
            <w:t>Grade 12 • Module 4</w:t>
          </w:r>
          <w:r w:rsidRPr="00E946A0">
            <w:rPr>
              <w:b w:val="0"/>
            </w:rPr>
            <w:t xml:space="preserve">• Unit </w:t>
          </w:r>
          <w:r>
            <w:rPr>
              <w:b w:val="0"/>
            </w:rPr>
            <w:t>2 • Lesson 22</w:t>
          </w:r>
        </w:p>
      </w:tc>
    </w:tr>
  </w:tbl>
  <w:p w14:paraId="345FE614" w14:textId="77777777" w:rsidR="00E9176F" w:rsidRPr="007017EB" w:rsidRDefault="00E9176F">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DB19BA" w:rsidRPr="00563CB8" w14:paraId="6ABC7438" w14:textId="77777777">
      <w:tc>
        <w:tcPr>
          <w:tcW w:w="3708" w:type="dxa"/>
          <w:shd w:val="clear" w:color="auto" w:fill="auto"/>
        </w:tcPr>
        <w:p w14:paraId="57B5BF67" w14:textId="77777777" w:rsidR="00DB19BA" w:rsidRPr="00563CB8" w:rsidRDefault="00DB19BA" w:rsidP="00112676">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27CAE0D" w14:textId="77777777" w:rsidR="00DB19BA" w:rsidRPr="00563CB8" w:rsidRDefault="00DB19BA" w:rsidP="00112676">
          <w:pPr>
            <w:jc w:val="center"/>
          </w:pPr>
        </w:p>
      </w:tc>
      <w:tc>
        <w:tcPr>
          <w:tcW w:w="3438" w:type="dxa"/>
          <w:shd w:val="clear" w:color="auto" w:fill="auto"/>
        </w:tcPr>
        <w:p w14:paraId="342E2E8C" w14:textId="793B0B30" w:rsidR="00DB19BA" w:rsidRPr="00E946A0" w:rsidRDefault="00DB19BA" w:rsidP="00DB19BA">
          <w:pPr>
            <w:pStyle w:val="PageHeader"/>
            <w:jc w:val="right"/>
            <w:rPr>
              <w:b w:val="0"/>
            </w:rPr>
          </w:pPr>
          <w:r>
            <w:rPr>
              <w:b w:val="0"/>
            </w:rPr>
            <w:t>Grade 12 • Module 4</w:t>
          </w:r>
          <w:r w:rsidRPr="00E946A0">
            <w:rPr>
              <w:b w:val="0"/>
            </w:rPr>
            <w:t xml:space="preserve"> • Unit </w:t>
          </w:r>
          <w:r>
            <w:rPr>
              <w:b w:val="0"/>
            </w:rPr>
            <w:t>2</w:t>
          </w:r>
          <w:r w:rsidRPr="00E946A0">
            <w:rPr>
              <w:b w:val="0"/>
            </w:rPr>
            <w:t xml:space="preserve"> • Lesson</w:t>
          </w:r>
          <w:r>
            <w:rPr>
              <w:b w:val="0"/>
            </w:rPr>
            <w:t xml:space="preserve"> 22</w:t>
          </w:r>
        </w:p>
      </w:tc>
    </w:tr>
  </w:tbl>
  <w:p w14:paraId="5AC36D7F" w14:textId="77777777" w:rsidR="00DB19BA" w:rsidRDefault="00DB19BA" w:rsidP="00112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2430"/>
      <w:gridCol w:w="3438"/>
    </w:tblGrid>
    <w:tr w:rsidR="00DB19BA" w:rsidRPr="00E946A0" w14:paraId="7366151E" w14:textId="77777777" w:rsidTr="003C4EBD">
      <w:tc>
        <w:tcPr>
          <w:tcW w:w="3708" w:type="dxa"/>
        </w:tcPr>
        <w:p w14:paraId="3E045A7F" w14:textId="77777777" w:rsidR="00DB19BA" w:rsidRPr="00563CB8" w:rsidRDefault="00DB19BA" w:rsidP="003C4EBD">
          <w:pPr>
            <w:pStyle w:val="PageHeader"/>
          </w:pPr>
          <w:r w:rsidRPr="00563CB8">
            <w:t xml:space="preserve">NYS </w:t>
          </w:r>
          <w:r w:rsidRPr="00E946A0">
            <w:t>Common</w:t>
          </w:r>
          <w:r w:rsidRPr="00563CB8">
            <w:t xml:space="preserve"> Core ELA &amp; Literacy Curriculum</w:t>
          </w:r>
        </w:p>
      </w:tc>
      <w:tc>
        <w:tcPr>
          <w:tcW w:w="2430" w:type="dxa"/>
          <w:vAlign w:val="center"/>
        </w:tcPr>
        <w:p w14:paraId="48109B8B" w14:textId="77777777" w:rsidR="00DB19BA" w:rsidRPr="00563CB8" w:rsidRDefault="00DB19BA" w:rsidP="003C4EBD">
          <w:pPr>
            <w:jc w:val="center"/>
          </w:pPr>
        </w:p>
      </w:tc>
      <w:tc>
        <w:tcPr>
          <w:tcW w:w="3438" w:type="dxa"/>
        </w:tcPr>
        <w:p w14:paraId="402C026E" w14:textId="77777777" w:rsidR="00DB19BA" w:rsidRPr="00E946A0" w:rsidRDefault="00DB19BA">
          <w:pPr>
            <w:pStyle w:val="PageHeader"/>
            <w:jc w:val="right"/>
            <w:rPr>
              <w:b w:val="0"/>
            </w:rPr>
          </w:pPr>
          <w:r>
            <w:rPr>
              <w:b w:val="0"/>
            </w:rPr>
            <w:t>Grade 12 • Module 4</w:t>
          </w:r>
          <w:r w:rsidRPr="00E946A0">
            <w:rPr>
              <w:b w:val="0"/>
            </w:rPr>
            <w:t xml:space="preserve">• Unit </w:t>
          </w:r>
          <w:r>
            <w:rPr>
              <w:b w:val="0"/>
            </w:rPr>
            <w:t>2 • Lesson 22</w:t>
          </w:r>
        </w:p>
      </w:tc>
    </w:tr>
  </w:tbl>
  <w:p w14:paraId="2E4513F7" w14:textId="77777777" w:rsidR="00DB19BA" w:rsidRPr="007017EB" w:rsidRDefault="00DB19B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3F66B17C"/>
    <w:lvl w:ilvl="0" w:tplc="4F469282">
      <w:start w:val="1"/>
      <w:numFmt w:val="bullet"/>
      <w:lvlText w:val=""/>
      <w:lvlJc w:val="left"/>
      <w:pPr>
        <w:ind w:left="1440" w:hanging="360"/>
      </w:pPr>
      <w:rPr>
        <w:rFonts w:ascii="Wingdings" w:hAnsi="Wingdings" w:hint="default"/>
      </w:rPr>
    </w:lvl>
    <w:lvl w:ilvl="1" w:tplc="891EB88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105F87"/>
    <w:multiLevelType w:val="hybridMultilevel"/>
    <w:tmpl w:val="187CCA64"/>
    <w:lvl w:ilvl="0" w:tplc="2E7A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D424E3CC"/>
    <w:lvl w:ilvl="0" w:tplc="B888D67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E4ECD5DC"/>
    <w:lvl w:ilvl="0" w:tplc="0986DD14">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lvlOverride w:ilvl="0">
      <w:startOverride w:val="1"/>
    </w:lvlOverride>
  </w:num>
  <w:num w:numId="3">
    <w:abstractNumId w:val="9"/>
    <w:lvlOverride w:ilvl="0">
      <w:startOverride w:val="1"/>
    </w:lvlOverride>
  </w:num>
  <w:num w:numId="4">
    <w:abstractNumId w:val="5"/>
  </w:num>
  <w:num w:numId="5">
    <w:abstractNumId w:val="2"/>
  </w:num>
  <w:num w:numId="6">
    <w:abstractNumId w:val="0"/>
  </w:num>
  <w:num w:numId="7">
    <w:abstractNumId w:val="7"/>
  </w:num>
  <w:num w:numId="8">
    <w:abstractNumId w:val="3"/>
    <w:lvlOverride w:ilvl="0">
      <w:startOverride w:val="1"/>
    </w:lvlOverride>
  </w:num>
  <w:num w:numId="9">
    <w:abstractNumId w:val="8"/>
  </w:num>
  <w:num w:numId="10">
    <w:abstractNumId w:val="1"/>
  </w:num>
  <w:num w:numId="11">
    <w:abstractNumId w:val="6"/>
  </w:num>
  <w:num w:numId="12">
    <w:abstractNumId w:val="9"/>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20EEF"/>
    <w:rsid w:val="000231D1"/>
    <w:rsid w:val="0002642D"/>
    <w:rsid w:val="00031EC1"/>
    <w:rsid w:val="0003387A"/>
    <w:rsid w:val="00036404"/>
    <w:rsid w:val="0004122E"/>
    <w:rsid w:val="00043053"/>
    <w:rsid w:val="0004438F"/>
    <w:rsid w:val="00046A18"/>
    <w:rsid w:val="00046F6C"/>
    <w:rsid w:val="00047C1F"/>
    <w:rsid w:val="000508EB"/>
    <w:rsid w:val="000543E1"/>
    <w:rsid w:val="0005676B"/>
    <w:rsid w:val="00057BDB"/>
    <w:rsid w:val="00060B84"/>
    <w:rsid w:val="0006165A"/>
    <w:rsid w:val="0006358A"/>
    <w:rsid w:val="00070F76"/>
    <w:rsid w:val="00080BC0"/>
    <w:rsid w:val="000818C4"/>
    <w:rsid w:val="000832EC"/>
    <w:rsid w:val="00083E23"/>
    <w:rsid w:val="000855BC"/>
    <w:rsid w:val="00090996"/>
    <w:rsid w:val="00094B57"/>
    <w:rsid w:val="00095E4E"/>
    <w:rsid w:val="00097A27"/>
    <w:rsid w:val="000A1761"/>
    <w:rsid w:val="000A1A47"/>
    <w:rsid w:val="000B2D26"/>
    <w:rsid w:val="000B3273"/>
    <w:rsid w:val="000B3A6F"/>
    <w:rsid w:val="000B5248"/>
    <w:rsid w:val="000C08D3"/>
    <w:rsid w:val="000C1837"/>
    <w:rsid w:val="000C2AE1"/>
    <w:rsid w:val="000C646E"/>
    <w:rsid w:val="000D5761"/>
    <w:rsid w:val="000D77A5"/>
    <w:rsid w:val="000E15A7"/>
    <w:rsid w:val="000E3721"/>
    <w:rsid w:val="000E4705"/>
    <w:rsid w:val="000E59E5"/>
    <w:rsid w:val="000F0378"/>
    <w:rsid w:val="000F3FF6"/>
    <w:rsid w:val="000F53CF"/>
    <w:rsid w:val="00100120"/>
    <w:rsid w:val="001015C9"/>
    <w:rsid w:val="001019B9"/>
    <w:rsid w:val="00101F44"/>
    <w:rsid w:val="00111311"/>
    <w:rsid w:val="00112B0B"/>
    <w:rsid w:val="00115A38"/>
    <w:rsid w:val="00115D30"/>
    <w:rsid w:val="00116077"/>
    <w:rsid w:val="00116E07"/>
    <w:rsid w:val="00122394"/>
    <w:rsid w:val="001238B7"/>
    <w:rsid w:val="0012429B"/>
    <w:rsid w:val="00125A35"/>
    <w:rsid w:val="00126F20"/>
    <w:rsid w:val="00127AE3"/>
    <w:rsid w:val="00141375"/>
    <w:rsid w:val="001416AF"/>
    <w:rsid w:val="00144B97"/>
    <w:rsid w:val="00145B9D"/>
    <w:rsid w:val="00145FF1"/>
    <w:rsid w:val="00146AF9"/>
    <w:rsid w:val="00146B4D"/>
    <w:rsid w:val="00153602"/>
    <w:rsid w:val="00154258"/>
    <w:rsid w:val="00154D96"/>
    <w:rsid w:val="00155CFC"/>
    <w:rsid w:val="001563BC"/>
    <w:rsid w:val="00156579"/>
    <w:rsid w:val="001572AB"/>
    <w:rsid w:val="00160E01"/>
    <w:rsid w:val="00161799"/>
    <w:rsid w:val="00161B21"/>
    <w:rsid w:val="001625A3"/>
    <w:rsid w:val="001647E2"/>
    <w:rsid w:val="001732F0"/>
    <w:rsid w:val="001735F1"/>
    <w:rsid w:val="001809D1"/>
    <w:rsid w:val="00183063"/>
    <w:rsid w:val="00183B86"/>
    <w:rsid w:val="00185274"/>
    <w:rsid w:val="00187013"/>
    <w:rsid w:val="001872DA"/>
    <w:rsid w:val="00187C48"/>
    <w:rsid w:val="001A0745"/>
    <w:rsid w:val="001A1C7A"/>
    <w:rsid w:val="001A288A"/>
    <w:rsid w:val="001A53D2"/>
    <w:rsid w:val="001A5758"/>
    <w:rsid w:val="001A5A77"/>
    <w:rsid w:val="001B1ED6"/>
    <w:rsid w:val="001B31FF"/>
    <w:rsid w:val="001B4243"/>
    <w:rsid w:val="001B4641"/>
    <w:rsid w:val="001B55C7"/>
    <w:rsid w:val="001B562E"/>
    <w:rsid w:val="001B6135"/>
    <w:rsid w:val="001B7319"/>
    <w:rsid w:val="001C005E"/>
    <w:rsid w:val="001C3A4C"/>
    <w:rsid w:val="001C5E10"/>
    <w:rsid w:val="001C62CF"/>
    <w:rsid w:val="001D10F0"/>
    <w:rsid w:val="001D110C"/>
    <w:rsid w:val="001D2D9E"/>
    <w:rsid w:val="001D49C9"/>
    <w:rsid w:val="001D66D2"/>
    <w:rsid w:val="001D7577"/>
    <w:rsid w:val="001E4CD3"/>
    <w:rsid w:val="001E6434"/>
    <w:rsid w:val="001E6ED4"/>
    <w:rsid w:val="001F1F31"/>
    <w:rsid w:val="001F3D1E"/>
    <w:rsid w:val="001F49AB"/>
    <w:rsid w:val="001F4E63"/>
    <w:rsid w:val="001F6272"/>
    <w:rsid w:val="001F672B"/>
    <w:rsid w:val="00200217"/>
    <w:rsid w:val="002004A8"/>
    <w:rsid w:val="00204115"/>
    <w:rsid w:val="00204A9B"/>
    <w:rsid w:val="00204F11"/>
    <w:rsid w:val="002050EB"/>
    <w:rsid w:val="00205A1C"/>
    <w:rsid w:val="002062CC"/>
    <w:rsid w:val="00211F2A"/>
    <w:rsid w:val="00213627"/>
    <w:rsid w:val="002139D3"/>
    <w:rsid w:val="00220394"/>
    <w:rsid w:val="002223E5"/>
    <w:rsid w:val="00223C6A"/>
    <w:rsid w:val="00225FF2"/>
    <w:rsid w:val="002275AA"/>
    <w:rsid w:val="00227ED3"/>
    <w:rsid w:val="00231F9B"/>
    <w:rsid w:val="002337BE"/>
    <w:rsid w:val="00234057"/>
    <w:rsid w:val="00234614"/>
    <w:rsid w:val="00236C1E"/>
    <w:rsid w:val="0024320B"/>
    <w:rsid w:val="002533D0"/>
    <w:rsid w:val="002545FE"/>
    <w:rsid w:val="0025600D"/>
    <w:rsid w:val="0025646C"/>
    <w:rsid w:val="0026030B"/>
    <w:rsid w:val="00263252"/>
    <w:rsid w:val="002637FE"/>
    <w:rsid w:val="00263BC0"/>
    <w:rsid w:val="002649F5"/>
    <w:rsid w:val="00265A5F"/>
    <w:rsid w:val="00265F2C"/>
    <w:rsid w:val="00266F09"/>
    <w:rsid w:val="00271831"/>
    <w:rsid w:val="002734E9"/>
    <w:rsid w:val="002768F5"/>
    <w:rsid w:val="00282F7B"/>
    <w:rsid w:val="00295974"/>
    <w:rsid w:val="002A0646"/>
    <w:rsid w:val="002A36CB"/>
    <w:rsid w:val="002A6BFB"/>
    <w:rsid w:val="002B735A"/>
    <w:rsid w:val="002B780A"/>
    <w:rsid w:val="002C06A7"/>
    <w:rsid w:val="002C084D"/>
    <w:rsid w:val="002C1DE4"/>
    <w:rsid w:val="002C64E4"/>
    <w:rsid w:val="002D246B"/>
    <w:rsid w:val="002D31F3"/>
    <w:rsid w:val="002D3454"/>
    <w:rsid w:val="002D35D2"/>
    <w:rsid w:val="002D36F1"/>
    <w:rsid w:val="002D43F8"/>
    <w:rsid w:val="002D4C6C"/>
    <w:rsid w:val="002D4F22"/>
    <w:rsid w:val="002D716A"/>
    <w:rsid w:val="002D7299"/>
    <w:rsid w:val="002E6180"/>
    <w:rsid w:val="002E792A"/>
    <w:rsid w:val="002F054E"/>
    <w:rsid w:val="002F09AF"/>
    <w:rsid w:val="00301BCC"/>
    <w:rsid w:val="0030201C"/>
    <w:rsid w:val="00302A12"/>
    <w:rsid w:val="003034D7"/>
    <w:rsid w:val="00303DC6"/>
    <w:rsid w:val="003057BC"/>
    <w:rsid w:val="00305DDF"/>
    <w:rsid w:val="00310361"/>
    <w:rsid w:val="003108B7"/>
    <w:rsid w:val="00310EA3"/>
    <w:rsid w:val="00315F37"/>
    <w:rsid w:val="0031633F"/>
    <w:rsid w:val="00320528"/>
    <w:rsid w:val="00324874"/>
    <w:rsid w:val="003252AE"/>
    <w:rsid w:val="00326C8C"/>
    <w:rsid w:val="00330818"/>
    <w:rsid w:val="0033286D"/>
    <w:rsid w:val="00337387"/>
    <w:rsid w:val="00337EAD"/>
    <w:rsid w:val="00341F48"/>
    <w:rsid w:val="00345235"/>
    <w:rsid w:val="00345AF6"/>
    <w:rsid w:val="003470DF"/>
    <w:rsid w:val="00350DF4"/>
    <w:rsid w:val="00352B48"/>
    <w:rsid w:val="00353609"/>
    <w:rsid w:val="00354CD0"/>
    <w:rsid w:val="0035650C"/>
    <w:rsid w:val="00356608"/>
    <w:rsid w:val="00356F91"/>
    <w:rsid w:val="003576E9"/>
    <w:rsid w:val="00362BBB"/>
    <w:rsid w:val="0036446B"/>
    <w:rsid w:val="003653BD"/>
    <w:rsid w:val="003674F3"/>
    <w:rsid w:val="00370D1C"/>
    <w:rsid w:val="00370F6F"/>
    <w:rsid w:val="00375253"/>
    <w:rsid w:val="00377A21"/>
    <w:rsid w:val="00380A5D"/>
    <w:rsid w:val="0038309B"/>
    <w:rsid w:val="00383F16"/>
    <w:rsid w:val="003863B5"/>
    <w:rsid w:val="00387015"/>
    <w:rsid w:val="003959B5"/>
    <w:rsid w:val="003967C0"/>
    <w:rsid w:val="00397B54"/>
    <w:rsid w:val="003A29A0"/>
    <w:rsid w:val="003A2F09"/>
    <w:rsid w:val="003A326E"/>
    <w:rsid w:val="003A38AA"/>
    <w:rsid w:val="003A3C77"/>
    <w:rsid w:val="003A3E60"/>
    <w:rsid w:val="003A5917"/>
    <w:rsid w:val="003B1586"/>
    <w:rsid w:val="003B5463"/>
    <w:rsid w:val="003B6FFF"/>
    <w:rsid w:val="003C20C2"/>
    <w:rsid w:val="003C2AD4"/>
    <w:rsid w:val="003C31A6"/>
    <w:rsid w:val="003C4892"/>
    <w:rsid w:val="003C4EBD"/>
    <w:rsid w:val="003C6AF5"/>
    <w:rsid w:val="003D0204"/>
    <w:rsid w:val="003D093F"/>
    <w:rsid w:val="003D0C23"/>
    <w:rsid w:val="003D2A55"/>
    <w:rsid w:val="003D2FDB"/>
    <w:rsid w:val="003D3952"/>
    <w:rsid w:val="003D4268"/>
    <w:rsid w:val="003D5C96"/>
    <w:rsid w:val="003E0C13"/>
    <w:rsid w:val="003E0CF3"/>
    <w:rsid w:val="003E2F2C"/>
    <w:rsid w:val="003F3D54"/>
    <w:rsid w:val="003F4B3D"/>
    <w:rsid w:val="003F4D89"/>
    <w:rsid w:val="003F5348"/>
    <w:rsid w:val="003F6B6D"/>
    <w:rsid w:val="003F6F3F"/>
    <w:rsid w:val="00401D70"/>
    <w:rsid w:val="004048A4"/>
    <w:rsid w:val="00410CA1"/>
    <w:rsid w:val="004126EE"/>
    <w:rsid w:val="004140B1"/>
    <w:rsid w:val="00414BCE"/>
    <w:rsid w:val="004165E9"/>
    <w:rsid w:val="00417287"/>
    <w:rsid w:val="004230D5"/>
    <w:rsid w:val="00427054"/>
    <w:rsid w:val="00432F50"/>
    <w:rsid w:val="00434BC9"/>
    <w:rsid w:val="00435493"/>
    <w:rsid w:val="0043754F"/>
    <w:rsid w:val="0044185A"/>
    <w:rsid w:val="0044225A"/>
    <w:rsid w:val="00442F6B"/>
    <w:rsid w:val="0044444F"/>
    <w:rsid w:val="0044455F"/>
    <w:rsid w:val="00445E46"/>
    <w:rsid w:val="004471FA"/>
    <w:rsid w:val="004505F1"/>
    <w:rsid w:val="00450813"/>
    <w:rsid w:val="0045205C"/>
    <w:rsid w:val="00456A10"/>
    <w:rsid w:val="00464259"/>
    <w:rsid w:val="0046482B"/>
    <w:rsid w:val="00465CC8"/>
    <w:rsid w:val="00470293"/>
    <w:rsid w:val="004723BC"/>
    <w:rsid w:val="0047332C"/>
    <w:rsid w:val="0047422E"/>
    <w:rsid w:val="00474C14"/>
    <w:rsid w:val="00476D29"/>
    <w:rsid w:val="004811FB"/>
    <w:rsid w:val="0049357F"/>
    <w:rsid w:val="00493973"/>
    <w:rsid w:val="00494865"/>
    <w:rsid w:val="004958E8"/>
    <w:rsid w:val="0049610F"/>
    <w:rsid w:val="004979ED"/>
    <w:rsid w:val="004A0718"/>
    <w:rsid w:val="004A20E9"/>
    <w:rsid w:val="004A55B1"/>
    <w:rsid w:val="004B2082"/>
    <w:rsid w:val="004B4E58"/>
    <w:rsid w:val="004C0095"/>
    <w:rsid w:val="004C3080"/>
    <w:rsid w:val="004C7061"/>
    <w:rsid w:val="004D51F2"/>
    <w:rsid w:val="004D6F8E"/>
    <w:rsid w:val="004E00F7"/>
    <w:rsid w:val="004E0EAC"/>
    <w:rsid w:val="004E10BB"/>
    <w:rsid w:val="004F1C07"/>
    <w:rsid w:val="004F6B2B"/>
    <w:rsid w:val="004F7274"/>
    <w:rsid w:val="00501057"/>
    <w:rsid w:val="005069F0"/>
    <w:rsid w:val="00512FA5"/>
    <w:rsid w:val="00516331"/>
    <w:rsid w:val="005178AD"/>
    <w:rsid w:val="005201D0"/>
    <w:rsid w:val="00537A7C"/>
    <w:rsid w:val="005416B9"/>
    <w:rsid w:val="00542863"/>
    <w:rsid w:val="00544860"/>
    <w:rsid w:val="00545B8D"/>
    <w:rsid w:val="00552569"/>
    <w:rsid w:val="00553B5D"/>
    <w:rsid w:val="00553DD8"/>
    <w:rsid w:val="00553E95"/>
    <w:rsid w:val="0055434D"/>
    <w:rsid w:val="00555922"/>
    <w:rsid w:val="0055710A"/>
    <w:rsid w:val="00557A1F"/>
    <w:rsid w:val="00557E1C"/>
    <w:rsid w:val="0056074C"/>
    <w:rsid w:val="005609E0"/>
    <w:rsid w:val="00563356"/>
    <w:rsid w:val="0056371A"/>
    <w:rsid w:val="00567532"/>
    <w:rsid w:val="005715B0"/>
    <w:rsid w:val="005733BA"/>
    <w:rsid w:val="00573C8B"/>
    <w:rsid w:val="00577ECD"/>
    <w:rsid w:val="005800B0"/>
    <w:rsid w:val="0058036A"/>
    <w:rsid w:val="00581EE3"/>
    <w:rsid w:val="00584723"/>
    <w:rsid w:val="005869E2"/>
    <w:rsid w:val="00586A55"/>
    <w:rsid w:val="0059011D"/>
    <w:rsid w:val="00594058"/>
    <w:rsid w:val="005A1989"/>
    <w:rsid w:val="005A1E4D"/>
    <w:rsid w:val="005A4FB3"/>
    <w:rsid w:val="005A6692"/>
    <w:rsid w:val="005B02C0"/>
    <w:rsid w:val="005B2985"/>
    <w:rsid w:val="005B4F86"/>
    <w:rsid w:val="005B5363"/>
    <w:rsid w:val="005B593C"/>
    <w:rsid w:val="005B6A81"/>
    <w:rsid w:val="005C318E"/>
    <w:rsid w:val="005C4ABF"/>
    <w:rsid w:val="005C5619"/>
    <w:rsid w:val="005C6449"/>
    <w:rsid w:val="005C6EE8"/>
    <w:rsid w:val="005D14F9"/>
    <w:rsid w:val="005D5D2F"/>
    <w:rsid w:val="005E0BBB"/>
    <w:rsid w:val="005E31ED"/>
    <w:rsid w:val="005E3567"/>
    <w:rsid w:val="005E371A"/>
    <w:rsid w:val="005E766B"/>
    <w:rsid w:val="005E77AE"/>
    <w:rsid w:val="005F1C4C"/>
    <w:rsid w:val="005F1EE6"/>
    <w:rsid w:val="005F5428"/>
    <w:rsid w:val="00602411"/>
    <w:rsid w:val="00602C05"/>
    <w:rsid w:val="0060306F"/>
    <w:rsid w:val="006038B1"/>
    <w:rsid w:val="00604719"/>
    <w:rsid w:val="00612618"/>
    <w:rsid w:val="00622A01"/>
    <w:rsid w:val="00623BAE"/>
    <w:rsid w:val="00626163"/>
    <w:rsid w:val="00627231"/>
    <w:rsid w:val="00631DEF"/>
    <w:rsid w:val="006328C1"/>
    <w:rsid w:val="006364C8"/>
    <w:rsid w:val="00636743"/>
    <w:rsid w:val="006378B3"/>
    <w:rsid w:val="0064152E"/>
    <w:rsid w:val="00641CF4"/>
    <w:rsid w:val="00643993"/>
    <w:rsid w:val="00643C8E"/>
    <w:rsid w:val="00644406"/>
    <w:rsid w:val="00644A8E"/>
    <w:rsid w:val="00646778"/>
    <w:rsid w:val="006536C9"/>
    <w:rsid w:val="0065536D"/>
    <w:rsid w:val="00656C37"/>
    <w:rsid w:val="00663BE5"/>
    <w:rsid w:val="00666665"/>
    <w:rsid w:val="006674C5"/>
    <w:rsid w:val="0067054B"/>
    <w:rsid w:val="0067183E"/>
    <w:rsid w:val="00674229"/>
    <w:rsid w:val="006775DE"/>
    <w:rsid w:val="00680581"/>
    <w:rsid w:val="006805A1"/>
    <w:rsid w:val="006828B4"/>
    <w:rsid w:val="00690873"/>
    <w:rsid w:val="0069091C"/>
    <w:rsid w:val="00691712"/>
    <w:rsid w:val="006919CF"/>
    <w:rsid w:val="00695F0B"/>
    <w:rsid w:val="006A5C67"/>
    <w:rsid w:val="006A7D66"/>
    <w:rsid w:val="006B3579"/>
    <w:rsid w:val="006B6A1A"/>
    <w:rsid w:val="006C0B6B"/>
    <w:rsid w:val="006C1DEF"/>
    <w:rsid w:val="006C539D"/>
    <w:rsid w:val="006C546E"/>
    <w:rsid w:val="006C6D2A"/>
    <w:rsid w:val="006D082E"/>
    <w:rsid w:val="006D2449"/>
    <w:rsid w:val="006D5F72"/>
    <w:rsid w:val="006D608C"/>
    <w:rsid w:val="006D60F6"/>
    <w:rsid w:val="006E07FB"/>
    <w:rsid w:val="006E2850"/>
    <w:rsid w:val="006E3657"/>
    <w:rsid w:val="006E3FCD"/>
    <w:rsid w:val="006E5E5B"/>
    <w:rsid w:val="006E7923"/>
    <w:rsid w:val="006F0555"/>
    <w:rsid w:val="006F07FF"/>
    <w:rsid w:val="006F1E5E"/>
    <w:rsid w:val="00700E3F"/>
    <w:rsid w:val="007017EB"/>
    <w:rsid w:val="00702A79"/>
    <w:rsid w:val="007049E2"/>
    <w:rsid w:val="0070606C"/>
    <w:rsid w:val="00721F0B"/>
    <w:rsid w:val="00722EFB"/>
    <w:rsid w:val="0072338A"/>
    <w:rsid w:val="00730318"/>
    <w:rsid w:val="0073167B"/>
    <w:rsid w:val="0073312D"/>
    <w:rsid w:val="00733B83"/>
    <w:rsid w:val="007356E7"/>
    <w:rsid w:val="0074045E"/>
    <w:rsid w:val="007411A9"/>
    <w:rsid w:val="0074679F"/>
    <w:rsid w:val="00747B7D"/>
    <w:rsid w:val="00747C61"/>
    <w:rsid w:val="007525A3"/>
    <w:rsid w:val="00752858"/>
    <w:rsid w:val="0075290E"/>
    <w:rsid w:val="00752DF9"/>
    <w:rsid w:val="00755D08"/>
    <w:rsid w:val="00755F4D"/>
    <w:rsid w:val="00762B0D"/>
    <w:rsid w:val="00763C0D"/>
    <w:rsid w:val="007656D7"/>
    <w:rsid w:val="00766031"/>
    <w:rsid w:val="00771333"/>
    <w:rsid w:val="00773F74"/>
    <w:rsid w:val="0078705E"/>
    <w:rsid w:val="00790684"/>
    <w:rsid w:val="00790BCC"/>
    <w:rsid w:val="00792515"/>
    <w:rsid w:val="007935C6"/>
    <w:rsid w:val="00794082"/>
    <w:rsid w:val="00797255"/>
    <w:rsid w:val="00797993"/>
    <w:rsid w:val="00797F3C"/>
    <w:rsid w:val="007A6A37"/>
    <w:rsid w:val="007B1B5B"/>
    <w:rsid w:val="007B29F9"/>
    <w:rsid w:val="007B3AB5"/>
    <w:rsid w:val="007B75B2"/>
    <w:rsid w:val="007C05DE"/>
    <w:rsid w:val="007C3936"/>
    <w:rsid w:val="007D0A35"/>
    <w:rsid w:val="007D2598"/>
    <w:rsid w:val="007D3676"/>
    <w:rsid w:val="007E211F"/>
    <w:rsid w:val="007E2411"/>
    <w:rsid w:val="007E484F"/>
    <w:rsid w:val="007E690E"/>
    <w:rsid w:val="007F3524"/>
    <w:rsid w:val="00801326"/>
    <w:rsid w:val="00805FBC"/>
    <w:rsid w:val="00807F20"/>
    <w:rsid w:val="0081139A"/>
    <w:rsid w:val="00812B2B"/>
    <w:rsid w:val="00816DDF"/>
    <w:rsid w:val="00820C9E"/>
    <w:rsid w:val="008269D0"/>
    <w:rsid w:val="0083406B"/>
    <w:rsid w:val="00844C04"/>
    <w:rsid w:val="0085348B"/>
    <w:rsid w:val="0085375B"/>
    <w:rsid w:val="00853A55"/>
    <w:rsid w:val="00853A7F"/>
    <w:rsid w:val="00854920"/>
    <w:rsid w:val="00854D33"/>
    <w:rsid w:val="0085532C"/>
    <w:rsid w:val="00863E02"/>
    <w:rsid w:val="00864F11"/>
    <w:rsid w:val="00867024"/>
    <w:rsid w:val="00867565"/>
    <w:rsid w:val="008710E9"/>
    <w:rsid w:val="008720DE"/>
    <w:rsid w:val="008765B2"/>
    <w:rsid w:val="00882589"/>
    <w:rsid w:val="008828C5"/>
    <w:rsid w:val="00883888"/>
    <w:rsid w:val="0088407A"/>
    <w:rsid w:val="008874D0"/>
    <w:rsid w:val="00887563"/>
    <w:rsid w:val="00890FB4"/>
    <w:rsid w:val="00892DB4"/>
    <w:rsid w:val="008931AD"/>
    <w:rsid w:val="0089321B"/>
    <w:rsid w:val="00895014"/>
    <w:rsid w:val="00896E9E"/>
    <w:rsid w:val="008A0FC9"/>
    <w:rsid w:val="008A0FF2"/>
    <w:rsid w:val="008A670C"/>
    <w:rsid w:val="008A6A18"/>
    <w:rsid w:val="008A7FCA"/>
    <w:rsid w:val="008B03F6"/>
    <w:rsid w:val="008B4E29"/>
    <w:rsid w:val="008B5A90"/>
    <w:rsid w:val="008B6AD2"/>
    <w:rsid w:val="008B7D47"/>
    <w:rsid w:val="008C2992"/>
    <w:rsid w:val="008C43BC"/>
    <w:rsid w:val="008C44C4"/>
    <w:rsid w:val="008C5560"/>
    <w:rsid w:val="008D5543"/>
    <w:rsid w:val="008D5B21"/>
    <w:rsid w:val="008D6789"/>
    <w:rsid w:val="008E0122"/>
    <w:rsid w:val="008E1F7B"/>
    <w:rsid w:val="008E424A"/>
    <w:rsid w:val="008E4DDA"/>
    <w:rsid w:val="008F46C1"/>
    <w:rsid w:val="008F5610"/>
    <w:rsid w:val="00902CF8"/>
    <w:rsid w:val="00904FF7"/>
    <w:rsid w:val="00906341"/>
    <w:rsid w:val="00911158"/>
    <w:rsid w:val="00912B90"/>
    <w:rsid w:val="00916298"/>
    <w:rsid w:val="0091772D"/>
    <w:rsid w:val="0092053A"/>
    <w:rsid w:val="00921FF0"/>
    <w:rsid w:val="009272BB"/>
    <w:rsid w:val="00930E2C"/>
    <w:rsid w:val="00931C4F"/>
    <w:rsid w:val="00932408"/>
    <w:rsid w:val="0093255E"/>
    <w:rsid w:val="00934072"/>
    <w:rsid w:val="00936E52"/>
    <w:rsid w:val="0094116F"/>
    <w:rsid w:val="00941265"/>
    <w:rsid w:val="00941A4F"/>
    <w:rsid w:val="00944A3C"/>
    <w:rsid w:val="009450B7"/>
    <w:rsid w:val="009450F1"/>
    <w:rsid w:val="00946287"/>
    <w:rsid w:val="009504F8"/>
    <w:rsid w:val="00951397"/>
    <w:rsid w:val="0095514D"/>
    <w:rsid w:val="0096031F"/>
    <w:rsid w:val="0096159E"/>
    <w:rsid w:val="009643BF"/>
    <w:rsid w:val="00970C2B"/>
    <w:rsid w:val="00972802"/>
    <w:rsid w:val="00973319"/>
    <w:rsid w:val="00974151"/>
    <w:rsid w:val="009771CC"/>
    <w:rsid w:val="009822AE"/>
    <w:rsid w:val="00982307"/>
    <w:rsid w:val="00982AD5"/>
    <w:rsid w:val="00984800"/>
    <w:rsid w:val="0098497B"/>
    <w:rsid w:val="00987D81"/>
    <w:rsid w:val="009912DC"/>
    <w:rsid w:val="00991A16"/>
    <w:rsid w:val="00992515"/>
    <w:rsid w:val="009925B6"/>
    <w:rsid w:val="00993A6D"/>
    <w:rsid w:val="00993F77"/>
    <w:rsid w:val="009959D1"/>
    <w:rsid w:val="00996549"/>
    <w:rsid w:val="009973FF"/>
    <w:rsid w:val="009A1945"/>
    <w:rsid w:val="009B0386"/>
    <w:rsid w:val="009B08B3"/>
    <w:rsid w:val="009B1C72"/>
    <w:rsid w:val="009B1F5D"/>
    <w:rsid w:val="009B24CF"/>
    <w:rsid w:val="009B277E"/>
    <w:rsid w:val="009B7466"/>
    <w:rsid w:val="009B7546"/>
    <w:rsid w:val="009C6E6D"/>
    <w:rsid w:val="009D0840"/>
    <w:rsid w:val="009D0C40"/>
    <w:rsid w:val="009D1D0F"/>
    <w:rsid w:val="009D5085"/>
    <w:rsid w:val="009D62E0"/>
    <w:rsid w:val="009D7BBF"/>
    <w:rsid w:val="009E0551"/>
    <w:rsid w:val="009E2439"/>
    <w:rsid w:val="009E40EA"/>
    <w:rsid w:val="009E4404"/>
    <w:rsid w:val="009E4CAB"/>
    <w:rsid w:val="009E6642"/>
    <w:rsid w:val="009E7956"/>
    <w:rsid w:val="009F2BFC"/>
    <w:rsid w:val="00A0029B"/>
    <w:rsid w:val="00A01AEA"/>
    <w:rsid w:val="00A111ED"/>
    <w:rsid w:val="00A11587"/>
    <w:rsid w:val="00A12DB5"/>
    <w:rsid w:val="00A15458"/>
    <w:rsid w:val="00A16356"/>
    <w:rsid w:val="00A27948"/>
    <w:rsid w:val="00A31A6B"/>
    <w:rsid w:val="00A326C4"/>
    <w:rsid w:val="00A33219"/>
    <w:rsid w:val="00A332B1"/>
    <w:rsid w:val="00A336E4"/>
    <w:rsid w:val="00A33F54"/>
    <w:rsid w:val="00A374FE"/>
    <w:rsid w:val="00A40188"/>
    <w:rsid w:val="00A44A56"/>
    <w:rsid w:val="00A47425"/>
    <w:rsid w:val="00A51F8B"/>
    <w:rsid w:val="00A5478B"/>
    <w:rsid w:val="00A623B1"/>
    <w:rsid w:val="00A63D55"/>
    <w:rsid w:val="00A72D7E"/>
    <w:rsid w:val="00A72DE3"/>
    <w:rsid w:val="00A75577"/>
    <w:rsid w:val="00A7693F"/>
    <w:rsid w:val="00A81DFC"/>
    <w:rsid w:val="00A820DE"/>
    <w:rsid w:val="00A96E87"/>
    <w:rsid w:val="00AB23A7"/>
    <w:rsid w:val="00AB37E7"/>
    <w:rsid w:val="00AB6683"/>
    <w:rsid w:val="00AB758D"/>
    <w:rsid w:val="00AB7898"/>
    <w:rsid w:val="00AC170B"/>
    <w:rsid w:val="00AC37A1"/>
    <w:rsid w:val="00AC41C1"/>
    <w:rsid w:val="00AC4F00"/>
    <w:rsid w:val="00AC56FC"/>
    <w:rsid w:val="00AC74AA"/>
    <w:rsid w:val="00AD0C33"/>
    <w:rsid w:val="00AD2F0F"/>
    <w:rsid w:val="00AD5E9E"/>
    <w:rsid w:val="00AD75AD"/>
    <w:rsid w:val="00AE3CFF"/>
    <w:rsid w:val="00AE798A"/>
    <w:rsid w:val="00AF080A"/>
    <w:rsid w:val="00AF0A06"/>
    <w:rsid w:val="00AF125B"/>
    <w:rsid w:val="00AF5F36"/>
    <w:rsid w:val="00B046A2"/>
    <w:rsid w:val="00B04CB6"/>
    <w:rsid w:val="00B11A67"/>
    <w:rsid w:val="00B11E3B"/>
    <w:rsid w:val="00B13555"/>
    <w:rsid w:val="00B13D33"/>
    <w:rsid w:val="00B178B0"/>
    <w:rsid w:val="00B210BF"/>
    <w:rsid w:val="00B24EB9"/>
    <w:rsid w:val="00B324BD"/>
    <w:rsid w:val="00B32C15"/>
    <w:rsid w:val="00B55CDC"/>
    <w:rsid w:val="00B5736D"/>
    <w:rsid w:val="00B577BE"/>
    <w:rsid w:val="00B616E0"/>
    <w:rsid w:val="00B624DB"/>
    <w:rsid w:val="00B66AB1"/>
    <w:rsid w:val="00B67B03"/>
    <w:rsid w:val="00B71B8E"/>
    <w:rsid w:val="00B73810"/>
    <w:rsid w:val="00B73CF5"/>
    <w:rsid w:val="00B75C38"/>
    <w:rsid w:val="00B76344"/>
    <w:rsid w:val="00B77CEC"/>
    <w:rsid w:val="00B82278"/>
    <w:rsid w:val="00B841C0"/>
    <w:rsid w:val="00B84ED9"/>
    <w:rsid w:val="00B914C0"/>
    <w:rsid w:val="00B95ABC"/>
    <w:rsid w:val="00B963A6"/>
    <w:rsid w:val="00BA0076"/>
    <w:rsid w:val="00BA4387"/>
    <w:rsid w:val="00BA663F"/>
    <w:rsid w:val="00BB2CF9"/>
    <w:rsid w:val="00BB32B0"/>
    <w:rsid w:val="00BB3C4F"/>
    <w:rsid w:val="00BB504A"/>
    <w:rsid w:val="00BB6895"/>
    <w:rsid w:val="00BB7F2A"/>
    <w:rsid w:val="00BC0B23"/>
    <w:rsid w:val="00BC25D8"/>
    <w:rsid w:val="00BC5C4B"/>
    <w:rsid w:val="00BD11CB"/>
    <w:rsid w:val="00BD1F3E"/>
    <w:rsid w:val="00BD2179"/>
    <w:rsid w:val="00BD610F"/>
    <w:rsid w:val="00BD7E9F"/>
    <w:rsid w:val="00BE0053"/>
    <w:rsid w:val="00BE0ED8"/>
    <w:rsid w:val="00BE5374"/>
    <w:rsid w:val="00BE6670"/>
    <w:rsid w:val="00C00220"/>
    <w:rsid w:val="00C07871"/>
    <w:rsid w:val="00C12F63"/>
    <w:rsid w:val="00C14865"/>
    <w:rsid w:val="00C15667"/>
    <w:rsid w:val="00C15F55"/>
    <w:rsid w:val="00C2030C"/>
    <w:rsid w:val="00C216B4"/>
    <w:rsid w:val="00C21B65"/>
    <w:rsid w:val="00C23017"/>
    <w:rsid w:val="00C258E1"/>
    <w:rsid w:val="00C33A0E"/>
    <w:rsid w:val="00C36251"/>
    <w:rsid w:val="00C414BE"/>
    <w:rsid w:val="00C442BB"/>
    <w:rsid w:val="00C5268D"/>
    <w:rsid w:val="00C53501"/>
    <w:rsid w:val="00C550FF"/>
    <w:rsid w:val="00C564C3"/>
    <w:rsid w:val="00C57E94"/>
    <w:rsid w:val="00C606F0"/>
    <w:rsid w:val="00C6566B"/>
    <w:rsid w:val="00C66218"/>
    <w:rsid w:val="00C715BE"/>
    <w:rsid w:val="00C7463D"/>
    <w:rsid w:val="00C8152A"/>
    <w:rsid w:val="00C81603"/>
    <w:rsid w:val="00C82C04"/>
    <w:rsid w:val="00C83CFC"/>
    <w:rsid w:val="00C84E65"/>
    <w:rsid w:val="00C87413"/>
    <w:rsid w:val="00C93328"/>
    <w:rsid w:val="00C94652"/>
    <w:rsid w:val="00C95F55"/>
    <w:rsid w:val="00CA1F3D"/>
    <w:rsid w:val="00CA407F"/>
    <w:rsid w:val="00CA6992"/>
    <w:rsid w:val="00CA7339"/>
    <w:rsid w:val="00CB169D"/>
    <w:rsid w:val="00CB22CC"/>
    <w:rsid w:val="00CB3228"/>
    <w:rsid w:val="00CB44F8"/>
    <w:rsid w:val="00CB6410"/>
    <w:rsid w:val="00CC1FD7"/>
    <w:rsid w:val="00CC5C23"/>
    <w:rsid w:val="00CD037A"/>
    <w:rsid w:val="00CD0AB8"/>
    <w:rsid w:val="00CD1B80"/>
    <w:rsid w:val="00CD2CB4"/>
    <w:rsid w:val="00CD2F1E"/>
    <w:rsid w:val="00CD6FD7"/>
    <w:rsid w:val="00CD76CC"/>
    <w:rsid w:val="00CD7FBB"/>
    <w:rsid w:val="00CE190F"/>
    <w:rsid w:val="00CE2428"/>
    <w:rsid w:val="00CF2B2F"/>
    <w:rsid w:val="00CF5842"/>
    <w:rsid w:val="00D027B3"/>
    <w:rsid w:val="00D07534"/>
    <w:rsid w:val="00D12518"/>
    <w:rsid w:val="00D12BF0"/>
    <w:rsid w:val="00D12E63"/>
    <w:rsid w:val="00D137F0"/>
    <w:rsid w:val="00D170AF"/>
    <w:rsid w:val="00D21A35"/>
    <w:rsid w:val="00D24022"/>
    <w:rsid w:val="00D24A09"/>
    <w:rsid w:val="00D24C87"/>
    <w:rsid w:val="00D26A4D"/>
    <w:rsid w:val="00D30E87"/>
    <w:rsid w:val="00D31F4D"/>
    <w:rsid w:val="00D36321"/>
    <w:rsid w:val="00D37D1E"/>
    <w:rsid w:val="00D42351"/>
    <w:rsid w:val="00D43571"/>
    <w:rsid w:val="00D46186"/>
    <w:rsid w:val="00D47511"/>
    <w:rsid w:val="00D5131E"/>
    <w:rsid w:val="00D51624"/>
    <w:rsid w:val="00D5249D"/>
    <w:rsid w:val="00D553A4"/>
    <w:rsid w:val="00D6331C"/>
    <w:rsid w:val="00D639DF"/>
    <w:rsid w:val="00D729BA"/>
    <w:rsid w:val="00D805F4"/>
    <w:rsid w:val="00D81F3C"/>
    <w:rsid w:val="00D87724"/>
    <w:rsid w:val="00D91578"/>
    <w:rsid w:val="00D91C8A"/>
    <w:rsid w:val="00D944DF"/>
    <w:rsid w:val="00D94597"/>
    <w:rsid w:val="00D946CB"/>
    <w:rsid w:val="00D948BA"/>
    <w:rsid w:val="00D95BF8"/>
    <w:rsid w:val="00D9789E"/>
    <w:rsid w:val="00D979C8"/>
    <w:rsid w:val="00DA1AD0"/>
    <w:rsid w:val="00DA39AC"/>
    <w:rsid w:val="00DA4503"/>
    <w:rsid w:val="00DB09F6"/>
    <w:rsid w:val="00DB19BA"/>
    <w:rsid w:val="00DB1EAC"/>
    <w:rsid w:val="00DB2964"/>
    <w:rsid w:val="00DB2C24"/>
    <w:rsid w:val="00DB30C9"/>
    <w:rsid w:val="00DB3922"/>
    <w:rsid w:val="00DB41ED"/>
    <w:rsid w:val="00DB4294"/>
    <w:rsid w:val="00DB5109"/>
    <w:rsid w:val="00DB5668"/>
    <w:rsid w:val="00DB6203"/>
    <w:rsid w:val="00DB7423"/>
    <w:rsid w:val="00DB7E1C"/>
    <w:rsid w:val="00DC0C31"/>
    <w:rsid w:val="00DC33DE"/>
    <w:rsid w:val="00DC5359"/>
    <w:rsid w:val="00DD14F7"/>
    <w:rsid w:val="00DD1CFC"/>
    <w:rsid w:val="00DD1D1D"/>
    <w:rsid w:val="00DD3D7A"/>
    <w:rsid w:val="00DD3D95"/>
    <w:rsid w:val="00DD53E6"/>
    <w:rsid w:val="00DE395A"/>
    <w:rsid w:val="00DE6A82"/>
    <w:rsid w:val="00DF381E"/>
    <w:rsid w:val="00DF55FE"/>
    <w:rsid w:val="00DF7B5A"/>
    <w:rsid w:val="00DF7CA9"/>
    <w:rsid w:val="00E02A55"/>
    <w:rsid w:val="00E033DD"/>
    <w:rsid w:val="00E0495C"/>
    <w:rsid w:val="00E050E1"/>
    <w:rsid w:val="00E21CE6"/>
    <w:rsid w:val="00E22978"/>
    <w:rsid w:val="00E24344"/>
    <w:rsid w:val="00E32E10"/>
    <w:rsid w:val="00E357F0"/>
    <w:rsid w:val="00E370C5"/>
    <w:rsid w:val="00E423F9"/>
    <w:rsid w:val="00E446A9"/>
    <w:rsid w:val="00E462AD"/>
    <w:rsid w:val="00E5169F"/>
    <w:rsid w:val="00E54A92"/>
    <w:rsid w:val="00E5768E"/>
    <w:rsid w:val="00E638C5"/>
    <w:rsid w:val="00E65EE0"/>
    <w:rsid w:val="00E67921"/>
    <w:rsid w:val="00E71EC2"/>
    <w:rsid w:val="00E735A8"/>
    <w:rsid w:val="00E775C6"/>
    <w:rsid w:val="00E849F2"/>
    <w:rsid w:val="00E85E19"/>
    <w:rsid w:val="00E867CD"/>
    <w:rsid w:val="00E9176F"/>
    <w:rsid w:val="00E91FB4"/>
    <w:rsid w:val="00E953F5"/>
    <w:rsid w:val="00EA029E"/>
    <w:rsid w:val="00EA2DBD"/>
    <w:rsid w:val="00EA30D0"/>
    <w:rsid w:val="00EA5069"/>
    <w:rsid w:val="00EA5C02"/>
    <w:rsid w:val="00EA6CB9"/>
    <w:rsid w:val="00EB0C20"/>
    <w:rsid w:val="00EC08FB"/>
    <w:rsid w:val="00EC32E6"/>
    <w:rsid w:val="00ED4E85"/>
    <w:rsid w:val="00ED74D4"/>
    <w:rsid w:val="00EE0806"/>
    <w:rsid w:val="00EE3C21"/>
    <w:rsid w:val="00EE62E6"/>
    <w:rsid w:val="00EE64BD"/>
    <w:rsid w:val="00EE7646"/>
    <w:rsid w:val="00EF21DA"/>
    <w:rsid w:val="00EF3BB6"/>
    <w:rsid w:val="00EF7760"/>
    <w:rsid w:val="00F0044B"/>
    <w:rsid w:val="00F013B2"/>
    <w:rsid w:val="00F023B9"/>
    <w:rsid w:val="00F04004"/>
    <w:rsid w:val="00F04A56"/>
    <w:rsid w:val="00F10569"/>
    <w:rsid w:val="00F11E43"/>
    <w:rsid w:val="00F135BC"/>
    <w:rsid w:val="00F17E52"/>
    <w:rsid w:val="00F2001E"/>
    <w:rsid w:val="00F228C4"/>
    <w:rsid w:val="00F2548C"/>
    <w:rsid w:val="00F27AAF"/>
    <w:rsid w:val="00F32BEC"/>
    <w:rsid w:val="00F340F2"/>
    <w:rsid w:val="00F3473E"/>
    <w:rsid w:val="00F37234"/>
    <w:rsid w:val="00F4321F"/>
    <w:rsid w:val="00F44365"/>
    <w:rsid w:val="00F4450B"/>
    <w:rsid w:val="00F45070"/>
    <w:rsid w:val="00F46893"/>
    <w:rsid w:val="00F468FF"/>
    <w:rsid w:val="00F476CB"/>
    <w:rsid w:val="00F50ED4"/>
    <w:rsid w:val="00F568C3"/>
    <w:rsid w:val="00F57379"/>
    <w:rsid w:val="00F573FD"/>
    <w:rsid w:val="00F646F3"/>
    <w:rsid w:val="00F81543"/>
    <w:rsid w:val="00F81E22"/>
    <w:rsid w:val="00F850E2"/>
    <w:rsid w:val="00F85287"/>
    <w:rsid w:val="00F86359"/>
    <w:rsid w:val="00F92737"/>
    <w:rsid w:val="00FA2D02"/>
    <w:rsid w:val="00FB30D9"/>
    <w:rsid w:val="00FC2BF9"/>
    <w:rsid w:val="00FC5E1E"/>
    <w:rsid w:val="00FC6097"/>
    <w:rsid w:val="00FC72A7"/>
    <w:rsid w:val="00FD08D1"/>
    <w:rsid w:val="00FD29CD"/>
    <w:rsid w:val="00FD4EFA"/>
    <w:rsid w:val="00FE1AD3"/>
    <w:rsid w:val="00FE3869"/>
    <w:rsid w:val="00FE5855"/>
    <w:rsid w:val="00FE62D2"/>
    <w:rsid w:val="00FF10BF"/>
    <w:rsid w:val="00FF5499"/>
    <w:rsid w:val="00FF67C1"/>
    <w:rsid w:val="01A4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784CFD"/>
  <w15:docId w15:val="{54C308C7-44CD-406A-AFF4-8660B7D3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B641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B6410"/>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B6410"/>
    <w:pPr>
      <w:numPr>
        <w:numId w:val="8"/>
      </w:numPr>
      <w:spacing w:after="60"/>
    </w:pPr>
    <w:rPr>
      <w:sz w:val="22"/>
      <w:szCs w:val="22"/>
    </w:rPr>
  </w:style>
  <w:style w:type="paragraph" w:customStyle="1" w:styleId="PageHeader">
    <w:name w:val="*PageHeader"/>
    <w:link w:val="PageHeaderChar"/>
    <w:qFormat/>
    <w:rsid w:val="00CB6410"/>
    <w:pPr>
      <w:spacing w:before="120"/>
    </w:pPr>
    <w:rPr>
      <w:b/>
      <w:sz w:val="18"/>
      <w:szCs w:val="22"/>
    </w:rPr>
  </w:style>
  <w:style w:type="character" w:customStyle="1" w:styleId="PageHeaderChar">
    <w:name w:val="*PageHeader Char"/>
    <w:link w:val="PageHeader"/>
    <w:rsid w:val="00CB6410"/>
    <w:rPr>
      <w:b/>
      <w:sz w:val="18"/>
      <w:szCs w:val="22"/>
    </w:rPr>
  </w:style>
  <w:style w:type="paragraph" w:customStyle="1" w:styleId="FooterText">
    <w:name w:val="*FooterText"/>
    <w:link w:val="FooterTextChar"/>
    <w:qFormat/>
    <w:rsid w:val="00CB6410"/>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B6410"/>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B6410"/>
    <w:pPr>
      <w:pBdr>
        <w:bottom w:val="single" w:sz="12" w:space="1" w:color="7F7F7F"/>
      </w:pBdr>
      <w:spacing w:after="360"/>
      <w:ind w:left="2880" w:right="2880"/>
    </w:pPr>
    <w:rPr>
      <w:sz w:val="18"/>
      <w:szCs w:val="22"/>
    </w:rPr>
  </w:style>
  <w:style w:type="character" w:customStyle="1" w:styleId="BRChar">
    <w:name w:val="*BR* Char"/>
    <w:link w:val="BR"/>
    <w:rsid w:val="00CB6410"/>
    <w:rPr>
      <w:sz w:val="18"/>
      <w:szCs w:val="22"/>
    </w:rPr>
  </w:style>
  <w:style w:type="paragraph" w:customStyle="1" w:styleId="BulletedList">
    <w:name w:val="*Bulleted List"/>
    <w:link w:val="BulletedListChar"/>
    <w:qFormat/>
    <w:rsid w:val="00CB6410"/>
    <w:pPr>
      <w:numPr>
        <w:numId w:val="4"/>
      </w:numPr>
      <w:spacing w:before="60" w:after="60" w:line="276" w:lineRule="auto"/>
      <w:ind w:left="360"/>
    </w:pPr>
    <w:rPr>
      <w:sz w:val="22"/>
      <w:szCs w:val="22"/>
    </w:rPr>
  </w:style>
  <w:style w:type="character" w:customStyle="1" w:styleId="BulletedListChar">
    <w:name w:val="*Bulleted List Char"/>
    <w:link w:val="BulletedList"/>
    <w:rsid w:val="00CB6410"/>
    <w:rPr>
      <w:sz w:val="22"/>
      <w:szCs w:val="22"/>
    </w:rPr>
  </w:style>
  <w:style w:type="paragraph" w:customStyle="1" w:styleId="ExcerptAuthor">
    <w:name w:val="*ExcerptAuthor"/>
    <w:basedOn w:val="Normal"/>
    <w:link w:val="ExcerptAuthorChar"/>
    <w:qFormat/>
    <w:rsid w:val="00CB6410"/>
    <w:pPr>
      <w:jc w:val="center"/>
    </w:pPr>
    <w:rPr>
      <w:rFonts w:ascii="Calibri Light" w:hAnsi="Calibri Light"/>
      <w:b/>
    </w:rPr>
  </w:style>
  <w:style w:type="character" w:customStyle="1" w:styleId="ExcerptAuthorChar">
    <w:name w:val="*ExcerptAuthor Char"/>
    <w:link w:val="ExcerptAuthor"/>
    <w:rsid w:val="00CB6410"/>
    <w:rPr>
      <w:rFonts w:ascii="Calibri Light" w:hAnsi="Calibri Light"/>
      <w:b/>
      <w:sz w:val="22"/>
      <w:szCs w:val="22"/>
    </w:rPr>
  </w:style>
  <w:style w:type="paragraph" w:customStyle="1" w:styleId="ExcerptBody">
    <w:name w:val="*ExcerptBody"/>
    <w:basedOn w:val="Normal"/>
    <w:link w:val="ExcerptBodyChar"/>
    <w:qFormat/>
    <w:rsid w:val="00CB6410"/>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B6410"/>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CB6410"/>
    <w:pPr>
      <w:jc w:val="center"/>
    </w:pPr>
    <w:rPr>
      <w:rFonts w:ascii="Calibri Light" w:hAnsi="Calibri Light"/>
      <w:b/>
      <w:smallCaps/>
      <w:sz w:val="32"/>
    </w:rPr>
  </w:style>
  <w:style w:type="character" w:customStyle="1" w:styleId="ExcerptTitleChar">
    <w:name w:val="*ExcerptTitle Char"/>
    <w:link w:val="ExcerptTitle"/>
    <w:rsid w:val="00CB6410"/>
    <w:rPr>
      <w:rFonts w:ascii="Calibri Light" w:hAnsi="Calibri Light"/>
      <w:b/>
      <w:smallCaps/>
      <w:sz w:val="32"/>
      <w:szCs w:val="22"/>
    </w:rPr>
  </w:style>
  <w:style w:type="paragraph" w:customStyle="1" w:styleId="IN">
    <w:name w:val="*IN*"/>
    <w:link w:val="INChar"/>
    <w:qFormat/>
    <w:rsid w:val="00CB6410"/>
    <w:pPr>
      <w:numPr>
        <w:numId w:val="6"/>
      </w:numPr>
      <w:spacing w:before="120" w:after="60" w:line="276" w:lineRule="auto"/>
      <w:ind w:left="360"/>
    </w:pPr>
    <w:rPr>
      <w:color w:val="4F81BD"/>
      <w:sz w:val="22"/>
      <w:szCs w:val="22"/>
    </w:rPr>
  </w:style>
  <w:style w:type="character" w:customStyle="1" w:styleId="INChar">
    <w:name w:val="*IN* Char"/>
    <w:link w:val="IN"/>
    <w:rsid w:val="00CB6410"/>
    <w:rPr>
      <w:color w:val="4F81BD"/>
      <w:sz w:val="22"/>
      <w:szCs w:val="22"/>
    </w:rPr>
  </w:style>
  <w:style w:type="paragraph" w:customStyle="1" w:styleId="INBullet">
    <w:name w:val="*IN* Bullet"/>
    <w:link w:val="INBulletChar"/>
    <w:qFormat/>
    <w:rsid w:val="00CB6410"/>
    <w:pPr>
      <w:numPr>
        <w:numId w:val="7"/>
      </w:numPr>
      <w:spacing w:after="60" w:line="276" w:lineRule="auto"/>
      <w:ind w:left="720"/>
    </w:pPr>
    <w:rPr>
      <w:color w:val="4F81BD"/>
      <w:sz w:val="22"/>
      <w:szCs w:val="22"/>
    </w:rPr>
  </w:style>
  <w:style w:type="character" w:customStyle="1" w:styleId="INBulletChar">
    <w:name w:val="*IN* Bullet Char"/>
    <w:link w:val="INBullet"/>
    <w:rsid w:val="00CB6410"/>
    <w:rPr>
      <w:color w:val="4F81BD"/>
      <w:sz w:val="22"/>
      <w:szCs w:val="22"/>
    </w:rPr>
  </w:style>
  <w:style w:type="paragraph" w:customStyle="1" w:styleId="LearningSequenceHeader">
    <w:name w:val="*Learning Sequence Header"/>
    <w:next w:val="Normal"/>
    <w:link w:val="LearningSequenceHeaderChar"/>
    <w:qFormat/>
    <w:rsid w:val="00CB6410"/>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B6410"/>
    <w:rPr>
      <w:b/>
      <w:bCs/>
      <w:color w:val="4F81BD"/>
      <w:sz w:val="28"/>
      <w:szCs w:val="26"/>
    </w:rPr>
  </w:style>
  <w:style w:type="character" w:customStyle="1" w:styleId="NumberedListChar">
    <w:name w:val="*Numbered List Char"/>
    <w:link w:val="NumberedList"/>
    <w:rsid w:val="00CB6410"/>
    <w:rPr>
      <w:sz w:val="22"/>
      <w:szCs w:val="22"/>
    </w:rPr>
  </w:style>
  <w:style w:type="paragraph" w:customStyle="1" w:styleId="Q">
    <w:name w:val="*Q*"/>
    <w:link w:val="QChar"/>
    <w:qFormat/>
    <w:rsid w:val="00CB6410"/>
    <w:pPr>
      <w:spacing w:before="240" w:line="276" w:lineRule="auto"/>
    </w:pPr>
    <w:rPr>
      <w:b/>
      <w:sz w:val="22"/>
      <w:szCs w:val="22"/>
    </w:rPr>
  </w:style>
  <w:style w:type="character" w:customStyle="1" w:styleId="QChar">
    <w:name w:val="*Q* Char"/>
    <w:link w:val="Q"/>
    <w:rsid w:val="00CB6410"/>
    <w:rPr>
      <w:b/>
      <w:sz w:val="22"/>
      <w:szCs w:val="22"/>
    </w:rPr>
  </w:style>
  <w:style w:type="paragraph" w:customStyle="1" w:styleId="SA">
    <w:name w:val="*SA*"/>
    <w:link w:val="SAChar"/>
    <w:qFormat/>
    <w:rsid w:val="00CB6410"/>
    <w:pPr>
      <w:numPr>
        <w:numId w:val="9"/>
      </w:numPr>
      <w:spacing w:before="120" w:line="276" w:lineRule="auto"/>
    </w:pPr>
    <w:rPr>
      <w:sz w:val="22"/>
      <w:szCs w:val="22"/>
    </w:rPr>
  </w:style>
  <w:style w:type="character" w:customStyle="1" w:styleId="SAChar">
    <w:name w:val="*SA* Char"/>
    <w:link w:val="SA"/>
    <w:rsid w:val="00CB6410"/>
    <w:rPr>
      <w:sz w:val="22"/>
      <w:szCs w:val="22"/>
    </w:rPr>
  </w:style>
  <w:style w:type="paragraph" w:customStyle="1" w:styleId="SASRBullet">
    <w:name w:val="*SA/SR Bullet"/>
    <w:basedOn w:val="Normal"/>
    <w:link w:val="SASRBulletChar"/>
    <w:qFormat/>
    <w:rsid w:val="00CB6410"/>
    <w:pPr>
      <w:numPr>
        <w:ilvl w:val="1"/>
        <w:numId w:val="10"/>
      </w:numPr>
      <w:spacing w:before="120"/>
      <w:ind w:left="1080"/>
      <w:contextualSpacing/>
    </w:pPr>
  </w:style>
  <w:style w:type="character" w:customStyle="1" w:styleId="SASRBulletChar">
    <w:name w:val="*SA/SR Bullet Char"/>
    <w:link w:val="SASRBullet"/>
    <w:rsid w:val="00CB6410"/>
    <w:rPr>
      <w:sz w:val="22"/>
      <w:szCs w:val="22"/>
    </w:rPr>
  </w:style>
  <w:style w:type="paragraph" w:customStyle="1" w:styleId="SR">
    <w:name w:val="*SR*"/>
    <w:link w:val="SRChar"/>
    <w:qFormat/>
    <w:rsid w:val="00CB6410"/>
    <w:pPr>
      <w:numPr>
        <w:numId w:val="11"/>
      </w:numPr>
      <w:spacing w:before="120" w:line="276" w:lineRule="auto"/>
      <w:ind w:left="720"/>
    </w:pPr>
    <w:rPr>
      <w:sz w:val="22"/>
      <w:szCs w:val="22"/>
    </w:rPr>
  </w:style>
  <w:style w:type="character" w:customStyle="1" w:styleId="SRChar">
    <w:name w:val="*SR* Char"/>
    <w:link w:val="SR"/>
    <w:rsid w:val="00CB6410"/>
    <w:rPr>
      <w:sz w:val="22"/>
      <w:szCs w:val="22"/>
    </w:rPr>
  </w:style>
  <w:style w:type="paragraph" w:customStyle="1" w:styleId="TableText">
    <w:name w:val="*TableText"/>
    <w:link w:val="TableTextChar"/>
    <w:qFormat/>
    <w:rsid w:val="00CB6410"/>
    <w:pPr>
      <w:spacing w:before="40" w:after="40" w:line="276" w:lineRule="auto"/>
    </w:pPr>
    <w:rPr>
      <w:sz w:val="22"/>
      <w:szCs w:val="22"/>
    </w:rPr>
  </w:style>
  <w:style w:type="character" w:customStyle="1" w:styleId="TableTextChar">
    <w:name w:val="*TableText Char"/>
    <w:link w:val="TableText"/>
    <w:rsid w:val="00CB6410"/>
    <w:rPr>
      <w:sz w:val="22"/>
      <w:szCs w:val="22"/>
    </w:rPr>
  </w:style>
  <w:style w:type="paragraph" w:customStyle="1" w:styleId="SubStandard">
    <w:name w:val="*SubStandard"/>
    <w:basedOn w:val="TableText"/>
    <w:link w:val="SubStandardChar"/>
    <w:qFormat/>
    <w:rsid w:val="00CB6410"/>
    <w:pPr>
      <w:numPr>
        <w:numId w:val="12"/>
      </w:numPr>
    </w:pPr>
  </w:style>
  <w:style w:type="character" w:customStyle="1" w:styleId="SubStandardChar">
    <w:name w:val="*SubStandard Char"/>
    <w:link w:val="SubStandard"/>
    <w:rsid w:val="00CB6410"/>
    <w:rPr>
      <w:sz w:val="22"/>
      <w:szCs w:val="22"/>
    </w:rPr>
  </w:style>
  <w:style w:type="paragraph" w:customStyle="1" w:styleId="TA">
    <w:name w:val="*TA*"/>
    <w:link w:val="TAChar"/>
    <w:qFormat/>
    <w:rsid w:val="00CB6410"/>
    <w:pPr>
      <w:spacing w:before="180" w:after="180"/>
    </w:pPr>
    <w:rPr>
      <w:sz w:val="22"/>
      <w:szCs w:val="22"/>
    </w:rPr>
  </w:style>
  <w:style w:type="character" w:customStyle="1" w:styleId="TAChar">
    <w:name w:val="*TA* Char"/>
    <w:link w:val="TA"/>
    <w:rsid w:val="00CB6410"/>
    <w:rPr>
      <w:sz w:val="22"/>
      <w:szCs w:val="22"/>
    </w:rPr>
  </w:style>
  <w:style w:type="paragraph" w:customStyle="1" w:styleId="TableHeaders">
    <w:name w:val="*TableHeaders"/>
    <w:basedOn w:val="Normal"/>
    <w:link w:val="TableHeadersChar"/>
    <w:qFormat/>
    <w:rsid w:val="00CB6410"/>
    <w:pPr>
      <w:spacing w:before="40" w:after="40" w:line="240" w:lineRule="auto"/>
    </w:pPr>
    <w:rPr>
      <w:b/>
      <w:color w:val="FFFFFF"/>
    </w:rPr>
  </w:style>
  <w:style w:type="character" w:customStyle="1" w:styleId="TableHeadersChar">
    <w:name w:val="*TableHeaders Char"/>
    <w:link w:val="TableHeaders"/>
    <w:rsid w:val="00CB6410"/>
    <w:rPr>
      <w:b/>
      <w:color w:val="FFFFFF"/>
      <w:sz w:val="22"/>
      <w:szCs w:val="22"/>
    </w:rPr>
  </w:style>
  <w:style w:type="paragraph" w:customStyle="1" w:styleId="ToolHeader">
    <w:name w:val="*ToolHeader"/>
    <w:link w:val="ToolHeaderChar"/>
    <w:qFormat/>
    <w:rsid w:val="00CB6410"/>
    <w:pPr>
      <w:spacing w:after="120"/>
    </w:pPr>
    <w:rPr>
      <w:b/>
      <w:bCs/>
      <w:color w:val="365F91"/>
      <w:sz w:val="32"/>
      <w:szCs w:val="28"/>
    </w:rPr>
  </w:style>
  <w:style w:type="paragraph" w:customStyle="1" w:styleId="ToolTableText">
    <w:name w:val="*ToolTableText"/>
    <w:link w:val="ToolTableTextChar"/>
    <w:qFormat/>
    <w:rsid w:val="00CB6410"/>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B6410"/>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LightList-Accent51">
    <w:name w:val="Light List - Accent 51"/>
    <w:basedOn w:val="Normal"/>
    <w:link w:val="LightList-Accent5Char"/>
    <w:uiPriority w:val="34"/>
    <w:rsid w:val="00C5268D"/>
    <w:pPr>
      <w:ind w:left="720"/>
      <w:contextualSpacing/>
    </w:pPr>
  </w:style>
  <w:style w:type="character" w:customStyle="1" w:styleId="LightList-Accent5Char">
    <w:name w:val="Light List - Accent 5 Char"/>
    <w:link w:val="LightList-Accent5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CB6410"/>
    <w:pPr>
      <w:ind w:left="360"/>
    </w:pPr>
    <w:rPr>
      <w:color w:val="4F81BD"/>
    </w:rPr>
  </w:style>
  <w:style w:type="paragraph" w:customStyle="1" w:styleId="DCwithSA">
    <w:name w:val="*DC* with *SA*"/>
    <w:basedOn w:val="SA"/>
    <w:qFormat/>
    <w:rsid w:val="00CB6410"/>
    <w:rPr>
      <w:color w:val="3F6CAF"/>
    </w:rPr>
  </w:style>
  <w:style w:type="paragraph" w:customStyle="1" w:styleId="DCwithSR">
    <w:name w:val="*DC* with *SR*"/>
    <w:basedOn w:val="SR"/>
    <w:qFormat/>
    <w:rsid w:val="00CB6410"/>
    <w:pPr>
      <w:numPr>
        <w:numId w:val="5"/>
      </w:numPr>
      <w:ind w:left="720"/>
    </w:pPr>
    <w:rPr>
      <w:color w:val="4F81BD"/>
    </w:rPr>
  </w:style>
  <w:style w:type="character" w:customStyle="1" w:styleId="ToolHeaderChar">
    <w:name w:val="*ToolHeader Char"/>
    <w:link w:val="ToolHeader"/>
    <w:rsid w:val="00762B0D"/>
    <w:rPr>
      <w:b/>
      <w:bCs/>
      <w:color w:val="365F91"/>
      <w:sz w:val="32"/>
      <w:szCs w:val="28"/>
    </w:rPr>
  </w:style>
  <w:style w:type="paragraph" w:customStyle="1" w:styleId="LightShading-Accent51">
    <w:name w:val="Light Shading - Accent 51"/>
    <w:hidden/>
    <w:uiPriority w:val="99"/>
    <w:semiHidden/>
    <w:rsid w:val="000832EC"/>
    <w:rPr>
      <w:sz w:val="22"/>
      <w:szCs w:val="22"/>
    </w:rPr>
  </w:style>
  <w:style w:type="paragraph" w:customStyle="1" w:styleId="MediumList2-Accent21">
    <w:name w:val="Medium List 2 - Accent 21"/>
    <w:hidden/>
    <w:uiPriority w:val="99"/>
    <w:semiHidden/>
    <w:rsid w:val="008D6789"/>
    <w:rPr>
      <w:sz w:val="22"/>
      <w:szCs w:val="22"/>
    </w:rPr>
  </w:style>
  <w:style w:type="character" w:customStyle="1" w:styleId="ToolTableTextChar">
    <w:name w:val="*ToolTableText Char"/>
    <w:link w:val="ToolTableText"/>
    <w:rsid w:val="00D94597"/>
    <w:rPr>
      <w:sz w:val="22"/>
      <w:szCs w:val="22"/>
    </w:rPr>
  </w:style>
  <w:style w:type="paragraph" w:styleId="Revision">
    <w:name w:val="Revision"/>
    <w:hidden/>
    <w:uiPriority w:val="71"/>
    <w:rsid w:val="002C084D"/>
    <w:rPr>
      <w:sz w:val="22"/>
      <w:szCs w:val="22"/>
    </w:rPr>
  </w:style>
  <w:style w:type="paragraph" w:styleId="DocumentMap">
    <w:name w:val="Document Map"/>
    <w:basedOn w:val="Normal"/>
    <w:link w:val="DocumentMapChar"/>
    <w:uiPriority w:val="99"/>
    <w:semiHidden/>
    <w:unhideWhenUsed/>
    <w:rsid w:val="00F468F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468F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72633">
      <w:bodyDiv w:val="1"/>
      <w:marLeft w:val="0"/>
      <w:marRight w:val="0"/>
      <w:marTop w:val="0"/>
      <w:marBottom w:val="0"/>
      <w:divBdr>
        <w:top w:val="none" w:sz="0" w:space="0" w:color="auto"/>
        <w:left w:val="none" w:sz="0" w:space="0" w:color="auto"/>
        <w:bottom w:val="none" w:sz="0" w:space="0" w:color="auto"/>
        <w:right w:val="none" w:sz="0" w:space="0" w:color="auto"/>
      </w:divBdr>
    </w:div>
    <w:div w:id="869151112">
      <w:bodyDiv w:val="1"/>
      <w:marLeft w:val="0"/>
      <w:marRight w:val="0"/>
      <w:marTop w:val="0"/>
      <w:marBottom w:val="0"/>
      <w:divBdr>
        <w:top w:val="none" w:sz="0" w:space="0" w:color="auto"/>
        <w:left w:val="none" w:sz="0" w:space="0" w:color="auto"/>
        <w:bottom w:val="none" w:sz="0" w:space="0" w:color="auto"/>
        <w:right w:val="none" w:sz="0" w:space="0" w:color="auto"/>
      </w:divBdr>
    </w:div>
    <w:div w:id="917059950">
      <w:bodyDiv w:val="1"/>
      <w:marLeft w:val="0"/>
      <w:marRight w:val="0"/>
      <w:marTop w:val="0"/>
      <w:marBottom w:val="0"/>
      <w:divBdr>
        <w:top w:val="none" w:sz="0" w:space="0" w:color="auto"/>
        <w:left w:val="none" w:sz="0" w:space="0" w:color="auto"/>
        <w:bottom w:val="none" w:sz="0" w:space="0" w:color="auto"/>
        <w:right w:val="none" w:sz="0" w:space="0" w:color="auto"/>
      </w:divBdr>
    </w:div>
    <w:div w:id="1937863670">
      <w:bodyDiv w:val="1"/>
      <w:marLeft w:val="0"/>
      <w:marRight w:val="0"/>
      <w:marTop w:val="0"/>
      <w:marBottom w:val="0"/>
      <w:divBdr>
        <w:top w:val="none" w:sz="0" w:space="0" w:color="auto"/>
        <w:left w:val="none" w:sz="0" w:space="0" w:color="auto"/>
        <w:bottom w:val="none" w:sz="0" w:space="0" w:color="auto"/>
        <w:right w:val="none" w:sz="0" w:space="0" w:color="auto"/>
      </w:divBdr>
      <w:divsChild>
        <w:div w:id="463812401">
          <w:marLeft w:val="0"/>
          <w:marRight w:val="0"/>
          <w:marTop w:val="0"/>
          <w:marBottom w:val="240"/>
          <w:divBdr>
            <w:top w:val="none" w:sz="0" w:space="0" w:color="auto"/>
            <w:left w:val="none" w:sz="0" w:space="0" w:color="auto"/>
            <w:bottom w:val="none" w:sz="0" w:space="0" w:color="auto"/>
            <w:right w:val="none" w:sz="0" w:space="0" w:color="auto"/>
          </w:divBdr>
        </w:div>
      </w:divsChild>
    </w:div>
    <w:div w:id="1961691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3838</Words>
  <Characters>21880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Wade, Michelle</cp:lastModifiedBy>
  <cp:revision>2</cp:revision>
  <cp:lastPrinted>2014-06-30T22:20:00Z</cp:lastPrinted>
  <dcterms:created xsi:type="dcterms:W3CDTF">2015-06-29T21:11:00Z</dcterms:created>
  <dcterms:modified xsi:type="dcterms:W3CDTF">2015-06-29T21:11:00Z</dcterms:modified>
  <cp:category/>
</cp:coreProperties>
</file>