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872"/>
        <w:gridCol w:w="7578"/>
      </w:tblGrid>
      <w:tr w:rsidR="005027DB" w:rsidRPr="00790BCC" w14:paraId="6ED737D8" w14:textId="77777777" w:rsidTr="00C230C6">
        <w:trPr>
          <w:trHeight w:val="1008"/>
        </w:trPr>
        <w:tc>
          <w:tcPr>
            <w:tcW w:w="1872" w:type="dxa"/>
            <w:shd w:val="clear" w:color="auto" w:fill="385623"/>
            <w:vAlign w:val="center"/>
          </w:tcPr>
          <w:p w14:paraId="1C713907" w14:textId="77777777" w:rsidR="005027DB" w:rsidRPr="00D31F4D" w:rsidRDefault="005027DB" w:rsidP="00D31F4D">
            <w:pPr>
              <w:pStyle w:val="Header-banner"/>
            </w:pPr>
            <w:r>
              <w:t>12.3.1</w:t>
            </w:r>
          </w:p>
        </w:tc>
        <w:tc>
          <w:tcPr>
            <w:tcW w:w="7578" w:type="dxa"/>
            <w:shd w:val="clear" w:color="auto" w:fill="76923C"/>
            <w:vAlign w:val="center"/>
          </w:tcPr>
          <w:p w14:paraId="3EA58474" w14:textId="77777777" w:rsidR="005027DB" w:rsidRPr="00D31F4D" w:rsidRDefault="005027DB" w:rsidP="00D31F4D">
            <w:pPr>
              <w:pStyle w:val="Header2banner"/>
            </w:pPr>
            <w:r>
              <w:t>Lesson 11</w:t>
            </w:r>
          </w:p>
        </w:tc>
      </w:tr>
    </w:tbl>
    <w:p w14:paraId="51865447" w14:textId="77777777" w:rsidR="005027DB" w:rsidRPr="00790BCC" w:rsidRDefault="005027DB" w:rsidP="00D31F4D">
      <w:pPr>
        <w:pStyle w:val="Heading1"/>
      </w:pPr>
      <w:r w:rsidRPr="00790BCC">
        <w:t>Introduction</w:t>
      </w:r>
    </w:p>
    <w:p w14:paraId="480E08AA" w14:textId="47CE5770" w:rsidR="005027DB" w:rsidRDefault="005027DB" w:rsidP="002F043E">
      <w:r w:rsidRPr="00932263">
        <w:t xml:space="preserve">In this lesson, students prepare for the Mid-Unit Assessment in </w:t>
      </w:r>
      <w:r>
        <w:t>12.3.1 Lesson 12</w:t>
      </w:r>
      <w:r w:rsidRPr="00932263">
        <w:t xml:space="preserve"> by engaging in </w:t>
      </w:r>
      <w:r>
        <w:t xml:space="preserve">a </w:t>
      </w:r>
      <w:r w:rsidRPr="00932263">
        <w:t xml:space="preserve">discussion </w:t>
      </w:r>
      <w:r>
        <w:t>of Diamond’s claims in key excerpts from</w:t>
      </w:r>
      <w:r w:rsidRPr="00932263">
        <w:t xml:space="preserve"> </w:t>
      </w:r>
      <w:r w:rsidRPr="00932263">
        <w:rPr>
          <w:i/>
        </w:rPr>
        <w:t>Guns, Germs, and Steel</w:t>
      </w:r>
      <w:r>
        <w:t>, analyzing whether</w:t>
      </w:r>
      <w:r w:rsidRPr="00700E8A">
        <w:t xml:space="preserve"> </w:t>
      </w:r>
      <w:r>
        <w:t xml:space="preserve">his evidence is relevant and sufficient </w:t>
      </w:r>
      <w:r w:rsidR="0031611F">
        <w:t>and</w:t>
      </w:r>
      <w:r>
        <w:t xml:space="preserve"> whether his reasoning is valid.</w:t>
      </w:r>
      <w:r>
        <w:rPr>
          <w:i/>
        </w:rPr>
        <w:t xml:space="preserve"> </w:t>
      </w:r>
      <w:r>
        <w:t xml:space="preserve">This lesson and the </w:t>
      </w:r>
      <w:r w:rsidR="00BF7992">
        <w:t xml:space="preserve">12.3.1 </w:t>
      </w:r>
      <w:r>
        <w:t xml:space="preserve">Mid-Unit Assessment build upon students’ previous work </w:t>
      </w:r>
      <w:r w:rsidR="007D6BE7">
        <w:t xml:space="preserve">in 12.3.1 Lessons 6 and 8 </w:t>
      </w:r>
      <w:r>
        <w:t xml:space="preserve">with identifying components of </w:t>
      </w:r>
      <w:r w:rsidR="0031611F">
        <w:t xml:space="preserve">an </w:t>
      </w:r>
      <w:r>
        <w:t>argument and the relationshi</w:t>
      </w:r>
      <w:r w:rsidR="007D6BE7">
        <w:t>ps across those components</w:t>
      </w:r>
      <w:r>
        <w:t>. Student learning is assessed via completion of the Evaluating Evidence and Reasoning Tool at the end of the lesson.</w:t>
      </w:r>
    </w:p>
    <w:p w14:paraId="5D6F3740" w14:textId="3F4DC67D" w:rsidR="005027DB" w:rsidRPr="00790BCC" w:rsidRDefault="005027DB" w:rsidP="002F043E">
      <w:r>
        <w:t>For homework, students review and expand their notes, tools, and annotations in preparation for the following lesson’s Mid-Unit Assessme</w:t>
      </w:r>
      <w:r w:rsidRPr="005C446E">
        <w:t xml:space="preserve">nt. In addition, </w:t>
      </w:r>
      <w:r>
        <w:t xml:space="preserve">students </w:t>
      </w:r>
      <w:r w:rsidRPr="005C446E">
        <w:t>continue t</w:t>
      </w:r>
      <w:r w:rsidR="0031611F">
        <w:t>o conduct</w:t>
      </w:r>
      <w:r w:rsidRPr="005C446E">
        <w:t xml:space="preserve"> pre-search</w:t>
      </w:r>
      <w:r>
        <w:t>es to gather potential sources for research. Students find three more potential sources for at least one area of investigation and record the following information: author’s name, issue, source, location, publication date,</w:t>
      </w:r>
      <w:r w:rsidR="007D6BE7">
        <w:t xml:space="preserve"> and general content/key ideas.</w:t>
      </w:r>
    </w:p>
    <w:p w14:paraId="0EA775C2" w14:textId="7A312E89" w:rsidR="005027DB" w:rsidRPr="00790BCC" w:rsidRDefault="005027DB"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5027DB" w:rsidRPr="00790BCC" w14:paraId="1BB9C1D5" w14:textId="77777777" w:rsidTr="00C230C6">
        <w:tc>
          <w:tcPr>
            <w:tcW w:w="9450" w:type="dxa"/>
            <w:gridSpan w:val="2"/>
            <w:shd w:val="clear" w:color="auto" w:fill="76923C"/>
          </w:tcPr>
          <w:p w14:paraId="495D4F58" w14:textId="77777777" w:rsidR="005027DB" w:rsidRPr="008408F3" w:rsidRDefault="005027DB" w:rsidP="007017EB">
            <w:pPr>
              <w:pStyle w:val="TableHeaders"/>
            </w:pPr>
            <w:r w:rsidRPr="008408F3">
              <w:t>Assessed Standard(s)</w:t>
            </w:r>
          </w:p>
        </w:tc>
      </w:tr>
      <w:tr w:rsidR="005027DB" w:rsidRPr="00790BCC" w14:paraId="2BE5A13B" w14:textId="77777777" w:rsidTr="00C230C6">
        <w:tc>
          <w:tcPr>
            <w:tcW w:w="1213" w:type="dxa"/>
          </w:tcPr>
          <w:p w14:paraId="404DBA35" w14:textId="77777777" w:rsidR="005027DB" w:rsidRPr="00790BCC" w:rsidRDefault="005027DB" w:rsidP="00D31F4D">
            <w:pPr>
              <w:pStyle w:val="TableText"/>
            </w:pPr>
            <w:r>
              <w:t>CCRA.R.8</w:t>
            </w:r>
          </w:p>
        </w:tc>
        <w:tc>
          <w:tcPr>
            <w:tcW w:w="8237" w:type="dxa"/>
          </w:tcPr>
          <w:p w14:paraId="00ED5514" w14:textId="77777777" w:rsidR="005027DB" w:rsidRPr="00790BCC" w:rsidRDefault="005027DB" w:rsidP="00932263">
            <w:pPr>
              <w:pStyle w:val="TableText"/>
            </w:pPr>
            <w:r w:rsidRPr="00C70FB6">
              <w:t xml:space="preserve">Delineate and </w:t>
            </w:r>
            <w:r w:rsidRPr="00666DD1">
              <w:t>evaluate</w:t>
            </w:r>
            <w:r w:rsidRPr="00C70FB6">
              <w:t xml:space="preserve"> the</w:t>
            </w:r>
            <w:r>
              <w:t xml:space="preserve"> argument and specific claims in a text, including the validity of the reasoning as well as the relevance and sufficiency of the evidence.</w:t>
            </w:r>
          </w:p>
        </w:tc>
      </w:tr>
      <w:tr w:rsidR="005027DB" w:rsidRPr="00790BCC" w14:paraId="456D52E0" w14:textId="77777777" w:rsidTr="00C230C6">
        <w:tc>
          <w:tcPr>
            <w:tcW w:w="9450" w:type="dxa"/>
            <w:gridSpan w:val="2"/>
            <w:shd w:val="clear" w:color="auto" w:fill="76923C"/>
          </w:tcPr>
          <w:p w14:paraId="23671A6B" w14:textId="77777777" w:rsidR="005027DB" w:rsidRPr="008408F3" w:rsidRDefault="005027DB" w:rsidP="007017EB">
            <w:pPr>
              <w:pStyle w:val="TableHeaders"/>
            </w:pPr>
            <w:r w:rsidRPr="008408F3">
              <w:t>Addressed Standard(s)</w:t>
            </w:r>
          </w:p>
        </w:tc>
      </w:tr>
      <w:tr w:rsidR="005027DB" w:rsidRPr="00790BCC" w14:paraId="73E3DFCC" w14:textId="77777777" w:rsidTr="009F1A2D">
        <w:trPr>
          <w:trHeight w:val="2224"/>
        </w:trPr>
        <w:tc>
          <w:tcPr>
            <w:tcW w:w="1213" w:type="dxa"/>
            <w:tcBorders>
              <w:bottom w:val="single" w:sz="4" w:space="0" w:color="auto"/>
            </w:tcBorders>
          </w:tcPr>
          <w:p w14:paraId="0E112EF6" w14:textId="77777777" w:rsidR="005027DB" w:rsidRPr="00D23A8B" w:rsidRDefault="005027DB" w:rsidP="007017EB">
            <w:pPr>
              <w:pStyle w:val="TableText"/>
              <w:rPr>
                <w:spacing w:val="-10"/>
              </w:rPr>
            </w:pPr>
            <w:r w:rsidRPr="00D23A8B">
              <w:rPr>
                <w:spacing w:val="-10"/>
              </w:rPr>
              <w:t>W.11-12.9.b</w:t>
            </w:r>
          </w:p>
        </w:tc>
        <w:tc>
          <w:tcPr>
            <w:tcW w:w="8237" w:type="dxa"/>
            <w:tcBorders>
              <w:bottom w:val="single" w:sz="4" w:space="0" w:color="auto"/>
            </w:tcBorders>
          </w:tcPr>
          <w:p w14:paraId="44434B6A" w14:textId="77777777" w:rsidR="005027DB" w:rsidRDefault="005027DB" w:rsidP="009F1A2D">
            <w:pPr>
              <w:pStyle w:val="TableText"/>
            </w:pPr>
            <w:r>
              <w:t xml:space="preserve">Draw evidence from literary or informational texts to support analysis, reflection, and research. </w:t>
            </w:r>
          </w:p>
          <w:p w14:paraId="64B0F640" w14:textId="77777777" w:rsidR="005027DB" w:rsidRPr="00790BCC" w:rsidRDefault="005027DB" w:rsidP="009F1A2D">
            <w:pPr>
              <w:pStyle w:val="SubStandard"/>
            </w:pPr>
            <w:r w:rsidRPr="002F043E">
              <w:t xml:space="preserve">Apply </w:t>
            </w:r>
            <w:r w:rsidRPr="0014744D">
              <w:rPr>
                <w:i/>
              </w:rPr>
              <w:t>grades 11–12 Reading standards</w:t>
            </w:r>
            <w:r w:rsidRPr="002F043E">
              <w:t xml:space="preserve"> to literary nonfiction (e.g., “Delineate</w:t>
            </w:r>
            <w:r>
              <w:t xml:space="preserve"> </w:t>
            </w:r>
            <w:r w:rsidRPr="002F043E">
              <w:t xml:space="preserve">and </w:t>
            </w:r>
            <w:r w:rsidRPr="00666DD1">
              <w:t>evaluate</w:t>
            </w:r>
            <w:r w:rsidRPr="00C70FB6">
              <w:t xml:space="preserve"> the reasoning</w:t>
            </w:r>
            <w:r w:rsidRPr="002F043E">
              <w:t xml:space="preserve"> in seminal U.S. texts, including the application</w:t>
            </w:r>
            <w:r>
              <w:t xml:space="preserve"> </w:t>
            </w:r>
            <w:r w:rsidRPr="002F043E">
              <w:t>of constitutional principles and use of legal reasoning [e.g., in U.S. Supreme</w:t>
            </w:r>
            <w:r>
              <w:t xml:space="preserve"> </w:t>
            </w:r>
            <w:r w:rsidRPr="002F043E">
              <w:t>Court Case</w:t>
            </w:r>
            <w:r>
              <w:t xml:space="preserve"> majority opinions and dissents]</w:t>
            </w:r>
            <w:r w:rsidRPr="002F043E">
              <w:t xml:space="preserve"> and the premises, purposes, and</w:t>
            </w:r>
            <w:r>
              <w:t xml:space="preserve"> </w:t>
            </w:r>
            <w:r w:rsidRPr="002F043E">
              <w:t xml:space="preserve">arguments in works of public advocacy (e.g., </w:t>
            </w:r>
            <w:r w:rsidRPr="0014744D">
              <w:rPr>
                <w:i/>
              </w:rPr>
              <w:t>The Federalist</w:t>
            </w:r>
            <w:r w:rsidRPr="002F043E">
              <w:t>, presidential</w:t>
            </w:r>
            <w:r>
              <w:t xml:space="preserve"> </w:t>
            </w:r>
            <w:r w:rsidRPr="002F043E">
              <w:t>addresses]”).</w:t>
            </w:r>
            <w:r w:rsidRPr="002F043E" w:rsidDel="002F043E">
              <w:t xml:space="preserve"> </w:t>
            </w:r>
          </w:p>
        </w:tc>
      </w:tr>
      <w:tr w:rsidR="005027DB" w:rsidRPr="00790BCC" w14:paraId="3064A6A7" w14:textId="77777777" w:rsidTr="0014744D">
        <w:trPr>
          <w:trHeight w:val="350"/>
        </w:trPr>
        <w:tc>
          <w:tcPr>
            <w:tcW w:w="1213" w:type="dxa"/>
            <w:tcBorders>
              <w:top w:val="single" w:sz="4" w:space="0" w:color="auto"/>
            </w:tcBorders>
          </w:tcPr>
          <w:p w14:paraId="080D7A31" w14:textId="77777777" w:rsidR="005027DB" w:rsidRPr="00D23A8B" w:rsidRDefault="005027DB" w:rsidP="007017EB">
            <w:pPr>
              <w:pStyle w:val="TableText"/>
              <w:rPr>
                <w:spacing w:val="-8"/>
              </w:rPr>
            </w:pPr>
            <w:r w:rsidRPr="00D23A8B">
              <w:rPr>
                <w:spacing w:val="-8"/>
              </w:rPr>
              <w:t>SL.11-12.1.a</w:t>
            </w:r>
          </w:p>
        </w:tc>
        <w:tc>
          <w:tcPr>
            <w:tcW w:w="8237" w:type="dxa"/>
            <w:tcBorders>
              <w:top w:val="single" w:sz="4" w:space="0" w:color="auto"/>
            </w:tcBorders>
          </w:tcPr>
          <w:p w14:paraId="08155EA1" w14:textId="4BD33A9A" w:rsidR="005027DB" w:rsidRDefault="005027DB" w:rsidP="009F1A2D">
            <w:pPr>
              <w:pStyle w:val="TableText"/>
            </w:pPr>
            <w:r>
              <w:t xml:space="preserve">Initiate and participate effectively in a range of collaborative discussions (one-on-one, in groups, and teacher-led) with diverse partners on </w:t>
            </w:r>
            <w:r w:rsidRPr="009F1A2D">
              <w:rPr>
                <w:i/>
              </w:rPr>
              <w:t>grades 11–12 topics</w:t>
            </w:r>
            <w:r>
              <w:t xml:space="preserve">, </w:t>
            </w:r>
            <w:r w:rsidRPr="009F1A2D">
              <w:rPr>
                <w:i/>
              </w:rPr>
              <w:t>texts</w:t>
            </w:r>
            <w:r>
              <w:t xml:space="preserve">, </w:t>
            </w:r>
            <w:r w:rsidRPr="009F1A2D">
              <w:rPr>
                <w:i/>
              </w:rPr>
              <w:t>and issues</w:t>
            </w:r>
            <w:r>
              <w:t>, building on others’ ideas and expressing their own clearly and persuasively.</w:t>
            </w:r>
          </w:p>
          <w:p w14:paraId="36DBFC23" w14:textId="77777777" w:rsidR="005027DB" w:rsidRDefault="005027DB" w:rsidP="001A6353">
            <w:pPr>
              <w:pStyle w:val="SubStandard"/>
              <w:numPr>
                <w:ilvl w:val="0"/>
                <w:numId w:val="2"/>
              </w:numPr>
            </w:pPr>
            <w:r w:rsidRPr="009D2401">
              <w:lastRenderedPageBreak/>
              <w:t>Come to discussions prepared, having read and researched material under study; explicitly draw on that preparation by referring to evidence from texts and other research on the topic or issue to stimulate a thoughtful, well-reasoned exchange of ideas.</w:t>
            </w:r>
            <w:r w:rsidRPr="00F42BF8">
              <w:t xml:space="preserve"> </w:t>
            </w:r>
          </w:p>
        </w:tc>
      </w:tr>
    </w:tbl>
    <w:p w14:paraId="205A29A4" w14:textId="77777777" w:rsidR="005027DB" w:rsidRPr="00790BCC" w:rsidRDefault="005027DB"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27DB" w:rsidRPr="00790BCC" w14:paraId="0E16280E" w14:textId="77777777" w:rsidTr="00C230C6">
        <w:tc>
          <w:tcPr>
            <w:tcW w:w="9450" w:type="dxa"/>
            <w:shd w:val="clear" w:color="auto" w:fill="76923C"/>
          </w:tcPr>
          <w:p w14:paraId="3DFC2B4E" w14:textId="77777777" w:rsidR="005027DB" w:rsidRPr="008408F3" w:rsidRDefault="005027DB" w:rsidP="007017EB">
            <w:pPr>
              <w:pStyle w:val="TableHeaders"/>
            </w:pPr>
            <w:r w:rsidRPr="008408F3">
              <w:t>Assessment(s)</w:t>
            </w:r>
          </w:p>
        </w:tc>
      </w:tr>
      <w:tr w:rsidR="005027DB" w:rsidRPr="00790BCC" w14:paraId="47657E71" w14:textId="77777777" w:rsidTr="00C230C6">
        <w:tc>
          <w:tcPr>
            <w:tcW w:w="9450" w:type="dxa"/>
          </w:tcPr>
          <w:p w14:paraId="030B56F7" w14:textId="017BF11A" w:rsidR="005027DB" w:rsidRDefault="005027DB" w:rsidP="003E60DE">
            <w:pPr>
              <w:pStyle w:val="TableText"/>
            </w:pPr>
            <w:r>
              <w:t xml:space="preserve">Student learning is assessed via completion of the </w:t>
            </w:r>
            <w:r w:rsidR="0031611F">
              <w:t xml:space="preserve">Evaluating </w:t>
            </w:r>
            <w:r>
              <w:t>Evidence and Reasoning Tool at the end of the lesson.</w:t>
            </w:r>
          </w:p>
          <w:p w14:paraId="6513E5D8" w14:textId="77777777" w:rsidR="005027DB" w:rsidRPr="00790BCC" w:rsidRDefault="005027DB">
            <w:pPr>
              <w:pStyle w:val="IN"/>
            </w:pPr>
            <w:r w:rsidRPr="003E60DE">
              <w:t>The</w:t>
            </w:r>
            <w:r>
              <w:t xml:space="preserve"> Evaluating</w:t>
            </w:r>
            <w:r w:rsidRPr="003E60DE">
              <w:t xml:space="preserve"> Evidence and Reasoning Tool serves as the assessment for this lesson.</w:t>
            </w:r>
          </w:p>
        </w:tc>
      </w:tr>
      <w:tr w:rsidR="005027DB" w:rsidRPr="00790BCC" w14:paraId="5D27AC5D" w14:textId="77777777" w:rsidTr="00C230C6">
        <w:tc>
          <w:tcPr>
            <w:tcW w:w="9450" w:type="dxa"/>
            <w:shd w:val="clear" w:color="auto" w:fill="76923C"/>
          </w:tcPr>
          <w:p w14:paraId="1BB07FE8" w14:textId="77777777" w:rsidR="005027DB" w:rsidRPr="008408F3" w:rsidRDefault="005027DB" w:rsidP="007017EB">
            <w:pPr>
              <w:pStyle w:val="TableHeaders"/>
            </w:pPr>
            <w:r w:rsidRPr="008408F3">
              <w:t>High Performance Response(s)</w:t>
            </w:r>
          </w:p>
        </w:tc>
      </w:tr>
      <w:tr w:rsidR="005027DB" w:rsidRPr="00790BCC" w14:paraId="173FBB00" w14:textId="77777777" w:rsidTr="00C230C6">
        <w:tc>
          <w:tcPr>
            <w:tcW w:w="9450" w:type="dxa"/>
          </w:tcPr>
          <w:p w14:paraId="560C57C1" w14:textId="77777777" w:rsidR="005027DB" w:rsidRPr="00790BCC" w:rsidRDefault="005027DB" w:rsidP="00D31F4D">
            <w:pPr>
              <w:pStyle w:val="TableText"/>
            </w:pPr>
            <w:r w:rsidRPr="00790BCC">
              <w:t>A High Performance Response should:</w:t>
            </w:r>
          </w:p>
          <w:p w14:paraId="328F7D80" w14:textId="6215B41F" w:rsidR="005027DB" w:rsidRDefault="005027DB" w:rsidP="00425CEF">
            <w:pPr>
              <w:pStyle w:val="BulletedList"/>
            </w:pPr>
            <w:r>
              <w:t xml:space="preserve">Identify a specific excerpt from </w:t>
            </w:r>
            <w:r w:rsidRPr="006C2155">
              <w:t>the text (e.g.,</w:t>
            </w:r>
            <w:r>
              <w:t xml:space="preserve"> </w:t>
            </w:r>
            <w:r w:rsidRPr="000C66FE">
              <w:rPr>
                <w:i/>
              </w:rPr>
              <w:t>Guns, Germs, and Steel</w:t>
            </w:r>
            <w:r>
              <w:t>, pages 71–78).</w:t>
            </w:r>
          </w:p>
          <w:p w14:paraId="45CE710A" w14:textId="77777777" w:rsidR="005027DB" w:rsidRDefault="005027DB" w:rsidP="00425CEF">
            <w:pPr>
              <w:pStyle w:val="BulletedList"/>
            </w:pPr>
            <w:r>
              <w:t xml:space="preserve">Identify a claim in </w:t>
            </w:r>
            <w:r w:rsidRPr="006C2155">
              <w:t xml:space="preserve">this excerpt (e.g., </w:t>
            </w:r>
            <w:r>
              <w:t>“</w:t>
            </w:r>
            <w:r w:rsidRPr="007D75BA">
              <w:t>Pizarro’s capture of Atahuallpa illustrates the set of proximate factors that resulted in Europeans’ colonizing the New World</w:t>
            </w:r>
            <w:r>
              <w:t>” (p. 78)</w:t>
            </w:r>
            <w:r w:rsidRPr="006C2155">
              <w:t>).</w:t>
            </w:r>
          </w:p>
          <w:p w14:paraId="1BD368CC" w14:textId="75ABE648" w:rsidR="005027DB" w:rsidRDefault="005027DB" w:rsidP="00425CEF">
            <w:pPr>
              <w:pStyle w:val="BulletedList"/>
            </w:pPr>
            <w:r>
              <w:t>Identify evidence</w:t>
            </w:r>
            <w:r w:rsidRPr="00DD00ED">
              <w:t xml:space="preserve"> and </w:t>
            </w:r>
            <w:r>
              <w:t>reasoning</w:t>
            </w:r>
            <w:r w:rsidRPr="00DD00ED">
              <w:t xml:space="preserve"> in the text (e.g., </w:t>
            </w:r>
            <w:r>
              <w:t>Evidence in the text includes: t</w:t>
            </w:r>
            <w:r w:rsidRPr="009F1A2D">
              <w:t>he use of horses at Cajamarca</w:t>
            </w:r>
            <w:r>
              <w:t>, which</w:t>
            </w:r>
            <w:r w:rsidRPr="009F1A2D">
              <w:t xml:space="preserve"> “exemplifies a military weapon that remained potent for 6,000 years, until the early 20</w:t>
            </w:r>
            <w:r w:rsidRPr="001B3CB7">
              <w:t>th</w:t>
            </w:r>
            <w:r w:rsidRPr="009F1A2D">
              <w:t xml:space="preserve"> century, and that was eventually applied </w:t>
            </w:r>
            <w:r>
              <w:t xml:space="preserve">on all the continents” (p. 74); the fact that </w:t>
            </w:r>
            <w:r w:rsidRPr="009F1A2D">
              <w:t>“Pizarro came to Cajamarca by means of Europea</w:t>
            </w:r>
            <w:r>
              <w:t xml:space="preserve">n maritime technology” (p. 75); and the fact that </w:t>
            </w:r>
            <w:r>
              <w:br/>
              <w:t>the “Spaniards’ had</w:t>
            </w:r>
            <w:r w:rsidRPr="009F1A2D">
              <w:t xml:space="preserve"> steel swords and other weapons, steel armor, guns, and horses” (p. 72)</w:t>
            </w:r>
            <w:r>
              <w:t>, giving them a military advantage over Pizarro</w:t>
            </w:r>
            <w:r w:rsidRPr="009F1A2D">
              <w:t>.</w:t>
            </w:r>
            <w:r>
              <w:t xml:space="preserve"> </w:t>
            </w:r>
            <w:r w:rsidRPr="00DD00ED">
              <w:t>Diamond reasons that these factors amounted to “imbalances of equipment</w:t>
            </w:r>
            <w:r>
              <w:t xml:space="preserve"> [which]</w:t>
            </w:r>
            <w:r w:rsidRPr="00DD00ED">
              <w:t xml:space="preserve"> were decisive in innumerable other confrontations of Europeans with Native Americans and other peoples” (p. 72). He explains that there were dozens of times when “a few dozen European horsemen routed thousands of Indians with great slaughter” (p</w:t>
            </w:r>
            <w:r>
              <w:t>p</w:t>
            </w:r>
            <w:r w:rsidRPr="00DD00ED">
              <w:t>.</w:t>
            </w:r>
            <w:r>
              <w:t xml:space="preserve"> 72–</w:t>
            </w:r>
            <w:r w:rsidRPr="00DD00ED">
              <w:t>73) and reasons that the same set of factors played the deciding role</w:t>
            </w:r>
            <w:r>
              <w:t xml:space="preserve"> in other conflicts between colonizers and natives</w:t>
            </w:r>
            <w:r w:rsidRPr="00DD00ED">
              <w:t>.).</w:t>
            </w:r>
            <w:r>
              <w:t xml:space="preserve"> </w:t>
            </w:r>
          </w:p>
          <w:p w14:paraId="18681D9F" w14:textId="618932DB" w:rsidR="005027DB" w:rsidRPr="00E12186" w:rsidRDefault="005027DB" w:rsidP="007B01CD">
            <w:pPr>
              <w:pStyle w:val="BulletedList"/>
              <w:keepNext/>
              <w:keepLines/>
              <w:outlineLvl w:val="3"/>
            </w:pPr>
            <w:r w:rsidRPr="00E12186">
              <w:t>Evaluate whether the evidence is relevant and sufficient (</w:t>
            </w:r>
            <w:r>
              <w:t>e.g</w:t>
            </w:r>
            <w:r w:rsidRPr="00A0154D">
              <w:t>.</w:t>
            </w:r>
            <w:r>
              <w:t xml:space="preserve">, Each example of evidence is relevant to the claim because it provides a specific example of one of “the set of proximate factors” (p. 78) that led to Atahuallpa’s defeat and was instrumental in many other conflicts between European colonizers and New World natives. </w:t>
            </w:r>
            <w:r w:rsidRPr="006113CB">
              <w:t>The evidence selected is sufficient to support the claim</w:t>
            </w:r>
            <w:r>
              <w:t xml:space="preserve"> because it shows how several combined factors ensured </w:t>
            </w:r>
            <w:r w:rsidRPr="006113CB">
              <w:t>Atahuallpa</w:t>
            </w:r>
            <w:r>
              <w:t>’s capture</w:t>
            </w:r>
            <w:r w:rsidRPr="006113CB">
              <w:t xml:space="preserve"> and </w:t>
            </w:r>
            <w:r>
              <w:t xml:space="preserve">the </w:t>
            </w:r>
            <w:r w:rsidRPr="006113CB">
              <w:t>Spaniards</w:t>
            </w:r>
            <w:r>
              <w:t>’ victory</w:t>
            </w:r>
            <w:r w:rsidRPr="006113CB">
              <w:t xml:space="preserve"> at Cajamarca</w:t>
            </w:r>
            <w:r>
              <w:t>. Diamond provides further evidence to indicate that these same factors were instrumental in the “Europeans’ colonizing of the New World” (p. 78).</w:t>
            </w:r>
            <w:r w:rsidR="0031611F">
              <w:t>).</w:t>
            </w:r>
          </w:p>
          <w:p w14:paraId="6D45297C" w14:textId="4FC26DD9" w:rsidR="005027DB" w:rsidRPr="001B3CB7" w:rsidRDefault="005027DB" w:rsidP="006545E8">
            <w:pPr>
              <w:pStyle w:val="BulletedList"/>
              <w:rPr>
                <w:b/>
                <w:bCs/>
                <w:i/>
                <w:iCs/>
                <w:color w:val="4F81BD"/>
              </w:rPr>
            </w:pPr>
            <w:r w:rsidRPr="00E12186">
              <w:lastRenderedPageBreak/>
              <w:t>Evaluate</w:t>
            </w:r>
            <w:r w:rsidRPr="00DD00ED">
              <w:t xml:space="preserve"> </w:t>
            </w:r>
            <w:r w:rsidRPr="006545E8">
              <w:t>whether</w:t>
            </w:r>
            <w:r w:rsidRPr="00DD00ED">
              <w:t xml:space="preserve"> the reasoning is valid</w:t>
            </w:r>
            <w:r w:rsidRPr="00DD00ED" w:rsidDel="004D2F7C">
              <w:t xml:space="preserve"> </w:t>
            </w:r>
            <w:r w:rsidRPr="00DD00ED">
              <w:t>(e.g.,</w:t>
            </w:r>
            <w:r>
              <w:t xml:space="preserve"> The </w:t>
            </w:r>
            <w:r w:rsidRPr="002A46AB">
              <w:t>reasoning is valid be</w:t>
            </w:r>
            <w:r w:rsidRPr="00391599">
              <w:t xml:space="preserve">cause </w:t>
            </w:r>
            <w:r>
              <w:t xml:space="preserve">Diamond uses sound logic to demonstrate that </w:t>
            </w:r>
            <w:r w:rsidRPr="00391599">
              <w:t>the factors of military disparity and “equipment</w:t>
            </w:r>
            <w:r>
              <w:t>” (p. 72)</w:t>
            </w:r>
            <w:r w:rsidRPr="003A7B3C">
              <w:t xml:space="preserve"> made the difference between victory and defeat</w:t>
            </w:r>
            <w:r>
              <w:t xml:space="preserve"> at Cajamarca and many other times in history between colonizers and natives).  </w:t>
            </w:r>
          </w:p>
          <w:p w14:paraId="11557A41" w14:textId="77777777" w:rsidR="005027DB" w:rsidRPr="00790BCC" w:rsidRDefault="005027DB" w:rsidP="001B3CB7">
            <w:pPr>
              <w:pStyle w:val="IN"/>
            </w:pPr>
            <w:r>
              <w:t>See Model Evaluating</w:t>
            </w:r>
            <w:r w:rsidRPr="003E60DE">
              <w:t xml:space="preserve"> Evidence and Reasoning Tool</w:t>
            </w:r>
            <w:r>
              <w:t xml:space="preserve"> at the end of this lesson.</w:t>
            </w:r>
          </w:p>
        </w:tc>
      </w:tr>
    </w:tbl>
    <w:p w14:paraId="02F5A900" w14:textId="77777777" w:rsidR="005027DB" w:rsidRPr="00790BCC" w:rsidRDefault="005027DB"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27DB" w:rsidRPr="00790BCC" w14:paraId="16992D28" w14:textId="77777777" w:rsidTr="00C230C6">
        <w:tc>
          <w:tcPr>
            <w:tcW w:w="9450" w:type="dxa"/>
            <w:shd w:val="clear" w:color="auto" w:fill="76923C"/>
          </w:tcPr>
          <w:p w14:paraId="256108BE" w14:textId="77777777" w:rsidR="005027DB" w:rsidRPr="008408F3" w:rsidRDefault="005027DB" w:rsidP="00495FD3">
            <w:pPr>
              <w:pStyle w:val="TableHeaders"/>
            </w:pPr>
            <w:r w:rsidRPr="008408F3">
              <w:t>Vocabulary to provide directly (will not include extended instruction)</w:t>
            </w:r>
          </w:p>
        </w:tc>
      </w:tr>
      <w:tr w:rsidR="005027DB" w:rsidRPr="00790BCC" w14:paraId="1F98B3B4" w14:textId="77777777" w:rsidTr="00C230C6">
        <w:tc>
          <w:tcPr>
            <w:tcW w:w="9450" w:type="dxa"/>
          </w:tcPr>
          <w:p w14:paraId="0D6610A1" w14:textId="77777777" w:rsidR="005027DB" w:rsidRPr="00790BCC" w:rsidRDefault="005027DB" w:rsidP="00495FD3">
            <w:pPr>
              <w:pStyle w:val="BulletedList"/>
            </w:pPr>
            <w:r>
              <w:t>None.*</w:t>
            </w:r>
          </w:p>
        </w:tc>
      </w:tr>
      <w:tr w:rsidR="005027DB" w:rsidRPr="00790BCC" w14:paraId="73C681D8" w14:textId="77777777" w:rsidTr="00C230C6">
        <w:tc>
          <w:tcPr>
            <w:tcW w:w="9450" w:type="dxa"/>
            <w:shd w:val="clear" w:color="auto" w:fill="76923C"/>
          </w:tcPr>
          <w:p w14:paraId="4032B13F" w14:textId="77777777" w:rsidR="005027DB" w:rsidRPr="008408F3" w:rsidRDefault="005027DB" w:rsidP="00495FD3">
            <w:pPr>
              <w:pStyle w:val="TableHeaders"/>
            </w:pPr>
            <w:r w:rsidRPr="008408F3">
              <w:t>Vocabulary to teach (may include direct word work and/or questions)</w:t>
            </w:r>
          </w:p>
        </w:tc>
      </w:tr>
      <w:tr w:rsidR="005027DB" w:rsidRPr="00790BCC" w14:paraId="683B37FD" w14:textId="77777777" w:rsidTr="00C230C6">
        <w:tc>
          <w:tcPr>
            <w:tcW w:w="9450" w:type="dxa"/>
          </w:tcPr>
          <w:p w14:paraId="21703202" w14:textId="77777777" w:rsidR="005027DB" w:rsidRPr="00790BCC" w:rsidRDefault="005027DB" w:rsidP="00495FD3">
            <w:pPr>
              <w:pStyle w:val="BulletedList"/>
            </w:pPr>
            <w:r>
              <w:t>None.*</w:t>
            </w:r>
          </w:p>
        </w:tc>
      </w:tr>
      <w:tr w:rsidR="005027DB" w:rsidRPr="00790BCC" w14:paraId="1DD92F96" w14:textId="77777777" w:rsidTr="00C230C6">
        <w:tc>
          <w:tcPr>
            <w:tcW w:w="9450" w:type="dxa"/>
            <w:shd w:val="clear" w:color="auto" w:fill="76923C"/>
          </w:tcPr>
          <w:p w14:paraId="42DFC6C4" w14:textId="77777777" w:rsidR="005027DB" w:rsidRPr="008408F3" w:rsidRDefault="005027DB" w:rsidP="00495FD3">
            <w:pPr>
              <w:pStyle w:val="TableHeaders"/>
            </w:pPr>
            <w:r w:rsidRPr="008408F3">
              <w:t>Additional vocabulary to support English Language Learners (to provide directly)</w:t>
            </w:r>
          </w:p>
        </w:tc>
      </w:tr>
      <w:tr w:rsidR="005027DB" w:rsidRPr="00790BCC" w14:paraId="0AB77B0D" w14:textId="77777777" w:rsidTr="00C230C6">
        <w:tc>
          <w:tcPr>
            <w:tcW w:w="9450" w:type="dxa"/>
          </w:tcPr>
          <w:p w14:paraId="300353ED" w14:textId="77777777" w:rsidR="005027DB" w:rsidRPr="00790BCC" w:rsidRDefault="005027DB" w:rsidP="00495FD3">
            <w:pPr>
              <w:pStyle w:val="BulletedList"/>
            </w:pPr>
            <w:r>
              <w:t>None.*</w:t>
            </w:r>
          </w:p>
        </w:tc>
      </w:tr>
    </w:tbl>
    <w:p w14:paraId="3BF84DEE" w14:textId="58190F33" w:rsidR="005027DB" w:rsidRPr="00531F2C" w:rsidRDefault="005027DB" w:rsidP="00425CEF">
      <w:pPr>
        <w:rPr>
          <w:sz w:val="18"/>
          <w:szCs w:val="18"/>
        </w:rPr>
      </w:pPr>
      <w:r w:rsidRPr="00531F2C">
        <w:rPr>
          <w:sz w:val="18"/>
          <w:szCs w:val="18"/>
        </w:rPr>
        <w:t>*</w:t>
      </w:r>
      <w:r w:rsidR="006545E8" w:rsidRPr="006545E8">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006545E8" w:rsidRPr="00531F2C">
        <w:rPr>
          <w:sz w:val="18"/>
          <w:szCs w:val="18"/>
        </w:rPr>
        <w:t xml:space="preserve"> </w:t>
      </w:r>
    </w:p>
    <w:p w14:paraId="3FD283BE" w14:textId="77777777" w:rsidR="005027DB" w:rsidRPr="00790BCC" w:rsidRDefault="005027DB"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7"/>
        <w:gridCol w:w="1913"/>
      </w:tblGrid>
      <w:tr w:rsidR="005027DB" w:rsidRPr="00790BCC" w14:paraId="0547C78C" w14:textId="77777777" w:rsidTr="00C230C6">
        <w:tc>
          <w:tcPr>
            <w:tcW w:w="7537" w:type="dxa"/>
            <w:shd w:val="clear" w:color="auto" w:fill="76923C"/>
          </w:tcPr>
          <w:p w14:paraId="0A14F987" w14:textId="77777777" w:rsidR="005027DB" w:rsidRPr="008408F3" w:rsidRDefault="005027DB" w:rsidP="00D31F4D">
            <w:pPr>
              <w:pStyle w:val="TableHeaders"/>
            </w:pPr>
            <w:r w:rsidRPr="008408F3">
              <w:t>Student-Facing Agenda</w:t>
            </w:r>
          </w:p>
        </w:tc>
        <w:tc>
          <w:tcPr>
            <w:tcW w:w="1913" w:type="dxa"/>
            <w:shd w:val="clear" w:color="auto" w:fill="76923C"/>
          </w:tcPr>
          <w:p w14:paraId="61B559ED" w14:textId="77777777" w:rsidR="005027DB" w:rsidRPr="008408F3" w:rsidRDefault="005027DB" w:rsidP="00D31F4D">
            <w:pPr>
              <w:pStyle w:val="TableHeaders"/>
            </w:pPr>
            <w:r w:rsidRPr="008408F3">
              <w:t>% of Lesson</w:t>
            </w:r>
          </w:p>
        </w:tc>
      </w:tr>
      <w:tr w:rsidR="005027DB" w:rsidRPr="00790BCC" w14:paraId="5F30EC28" w14:textId="77777777" w:rsidTr="00C230C6">
        <w:trPr>
          <w:trHeight w:val="1313"/>
        </w:trPr>
        <w:tc>
          <w:tcPr>
            <w:tcW w:w="7537" w:type="dxa"/>
            <w:tcBorders>
              <w:bottom w:val="nil"/>
            </w:tcBorders>
          </w:tcPr>
          <w:p w14:paraId="2DBEEF4C" w14:textId="77777777" w:rsidR="005027DB" w:rsidRPr="00D31F4D" w:rsidRDefault="005027DB" w:rsidP="00D31F4D">
            <w:pPr>
              <w:pStyle w:val="TableText"/>
              <w:rPr>
                <w:b/>
              </w:rPr>
            </w:pPr>
            <w:r w:rsidRPr="00D31F4D">
              <w:rPr>
                <w:b/>
              </w:rPr>
              <w:t>Standards &amp; Text:</w:t>
            </w:r>
          </w:p>
          <w:p w14:paraId="10EEFB3F" w14:textId="77777777" w:rsidR="005027DB" w:rsidRPr="00790BCC" w:rsidRDefault="005027DB" w:rsidP="0034571D">
            <w:pPr>
              <w:pStyle w:val="BulletedList"/>
            </w:pPr>
            <w:r>
              <w:t>Standards: CCRA.R.8, W.11-12.9.b, SL.11-12.1.a</w:t>
            </w:r>
          </w:p>
          <w:p w14:paraId="3B29620D" w14:textId="5B198D62" w:rsidR="005027DB" w:rsidRPr="00790BCC" w:rsidRDefault="005027DB" w:rsidP="00BF7992">
            <w:pPr>
              <w:pStyle w:val="BulletedList"/>
            </w:pPr>
            <w:r>
              <w:t xml:space="preserve">Text: </w:t>
            </w:r>
            <w:r w:rsidRPr="004A335B">
              <w:rPr>
                <w:i/>
              </w:rPr>
              <w:t>Guns, Germs, and Steel</w:t>
            </w:r>
            <w:r>
              <w:t xml:space="preserve"> by Jared Diamond, p</w:t>
            </w:r>
            <w:r w:rsidR="00BF7992">
              <w:t>ages</w:t>
            </w:r>
            <w:r>
              <w:t xml:space="preserve"> 13–2</w:t>
            </w:r>
            <w:r w:rsidR="00D829E9">
              <w:t>5, 65–78, 229–249, and 439–446</w:t>
            </w:r>
          </w:p>
        </w:tc>
        <w:tc>
          <w:tcPr>
            <w:tcW w:w="1913" w:type="dxa"/>
            <w:tcBorders>
              <w:bottom w:val="nil"/>
            </w:tcBorders>
          </w:tcPr>
          <w:p w14:paraId="3DA34F1C" w14:textId="77777777" w:rsidR="005027DB" w:rsidRPr="00790BCC" w:rsidRDefault="005027DB" w:rsidP="00790BCC"/>
          <w:p w14:paraId="3D1EBC77" w14:textId="77777777" w:rsidR="005027DB" w:rsidRPr="00790BCC" w:rsidRDefault="005027DB" w:rsidP="00790BCC">
            <w:pPr>
              <w:spacing w:after="60" w:line="240" w:lineRule="auto"/>
            </w:pPr>
          </w:p>
        </w:tc>
      </w:tr>
      <w:tr w:rsidR="005027DB" w:rsidRPr="00B17E90" w14:paraId="04C9FF39" w14:textId="77777777" w:rsidTr="00C230C6">
        <w:tc>
          <w:tcPr>
            <w:tcW w:w="7537" w:type="dxa"/>
            <w:tcBorders>
              <w:top w:val="nil"/>
            </w:tcBorders>
          </w:tcPr>
          <w:p w14:paraId="72E0ACF2" w14:textId="77777777" w:rsidR="005027DB" w:rsidRPr="00B17E90" w:rsidRDefault="005027DB" w:rsidP="00D31F4D">
            <w:pPr>
              <w:pStyle w:val="TableText"/>
              <w:rPr>
                <w:b/>
              </w:rPr>
            </w:pPr>
            <w:r w:rsidRPr="00B17E90">
              <w:rPr>
                <w:b/>
              </w:rPr>
              <w:t>Learning Sequence:</w:t>
            </w:r>
          </w:p>
          <w:p w14:paraId="3057A7C4" w14:textId="77777777" w:rsidR="005027DB" w:rsidRPr="00666DD1" w:rsidRDefault="005027DB" w:rsidP="001A6353">
            <w:pPr>
              <w:pStyle w:val="TableText"/>
              <w:numPr>
                <w:ilvl w:val="0"/>
                <w:numId w:val="3"/>
              </w:numPr>
            </w:pPr>
            <w:r w:rsidRPr="00B17E90">
              <w:t>Introduction of Lesson Agenda</w:t>
            </w:r>
          </w:p>
          <w:p w14:paraId="2DCBDAC1" w14:textId="77777777" w:rsidR="005027DB" w:rsidRPr="00666DD1" w:rsidRDefault="005027DB" w:rsidP="001A6353">
            <w:pPr>
              <w:pStyle w:val="TableText"/>
              <w:numPr>
                <w:ilvl w:val="0"/>
                <w:numId w:val="3"/>
              </w:numPr>
            </w:pPr>
            <w:r w:rsidRPr="00B17E90">
              <w:t>Homework Accountability</w:t>
            </w:r>
          </w:p>
          <w:p w14:paraId="0093DBB5" w14:textId="77777777" w:rsidR="005027DB" w:rsidRPr="00666DD1" w:rsidRDefault="005027DB" w:rsidP="001A6353">
            <w:pPr>
              <w:pStyle w:val="TableText"/>
              <w:numPr>
                <w:ilvl w:val="0"/>
                <w:numId w:val="3"/>
              </w:numPr>
            </w:pPr>
            <w:r w:rsidRPr="00666DD1">
              <w:t>Evaluating Evidence and Reasoning</w:t>
            </w:r>
          </w:p>
          <w:p w14:paraId="43606E12" w14:textId="416FCE54" w:rsidR="005027DB" w:rsidRPr="00666DD1" w:rsidRDefault="005027DB" w:rsidP="001A6353">
            <w:pPr>
              <w:pStyle w:val="TableText"/>
              <w:numPr>
                <w:ilvl w:val="0"/>
                <w:numId w:val="3"/>
              </w:numPr>
            </w:pPr>
            <w:r w:rsidRPr="00B17E90">
              <w:t>Evaluating Evidence and Reasoning Tool</w:t>
            </w:r>
            <w:r w:rsidR="0031611F">
              <w:t xml:space="preserve"> and Assessment</w:t>
            </w:r>
          </w:p>
          <w:p w14:paraId="656B6EAC" w14:textId="77777777" w:rsidR="005027DB" w:rsidRPr="00666DD1" w:rsidRDefault="005027DB" w:rsidP="001A6353">
            <w:pPr>
              <w:pStyle w:val="TableText"/>
              <w:numPr>
                <w:ilvl w:val="0"/>
                <w:numId w:val="3"/>
              </w:numPr>
            </w:pPr>
            <w:r w:rsidRPr="00B17E90">
              <w:t>Closing</w:t>
            </w:r>
          </w:p>
        </w:tc>
        <w:tc>
          <w:tcPr>
            <w:tcW w:w="1913" w:type="dxa"/>
            <w:tcBorders>
              <w:top w:val="nil"/>
            </w:tcBorders>
          </w:tcPr>
          <w:p w14:paraId="6581A263" w14:textId="77777777" w:rsidR="005027DB" w:rsidRPr="00B17E90" w:rsidRDefault="005027DB" w:rsidP="00790BCC">
            <w:pPr>
              <w:spacing w:before="40" w:after="40"/>
            </w:pPr>
          </w:p>
          <w:p w14:paraId="393F8B01" w14:textId="77777777" w:rsidR="005027DB" w:rsidRPr="00666DD1" w:rsidRDefault="005027DB" w:rsidP="001A6353">
            <w:pPr>
              <w:pStyle w:val="TableText"/>
              <w:numPr>
                <w:ilvl w:val="0"/>
                <w:numId w:val="4"/>
              </w:numPr>
            </w:pPr>
            <w:r w:rsidRPr="00B17E90">
              <w:t>5%</w:t>
            </w:r>
          </w:p>
          <w:p w14:paraId="55C47370" w14:textId="77777777" w:rsidR="005027DB" w:rsidRPr="00666DD1" w:rsidRDefault="005027DB" w:rsidP="001A6353">
            <w:pPr>
              <w:pStyle w:val="TableText"/>
              <w:numPr>
                <w:ilvl w:val="0"/>
                <w:numId w:val="4"/>
              </w:numPr>
            </w:pPr>
            <w:r w:rsidRPr="00B17E90">
              <w:t>10%</w:t>
            </w:r>
          </w:p>
          <w:p w14:paraId="6C8D73DD" w14:textId="77777777" w:rsidR="005027DB" w:rsidRPr="00666DD1" w:rsidRDefault="005027DB" w:rsidP="001A6353">
            <w:pPr>
              <w:pStyle w:val="TableText"/>
              <w:numPr>
                <w:ilvl w:val="0"/>
                <w:numId w:val="4"/>
              </w:numPr>
            </w:pPr>
            <w:r w:rsidRPr="00B17E90">
              <w:t>40%</w:t>
            </w:r>
          </w:p>
          <w:p w14:paraId="09A2DFDF" w14:textId="77777777" w:rsidR="005027DB" w:rsidRPr="00666DD1" w:rsidRDefault="005027DB" w:rsidP="001A6353">
            <w:pPr>
              <w:pStyle w:val="TableText"/>
              <w:numPr>
                <w:ilvl w:val="0"/>
                <w:numId w:val="4"/>
              </w:numPr>
            </w:pPr>
            <w:r w:rsidRPr="00B17E90">
              <w:t>40%</w:t>
            </w:r>
          </w:p>
          <w:p w14:paraId="487327C8" w14:textId="77777777" w:rsidR="005027DB" w:rsidRPr="00666DD1" w:rsidRDefault="005027DB" w:rsidP="001A6353">
            <w:pPr>
              <w:pStyle w:val="TableText"/>
              <w:numPr>
                <w:ilvl w:val="0"/>
                <w:numId w:val="4"/>
              </w:numPr>
            </w:pPr>
            <w:r w:rsidRPr="00B17E90">
              <w:t>5%</w:t>
            </w:r>
          </w:p>
        </w:tc>
      </w:tr>
    </w:tbl>
    <w:p w14:paraId="5450DFD5" w14:textId="77777777" w:rsidR="005027DB" w:rsidRPr="00B17E90" w:rsidRDefault="005027DB" w:rsidP="00D31F4D">
      <w:pPr>
        <w:pStyle w:val="Heading1"/>
      </w:pPr>
      <w:r w:rsidRPr="00B17E90">
        <w:lastRenderedPageBreak/>
        <w:t>Materials</w:t>
      </w:r>
    </w:p>
    <w:p w14:paraId="3DA7DC13" w14:textId="77777777" w:rsidR="005027DB" w:rsidRPr="00790BCC" w:rsidRDefault="005027DB" w:rsidP="00425CEF">
      <w:pPr>
        <w:pStyle w:val="BulletedList"/>
      </w:pPr>
      <w:r w:rsidRPr="00B17E90">
        <w:t xml:space="preserve">Copies of the </w:t>
      </w:r>
      <w:r w:rsidRPr="00666DD1">
        <w:t>Evaluating Evidence and</w:t>
      </w:r>
      <w:r>
        <w:t xml:space="preserve"> Reasoning Tool for each student</w:t>
      </w:r>
    </w:p>
    <w:p w14:paraId="6BB29BBE" w14:textId="77777777" w:rsidR="005027DB" w:rsidRDefault="005027DB"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56"/>
      </w:tblGrid>
      <w:tr w:rsidR="005027DB" w:rsidRPr="00D31F4D" w14:paraId="2F06EA94" w14:textId="77777777" w:rsidTr="008408F3">
        <w:tc>
          <w:tcPr>
            <w:tcW w:w="9450" w:type="dxa"/>
            <w:gridSpan w:val="2"/>
            <w:shd w:val="clear" w:color="auto" w:fill="76923C"/>
          </w:tcPr>
          <w:p w14:paraId="3E0DB5DE" w14:textId="77777777" w:rsidR="005027DB" w:rsidRPr="008408F3" w:rsidRDefault="005027DB" w:rsidP="009450B7">
            <w:pPr>
              <w:pStyle w:val="TableHeaders"/>
              <w:rPr>
                <w:sz w:val="20"/>
                <w:szCs w:val="20"/>
              </w:rPr>
            </w:pPr>
            <w:r w:rsidRPr="008408F3">
              <w:rPr>
                <w:szCs w:val="20"/>
              </w:rPr>
              <w:t>How to Use the Learning Sequence</w:t>
            </w:r>
          </w:p>
        </w:tc>
      </w:tr>
      <w:tr w:rsidR="005027DB" w:rsidRPr="00D31F4D" w14:paraId="180E9F0E" w14:textId="77777777" w:rsidTr="008408F3">
        <w:tc>
          <w:tcPr>
            <w:tcW w:w="894" w:type="dxa"/>
            <w:shd w:val="clear" w:color="auto" w:fill="76923C"/>
          </w:tcPr>
          <w:p w14:paraId="3761FCF1" w14:textId="77777777" w:rsidR="005027DB" w:rsidRPr="008408F3" w:rsidRDefault="005027DB" w:rsidP="00D31F4D">
            <w:pPr>
              <w:pStyle w:val="TableHeaders"/>
              <w:rPr>
                <w:szCs w:val="20"/>
              </w:rPr>
            </w:pPr>
            <w:r w:rsidRPr="008408F3">
              <w:rPr>
                <w:szCs w:val="20"/>
              </w:rPr>
              <w:t>Symbol</w:t>
            </w:r>
          </w:p>
        </w:tc>
        <w:tc>
          <w:tcPr>
            <w:tcW w:w="8556" w:type="dxa"/>
            <w:shd w:val="clear" w:color="auto" w:fill="76923C"/>
          </w:tcPr>
          <w:p w14:paraId="453186D6" w14:textId="77777777" w:rsidR="005027DB" w:rsidRPr="008408F3" w:rsidRDefault="005027DB" w:rsidP="00D31F4D">
            <w:pPr>
              <w:pStyle w:val="TableHeaders"/>
              <w:rPr>
                <w:szCs w:val="20"/>
              </w:rPr>
            </w:pPr>
            <w:r w:rsidRPr="008408F3">
              <w:rPr>
                <w:szCs w:val="20"/>
              </w:rPr>
              <w:t>Type of Text &amp; Interpretation of the Symbol</w:t>
            </w:r>
          </w:p>
        </w:tc>
      </w:tr>
      <w:tr w:rsidR="005027DB" w:rsidRPr="00D31F4D" w14:paraId="39048250" w14:textId="77777777" w:rsidTr="008408F3">
        <w:tc>
          <w:tcPr>
            <w:tcW w:w="894" w:type="dxa"/>
          </w:tcPr>
          <w:p w14:paraId="03F8915D" w14:textId="77777777" w:rsidR="005027DB" w:rsidRPr="008408F3" w:rsidRDefault="005027DB" w:rsidP="008408F3">
            <w:pPr>
              <w:spacing w:before="20" w:after="20" w:line="240" w:lineRule="auto"/>
              <w:jc w:val="center"/>
              <w:rPr>
                <w:b/>
                <w:color w:val="4F81BD"/>
                <w:sz w:val="20"/>
                <w:szCs w:val="20"/>
              </w:rPr>
            </w:pPr>
            <w:r w:rsidRPr="008408F3">
              <w:rPr>
                <w:b/>
                <w:color w:val="4F81BD"/>
                <w:sz w:val="20"/>
                <w:szCs w:val="20"/>
              </w:rPr>
              <w:t>10%</w:t>
            </w:r>
          </w:p>
        </w:tc>
        <w:tc>
          <w:tcPr>
            <w:tcW w:w="8556" w:type="dxa"/>
          </w:tcPr>
          <w:p w14:paraId="71ED55E1" w14:textId="77777777" w:rsidR="005027DB" w:rsidRPr="008408F3" w:rsidRDefault="005027DB" w:rsidP="008408F3">
            <w:pPr>
              <w:spacing w:before="20" w:after="20" w:line="240" w:lineRule="auto"/>
              <w:rPr>
                <w:b/>
                <w:color w:val="4F81BD"/>
                <w:sz w:val="20"/>
                <w:szCs w:val="20"/>
              </w:rPr>
            </w:pPr>
            <w:r w:rsidRPr="008408F3">
              <w:rPr>
                <w:b/>
                <w:color w:val="4F81BD"/>
                <w:sz w:val="20"/>
                <w:szCs w:val="20"/>
              </w:rPr>
              <w:t>Percentage indicates the percentage of lesson time each activity should take.</w:t>
            </w:r>
          </w:p>
        </w:tc>
      </w:tr>
      <w:tr w:rsidR="005027DB" w:rsidRPr="00D31F4D" w14:paraId="6FA34CF6" w14:textId="77777777" w:rsidTr="008408F3">
        <w:tc>
          <w:tcPr>
            <w:tcW w:w="894" w:type="dxa"/>
            <w:vMerge w:val="restart"/>
            <w:vAlign w:val="center"/>
          </w:tcPr>
          <w:p w14:paraId="7D080E5A" w14:textId="77777777" w:rsidR="005027DB" w:rsidRPr="008408F3" w:rsidRDefault="005027DB" w:rsidP="008408F3">
            <w:pPr>
              <w:spacing w:before="20" w:after="20" w:line="240" w:lineRule="auto"/>
              <w:jc w:val="center"/>
              <w:rPr>
                <w:sz w:val="18"/>
                <w:szCs w:val="20"/>
              </w:rPr>
            </w:pPr>
            <w:r w:rsidRPr="008408F3">
              <w:rPr>
                <w:sz w:val="18"/>
                <w:szCs w:val="20"/>
              </w:rPr>
              <w:t>no symbol</w:t>
            </w:r>
          </w:p>
        </w:tc>
        <w:tc>
          <w:tcPr>
            <w:tcW w:w="8556" w:type="dxa"/>
          </w:tcPr>
          <w:p w14:paraId="391B83FD" w14:textId="77777777" w:rsidR="005027DB" w:rsidRPr="008408F3" w:rsidRDefault="005027DB" w:rsidP="008408F3">
            <w:pPr>
              <w:spacing w:before="20" w:after="20" w:line="240" w:lineRule="auto"/>
              <w:rPr>
                <w:sz w:val="20"/>
                <w:szCs w:val="20"/>
              </w:rPr>
            </w:pPr>
            <w:r w:rsidRPr="008408F3">
              <w:rPr>
                <w:sz w:val="20"/>
                <w:szCs w:val="20"/>
              </w:rPr>
              <w:t>Plain text indicates teacher action.</w:t>
            </w:r>
          </w:p>
        </w:tc>
      </w:tr>
      <w:tr w:rsidR="005027DB" w:rsidRPr="00D31F4D" w14:paraId="10B01BC9" w14:textId="77777777" w:rsidTr="008408F3">
        <w:tc>
          <w:tcPr>
            <w:tcW w:w="894" w:type="dxa"/>
            <w:vMerge/>
          </w:tcPr>
          <w:p w14:paraId="66CC6137" w14:textId="77777777" w:rsidR="005027DB" w:rsidRPr="008408F3" w:rsidRDefault="005027DB" w:rsidP="008408F3">
            <w:pPr>
              <w:spacing w:before="20" w:after="20" w:line="240" w:lineRule="auto"/>
              <w:jc w:val="center"/>
              <w:rPr>
                <w:b/>
                <w:color w:val="000000"/>
                <w:sz w:val="20"/>
                <w:szCs w:val="20"/>
              </w:rPr>
            </w:pPr>
          </w:p>
        </w:tc>
        <w:tc>
          <w:tcPr>
            <w:tcW w:w="8556" w:type="dxa"/>
          </w:tcPr>
          <w:p w14:paraId="49BA71E4" w14:textId="77777777" w:rsidR="005027DB" w:rsidRPr="008408F3" w:rsidRDefault="005027DB" w:rsidP="008408F3">
            <w:pPr>
              <w:spacing w:before="20" w:after="20" w:line="240" w:lineRule="auto"/>
              <w:rPr>
                <w:color w:val="4F81BD"/>
                <w:sz w:val="20"/>
                <w:szCs w:val="20"/>
              </w:rPr>
            </w:pPr>
            <w:r w:rsidRPr="008408F3">
              <w:rPr>
                <w:b/>
                <w:sz w:val="20"/>
                <w:szCs w:val="20"/>
              </w:rPr>
              <w:t>Bold text indicates questions for the teacher to ask students.</w:t>
            </w:r>
          </w:p>
        </w:tc>
      </w:tr>
      <w:tr w:rsidR="005027DB" w:rsidRPr="00D31F4D" w14:paraId="089A7751" w14:textId="77777777" w:rsidTr="008408F3">
        <w:tc>
          <w:tcPr>
            <w:tcW w:w="894" w:type="dxa"/>
            <w:vMerge/>
          </w:tcPr>
          <w:p w14:paraId="4F26AD55" w14:textId="77777777" w:rsidR="005027DB" w:rsidRPr="008408F3" w:rsidRDefault="005027DB" w:rsidP="008408F3">
            <w:pPr>
              <w:spacing w:before="20" w:after="20" w:line="240" w:lineRule="auto"/>
              <w:jc w:val="center"/>
              <w:rPr>
                <w:b/>
                <w:color w:val="000000"/>
                <w:sz w:val="20"/>
                <w:szCs w:val="20"/>
              </w:rPr>
            </w:pPr>
          </w:p>
        </w:tc>
        <w:tc>
          <w:tcPr>
            <w:tcW w:w="8556" w:type="dxa"/>
          </w:tcPr>
          <w:p w14:paraId="19D48261" w14:textId="77777777" w:rsidR="005027DB" w:rsidRPr="008408F3" w:rsidRDefault="005027DB" w:rsidP="008408F3">
            <w:pPr>
              <w:spacing w:before="20" w:after="20" w:line="240" w:lineRule="auto"/>
              <w:rPr>
                <w:i/>
                <w:sz w:val="20"/>
                <w:szCs w:val="20"/>
              </w:rPr>
            </w:pPr>
            <w:r w:rsidRPr="008408F3">
              <w:rPr>
                <w:i/>
                <w:sz w:val="20"/>
                <w:szCs w:val="20"/>
              </w:rPr>
              <w:t>Italicized text indicates a vocabulary word.</w:t>
            </w:r>
          </w:p>
        </w:tc>
      </w:tr>
      <w:tr w:rsidR="005027DB" w:rsidRPr="00D31F4D" w14:paraId="352806CC" w14:textId="77777777" w:rsidTr="0084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8E01B1F" w14:textId="77777777" w:rsidR="005027DB" w:rsidRPr="008408F3" w:rsidRDefault="005027DB" w:rsidP="008408F3">
            <w:pPr>
              <w:spacing w:before="40" w:after="0" w:line="240" w:lineRule="auto"/>
              <w:jc w:val="center"/>
              <w:rPr>
                <w:sz w:val="20"/>
                <w:szCs w:val="20"/>
              </w:rPr>
            </w:pPr>
            <w:r w:rsidRPr="008408F3">
              <w:rPr>
                <w:sz w:val="20"/>
                <w:szCs w:val="20"/>
              </w:rPr>
              <w:sym w:font="Webdings" w:char="F034"/>
            </w:r>
          </w:p>
        </w:tc>
        <w:tc>
          <w:tcPr>
            <w:tcW w:w="8556" w:type="dxa"/>
          </w:tcPr>
          <w:p w14:paraId="387D2CAF" w14:textId="77777777" w:rsidR="005027DB" w:rsidRPr="008408F3" w:rsidRDefault="005027DB" w:rsidP="008408F3">
            <w:pPr>
              <w:spacing w:before="20" w:after="20" w:line="240" w:lineRule="auto"/>
              <w:rPr>
                <w:sz w:val="20"/>
                <w:szCs w:val="20"/>
              </w:rPr>
            </w:pPr>
            <w:r w:rsidRPr="008408F3">
              <w:rPr>
                <w:sz w:val="20"/>
                <w:szCs w:val="20"/>
              </w:rPr>
              <w:t>Indicates student action(s).</w:t>
            </w:r>
          </w:p>
        </w:tc>
      </w:tr>
      <w:tr w:rsidR="005027DB" w:rsidRPr="00D31F4D" w14:paraId="5D16515A" w14:textId="77777777" w:rsidTr="0084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B99960D" w14:textId="77777777" w:rsidR="005027DB" w:rsidRPr="008408F3" w:rsidRDefault="005027DB" w:rsidP="008408F3">
            <w:pPr>
              <w:spacing w:before="80" w:after="0" w:line="240" w:lineRule="auto"/>
              <w:jc w:val="center"/>
              <w:rPr>
                <w:sz w:val="20"/>
                <w:szCs w:val="20"/>
              </w:rPr>
            </w:pPr>
            <w:r w:rsidRPr="008408F3">
              <w:rPr>
                <w:sz w:val="20"/>
                <w:szCs w:val="20"/>
              </w:rPr>
              <w:sym w:font="Webdings" w:char="F028"/>
            </w:r>
          </w:p>
        </w:tc>
        <w:tc>
          <w:tcPr>
            <w:tcW w:w="8556" w:type="dxa"/>
          </w:tcPr>
          <w:p w14:paraId="2E1E57AD" w14:textId="77777777" w:rsidR="005027DB" w:rsidRPr="008408F3" w:rsidRDefault="005027DB" w:rsidP="008408F3">
            <w:pPr>
              <w:spacing w:before="20" w:after="20" w:line="240" w:lineRule="auto"/>
              <w:rPr>
                <w:sz w:val="20"/>
                <w:szCs w:val="20"/>
              </w:rPr>
            </w:pPr>
            <w:r w:rsidRPr="008408F3">
              <w:rPr>
                <w:sz w:val="20"/>
                <w:szCs w:val="20"/>
              </w:rPr>
              <w:t>Indicates possible student response(s) to teacher questions.</w:t>
            </w:r>
          </w:p>
        </w:tc>
      </w:tr>
      <w:tr w:rsidR="005027DB" w:rsidRPr="00D31F4D" w14:paraId="190257D6" w14:textId="77777777" w:rsidTr="008408F3">
        <w:tc>
          <w:tcPr>
            <w:tcW w:w="894" w:type="dxa"/>
            <w:vAlign w:val="bottom"/>
          </w:tcPr>
          <w:p w14:paraId="3C3BCACE" w14:textId="77777777" w:rsidR="005027DB" w:rsidRPr="008408F3" w:rsidRDefault="005027DB" w:rsidP="008408F3">
            <w:pPr>
              <w:spacing w:after="0" w:line="240" w:lineRule="auto"/>
              <w:jc w:val="center"/>
              <w:rPr>
                <w:color w:val="4F81BD"/>
                <w:sz w:val="20"/>
                <w:szCs w:val="20"/>
              </w:rPr>
            </w:pPr>
            <w:r w:rsidRPr="008408F3">
              <w:rPr>
                <w:color w:val="4F81BD"/>
                <w:sz w:val="20"/>
                <w:szCs w:val="20"/>
              </w:rPr>
              <w:sym w:font="Webdings" w:char="F069"/>
            </w:r>
          </w:p>
        </w:tc>
        <w:tc>
          <w:tcPr>
            <w:tcW w:w="8556" w:type="dxa"/>
          </w:tcPr>
          <w:p w14:paraId="5CE003E5" w14:textId="77777777" w:rsidR="005027DB" w:rsidRPr="008408F3" w:rsidRDefault="005027DB" w:rsidP="008408F3">
            <w:pPr>
              <w:spacing w:before="20" w:after="20" w:line="240" w:lineRule="auto"/>
              <w:rPr>
                <w:color w:val="4F81BD"/>
                <w:sz w:val="20"/>
                <w:szCs w:val="20"/>
              </w:rPr>
            </w:pPr>
            <w:r w:rsidRPr="008408F3">
              <w:rPr>
                <w:color w:val="4F81BD"/>
                <w:sz w:val="20"/>
                <w:szCs w:val="20"/>
              </w:rPr>
              <w:t>Indicates instructional notes for the teacher.</w:t>
            </w:r>
          </w:p>
        </w:tc>
      </w:tr>
    </w:tbl>
    <w:p w14:paraId="09F078F3" w14:textId="77777777" w:rsidR="005027DB" w:rsidRPr="00790BCC" w:rsidRDefault="005027DB" w:rsidP="009F1A2D">
      <w:pPr>
        <w:pStyle w:val="LearningSequenceHeader"/>
      </w:pPr>
      <w:r w:rsidRPr="00790BCC">
        <w:t>Activity 1: Introduction of Lesson Agenda</w:t>
      </w:r>
      <w:r w:rsidRPr="00790BCC">
        <w:tab/>
        <w:t>5%</w:t>
      </w:r>
    </w:p>
    <w:p w14:paraId="695CAB56" w14:textId="40C6F914" w:rsidR="005027DB" w:rsidRDefault="005027DB" w:rsidP="004A49C7">
      <w:pPr>
        <w:pStyle w:val="TA"/>
      </w:pPr>
      <w:r>
        <w:t xml:space="preserve">Begin by reviewing the agenda and </w:t>
      </w:r>
      <w:r w:rsidR="0031611F">
        <w:t xml:space="preserve">the </w:t>
      </w:r>
      <w:r>
        <w:t>assessed standard for this le</w:t>
      </w:r>
      <w:r w:rsidRPr="00932263">
        <w:t>sson: CCRA.</w:t>
      </w:r>
      <w:r>
        <w:t>R.</w:t>
      </w:r>
      <w:r w:rsidRPr="00932263">
        <w:t>8. In this lesson, students prepare for the Mid-Unit Assessment</w:t>
      </w:r>
      <w:r>
        <w:t xml:space="preserve"> in 12.3.1 Lesson 12</w:t>
      </w:r>
      <w:r w:rsidRPr="00932263">
        <w:t xml:space="preserve"> by engaging in </w:t>
      </w:r>
      <w:r w:rsidR="0031611F">
        <w:t xml:space="preserve">a </w:t>
      </w:r>
      <w:r w:rsidRPr="00932263">
        <w:t xml:space="preserve">small group </w:t>
      </w:r>
      <w:r w:rsidRPr="00001368">
        <w:t>discussion</w:t>
      </w:r>
      <w:r w:rsidR="00D829E9">
        <w:t xml:space="preserve"> and</w:t>
      </w:r>
      <w:r w:rsidRPr="00001368">
        <w:t xml:space="preserve"> </w:t>
      </w:r>
      <w:r w:rsidRPr="00666DD1">
        <w:t xml:space="preserve">evaluating </w:t>
      </w:r>
      <w:r w:rsidRPr="00001368">
        <w:t>the</w:t>
      </w:r>
      <w:r>
        <w:t xml:space="preserve"> author’s use of evidence and reasoning</w:t>
      </w:r>
      <w:r w:rsidRPr="00932263">
        <w:t xml:space="preserve"> to support one of his claims in the text.</w:t>
      </w:r>
    </w:p>
    <w:p w14:paraId="2325F0C3" w14:textId="77777777" w:rsidR="005027DB" w:rsidRPr="001735F1" w:rsidRDefault="005027DB" w:rsidP="001A6353">
      <w:pPr>
        <w:pStyle w:val="SA"/>
        <w:numPr>
          <w:ilvl w:val="0"/>
          <w:numId w:val="1"/>
        </w:numPr>
      </w:pPr>
      <w:r>
        <w:t>Students look at the agenda.</w:t>
      </w:r>
    </w:p>
    <w:p w14:paraId="01923F9C" w14:textId="77777777" w:rsidR="005027DB" w:rsidRPr="00790BCC" w:rsidRDefault="005027DB" w:rsidP="007017EB">
      <w:pPr>
        <w:pStyle w:val="LearningSequenceHeader"/>
      </w:pPr>
      <w:r w:rsidRPr="00790BCC">
        <w:t>Activity 2: Homework Accountability</w:t>
      </w:r>
      <w:r w:rsidRPr="00790BCC">
        <w:tab/>
        <w:t>10%</w:t>
      </w:r>
    </w:p>
    <w:p w14:paraId="629F042F" w14:textId="41EF5EEB" w:rsidR="005027DB" w:rsidRDefault="005027DB" w:rsidP="007465D2">
      <w:pPr>
        <w:pStyle w:val="TA"/>
      </w:pPr>
      <w:r>
        <w:t xml:space="preserve">Instruct students to take out their responses to the </w:t>
      </w:r>
      <w:r w:rsidRPr="003870EB">
        <w:t xml:space="preserve">previous lesson’s homework assignment. </w:t>
      </w:r>
      <w:r>
        <w:t>(</w:t>
      </w:r>
      <w:r w:rsidRPr="00E100D0">
        <w:t>C</w:t>
      </w:r>
      <w:r>
        <w:t xml:space="preserve">ontinue </w:t>
      </w:r>
      <w:r w:rsidR="006D6741">
        <w:t>to conduct</w:t>
      </w:r>
      <w:r>
        <w:t xml:space="preserve"> your pre-searches. Find three more potential sources for at least one area of investigation and record the following information: author’s name, issue, source, location, publication date, and general content/key ideas</w:t>
      </w:r>
      <w:r w:rsidR="00D829E9">
        <w:t>.)</w:t>
      </w:r>
      <w:r>
        <w:t xml:space="preserve"> Instruct students to form pairs and articulate their selected area of investigation </w:t>
      </w:r>
      <w:r w:rsidR="006D6741">
        <w:t>before</w:t>
      </w:r>
      <w:r>
        <w:t xml:space="preserve"> briefly explain</w:t>
      </w:r>
      <w:r w:rsidR="006D6741">
        <w:t>ing</w:t>
      </w:r>
      <w:r>
        <w:t xml:space="preserve"> how each source relates to that area of investigation.</w:t>
      </w:r>
    </w:p>
    <w:p w14:paraId="3851AC26" w14:textId="743DFB43" w:rsidR="005027DB" w:rsidRPr="000B2D56" w:rsidRDefault="005027DB" w:rsidP="007465D2">
      <w:pPr>
        <w:pStyle w:val="SR"/>
      </w:pPr>
      <w:r>
        <w:t>S</w:t>
      </w:r>
      <w:r w:rsidRPr="002F6F5D">
        <w:t>tudent responses</w:t>
      </w:r>
      <w:r>
        <w:t xml:space="preserve"> </w:t>
      </w:r>
      <w:r w:rsidRPr="002F6F5D">
        <w:t xml:space="preserve">vary </w:t>
      </w:r>
      <w:r w:rsidR="006D6741">
        <w:t>according to the</w:t>
      </w:r>
      <w:r>
        <w:t xml:space="preserve"> research </w:t>
      </w:r>
      <w:r w:rsidRPr="002F6F5D">
        <w:t>conducted.</w:t>
      </w:r>
    </w:p>
    <w:p w14:paraId="30460ED7" w14:textId="77777777" w:rsidR="005027DB" w:rsidRPr="00001368" w:rsidRDefault="005027DB" w:rsidP="006545E8">
      <w:pPr>
        <w:pStyle w:val="LearningSequenceHeader"/>
        <w:keepNext/>
      </w:pPr>
      <w:r>
        <w:lastRenderedPageBreak/>
        <w:t xml:space="preserve">Activity 3: </w:t>
      </w:r>
      <w:r w:rsidRPr="00666DD1">
        <w:t>Evaluating Evidence and Reasoning</w:t>
      </w:r>
      <w:r w:rsidRPr="00001368">
        <w:tab/>
        <w:t>40%</w:t>
      </w:r>
    </w:p>
    <w:p w14:paraId="6613939C" w14:textId="4CD015B1" w:rsidR="006D6741" w:rsidRDefault="005027DB" w:rsidP="000C66FE">
      <w:pPr>
        <w:pStyle w:val="TA"/>
      </w:pPr>
      <w:r w:rsidRPr="00001368">
        <w:t xml:space="preserve">Explain to students they </w:t>
      </w:r>
      <w:r>
        <w:t>are</w:t>
      </w:r>
      <w:r w:rsidRPr="00001368">
        <w:t xml:space="preserve"> </w:t>
      </w:r>
      <w:r>
        <w:t xml:space="preserve">beginning </w:t>
      </w:r>
      <w:r w:rsidR="00D829E9">
        <w:t xml:space="preserve">to prepare for the </w:t>
      </w:r>
      <w:r w:rsidRPr="00001368">
        <w:t xml:space="preserve">Mid-Unit Assessment </w:t>
      </w:r>
      <w:r w:rsidR="00D829E9">
        <w:t xml:space="preserve">in 12.3.1 Lesson 12 </w:t>
      </w:r>
      <w:r w:rsidRPr="00001368">
        <w:t>by identifying several of Diamond’s claims and evaluating the</w:t>
      </w:r>
      <w:r>
        <w:t xml:space="preserve"> evidence and reasoning he uses to support his claims. Explain to students that they are building on their previous work with identifying components of an argument and the relationships across these components </w:t>
      </w:r>
      <w:r w:rsidR="00D829E9">
        <w:t>from</w:t>
      </w:r>
      <w:r>
        <w:t xml:space="preserve"> 12.3.1 Lessons 6 and 8.</w:t>
      </w:r>
    </w:p>
    <w:p w14:paraId="0AB40A34" w14:textId="172B7891" w:rsidR="005027DB" w:rsidRDefault="005027DB" w:rsidP="000C66FE">
      <w:pPr>
        <w:pStyle w:val="TA"/>
      </w:pPr>
      <w:r>
        <w:t xml:space="preserve">Display the </w:t>
      </w:r>
      <w:r w:rsidR="006545E8">
        <w:t xml:space="preserve">12.3.1 </w:t>
      </w:r>
      <w:r>
        <w:t>Mid-Unit Assessment prompt:</w:t>
      </w:r>
    </w:p>
    <w:p w14:paraId="37F813EE" w14:textId="1AE38EA9" w:rsidR="005027DB" w:rsidRDefault="005027DB" w:rsidP="00CD2BFD">
      <w:pPr>
        <w:pStyle w:val="Q"/>
      </w:pPr>
      <w:r w:rsidRPr="004A49C7">
        <w:t xml:space="preserve">Choose an excerpt from </w:t>
      </w:r>
      <w:r w:rsidRPr="000C66FE">
        <w:rPr>
          <w:i/>
        </w:rPr>
        <w:t>Guns, Germs, and Steel</w:t>
      </w:r>
      <w:r w:rsidRPr="004A49C7">
        <w:t xml:space="preserve">. Identify one of Diamond’s </w:t>
      </w:r>
      <w:r w:rsidR="006545E8">
        <w:t xml:space="preserve">supporting </w:t>
      </w:r>
      <w:r w:rsidRPr="00DA1752">
        <w:t>claims</w:t>
      </w:r>
      <w:r w:rsidR="006545E8">
        <w:t xml:space="preserve">; </w:t>
      </w:r>
      <w:r w:rsidRPr="00DA1752">
        <w:t>evaluate whether</w:t>
      </w:r>
      <w:r w:rsidRPr="004A49C7">
        <w:t xml:space="preserve"> the </w:t>
      </w:r>
      <w:r w:rsidR="006545E8">
        <w:t>evidence</w:t>
      </w:r>
      <w:r w:rsidRPr="004A49C7">
        <w:t xml:space="preserve"> is relevant and sufficient</w:t>
      </w:r>
      <w:r w:rsidR="006545E8">
        <w:t xml:space="preserve"> and the reasoning is valid </w:t>
      </w:r>
      <w:r w:rsidRPr="004A49C7">
        <w:t>to support that claim.</w:t>
      </w:r>
    </w:p>
    <w:p w14:paraId="43215D4A" w14:textId="26E49CB9" w:rsidR="005027DB" w:rsidRDefault="005027DB" w:rsidP="000C66FE">
      <w:pPr>
        <w:pStyle w:val="SA"/>
      </w:pPr>
      <w:r>
        <w:t xml:space="preserve">Students listen and read the </w:t>
      </w:r>
      <w:r w:rsidR="006545E8">
        <w:t xml:space="preserve">12.3.1 </w:t>
      </w:r>
      <w:r>
        <w:t>Mid-Unit Assessment prompt.</w:t>
      </w:r>
    </w:p>
    <w:p w14:paraId="7204B2D3" w14:textId="77777777" w:rsidR="005027DB" w:rsidRDefault="005027DB" w:rsidP="000C66FE">
      <w:pPr>
        <w:pStyle w:val="TA"/>
      </w:pPr>
      <w:r>
        <w:t xml:space="preserve">Remind students that each excerpt contains several claims. For the Mid-Unit Assessment, students may select any claims that include evidence and reasoning. </w:t>
      </w:r>
    </w:p>
    <w:p w14:paraId="6560E656" w14:textId="22BCA02D" w:rsidR="005027DB" w:rsidRDefault="005027DB" w:rsidP="000C66FE">
      <w:pPr>
        <w:pStyle w:val="TA"/>
      </w:pPr>
      <w:r>
        <w:t xml:space="preserve">Instruct students to form groups to </w:t>
      </w:r>
      <w:r w:rsidR="006D6741">
        <w:t xml:space="preserve">discuss how to </w:t>
      </w:r>
      <w:r w:rsidR="006D6741" w:rsidRPr="005E4888">
        <w:t>evaluate evidence</w:t>
      </w:r>
      <w:r w:rsidR="006D6741">
        <w:t xml:space="preserve"> and reasoning. Instruct students to</w:t>
      </w:r>
      <w:r>
        <w:t xml:space="preserve"> answer the following questions before sharing out with the class. </w:t>
      </w:r>
    </w:p>
    <w:p w14:paraId="0348CB92" w14:textId="77777777" w:rsidR="005027DB" w:rsidRPr="001A67BA" w:rsidRDefault="005027DB" w:rsidP="00B01BFF">
      <w:pPr>
        <w:pStyle w:val="Q"/>
      </w:pPr>
      <w:r>
        <w:t>Wha</w:t>
      </w:r>
      <w:r w:rsidRPr="001A67BA">
        <w:t>t is relevant evidence?</w:t>
      </w:r>
    </w:p>
    <w:p w14:paraId="1AB6564A" w14:textId="77777777" w:rsidR="005027DB" w:rsidRPr="000C66FE" w:rsidRDefault="005027DB" w:rsidP="000C66FE">
      <w:pPr>
        <w:pStyle w:val="SR"/>
      </w:pPr>
      <w:r w:rsidRPr="000C66FE">
        <w:t>Relevant evidence connects directly</w:t>
      </w:r>
      <w:r w:rsidRPr="00230EFA">
        <w:t xml:space="preserve"> to the claim and is related to the issue in an appropriate way.</w:t>
      </w:r>
    </w:p>
    <w:p w14:paraId="60191BD7" w14:textId="77777777" w:rsidR="005027DB" w:rsidRPr="001A67BA" w:rsidRDefault="005027DB" w:rsidP="00B01BFF">
      <w:pPr>
        <w:pStyle w:val="Q"/>
      </w:pPr>
      <w:r w:rsidRPr="001A67BA">
        <w:t>What is sufficient evidence?</w:t>
      </w:r>
    </w:p>
    <w:p w14:paraId="3E4DF879" w14:textId="4B5ED1D3" w:rsidR="005027DB" w:rsidRPr="00680EBD" w:rsidRDefault="005027DB" w:rsidP="000C66FE">
      <w:pPr>
        <w:pStyle w:val="SR"/>
      </w:pPr>
      <w:r w:rsidRPr="000C66FE">
        <w:t xml:space="preserve">Sufficient evidence </w:t>
      </w:r>
      <w:r w:rsidRPr="00230EFA">
        <w:rPr>
          <w:rFonts w:cs="Arial"/>
          <w:color w:val="000000"/>
        </w:rPr>
        <w:t>thoroughly reinforces the claims in an argument</w:t>
      </w:r>
      <w:r w:rsidRPr="00C81F96">
        <w:rPr>
          <w:rFonts w:cs="Arial"/>
          <w:color w:val="000000"/>
        </w:rPr>
        <w:t xml:space="preserve">. One piece of powerful evidence may </w:t>
      </w:r>
      <w:r w:rsidRPr="006D6741">
        <w:rPr>
          <w:rFonts w:cs="Arial"/>
          <w:color w:val="000000"/>
        </w:rPr>
        <w:t xml:space="preserve">be </w:t>
      </w:r>
      <w:r w:rsidRPr="001B3CB7">
        <w:rPr>
          <w:rFonts w:cs="Arial"/>
          <w:color w:val="000000"/>
        </w:rPr>
        <w:t>sufficient</w:t>
      </w:r>
      <w:r w:rsidRPr="006D6741">
        <w:rPr>
          <w:rFonts w:cs="Arial"/>
          <w:color w:val="000000"/>
        </w:rPr>
        <w:t xml:space="preserve"> to support a claim, or several pieces of evidence may be collectively </w:t>
      </w:r>
      <w:r w:rsidRPr="001B3CB7">
        <w:rPr>
          <w:rFonts w:cs="Arial"/>
          <w:color w:val="000000"/>
        </w:rPr>
        <w:t>sufficient</w:t>
      </w:r>
      <w:r w:rsidRPr="006D6741">
        <w:rPr>
          <w:rFonts w:cs="Arial"/>
          <w:color w:val="000000"/>
        </w:rPr>
        <w:t xml:space="preserve"> </w:t>
      </w:r>
      <w:r w:rsidRPr="001A67BA">
        <w:rPr>
          <w:rFonts w:cs="Arial"/>
          <w:color w:val="000000"/>
        </w:rPr>
        <w:t>to support a claim.</w:t>
      </w:r>
    </w:p>
    <w:p w14:paraId="50420CFA" w14:textId="77777777" w:rsidR="005027DB" w:rsidRDefault="005027DB" w:rsidP="002F346E">
      <w:pPr>
        <w:pStyle w:val="IN"/>
      </w:pPr>
      <w:r w:rsidRPr="00442171">
        <w:rPr>
          <w:b/>
        </w:rPr>
        <w:t>Differentiation Consideration:</w:t>
      </w:r>
      <w:r>
        <w:t xml:space="preserve"> Consider reminding students that </w:t>
      </w:r>
      <w:r w:rsidRPr="001B3CB7">
        <w:rPr>
          <w:i/>
        </w:rPr>
        <w:t>evidence</w:t>
      </w:r>
      <w:r>
        <w:t xml:space="preserve"> refers to t</w:t>
      </w:r>
      <w:r w:rsidRPr="00675D00">
        <w:t>he topical and textual facts, events, and ideas from which the claims of an argument arise, and which are cited to support those claims.</w:t>
      </w:r>
    </w:p>
    <w:p w14:paraId="10F8B68E" w14:textId="77777777" w:rsidR="005027DB" w:rsidRPr="00D20535" w:rsidRDefault="005027DB" w:rsidP="00B01BFF">
      <w:pPr>
        <w:pStyle w:val="Q"/>
      </w:pPr>
      <w:r w:rsidRPr="00D20535">
        <w:t>What is valid reasoning?</w:t>
      </w:r>
    </w:p>
    <w:p w14:paraId="30800FFF" w14:textId="0FA475C1" w:rsidR="005027DB" w:rsidRDefault="005027DB" w:rsidP="00B01BFF">
      <w:pPr>
        <w:pStyle w:val="SR"/>
      </w:pPr>
      <w:r>
        <w:t>Valid reasoning is the sound or logical relationship among ideas, including relationships among claims and relationships across evidence.</w:t>
      </w:r>
    </w:p>
    <w:p w14:paraId="3BF27C22" w14:textId="77777777" w:rsidR="005027DB" w:rsidRDefault="005027DB" w:rsidP="000C66FE">
      <w:pPr>
        <w:pStyle w:val="TA"/>
      </w:pPr>
      <w:r w:rsidRPr="00BA0565">
        <w:t>Lead a brief whole-class discussion of student responses</w:t>
      </w:r>
      <w:r>
        <w:t xml:space="preserve">. </w:t>
      </w:r>
    </w:p>
    <w:p w14:paraId="6090FDAA" w14:textId="77777777" w:rsidR="005027DB" w:rsidRPr="00AF47B4" w:rsidRDefault="005027DB" w:rsidP="000C66FE">
      <w:pPr>
        <w:pStyle w:val="BR"/>
      </w:pPr>
    </w:p>
    <w:p w14:paraId="35605061" w14:textId="77777777" w:rsidR="005027DB" w:rsidRDefault="005027DB" w:rsidP="00AD2807">
      <w:pPr>
        <w:pStyle w:val="TA"/>
      </w:pPr>
      <w:r>
        <w:lastRenderedPageBreak/>
        <w:t xml:space="preserve">Post or project the following model claim, evidence, and reasoning from </w:t>
      </w:r>
      <w:r w:rsidRPr="000C66FE">
        <w:rPr>
          <w:i/>
        </w:rPr>
        <w:t>Guns, Germs, and Steel</w:t>
      </w:r>
      <w:r>
        <w:t xml:space="preserve">: </w:t>
      </w:r>
    </w:p>
    <w:p w14:paraId="4AF8691D" w14:textId="33462862" w:rsidR="005027DB" w:rsidRDefault="005027DB" w:rsidP="000C66FE">
      <w:pPr>
        <w:pStyle w:val="TA"/>
      </w:pPr>
      <w:r w:rsidRPr="000C66FE">
        <w:rPr>
          <w:b/>
        </w:rPr>
        <w:t>Claim:</w:t>
      </w:r>
      <w:r w:rsidRPr="009D7063">
        <w:t xml:space="preserve"> </w:t>
      </w:r>
      <w:r>
        <w:t>“Diseases endemic in Europe played a decisive role in European conquests, by decimating many peoples on other continents.” (p. 75)</w:t>
      </w:r>
    </w:p>
    <w:p w14:paraId="36E54924" w14:textId="67776BA3" w:rsidR="005027DB" w:rsidRDefault="005027DB" w:rsidP="000C66FE">
      <w:pPr>
        <w:pStyle w:val="TA"/>
      </w:pPr>
      <w:r w:rsidRPr="000C66FE">
        <w:rPr>
          <w:b/>
        </w:rPr>
        <w:t>Evidence:</w:t>
      </w:r>
      <w:r w:rsidRPr="000C66FE">
        <w:t xml:space="preserve"> </w:t>
      </w:r>
      <w:r>
        <w:t xml:space="preserve">“Smallpox … killed the Inca emperor Huayna Capac and most of his court around 1526, and then immediately killed his designated heir, Ninan Cuyuchi.” (pp. 74–75) The death of the designated heir led to a civil war, which further weakened the power of the Inca Empire. </w:t>
      </w:r>
      <w:r w:rsidDel="009A6937">
        <w:t xml:space="preserve"> </w:t>
      </w:r>
    </w:p>
    <w:p w14:paraId="1533A81F" w14:textId="57E65382" w:rsidR="005027DB" w:rsidRPr="00292762" w:rsidRDefault="005027DB" w:rsidP="000C66FE">
      <w:pPr>
        <w:pStyle w:val="TA"/>
      </w:pPr>
      <w:r w:rsidRPr="000C66FE">
        <w:rPr>
          <w:b/>
        </w:rPr>
        <w:t>Evidence:</w:t>
      </w:r>
      <w:r>
        <w:t xml:space="preserve"> The Europeans brought with them smallpox and other diseases, to which they had immunity</w:t>
      </w:r>
      <w:r w:rsidR="006D6741">
        <w:t xml:space="preserve"> but which</w:t>
      </w:r>
      <w:r>
        <w:t xml:space="preserve"> “decimat</w:t>
      </w:r>
      <w:r w:rsidR="006D6741">
        <w:t>[ed]</w:t>
      </w:r>
      <w:r>
        <w:t>” (p. 75) the indigenous population of the New World.</w:t>
      </w:r>
      <w:r w:rsidRPr="009A6937">
        <w:t xml:space="preserve"> </w:t>
      </w:r>
      <w:r>
        <w:t xml:space="preserve">“Throughout the Americas, diseases introduced </w:t>
      </w:r>
      <w:r w:rsidR="00E06783">
        <w:t xml:space="preserve">by </w:t>
      </w:r>
      <w:r>
        <w:t>Europeans spread from tribe to tribe far in advance of the Europeans themselves, killing an estimated 95 percent of the pre-Columbian Nativ</w:t>
      </w:r>
      <w:r w:rsidR="00D829E9">
        <w:t>e American population.” (p. 75)</w:t>
      </w:r>
    </w:p>
    <w:p w14:paraId="79C57005" w14:textId="386DDA4C" w:rsidR="005027DB" w:rsidRPr="00292762" w:rsidRDefault="005027DB" w:rsidP="000C66FE">
      <w:pPr>
        <w:pStyle w:val="TA"/>
      </w:pPr>
      <w:r w:rsidRPr="000C66FE">
        <w:rPr>
          <w:b/>
        </w:rPr>
        <w:t>Reasoning:</w:t>
      </w:r>
      <w:r>
        <w:t xml:space="preserve"> Diamond reasons that if smallpox had not been introduced to the New World “the Spaniards would have faced a united Empire” (p. 75) and may not have been victorious at Cajamarca. </w:t>
      </w:r>
    </w:p>
    <w:p w14:paraId="601F934E" w14:textId="77777777" w:rsidR="006D6741" w:rsidRDefault="006D6741" w:rsidP="006D6741">
      <w:pPr>
        <w:pStyle w:val="TA"/>
      </w:pPr>
      <w:r>
        <w:t xml:space="preserve">Lead a brief whole-class discussion of student responses. </w:t>
      </w:r>
    </w:p>
    <w:p w14:paraId="3662F020" w14:textId="77777777" w:rsidR="006D6741" w:rsidRDefault="006D6741" w:rsidP="006D6741">
      <w:pPr>
        <w:pStyle w:val="BR"/>
      </w:pPr>
    </w:p>
    <w:p w14:paraId="266769F4" w14:textId="77777777" w:rsidR="005027DB" w:rsidRDefault="005027DB" w:rsidP="00AD2807">
      <w:pPr>
        <w:pStyle w:val="TA"/>
      </w:pPr>
      <w:r>
        <w:t>Instruct student groups to briefly discuss the following questions before sharing out with the entire class.</w:t>
      </w:r>
    </w:p>
    <w:p w14:paraId="23387066" w14:textId="77777777" w:rsidR="005027DB" w:rsidRDefault="005027DB" w:rsidP="000C66FE">
      <w:pPr>
        <w:pStyle w:val="Q"/>
      </w:pPr>
      <w:r>
        <w:t xml:space="preserve">Is the evidence </w:t>
      </w:r>
      <w:r w:rsidRPr="001B3CB7">
        <w:t>relevant</w:t>
      </w:r>
      <w:r>
        <w:t xml:space="preserve"> to the claim?</w:t>
      </w:r>
    </w:p>
    <w:p w14:paraId="473CC70E" w14:textId="598AE73F" w:rsidR="005027DB" w:rsidRPr="003A7B3C" w:rsidRDefault="005027DB" w:rsidP="000C66FE">
      <w:pPr>
        <w:pStyle w:val="SR"/>
      </w:pPr>
      <w:r w:rsidRPr="000C66FE">
        <w:t>The evidence is relevant because it directly relates to</w:t>
      </w:r>
      <w:r w:rsidR="00D829E9">
        <w:t xml:space="preserve"> the central point of the claim. I</w:t>
      </w:r>
      <w:r w:rsidRPr="000C66FE">
        <w:t xml:space="preserve">t illustrates how disease introduced by the colonizing peoples, the Europeans, weakened the </w:t>
      </w:r>
      <w:r>
        <w:t>political organization of native groups</w:t>
      </w:r>
      <w:r w:rsidRPr="000C66FE">
        <w:t xml:space="preserve"> and killed </w:t>
      </w:r>
      <w:r>
        <w:t>“</w:t>
      </w:r>
      <w:r w:rsidRPr="000C66FE">
        <w:t>many people</w:t>
      </w:r>
      <w:r>
        <w:t>s on other continents” (p. 75)</w:t>
      </w:r>
      <w:r w:rsidR="00D829E9">
        <w:t>, making colonization easier.</w:t>
      </w:r>
    </w:p>
    <w:p w14:paraId="01AD414D" w14:textId="77777777" w:rsidR="005027DB" w:rsidRDefault="005027DB" w:rsidP="000C66FE">
      <w:pPr>
        <w:pStyle w:val="Q"/>
      </w:pPr>
      <w:r w:rsidRPr="003A7B3C">
        <w:t>Is the evidence</w:t>
      </w:r>
      <w:r w:rsidRPr="00D829E9">
        <w:t xml:space="preserve"> sufficient </w:t>
      </w:r>
      <w:r w:rsidRPr="003A7B3C">
        <w:t>to support the claim?</w:t>
      </w:r>
      <w:r>
        <w:t xml:space="preserve"> </w:t>
      </w:r>
    </w:p>
    <w:p w14:paraId="6EAED8F3" w14:textId="78F6F9C8" w:rsidR="005027DB" w:rsidRPr="000C66FE" w:rsidRDefault="005027DB" w:rsidP="00B01BFF">
      <w:pPr>
        <w:pStyle w:val="SR"/>
      </w:pPr>
      <w:r w:rsidRPr="000C66FE">
        <w:t>The evidence selected is sufficient to support the claim. The evidence illustrates that disease introduced by the Europeans was an ultimate cause in the fall of the Inca Empire because the leadership was weakened by smallpox. The evidence also illustrates how, within other parts of the New World, disease was a major factor in weakening the native peoples</w:t>
      </w:r>
      <w:r w:rsidR="00D829E9">
        <w:t>, allowing for easier conquest.</w:t>
      </w:r>
    </w:p>
    <w:p w14:paraId="44C5C20A" w14:textId="77777777" w:rsidR="005027DB" w:rsidRDefault="005027DB" w:rsidP="000C66FE">
      <w:pPr>
        <w:pStyle w:val="Q"/>
      </w:pPr>
      <w:r>
        <w:t>Is the reasoning valid?</w:t>
      </w:r>
    </w:p>
    <w:p w14:paraId="71B1C96E" w14:textId="77777777" w:rsidR="005027DB" w:rsidRPr="000C66FE" w:rsidRDefault="005027DB" w:rsidP="000C66FE">
      <w:pPr>
        <w:pStyle w:val="SR"/>
      </w:pPr>
      <w:r w:rsidRPr="000C66FE">
        <w:t xml:space="preserve">Diamond’s reasoning is valid. </w:t>
      </w:r>
      <w:r>
        <w:t xml:space="preserve">Diamond </w:t>
      </w:r>
      <w:r w:rsidRPr="000C66FE">
        <w:t>connect</w:t>
      </w:r>
      <w:r>
        <w:t>s</w:t>
      </w:r>
      <w:r w:rsidRPr="000C66FE">
        <w:t xml:space="preserve"> the </w:t>
      </w:r>
      <w:r w:rsidRPr="005E347F">
        <w:t>local effects o</w:t>
      </w:r>
      <w:r w:rsidRPr="00607BD9">
        <w:t xml:space="preserve">f smallpox at Cajamarca </w:t>
      </w:r>
      <w:r w:rsidRPr="000C66FE">
        <w:t>and</w:t>
      </w:r>
      <w:r w:rsidRPr="005E347F">
        <w:t xml:space="preserve"> the </w:t>
      </w:r>
      <w:r w:rsidRPr="000C66FE">
        <w:t xml:space="preserve">resulting </w:t>
      </w:r>
      <w:r w:rsidRPr="005E347F">
        <w:t xml:space="preserve">conquest of the </w:t>
      </w:r>
      <w:r w:rsidRPr="00607BD9">
        <w:t xml:space="preserve">Inca Empire to other </w:t>
      </w:r>
      <w:r>
        <w:t xml:space="preserve">instances where disease played a role </w:t>
      </w:r>
      <w:r w:rsidRPr="005E347F">
        <w:t>in</w:t>
      </w:r>
      <w:r w:rsidRPr="000C66FE">
        <w:t xml:space="preserve"> the</w:t>
      </w:r>
      <w:r>
        <w:t xml:space="preserve"> conquest of the</w:t>
      </w:r>
      <w:r w:rsidRPr="000C66FE">
        <w:t xml:space="preserve"> New World. </w:t>
      </w:r>
    </w:p>
    <w:p w14:paraId="4C896BF5" w14:textId="77777777" w:rsidR="005027DB" w:rsidRDefault="005027DB" w:rsidP="00AD2807">
      <w:pPr>
        <w:pStyle w:val="TA"/>
      </w:pPr>
      <w:r>
        <w:lastRenderedPageBreak/>
        <w:t xml:space="preserve">Lead a brief whole-class discussion of student responses. </w:t>
      </w:r>
    </w:p>
    <w:p w14:paraId="4EFF7E87" w14:textId="77777777" w:rsidR="005027DB" w:rsidRDefault="005027DB" w:rsidP="00385350">
      <w:pPr>
        <w:pStyle w:val="BR"/>
      </w:pPr>
    </w:p>
    <w:p w14:paraId="3AA5E9CB" w14:textId="37E9C8C1" w:rsidR="005027DB" w:rsidRPr="00D829E9" w:rsidRDefault="005027DB" w:rsidP="00385350">
      <w:pPr>
        <w:pStyle w:val="TA"/>
      </w:pPr>
      <w:r>
        <w:t xml:space="preserve">Explain to students that invalid reasoning may be called </w:t>
      </w:r>
      <w:r w:rsidRPr="00385350">
        <w:rPr>
          <w:i/>
        </w:rPr>
        <w:t>fallacious reasoning</w:t>
      </w:r>
      <w:r>
        <w:t xml:space="preserve">. </w:t>
      </w:r>
      <w:r w:rsidR="006D6741">
        <w:t>Inform students that</w:t>
      </w:r>
      <w:r>
        <w:t xml:space="preserve"> </w:t>
      </w:r>
      <w:r>
        <w:rPr>
          <w:i/>
        </w:rPr>
        <w:t>fallacious reasoning</w:t>
      </w:r>
      <w:r>
        <w:t xml:space="preserve"> </w:t>
      </w:r>
      <w:r w:rsidR="006D6741">
        <w:t>means</w:t>
      </w:r>
      <w:r w:rsidRPr="000C66FE">
        <w:t xml:space="preserve"> reasoning that includes or is based on a false notion or belief</w:t>
      </w:r>
      <w:r w:rsidRPr="00AF47B4">
        <w:t>, or</w:t>
      </w:r>
      <w:r w:rsidRPr="000C66FE">
        <w:t xml:space="preserve"> invalid reasoning</w:t>
      </w:r>
      <w:r w:rsidRPr="00AF47B4">
        <w:t xml:space="preserve">. </w:t>
      </w:r>
      <w:r>
        <w:t>Guide students through the following model o</w:t>
      </w:r>
      <w:r w:rsidRPr="00D829E9">
        <w:t>f fallacious reasoning.</w:t>
      </w:r>
    </w:p>
    <w:p w14:paraId="0A06E80B" w14:textId="2037F38E" w:rsidR="005027DB" w:rsidRDefault="005027DB" w:rsidP="0092082B">
      <w:pPr>
        <w:pStyle w:val="BulletedList"/>
      </w:pPr>
      <w:r w:rsidRPr="00385350">
        <w:rPr>
          <w:b/>
        </w:rPr>
        <w:t>Claim:</w:t>
      </w:r>
      <w:r>
        <w:t xml:space="preserve"> “New Guineans are smarter than Westerners</w:t>
      </w:r>
      <w:r w:rsidR="006D6741">
        <w:t>.</w:t>
      </w:r>
      <w:r>
        <w:t>” (p. 20)</w:t>
      </w:r>
    </w:p>
    <w:p w14:paraId="46009290" w14:textId="7203491C" w:rsidR="005027DB" w:rsidRDefault="005027DB" w:rsidP="0092082B">
      <w:pPr>
        <w:pStyle w:val="BulletedList"/>
      </w:pPr>
      <w:r w:rsidRPr="00385350">
        <w:rPr>
          <w:b/>
        </w:rPr>
        <w:t>Evidence:</w:t>
      </w:r>
      <w:r>
        <w:t xml:space="preserve"> In European societies, “infectious epidemic diseases of dense populations (such as smallpox) were historically the major cause of death, while murders were relatively uncommon and a state of war was the exception rather than the rule” (p. 20)</w:t>
      </w:r>
      <w:r w:rsidR="006D6741">
        <w:t>.</w:t>
      </w:r>
      <w:r>
        <w:t xml:space="preserve"> </w:t>
      </w:r>
      <w:r w:rsidR="00E91107">
        <w:t>“</w:t>
      </w:r>
      <w:r>
        <w:t>Instead, traditional New Guineans suffered high mortality from murder, chronic tribal warfare, accidents, and problems in procuring food”</w:t>
      </w:r>
      <w:r w:rsidR="0005693B">
        <w:t xml:space="preserve"> (p. 20). Therefore New Guineans are “[i]ntelligent people [who] are likelier than less intelligent ones to escape those causes of high mortality</w:t>
      </w:r>
      <w:r>
        <w:t xml:space="preserve"> (p. 20)</w:t>
      </w:r>
      <w:r w:rsidR="006D6741">
        <w:t xml:space="preserve">. </w:t>
      </w:r>
      <w:r>
        <w:t>“In the average American household, the TV set is on for seven hours per day</w:t>
      </w:r>
      <w:r w:rsidR="006D6741">
        <w:t>.</w:t>
      </w:r>
      <w:r>
        <w:t>” (p. 21)</w:t>
      </w:r>
      <w:r w:rsidR="00990D85">
        <w:t xml:space="preserve"> “</w:t>
      </w:r>
      <w:r w:rsidR="00990D85" w:rsidRPr="00990D85">
        <w:t>Almost all studies of child development emphasize the role of childhood stimulation and activity in promoting mental development, and stress the irreversible mental stunting associated with reduced childhood stimulation</w:t>
      </w:r>
      <w:r w:rsidR="00990D85">
        <w:t xml:space="preserve">” (p. 21). </w:t>
      </w:r>
    </w:p>
    <w:p w14:paraId="1F036A5E" w14:textId="7FCC5390" w:rsidR="005027DB" w:rsidRDefault="005027DB" w:rsidP="0092082B">
      <w:pPr>
        <w:pStyle w:val="BulletedList"/>
      </w:pPr>
      <w:r>
        <w:rPr>
          <w:b/>
        </w:rPr>
        <w:t>Is the evidence relevant and sufficient?</w:t>
      </w:r>
      <w:r w:rsidRPr="00DD0D14">
        <w:t xml:space="preserve"> </w:t>
      </w:r>
      <w:r>
        <w:t>The evidence is not sufficient. The first</w:t>
      </w:r>
      <w:r w:rsidR="00BC400C">
        <w:t xml:space="preserve"> two</w:t>
      </w:r>
      <w:r>
        <w:t xml:space="preserve"> piece</w:t>
      </w:r>
      <w:r w:rsidR="00BC400C">
        <w:t>s</w:t>
      </w:r>
      <w:r>
        <w:t xml:space="preserve"> of evidence </w:t>
      </w:r>
      <w:r w:rsidR="00BC400C">
        <w:t>are</w:t>
      </w:r>
      <w:r>
        <w:t xml:space="preserve"> based on the evolutionary theory of natural selection.</w:t>
      </w:r>
      <w:r w:rsidRPr="00DD0D14">
        <w:t xml:space="preserve"> </w:t>
      </w:r>
      <w:r>
        <w:t xml:space="preserve">The </w:t>
      </w:r>
      <w:r w:rsidR="00BC400C">
        <w:t>last</w:t>
      </w:r>
      <w:r w:rsidR="002A3DB7">
        <w:t xml:space="preserve"> </w:t>
      </w:r>
      <w:r>
        <w:t xml:space="preserve">piece of evidence is weak because it is related to watching too much television, which focuses on a single aspect of society, not taking into account other aspects of society. In addition, the statistical evidence that “[i]n the average American household, the TV set is on for seven hours per day” (p. 21) does not directly support or relate to the claim because it is not clear that </w:t>
      </w:r>
      <w:r w:rsidR="00BC400C">
        <w:t>Americans, specifically children</w:t>
      </w:r>
      <w:r w:rsidR="00736EC5">
        <w:t>,</w:t>
      </w:r>
      <w:r w:rsidR="00BC400C">
        <w:t xml:space="preserve"> </w:t>
      </w:r>
      <w:r>
        <w:t>are necessarily watching TV during that block of time.</w:t>
      </w:r>
    </w:p>
    <w:p w14:paraId="611459A2" w14:textId="5CAEA902" w:rsidR="005027DB" w:rsidRDefault="005027DB" w:rsidP="0092082B">
      <w:pPr>
        <w:pStyle w:val="BulletedList"/>
      </w:pPr>
      <w:r w:rsidRPr="00385350">
        <w:rPr>
          <w:b/>
        </w:rPr>
        <w:t>Reasoning:</w:t>
      </w:r>
      <w:r>
        <w:t xml:space="preserve"> Diamond reasons that because there are fewer epidemics in New Guinea than in Europe, intelligence is naturally selected in New Guineans</w:t>
      </w:r>
      <w:r w:rsidR="00EC1748">
        <w:t>. Thus, Diamond reasons that</w:t>
      </w:r>
      <w:r>
        <w:t xml:space="preserve"> disease kills all kinds of people in Europe, whether they are intelligent or not. Therefore, Diamond explains that more New Guineans</w:t>
      </w:r>
      <w:r w:rsidR="00E6792A">
        <w:t xml:space="preserve"> than Westerners</w:t>
      </w:r>
      <w:r>
        <w:t xml:space="preserve"> have the genetic capacity for natural intelligence. He also reasons that “almost all studies of child development emphasize the role of childhood stimulation and development in promoting mental development” (p. 21), thus, reasoning that “[t]his effect surely contributes a non-genetic component to the superior average mental function displayed by New Guineans” (p. 21).</w:t>
      </w:r>
    </w:p>
    <w:p w14:paraId="64BF929C" w14:textId="3740A319" w:rsidR="005027DB" w:rsidRDefault="005027DB" w:rsidP="0092082B">
      <w:pPr>
        <w:pStyle w:val="BulletedList"/>
      </w:pPr>
      <w:r>
        <w:rPr>
          <w:b/>
        </w:rPr>
        <w:t xml:space="preserve">Is the reasoning valid? </w:t>
      </w:r>
      <w:r>
        <w:t>Diamond’s reasoning that intelligence is due to natural selection is fallacious because intelligence is not static or unchanging, and it can be developed. Diamond’s reasoning that Western children are less intelligent due to</w:t>
      </w:r>
      <w:r w:rsidR="00FE4F23">
        <w:t xml:space="preserve"> Americans watching</w:t>
      </w:r>
      <w:r>
        <w:t xml:space="preserve"> television</w:t>
      </w:r>
      <w:r w:rsidR="000C317C">
        <w:t xml:space="preserve"> “seven hours per day” (p. 21)</w:t>
      </w:r>
      <w:r>
        <w:t xml:space="preserve"> is not valid because</w:t>
      </w:r>
      <w:r w:rsidR="0076154D">
        <w:t xml:space="preserve"> his reasoning is based on </w:t>
      </w:r>
      <w:r w:rsidR="00FE4F23">
        <w:t>two pieces of</w:t>
      </w:r>
      <w:r w:rsidR="0076154D">
        <w:t xml:space="preserve"> unrelated</w:t>
      </w:r>
      <w:r w:rsidR="00FE4F23">
        <w:t xml:space="preserve"> evidence</w:t>
      </w:r>
      <w:r w:rsidR="00FA3A2F">
        <w:t>,</w:t>
      </w:r>
      <w:r w:rsidR="00FE4F23">
        <w:t xml:space="preserve"> including the </w:t>
      </w:r>
      <w:r w:rsidR="00FE4F23">
        <w:lastRenderedPageBreak/>
        <w:t xml:space="preserve">hours Americans spend watching television and childhood stimulation. Also, </w:t>
      </w:r>
      <w:r>
        <w:t xml:space="preserve">Western children may be receiving just as much “childhood stimulation and activity” (p. 21), although via different means than New Guinean children.  </w:t>
      </w:r>
    </w:p>
    <w:p w14:paraId="2468670E" w14:textId="14349BAB" w:rsidR="005027DB" w:rsidRPr="00ED2B6A" w:rsidRDefault="005027DB" w:rsidP="000C66FE">
      <w:pPr>
        <w:pStyle w:val="LearningSequenceHeader"/>
      </w:pPr>
      <w:r>
        <w:t xml:space="preserve">Activity 4: </w:t>
      </w:r>
      <w:r w:rsidRPr="00666DD1">
        <w:t>Evaluating Evidence and Reasoning Tool</w:t>
      </w:r>
      <w:r w:rsidR="00D75D7C">
        <w:t xml:space="preserve"> and Assessment</w:t>
      </w:r>
      <w:r w:rsidRPr="00ED2B6A">
        <w:tab/>
        <w:t>40%</w:t>
      </w:r>
    </w:p>
    <w:p w14:paraId="54464BA4" w14:textId="77777777" w:rsidR="005027DB" w:rsidRPr="00ED2B6A" w:rsidRDefault="005027DB" w:rsidP="00493B93">
      <w:pPr>
        <w:pStyle w:val="TA"/>
      </w:pPr>
      <w:r w:rsidRPr="00ED2B6A">
        <w:t>Distribute copies of the Evaluating Evidence and Reasoning Tool to all students. Instruct students to examine the tool.</w:t>
      </w:r>
    </w:p>
    <w:p w14:paraId="27D0BE54" w14:textId="77777777" w:rsidR="005027DB" w:rsidRPr="00ED2B6A" w:rsidRDefault="005027DB" w:rsidP="000C66FE">
      <w:pPr>
        <w:pStyle w:val="SA"/>
      </w:pPr>
      <w:r w:rsidRPr="00ED2B6A">
        <w:t xml:space="preserve">Students examine the Evaluating Evidence and Reasoning Tool. </w:t>
      </w:r>
    </w:p>
    <w:p w14:paraId="0E2257A3" w14:textId="2E2706D9" w:rsidR="005027DB" w:rsidRDefault="005027DB">
      <w:pPr>
        <w:pStyle w:val="IN"/>
      </w:pPr>
      <w:r w:rsidRPr="00ED2B6A">
        <w:t>Consider displaying the previously read</w:t>
      </w:r>
      <w:r>
        <w:t xml:space="preserve"> excerpts of</w:t>
      </w:r>
      <w:r w:rsidRPr="000C66FE">
        <w:rPr>
          <w:i/>
        </w:rPr>
        <w:t xml:space="preserve"> Guns, Germs, and Steel</w:t>
      </w:r>
      <w:r w:rsidR="0092082B">
        <w:t xml:space="preserve"> (pages</w:t>
      </w:r>
      <w:r>
        <w:t xml:space="preserve"> 13–25, 65–78, 229–249, </w:t>
      </w:r>
      <w:r w:rsidR="00E6792A">
        <w:t xml:space="preserve">and </w:t>
      </w:r>
      <w:r>
        <w:t>439–446).</w:t>
      </w:r>
    </w:p>
    <w:p w14:paraId="5688C7C1" w14:textId="512FF9C8" w:rsidR="005027DB" w:rsidRDefault="005027DB" w:rsidP="00493B93">
      <w:pPr>
        <w:pStyle w:val="TA"/>
      </w:pPr>
      <w:r>
        <w:t xml:space="preserve">Instruct small groups to spend the remainder of the lesson reviewing excerpts from </w:t>
      </w:r>
      <w:r w:rsidRPr="000C66FE">
        <w:rPr>
          <w:i/>
        </w:rPr>
        <w:t>Guns, Germs</w:t>
      </w:r>
      <w:r>
        <w:rPr>
          <w:i/>
        </w:rPr>
        <w:t>,</w:t>
      </w:r>
      <w:r w:rsidRPr="000C66FE">
        <w:rPr>
          <w:i/>
        </w:rPr>
        <w:t xml:space="preserve"> and Steel</w:t>
      </w:r>
      <w:r>
        <w:t xml:space="preserve"> to identify claims, evidence, and reasoning in the text and complete </w:t>
      </w:r>
      <w:r w:rsidRPr="00145016">
        <w:t>the Evaluating Evidence</w:t>
      </w:r>
      <w:r>
        <w:t xml:space="preserve"> and Reasoning Tool </w:t>
      </w:r>
      <w:r w:rsidRPr="000C0A1C">
        <w:rPr>
          <w:color w:val="4F81BD"/>
        </w:rPr>
        <w:t>(W.11-12.9.b)</w:t>
      </w:r>
      <w:r w:rsidRPr="001B3CB7">
        <w:t>.</w:t>
      </w:r>
    </w:p>
    <w:p w14:paraId="1219303F" w14:textId="29C069D0" w:rsidR="005027DB" w:rsidRPr="000B5F00" w:rsidRDefault="005027DB" w:rsidP="000C66FE">
      <w:pPr>
        <w:pStyle w:val="SR"/>
      </w:pPr>
      <w:r w:rsidRPr="000B5F00">
        <w:t xml:space="preserve">See the Model </w:t>
      </w:r>
      <w:r w:rsidRPr="000C0A1C">
        <w:t>Evaluating Evidence and Reasoning Tool</w:t>
      </w:r>
      <w:r w:rsidRPr="000B5F00">
        <w:t xml:space="preserve"> at the end of this lesson</w:t>
      </w:r>
      <w:r w:rsidR="00D75D7C">
        <w:t>.</w:t>
      </w:r>
    </w:p>
    <w:p w14:paraId="6B5C9EB3" w14:textId="6B315BD9" w:rsidR="005027DB" w:rsidRPr="000B5F00" w:rsidRDefault="005027DB" w:rsidP="000C66FE">
      <w:pPr>
        <w:pStyle w:val="IN"/>
      </w:pPr>
      <w:r w:rsidRPr="000B5F00">
        <w:rPr>
          <w:b/>
        </w:rPr>
        <w:t>Differentiation Consideration</w:t>
      </w:r>
      <w:r w:rsidRPr="000B5F00">
        <w:t>: If students struggle to complete the Evaluating Evidence and Reasoning Tool, consider modeling how to complete the tool.</w:t>
      </w:r>
    </w:p>
    <w:p w14:paraId="5B41339C" w14:textId="77777777" w:rsidR="005027DB" w:rsidRDefault="005027DB" w:rsidP="00432519">
      <w:pPr>
        <w:pStyle w:val="IN"/>
      </w:pPr>
      <w:r>
        <w:t>Consider reminding students of their previous work with SL.11-12.1.a, as this discussion requires that students come to class having read the material and asks them to explicitly draw on evidence from the text to support their discussion.</w:t>
      </w:r>
    </w:p>
    <w:p w14:paraId="6F65C7CD" w14:textId="77777777" w:rsidR="005027DB" w:rsidRDefault="005027DB" w:rsidP="000C66FE">
      <w:pPr>
        <w:pStyle w:val="BR"/>
      </w:pPr>
    </w:p>
    <w:p w14:paraId="2EAF0566" w14:textId="77777777" w:rsidR="005027DB" w:rsidRPr="008D712C" w:rsidRDefault="005027DB" w:rsidP="00230EFA">
      <w:pPr>
        <w:pStyle w:val="TA"/>
      </w:pPr>
      <w:r w:rsidRPr="008D712C">
        <w:t>Lead a brief whole-class discussion of students’ work on their Evaluating Evidence and Reasoning Tools. Ask students to look at their responses from their tools and discuss the following question:</w:t>
      </w:r>
    </w:p>
    <w:p w14:paraId="0B6EF2B3" w14:textId="5A03733A" w:rsidR="005027DB" w:rsidRPr="008D712C" w:rsidRDefault="005027DB" w:rsidP="000C66FE">
      <w:pPr>
        <w:pStyle w:val="Q"/>
      </w:pPr>
      <w:r w:rsidRPr="008D712C">
        <w:t xml:space="preserve">Identify one of Diamond’s claims and </w:t>
      </w:r>
      <w:r w:rsidRPr="000C0A1C">
        <w:t>evaluate whether the</w:t>
      </w:r>
      <w:r w:rsidR="009A6FD4">
        <w:t xml:space="preserve"> evidence is relevant and sufficient and the </w:t>
      </w:r>
      <w:r w:rsidRPr="000C0A1C">
        <w:t>reasoning is valid</w:t>
      </w:r>
      <w:r w:rsidRPr="008D712C">
        <w:t>.</w:t>
      </w:r>
    </w:p>
    <w:p w14:paraId="3A616BEF" w14:textId="77777777" w:rsidR="005027DB" w:rsidRPr="008D712C" w:rsidRDefault="005027DB" w:rsidP="00492789">
      <w:pPr>
        <w:pStyle w:val="SR"/>
      </w:pPr>
      <w:r w:rsidRPr="008D712C">
        <w:t xml:space="preserve">See Model Evaluating Evidence and Reasoning Tool at the end of this lesson. </w:t>
      </w:r>
    </w:p>
    <w:p w14:paraId="46767E6D" w14:textId="5A682FAD" w:rsidR="005027DB" w:rsidRPr="008D712C" w:rsidRDefault="005027DB" w:rsidP="002F346E">
      <w:pPr>
        <w:pStyle w:val="TA"/>
      </w:pPr>
      <w:r w:rsidRPr="008D712C">
        <w:t>Inform students that they have the opportunity to add to their Evaluating Evidence and Reasoning Tools for homework.</w:t>
      </w:r>
    </w:p>
    <w:p w14:paraId="4ADCE3D4" w14:textId="77777777" w:rsidR="005027DB" w:rsidRPr="00790BCC" w:rsidRDefault="005027DB" w:rsidP="00FA3A2F">
      <w:pPr>
        <w:pStyle w:val="LearningSequenceHeader"/>
        <w:keepNext/>
      </w:pPr>
      <w:r w:rsidRPr="008D712C">
        <w:lastRenderedPageBreak/>
        <w:t>Activity 5: Closin</w:t>
      </w:r>
      <w:bookmarkStart w:id="0" w:name="_GoBack"/>
      <w:bookmarkEnd w:id="0"/>
      <w:r w:rsidRPr="008D712C">
        <w:t>g</w:t>
      </w:r>
      <w:r w:rsidRPr="00790BCC">
        <w:tab/>
        <w:t>5%</w:t>
      </w:r>
    </w:p>
    <w:p w14:paraId="171D19C1" w14:textId="69F9EC7E" w:rsidR="005027DB" w:rsidRDefault="005027DB" w:rsidP="009F1A2D">
      <w:pPr>
        <w:pStyle w:val="TA"/>
      </w:pPr>
      <w:r>
        <w:t xml:space="preserve">Display and distribute the homework assignment. For homework, instruct students to review and expand their notes, tools, and annotations in preparation for the following lesson’s Mid-Unit Assessment. In addition, students should continue to conduct pre-searches to gather potential sources for research. Instruct students to find </w:t>
      </w:r>
      <w:r w:rsidRPr="00212686">
        <w:t>three more potential sources for at least one area of investigation</w:t>
      </w:r>
      <w:r>
        <w:t xml:space="preserve"> </w:t>
      </w:r>
      <w:r w:rsidRPr="00212686">
        <w:t>and record the following information</w:t>
      </w:r>
      <w:r>
        <w:t xml:space="preserve"> for each source</w:t>
      </w:r>
      <w:r w:rsidRPr="00212686">
        <w:t xml:space="preserve">: author’s name, </w:t>
      </w:r>
      <w:r>
        <w:t>issue</w:t>
      </w:r>
      <w:r w:rsidRPr="00212686">
        <w:t xml:space="preserve">, source, location, publication date, and general content/key ideas. </w:t>
      </w:r>
    </w:p>
    <w:p w14:paraId="5271BD81" w14:textId="77777777" w:rsidR="005027DB" w:rsidRPr="00790BCC" w:rsidRDefault="005027DB" w:rsidP="00156B03">
      <w:pPr>
        <w:pStyle w:val="SA"/>
      </w:pPr>
      <w:r>
        <w:t xml:space="preserve">Students follow along. </w:t>
      </w:r>
    </w:p>
    <w:p w14:paraId="707FE723" w14:textId="77777777" w:rsidR="005027DB" w:rsidRPr="00790BCC" w:rsidRDefault="005027DB" w:rsidP="007017EB">
      <w:pPr>
        <w:pStyle w:val="Heading1"/>
      </w:pPr>
      <w:r w:rsidRPr="00790BCC">
        <w:t>Homework</w:t>
      </w:r>
    </w:p>
    <w:p w14:paraId="75D30B6B" w14:textId="7A113A9D" w:rsidR="005027DB" w:rsidRDefault="005027DB" w:rsidP="004A49C7">
      <w:r>
        <w:t xml:space="preserve">Review and expand </w:t>
      </w:r>
      <w:r w:rsidR="00D9273D">
        <w:t xml:space="preserve">your </w:t>
      </w:r>
      <w:r>
        <w:t>notes, tools, and annotations in preparation for the following lesson’s Mid-Unit Assessme</w:t>
      </w:r>
      <w:r w:rsidRPr="005C446E">
        <w:t xml:space="preserve">nt. In addition, </w:t>
      </w:r>
      <w:r>
        <w:t>c</w:t>
      </w:r>
      <w:r w:rsidRPr="00212686">
        <w:t xml:space="preserve">ontinue </w:t>
      </w:r>
      <w:r w:rsidR="0031611F">
        <w:t>to conduct</w:t>
      </w:r>
      <w:r w:rsidRPr="00212686">
        <w:t xml:space="preserve"> pre-searches</w:t>
      </w:r>
      <w:r>
        <w:t xml:space="preserve"> to gather potential sources for research</w:t>
      </w:r>
      <w:r w:rsidRPr="00212686">
        <w:t>. Find three more potential sources for at least one area of investigation</w:t>
      </w:r>
      <w:r>
        <w:t xml:space="preserve"> </w:t>
      </w:r>
      <w:r w:rsidRPr="00212686">
        <w:t xml:space="preserve">and record the following information: author’s name, </w:t>
      </w:r>
      <w:r>
        <w:t>issue</w:t>
      </w:r>
      <w:r w:rsidRPr="00212686">
        <w:t>, source, location, publication date</w:t>
      </w:r>
      <w:r>
        <w:t>, and general content/key ideas.</w:t>
      </w:r>
    </w:p>
    <w:p w14:paraId="67071743" w14:textId="267DD06E" w:rsidR="005027DB" w:rsidRPr="00C04717" w:rsidRDefault="00D9273D" w:rsidP="00FC31D2">
      <w:pPr>
        <w:pStyle w:val="ToolHeader"/>
      </w:pPr>
      <w:r>
        <w:br w:type="page"/>
      </w:r>
      <w:r w:rsidR="005027DB" w:rsidRPr="00666DD1">
        <w:lastRenderedPageBreak/>
        <w:t>Evaluating Evidence</w:t>
      </w:r>
      <w:r w:rsidR="005027DB">
        <w:t xml:space="preserve"> and Reasoning Tool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51"/>
        <w:gridCol w:w="732"/>
        <w:gridCol w:w="3007"/>
        <w:gridCol w:w="720"/>
        <w:gridCol w:w="1438"/>
      </w:tblGrid>
      <w:tr w:rsidR="005027DB" w:rsidRPr="009F1A2D" w14:paraId="429507C3" w14:textId="77777777" w:rsidTr="008408F3">
        <w:trPr>
          <w:trHeight w:val="557"/>
        </w:trPr>
        <w:tc>
          <w:tcPr>
            <w:tcW w:w="712" w:type="dxa"/>
            <w:shd w:val="clear" w:color="auto" w:fill="D9D9D9"/>
            <w:vAlign w:val="center"/>
          </w:tcPr>
          <w:p w14:paraId="161448EC" w14:textId="77777777" w:rsidR="005027DB" w:rsidRPr="008408F3" w:rsidRDefault="005027DB" w:rsidP="00292762">
            <w:pPr>
              <w:pStyle w:val="TableText"/>
              <w:rPr>
                <w:b/>
              </w:rPr>
            </w:pPr>
            <w:r w:rsidRPr="008408F3">
              <w:rPr>
                <w:b/>
              </w:rPr>
              <w:t>Name:</w:t>
            </w:r>
          </w:p>
        </w:tc>
        <w:tc>
          <w:tcPr>
            <w:tcW w:w="2786" w:type="dxa"/>
            <w:vAlign w:val="center"/>
          </w:tcPr>
          <w:p w14:paraId="233E4893" w14:textId="77777777" w:rsidR="005027DB" w:rsidRPr="008408F3" w:rsidRDefault="005027DB" w:rsidP="00292762">
            <w:pPr>
              <w:pStyle w:val="TableText"/>
              <w:rPr>
                <w:b/>
              </w:rPr>
            </w:pPr>
          </w:p>
        </w:tc>
        <w:tc>
          <w:tcPr>
            <w:tcW w:w="732" w:type="dxa"/>
            <w:shd w:val="clear" w:color="auto" w:fill="D9D9D9"/>
            <w:vAlign w:val="center"/>
          </w:tcPr>
          <w:p w14:paraId="2772E3C7" w14:textId="77777777" w:rsidR="005027DB" w:rsidRPr="008408F3" w:rsidRDefault="005027DB" w:rsidP="00292762">
            <w:pPr>
              <w:pStyle w:val="TableText"/>
              <w:rPr>
                <w:b/>
              </w:rPr>
            </w:pPr>
            <w:r w:rsidRPr="008408F3">
              <w:rPr>
                <w:b/>
              </w:rPr>
              <w:t>Class:</w:t>
            </w:r>
          </w:p>
        </w:tc>
        <w:tc>
          <w:tcPr>
            <w:tcW w:w="3045" w:type="dxa"/>
            <w:vAlign w:val="center"/>
          </w:tcPr>
          <w:p w14:paraId="7D9921DB" w14:textId="77777777" w:rsidR="005027DB" w:rsidRPr="008408F3" w:rsidRDefault="005027DB" w:rsidP="00292762">
            <w:pPr>
              <w:pStyle w:val="TableText"/>
              <w:rPr>
                <w:b/>
              </w:rPr>
            </w:pPr>
          </w:p>
        </w:tc>
        <w:tc>
          <w:tcPr>
            <w:tcW w:w="720" w:type="dxa"/>
            <w:shd w:val="clear" w:color="auto" w:fill="D9D9D9"/>
            <w:vAlign w:val="center"/>
          </w:tcPr>
          <w:p w14:paraId="76B4C338" w14:textId="77777777" w:rsidR="005027DB" w:rsidRPr="008408F3" w:rsidRDefault="005027DB" w:rsidP="00292762">
            <w:pPr>
              <w:pStyle w:val="TableText"/>
              <w:rPr>
                <w:b/>
              </w:rPr>
            </w:pPr>
            <w:r w:rsidRPr="008408F3">
              <w:rPr>
                <w:b/>
              </w:rPr>
              <w:t>Date:</w:t>
            </w:r>
          </w:p>
        </w:tc>
        <w:tc>
          <w:tcPr>
            <w:tcW w:w="1455" w:type="dxa"/>
            <w:vAlign w:val="center"/>
          </w:tcPr>
          <w:p w14:paraId="0FB23482" w14:textId="77777777" w:rsidR="005027DB" w:rsidRPr="008408F3" w:rsidRDefault="005027DB" w:rsidP="00292762">
            <w:pPr>
              <w:pStyle w:val="TableText"/>
              <w:rPr>
                <w:b/>
              </w:rPr>
            </w:pPr>
          </w:p>
        </w:tc>
      </w:tr>
    </w:tbl>
    <w:p w14:paraId="6A57A7F1" w14:textId="77777777" w:rsidR="005027DB" w:rsidRPr="000C2369" w:rsidRDefault="005027DB" w:rsidP="00FC31D2">
      <w:pPr>
        <w:spacing w:before="0" w:after="0"/>
        <w:rPr>
          <w:sz w:val="10"/>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27DB" w:rsidRPr="009F1A2D" w14:paraId="12897B84" w14:textId="77777777" w:rsidTr="008408F3">
        <w:trPr>
          <w:trHeight w:val="562"/>
        </w:trPr>
        <w:tc>
          <w:tcPr>
            <w:tcW w:w="9450" w:type="dxa"/>
            <w:shd w:val="clear" w:color="auto" w:fill="D9D9D9"/>
            <w:vAlign w:val="center"/>
          </w:tcPr>
          <w:p w14:paraId="3FD2BC2A" w14:textId="0A304F3F" w:rsidR="005027DB" w:rsidRPr="008408F3" w:rsidRDefault="005027DB" w:rsidP="00292762">
            <w:pPr>
              <w:pStyle w:val="ToolTableText"/>
              <w:rPr>
                <w:b/>
              </w:rPr>
            </w:pPr>
            <w:r w:rsidRPr="008408F3">
              <w:rPr>
                <w:b/>
              </w:rPr>
              <w:t xml:space="preserve">Directions: </w:t>
            </w:r>
            <w:r w:rsidRPr="009F1A2D">
              <w:t xml:space="preserve">Identify and record the claim in the text, as well as the evidence and reasoning that support the claim. Remember that </w:t>
            </w:r>
            <w:r w:rsidRPr="001B3CB7">
              <w:rPr>
                <w:i/>
              </w:rPr>
              <w:t>evidence</w:t>
            </w:r>
            <w:r w:rsidRPr="009F1A2D">
              <w:t xml:space="preserve"> supports claims and </w:t>
            </w:r>
            <w:r w:rsidRPr="001B3CB7">
              <w:rPr>
                <w:i/>
              </w:rPr>
              <w:t>reasoning</w:t>
            </w:r>
            <w:r w:rsidRPr="009F1A2D">
              <w:t xml:space="preserve"> connects evidence to a claim. </w:t>
            </w:r>
            <w:r w:rsidRPr="001B3CB7">
              <w:rPr>
                <w:i/>
              </w:rPr>
              <w:t xml:space="preserve">Reasoning </w:t>
            </w:r>
            <w:r w:rsidRPr="009F1A2D">
              <w:t xml:space="preserve">may </w:t>
            </w:r>
            <w:r w:rsidR="00D9273D">
              <w:t xml:space="preserve">also </w:t>
            </w:r>
            <w:r w:rsidRPr="009F1A2D">
              <w:t xml:space="preserve">explain the relationship among claims or across evidence. Then, evaluate whether the evidence is relevant and sufficient and the reasoning is valid. </w:t>
            </w:r>
          </w:p>
        </w:tc>
      </w:tr>
    </w:tbl>
    <w:p w14:paraId="3F542BC7" w14:textId="77777777" w:rsidR="005027DB" w:rsidRPr="000C2369" w:rsidRDefault="005027DB" w:rsidP="00FC31D2">
      <w:pPr>
        <w:spacing w:before="0" w:after="0"/>
        <w:rPr>
          <w:sz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8745"/>
      </w:tblGrid>
      <w:tr w:rsidR="005027DB" w:rsidRPr="009F1A2D" w14:paraId="2FFFA366" w14:textId="77777777" w:rsidTr="008408F3">
        <w:trPr>
          <w:trHeight w:val="557"/>
        </w:trPr>
        <w:tc>
          <w:tcPr>
            <w:tcW w:w="723" w:type="dxa"/>
            <w:shd w:val="clear" w:color="auto" w:fill="D9D9D9"/>
            <w:vAlign w:val="center"/>
          </w:tcPr>
          <w:p w14:paraId="1B204D4F" w14:textId="77777777" w:rsidR="005027DB" w:rsidRPr="008408F3" w:rsidRDefault="005027DB" w:rsidP="00292762">
            <w:pPr>
              <w:pStyle w:val="ToolTableText"/>
              <w:rPr>
                <w:b/>
              </w:rPr>
            </w:pPr>
            <w:r w:rsidRPr="008408F3">
              <w:rPr>
                <w:b/>
              </w:rPr>
              <w:t>Text:</w:t>
            </w:r>
          </w:p>
        </w:tc>
        <w:tc>
          <w:tcPr>
            <w:tcW w:w="8745" w:type="dxa"/>
            <w:vAlign w:val="center"/>
          </w:tcPr>
          <w:p w14:paraId="41428546" w14:textId="77777777" w:rsidR="005027DB" w:rsidRPr="009F1A2D" w:rsidRDefault="005027DB" w:rsidP="00292762">
            <w:pPr>
              <w:pStyle w:val="ToolTableText"/>
            </w:pPr>
          </w:p>
        </w:tc>
      </w:tr>
    </w:tbl>
    <w:p w14:paraId="2964B929" w14:textId="77777777" w:rsidR="005027DB" w:rsidRPr="000C2369" w:rsidRDefault="005027DB" w:rsidP="00FC31D2">
      <w:pPr>
        <w:spacing w:before="0" w:after="0"/>
        <w:rPr>
          <w:sz w:val="10"/>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186"/>
        <w:gridCol w:w="3186"/>
      </w:tblGrid>
      <w:tr w:rsidR="005027DB" w:rsidRPr="009F1A2D" w14:paraId="2109C30C" w14:textId="77777777" w:rsidTr="008408F3">
        <w:tc>
          <w:tcPr>
            <w:tcW w:w="9450" w:type="dxa"/>
            <w:gridSpan w:val="3"/>
            <w:shd w:val="clear" w:color="auto" w:fill="D9D9D9"/>
          </w:tcPr>
          <w:p w14:paraId="18200FC5" w14:textId="77777777" w:rsidR="005027DB" w:rsidRPr="008408F3" w:rsidRDefault="005027DB" w:rsidP="00292762">
            <w:pPr>
              <w:pStyle w:val="ToolTableText"/>
              <w:rPr>
                <w:b/>
                <w:highlight w:val="yellow"/>
              </w:rPr>
            </w:pPr>
            <w:r w:rsidRPr="008408F3">
              <w:rPr>
                <w:b/>
              </w:rPr>
              <w:t>Claim:</w:t>
            </w:r>
          </w:p>
        </w:tc>
      </w:tr>
      <w:tr w:rsidR="005027DB" w:rsidRPr="009F1A2D" w14:paraId="4F5B5E10" w14:textId="77777777" w:rsidTr="008408F3">
        <w:tc>
          <w:tcPr>
            <w:tcW w:w="9450" w:type="dxa"/>
            <w:gridSpan w:val="3"/>
          </w:tcPr>
          <w:p w14:paraId="0E8C6BF8" w14:textId="77777777" w:rsidR="005027DB" w:rsidRPr="009F1A2D" w:rsidRDefault="005027DB" w:rsidP="00292762">
            <w:pPr>
              <w:pStyle w:val="ToolTableText"/>
            </w:pPr>
          </w:p>
          <w:p w14:paraId="3C16BCF2" w14:textId="77777777" w:rsidR="005027DB" w:rsidRPr="009F1A2D" w:rsidRDefault="005027DB" w:rsidP="00292762">
            <w:pPr>
              <w:pStyle w:val="ToolTableText"/>
            </w:pPr>
          </w:p>
        </w:tc>
      </w:tr>
      <w:tr w:rsidR="005027DB" w:rsidRPr="009F1A2D" w14:paraId="1AC48B78" w14:textId="77777777" w:rsidTr="008408F3">
        <w:tc>
          <w:tcPr>
            <w:tcW w:w="9450" w:type="dxa"/>
            <w:gridSpan w:val="3"/>
            <w:shd w:val="clear" w:color="auto" w:fill="D9D9D9"/>
          </w:tcPr>
          <w:p w14:paraId="7F3476F5" w14:textId="77777777" w:rsidR="005027DB" w:rsidRPr="008408F3" w:rsidRDefault="005027DB" w:rsidP="00292762">
            <w:pPr>
              <w:pStyle w:val="ToolTableText"/>
              <w:rPr>
                <w:b/>
              </w:rPr>
            </w:pPr>
            <w:r w:rsidRPr="008408F3">
              <w:rPr>
                <w:b/>
              </w:rPr>
              <w:t>Evidence:</w:t>
            </w:r>
          </w:p>
        </w:tc>
      </w:tr>
      <w:tr w:rsidR="005027DB" w:rsidRPr="009F1A2D" w14:paraId="71996FA9" w14:textId="77777777" w:rsidTr="00BF7992">
        <w:trPr>
          <w:trHeight w:val="1440"/>
        </w:trPr>
        <w:tc>
          <w:tcPr>
            <w:tcW w:w="3078" w:type="dxa"/>
            <w:shd w:val="clear" w:color="auto" w:fill="FFFFFF"/>
          </w:tcPr>
          <w:p w14:paraId="012734D1" w14:textId="77777777" w:rsidR="005027DB" w:rsidRPr="008408F3" w:rsidRDefault="005027DB" w:rsidP="00876975">
            <w:pPr>
              <w:pStyle w:val="ToolTableText"/>
              <w:rPr>
                <w:b/>
              </w:rPr>
            </w:pPr>
            <w:r w:rsidRPr="008408F3">
              <w:rPr>
                <w:b/>
              </w:rPr>
              <w:t>Evidence 1:</w:t>
            </w:r>
            <w:r w:rsidRPr="009F1A2D">
              <w:t xml:space="preserve"> </w:t>
            </w:r>
          </w:p>
        </w:tc>
        <w:tc>
          <w:tcPr>
            <w:tcW w:w="3186" w:type="dxa"/>
            <w:shd w:val="clear" w:color="auto" w:fill="FFFFFF"/>
          </w:tcPr>
          <w:p w14:paraId="5821EE92" w14:textId="77777777" w:rsidR="005027DB" w:rsidRPr="009F1A2D" w:rsidRDefault="005027DB" w:rsidP="00876975">
            <w:pPr>
              <w:pStyle w:val="ToolTableText"/>
            </w:pPr>
            <w:r w:rsidRPr="008408F3">
              <w:rPr>
                <w:b/>
              </w:rPr>
              <w:t>Evidence 2:</w:t>
            </w:r>
            <w:r w:rsidRPr="009F1A2D">
              <w:t xml:space="preserve"> </w:t>
            </w:r>
          </w:p>
        </w:tc>
        <w:tc>
          <w:tcPr>
            <w:tcW w:w="3186" w:type="dxa"/>
            <w:shd w:val="clear" w:color="auto" w:fill="FFFFFF"/>
          </w:tcPr>
          <w:p w14:paraId="28CA3D2B" w14:textId="77777777" w:rsidR="005027DB" w:rsidRPr="008408F3" w:rsidRDefault="005027DB" w:rsidP="00876975">
            <w:pPr>
              <w:pStyle w:val="ToolTableText"/>
              <w:rPr>
                <w:b/>
              </w:rPr>
            </w:pPr>
            <w:r w:rsidRPr="008408F3">
              <w:rPr>
                <w:b/>
              </w:rPr>
              <w:t>Evidence 3:</w:t>
            </w:r>
            <w:r w:rsidRPr="009F1A2D">
              <w:t xml:space="preserve"> </w:t>
            </w:r>
          </w:p>
        </w:tc>
      </w:tr>
      <w:tr w:rsidR="005027DB" w:rsidRPr="009F1A2D" w14:paraId="205BC068" w14:textId="77777777" w:rsidTr="00BF7992">
        <w:trPr>
          <w:trHeight w:val="1440"/>
        </w:trPr>
        <w:tc>
          <w:tcPr>
            <w:tcW w:w="3078" w:type="dxa"/>
            <w:shd w:val="clear" w:color="auto" w:fill="FFFFFF"/>
          </w:tcPr>
          <w:p w14:paraId="235C64AC" w14:textId="1D86649B" w:rsidR="005027DB" w:rsidRPr="00BF7992" w:rsidRDefault="005027DB" w:rsidP="00FC31D2">
            <w:pPr>
              <w:pStyle w:val="ToolTableText"/>
              <w:rPr>
                <w:b/>
              </w:rPr>
            </w:pPr>
            <w:r w:rsidRPr="008408F3">
              <w:rPr>
                <w:b/>
              </w:rPr>
              <w:t>Relevance:</w:t>
            </w:r>
          </w:p>
        </w:tc>
        <w:tc>
          <w:tcPr>
            <w:tcW w:w="3186" w:type="dxa"/>
            <w:shd w:val="clear" w:color="auto" w:fill="FFFFFF"/>
          </w:tcPr>
          <w:p w14:paraId="2A8ED95A" w14:textId="77777777" w:rsidR="005027DB" w:rsidRPr="008408F3" w:rsidRDefault="005027DB" w:rsidP="00FC31D2">
            <w:pPr>
              <w:pStyle w:val="ToolTableText"/>
              <w:rPr>
                <w:highlight w:val="yellow"/>
              </w:rPr>
            </w:pPr>
            <w:r w:rsidRPr="008408F3">
              <w:rPr>
                <w:b/>
              </w:rPr>
              <w:t xml:space="preserve">Relevance: </w:t>
            </w:r>
          </w:p>
        </w:tc>
        <w:tc>
          <w:tcPr>
            <w:tcW w:w="3186" w:type="dxa"/>
            <w:shd w:val="clear" w:color="auto" w:fill="FFFFFF"/>
          </w:tcPr>
          <w:p w14:paraId="45351462" w14:textId="77777777" w:rsidR="005027DB" w:rsidRPr="008408F3" w:rsidRDefault="005027DB" w:rsidP="00876975">
            <w:pPr>
              <w:pStyle w:val="ToolTableText"/>
              <w:rPr>
                <w:b/>
              </w:rPr>
            </w:pPr>
            <w:r w:rsidRPr="008408F3">
              <w:rPr>
                <w:b/>
              </w:rPr>
              <w:t xml:space="preserve">Relevance: </w:t>
            </w:r>
          </w:p>
        </w:tc>
      </w:tr>
      <w:tr w:rsidR="005027DB" w:rsidRPr="009F1A2D" w14:paraId="0D084EA0" w14:textId="77777777" w:rsidTr="008408F3">
        <w:tc>
          <w:tcPr>
            <w:tcW w:w="9450" w:type="dxa"/>
            <w:gridSpan w:val="3"/>
            <w:shd w:val="clear" w:color="auto" w:fill="D9D9D9"/>
          </w:tcPr>
          <w:p w14:paraId="7AF11039" w14:textId="68C00DE6" w:rsidR="005027DB" w:rsidRPr="008408F3" w:rsidRDefault="005027DB" w:rsidP="00D9273D">
            <w:pPr>
              <w:pStyle w:val="ToolTableText"/>
              <w:rPr>
                <w:b/>
              </w:rPr>
            </w:pPr>
            <w:r w:rsidRPr="008408F3">
              <w:rPr>
                <w:b/>
              </w:rPr>
              <w:t xml:space="preserve">Explain whether the evidence is sufficient </w:t>
            </w:r>
            <w:r w:rsidR="00D9273D">
              <w:rPr>
                <w:b/>
              </w:rPr>
              <w:t>to</w:t>
            </w:r>
            <w:r w:rsidRPr="008408F3">
              <w:rPr>
                <w:b/>
              </w:rPr>
              <w:t xml:space="preserve"> support the claim. </w:t>
            </w:r>
          </w:p>
        </w:tc>
      </w:tr>
      <w:tr w:rsidR="005027DB" w:rsidRPr="009F1A2D" w14:paraId="0E9C9DB0" w14:textId="77777777" w:rsidTr="008408F3">
        <w:tc>
          <w:tcPr>
            <w:tcW w:w="9450" w:type="dxa"/>
            <w:gridSpan w:val="3"/>
            <w:shd w:val="clear" w:color="auto" w:fill="FFFFFF"/>
          </w:tcPr>
          <w:p w14:paraId="12BD039B" w14:textId="77777777" w:rsidR="005027DB" w:rsidRPr="009F1A2D" w:rsidRDefault="005027DB" w:rsidP="00292762">
            <w:pPr>
              <w:pStyle w:val="ToolTableText"/>
            </w:pPr>
          </w:p>
          <w:p w14:paraId="783FFC9D" w14:textId="77777777" w:rsidR="005027DB" w:rsidRPr="009F1A2D" w:rsidRDefault="005027DB" w:rsidP="00292762">
            <w:pPr>
              <w:pStyle w:val="ToolTableText"/>
            </w:pPr>
          </w:p>
          <w:p w14:paraId="49CB12CA" w14:textId="77777777" w:rsidR="005027DB" w:rsidRPr="009F1A2D" w:rsidRDefault="005027DB" w:rsidP="00292762">
            <w:pPr>
              <w:pStyle w:val="ToolTableText"/>
            </w:pPr>
          </w:p>
        </w:tc>
      </w:tr>
      <w:tr w:rsidR="005027DB" w:rsidRPr="009F1A2D" w14:paraId="7FEFCC76" w14:textId="77777777" w:rsidTr="008408F3">
        <w:tc>
          <w:tcPr>
            <w:tcW w:w="9450" w:type="dxa"/>
            <w:gridSpan w:val="3"/>
            <w:shd w:val="clear" w:color="auto" w:fill="D9D9D9"/>
          </w:tcPr>
          <w:p w14:paraId="295A154C" w14:textId="77777777" w:rsidR="005027DB" w:rsidRPr="008408F3" w:rsidRDefault="005027DB" w:rsidP="00292762">
            <w:pPr>
              <w:pStyle w:val="ToolTableText"/>
              <w:rPr>
                <w:b/>
              </w:rPr>
            </w:pPr>
            <w:r w:rsidRPr="008408F3">
              <w:rPr>
                <w:b/>
              </w:rPr>
              <w:t>Reasoning:</w:t>
            </w:r>
          </w:p>
        </w:tc>
      </w:tr>
      <w:tr w:rsidR="005027DB" w:rsidRPr="009F1A2D" w14:paraId="0B4C1ACF" w14:textId="77777777" w:rsidTr="008408F3">
        <w:tc>
          <w:tcPr>
            <w:tcW w:w="9450" w:type="dxa"/>
            <w:gridSpan w:val="3"/>
            <w:shd w:val="clear" w:color="auto" w:fill="FFFFFF"/>
          </w:tcPr>
          <w:p w14:paraId="2D83D27D" w14:textId="77777777" w:rsidR="005027DB" w:rsidRPr="008408F3" w:rsidRDefault="005027DB" w:rsidP="00292762">
            <w:pPr>
              <w:pStyle w:val="ToolTableText"/>
              <w:rPr>
                <w:highlight w:val="yellow"/>
              </w:rPr>
            </w:pPr>
          </w:p>
          <w:p w14:paraId="352ED68F" w14:textId="77777777" w:rsidR="005027DB" w:rsidRPr="008408F3" w:rsidRDefault="005027DB" w:rsidP="00292762">
            <w:pPr>
              <w:pStyle w:val="ToolTableText"/>
              <w:rPr>
                <w:highlight w:val="yellow"/>
              </w:rPr>
            </w:pPr>
          </w:p>
          <w:p w14:paraId="60E9FAEC" w14:textId="77777777" w:rsidR="005027DB" w:rsidRPr="008408F3" w:rsidRDefault="005027DB" w:rsidP="00292762">
            <w:pPr>
              <w:pStyle w:val="ToolTableText"/>
              <w:rPr>
                <w:highlight w:val="yellow"/>
              </w:rPr>
            </w:pPr>
          </w:p>
        </w:tc>
      </w:tr>
    </w:tbl>
    <w:p w14:paraId="7E51D70B" w14:textId="77777777" w:rsidR="00BF7992" w:rsidRDefault="00BF799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27DB" w:rsidRPr="009F1A2D" w14:paraId="6E89BB24" w14:textId="77777777" w:rsidTr="008408F3">
        <w:tc>
          <w:tcPr>
            <w:tcW w:w="9450" w:type="dxa"/>
            <w:shd w:val="clear" w:color="auto" w:fill="D9D9D9"/>
          </w:tcPr>
          <w:p w14:paraId="01AD4055" w14:textId="77777777" w:rsidR="005027DB" w:rsidRPr="008408F3" w:rsidRDefault="005027DB" w:rsidP="00292762">
            <w:pPr>
              <w:pStyle w:val="ToolTableText"/>
              <w:rPr>
                <w:b/>
              </w:rPr>
            </w:pPr>
            <w:r w:rsidRPr="008408F3">
              <w:rPr>
                <w:b/>
              </w:rPr>
              <w:lastRenderedPageBreak/>
              <w:t xml:space="preserve">Is this reasoning valid? Explain. </w:t>
            </w:r>
          </w:p>
        </w:tc>
      </w:tr>
      <w:tr w:rsidR="005027DB" w:rsidRPr="009F1A2D" w14:paraId="6CC27173" w14:textId="77777777" w:rsidTr="008408F3">
        <w:tc>
          <w:tcPr>
            <w:tcW w:w="9450" w:type="dxa"/>
            <w:shd w:val="clear" w:color="auto" w:fill="FFFFFF"/>
          </w:tcPr>
          <w:p w14:paraId="34DD521C" w14:textId="77777777" w:rsidR="005027DB" w:rsidRPr="008408F3" w:rsidRDefault="005027DB" w:rsidP="00292762">
            <w:pPr>
              <w:pStyle w:val="ToolTableText"/>
              <w:rPr>
                <w:highlight w:val="yellow"/>
              </w:rPr>
            </w:pPr>
          </w:p>
          <w:p w14:paraId="29A3DAA8" w14:textId="77777777" w:rsidR="005027DB" w:rsidRPr="008408F3" w:rsidRDefault="005027DB" w:rsidP="00292762">
            <w:pPr>
              <w:pStyle w:val="ToolTableText"/>
              <w:rPr>
                <w:highlight w:val="yellow"/>
              </w:rPr>
            </w:pPr>
          </w:p>
          <w:p w14:paraId="0E083ABF" w14:textId="77777777" w:rsidR="005027DB" w:rsidRPr="008408F3" w:rsidRDefault="005027DB" w:rsidP="00292762">
            <w:pPr>
              <w:pStyle w:val="ToolTableText"/>
              <w:rPr>
                <w:highlight w:val="yellow"/>
              </w:rPr>
            </w:pPr>
          </w:p>
        </w:tc>
      </w:tr>
    </w:tbl>
    <w:p w14:paraId="7A872E3A" w14:textId="77777777" w:rsidR="005027DB" w:rsidRDefault="005027DB" w:rsidP="006D26B3">
      <w:pPr>
        <w:pStyle w:val="ToolHeader"/>
        <w:sectPr w:rsidR="005027DB" w:rsidSect="00495FD3">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2F05652D" w14:textId="77777777" w:rsidR="005027DB" w:rsidRPr="00C04717" w:rsidRDefault="005027DB">
      <w:pPr>
        <w:pStyle w:val="ToolHeader"/>
      </w:pPr>
      <w:r w:rsidRPr="00461CD8">
        <w:lastRenderedPageBreak/>
        <w:t>Model Evaluating Evidence</w:t>
      </w:r>
      <w:r>
        <w:t xml:space="preserve"> and Reasoning Tool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51"/>
        <w:gridCol w:w="732"/>
        <w:gridCol w:w="3007"/>
        <w:gridCol w:w="720"/>
        <w:gridCol w:w="1438"/>
      </w:tblGrid>
      <w:tr w:rsidR="005027DB" w:rsidRPr="009F1A2D" w14:paraId="686C98F9" w14:textId="77777777" w:rsidTr="008408F3">
        <w:trPr>
          <w:trHeight w:val="557"/>
        </w:trPr>
        <w:tc>
          <w:tcPr>
            <w:tcW w:w="712" w:type="dxa"/>
            <w:shd w:val="clear" w:color="auto" w:fill="D9D9D9"/>
            <w:vAlign w:val="center"/>
          </w:tcPr>
          <w:p w14:paraId="7D073DCB" w14:textId="77777777" w:rsidR="005027DB" w:rsidRPr="008408F3" w:rsidRDefault="005027DB" w:rsidP="00495FD3">
            <w:pPr>
              <w:pStyle w:val="TableText"/>
              <w:rPr>
                <w:b/>
              </w:rPr>
            </w:pPr>
            <w:r w:rsidRPr="008408F3">
              <w:rPr>
                <w:b/>
              </w:rPr>
              <w:t>Name:</w:t>
            </w:r>
          </w:p>
        </w:tc>
        <w:tc>
          <w:tcPr>
            <w:tcW w:w="2786" w:type="dxa"/>
            <w:vAlign w:val="center"/>
          </w:tcPr>
          <w:p w14:paraId="19DA9BC5" w14:textId="77777777" w:rsidR="005027DB" w:rsidRPr="008408F3" w:rsidRDefault="005027DB" w:rsidP="00495FD3">
            <w:pPr>
              <w:pStyle w:val="TableText"/>
              <w:rPr>
                <w:b/>
              </w:rPr>
            </w:pPr>
          </w:p>
        </w:tc>
        <w:tc>
          <w:tcPr>
            <w:tcW w:w="732" w:type="dxa"/>
            <w:shd w:val="clear" w:color="auto" w:fill="D9D9D9"/>
            <w:vAlign w:val="center"/>
          </w:tcPr>
          <w:p w14:paraId="72969454" w14:textId="77777777" w:rsidR="005027DB" w:rsidRPr="008408F3" w:rsidRDefault="005027DB" w:rsidP="00495FD3">
            <w:pPr>
              <w:pStyle w:val="TableText"/>
              <w:rPr>
                <w:b/>
              </w:rPr>
            </w:pPr>
            <w:r w:rsidRPr="008408F3">
              <w:rPr>
                <w:b/>
              </w:rPr>
              <w:t>Class:</w:t>
            </w:r>
          </w:p>
        </w:tc>
        <w:tc>
          <w:tcPr>
            <w:tcW w:w="3045" w:type="dxa"/>
            <w:vAlign w:val="center"/>
          </w:tcPr>
          <w:p w14:paraId="15C54A76" w14:textId="77777777" w:rsidR="005027DB" w:rsidRPr="008408F3" w:rsidRDefault="005027DB" w:rsidP="00495FD3">
            <w:pPr>
              <w:pStyle w:val="TableText"/>
              <w:rPr>
                <w:b/>
              </w:rPr>
            </w:pPr>
          </w:p>
        </w:tc>
        <w:tc>
          <w:tcPr>
            <w:tcW w:w="720" w:type="dxa"/>
            <w:shd w:val="clear" w:color="auto" w:fill="D9D9D9"/>
            <w:vAlign w:val="center"/>
          </w:tcPr>
          <w:p w14:paraId="4CC652BB" w14:textId="77777777" w:rsidR="005027DB" w:rsidRPr="008408F3" w:rsidRDefault="005027DB" w:rsidP="00495FD3">
            <w:pPr>
              <w:pStyle w:val="TableText"/>
              <w:rPr>
                <w:b/>
              </w:rPr>
            </w:pPr>
            <w:r w:rsidRPr="008408F3">
              <w:rPr>
                <w:b/>
              </w:rPr>
              <w:t>Date:</w:t>
            </w:r>
          </w:p>
        </w:tc>
        <w:tc>
          <w:tcPr>
            <w:tcW w:w="1455" w:type="dxa"/>
            <w:vAlign w:val="center"/>
          </w:tcPr>
          <w:p w14:paraId="6F609CCF" w14:textId="77777777" w:rsidR="005027DB" w:rsidRPr="008408F3" w:rsidRDefault="005027DB" w:rsidP="00495FD3">
            <w:pPr>
              <w:pStyle w:val="TableText"/>
              <w:rPr>
                <w:b/>
              </w:rPr>
            </w:pPr>
          </w:p>
        </w:tc>
      </w:tr>
    </w:tbl>
    <w:p w14:paraId="29357854" w14:textId="77777777" w:rsidR="005027DB" w:rsidRPr="000C2369" w:rsidRDefault="005027DB" w:rsidP="006D26B3">
      <w:pPr>
        <w:spacing w:before="0" w:after="0"/>
        <w:rPr>
          <w:sz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27DB" w:rsidRPr="009F1A2D" w14:paraId="11E27267" w14:textId="77777777" w:rsidTr="008408F3">
        <w:trPr>
          <w:trHeight w:val="562"/>
        </w:trPr>
        <w:tc>
          <w:tcPr>
            <w:tcW w:w="9450" w:type="dxa"/>
            <w:shd w:val="clear" w:color="auto" w:fill="D9D9D9"/>
            <w:vAlign w:val="center"/>
          </w:tcPr>
          <w:p w14:paraId="0355E943" w14:textId="07C08FCC" w:rsidR="005027DB" w:rsidRPr="008408F3" w:rsidRDefault="005027DB" w:rsidP="00772B17">
            <w:pPr>
              <w:pStyle w:val="ToolTableText"/>
              <w:rPr>
                <w:b/>
              </w:rPr>
            </w:pPr>
            <w:r w:rsidRPr="008408F3">
              <w:rPr>
                <w:b/>
              </w:rPr>
              <w:t xml:space="preserve">Directions: </w:t>
            </w:r>
            <w:r w:rsidRPr="009F1A2D">
              <w:t xml:space="preserve">Identify and record the claim in the text, as well as the evidence and reasoning that support the claim. Remember that </w:t>
            </w:r>
            <w:r w:rsidRPr="001B3CB7">
              <w:rPr>
                <w:i/>
              </w:rPr>
              <w:t>evidence</w:t>
            </w:r>
            <w:r w:rsidRPr="009F1A2D">
              <w:t xml:space="preserve"> supports claims and </w:t>
            </w:r>
            <w:r w:rsidRPr="001B3CB7">
              <w:rPr>
                <w:i/>
              </w:rPr>
              <w:t>reasoning</w:t>
            </w:r>
            <w:r w:rsidRPr="009F1A2D">
              <w:t xml:space="preserve"> connects evidence to a claim. </w:t>
            </w:r>
            <w:r w:rsidRPr="001B3CB7">
              <w:rPr>
                <w:i/>
              </w:rPr>
              <w:t>Reasoning</w:t>
            </w:r>
            <w:r w:rsidRPr="009F1A2D">
              <w:t xml:space="preserve"> may </w:t>
            </w:r>
            <w:r w:rsidR="00D9273D">
              <w:t xml:space="preserve">also </w:t>
            </w:r>
            <w:r w:rsidRPr="009F1A2D">
              <w:t xml:space="preserve">explain the relationship among claims or across evidence. Then, evaluate whether the evidence is relevant and sufficient and the reasoning is valid. </w:t>
            </w:r>
          </w:p>
        </w:tc>
      </w:tr>
    </w:tbl>
    <w:p w14:paraId="374BA2B3" w14:textId="77777777" w:rsidR="005027DB" w:rsidRPr="000C2369" w:rsidRDefault="005027DB" w:rsidP="006D26B3">
      <w:pPr>
        <w:spacing w:before="0" w:after="0"/>
        <w:rPr>
          <w:sz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94"/>
      </w:tblGrid>
      <w:tr w:rsidR="005027DB" w:rsidRPr="009F1A2D" w14:paraId="0D380F15" w14:textId="77777777" w:rsidTr="008408F3">
        <w:trPr>
          <w:trHeight w:val="557"/>
        </w:trPr>
        <w:tc>
          <w:tcPr>
            <w:tcW w:w="630" w:type="dxa"/>
            <w:shd w:val="clear" w:color="auto" w:fill="D9D9D9"/>
            <w:vAlign w:val="center"/>
          </w:tcPr>
          <w:p w14:paraId="6BAD793A" w14:textId="77777777" w:rsidR="005027DB" w:rsidRPr="008408F3" w:rsidRDefault="005027DB" w:rsidP="00495FD3">
            <w:pPr>
              <w:pStyle w:val="ToolTableText"/>
              <w:rPr>
                <w:b/>
              </w:rPr>
            </w:pPr>
            <w:r w:rsidRPr="008408F3">
              <w:rPr>
                <w:b/>
              </w:rPr>
              <w:t>Text:</w:t>
            </w:r>
          </w:p>
        </w:tc>
        <w:tc>
          <w:tcPr>
            <w:tcW w:w="8820" w:type="dxa"/>
            <w:vAlign w:val="center"/>
          </w:tcPr>
          <w:p w14:paraId="79109BDB" w14:textId="01594879" w:rsidR="005027DB" w:rsidRPr="009F1A2D" w:rsidRDefault="005027DB">
            <w:pPr>
              <w:pStyle w:val="ToolTableText"/>
            </w:pPr>
            <w:r w:rsidRPr="008408F3">
              <w:rPr>
                <w:i/>
              </w:rPr>
              <w:t>Guns, Germs, and Steel</w:t>
            </w:r>
            <w:r w:rsidRPr="009F1A2D">
              <w:t>, pages 71</w:t>
            </w:r>
            <w:r>
              <w:t>–</w:t>
            </w:r>
            <w:r w:rsidRPr="009F1A2D">
              <w:t xml:space="preserve">78 </w:t>
            </w:r>
          </w:p>
        </w:tc>
      </w:tr>
    </w:tbl>
    <w:p w14:paraId="3AA7491C" w14:textId="77777777" w:rsidR="005027DB" w:rsidRPr="000C2369" w:rsidRDefault="005027DB" w:rsidP="006D26B3">
      <w:pPr>
        <w:spacing w:before="0" w:after="0"/>
        <w:rPr>
          <w:sz w:val="10"/>
          <w:highlight w:val="yellow"/>
        </w:rPr>
      </w:pPr>
    </w:p>
    <w:p w14:paraId="3EAC7EA7" w14:textId="77777777" w:rsidR="005027DB" w:rsidRPr="000C2369" w:rsidRDefault="005027DB" w:rsidP="006D26B3">
      <w:pPr>
        <w:spacing w:before="0" w:after="0"/>
        <w:rPr>
          <w:sz w:val="10"/>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186"/>
        <w:gridCol w:w="3186"/>
      </w:tblGrid>
      <w:tr w:rsidR="005027DB" w:rsidRPr="009F1A2D" w14:paraId="293B4805" w14:textId="77777777" w:rsidTr="008408F3">
        <w:tc>
          <w:tcPr>
            <w:tcW w:w="9450" w:type="dxa"/>
            <w:gridSpan w:val="3"/>
            <w:shd w:val="clear" w:color="auto" w:fill="D9D9D9"/>
          </w:tcPr>
          <w:p w14:paraId="7A83B171" w14:textId="77777777" w:rsidR="005027DB" w:rsidRPr="008408F3" w:rsidRDefault="005027DB" w:rsidP="00495FD3">
            <w:pPr>
              <w:pStyle w:val="ToolTableText"/>
              <w:rPr>
                <w:b/>
                <w:highlight w:val="yellow"/>
              </w:rPr>
            </w:pPr>
            <w:r w:rsidRPr="008408F3">
              <w:rPr>
                <w:b/>
              </w:rPr>
              <w:t>Claim:</w:t>
            </w:r>
          </w:p>
        </w:tc>
      </w:tr>
      <w:tr w:rsidR="005027DB" w:rsidRPr="009F1A2D" w14:paraId="4B80C9BE" w14:textId="77777777" w:rsidTr="008408F3">
        <w:tc>
          <w:tcPr>
            <w:tcW w:w="9450" w:type="dxa"/>
            <w:gridSpan w:val="3"/>
          </w:tcPr>
          <w:p w14:paraId="6246A6FB" w14:textId="3BE26978" w:rsidR="005027DB" w:rsidRPr="009F1A2D" w:rsidRDefault="005027DB" w:rsidP="007D75BA">
            <w:pPr>
              <w:pStyle w:val="ToolTableText"/>
            </w:pPr>
            <w:r w:rsidRPr="009F1A2D">
              <w:t>“Pizarro’s capture of Atahuallpa illustrates the set of proximate factors that resulted in Europeans’ colonizing the New World instead of Native Americans’ colonizing Europe</w:t>
            </w:r>
            <w:r w:rsidR="0010505F">
              <w:t>.</w:t>
            </w:r>
            <w:r w:rsidRPr="009F1A2D">
              <w:t>” (p. 78)</w:t>
            </w:r>
          </w:p>
        </w:tc>
      </w:tr>
      <w:tr w:rsidR="005027DB" w:rsidRPr="009F1A2D" w14:paraId="7032BBB2" w14:textId="77777777" w:rsidTr="008408F3">
        <w:tc>
          <w:tcPr>
            <w:tcW w:w="9450" w:type="dxa"/>
            <w:gridSpan w:val="3"/>
            <w:shd w:val="clear" w:color="auto" w:fill="D9D9D9"/>
          </w:tcPr>
          <w:p w14:paraId="26C860B5" w14:textId="77777777" w:rsidR="005027DB" w:rsidRPr="008408F3" w:rsidRDefault="005027DB" w:rsidP="00495FD3">
            <w:pPr>
              <w:pStyle w:val="ToolTableText"/>
              <w:rPr>
                <w:b/>
              </w:rPr>
            </w:pPr>
            <w:r w:rsidRPr="008408F3">
              <w:rPr>
                <w:b/>
              </w:rPr>
              <w:t>Evidence:</w:t>
            </w:r>
          </w:p>
        </w:tc>
      </w:tr>
      <w:tr w:rsidR="005027DB" w:rsidRPr="009F1A2D" w14:paraId="07FAD975" w14:textId="77777777" w:rsidTr="008408F3">
        <w:trPr>
          <w:trHeight w:val="1140"/>
        </w:trPr>
        <w:tc>
          <w:tcPr>
            <w:tcW w:w="3078" w:type="dxa"/>
            <w:shd w:val="clear" w:color="auto" w:fill="FFFFFF"/>
          </w:tcPr>
          <w:p w14:paraId="6557817D" w14:textId="77777777" w:rsidR="005027DB" w:rsidRPr="008408F3" w:rsidRDefault="005027DB" w:rsidP="007D75BA">
            <w:pPr>
              <w:pStyle w:val="ToolTableText"/>
              <w:rPr>
                <w:b/>
              </w:rPr>
            </w:pPr>
            <w:r w:rsidRPr="008408F3">
              <w:rPr>
                <w:b/>
              </w:rPr>
              <w:t>Evidence 1:</w:t>
            </w:r>
            <w:r w:rsidRPr="009F1A2D">
              <w:t xml:space="preserve"> The use of horses at Cajamarca “exemplifies a military weapon that remained potent for 6,000 years, until the early 20</w:t>
            </w:r>
            <w:r w:rsidRPr="001B3CB7">
              <w:t>th</w:t>
            </w:r>
            <w:r w:rsidRPr="009F1A2D">
              <w:t xml:space="preserve"> century, and that was eventually applied on all the continents” (p. 74). </w:t>
            </w:r>
          </w:p>
        </w:tc>
        <w:tc>
          <w:tcPr>
            <w:tcW w:w="3186" w:type="dxa"/>
            <w:shd w:val="clear" w:color="auto" w:fill="FFFFFF"/>
          </w:tcPr>
          <w:p w14:paraId="690F92EA" w14:textId="2E66215C" w:rsidR="005027DB" w:rsidRPr="009F1A2D" w:rsidRDefault="005027DB" w:rsidP="00E6792A">
            <w:pPr>
              <w:pStyle w:val="ToolTableText"/>
            </w:pPr>
            <w:r w:rsidRPr="008408F3">
              <w:rPr>
                <w:b/>
              </w:rPr>
              <w:t>Evidence 2:</w:t>
            </w:r>
            <w:r w:rsidRPr="009F1A2D">
              <w:t xml:space="preserve"> “Pizarro came to Cajamarca by means of European maritime technology</w:t>
            </w:r>
            <w:r w:rsidR="00E6792A">
              <w:t>.</w:t>
            </w:r>
            <w:r w:rsidRPr="009F1A2D">
              <w:t>” (p. 75)</w:t>
            </w:r>
          </w:p>
        </w:tc>
        <w:tc>
          <w:tcPr>
            <w:tcW w:w="3186" w:type="dxa"/>
            <w:shd w:val="clear" w:color="auto" w:fill="FFFFFF"/>
          </w:tcPr>
          <w:p w14:paraId="15841A8A" w14:textId="78EB662B" w:rsidR="005027DB" w:rsidRPr="008408F3" w:rsidRDefault="005027DB" w:rsidP="0010505F">
            <w:pPr>
              <w:pStyle w:val="ToolTableText"/>
              <w:rPr>
                <w:b/>
              </w:rPr>
            </w:pPr>
            <w:r w:rsidRPr="008408F3">
              <w:rPr>
                <w:b/>
              </w:rPr>
              <w:t>Evidence 3:</w:t>
            </w:r>
            <w:r w:rsidRPr="009F1A2D">
              <w:t xml:space="preserve"> </w:t>
            </w:r>
            <w:r w:rsidR="00990D85">
              <w:t>“</w:t>
            </w:r>
            <w:r>
              <w:t>The Spaniards had</w:t>
            </w:r>
            <w:r w:rsidRPr="009F1A2D">
              <w:t xml:space="preserve"> steel swords and other weapons, steel armor, guns, and horses” (p. 72)</w:t>
            </w:r>
            <w:r>
              <w:t>, giving them a military advantage over Pizarro</w:t>
            </w:r>
            <w:r w:rsidRPr="009F1A2D">
              <w:t xml:space="preserve">. </w:t>
            </w:r>
          </w:p>
        </w:tc>
      </w:tr>
      <w:tr w:rsidR="005027DB" w:rsidRPr="009F1A2D" w14:paraId="75C073D6" w14:textId="77777777" w:rsidTr="001B3CB7">
        <w:trPr>
          <w:trHeight w:val="350"/>
        </w:trPr>
        <w:tc>
          <w:tcPr>
            <w:tcW w:w="3078" w:type="dxa"/>
            <w:shd w:val="clear" w:color="auto" w:fill="FFFFFF"/>
          </w:tcPr>
          <w:p w14:paraId="3D750F42" w14:textId="77777777" w:rsidR="005027DB" w:rsidRPr="008408F3" w:rsidRDefault="005027DB">
            <w:pPr>
              <w:pStyle w:val="ToolTableText"/>
              <w:rPr>
                <w:b/>
                <w:highlight w:val="yellow"/>
              </w:rPr>
            </w:pPr>
            <w:r w:rsidRPr="008408F3">
              <w:rPr>
                <w:b/>
              </w:rPr>
              <w:t xml:space="preserve">Relevance: </w:t>
            </w:r>
            <w:r w:rsidRPr="009F1A2D">
              <w:t xml:space="preserve">The evidence directly addresses one of the immediate or “proximate” (p. 78) reasons for why the Spaniards were successful in defeating Atahuallpa’s empire despite incredible odds. The Incans lacked the more advanced weaponry of horses, creating a “military disparity” (p. 72) that the Spaniards and other Europeans were able to capitalize on in their conquest of the “New World” (p. 78). </w:t>
            </w:r>
          </w:p>
        </w:tc>
        <w:tc>
          <w:tcPr>
            <w:tcW w:w="3186" w:type="dxa"/>
            <w:shd w:val="clear" w:color="auto" w:fill="FFFFFF"/>
          </w:tcPr>
          <w:p w14:paraId="4ED721D4" w14:textId="0B3C3150" w:rsidR="005027DB" w:rsidRPr="008408F3" w:rsidRDefault="005027DB" w:rsidP="0010505F">
            <w:pPr>
              <w:pStyle w:val="ToolTableText"/>
              <w:rPr>
                <w:highlight w:val="yellow"/>
              </w:rPr>
            </w:pPr>
            <w:r w:rsidRPr="008408F3">
              <w:rPr>
                <w:b/>
              </w:rPr>
              <w:t xml:space="preserve">Relevance: </w:t>
            </w:r>
            <w:r w:rsidRPr="009F1A2D">
              <w:t xml:space="preserve">This evidence is relevant because it also addresses one of the “proximate” (p. 78) reasons for the Spaniards’ victory in defeating Atahuallpa. Without the ability to navigate the ocean, Atahuallpa was unable to venture “out of South America” (p. 75) and “Atahuallpa [didn’t] instead try to conquer Spain” (p. 75). Thus, natives of the New World, lacking maritime technology, were unable to colonize Europe whereas Europeans had the </w:t>
            </w:r>
            <w:r w:rsidRPr="009F1A2D">
              <w:lastRenderedPageBreak/>
              <w:t>transportation to colonize the New World.</w:t>
            </w:r>
          </w:p>
        </w:tc>
        <w:tc>
          <w:tcPr>
            <w:tcW w:w="3186" w:type="dxa"/>
            <w:shd w:val="clear" w:color="auto" w:fill="FFFFFF"/>
          </w:tcPr>
          <w:p w14:paraId="2E39AD77" w14:textId="77777777" w:rsidR="005027DB" w:rsidRPr="008408F3" w:rsidRDefault="005027DB" w:rsidP="00BA0565">
            <w:pPr>
              <w:pStyle w:val="ToolTableText"/>
              <w:rPr>
                <w:b/>
              </w:rPr>
            </w:pPr>
            <w:r w:rsidRPr="008408F3">
              <w:rPr>
                <w:b/>
              </w:rPr>
              <w:lastRenderedPageBreak/>
              <w:t xml:space="preserve">Relevance: </w:t>
            </w:r>
            <w:r w:rsidRPr="009F1A2D">
              <w:t>The evidence is relevant because it directly relates to the key points of the claim: it illustrates the military disparity in play at the collision at Cajamarca. The evidence also shows that “[s]uch examples of the power of guns against native peoples lacking guns could be multiplied indefinitely” (p. 73) by extending these “proximate” (p. 78) factors to other collisions between colonizers and native people.</w:t>
            </w:r>
          </w:p>
        </w:tc>
      </w:tr>
      <w:tr w:rsidR="005027DB" w:rsidRPr="009F1A2D" w14:paraId="7F9EFE86" w14:textId="77777777" w:rsidTr="008408F3">
        <w:tc>
          <w:tcPr>
            <w:tcW w:w="9450" w:type="dxa"/>
            <w:gridSpan w:val="3"/>
            <w:shd w:val="clear" w:color="auto" w:fill="D9D9D9"/>
          </w:tcPr>
          <w:p w14:paraId="7328CF20" w14:textId="6ED406DD" w:rsidR="005027DB" w:rsidRPr="008408F3" w:rsidRDefault="005027DB" w:rsidP="0010505F">
            <w:pPr>
              <w:pStyle w:val="ToolTableText"/>
              <w:rPr>
                <w:b/>
              </w:rPr>
            </w:pPr>
            <w:r w:rsidRPr="008408F3">
              <w:rPr>
                <w:b/>
              </w:rPr>
              <w:lastRenderedPageBreak/>
              <w:t xml:space="preserve">Explain whether the evidence is sufficient </w:t>
            </w:r>
            <w:r w:rsidR="0010505F">
              <w:rPr>
                <w:b/>
              </w:rPr>
              <w:t>to</w:t>
            </w:r>
            <w:r w:rsidRPr="008408F3">
              <w:rPr>
                <w:b/>
              </w:rPr>
              <w:t xml:space="preserve"> support the claim. </w:t>
            </w:r>
          </w:p>
        </w:tc>
      </w:tr>
      <w:tr w:rsidR="005027DB" w:rsidRPr="009F1A2D" w14:paraId="76E25DB5" w14:textId="77777777" w:rsidTr="008408F3">
        <w:tc>
          <w:tcPr>
            <w:tcW w:w="9450" w:type="dxa"/>
            <w:gridSpan w:val="3"/>
            <w:shd w:val="clear" w:color="auto" w:fill="FFFFFF"/>
          </w:tcPr>
          <w:p w14:paraId="11975D48" w14:textId="45A4AD0A" w:rsidR="005027DB" w:rsidRPr="008408F3" w:rsidRDefault="005027DB" w:rsidP="001B2900">
            <w:pPr>
              <w:pStyle w:val="ToolTableText"/>
              <w:rPr>
                <w:b/>
                <w:bCs/>
                <w:i/>
                <w:iCs/>
                <w:color w:val="4F81BD"/>
              </w:rPr>
            </w:pPr>
            <w:r w:rsidRPr="009F1A2D">
              <w:t xml:space="preserve">The selected </w:t>
            </w:r>
            <w:r w:rsidR="0010505F" w:rsidRPr="009F1A2D">
              <w:t xml:space="preserve">evidence </w:t>
            </w:r>
            <w:r w:rsidRPr="009F1A2D">
              <w:t xml:space="preserve">is sufficient to support the claim because it shows three different factors </w:t>
            </w:r>
            <w:r>
              <w:t>that contributed to</w:t>
            </w:r>
            <w:r w:rsidRPr="009F1A2D">
              <w:t xml:space="preserve"> Atahuallpa</w:t>
            </w:r>
            <w:r>
              <w:t>’s</w:t>
            </w:r>
            <w:r w:rsidRPr="009F1A2D">
              <w:t xml:space="preserve"> capture and </w:t>
            </w:r>
            <w:r>
              <w:t xml:space="preserve">shows </w:t>
            </w:r>
            <w:r w:rsidRPr="009F1A2D">
              <w:t xml:space="preserve">why the Spaniards were victorious at Cajamarca. Diamond then </w:t>
            </w:r>
            <w:r>
              <w:t>applies the same</w:t>
            </w:r>
            <w:r w:rsidRPr="009F1A2D">
              <w:t xml:space="preserve"> evidence to other examples of colonizers defeating native people.</w:t>
            </w:r>
          </w:p>
        </w:tc>
      </w:tr>
      <w:tr w:rsidR="005027DB" w:rsidRPr="009F1A2D" w14:paraId="4539028B" w14:textId="77777777" w:rsidTr="008408F3">
        <w:tc>
          <w:tcPr>
            <w:tcW w:w="9450" w:type="dxa"/>
            <w:gridSpan w:val="3"/>
            <w:shd w:val="clear" w:color="auto" w:fill="D9D9D9"/>
          </w:tcPr>
          <w:p w14:paraId="6531DEB0" w14:textId="77777777" w:rsidR="005027DB" w:rsidRPr="008408F3" w:rsidRDefault="005027DB" w:rsidP="00495FD3">
            <w:pPr>
              <w:pStyle w:val="ToolTableText"/>
              <w:rPr>
                <w:b/>
              </w:rPr>
            </w:pPr>
            <w:r w:rsidRPr="008408F3">
              <w:rPr>
                <w:b/>
              </w:rPr>
              <w:t>Reasoning:</w:t>
            </w:r>
          </w:p>
        </w:tc>
      </w:tr>
      <w:tr w:rsidR="005027DB" w:rsidRPr="009F1A2D" w14:paraId="64CB1863" w14:textId="77777777" w:rsidTr="008408F3">
        <w:tc>
          <w:tcPr>
            <w:tcW w:w="9450" w:type="dxa"/>
            <w:gridSpan w:val="3"/>
            <w:shd w:val="clear" w:color="auto" w:fill="FFFFFF"/>
          </w:tcPr>
          <w:p w14:paraId="37236AF5" w14:textId="598F3192" w:rsidR="005027DB" w:rsidRPr="008408F3" w:rsidRDefault="005027DB" w:rsidP="00C12A77">
            <w:pPr>
              <w:pStyle w:val="ToolTableText"/>
              <w:rPr>
                <w:highlight w:val="yellow"/>
              </w:rPr>
            </w:pPr>
            <w:r w:rsidRPr="009F1A2D">
              <w:t>Diamond reasons that these “proximate factors” (p. 78) amounted to “imbalances of equipment [which] were decisive in innumerable other confrontations of Europeans with Native Americans and other peoples” (p. 72).</w:t>
            </w:r>
          </w:p>
        </w:tc>
      </w:tr>
      <w:tr w:rsidR="005027DB" w:rsidRPr="009F1A2D" w14:paraId="0DB26C61" w14:textId="77777777" w:rsidTr="008408F3">
        <w:tc>
          <w:tcPr>
            <w:tcW w:w="9450" w:type="dxa"/>
            <w:gridSpan w:val="3"/>
            <w:shd w:val="clear" w:color="auto" w:fill="D9D9D9"/>
          </w:tcPr>
          <w:p w14:paraId="5E737092" w14:textId="77777777" w:rsidR="005027DB" w:rsidRPr="008408F3" w:rsidRDefault="005027DB" w:rsidP="00495FD3">
            <w:pPr>
              <w:pStyle w:val="ToolTableText"/>
              <w:rPr>
                <w:b/>
              </w:rPr>
            </w:pPr>
            <w:r w:rsidRPr="008408F3">
              <w:rPr>
                <w:b/>
              </w:rPr>
              <w:t xml:space="preserve">Is this reasoning valid? Explain. </w:t>
            </w:r>
          </w:p>
        </w:tc>
      </w:tr>
      <w:tr w:rsidR="005027DB" w:rsidRPr="009F1A2D" w14:paraId="1031DA5A" w14:textId="77777777" w:rsidTr="008408F3">
        <w:tc>
          <w:tcPr>
            <w:tcW w:w="9450" w:type="dxa"/>
            <w:gridSpan w:val="3"/>
            <w:shd w:val="clear" w:color="auto" w:fill="FFFFFF"/>
          </w:tcPr>
          <w:p w14:paraId="10F488D4" w14:textId="3A749237" w:rsidR="005027DB" w:rsidRPr="00695450" w:rsidRDefault="005027DB" w:rsidP="000C66FE">
            <w:pPr>
              <w:pStyle w:val="TableText"/>
            </w:pPr>
            <w:r w:rsidRPr="001B3CB7">
              <w:t xml:space="preserve">The reasoning is valid because Diamond uses sound logic to demonstrate that the factors of military disparity and “equipment” (p. 72) made the difference between victory and defeat at Cajamarca and </w:t>
            </w:r>
            <w:r w:rsidR="001B2900">
              <w:t xml:space="preserve">at </w:t>
            </w:r>
            <w:r w:rsidRPr="001B3CB7">
              <w:t>many other times in history between colonizers and natives.</w:t>
            </w:r>
          </w:p>
        </w:tc>
      </w:tr>
    </w:tbl>
    <w:p w14:paraId="63925E0C" w14:textId="77777777" w:rsidR="005027DB" w:rsidRDefault="005027DB" w:rsidP="006D26B3"/>
    <w:p w14:paraId="699A4B4E" w14:textId="138EFD89" w:rsidR="005027DB" w:rsidRPr="00C04717" w:rsidRDefault="005027DB" w:rsidP="00772B17">
      <w:pPr>
        <w:pStyle w:val="ToolHeader"/>
      </w:pPr>
      <w:r>
        <w:br w:type="page"/>
      </w:r>
      <w:r w:rsidRPr="00625BB7">
        <w:lastRenderedPageBreak/>
        <w:t>Model Evaluating Evidence</w:t>
      </w:r>
      <w:r>
        <w:t xml:space="preserve"> and Reasoning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51"/>
        <w:gridCol w:w="732"/>
        <w:gridCol w:w="3007"/>
        <w:gridCol w:w="720"/>
        <w:gridCol w:w="1438"/>
      </w:tblGrid>
      <w:tr w:rsidR="005027DB" w:rsidRPr="009F1A2D" w14:paraId="7E858B7C" w14:textId="77777777" w:rsidTr="008408F3">
        <w:trPr>
          <w:trHeight w:val="557"/>
        </w:trPr>
        <w:tc>
          <w:tcPr>
            <w:tcW w:w="712" w:type="dxa"/>
            <w:shd w:val="clear" w:color="auto" w:fill="D9D9D9"/>
            <w:vAlign w:val="center"/>
          </w:tcPr>
          <w:p w14:paraId="5F47EEF0" w14:textId="77777777" w:rsidR="005027DB" w:rsidRPr="008408F3" w:rsidRDefault="005027DB" w:rsidP="00495FD3">
            <w:pPr>
              <w:pStyle w:val="TableText"/>
              <w:rPr>
                <w:b/>
              </w:rPr>
            </w:pPr>
            <w:r w:rsidRPr="008408F3">
              <w:rPr>
                <w:b/>
              </w:rPr>
              <w:t>Name:</w:t>
            </w:r>
          </w:p>
        </w:tc>
        <w:tc>
          <w:tcPr>
            <w:tcW w:w="2786" w:type="dxa"/>
            <w:vAlign w:val="center"/>
          </w:tcPr>
          <w:p w14:paraId="65A653D6" w14:textId="77777777" w:rsidR="005027DB" w:rsidRPr="008408F3" w:rsidRDefault="005027DB" w:rsidP="00495FD3">
            <w:pPr>
              <w:pStyle w:val="TableText"/>
              <w:rPr>
                <w:b/>
              </w:rPr>
            </w:pPr>
          </w:p>
        </w:tc>
        <w:tc>
          <w:tcPr>
            <w:tcW w:w="732" w:type="dxa"/>
            <w:shd w:val="clear" w:color="auto" w:fill="D9D9D9"/>
            <w:vAlign w:val="center"/>
          </w:tcPr>
          <w:p w14:paraId="38EB331A" w14:textId="77777777" w:rsidR="005027DB" w:rsidRPr="008408F3" w:rsidRDefault="005027DB" w:rsidP="00495FD3">
            <w:pPr>
              <w:pStyle w:val="TableText"/>
              <w:rPr>
                <w:b/>
              </w:rPr>
            </w:pPr>
            <w:r w:rsidRPr="008408F3">
              <w:rPr>
                <w:b/>
              </w:rPr>
              <w:t>Class:</w:t>
            </w:r>
          </w:p>
        </w:tc>
        <w:tc>
          <w:tcPr>
            <w:tcW w:w="3045" w:type="dxa"/>
            <w:vAlign w:val="center"/>
          </w:tcPr>
          <w:p w14:paraId="321437AD" w14:textId="77777777" w:rsidR="005027DB" w:rsidRPr="008408F3" w:rsidRDefault="005027DB" w:rsidP="00495FD3">
            <w:pPr>
              <w:pStyle w:val="TableText"/>
              <w:rPr>
                <w:b/>
              </w:rPr>
            </w:pPr>
          </w:p>
        </w:tc>
        <w:tc>
          <w:tcPr>
            <w:tcW w:w="720" w:type="dxa"/>
            <w:shd w:val="clear" w:color="auto" w:fill="D9D9D9"/>
            <w:vAlign w:val="center"/>
          </w:tcPr>
          <w:p w14:paraId="4CA8A969" w14:textId="77777777" w:rsidR="005027DB" w:rsidRPr="008408F3" w:rsidRDefault="005027DB" w:rsidP="00495FD3">
            <w:pPr>
              <w:pStyle w:val="TableText"/>
              <w:rPr>
                <w:b/>
              </w:rPr>
            </w:pPr>
            <w:r w:rsidRPr="008408F3">
              <w:rPr>
                <w:b/>
              </w:rPr>
              <w:t>Date:</w:t>
            </w:r>
          </w:p>
        </w:tc>
        <w:tc>
          <w:tcPr>
            <w:tcW w:w="1455" w:type="dxa"/>
            <w:vAlign w:val="center"/>
          </w:tcPr>
          <w:p w14:paraId="7D77F882" w14:textId="77777777" w:rsidR="005027DB" w:rsidRPr="008408F3" w:rsidRDefault="005027DB" w:rsidP="00495FD3">
            <w:pPr>
              <w:pStyle w:val="TableText"/>
              <w:rPr>
                <w:b/>
              </w:rPr>
            </w:pPr>
          </w:p>
        </w:tc>
      </w:tr>
    </w:tbl>
    <w:p w14:paraId="6445026A" w14:textId="77777777" w:rsidR="005027DB" w:rsidRPr="000C2369" w:rsidRDefault="005027DB" w:rsidP="00772B17">
      <w:pPr>
        <w:spacing w:before="0" w:after="0"/>
        <w:rPr>
          <w:sz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27DB" w:rsidRPr="009F1A2D" w14:paraId="66512104" w14:textId="77777777" w:rsidTr="008408F3">
        <w:trPr>
          <w:trHeight w:val="562"/>
        </w:trPr>
        <w:tc>
          <w:tcPr>
            <w:tcW w:w="9450" w:type="dxa"/>
            <w:shd w:val="clear" w:color="auto" w:fill="D9D9D9"/>
            <w:vAlign w:val="center"/>
          </w:tcPr>
          <w:p w14:paraId="467A8BC7" w14:textId="7EF2A8BA" w:rsidR="005027DB" w:rsidRPr="008408F3" w:rsidRDefault="005027DB" w:rsidP="00495FD3">
            <w:pPr>
              <w:pStyle w:val="ToolTableText"/>
              <w:rPr>
                <w:b/>
              </w:rPr>
            </w:pPr>
            <w:r w:rsidRPr="008408F3">
              <w:rPr>
                <w:b/>
              </w:rPr>
              <w:t xml:space="preserve">Directions: </w:t>
            </w:r>
            <w:r w:rsidRPr="009F1A2D">
              <w:t xml:space="preserve">Identify and record the claim in the excerpt, as well as the evidence and reasoning that support the claim. Remember that </w:t>
            </w:r>
            <w:r w:rsidRPr="001B3CB7">
              <w:rPr>
                <w:i/>
              </w:rPr>
              <w:t>evidence</w:t>
            </w:r>
            <w:r w:rsidRPr="009F1A2D">
              <w:t xml:space="preserve"> supports claims and </w:t>
            </w:r>
            <w:r w:rsidRPr="001B3CB7">
              <w:rPr>
                <w:i/>
              </w:rPr>
              <w:t>reasoning</w:t>
            </w:r>
            <w:r w:rsidRPr="009F1A2D">
              <w:t xml:space="preserve"> connects evidence to a claim. </w:t>
            </w:r>
            <w:r w:rsidRPr="001B3CB7">
              <w:rPr>
                <w:i/>
              </w:rPr>
              <w:t>Reasoning</w:t>
            </w:r>
            <w:r w:rsidRPr="009F1A2D">
              <w:t xml:space="preserve"> may </w:t>
            </w:r>
            <w:r w:rsidR="001B2900">
              <w:t xml:space="preserve">also </w:t>
            </w:r>
            <w:r w:rsidRPr="009F1A2D">
              <w:t>explain the relationship among claims or across evidence. Then, evaluate whether the reasoning is valid and the evidence is relevant and sufficient.</w:t>
            </w:r>
          </w:p>
        </w:tc>
      </w:tr>
    </w:tbl>
    <w:p w14:paraId="516C7A7B" w14:textId="77777777" w:rsidR="005027DB" w:rsidRPr="000C2369" w:rsidRDefault="005027DB" w:rsidP="00772B17">
      <w:pPr>
        <w:spacing w:before="0" w:after="0"/>
        <w:rPr>
          <w:sz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94"/>
      </w:tblGrid>
      <w:tr w:rsidR="005027DB" w:rsidRPr="009F1A2D" w14:paraId="7761A0A3" w14:textId="77777777" w:rsidTr="008408F3">
        <w:trPr>
          <w:trHeight w:val="557"/>
        </w:trPr>
        <w:tc>
          <w:tcPr>
            <w:tcW w:w="630" w:type="dxa"/>
            <w:shd w:val="clear" w:color="auto" w:fill="D9D9D9"/>
            <w:vAlign w:val="center"/>
          </w:tcPr>
          <w:p w14:paraId="49A3AD54" w14:textId="77777777" w:rsidR="005027DB" w:rsidRPr="008408F3" w:rsidRDefault="005027DB" w:rsidP="00495FD3">
            <w:pPr>
              <w:pStyle w:val="ToolTableText"/>
              <w:rPr>
                <w:b/>
              </w:rPr>
            </w:pPr>
            <w:r w:rsidRPr="008408F3">
              <w:rPr>
                <w:b/>
              </w:rPr>
              <w:t>Text:</w:t>
            </w:r>
          </w:p>
        </w:tc>
        <w:tc>
          <w:tcPr>
            <w:tcW w:w="8820" w:type="dxa"/>
            <w:vAlign w:val="center"/>
          </w:tcPr>
          <w:p w14:paraId="273D57E4" w14:textId="3E3FDC89" w:rsidR="005027DB" w:rsidRPr="009F1A2D" w:rsidRDefault="005027DB">
            <w:pPr>
              <w:pStyle w:val="ToolTableText"/>
            </w:pPr>
            <w:r w:rsidRPr="008408F3">
              <w:rPr>
                <w:i/>
              </w:rPr>
              <w:t>Guns, Germs, and Steel</w:t>
            </w:r>
            <w:r w:rsidRPr="009F1A2D">
              <w:t xml:space="preserve">, </w:t>
            </w:r>
            <w:r w:rsidRPr="00966E20">
              <w:t>pages</w:t>
            </w:r>
            <w:r w:rsidRPr="009F1A2D">
              <w:t xml:space="preserve"> 439</w:t>
            </w:r>
            <w:r>
              <w:t>–</w:t>
            </w:r>
            <w:r w:rsidRPr="009F1A2D">
              <w:t>446</w:t>
            </w:r>
          </w:p>
        </w:tc>
      </w:tr>
    </w:tbl>
    <w:p w14:paraId="358489CA" w14:textId="77777777" w:rsidR="005027DB" w:rsidRPr="000C2369" w:rsidRDefault="005027DB" w:rsidP="00772B17">
      <w:pPr>
        <w:spacing w:before="0" w:after="0"/>
        <w:rPr>
          <w:sz w:val="10"/>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186"/>
        <w:gridCol w:w="3186"/>
      </w:tblGrid>
      <w:tr w:rsidR="005027DB" w:rsidRPr="009F1A2D" w14:paraId="7599AFDC" w14:textId="77777777" w:rsidTr="008408F3">
        <w:tc>
          <w:tcPr>
            <w:tcW w:w="9450" w:type="dxa"/>
            <w:gridSpan w:val="3"/>
            <w:shd w:val="clear" w:color="auto" w:fill="D9D9D9"/>
          </w:tcPr>
          <w:p w14:paraId="38A6E486" w14:textId="77777777" w:rsidR="005027DB" w:rsidRPr="008408F3" w:rsidRDefault="005027DB" w:rsidP="00495FD3">
            <w:pPr>
              <w:pStyle w:val="ToolTableText"/>
              <w:rPr>
                <w:b/>
                <w:highlight w:val="yellow"/>
              </w:rPr>
            </w:pPr>
            <w:r w:rsidRPr="008408F3">
              <w:rPr>
                <w:b/>
              </w:rPr>
              <w:t>Claim:</w:t>
            </w:r>
          </w:p>
        </w:tc>
      </w:tr>
      <w:tr w:rsidR="005027DB" w:rsidRPr="009F1A2D" w14:paraId="27E8799A" w14:textId="77777777" w:rsidTr="008408F3">
        <w:tc>
          <w:tcPr>
            <w:tcW w:w="9450" w:type="dxa"/>
            <w:gridSpan w:val="3"/>
          </w:tcPr>
          <w:p w14:paraId="23FC7A31" w14:textId="358F5033" w:rsidR="005027DB" w:rsidRPr="004122B7" w:rsidRDefault="005027DB" w:rsidP="001B2900">
            <w:pPr>
              <w:pStyle w:val="ToolTableText"/>
              <w:keepNext/>
              <w:keepLines/>
              <w:outlineLvl w:val="3"/>
              <w:rPr>
                <w:highlight w:val="yellow"/>
              </w:rPr>
            </w:pPr>
            <w:r w:rsidRPr="00FF6908">
              <w:t>The Optimal Fragmentation Principle is that “</w:t>
            </w:r>
            <w:r w:rsidR="001B2900" w:rsidRPr="00FF6908">
              <w:t>i</w:t>
            </w:r>
            <w:r w:rsidRPr="00FF6908">
              <w:t>nnovation proceeds most rapidly in a society with some optimal intermediate degree of fragmentation: a too-unified society is at a disadvantage, and so is a too-fragmented society” (p. 441)</w:t>
            </w:r>
            <w:r w:rsidR="001B2900" w:rsidRPr="00FF6908">
              <w:t>.</w:t>
            </w:r>
          </w:p>
        </w:tc>
      </w:tr>
      <w:tr w:rsidR="005027DB" w:rsidRPr="009F1A2D" w14:paraId="07148F4B" w14:textId="77777777" w:rsidTr="008408F3">
        <w:tc>
          <w:tcPr>
            <w:tcW w:w="9450" w:type="dxa"/>
            <w:gridSpan w:val="3"/>
            <w:shd w:val="clear" w:color="auto" w:fill="D9D9D9"/>
          </w:tcPr>
          <w:p w14:paraId="1C8DCD95" w14:textId="77777777" w:rsidR="005027DB" w:rsidRPr="008408F3" w:rsidRDefault="005027DB" w:rsidP="00495FD3">
            <w:pPr>
              <w:pStyle w:val="ToolTableText"/>
              <w:rPr>
                <w:b/>
              </w:rPr>
            </w:pPr>
            <w:r w:rsidRPr="008408F3">
              <w:rPr>
                <w:b/>
              </w:rPr>
              <w:t>Evidence</w:t>
            </w:r>
          </w:p>
        </w:tc>
      </w:tr>
      <w:tr w:rsidR="005027DB" w:rsidRPr="009F1A2D" w14:paraId="15BBA5A9" w14:textId="77777777" w:rsidTr="008408F3">
        <w:trPr>
          <w:trHeight w:val="1140"/>
        </w:trPr>
        <w:tc>
          <w:tcPr>
            <w:tcW w:w="3078" w:type="dxa"/>
            <w:shd w:val="clear" w:color="auto" w:fill="FFFFFF"/>
          </w:tcPr>
          <w:p w14:paraId="3AC9F2A2" w14:textId="77777777" w:rsidR="005027DB" w:rsidRPr="009F1A2D" w:rsidRDefault="005027DB" w:rsidP="000C66FE">
            <w:pPr>
              <w:pStyle w:val="ToolTableText"/>
            </w:pPr>
            <w:r w:rsidRPr="008408F3">
              <w:rPr>
                <w:b/>
              </w:rPr>
              <w:t>Evidence 1:</w:t>
            </w:r>
            <w:r w:rsidRPr="009F1A2D">
              <w:t xml:space="preserve"> “There are a thousand tiny beer companies in Germany, shielded from competition with one another because each German brewery has virtually a local monopoly, and they are also shielded from competition with imports.” (p. 441)</w:t>
            </w:r>
          </w:p>
          <w:p w14:paraId="706E0824" w14:textId="77777777" w:rsidR="005027DB" w:rsidRPr="008408F3" w:rsidRDefault="005027DB" w:rsidP="00495FD3">
            <w:pPr>
              <w:pStyle w:val="ToolTableText"/>
              <w:rPr>
                <w:b/>
              </w:rPr>
            </w:pPr>
          </w:p>
        </w:tc>
        <w:tc>
          <w:tcPr>
            <w:tcW w:w="3186" w:type="dxa"/>
            <w:shd w:val="clear" w:color="auto" w:fill="FFFFFF"/>
          </w:tcPr>
          <w:p w14:paraId="483B3E5F" w14:textId="4F59E4E6" w:rsidR="005027DB" w:rsidRPr="009F1A2D" w:rsidRDefault="005027DB" w:rsidP="00CE479D">
            <w:pPr>
              <w:pStyle w:val="ToolTableText"/>
            </w:pPr>
            <w:r w:rsidRPr="008408F3">
              <w:rPr>
                <w:b/>
              </w:rPr>
              <w:t xml:space="preserve">Evidence 2: </w:t>
            </w:r>
            <w:r w:rsidRPr="009F1A2D">
              <w:t xml:space="preserve">Diamond states that in Japan, the food-processing industry is not as efficient as other industries. He </w:t>
            </w:r>
            <w:r>
              <w:t>notes</w:t>
            </w:r>
            <w:r w:rsidRPr="009F1A2D">
              <w:t xml:space="preserve"> that “food-processing companies enjoy local monopolies</w:t>
            </w:r>
            <w:r w:rsidR="001B2900">
              <w:t>,</w:t>
            </w:r>
            <w:r w:rsidRPr="009F1A2D">
              <w:t>” while “Japanese steel, metal, car, car parts, camera, and consumer electronics companies compete fiercely and have higher productivities” (p. 443). Also, Diamond states that the “Japanese food-producing companies</w:t>
            </w:r>
            <w:r>
              <w:t xml:space="preserve"> </w:t>
            </w:r>
            <w:r w:rsidRPr="009F1A2D">
              <w:t>…</w:t>
            </w:r>
            <w:r>
              <w:t xml:space="preserve"> </w:t>
            </w:r>
            <w:r w:rsidRPr="009F1A2D">
              <w:t xml:space="preserve">don’t learn the best international methods for producing food” (p. 443) because they are isolated. </w:t>
            </w:r>
          </w:p>
        </w:tc>
        <w:tc>
          <w:tcPr>
            <w:tcW w:w="3186" w:type="dxa"/>
            <w:shd w:val="clear" w:color="auto" w:fill="FFFFFF"/>
          </w:tcPr>
          <w:p w14:paraId="23D48E91" w14:textId="77777777" w:rsidR="005027DB" w:rsidRPr="009F1A2D" w:rsidRDefault="005027DB" w:rsidP="000C66FE">
            <w:pPr>
              <w:pStyle w:val="ToolTableText"/>
            </w:pPr>
            <w:r w:rsidRPr="008408F3">
              <w:rPr>
                <w:b/>
              </w:rPr>
              <w:t xml:space="preserve">Evidence 3: </w:t>
            </w:r>
            <w:r w:rsidRPr="009F1A2D">
              <w:t>Diamond compares Route 128 to Silicon Valley. He states that “Silicon Valley consists of lots of companies that are fiercely competitive with one another” (p. 444) but that there is a great deal of collaboration across the companies. On the other hand, the Route 128 corridor contains companies that are “much more secretive and insulated from one another” (p. 444)</w:t>
            </w:r>
            <w:r>
              <w:t>.</w:t>
            </w:r>
          </w:p>
          <w:p w14:paraId="2C6E122A" w14:textId="77777777" w:rsidR="005027DB" w:rsidRPr="008408F3" w:rsidRDefault="005027DB" w:rsidP="00495FD3">
            <w:pPr>
              <w:pStyle w:val="ToolTableText"/>
              <w:rPr>
                <w:b/>
              </w:rPr>
            </w:pPr>
          </w:p>
        </w:tc>
      </w:tr>
      <w:tr w:rsidR="005027DB" w:rsidRPr="009F1A2D" w14:paraId="6677509D" w14:textId="77777777" w:rsidTr="008408F3">
        <w:trPr>
          <w:trHeight w:val="629"/>
        </w:trPr>
        <w:tc>
          <w:tcPr>
            <w:tcW w:w="3078" w:type="dxa"/>
            <w:shd w:val="clear" w:color="auto" w:fill="FFFFFF"/>
          </w:tcPr>
          <w:p w14:paraId="5ACEF40C" w14:textId="59C62D17" w:rsidR="005027DB" w:rsidRPr="008408F3" w:rsidRDefault="005027DB" w:rsidP="001B3CB7">
            <w:pPr>
              <w:pStyle w:val="ToolTableText"/>
              <w:rPr>
                <w:b/>
              </w:rPr>
            </w:pPr>
            <w:r w:rsidRPr="008408F3">
              <w:rPr>
                <w:b/>
              </w:rPr>
              <w:t xml:space="preserve">Relevance: </w:t>
            </w:r>
            <w:r w:rsidRPr="009F1A2D">
              <w:t xml:space="preserve">This evidence is directly relevant to the claim because it presents a situation in which there is too much fragmentation, </w:t>
            </w:r>
            <w:r w:rsidR="001B3CB7">
              <w:t xml:space="preserve">which </w:t>
            </w:r>
            <w:r w:rsidRPr="009F1A2D">
              <w:t>result</w:t>
            </w:r>
            <w:r w:rsidR="001B3CB7">
              <w:t>s</w:t>
            </w:r>
            <w:r w:rsidRPr="009F1A2D">
              <w:t xml:space="preserve"> in fragmented local monopolies </w:t>
            </w:r>
            <w:r w:rsidRPr="009F1A2D">
              <w:lastRenderedPageBreak/>
              <w:t>that are unable to compete globally.</w:t>
            </w:r>
          </w:p>
        </w:tc>
        <w:tc>
          <w:tcPr>
            <w:tcW w:w="3186" w:type="dxa"/>
            <w:shd w:val="clear" w:color="auto" w:fill="FFFFFF"/>
          </w:tcPr>
          <w:p w14:paraId="50755E47" w14:textId="4699B856" w:rsidR="005027DB" w:rsidRPr="009F1A2D" w:rsidRDefault="005027DB" w:rsidP="001B2900">
            <w:pPr>
              <w:pStyle w:val="ToolTableText"/>
            </w:pPr>
            <w:r w:rsidRPr="008408F3">
              <w:rPr>
                <w:b/>
              </w:rPr>
              <w:lastRenderedPageBreak/>
              <w:t xml:space="preserve">Relevance: </w:t>
            </w:r>
            <w:r w:rsidRPr="009F1A2D">
              <w:t>This evidence is directly relevant to the claim because it presents a situation in which “local monopolies” (p. 443) creat</w:t>
            </w:r>
            <w:r w:rsidR="001B2900">
              <w:t xml:space="preserve">e </w:t>
            </w:r>
            <w:r w:rsidRPr="009F1A2D">
              <w:t xml:space="preserve">“fragmentation” (p. 444) </w:t>
            </w:r>
            <w:r w:rsidR="001B2900">
              <w:t xml:space="preserve">and </w:t>
            </w:r>
            <w:r w:rsidRPr="009F1A2D">
              <w:t xml:space="preserve">are not able to engage </w:t>
            </w:r>
            <w:r w:rsidRPr="009F1A2D">
              <w:lastRenderedPageBreak/>
              <w:t xml:space="preserve">in competition or learn or communicate “the best international methods” (p. 443) to increase productivity. </w:t>
            </w:r>
          </w:p>
        </w:tc>
        <w:tc>
          <w:tcPr>
            <w:tcW w:w="3186" w:type="dxa"/>
            <w:shd w:val="clear" w:color="auto" w:fill="FFFFFF"/>
          </w:tcPr>
          <w:p w14:paraId="41AEB58A" w14:textId="12419F33" w:rsidR="005027DB" w:rsidRPr="008408F3" w:rsidRDefault="005027DB" w:rsidP="00607BD9">
            <w:pPr>
              <w:pStyle w:val="ToolTableText"/>
              <w:rPr>
                <w:b/>
              </w:rPr>
            </w:pPr>
            <w:r w:rsidRPr="008408F3">
              <w:rPr>
                <w:b/>
              </w:rPr>
              <w:lastRenderedPageBreak/>
              <w:t xml:space="preserve">Relevance: </w:t>
            </w:r>
            <w:r w:rsidRPr="009F1A2D">
              <w:t xml:space="preserve">This evidence is directly relevant to the claim because the Silicon Valley companies appear to conform to the “optimal intermediate degree of fragmentation” (p. </w:t>
            </w:r>
            <w:r w:rsidRPr="009F1A2D">
              <w:lastRenderedPageBreak/>
              <w:t xml:space="preserve">441), resulting in competition and collaboration, while the Route 128 corridor does not allow for enough collaboration or “unity” (p. 444) to ensure best practices or “innovation” (p. 444). </w:t>
            </w:r>
          </w:p>
        </w:tc>
      </w:tr>
      <w:tr w:rsidR="005027DB" w:rsidRPr="009F1A2D" w14:paraId="1931DE3A" w14:textId="77777777" w:rsidTr="008408F3">
        <w:tc>
          <w:tcPr>
            <w:tcW w:w="9450" w:type="dxa"/>
            <w:gridSpan w:val="3"/>
            <w:shd w:val="clear" w:color="auto" w:fill="D9D9D9"/>
          </w:tcPr>
          <w:p w14:paraId="0A5C7CF1" w14:textId="612FF29A" w:rsidR="005027DB" w:rsidRPr="008408F3" w:rsidRDefault="005027DB" w:rsidP="001B2900">
            <w:pPr>
              <w:pStyle w:val="ToolTableText"/>
              <w:rPr>
                <w:b/>
              </w:rPr>
            </w:pPr>
            <w:r w:rsidRPr="008408F3">
              <w:rPr>
                <w:b/>
              </w:rPr>
              <w:lastRenderedPageBreak/>
              <w:t xml:space="preserve">Explain whether the evidence is sufficient </w:t>
            </w:r>
            <w:r w:rsidR="001B2900">
              <w:rPr>
                <w:b/>
              </w:rPr>
              <w:t>to</w:t>
            </w:r>
            <w:r w:rsidRPr="008408F3">
              <w:rPr>
                <w:b/>
              </w:rPr>
              <w:t xml:space="preserve"> support the claim.</w:t>
            </w:r>
          </w:p>
        </w:tc>
      </w:tr>
      <w:tr w:rsidR="005027DB" w:rsidRPr="009F1A2D" w14:paraId="5DC8E09E" w14:textId="77777777" w:rsidTr="008408F3">
        <w:tc>
          <w:tcPr>
            <w:tcW w:w="9450" w:type="dxa"/>
            <w:gridSpan w:val="3"/>
            <w:shd w:val="clear" w:color="auto" w:fill="FFFFFF"/>
          </w:tcPr>
          <w:p w14:paraId="29272526" w14:textId="336D70E6" w:rsidR="005027DB" w:rsidRPr="008408F3" w:rsidRDefault="005027DB" w:rsidP="001B2900">
            <w:pPr>
              <w:pStyle w:val="ToolTableText"/>
              <w:rPr>
                <w:highlight w:val="yellow"/>
              </w:rPr>
            </w:pPr>
            <w:r w:rsidRPr="009F1A2D">
              <w:t>The evidence is</w:t>
            </w:r>
            <w:r w:rsidR="001B3CB7">
              <w:t xml:space="preserve"> not sufficient to draw a </w:t>
            </w:r>
            <w:r w:rsidRPr="009F1A2D">
              <w:t>conclusion. Simply comparing different countries and industries with different histories and contexts does not lead to a solid conclusion that “you don’t want either excessive unity or excessive fragmentation” (</w:t>
            </w:r>
            <w:r>
              <w:t>p</w:t>
            </w:r>
            <w:r w:rsidR="001B2900">
              <w:t>.</w:t>
            </w:r>
            <w:r>
              <w:t xml:space="preserve"> </w:t>
            </w:r>
            <w:r w:rsidRPr="009F1A2D">
              <w:t xml:space="preserve">444) because that is not the only factor influencing productivity. </w:t>
            </w:r>
            <w:r>
              <w:t>Further, t</w:t>
            </w:r>
            <w:r w:rsidRPr="009F1A2D">
              <w:t xml:space="preserve">he evidence is focused on specific industrial sectors that are influenced by “local tastes” (p. 442) </w:t>
            </w:r>
            <w:r w:rsidR="001B2900" w:rsidRPr="009F1A2D">
              <w:t xml:space="preserve">within a country </w:t>
            </w:r>
            <w:r w:rsidR="001B2900">
              <w:t>that</w:t>
            </w:r>
            <w:r w:rsidRPr="009F1A2D">
              <w:t xml:space="preserve"> are affected by a variety of outside factors that cannot be accounted for in just the context of “fragmentation” or “unity” (p. 444). Germany or Japan may be able to change their “organization” (p. 444) but factors like “local tastes” (p. 442) will also continue to influence production.</w:t>
            </w:r>
          </w:p>
        </w:tc>
      </w:tr>
      <w:tr w:rsidR="005027DB" w:rsidRPr="009F1A2D" w14:paraId="78650850" w14:textId="77777777" w:rsidTr="008408F3">
        <w:tc>
          <w:tcPr>
            <w:tcW w:w="9450" w:type="dxa"/>
            <w:gridSpan w:val="3"/>
            <w:shd w:val="clear" w:color="auto" w:fill="D9D9D9"/>
          </w:tcPr>
          <w:p w14:paraId="7E5E07FA" w14:textId="77777777" w:rsidR="005027DB" w:rsidRPr="008408F3" w:rsidRDefault="005027DB" w:rsidP="00495FD3">
            <w:pPr>
              <w:pStyle w:val="ToolTableText"/>
              <w:rPr>
                <w:b/>
              </w:rPr>
            </w:pPr>
            <w:r w:rsidRPr="008408F3">
              <w:rPr>
                <w:b/>
              </w:rPr>
              <w:t>Reasoning:</w:t>
            </w:r>
          </w:p>
        </w:tc>
      </w:tr>
      <w:tr w:rsidR="005027DB" w:rsidRPr="009F1A2D" w14:paraId="3F393059" w14:textId="77777777" w:rsidTr="008408F3">
        <w:tc>
          <w:tcPr>
            <w:tcW w:w="9450" w:type="dxa"/>
            <w:gridSpan w:val="3"/>
            <w:shd w:val="clear" w:color="auto" w:fill="FFFFFF"/>
          </w:tcPr>
          <w:p w14:paraId="56FCE710" w14:textId="260DFD46" w:rsidR="005027DB" w:rsidRPr="009F1A2D" w:rsidRDefault="001269FB" w:rsidP="00FF6908">
            <w:pPr>
              <w:pStyle w:val="ToolTableText"/>
            </w:pPr>
            <w:r>
              <w:t>Diamond reasons that</w:t>
            </w:r>
            <w:r w:rsidR="00FF6908">
              <w:t xml:space="preserve"> </w:t>
            </w:r>
            <w:r w:rsidR="005027DB">
              <w:t>“</w:t>
            </w:r>
            <w:r w:rsidR="005027DB" w:rsidRPr="009F1A2D">
              <w:t>[W]e may be able to extract a general principle about group organization. If your goal is innovation and competitive ability, you don’t want either excessive unity or excessive fragmentation. Instead, you want your country, industry, industrial belt, or company to be broken up into groups that compete with one another while maintaining relatively free communication</w:t>
            </w:r>
            <w:r w:rsidR="005027DB">
              <w:t>.</w:t>
            </w:r>
            <w:r w:rsidR="005027DB" w:rsidRPr="009F1A2D">
              <w:t>” (p</w:t>
            </w:r>
            <w:r w:rsidR="005027DB">
              <w:t>.</w:t>
            </w:r>
            <w:r w:rsidR="005027DB" w:rsidRPr="009F1A2D">
              <w:t xml:space="preserve"> 444)</w:t>
            </w:r>
          </w:p>
        </w:tc>
      </w:tr>
      <w:tr w:rsidR="005027DB" w:rsidRPr="009F1A2D" w14:paraId="00B4C4B1" w14:textId="77777777" w:rsidTr="008408F3">
        <w:tc>
          <w:tcPr>
            <w:tcW w:w="9450" w:type="dxa"/>
            <w:gridSpan w:val="3"/>
            <w:shd w:val="clear" w:color="auto" w:fill="D9D9D9"/>
          </w:tcPr>
          <w:p w14:paraId="10009084" w14:textId="6A06F6C5" w:rsidR="005027DB" w:rsidRPr="008408F3" w:rsidRDefault="005027DB" w:rsidP="00495FD3">
            <w:pPr>
              <w:pStyle w:val="ToolTableText"/>
              <w:rPr>
                <w:b/>
              </w:rPr>
            </w:pPr>
            <w:r w:rsidRPr="008408F3">
              <w:rPr>
                <w:b/>
              </w:rPr>
              <w:t xml:space="preserve">Is </w:t>
            </w:r>
            <w:r w:rsidR="001B3CB7">
              <w:rPr>
                <w:b/>
              </w:rPr>
              <w:t>this reasoning valid? Explain.</w:t>
            </w:r>
          </w:p>
        </w:tc>
      </w:tr>
      <w:tr w:rsidR="005027DB" w:rsidRPr="009F1A2D" w14:paraId="06494216" w14:textId="77777777" w:rsidTr="001B3CB7">
        <w:trPr>
          <w:trHeight w:val="1295"/>
        </w:trPr>
        <w:tc>
          <w:tcPr>
            <w:tcW w:w="9450" w:type="dxa"/>
            <w:gridSpan w:val="3"/>
            <w:shd w:val="clear" w:color="auto" w:fill="FFFFFF"/>
          </w:tcPr>
          <w:p w14:paraId="31EA5846" w14:textId="0F036A47" w:rsidR="005027DB" w:rsidRPr="009F1A2D" w:rsidRDefault="005027DB" w:rsidP="002B361B">
            <w:pPr>
              <w:pStyle w:val="TableText"/>
            </w:pPr>
            <w:r>
              <w:t xml:space="preserve">The reasoning is valid because Diamond limits the principle to “innovation and competitive ability” (p. 444) among industries. And, although he uses only a few examples to support his claim, </w:t>
            </w:r>
            <w:r w:rsidR="001B2900">
              <w:t>Diamond</w:t>
            </w:r>
            <w:r>
              <w:t xml:space="preserve"> draws logical relationships between them, illustrating how excessively fragmented or isolated industries suffer when it comes to </w:t>
            </w:r>
            <w:r w:rsidR="002B361B">
              <w:t>competing in the global market.</w:t>
            </w:r>
          </w:p>
        </w:tc>
      </w:tr>
    </w:tbl>
    <w:p w14:paraId="4378FE00" w14:textId="77777777" w:rsidR="005027DB" w:rsidRDefault="005027DB" w:rsidP="004A49C7">
      <w:pPr>
        <w:spacing w:after="0" w:line="240" w:lineRule="auto"/>
      </w:pPr>
    </w:p>
    <w:sectPr w:rsidR="005027DB" w:rsidSect="00495FD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BD4E" w14:textId="77777777" w:rsidR="00C5077B" w:rsidRDefault="00C5077B">
      <w:pPr>
        <w:spacing w:before="0" w:after="0" w:line="240" w:lineRule="auto"/>
      </w:pPr>
      <w:r>
        <w:separator/>
      </w:r>
    </w:p>
  </w:endnote>
  <w:endnote w:type="continuationSeparator" w:id="0">
    <w:p w14:paraId="6C5EC414" w14:textId="77777777" w:rsidR="00C5077B" w:rsidRDefault="00C507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0560" w14:textId="77777777" w:rsidR="009A6FD4" w:rsidRDefault="009A6FD4" w:rsidP="00495FD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0B3248" w14:textId="77777777" w:rsidR="009A6FD4" w:rsidRDefault="009A6FD4" w:rsidP="00495FD3">
    <w:pPr>
      <w:pStyle w:val="Footer"/>
    </w:pPr>
  </w:p>
  <w:p w14:paraId="3094B81E" w14:textId="77777777" w:rsidR="009A6FD4" w:rsidRDefault="009A6FD4" w:rsidP="00495FD3"/>
  <w:p w14:paraId="54682712" w14:textId="77777777" w:rsidR="009A6FD4" w:rsidRDefault="009A6FD4" w:rsidP="00495F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FE60" w14:textId="77777777" w:rsidR="009A6FD4" w:rsidRPr="00563CB8" w:rsidRDefault="009A6FD4" w:rsidP="007017EB">
    <w:pPr>
      <w:spacing w:before="0" w:after="0" w:line="240" w:lineRule="auto"/>
      <w:rPr>
        <w:sz w:val="14"/>
      </w:rPr>
    </w:pPr>
  </w:p>
  <w:tbl>
    <w:tblPr>
      <w:tblW w:w="4991" w:type="pct"/>
      <w:tblBorders>
        <w:top w:val="single" w:sz="8" w:space="0" w:color="244061"/>
      </w:tblBorders>
      <w:tblLook w:val="00A0" w:firstRow="1" w:lastRow="0" w:firstColumn="1" w:lastColumn="0" w:noHBand="0" w:noVBand="0"/>
    </w:tblPr>
    <w:tblGrid>
      <w:gridCol w:w="4609"/>
      <w:gridCol w:w="625"/>
      <w:gridCol w:w="4325"/>
    </w:tblGrid>
    <w:tr w:rsidR="009A6FD4" w14:paraId="6B0E2F80" w14:textId="77777777" w:rsidTr="00495FD3">
      <w:trPr>
        <w:trHeight w:val="705"/>
      </w:trPr>
      <w:tc>
        <w:tcPr>
          <w:tcW w:w="4609" w:type="dxa"/>
          <w:tcBorders>
            <w:top w:val="single" w:sz="8" w:space="0" w:color="244061"/>
          </w:tcBorders>
          <w:vAlign w:val="center"/>
        </w:tcPr>
        <w:p w14:paraId="409C6D23" w14:textId="071C372F" w:rsidR="009A6FD4" w:rsidRPr="002E4C92" w:rsidRDefault="009A6FD4" w:rsidP="007017EB">
          <w:pPr>
            <w:pStyle w:val="FooterText"/>
          </w:pPr>
          <w:r w:rsidRPr="002E4C92">
            <w:t>File:</w:t>
          </w:r>
          <w:r>
            <w:rPr>
              <w:b w:val="0"/>
            </w:rPr>
            <w:t xml:space="preserve"> 12</w:t>
          </w:r>
          <w:r w:rsidRPr="0039525B">
            <w:rPr>
              <w:b w:val="0"/>
            </w:rPr>
            <w:t>.</w:t>
          </w:r>
          <w:r>
            <w:rPr>
              <w:b w:val="0"/>
            </w:rPr>
            <w:t>3</w:t>
          </w:r>
          <w:r w:rsidRPr="0039525B">
            <w:rPr>
              <w:b w:val="0"/>
            </w:rPr>
            <w:t>.</w:t>
          </w:r>
          <w:r>
            <w:rPr>
              <w:b w:val="0"/>
            </w:rPr>
            <w:t>1 Lesson 11</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4C139D66" w14:textId="2A63C339" w:rsidR="009A6FD4" w:rsidRPr="0039525B" w:rsidRDefault="009A6FD4"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78A290C" w14:textId="77777777" w:rsidR="009A6FD4" w:rsidRPr="0039525B" w:rsidRDefault="009A6FD4" w:rsidP="007017EB">
          <w:pPr>
            <w:pStyle w:val="FooterText"/>
            <w:rPr>
              <w:b w:val="0"/>
              <w:i/>
            </w:rPr>
          </w:pPr>
          <w:r w:rsidRPr="0039525B">
            <w:rPr>
              <w:b w:val="0"/>
              <w:i/>
              <w:sz w:val="12"/>
            </w:rPr>
            <w:t>Creative Commons Attribution-NonCommercial-ShareAlike 3.0 Unported License</w:t>
          </w:r>
        </w:p>
        <w:p w14:paraId="7A5586C6" w14:textId="77777777" w:rsidR="009A6FD4" w:rsidRPr="002E4C92" w:rsidRDefault="00C5077B" w:rsidP="007017EB">
          <w:pPr>
            <w:pStyle w:val="FooterText"/>
          </w:pPr>
          <w:hyperlink r:id="rId1" w:history="1">
            <w:r w:rsidR="009A6FD4" w:rsidRPr="0054791C">
              <w:rPr>
                <w:rStyle w:val="Hyperlink"/>
                <w:rFonts w:cs="Calibri"/>
                <w:sz w:val="12"/>
                <w:szCs w:val="12"/>
              </w:rPr>
              <w:t>http://creativecommons.org/licenses/by-nc-sa/3.0/</w:t>
            </w:r>
          </w:hyperlink>
        </w:p>
      </w:tc>
      <w:tc>
        <w:tcPr>
          <w:tcW w:w="625" w:type="dxa"/>
          <w:tcBorders>
            <w:top w:val="single" w:sz="8" w:space="0" w:color="244061"/>
          </w:tcBorders>
          <w:vAlign w:val="center"/>
        </w:tcPr>
        <w:p w14:paraId="3E205CD4" w14:textId="77777777" w:rsidR="009A6FD4" w:rsidRPr="002E4C92" w:rsidRDefault="009A6FD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A3A2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tcBorders>
            <w:top w:val="single" w:sz="8" w:space="0" w:color="244061"/>
          </w:tcBorders>
          <w:vAlign w:val="bottom"/>
        </w:tcPr>
        <w:p w14:paraId="7A961770" w14:textId="77777777" w:rsidR="009A6FD4" w:rsidRPr="002E4C92" w:rsidRDefault="00FA3A2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4FF8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2pt;height:51pt;visibility:visible">
                <v:imagedata r:id="rId2" o:title=""/>
              </v:shape>
            </w:pict>
          </w:r>
        </w:p>
      </w:tc>
    </w:tr>
  </w:tbl>
  <w:p w14:paraId="1A413F9B" w14:textId="77777777" w:rsidR="009A6FD4" w:rsidRPr="007017EB" w:rsidRDefault="009A6FD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C1FD" w14:textId="77777777" w:rsidR="00C5077B" w:rsidRDefault="00C5077B">
      <w:pPr>
        <w:spacing w:before="0" w:after="0" w:line="240" w:lineRule="auto"/>
      </w:pPr>
      <w:r>
        <w:separator/>
      </w:r>
    </w:p>
  </w:footnote>
  <w:footnote w:type="continuationSeparator" w:id="0">
    <w:p w14:paraId="5A7E22EE" w14:textId="77777777" w:rsidR="00C5077B" w:rsidRDefault="00C507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9A6FD4" w:rsidRPr="00563CB8" w14:paraId="339DE082" w14:textId="77777777" w:rsidTr="00495FD3">
      <w:tc>
        <w:tcPr>
          <w:tcW w:w="3708" w:type="dxa"/>
        </w:tcPr>
        <w:p w14:paraId="156D2B0A" w14:textId="77777777" w:rsidR="009A6FD4" w:rsidRPr="00563CB8" w:rsidRDefault="009A6FD4" w:rsidP="007017EB">
          <w:pPr>
            <w:pStyle w:val="PageHeader"/>
          </w:pPr>
          <w:r w:rsidRPr="00563CB8">
            <w:t xml:space="preserve">NYS </w:t>
          </w:r>
          <w:r w:rsidRPr="00E946A0">
            <w:t>Common</w:t>
          </w:r>
          <w:r w:rsidRPr="00563CB8">
            <w:t xml:space="preserve"> Core ELA &amp; Literacy Curriculum</w:t>
          </w:r>
        </w:p>
      </w:tc>
      <w:tc>
        <w:tcPr>
          <w:tcW w:w="2430" w:type="dxa"/>
          <w:vAlign w:val="center"/>
        </w:tcPr>
        <w:p w14:paraId="1818E42B" w14:textId="094C089B" w:rsidR="009A6FD4" w:rsidRPr="00563CB8" w:rsidRDefault="009A6FD4" w:rsidP="007017EB">
          <w:pPr>
            <w:jc w:val="center"/>
          </w:pPr>
        </w:p>
      </w:tc>
      <w:tc>
        <w:tcPr>
          <w:tcW w:w="3438" w:type="dxa"/>
        </w:tcPr>
        <w:p w14:paraId="0DF60EAE" w14:textId="77777777" w:rsidR="009A6FD4" w:rsidRPr="00E946A0" w:rsidRDefault="009A6FD4" w:rsidP="007017EB">
          <w:pPr>
            <w:pStyle w:val="PageHeader"/>
            <w:jc w:val="right"/>
            <w:rPr>
              <w:b w:val="0"/>
            </w:rPr>
          </w:pPr>
          <w:r>
            <w:rPr>
              <w:b w:val="0"/>
            </w:rPr>
            <w:t>Grade 12 • Module 3 • Unit 1 • Lesson 11</w:t>
          </w:r>
        </w:p>
      </w:tc>
    </w:tr>
  </w:tbl>
  <w:p w14:paraId="4ABAB703" w14:textId="77777777" w:rsidR="009A6FD4" w:rsidRPr="007017EB" w:rsidRDefault="009A6FD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0CA141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62E28"/>
    <w:multiLevelType w:val="hybridMultilevel"/>
    <w:tmpl w:val="D63AE9C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5C651CA"/>
    <w:lvl w:ilvl="0" w:tplc="436CE18C">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EB18828A">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C80959"/>
    <w:multiLevelType w:val="hybridMultilevel"/>
    <w:tmpl w:val="9C9814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9"/>
    <w:lvlOverride w:ilvl="0">
      <w:startOverride w:val="1"/>
    </w:lvlOverride>
  </w:num>
  <w:num w:numId="3">
    <w:abstractNumId w:val="3"/>
  </w:num>
  <w:num w:numId="4">
    <w:abstractNumId w:val="10"/>
  </w:num>
  <w:num w:numId="5">
    <w:abstractNumId w:val="5"/>
  </w:num>
  <w:num w:numId="6">
    <w:abstractNumId w:val="8"/>
  </w:num>
  <w:num w:numId="7">
    <w:abstractNumId w:val="6"/>
  </w:num>
  <w:num w:numId="8">
    <w:abstractNumId w:val="2"/>
  </w:num>
  <w:num w:numId="9">
    <w:abstractNumId w:val="0"/>
  </w:num>
  <w:num w:numId="10">
    <w:abstractNumId w:val="7"/>
  </w:num>
  <w:num w:numId="11">
    <w:abstractNumId w:val="4"/>
    <w:lvlOverride w:ilvl="0">
      <w:startOverride w:val="1"/>
    </w:lvlOverride>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368"/>
    <w:rsid w:val="00004D9A"/>
    <w:rsid w:val="000068FA"/>
    <w:rsid w:val="00014600"/>
    <w:rsid w:val="000148AF"/>
    <w:rsid w:val="000176B8"/>
    <w:rsid w:val="000251AD"/>
    <w:rsid w:val="00036173"/>
    <w:rsid w:val="0004138F"/>
    <w:rsid w:val="000470BF"/>
    <w:rsid w:val="000503B4"/>
    <w:rsid w:val="00050F60"/>
    <w:rsid w:val="00053D9B"/>
    <w:rsid w:val="00053EDB"/>
    <w:rsid w:val="0005693B"/>
    <w:rsid w:val="00061F74"/>
    <w:rsid w:val="000744D7"/>
    <w:rsid w:val="0007673E"/>
    <w:rsid w:val="00077647"/>
    <w:rsid w:val="00080FB0"/>
    <w:rsid w:val="000926B5"/>
    <w:rsid w:val="0009387B"/>
    <w:rsid w:val="00093E77"/>
    <w:rsid w:val="00095D55"/>
    <w:rsid w:val="000973D9"/>
    <w:rsid w:val="000A3C9F"/>
    <w:rsid w:val="000B2D56"/>
    <w:rsid w:val="000B3273"/>
    <w:rsid w:val="000B3A6F"/>
    <w:rsid w:val="000B4CE1"/>
    <w:rsid w:val="000B5F00"/>
    <w:rsid w:val="000B5F10"/>
    <w:rsid w:val="000B7072"/>
    <w:rsid w:val="000B7F3C"/>
    <w:rsid w:val="000C0A1C"/>
    <w:rsid w:val="000C2369"/>
    <w:rsid w:val="000C317C"/>
    <w:rsid w:val="000C4299"/>
    <w:rsid w:val="000C66CA"/>
    <w:rsid w:val="000C66FE"/>
    <w:rsid w:val="000C7012"/>
    <w:rsid w:val="000E50E5"/>
    <w:rsid w:val="000F0EAC"/>
    <w:rsid w:val="000F1E46"/>
    <w:rsid w:val="000F4455"/>
    <w:rsid w:val="000F4E85"/>
    <w:rsid w:val="0010505F"/>
    <w:rsid w:val="00111250"/>
    <w:rsid w:val="00112975"/>
    <w:rsid w:val="00125899"/>
    <w:rsid w:val="001269FB"/>
    <w:rsid w:val="0012773E"/>
    <w:rsid w:val="001432AE"/>
    <w:rsid w:val="00144B97"/>
    <w:rsid w:val="00144FB6"/>
    <w:rsid w:val="00145016"/>
    <w:rsid w:val="00145713"/>
    <w:rsid w:val="00146A14"/>
    <w:rsid w:val="0014744D"/>
    <w:rsid w:val="00153025"/>
    <w:rsid w:val="00153F51"/>
    <w:rsid w:val="00156B03"/>
    <w:rsid w:val="001576D2"/>
    <w:rsid w:val="001658BE"/>
    <w:rsid w:val="001666F3"/>
    <w:rsid w:val="00173428"/>
    <w:rsid w:val="001735F1"/>
    <w:rsid w:val="001916F1"/>
    <w:rsid w:val="00194928"/>
    <w:rsid w:val="001A387F"/>
    <w:rsid w:val="001A6353"/>
    <w:rsid w:val="001A67BA"/>
    <w:rsid w:val="001B2900"/>
    <w:rsid w:val="001B3118"/>
    <w:rsid w:val="001B3CB7"/>
    <w:rsid w:val="001B3E60"/>
    <w:rsid w:val="001B71CE"/>
    <w:rsid w:val="001B7B7D"/>
    <w:rsid w:val="001C2944"/>
    <w:rsid w:val="001C62B7"/>
    <w:rsid w:val="001C6ABD"/>
    <w:rsid w:val="001D0C6A"/>
    <w:rsid w:val="001D3FB2"/>
    <w:rsid w:val="001E4F3E"/>
    <w:rsid w:val="001F2A63"/>
    <w:rsid w:val="001F2AA7"/>
    <w:rsid w:val="001F7CE2"/>
    <w:rsid w:val="00201DB7"/>
    <w:rsid w:val="00210946"/>
    <w:rsid w:val="00211417"/>
    <w:rsid w:val="00212686"/>
    <w:rsid w:val="0021558D"/>
    <w:rsid w:val="0021566F"/>
    <w:rsid w:val="00224081"/>
    <w:rsid w:val="002300B2"/>
    <w:rsid w:val="00230EFA"/>
    <w:rsid w:val="00237035"/>
    <w:rsid w:val="00245878"/>
    <w:rsid w:val="00245B90"/>
    <w:rsid w:val="0025161D"/>
    <w:rsid w:val="0025424D"/>
    <w:rsid w:val="00254BCD"/>
    <w:rsid w:val="00257DC0"/>
    <w:rsid w:val="00260D88"/>
    <w:rsid w:val="00266F5F"/>
    <w:rsid w:val="00272F72"/>
    <w:rsid w:val="00292762"/>
    <w:rsid w:val="00293F29"/>
    <w:rsid w:val="002A3DB7"/>
    <w:rsid w:val="002A46AB"/>
    <w:rsid w:val="002A537E"/>
    <w:rsid w:val="002A5D37"/>
    <w:rsid w:val="002B100E"/>
    <w:rsid w:val="002B361B"/>
    <w:rsid w:val="002B43B9"/>
    <w:rsid w:val="002C0944"/>
    <w:rsid w:val="002C7C28"/>
    <w:rsid w:val="002E13E7"/>
    <w:rsid w:val="002E289A"/>
    <w:rsid w:val="002E4C92"/>
    <w:rsid w:val="002F043E"/>
    <w:rsid w:val="002F346E"/>
    <w:rsid w:val="002F4FAF"/>
    <w:rsid w:val="002F6F5D"/>
    <w:rsid w:val="00300B21"/>
    <w:rsid w:val="00305B95"/>
    <w:rsid w:val="003071A5"/>
    <w:rsid w:val="00307AC7"/>
    <w:rsid w:val="0031349A"/>
    <w:rsid w:val="0031611F"/>
    <w:rsid w:val="003161F0"/>
    <w:rsid w:val="00322B11"/>
    <w:rsid w:val="003235F7"/>
    <w:rsid w:val="00323B5B"/>
    <w:rsid w:val="00324272"/>
    <w:rsid w:val="0032754A"/>
    <w:rsid w:val="00330245"/>
    <w:rsid w:val="00332B85"/>
    <w:rsid w:val="00341F48"/>
    <w:rsid w:val="00343CBE"/>
    <w:rsid w:val="0034571D"/>
    <w:rsid w:val="00345B7E"/>
    <w:rsid w:val="00347720"/>
    <w:rsid w:val="00352024"/>
    <w:rsid w:val="00362A52"/>
    <w:rsid w:val="003777F5"/>
    <w:rsid w:val="00381627"/>
    <w:rsid w:val="00385350"/>
    <w:rsid w:val="003870EB"/>
    <w:rsid w:val="00390237"/>
    <w:rsid w:val="00391599"/>
    <w:rsid w:val="0039525B"/>
    <w:rsid w:val="003A7B3C"/>
    <w:rsid w:val="003B0C93"/>
    <w:rsid w:val="003B2CD4"/>
    <w:rsid w:val="003B3C16"/>
    <w:rsid w:val="003C27D2"/>
    <w:rsid w:val="003D63FF"/>
    <w:rsid w:val="003E282B"/>
    <w:rsid w:val="003E50A1"/>
    <w:rsid w:val="003E60DE"/>
    <w:rsid w:val="003E6D6A"/>
    <w:rsid w:val="003F23C4"/>
    <w:rsid w:val="003F5FC0"/>
    <w:rsid w:val="00400499"/>
    <w:rsid w:val="004017E2"/>
    <w:rsid w:val="00404419"/>
    <w:rsid w:val="00405732"/>
    <w:rsid w:val="00406330"/>
    <w:rsid w:val="00406541"/>
    <w:rsid w:val="00411C1B"/>
    <w:rsid w:val="004122B7"/>
    <w:rsid w:val="0041491A"/>
    <w:rsid w:val="00421841"/>
    <w:rsid w:val="00423E94"/>
    <w:rsid w:val="00425CEF"/>
    <w:rsid w:val="004303EC"/>
    <w:rsid w:val="00432519"/>
    <w:rsid w:val="0043622E"/>
    <w:rsid w:val="00436D52"/>
    <w:rsid w:val="004377CE"/>
    <w:rsid w:val="00442171"/>
    <w:rsid w:val="00443C76"/>
    <w:rsid w:val="00445D24"/>
    <w:rsid w:val="00451B61"/>
    <w:rsid w:val="004608A6"/>
    <w:rsid w:val="004610E1"/>
    <w:rsid w:val="00461550"/>
    <w:rsid w:val="00461CD8"/>
    <w:rsid w:val="004660F0"/>
    <w:rsid w:val="0047677F"/>
    <w:rsid w:val="0047748F"/>
    <w:rsid w:val="004833C5"/>
    <w:rsid w:val="004873C0"/>
    <w:rsid w:val="0049020E"/>
    <w:rsid w:val="00492789"/>
    <w:rsid w:val="00493B93"/>
    <w:rsid w:val="00495FD3"/>
    <w:rsid w:val="004A335B"/>
    <w:rsid w:val="004A49C7"/>
    <w:rsid w:val="004A4EA9"/>
    <w:rsid w:val="004A7ACA"/>
    <w:rsid w:val="004B7AE5"/>
    <w:rsid w:val="004C16AD"/>
    <w:rsid w:val="004C3357"/>
    <w:rsid w:val="004D2F7C"/>
    <w:rsid w:val="004E0B19"/>
    <w:rsid w:val="004F320A"/>
    <w:rsid w:val="00500061"/>
    <w:rsid w:val="005010D5"/>
    <w:rsid w:val="005022F4"/>
    <w:rsid w:val="005027DB"/>
    <w:rsid w:val="00512C21"/>
    <w:rsid w:val="00514FD4"/>
    <w:rsid w:val="00531F2C"/>
    <w:rsid w:val="00531FE8"/>
    <w:rsid w:val="005347BE"/>
    <w:rsid w:val="00536EDF"/>
    <w:rsid w:val="00540C0C"/>
    <w:rsid w:val="00542755"/>
    <w:rsid w:val="0054791C"/>
    <w:rsid w:val="00554A90"/>
    <w:rsid w:val="00561E76"/>
    <w:rsid w:val="00562AC9"/>
    <w:rsid w:val="00563CB8"/>
    <w:rsid w:val="00565DDB"/>
    <w:rsid w:val="00567C94"/>
    <w:rsid w:val="00590557"/>
    <w:rsid w:val="005A034D"/>
    <w:rsid w:val="005B1267"/>
    <w:rsid w:val="005B1B52"/>
    <w:rsid w:val="005B7665"/>
    <w:rsid w:val="005C446E"/>
    <w:rsid w:val="005C46AD"/>
    <w:rsid w:val="005C5735"/>
    <w:rsid w:val="005C6012"/>
    <w:rsid w:val="005D275F"/>
    <w:rsid w:val="005D29F8"/>
    <w:rsid w:val="005D2AF4"/>
    <w:rsid w:val="005E347F"/>
    <w:rsid w:val="005E3F28"/>
    <w:rsid w:val="005E4888"/>
    <w:rsid w:val="005E4B0A"/>
    <w:rsid w:val="005E4D3B"/>
    <w:rsid w:val="005F25AF"/>
    <w:rsid w:val="005F7905"/>
    <w:rsid w:val="00605F65"/>
    <w:rsid w:val="006065FE"/>
    <w:rsid w:val="00607BD9"/>
    <w:rsid w:val="00607F3E"/>
    <w:rsid w:val="006113CB"/>
    <w:rsid w:val="00625BB7"/>
    <w:rsid w:val="0062625A"/>
    <w:rsid w:val="00635CEE"/>
    <w:rsid w:val="006363BF"/>
    <w:rsid w:val="006371FB"/>
    <w:rsid w:val="00637325"/>
    <w:rsid w:val="00644193"/>
    <w:rsid w:val="00653259"/>
    <w:rsid w:val="00653940"/>
    <w:rsid w:val="006545E8"/>
    <w:rsid w:val="00662C78"/>
    <w:rsid w:val="00666DD1"/>
    <w:rsid w:val="00670DCB"/>
    <w:rsid w:val="00671940"/>
    <w:rsid w:val="00675D00"/>
    <w:rsid w:val="00680EBD"/>
    <w:rsid w:val="0068518B"/>
    <w:rsid w:val="006862C9"/>
    <w:rsid w:val="00686711"/>
    <w:rsid w:val="00691352"/>
    <w:rsid w:val="00695450"/>
    <w:rsid w:val="006A5019"/>
    <w:rsid w:val="006B223F"/>
    <w:rsid w:val="006B3AE6"/>
    <w:rsid w:val="006B43CE"/>
    <w:rsid w:val="006B46F0"/>
    <w:rsid w:val="006C0153"/>
    <w:rsid w:val="006C2155"/>
    <w:rsid w:val="006C493A"/>
    <w:rsid w:val="006C7589"/>
    <w:rsid w:val="006D26B3"/>
    <w:rsid w:val="006D4E27"/>
    <w:rsid w:val="006D5213"/>
    <w:rsid w:val="006D6741"/>
    <w:rsid w:val="006E5AAA"/>
    <w:rsid w:val="006E6447"/>
    <w:rsid w:val="006E7515"/>
    <w:rsid w:val="006E7D2E"/>
    <w:rsid w:val="006F33EE"/>
    <w:rsid w:val="006F64B8"/>
    <w:rsid w:val="00700E8A"/>
    <w:rsid w:val="007017EB"/>
    <w:rsid w:val="007047D2"/>
    <w:rsid w:val="00715615"/>
    <w:rsid w:val="007215D4"/>
    <w:rsid w:val="00722C27"/>
    <w:rsid w:val="00722E01"/>
    <w:rsid w:val="00723C1B"/>
    <w:rsid w:val="00735B7C"/>
    <w:rsid w:val="00736EC5"/>
    <w:rsid w:val="0074090A"/>
    <w:rsid w:val="00742E0E"/>
    <w:rsid w:val="007465D2"/>
    <w:rsid w:val="007469C8"/>
    <w:rsid w:val="00753A56"/>
    <w:rsid w:val="00756BCB"/>
    <w:rsid w:val="0076154D"/>
    <w:rsid w:val="007656A9"/>
    <w:rsid w:val="00765F42"/>
    <w:rsid w:val="00772B17"/>
    <w:rsid w:val="007762FD"/>
    <w:rsid w:val="007770B5"/>
    <w:rsid w:val="00784A02"/>
    <w:rsid w:val="00784C59"/>
    <w:rsid w:val="00790BCC"/>
    <w:rsid w:val="00793543"/>
    <w:rsid w:val="00794B42"/>
    <w:rsid w:val="007A48FD"/>
    <w:rsid w:val="007A5FA1"/>
    <w:rsid w:val="007B01CD"/>
    <w:rsid w:val="007B28DD"/>
    <w:rsid w:val="007B4846"/>
    <w:rsid w:val="007B6327"/>
    <w:rsid w:val="007B74E4"/>
    <w:rsid w:val="007C1BB9"/>
    <w:rsid w:val="007C221E"/>
    <w:rsid w:val="007C4FD4"/>
    <w:rsid w:val="007C5F82"/>
    <w:rsid w:val="007C7E4D"/>
    <w:rsid w:val="007D2598"/>
    <w:rsid w:val="007D3CAB"/>
    <w:rsid w:val="007D5FC7"/>
    <w:rsid w:val="007D6BE7"/>
    <w:rsid w:val="007D6D8C"/>
    <w:rsid w:val="007D75BA"/>
    <w:rsid w:val="007E1D5A"/>
    <w:rsid w:val="007E37EA"/>
    <w:rsid w:val="007E39ED"/>
    <w:rsid w:val="007E484F"/>
    <w:rsid w:val="007F49D1"/>
    <w:rsid w:val="008068E2"/>
    <w:rsid w:val="00812E61"/>
    <w:rsid w:val="00832030"/>
    <w:rsid w:val="00835786"/>
    <w:rsid w:val="008408BF"/>
    <w:rsid w:val="008408F3"/>
    <w:rsid w:val="00853F5C"/>
    <w:rsid w:val="008623FA"/>
    <w:rsid w:val="008627E9"/>
    <w:rsid w:val="008631BA"/>
    <w:rsid w:val="008747BE"/>
    <w:rsid w:val="00874C59"/>
    <w:rsid w:val="00876975"/>
    <w:rsid w:val="00876E13"/>
    <w:rsid w:val="0088259D"/>
    <w:rsid w:val="00890284"/>
    <w:rsid w:val="008A07D7"/>
    <w:rsid w:val="008A2329"/>
    <w:rsid w:val="008A72A9"/>
    <w:rsid w:val="008B056D"/>
    <w:rsid w:val="008B21EC"/>
    <w:rsid w:val="008B2965"/>
    <w:rsid w:val="008B3A83"/>
    <w:rsid w:val="008C0ADE"/>
    <w:rsid w:val="008C1E27"/>
    <w:rsid w:val="008C4953"/>
    <w:rsid w:val="008D28C5"/>
    <w:rsid w:val="008D712C"/>
    <w:rsid w:val="008E0122"/>
    <w:rsid w:val="008E0D27"/>
    <w:rsid w:val="008E16FE"/>
    <w:rsid w:val="008E2A7A"/>
    <w:rsid w:val="008E49D2"/>
    <w:rsid w:val="00901C0B"/>
    <w:rsid w:val="00902CF8"/>
    <w:rsid w:val="00903F24"/>
    <w:rsid w:val="0092082B"/>
    <w:rsid w:val="00932263"/>
    <w:rsid w:val="00932A8D"/>
    <w:rsid w:val="00932C8C"/>
    <w:rsid w:val="00934D6A"/>
    <w:rsid w:val="009419EA"/>
    <w:rsid w:val="009450B7"/>
    <w:rsid w:val="009450F1"/>
    <w:rsid w:val="009607D5"/>
    <w:rsid w:val="00966E20"/>
    <w:rsid w:val="00975E68"/>
    <w:rsid w:val="00990D85"/>
    <w:rsid w:val="00991FA5"/>
    <w:rsid w:val="009939F9"/>
    <w:rsid w:val="009973B2"/>
    <w:rsid w:val="009A4DA8"/>
    <w:rsid w:val="009A6937"/>
    <w:rsid w:val="009A6FD4"/>
    <w:rsid w:val="009B0AC7"/>
    <w:rsid w:val="009B235B"/>
    <w:rsid w:val="009B3EC6"/>
    <w:rsid w:val="009C0955"/>
    <w:rsid w:val="009C21DF"/>
    <w:rsid w:val="009C48A9"/>
    <w:rsid w:val="009C4D72"/>
    <w:rsid w:val="009C7375"/>
    <w:rsid w:val="009D2401"/>
    <w:rsid w:val="009D3043"/>
    <w:rsid w:val="009D7063"/>
    <w:rsid w:val="009E04AA"/>
    <w:rsid w:val="009E3B6C"/>
    <w:rsid w:val="009F1A2D"/>
    <w:rsid w:val="009F2D3B"/>
    <w:rsid w:val="00A0154D"/>
    <w:rsid w:val="00A15B66"/>
    <w:rsid w:val="00A15D1D"/>
    <w:rsid w:val="00A25C99"/>
    <w:rsid w:val="00A26742"/>
    <w:rsid w:val="00A32BA2"/>
    <w:rsid w:val="00A4533B"/>
    <w:rsid w:val="00A4547E"/>
    <w:rsid w:val="00A502EC"/>
    <w:rsid w:val="00A60ECF"/>
    <w:rsid w:val="00A81CE1"/>
    <w:rsid w:val="00A9567E"/>
    <w:rsid w:val="00AA486B"/>
    <w:rsid w:val="00AA5E21"/>
    <w:rsid w:val="00AB0518"/>
    <w:rsid w:val="00AB361D"/>
    <w:rsid w:val="00AB758D"/>
    <w:rsid w:val="00AC53E1"/>
    <w:rsid w:val="00AD2570"/>
    <w:rsid w:val="00AD2807"/>
    <w:rsid w:val="00AF47B4"/>
    <w:rsid w:val="00AF5908"/>
    <w:rsid w:val="00AF667E"/>
    <w:rsid w:val="00B01BFF"/>
    <w:rsid w:val="00B06491"/>
    <w:rsid w:val="00B1147E"/>
    <w:rsid w:val="00B13398"/>
    <w:rsid w:val="00B16B07"/>
    <w:rsid w:val="00B17E90"/>
    <w:rsid w:val="00B22312"/>
    <w:rsid w:val="00B22315"/>
    <w:rsid w:val="00B3509B"/>
    <w:rsid w:val="00B617C0"/>
    <w:rsid w:val="00B63EC4"/>
    <w:rsid w:val="00B72497"/>
    <w:rsid w:val="00B72876"/>
    <w:rsid w:val="00B733A4"/>
    <w:rsid w:val="00B75B24"/>
    <w:rsid w:val="00B80E1A"/>
    <w:rsid w:val="00B84381"/>
    <w:rsid w:val="00B93523"/>
    <w:rsid w:val="00B937A1"/>
    <w:rsid w:val="00B94B10"/>
    <w:rsid w:val="00BA0565"/>
    <w:rsid w:val="00BA134B"/>
    <w:rsid w:val="00BA6CB4"/>
    <w:rsid w:val="00BB313C"/>
    <w:rsid w:val="00BB6482"/>
    <w:rsid w:val="00BB69BC"/>
    <w:rsid w:val="00BB76F9"/>
    <w:rsid w:val="00BC2D0D"/>
    <w:rsid w:val="00BC35F5"/>
    <w:rsid w:val="00BC400C"/>
    <w:rsid w:val="00BD280F"/>
    <w:rsid w:val="00BD4149"/>
    <w:rsid w:val="00BD455E"/>
    <w:rsid w:val="00BD686E"/>
    <w:rsid w:val="00BD7157"/>
    <w:rsid w:val="00BE24D6"/>
    <w:rsid w:val="00BF5B0D"/>
    <w:rsid w:val="00BF6BAD"/>
    <w:rsid w:val="00BF7992"/>
    <w:rsid w:val="00BF7B13"/>
    <w:rsid w:val="00C04717"/>
    <w:rsid w:val="00C068E0"/>
    <w:rsid w:val="00C10679"/>
    <w:rsid w:val="00C109EC"/>
    <w:rsid w:val="00C12A77"/>
    <w:rsid w:val="00C16B29"/>
    <w:rsid w:val="00C20E88"/>
    <w:rsid w:val="00C2303E"/>
    <w:rsid w:val="00C230C6"/>
    <w:rsid w:val="00C23130"/>
    <w:rsid w:val="00C23C8A"/>
    <w:rsid w:val="00C279BD"/>
    <w:rsid w:val="00C3307C"/>
    <w:rsid w:val="00C37500"/>
    <w:rsid w:val="00C42F47"/>
    <w:rsid w:val="00C431A6"/>
    <w:rsid w:val="00C44DFA"/>
    <w:rsid w:val="00C5077B"/>
    <w:rsid w:val="00C50A58"/>
    <w:rsid w:val="00C50BBE"/>
    <w:rsid w:val="00C525E1"/>
    <w:rsid w:val="00C5268D"/>
    <w:rsid w:val="00C5548B"/>
    <w:rsid w:val="00C561C0"/>
    <w:rsid w:val="00C609F7"/>
    <w:rsid w:val="00C62CB6"/>
    <w:rsid w:val="00C63347"/>
    <w:rsid w:val="00C70FB6"/>
    <w:rsid w:val="00C71188"/>
    <w:rsid w:val="00C81F96"/>
    <w:rsid w:val="00CA469F"/>
    <w:rsid w:val="00CB02EA"/>
    <w:rsid w:val="00CB403C"/>
    <w:rsid w:val="00CB6AFD"/>
    <w:rsid w:val="00CC1834"/>
    <w:rsid w:val="00CC599F"/>
    <w:rsid w:val="00CC5BB7"/>
    <w:rsid w:val="00CC67A9"/>
    <w:rsid w:val="00CD2464"/>
    <w:rsid w:val="00CD2BFD"/>
    <w:rsid w:val="00CD37D7"/>
    <w:rsid w:val="00CD4920"/>
    <w:rsid w:val="00CD7FBB"/>
    <w:rsid w:val="00CE0379"/>
    <w:rsid w:val="00CE479D"/>
    <w:rsid w:val="00CE4EFB"/>
    <w:rsid w:val="00CF0BAC"/>
    <w:rsid w:val="00CF305E"/>
    <w:rsid w:val="00CF339F"/>
    <w:rsid w:val="00D025BF"/>
    <w:rsid w:val="00D0344F"/>
    <w:rsid w:val="00D1286D"/>
    <w:rsid w:val="00D20535"/>
    <w:rsid w:val="00D21997"/>
    <w:rsid w:val="00D23A8B"/>
    <w:rsid w:val="00D31F4D"/>
    <w:rsid w:val="00D412B1"/>
    <w:rsid w:val="00D42254"/>
    <w:rsid w:val="00D43571"/>
    <w:rsid w:val="00D47743"/>
    <w:rsid w:val="00D500E1"/>
    <w:rsid w:val="00D55BD9"/>
    <w:rsid w:val="00D570F9"/>
    <w:rsid w:val="00D612F7"/>
    <w:rsid w:val="00D66C5A"/>
    <w:rsid w:val="00D700CD"/>
    <w:rsid w:val="00D71476"/>
    <w:rsid w:val="00D75D7C"/>
    <w:rsid w:val="00D829E9"/>
    <w:rsid w:val="00D9273D"/>
    <w:rsid w:val="00D92AEC"/>
    <w:rsid w:val="00D93514"/>
    <w:rsid w:val="00DA1752"/>
    <w:rsid w:val="00DA358F"/>
    <w:rsid w:val="00DA548F"/>
    <w:rsid w:val="00DA6970"/>
    <w:rsid w:val="00DB1659"/>
    <w:rsid w:val="00DB4B78"/>
    <w:rsid w:val="00DB5BDA"/>
    <w:rsid w:val="00DB71AA"/>
    <w:rsid w:val="00DC4CB6"/>
    <w:rsid w:val="00DC6F8E"/>
    <w:rsid w:val="00DD00ED"/>
    <w:rsid w:val="00DD0D14"/>
    <w:rsid w:val="00DE040D"/>
    <w:rsid w:val="00DE06E8"/>
    <w:rsid w:val="00DE08E6"/>
    <w:rsid w:val="00DE388B"/>
    <w:rsid w:val="00DE5E6D"/>
    <w:rsid w:val="00DF278E"/>
    <w:rsid w:val="00E03868"/>
    <w:rsid w:val="00E06783"/>
    <w:rsid w:val="00E069B0"/>
    <w:rsid w:val="00E100D0"/>
    <w:rsid w:val="00E101DE"/>
    <w:rsid w:val="00E12186"/>
    <w:rsid w:val="00E3318A"/>
    <w:rsid w:val="00E34904"/>
    <w:rsid w:val="00E37FD3"/>
    <w:rsid w:val="00E5755E"/>
    <w:rsid w:val="00E66F81"/>
    <w:rsid w:val="00E6792A"/>
    <w:rsid w:val="00E70B2E"/>
    <w:rsid w:val="00E71001"/>
    <w:rsid w:val="00E7151E"/>
    <w:rsid w:val="00E808DD"/>
    <w:rsid w:val="00E81C5F"/>
    <w:rsid w:val="00E841FD"/>
    <w:rsid w:val="00E847A3"/>
    <w:rsid w:val="00E86E49"/>
    <w:rsid w:val="00E91107"/>
    <w:rsid w:val="00E946A0"/>
    <w:rsid w:val="00E963EB"/>
    <w:rsid w:val="00E9727F"/>
    <w:rsid w:val="00EA1A38"/>
    <w:rsid w:val="00EA3EE7"/>
    <w:rsid w:val="00EA5069"/>
    <w:rsid w:val="00EA6AC4"/>
    <w:rsid w:val="00EB00C4"/>
    <w:rsid w:val="00EB71A1"/>
    <w:rsid w:val="00EC1748"/>
    <w:rsid w:val="00EC67BB"/>
    <w:rsid w:val="00EC68D4"/>
    <w:rsid w:val="00EC6A13"/>
    <w:rsid w:val="00ED2B6A"/>
    <w:rsid w:val="00ED3A33"/>
    <w:rsid w:val="00ED5EB5"/>
    <w:rsid w:val="00EE11CC"/>
    <w:rsid w:val="00EE37F1"/>
    <w:rsid w:val="00EE3FD6"/>
    <w:rsid w:val="00EE4791"/>
    <w:rsid w:val="00F126BF"/>
    <w:rsid w:val="00F12C85"/>
    <w:rsid w:val="00F13B59"/>
    <w:rsid w:val="00F2028A"/>
    <w:rsid w:val="00F237DE"/>
    <w:rsid w:val="00F2708F"/>
    <w:rsid w:val="00F30124"/>
    <w:rsid w:val="00F32D5E"/>
    <w:rsid w:val="00F360ED"/>
    <w:rsid w:val="00F42BF8"/>
    <w:rsid w:val="00F51A8E"/>
    <w:rsid w:val="00F5450A"/>
    <w:rsid w:val="00F552F8"/>
    <w:rsid w:val="00F57407"/>
    <w:rsid w:val="00F60232"/>
    <w:rsid w:val="00F677FF"/>
    <w:rsid w:val="00F71239"/>
    <w:rsid w:val="00F749AB"/>
    <w:rsid w:val="00F801EB"/>
    <w:rsid w:val="00F81541"/>
    <w:rsid w:val="00F82111"/>
    <w:rsid w:val="00F95BAE"/>
    <w:rsid w:val="00FA1EDC"/>
    <w:rsid w:val="00FA3181"/>
    <w:rsid w:val="00FA3A2F"/>
    <w:rsid w:val="00FB5649"/>
    <w:rsid w:val="00FB5ED0"/>
    <w:rsid w:val="00FC0564"/>
    <w:rsid w:val="00FC0570"/>
    <w:rsid w:val="00FC1F9E"/>
    <w:rsid w:val="00FC2FD8"/>
    <w:rsid w:val="00FC31D2"/>
    <w:rsid w:val="00FD0818"/>
    <w:rsid w:val="00FD4EFA"/>
    <w:rsid w:val="00FD5397"/>
    <w:rsid w:val="00FD6470"/>
    <w:rsid w:val="00FD6D67"/>
    <w:rsid w:val="00FE1E59"/>
    <w:rsid w:val="00FE2524"/>
    <w:rsid w:val="00FE4F23"/>
    <w:rsid w:val="00FF21DC"/>
    <w:rsid w:val="00FF5AE3"/>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329F8"/>
  <w15:docId w15:val="{E4EA3ADB-B724-40C4-8249-F437890D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9"/>
    <w:qFormat/>
    <w:rsid w:val="00C5268D"/>
    <w:pPr>
      <w:keepNext/>
      <w:keepLines/>
      <w:pBdr>
        <w:top w:val="dotted" w:sz="4" w:space="1" w:color="808080"/>
      </w:pBdr>
      <w:spacing w:before="200" w:after="120"/>
      <w:outlineLvl w:val="2"/>
    </w:pPr>
    <w:rPr>
      <w:rFonts w:ascii="Cambria"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5268D"/>
    <w:rPr>
      <w:rFonts w:eastAsia="Times New Roman"/>
      <w:b/>
      <w:color w:val="365F91"/>
      <w:sz w:val="28"/>
    </w:rPr>
  </w:style>
  <w:style w:type="character" w:customStyle="1" w:styleId="Heading2Char">
    <w:name w:val="Heading 2 Char"/>
    <w:link w:val="Heading2"/>
    <w:uiPriority w:val="99"/>
    <w:locked/>
    <w:rsid w:val="00C5268D"/>
    <w:rPr>
      <w:rFonts w:ascii="Cambria" w:eastAsia="Times New Roman" w:hAnsi="Cambria"/>
      <w:b/>
      <w:i/>
      <w:color w:val="4F81BD"/>
      <w:sz w:val="26"/>
    </w:rPr>
  </w:style>
  <w:style w:type="character" w:customStyle="1" w:styleId="Heading3Char">
    <w:name w:val="Heading 3 Char"/>
    <w:link w:val="Heading3"/>
    <w:uiPriority w:val="99"/>
    <w:locked/>
    <w:rsid w:val="00C5268D"/>
    <w:rPr>
      <w:rFonts w:ascii="Cambria" w:eastAsia="Times New Roman" w:hAnsi="Cambria"/>
      <w:b/>
      <w:i/>
      <w:color w:val="7F7F7F"/>
      <w:sz w:val="20"/>
    </w:rPr>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rPr>
  </w:style>
  <w:style w:type="character" w:customStyle="1" w:styleId="FooterChar">
    <w:name w:val="Footer Char"/>
    <w:link w:val="Footer"/>
    <w:uiPriority w:val="99"/>
    <w:locked/>
    <w:rsid w:val="00C5268D"/>
    <w:rPr>
      <w:rFonts w:ascii="Times New Roman" w:eastAsia="Times New Roman" w:hAnsi="Times New Roman"/>
      <w:sz w:val="20"/>
    </w:rPr>
  </w:style>
  <w:style w:type="character" w:styleId="PageNumber">
    <w:name w:val="page number"/>
    <w:uiPriority w:val="99"/>
    <w:rsid w:val="00C5268D"/>
    <w:rPr>
      <w:rFonts w:cs="Times New Roman"/>
    </w:rPr>
  </w:style>
  <w:style w:type="character" w:styleId="Hyperlink">
    <w:name w:val="Hyperlink"/>
    <w:uiPriority w:val="99"/>
    <w:rsid w:val="00C5268D"/>
    <w:rPr>
      <w:rFonts w:cs="Times New Roman"/>
      <w:color w:val="0000FF"/>
      <w:u w:val="single"/>
    </w:rPr>
  </w:style>
  <w:style w:type="table" w:styleId="TableGrid">
    <w:name w:val="Table Grid"/>
    <w:basedOn w:val="TableNormal"/>
    <w:uiPriority w:val="9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uiPriority w:val="99"/>
    <w:rsid w:val="00C5268D"/>
    <w:pPr>
      <w:pBdr>
        <w:top w:val="single" w:sz="8" w:space="4" w:color="244061"/>
      </w:pBdr>
      <w:tabs>
        <w:tab w:val="center" w:pos="6480"/>
        <w:tab w:val="right" w:pos="10080"/>
      </w:tabs>
    </w:pPr>
    <w:rPr>
      <w:rFonts w:ascii="Verdana" w:hAnsi="Verdana" w:cs="Verdana"/>
      <w:color w:val="595959"/>
      <w:sz w:val="16"/>
    </w:rPr>
  </w:style>
  <w:style w:type="paragraph" w:customStyle="1" w:styleId="NumberedList">
    <w:name w:val="*Numbered List"/>
    <w:link w:val="NumberedListChar"/>
    <w:qFormat/>
    <w:rsid w:val="00BF7992"/>
    <w:pPr>
      <w:numPr>
        <w:numId w:val="11"/>
      </w:numPr>
      <w:spacing w:after="60"/>
    </w:pPr>
    <w:rPr>
      <w:sz w:val="22"/>
      <w:szCs w:val="22"/>
    </w:rPr>
  </w:style>
  <w:style w:type="paragraph" w:customStyle="1" w:styleId="PageHeader">
    <w:name w:val="*PageHeader"/>
    <w:link w:val="PageHeaderChar"/>
    <w:qFormat/>
    <w:rsid w:val="00BF7992"/>
    <w:pPr>
      <w:spacing w:before="120"/>
    </w:pPr>
    <w:rPr>
      <w:b/>
      <w:sz w:val="18"/>
      <w:szCs w:val="22"/>
    </w:rPr>
  </w:style>
  <w:style w:type="character" w:customStyle="1" w:styleId="PageHeaderChar">
    <w:name w:val="*PageHeader Char"/>
    <w:link w:val="PageHeader"/>
    <w:locked/>
    <w:rsid w:val="00BF7992"/>
    <w:rPr>
      <w:b/>
      <w:sz w:val="18"/>
      <w:szCs w:val="22"/>
      <w:lang w:val="en-US" w:eastAsia="en-US"/>
    </w:rPr>
  </w:style>
  <w:style w:type="paragraph" w:customStyle="1" w:styleId="FooterText">
    <w:name w:val="*FooterText"/>
    <w:link w:val="FooterTextChar"/>
    <w:qFormat/>
    <w:rsid w:val="00BF7992"/>
    <w:pPr>
      <w:spacing w:line="200" w:lineRule="exact"/>
    </w:pPr>
    <w:rPr>
      <w:rFonts w:eastAsia="Verdana" w:cs="Calibri"/>
      <w:b/>
      <w:color w:val="595959"/>
      <w:sz w:val="14"/>
      <w:szCs w:val="22"/>
    </w:rPr>
  </w:style>
  <w:style w:type="character" w:customStyle="1" w:styleId="folioChar">
    <w:name w:val="folio Char"/>
    <w:link w:val="folio"/>
    <w:uiPriority w:val="99"/>
    <w:locked/>
    <w:rsid w:val="00C5268D"/>
    <w:rPr>
      <w:rFonts w:ascii="Verdana" w:eastAsia="Times New Roman" w:hAnsi="Verdana" w:cs="Verdana"/>
      <w:color w:val="595959"/>
      <w:sz w:val="16"/>
    </w:rPr>
  </w:style>
  <w:style w:type="character" w:customStyle="1" w:styleId="FooterTextChar">
    <w:name w:val="FooterText Char"/>
    <w:link w:val="FooterText"/>
    <w:locked/>
    <w:rsid w:val="00BF7992"/>
    <w:rPr>
      <w:rFonts w:eastAsia="Verdana" w:cs="Calibri"/>
      <w:b/>
      <w:color w:val="595959"/>
      <w:sz w:val="14"/>
      <w:szCs w:val="22"/>
      <w:lang w:val="en-US" w:eastAsia="en-US"/>
    </w:rPr>
  </w:style>
  <w:style w:type="paragraph" w:styleId="Header">
    <w:name w:val="header"/>
    <w:basedOn w:val="Normal"/>
    <w:link w:val="HeaderChar"/>
    <w:uiPriority w:val="99"/>
    <w:rsid w:val="00C5268D"/>
    <w:pPr>
      <w:tabs>
        <w:tab w:val="center" w:pos="4680"/>
        <w:tab w:val="right" w:pos="9360"/>
      </w:tabs>
    </w:pPr>
    <w:rPr>
      <w:sz w:val="20"/>
      <w:szCs w:val="20"/>
    </w:rPr>
  </w:style>
  <w:style w:type="character" w:customStyle="1" w:styleId="HeaderChar">
    <w:name w:val="Header Char"/>
    <w:link w:val="Header"/>
    <w:uiPriority w:val="99"/>
    <w:locked/>
    <w:rsid w:val="00C5268D"/>
    <w:rPr>
      <w:rFonts w:ascii="Calibri" w:eastAsia="Times New Roman" w:hAnsi="Calibri"/>
      <w:sz w:val="20"/>
    </w:rPr>
  </w:style>
  <w:style w:type="paragraph" w:customStyle="1" w:styleId="BR">
    <w:name w:val="*BR*"/>
    <w:link w:val="BRChar"/>
    <w:qFormat/>
    <w:rsid w:val="00BF7992"/>
    <w:pPr>
      <w:pBdr>
        <w:bottom w:val="single" w:sz="12" w:space="1" w:color="7F7F7F"/>
      </w:pBdr>
      <w:spacing w:after="360"/>
      <w:ind w:left="2880" w:right="2880"/>
    </w:pPr>
    <w:rPr>
      <w:sz w:val="18"/>
      <w:szCs w:val="22"/>
    </w:rPr>
  </w:style>
  <w:style w:type="character" w:customStyle="1" w:styleId="BRChar">
    <w:name w:val="*BR* Char"/>
    <w:link w:val="BR"/>
    <w:locked/>
    <w:rsid w:val="00BF7992"/>
    <w:rPr>
      <w:sz w:val="18"/>
      <w:szCs w:val="22"/>
      <w:lang w:val="en-US" w:eastAsia="en-US"/>
    </w:rPr>
  </w:style>
  <w:style w:type="paragraph" w:customStyle="1" w:styleId="BulletedList">
    <w:name w:val="*Bulleted List"/>
    <w:link w:val="BulletedListChar"/>
    <w:qFormat/>
    <w:rsid w:val="00BF7992"/>
    <w:pPr>
      <w:numPr>
        <w:numId w:val="5"/>
      </w:numPr>
      <w:spacing w:before="60" w:after="60" w:line="276" w:lineRule="auto"/>
      <w:ind w:left="360"/>
    </w:pPr>
    <w:rPr>
      <w:sz w:val="22"/>
      <w:szCs w:val="22"/>
    </w:rPr>
  </w:style>
  <w:style w:type="character" w:customStyle="1" w:styleId="BulletedListChar">
    <w:name w:val="*Bulleted List Char"/>
    <w:link w:val="BulletedList"/>
    <w:locked/>
    <w:rsid w:val="00BF7992"/>
    <w:rPr>
      <w:sz w:val="22"/>
      <w:szCs w:val="22"/>
    </w:rPr>
  </w:style>
  <w:style w:type="paragraph" w:customStyle="1" w:styleId="ExcerptAuthor">
    <w:name w:val="*ExcerptAuthor"/>
    <w:basedOn w:val="Normal"/>
    <w:link w:val="ExcerptAuthorChar"/>
    <w:qFormat/>
    <w:rsid w:val="00BF7992"/>
    <w:pPr>
      <w:jc w:val="center"/>
    </w:pPr>
    <w:rPr>
      <w:rFonts w:ascii="Calibri Light" w:hAnsi="Calibri Light"/>
      <w:b/>
    </w:rPr>
  </w:style>
  <w:style w:type="character" w:customStyle="1" w:styleId="ExcerptAuthorChar">
    <w:name w:val="*ExcerptAuthor Char"/>
    <w:link w:val="ExcerptAuthor"/>
    <w:locked/>
    <w:rsid w:val="00BF7992"/>
    <w:rPr>
      <w:rFonts w:ascii="Calibri Light" w:hAnsi="Calibri Light"/>
      <w:b/>
      <w:sz w:val="22"/>
      <w:szCs w:val="22"/>
      <w:lang w:val="en-US" w:eastAsia="en-US"/>
    </w:rPr>
  </w:style>
  <w:style w:type="paragraph" w:customStyle="1" w:styleId="ExcerptBody">
    <w:name w:val="*ExcerptBody"/>
    <w:basedOn w:val="Normal"/>
    <w:link w:val="ExcerptBodyChar"/>
    <w:qFormat/>
    <w:rsid w:val="00BF799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locked/>
    <w:rsid w:val="00BF7992"/>
    <w:rPr>
      <w:rFonts w:ascii="Times New Roman" w:eastAsia="Times New Roman" w:hAnsi="Times New Roman"/>
      <w:color w:val="000000"/>
      <w:sz w:val="24"/>
      <w:szCs w:val="17"/>
      <w:lang w:val="en-US" w:eastAsia="en-US"/>
    </w:rPr>
  </w:style>
  <w:style w:type="paragraph" w:customStyle="1" w:styleId="ExcerptTitle">
    <w:name w:val="*ExcerptTitle"/>
    <w:basedOn w:val="Normal"/>
    <w:link w:val="ExcerptTitleChar"/>
    <w:qFormat/>
    <w:rsid w:val="00BF7992"/>
    <w:pPr>
      <w:jc w:val="center"/>
    </w:pPr>
    <w:rPr>
      <w:rFonts w:ascii="Calibri Light" w:hAnsi="Calibri Light"/>
      <w:b/>
      <w:smallCaps/>
      <w:sz w:val="32"/>
    </w:rPr>
  </w:style>
  <w:style w:type="character" w:customStyle="1" w:styleId="ExcerptTitleChar">
    <w:name w:val="*ExcerptTitle Char"/>
    <w:link w:val="ExcerptTitle"/>
    <w:locked/>
    <w:rsid w:val="00BF7992"/>
    <w:rPr>
      <w:rFonts w:ascii="Calibri Light" w:hAnsi="Calibri Light"/>
      <w:b/>
      <w:smallCaps/>
      <w:sz w:val="32"/>
      <w:szCs w:val="22"/>
      <w:lang w:val="en-US" w:eastAsia="en-US"/>
    </w:rPr>
  </w:style>
  <w:style w:type="paragraph" w:customStyle="1" w:styleId="IN">
    <w:name w:val="*IN*"/>
    <w:link w:val="INChar"/>
    <w:qFormat/>
    <w:rsid w:val="00BF7992"/>
    <w:pPr>
      <w:numPr>
        <w:numId w:val="9"/>
      </w:numPr>
      <w:spacing w:before="120" w:after="60" w:line="276" w:lineRule="auto"/>
      <w:ind w:left="360"/>
    </w:pPr>
    <w:rPr>
      <w:color w:val="4F81BD"/>
      <w:sz w:val="22"/>
      <w:szCs w:val="22"/>
    </w:rPr>
  </w:style>
  <w:style w:type="character" w:customStyle="1" w:styleId="INChar">
    <w:name w:val="*IN* Char"/>
    <w:link w:val="IN"/>
    <w:locked/>
    <w:rsid w:val="00BF7992"/>
    <w:rPr>
      <w:color w:val="4F81BD"/>
      <w:sz w:val="22"/>
      <w:szCs w:val="22"/>
    </w:rPr>
  </w:style>
  <w:style w:type="paragraph" w:customStyle="1" w:styleId="INBullet">
    <w:name w:val="*IN* Bullet"/>
    <w:link w:val="INBulletChar"/>
    <w:qFormat/>
    <w:rsid w:val="00BF7992"/>
    <w:pPr>
      <w:numPr>
        <w:numId w:val="10"/>
      </w:numPr>
      <w:spacing w:after="60" w:line="276" w:lineRule="auto"/>
      <w:ind w:left="1080"/>
    </w:pPr>
    <w:rPr>
      <w:color w:val="4F81BD"/>
      <w:sz w:val="22"/>
      <w:szCs w:val="22"/>
    </w:rPr>
  </w:style>
  <w:style w:type="character" w:customStyle="1" w:styleId="INBulletChar">
    <w:name w:val="*IN* Bullet Char"/>
    <w:link w:val="INBullet"/>
    <w:locked/>
    <w:rsid w:val="00BF7992"/>
    <w:rPr>
      <w:color w:val="4F81BD"/>
      <w:sz w:val="22"/>
      <w:szCs w:val="22"/>
    </w:rPr>
  </w:style>
  <w:style w:type="paragraph" w:customStyle="1" w:styleId="LearningSequenceHeader">
    <w:name w:val="*Learning Sequence Header"/>
    <w:next w:val="Normal"/>
    <w:link w:val="LearningSequenceHeaderChar"/>
    <w:qFormat/>
    <w:rsid w:val="00BF7992"/>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locked/>
    <w:rsid w:val="00BF7992"/>
    <w:rPr>
      <w:b/>
      <w:bCs/>
      <w:color w:val="4F81BD"/>
      <w:sz w:val="28"/>
      <w:szCs w:val="26"/>
      <w:lang w:val="en-US" w:eastAsia="en-US"/>
    </w:rPr>
  </w:style>
  <w:style w:type="character" w:customStyle="1" w:styleId="NumberedListChar">
    <w:name w:val="*Numbered List Char"/>
    <w:link w:val="NumberedList"/>
    <w:locked/>
    <w:rsid w:val="00BF7992"/>
    <w:rPr>
      <w:sz w:val="22"/>
      <w:szCs w:val="22"/>
    </w:rPr>
  </w:style>
  <w:style w:type="paragraph" w:customStyle="1" w:styleId="Q">
    <w:name w:val="*Q*"/>
    <w:link w:val="QChar"/>
    <w:qFormat/>
    <w:rsid w:val="00BF7992"/>
    <w:pPr>
      <w:spacing w:before="240" w:line="276" w:lineRule="auto"/>
    </w:pPr>
    <w:rPr>
      <w:b/>
      <w:sz w:val="22"/>
      <w:szCs w:val="22"/>
    </w:rPr>
  </w:style>
  <w:style w:type="character" w:customStyle="1" w:styleId="QChar">
    <w:name w:val="*Q* Char"/>
    <w:link w:val="Q"/>
    <w:locked/>
    <w:rsid w:val="00BF7992"/>
    <w:rPr>
      <w:b/>
      <w:sz w:val="22"/>
      <w:szCs w:val="22"/>
      <w:lang w:val="en-US" w:eastAsia="en-US"/>
    </w:rPr>
  </w:style>
  <w:style w:type="paragraph" w:customStyle="1" w:styleId="SA">
    <w:name w:val="*SA*"/>
    <w:link w:val="SAChar"/>
    <w:qFormat/>
    <w:rsid w:val="00BF7992"/>
    <w:pPr>
      <w:numPr>
        <w:numId w:val="6"/>
      </w:numPr>
      <w:spacing w:before="120" w:line="276" w:lineRule="auto"/>
    </w:pPr>
    <w:rPr>
      <w:sz w:val="22"/>
      <w:szCs w:val="22"/>
    </w:rPr>
  </w:style>
  <w:style w:type="character" w:customStyle="1" w:styleId="SAChar">
    <w:name w:val="*SA* Char"/>
    <w:link w:val="SA"/>
    <w:locked/>
    <w:rsid w:val="00BF7992"/>
    <w:rPr>
      <w:sz w:val="22"/>
      <w:szCs w:val="22"/>
    </w:rPr>
  </w:style>
  <w:style w:type="paragraph" w:customStyle="1" w:styleId="SASRBullet">
    <w:name w:val="*SA/SR Bullet"/>
    <w:basedOn w:val="Normal"/>
    <w:link w:val="SASRBulletChar"/>
    <w:qFormat/>
    <w:rsid w:val="00BF7992"/>
    <w:pPr>
      <w:numPr>
        <w:ilvl w:val="1"/>
        <w:numId w:val="12"/>
      </w:numPr>
      <w:spacing w:before="120"/>
      <w:ind w:left="1080"/>
      <w:contextualSpacing/>
    </w:pPr>
  </w:style>
  <w:style w:type="character" w:customStyle="1" w:styleId="SASRBulletChar">
    <w:name w:val="*SA/SR Bullet Char"/>
    <w:link w:val="SASRBullet"/>
    <w:locked/>
    <w:rsid w:val="00BF7992"/>
    <w:rPr>
      <w:sz w:val="22"/>
      <w:szCs w:val="22"/>
    </w:rPr>
  </w:style>
  <w:style w:type="paragraph" w:customStyle="1" w:styleId="SR">
    <w:name w:val="*SR*"/>
    <w:link w:val="SRChar"/>
    <w:qFormat/>
    <w:rsid w:val="00BF7992"/>
    <w:pPr>
      <w:numPr>
        <w:numId w:val="7"/>
      </w:numPr>
      <w:spacing w:before="120" w:line="276" w:lineRule="auto"/>
      <w:ind w:left="720"/>
    </w:pPr>
    <w:rPr>
      <w:sz w:val="22"/>
      <w:szCs w:val="22"/>
    </w:rPr>
  </w:style>
  <w:style w:type="character" w:customStyle="1" w:styleId="SRChar">
    <w:name w:val="*SR* Char"/>
    <w:link w:val="SR"/>
    <w:locked/>
    <w:rsid w:val="00BF7992"/>
    <w:rPr>
      <w:sz w:val="22"/>
      <w:szCs w:val="22"/>
    </w:rPr>
  </w:style>
  <w:style w:type="paragraph" w:customStyle="1" w:styleId="TableText">
    <w:name w:val="*TableText"/>
    <w:link w:val="TableTextChar"/>
    <w:qFormat/>
    <w:rsid w:val="00BF7992"/>
    <w:pPr>
      <w:spacing w:before="40" w:after="40" w:line="276" w:lineRule="auto"/>
    </w:pPr>
    <w:rPr>
      <w:sz w:val="22"/>
      <w:szCs w:val="22"/>
    </w:rPr>
  </w:style>
  <w:style w:type="character" w:customStyle="1" w:styleId="TableTextChar">
    <w:name w:val="*TableText Char"/>
    <w:link w:val="TableText"/>
    <w:locked/>
    <w:rsid w:val="00BF7992"/>
    <w:rPr>
      <w:sz w:val="22"/>
      <w:szCs w:val="22"/>
      <w:lang w:val="en-US" w:eastAsia="en-US"/>
    </w:rPr>
  </w:style>
  <w:style w:type="paragraph" w:customStyle="1" w:styleId="SubStandard">
    <w:name w:val="*SubStandard"/>
    <w:basedOn w:val="TableText"/>
    <w:link w:val="SubStandardChar"/>
    <w:qFormat/>
    <w:rsid w:val="00BF7992"/>
    <w:pPr>
      <w:numPr>
        <w:numId w:val="13"/>
      </w:numPr>
    </w:pPr>
  </w:style>
  <w:style w:type="character" w:customStyle="1" w:styleId="SubStandardChar">
    <w:name w:val="*SubStandard Char"/>
    <w:link w:val="SubStandard"/>
    <w:locked/>
    <w:rsid w:val="00BF7992"/>
    <w:rPr>
      <w:sz w:val="22"/>
      <w:szCs w:val="22"/>
    </w:rPr>
  </w:style>
  <w:style w:type="paragraph" w:customStyle="1" w:styleId="TA">
    <w:name w:val="*TA*"/>
    <w:link w:val="TAChar"/>
    <w:qFormat/>
    <w:rsid w:val="00BF7992"/>
    <w:pPr>
      <w:spacing w:before="180" w:after="180"/>
    </w:pPr>
    <w:rPr>
      <w:sz w:val="22"/>
      <w:szCs w:val="22"/>
    </w:rPr>
  </w:style>
  <w:style w:type="character" w:customStyle="1" w:styleId="TAChar">
    <w:name w:val="*TA* Char"/>
    <w:link w:val="TA"/>
    <w:locked/>
    <w:rsid w:val="00BF7992"/>
    <w:rPr>
      <w:sz w:val="22"/>
      <w:szCs w:val="22"/>
      <w:lang w:val="en-US" w:eastAsia="en-US"/>
    </w:rPr>
  </w:style>
  <w:style w:type="paragraph" w:customStyle="1" w:styleId="TableHeaders">
    <w:name w:val="*TableHeaders"/>
    <w:basedOn w:val="Normal"/>
    <w:link w:val="TableHeadersChar"/>
    <w:qFormat/>
    <w:rsid w:val="00BF7992"/>
    <w:pPr>
      <w:spacing w:before="40" w:after="40" w:line="240" w:lineRule="auto"/>
    </w:pPr>
    <w:rPr>
      <w:b/>
      <w:color w:val="FFFFFF"/>
    </w:rPr>
  </w:style>
  <w:style w:type="character" w:customStyle="1" w:styleId="TableHeadersChar">
    <w:name w:val="*TableHeaders Char"/>
    <w:link w:val="TableHeaders"/>
    <w:locked/>
    <w:rsid w:val="00BF7992"/>
    <w:rPr>
      <w:b/>
      <w:color w:val="FFFFFF"/>
      <w:sz w:val="22"/>
      <w:szCs w:val="22"/>
      <w:lang w:val="en-US" w:eastAsia="en-US"/>
    </w:rPr>
  </w:style>
  <w:style w:type="paragraph" w:customStyle="1" w:styleId="ToolHeader">
    <w:name w:val="*ToolHeader"/>
    <w:link w:val="ToolHeaderChar"/>
    <w:qFormat/>
    <w:rsid w:val="00BF7992"/>
    <w:pPr>
      <w:spacing w:after="120"/>
    </w:pPr>
    <w:rPr>
      <w:b/>
      <w:bCs/>
      <w:color w:val="365F91"/>
      <w:sz w:val="32"/>
      <w:szCs w:val="28"/>
    </w:rPr>
  </w:style>
  <w:style w:type="paragraph" w:customStyle="1" w:styleId="ToolTableText">
    <w:name w:val="*ToolTableText"/>
    <w:qFormat/>
    <w:rsid w:val="00BF7992"/>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rsid w:val="00C5268D"/>
    <w:rPr>
      <w:rFonts w:ascii="Tahoma" w:hAnsi="Tahoma"/>
      <w:sz w:val="16"/>
      <w:szCs w:val="16"/>
    </w:rPr>
  </w:style>
  <w:style w:type="character" w:customStyle="1" w:styleId="BalloonTextChar">
    <w:name w:val="Balloon Text Char"/>
    <w:link w:val="BalloonText"/>
    <w:uiPriority w:val="99"/>
    <w:semiHidden/>
    <w:locked/>
    <w:rsid w:val="00C5268D"/>
    <w:rPr>
      <w:rFonts w:ascii="Tahoma" w:eastAsia="Times New Roman" w:hAnsi="Tahoma"/>
      <w:sz w:val="16"/>
    </w:rPr>
  </w:style>
  <w:style w:type="paragraph" w:styleId="BodyText">
    <w:name w:val="Body Text"/>
    <w:basedOn w:val="Normal"/>
    <w:link w:val="BodyTextChar"/>
    <w:uiPriority w:val="99"/>
    <w:rsid w:val="00C5268D"/>
    <w:pPr>
      <w:spacing w:after="120"/>
    </w:pPr>
    <w:rPr>
      <w:sz w:val="20"/>
      <w:szCs w:val="20"/>
    </w:rPr>
  </w:style>
  <w:style w:type="character" w:customStyle="1" w:styleId="BodyTextChar">
    <w:name w:val="Body Text Char"/>
    <w:link w:val="BodyText"/>
    <w:uiPriority w:val="99"/>
    <w:locked/>
    <w:rsid w:val="00C5268D"/>
    <w:rPr>
      <w:rFonts w:ascii="Calibri" w:eastAsia="Times New Roman" w:hAnsi="Calibri"/>
    </w:rPr>
  </w:style>
  <w:style w:type="paragraph" w:customStyle="1" w:styleId="ColorfulList-Accent11">
    <w:name w:val="Colorful List - Accent 11"/>
    <w:basedOn w:val="Normal"/>
    <w:uiPriority w:val="99"/>
    <w:rsid w:val="00C5268D"/>
    <w:pPr>
      <w:ind w:left="720"/>
      <w:contextualSpacing/>
    </w:pPr>
  </w:style>
  <w:style w:type="character" w:styleId="CommentReference">
    <w:name w:val="annotation reference"/>
    <w:uiPriority w:val="99"/>
    <w:semiHidden/>
    <w:rsid w:val="00C5268D"/>
    <w:rPr>
      <w:rFonts w:cs="Times New Roman"/>
      <w:sz w:val="16"/>
    </w:rPr>
  </w:style>
  <w:style w:type="paragraph" w:styleId="CommentText">
    <w:name w:val="annotation text"/>
    <w:basedOn w:val="Normal"/>
    <w:link w:val="CommentTextChar"/>
    <w:uiPriority w:val="99"/>
    <w:rsid w:val="00C5268D"/>
    <w:rPr>
      <w:sz w:val="20"/>
      <w:szCs w:val="20"/>
    </w:rPr>
  </w:style>
  <w:style w:type="character" w:customStyle="1" w:styleId="CommentTextChar">
    <w:name w:val="Comment Text Char"/>
    <w:link w:val="CommentText"/>
    <w:uiPriority w:val="99"/>
    <w:locked/>
    <w:rsid w:val="00C5268D"/>
    <w:rPr>
      <w:rFonts w:ascii="Calibri" w:eastAsia="Times New Roman" w:hAnsi="Calibri"/>
      <w:sz w:val="20"/>
    </w:rPr>
  </w:style>
  <w:style w:type="paragraph" w:styleId="CommentSubject">
    <w:name w:val="annotation subject"/>
    <w:basedOn w:val="CommentText"/>
    <w:next w:val="CommentText"/>
    <w:link w:val="CommentSubjectChar"/>
    <w:uiPriority w:val="99"/>
    <w:semiHidden/>
    <w:rsid w:val="00C5268D"/>
    <w:rPr>
      <w:b/>
      <w:bCs/>
    </w:rPr>
  </w:style>
  <w:style w:type="character" w:customStyle="1" w:styleId="CommentSubjectChar">
    <w:name w:val="Comment Subject Char"/>
    <w:link w:val="CommentSubject"/>
    <w:uiPriority w:val="99"/>
    <w:semiHidden/>
    <w:locked/>
    <w:rsid w:val="00C5268D"/>
    <w:rPr>
      <w:rFonts w:ascii="Calibri" w:eastAsia="Times New Roman" w:hAnsi="Calibri"/>
      <w:b/>
      <w:sz w:val="20"/>
    </w:rPr>
  </w:style>
  <w:style w:type="character" w:styleId="FollowedHyperlink">
    <w:name w:val="FollowedHyperlink"/>
    <w:uiPriority w:val="99"/>
    <w:semiHidden/>
    <w:rsid w:val="00C5268D"/>
    <w:rPr>
      <w:rFonts w:cs="Times New Roman"/>
      <w:color w:val="954F72"/>
      <w:u w:val="single"/>
    </w:rPr>
  </w:style>
  <w:style w:type="character" w:styleId="FootnoteReference">
    <w:name w:val="footnote reference"/>
    <w:uiPriority w:val="99"/>
    <w:semiHidden/>
    <w:rsid w:val="00C5268D"/>
    <w:rPr>
      <w:rFonts w:cs="Times New Roman"/>
      <w:vertAlign w:val="superscript"/>
    </w:rPr>
  </w:style>
  <w:style w:type="paragraph" w:styleId="FootnoteText">
    <w:name w:val="footnote text"/>
    <w:basedOn w:val="Normal"/>
    <w:link w:val="FootnoteTextChar"/>
    <w:uiPriority w:val="99"/>
    <w:semiHidden/>
    <w:rsid w:val="00C5268D"/>
    <w:rPr>
      <w:sz w:val="20"/>
    </w:rPr>
  </w:style>
  <w:style w:type="character" w:customStyle="1" w:styleId="FootnoteTextChar">
    <w:name w:val="Footnote Text Char"/>
    <w:link w:val="FootnoteText"/>
    <w:uiPriority w:val="99"/>
    <w:semiHidden/>
    <w:locked/>
    <w:rsid w:val="00C5268D"/>
    <w:rPr>
      <w:rFonts w:ascii="Calibri" w:eastAsia="Times New Roman" w:hAnsi="Calibri" w:cs="Times New Roman"/>
      <w:sz w:val="20"/>
    </w:rPr>
  </w:style>
  <w:style w:type="paragraph" w:customStyle="1" w:styleId="Header-banner">
    <w:name w:val="Header-banner"/>
    <w:uiPriority w:val="99"/>
    <w:rsid w:val="00D31F4D"/>
    <w:pPr>
      <w:ind w:left="43" w:right="43"/>
      <w:jc w:val="center"/>
    </w:pPr>
    <w:rPr>
      <w:rFonts w:cs="Calibri"/>
      <w:b/>
      <w:bCs/>
      <w:caps/>
      <w:color w:val="FFFFFF"/>
      <w:sz w:val="44"/>
      <w:szCs w:val="22"/>
    </w:rPr>
  </w:style>
  <w:style w:type="paragraph" w:customStyle="1" w:styleId="Header2banner">
    <w:name w:val="Header2_banner"/>
    <w:basedOn w:val="Header-banner"/>
    <w:uiPriority w:val="99"/>
    <w:rsid w:val="00D31F4D"/>
    <w:pPr>
      <w:spacing w:line="440" w:lineRule="exact"/>
      <w:jc w:val="left"/>
    </w:pPr>
    <w:rPr>
      <w:caps w:val="0"/>
    </w:rPr>
  </w:style>
  <w:style w:type="paragraph" w:styleId="ListParagraph">
    <w:name w:val="List Paragraph"/>
    <w:basedOn w:val="Normal"/>
    <w:link w:val="ListParagraphChar"/>
    <w:uiPriority w:val="99"/>
    <w:qFormat/>
    <w:rsid w:val="00C5268D"/>
    <w:pPr>
      <w:ind w:left="720"/>
      <w:contextualSpacing/>
    </w:pPr>
  </w:style>
  <w:style w:type="character" w:customStyle="1" w:styleId="ListParagraphChar">
    <w:name w:val="List Paragraph Char"/>
    <w:link w:val="ListParagraph"/>
    <w:uiPriority w:val="99"/>
    <w:locked/>
    <w:rsid w:val="00C5268D"/>
    <w:rPr>
      <w:rFonts w:ascii="Calibri" w:eastAsia="Times New Roman" w:hAnsi="Calibri" w:cs="Times New Roman"/>
    </w:rPr>
  </w:style>
  <w:style w:type="paragraph" w:customStyle="1" w:styleId="MediumGrid1-Accent21">
    <w:name w:val="Medium Grid 1 - Accent 21"/>
    <w:basedOn w:val="Normal"/>
    <w:uiPriority w:val="99"/>
    <w:rsid w:val="00C5268D"/>
    <w:pPr>
      <w:ind w:left="720"/>
      <w:contextualSpacing/>
    </w:pPr>
  </w:style>
  <w:style w:type="paragraph" w:customStyle="1" w:styleId="MediumList2-Accent41">
    <w:name w:val="Medium List 2 - Accent 41"/>
    <w:basedOn w:val="Normal"/>
    <w:link w:val="MediumList2-Accent41Char"/>
    <w:uiPriority w:val="99"/>
    <w:rsid w:val="00C5268D"/>
    <w:pPr>
      <w:spacing w:after="200"/>
      <w:ind w:left="720"/>
      <w:contextualSpacing/>
    </w:pPr>
  </w:style>
  <w:style w:type="character" w:customStyle="1" w:styleId="MediumList2-Accent41Char">
    <w:name w:val="Medium List 2 - Accent 41 Char"/>
    <w:link w:val="MediumList2-Accent41"/>
    <w:uiPriority w:val="99"/>
    <w:locked/>
    <w:rsid w:val="00C5268D"/>
    <w:rPr>
      <w:rFonts w:ascii="Calibri" w:eastAsia="Times New Roman" w:hAnsi="Calibri" w:cs="Times New Roman"/>
    </w:rPr>
  </w:style>
  <w:style w:type="paragraph" w:customStyle="1" w:styleId="NoSpacing1">
    <w:name w:val="No Spacing1"/>
    <w:link w:val="NoSpacingChar"/>
    <w:uiPriority w:val="99"/>
    <w:rsid w:val="00C5268D"/>
    <w:pPr>
      <w:spacing w:after="160" w:line="259" w:lineRule="auto"/>
    </w:pPr>
    <w:rPr>
      <w:rFonts w:ascii="Tahoma" w:hAnsi="Tahoma"/>
      <w:sz w:val="19"/>
      <w:szCs w:val="22"/>
    </w:rPr>
  </w:style>
  <w:style w:type="character" w:customStyle="1" w:styleId="NoSpacingChar">
    <w:name w:val="No Spacing Char"/>
    <w:link w:val="NoSpacing1"/>
    <w:uiPriority w:val="99"/>
    <w:locked/>
    <w:rsid w:val="00C5268D"/>
    <w:rPr>
      <w:rFonts w:ascii="Tahoma" w:eastAsia="Times New Roman" w:hAnsi="Tahoma"/>
      <w:sz w:val="22"/>
    </w:rPr>
  </w:style>
  <w:style w:type="paragraph" w:styleId="NormalWeb">
    <w:name w:val="Normal (Web)"/>
    <w:basedOn w:val="Normal"/>
    <w:uiPriority w:val="99"/>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uiPriority w:val="99"/>
    <w:rsid w:val="00C5268D"/>
  </w:style>
  <w:style w:type="paragraph" w:styleId="Title">
    <w:name w:val="Title"/>
    <w:basedOn w:val="Normal"/>
    <w:next w:val="Normal"/>
    <w:link w:val="TitleChar"/>
    <w:uiPriority w:val="99"/>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C5268D"/>
    <w:rPr>
      <w:rFonts w:ascii="Cambria" w:eastAsia="Times New Roman" w:hAnsi="Cambria"/>
      <w:color w:val="17365D"/>
      <w:spacing w:val="5"/>
      <w:kern w:val="28"/>
      <w:sz w:val="52"/>
    </w:rPr>
  </w:style>
  <w:style w:type="table" w:customStyle="1" w:styleId="TableGrid1">
    <w:name w:val="Table Grid1"/>
    <w:uiPriority w:val="9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BF7992"/>
    <w:pPr>
      <w:ind w:left="360"/>
    </w:pPr>
    <w:rPr>
      <w:color w:val="4F81BD"/>
    </w:rPr>
  </w:style>
  <w:style w:type="paragraph" w:customStyle="1" w:styleId="DCwithSA">
    <w:name w:val="*DC* with *SA*"/>
    <w:basedOn w:val="SA"/>
    <w:qFormat/>
    <w:rsid w:val="00BF7992"/>
    <w:rPr>
      <w:color w:val="4F81BD"/>
    </w:rPr>
  </w:style>
  <w:style w:type="paragraph" w:customStyle="1" w:styleId="DCwithSR">
    <w:name w:val="*DC* with *SR*"/>
    <w:basedOn w:val="SR"/>
    <w:qFormat/>
    <w:rsid w:val="00BF7992"/>
    <w:pPr>
      <w:numPr>
        <w:numId w:val="8"/>
      </w:numPr>
      <w:ind w:left="720"/>
    </w:pPr>
    <w:rPr>
      <w:color w:val="4F81BD"/>
    </w:rPr>
  </w:style>
  <w:style w:type="character" w:customStyle="1" w:styleId="ToolHeaderChar">
    <w:name w:val="*ToolHeader Char"/>
    <w:link w:val="ToolHeader"/>
    <w:locked/>
    <w:rsid w:val="004A49C7"/>
    <w:rPr>
      <w:b/>
      <w:bCs/>
      <w:color w:val="365F91"/>
      <w:sz w:val="32"/>
      <w:szCs w:val="28"/>
      <w:lang w:val="en-US" w:eastAsia="en-US"/>
    </w:rPr>
  </w:style>
  <w:style w:type="paragraph" w:customStyle="1" w:styleId="TableText0">
    <w:name w:val="Table Text"/>
    <w:basedOn w:val="TableText"/>
    <w:link w:val="TableTextChar0"/>
    <w:uiPriority w:val="99"/>
    <w:rsid w:val="004A49C7"/>
    <w:pPr>
      <w:tabs>
        <w:tab w:val="left" w:pos="5898"/>
      </w:tabs>
    </w:pPr>
  </w:style>
  <w:style w:type="character" w:customStyle="1" w:styleId="TableTextChar0">
    <w:name w:val="Table Text Char"/>
    <w:link w:val="TableText0"/>
    <w:uiPriority w:val="99"/>
    <w:locked/>
    <w:rsid w:val="004A49C7"/>
    <w:rPr>
      <w:rFonts w:ascii="Calibri" w:eastAsia="Times New Roman" w:hAnsi="Calibri" w:cs="Times New Roman"/>
      <w:sz w:val="22"/>
      <w:szCs w:val="22"/>
      <w:lang w:val="en-US" w:eastAsia="en-US" w:bidi="ar-SA"/>
    </w:rPr>
  </w:style>
  <w:style w:type="paragraph" w:customStyle="1" w:styleId="Default">
    <w:name w:val="Default"/>
    <w:uiPriority w:val="99"/>
    <w:rsid w:val="002F043E"/>
    <w:pPr>
      <w:autoSpaceDE w:val="0"/>
      <w:autoSpaceDN w:val="0"/>
      <w:adjustRightInd w:val="0"/>
    </w:pPr>
    <w:rPr>
      <w:rFonts w:cs="Calibri"/>
      <w:color w:val="000000"/>
      <w:sz w:val="24"/>
      <w:szCs w:val="24"/>
    </w:rPr>
  </w:style>
  <w:style w:type="paragraph" w:styleId="Revision">
    <w:name w:val="Revision"/>
    <w:hidden/>
    <w:uiPriority w:val="99"/>
    <w:semiHidden/>
    <w:rsid w:val="0021558D"/>
    <w:rPr>
      <w:sz w:val="22"/>
      <w:szCs w:val="22"/>
    </w:rPr>
  </w:style>
  <w:style w:type="paragraph" w:customStyle="1" w:styleId="PageHeader0">
    <w:name w:val="Page Header"/>
    <w:basedOn w:val="BodyText"/>
    <w:link w:val="PageHeaderChar0"/>
    <w:uiPriority w:val="99"/>
    <w:rsid w:val="00C230C6"/>
    <w:rPr>
      <w:b/>
      <w:sz w:val="18"/>
    </w:rPr>
  </w:style>
  <w:style w:type="character" w:customStyle="1" w:styleId="PageHeaderChar0">
    <w:name w:val="Page Header Char"/>
    <w:link w:val="PageHeader0"/>
    <w:uiPriority w:val="99"/>
    <w:locked/>
    <w:rsid w:val="00C230C6"/>
    <w:rPr>
      <w:rFonts w:ascii="Calibri" w:eastAsia="Times New Roman" w:hAnsi="Calibr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7702">
      <w:marLeft w:val="0"/>
      <w:marRight w:val="0"/>
      <w:marTop w:val="0"/>
      <w:marBottom w:val="0"/>
      <w:divBdr>
        <w:top w:val="none" w:sz="0" w:space="0" w:color="auto"/>
        <w:left w:val="none" w:sz="0" w:space="0" w:color="auto"/>
        <w:bottom w:val="none" w:sz="0" w:space="0" w:color="auto"/>
        <w:right w:val="none" w:sz="0" w:space="0" w:color="auto"/>
      </w:divBdr>
      <w:divsChild>
        <w:div w:id="609627705">
          <w:marLeft w:val="0"/>
          <w:marRight w:val="0"/>
          <w:marTop w:val="0"/>
          <w:marBottom w:val="0"/>
          <w:divBdr>
            <w:top w:val="none" w:sz="0" w:space="0" w:color="auto"/>
            <w:left w:val="none" w:sz="0" w:space="0" w:color="auto"/>
            <w:bottom w:val="none" w:sz="0" w:space="0" w:color="auto"/>
            <w:right w:val="none" w:sz="0" w:space="0" w:color="auto"/>
          </w:divBdr>
        </w:div>
      </w:divsChild>
    </w:div>
    <w:div w:id="609627703">
      <w:marLeft w:val="0"/>
      <w:marRight w:val="0"/>
      <w:marTop w:val="0"/>
      <w:marBottom w:val="0"/>
      <w:divBdr>
        <w:top w:val="none" w:sz="0" w:space="0" w:color="auto"/>
        <w:left w:val="none" w:sz="0" w:space="0" w:color="auto"/>
        <w:bottom w:val="none" w:sz="0" w:space="0" w:color="auto"/>
        <w:right w:val="none" w:sz="0" w:space="0" w:color="auto"/>
      </w:divBdr>
    </w:div>
    <w:div w:id="609627704">
      <w:marLeft w:val="0"/>
      <w:marRight w:val="0"/>
      <w:marTop w:val="0"/>
      <w:marBottom w:val="0"/>
      <w:divBdr>
        <w:top w:val="none" w:sz="0" w:space="0" w:color="auto"/>
        <w:left w:val="none" w:sz="0" w:space="0" w:color="auto"/>
        <w:bottom w:val="none" w:sz="0" w:space="0" w:color="auto"/>
        <w:right w:val="none" w:sz="0" w:space="0" w:color="auto"/>
      </w:divBdr>
    </w:div>
    <w:div w:id="609627706">
      <w:marLeft w:val="0"/>
      <w:marRight w:val="0"/>
      <w:marTop w:val="0"/>
      <w:marBottom w:val="0"/>
      <w:divBdr>
        <w:top w:val="none" w:sz="0" w:space="0" w:color="auto"/>
        <w:left w:val="none" w:sz="0" w:space="0" w:color="auto"/>
        <w:bottom w:val="none" w:sz="0" w:space="0" w:color="auto"/>
        <w:right w:val="none" w:sz="0" w:space="0" w:color="auto"/>
      </w:divBdr>
    </w:div>
    <w:div w:id="7990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PCG Education</dc:creator>
  <cp:keywords/>
  <dc:description/>
  <cp:lastModifiedBy>Chmielewski, Elizabeth</cp:lastModifiedBy>
  <cp:revision>2</cp:revision>
  <cp:lastPrinted>2015-03-07T13:16:00Z</cp:lastPrinted>
  <dcterms:created xsi:type="dcterms:W3CDTF">2015-04-02T17:40:00Z</dcterms:created>
  <dcterms:modified xsi:type="dcterms:W3CDTF">2015-04-02T17:40:00Z</dcterms:modified>
</cp:coreProperties>
</file>