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450" w:type="dxa"/>
        <w:tblInd w:w="108" w:type="dxa"/>
        <w:tblBorders>
          <w:insideH w:val="single" w:sz="18" w:space="0" w:color="FFFFFF"/>
          <w:insideV w:val="single" w:sz="18" w:space="0" w:color="FFFFFF"/>
        </w:tblBorders>
        <w:shd w:val="clear" w:color="1F497D" w:fill="244061"/>
        <w:tblLook w:val="00A0" w:firstRow="1" w:lastRow="0" w:firstColumn="1" w:lastColumn="0" w:noHBand="0" w:noVBand="0"/>
      </w:tblPr>
      <w:tblGrid>
        <w:gridCol w:w="1872"/>
        <w:gridCol w:w="7578"/>
      </w:tblGrid>
      <w:tr w:rsidR="00790BCC" w:rsidRPr="00790BCC" w14:paraId="3F0687D1" w14:textId="77777777" w:rsidTr="00324CD9">
        <w:trPr>
          <w:trHeight w:val="1008"/>
        </w:trPr>
        <w:tc>
          <w:tcPr>
            <w:tcW w:w="1872" w:type="dxa"/>
            <w:shd w:val="clear" w:color="auto" w:fill="385623"/>
            <w:vAlign w:val="center"/>
          </w:tcPr>
          <w:p w14:paraId="5D52FC68" w14:textId="77777777" w:rsidR="00790BCC" w:rsidRPr="00D31F4D" w:rsidRDefault="008631BA" w:rsidP="00324CD9">
            <w:pPr>
              <w:pStyle w:val="Header-banner"/>
              <w:rPr>
                <w:rFonts w:asciiTheme="minorHAnsi" w:hAnsiTheme="minorHAnsi"/>
              </w:rPr>
            </w:pPr>
            <w:r>
              <w:rPr>
                <w:rFonts w:asciiTheme="minorHAnsi" w:hAnsiTheme="minorHAnsi"/>
              </w:rPr>
              <w:t>12.3.1</w:t>
            </w:r>
          </w:p>
        </w:tc>
        <w:tc>
          <w:tcPr>
            <w:tcW w:w="7578" w:type="dxa"/>
            <w:shd w:val="clear" w:color="auto" w:fill="76923C"/>
            <w:vAlign w:val="center"/>
          </w:tcPr>
          <w:p w14:paraId="53AA1578" w14:textId="77777777" w:rsidR="00790BCC" w:rsidRPr="00D31F4D" w:rsidRDefault="00790BCC" w:rsidP="00B70723">
            <w:pPr>
              <w:pStyle w:val="Header2banner"/>
              <w:rPr>
                <w:rFonts w:asciiTheme="minorHAnsi" w:hAnsiTheme="minorHAnsi"/>
              </w:rPr>
            </w:pPr>
            <w:r w:rsidRPr="00D31F4D">
              <w:rPr>
                <w:rFonts w:asciiTheme="minorHAnsi" w:hAnsiTheme="minorHAnsi"/>
              </w:rPr>
              <w:t xml:space="preserve">Lesson </w:t>
            </w:r>
            <w:r w:rsidR="00B70723">
              <w:rPr>
                <w:rFonts w:asciiTheme="minorHAnsi" w:hAnsiTheme="minorHAnsi"/>
              </w:rPr>
              <w:t>7</w:t>
            </w:r>
          </w:p>
        </w:tc>
      </w:tr>
    </w:tbl>
    <w:p w14:paraId="789533FD" w14:textId="77777777" w:rsidR="00790BCC" w:rsidRPr="00790BCC" w:rsidRDefault="00790BCC" w:rsidP="00D31F4D">
      <w:pPr>
        <w:pStyle w:val="Heading1"/>
      </w:pPr>
      <w:r w:rsidRPr="00790BCC">
        <w:t>Introduction</w:t>
      </w:r>
    </w:p>
    <w:p w14:paraId="0EF873AA" w14:textId="274856AA" w:rsidR="00BB796A" w:rsidRPr="00CD1013" w:rsidRDefault="00925CF2" w:rsidP="00324CD9">
      <w:r w:rsidRPr="00925CF2">
        <w:t>In this lesson, students read and analyze pages 237</w:t>
      </w:r>
      <w:r w:rsidR="000C7193">
        <w:t>–</w:t>
      </w:r>
      <w:r w:rsidRPr="00925CF2">
        <w:t xml:space="preserve">243 of </w:t>
      </w:r>
      <w:r w:rsidRPr="00925CF2">
        <w:rPr>
          <w:i/>
        </w:rPr>
        <w:t>Guns, Germs, and Steel</w:t>
      </w:r>
      <w:r w:rsidRPr="00925CF2">
        <w:t xml:space="preserve"> </w:t>
      </w:r>
      <w:r w:rsidR="008A02C9">
        <w:t>(</w:t>
      </w:r>
      <w:r w:rsidRPr="00925CF2">
        <w:t>from “Once an inventor has discovered a use for a new technology” to “some proportion of societies is likely to be innovative”</w:t>
      </w:r>
      <w:r w:rsidR="008A02C9">
        <w:t xml:space="preserve">), in which </w:t>
      </w:r>
      <w:r>
        <w:t xml:space="preserve">Diamond </w:t>
      </w:r>
      <w:r w:rsidR="00E96A3A">
        <w:t>discusses</w:t>
      </w:r>
      <w:r w:rsidR="00E40581">
        <w:t xml:space="preserve"> many</w:t>
      </w:r>
      <w:r w:rsidR="00E96A3A">
        <w:t xml:space="preserve"> factors that inform the </w:t>
      </w:r>
      <w:r w:rsidR="00031FCE">
        <w:t>acceptance</w:t>
      </w:r>
      <w:r w:rsidR="00E96A3A">
        <w:t xml:space="preserve"> of a</w:t>
      </w:r>
      <w:r w:rsidR="008A02C9">
        <w:t xml:space="preserve"> new</w:t>
      </w:r>
      <w:r w:rsidR="00E96A3A">
        <w:t xml:space="preserve"> technolog</w:t>
      </w:r>
      <w:r w:rsidR="00540870">
        <w:t>y</w:t>
      </w:r>
      <w:r w:rsidR="00E96A3A">
        <w:t xml:space="preserve"> </w:t>
      </w:r>
      <w:r w:rsidR="00DF11A7">
        <w:t>into</w:t>
      </w:r>
      <w:r w:rsidR="00E96A3A">
        <w:t xml:space="preserve"> a particular </w:t>
      </w:r>
      <w:r w:rsidR="00BB63CE">
        <w:t>society</w:t>
      </w:r>
      <w:r>
        <w:t xml:space="preserve">. </w:t>
      </w:r>
      <w:r w:rsidRPr="00925CF2">
        <w:t xml:space="preserve">Students </w:t>
      </w:r>
      <w:r w:rsidR="00DF11A7">
        <w:t>analyze</w:t>
      </w:r>
      <w:r w:rsidR="006E1121">
        <w:t xml:space="preserve"> how ideas in this excerpt interact to develop </w:t>
      </w:r>
      <w:r w:rsidR="00730D3C">
        <w:t>the concept of</w:t>
      </w:r>
      <w:r w:rsidR="00014E89">
        <w:t xml:space="preserve"> </w:t>
      </w:r>
      <w:r w:rsidR="006E1121">
        <w:t>receptivity</w:t>
      </w:r>
      <w:r w:rsidR="00104E73">
        <w:t xml:space="preserve"> to innovation</w:t>
      </w:r>
      <w:r w:rsidR="00014E89">
        <w:t xml:space="preserve"> </w:t>
      </w:r>
      <w:r w:rsidR="006E1121">
        <w:t xml:space="preserve">within and across </w:t>
      </w:r>
      <w:r w:rsidR="00DF11A7">
        <w:t>societies</w:t>
      </w:r>
      <w:r w:rsidRPr="00925CF2">
        <w:t>.</w:t>
      </w:r>
      <w:r w:rsidR="00CD1013" w:rsidRPr="00CD1013">
        <w:t xml:space="preserve"> </w:t>
      </w:r>
      <w:r w:rsidR="00CD1013" w:rsidRPr="00DC376D">
        <w:t xml:space="preserve">Additionally, students continue to surface potential research </w:t>
      </w:r>
      <w:r w:rsidR="00DF11A7">
        <w:t>issues</w:t>
      </w:r>
      <w:r w:rsidR="00CD1013" w:rsidRPr="00DC376D">
        <w:t xml:space="preserve"> and </w:t>
      </w:r>
      <w:r w:rsidR="00D130E1">
        <w:t>develop</w:t>
      </w:r>
      <w:r w:rsidR="00CD1013" w:rsidRPr="00DC376D">
        <w:t xml:space="preserve"> potential inquiry questions. </w:t>
      </w:r>
      <w:r w:rsidR="00CD1013">
        <w:t>Student learning is assessed via a Quick Write at the end of the lesson</w:t>
      </w:r>
      <w:r w:rsidR="008A02C9">
        <w:t>:</w:t>
      </w:r>
      <w:r w:rsidR="00D130E1" w:rsidRPr="00D130E1">
        <w:t xml:space="preserve"> </w:t>
      </w:r>
      <w:r w:rsidR="00C26951" w:rsidRPr="00C26951">
        <w:t>How do ideas in this excerpt interact to develop the larger concept of society’s receptivity</w:t>
      </w:r>
      <w:r w:rsidR="00DF11A7">
        <w:t xml:space="preserve"> </w:t>
      </w:r>
      <w:r w:rsidR="00C26951" w:rsidRPr="00C26951">
        <w:t>to innovation?</w:t>
      </w:r>
    </w:p>
    <w:p w14:paraId="634A818A" w14:textId="785577D3" w:rsidR="00D67F1C" w:rsidRPr="00790BCC" w:rsidRDefault="00925CF2" w:rsidP="00324CD9">
      <w:r w:rsidRPr="00DC376D">
        <w:t xml:space="preserve">For homework, </w:t>
      </w:r>
      <w:r w:rsidR="00E96A3A">
        <w:rPr>
          <w:rFonts w:asciiTheme="minorHAnsi" w:eastAsia="Times New Roman" w:hAnsiTheme="minorHAnsi" w:cs="Arial"/>
          <w:color w:val="222222"/>
          <w:shd w:val="clear" w:color="auto" w:fill="FFFFFF"/>
        </w:rPr>
        <w:t xml:space="preserve">students read and annotate </w:t>
      </w:r>
      <w:r w:rsidR="00DC376D">
        <w:t xml:space="preserve">pages </w:t>
      </w:r>
      <w:r w:rsidR="00DC376D" w:rsidRPr="00E96A3A">
        <w:t>243</w:t>
      </w:r>
      <w:r w:rsidR="000C7193">
        <w:t>–</w:t>
      </w:r>
      <w:r w:rsidR="00DC376D" w:rsidRPr="00E96A3A">
        <w:t>249</w:t>
      </w:r>
      <w:r w:rsidR="00261482">
        <w:t xml:space="preserve"> </w:t>
      </w:r>
      <w:r w:rsidRPr="00E96A3A">
        <w:t xml:space="preserve">of </w:t>
      </w:r>
      <w:r w:rsidR="00C06B1A" w:rsidRPr="00E96A3A">
        <w:rPr>
          <w:i/>
        </w:rPr>
        <w:t>G</w:t>
      </w:r>
      <w:r w:rsidR="00E96A3A">
        <w:rPr>
          <w:i/>
        </w:rPr>
        <w:t>uns, Germs, and Steel</w:t>
      </w:r>
      <w:r w:rsidR="00E96A3A">
        <w:t xml:space="preserve">, boxing </w:t>
      </w:r>
      <w:r w:rsidR="00D67F1C">
        <w:t>any u</w:t>
      </w:r>
      <w:r w:rsidR="00E96A3A">
        <w:t xml:space="preserve">nfamiliar </w:t>
      </w:r>
      <w:r w:rsidR="00D67F1C">
        <w:t>words</w:t>
      </w:r>
      <w:r w:rsidR="00E96A3A">
        <w:t xml:space="preserve"> and looking up </w:t>
      </w:r>
      <w:r w:rsidR="00D67F1C">
        <w:t xml:space="preserve">their </w:t>
      </w:r>
      <w:r w:rsidR="00E96A3A">
        <w:t xml:space="preserve">definitions. </w:t>
      </w:r>
      <w:r w:rsidR="00B505CB">
        <w:t>Additionally, s</w:t>
      </w:r>
      <w:r w:rsidR="00C335CF">
        <w:t>tudents continue</w:t>
      </w:r>
      <w:r w:rsidR="00B505CB">
        <w:t xml:space="preserve"> the research process by</w:t>
      </w:r>
      <w:r w:rsidR="00C335CF">
        <w:t xml:space="preserve"> surfac</w:t>
      </w:r>
      <w:r w:rsidR="00B505CB">
        <w:t>ing</w:t>
      </w:r>
      <w:r w:rsidR="00C335CF">
        <w:t xml:space="preserve"> issues and </w:t>
      </w:r>
      <w:r w:rsidR="00B505CB">
        <w:t>generating</w:t>
      </w:r>
      <w:r w:rsidR="00C335CF">
        <w:t xml:space="preserve"> inquiry questions</w:t>
      </w:r>
      <w:r w:rsidR="00D67F1C">
        <w:t xml:space="preserve"> as they read and analyze the text.</w:t>
      </w:r>
    </w:p>
    <w:p w14:paraId="1D67B5CD" w14:textId="01E2D211" w:rsidR="00790BCC" w:rsidRPr="00790BCC" w:rsidRDefault="00790BCC" w:rsidP="00D31F4D">
      <w:pPr>
        <w:pStyle w:val="Heading1"/>
      </w:pPr>
      <w:r w:rsidRPr="00790BCC">
        <w:t>Standards</w:t>
      </w:r>
    </w:p>
    <w:tbl>
      <w:tblPr>
        <w:tblW w:w="9450" w:type="dxa"/>
        <w:tblInd w:w="1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firstRow="0" w:lastRow="0" w:firstColumn="0" w:lastColumn="0" w:noHBand="0" w:noVBand="0"/>
      </w:tblPr>
      <w:tblGrid>
        <w:gridCol w:w="1213"/>
        <w:gridCol w:w="8237"/>
      </w:tblGrid>
      <w:tr w:rsidR="00790BCC" w:rsidRPr="00790BCC" w14:paraId="1D743D20" w14:textId="77777777" w:rsidTr="00324CD9">
        <w:tc>
          <w:tcPr>
            <w:tcW w:w="9450" w:type="dxa"/>
            <w:gridSpan w:val="2"/>
            <w:shd w:val="clear" w:color="auto" w:fill="76923C"/>
          </w:tcPr>
          <w:p w14:paraId="2EB629F4" w14:textId="77777777" w:rsidR="00790BCC" w:rsidRPr="00790BCC" w:rsidRDefault="00790BCC" w:rsidP="007017EB">
            <w:pPr>
              <w:pStyle w:val="TableHeaders"/>
            </w:pPr>
            <w:r w:rsidRPr="00790BCC">
              <w:t>Assessed Standard(s)</w:t>
            </w:r>
          </w:p>
        </w:tc>
      </w:tr>
      <w:tr w:rsidR="00790BCC" w:rsidRPr="00790BCC" w14:paraId="65E31F53" w14:textId="77777777" w:rsidTr="00324CD9">
        <w:tc>
          <w:tcPr>
            <w:tcW w:w="1213" w:type="dxa"/>
          </w:tcPr>
          <w:p w14:paraId="0F59B30B" w14:textId="2290C0CE" w:rsidR="00790BCC" w:rsidRPr="00790BCC" w:rsidRDefault="00B70723" w:rsidP="00D31F4D">
            <w:pPr>
              <w:pStyle w:val="TableText"/>
            </w:pPr>
            <w:r>
              <w:t>RI.11-12.</w:t>
            </w:r>
            <w:r w:rsidR="00D130E1">
              <w:t>3</w:t>
            </w:r>
          </w:p>
        </w:tc>
        <w:tc>
          <w:tcPr>
            <w:tcW w:w="8237" w:type="dxa"/>
          </w:tcPr>
          <w:p w14:paraId="7F366C3B" w14:textId="49D9CC29" w:rsidR="00790BCC" w:rsidRPr="00790BCC" w:rsidRDefault="00D130E1" w:rsidP="00925CF2">
            <w:pPr>
              <w:pStyle w:val="TableText"/>
            </w:pPr>
            <w:r>
              <w:rPr>
                <w:color w:val="202020"/>
              </w:rPr>
              <w:t>Analyze a complex set of ideas or sequence of events and explain how specific individuals, ideas, or events interact and develop over the course of the text.</w:t>
            </w:r>
          </w:p>
        </w:tc>
      </w:tr>
      <w:tr w:rsidR="00790BCC" w:rsidRPr="00790BCC" w14:paraId="0326B5AC" w14:textId="77777777" w:rsidTr="00324CD9">
        <w:tc>
          <w:tcPr>
            <w:tcW w:w="9450" w:type="dxa"/>
            <w:gridSpan w:val="2"/>
            <w:shd w:val="clear" w:color="auto" w:fill="76923C"/>
          </w:tcPr>
          <w:p w14:paraId="553591C9" w14:textId="77777777" w:rsidR="00790BCC" w:rsidRPr="00790BCC" w:rsidRDefault="00790BCC" w:rsidP="007017EB">
            <w:pPr>
              <w:pStyle w:val="TableHeaders"/>
            </w:pPr>
            <w:r w:rsidRPr="00790BCC">
              <w:t>Addressed Standard(s)</w:t>
            </w:r>
          </w:p>
        </w:tc>
      </w:tr>
      <w:tr w:rsidR="00925CF2" w:rsidRPr="00790BCC" w14:paraId="03241656" w14:textId="77777777" w:rsidTr="00324CD9">
        <w:tc>
          <w:tcPr>
            <w:tcW w:w="1213" w:type="dxa"/>
          </w:tcPr>
          <w:p w14:paraId="7F143F4D" w14:textId="77777777" w:rsidR="00925CF2" w:rsidRDefault="00925CF2" w:rsidP="00D33A43">
            <w:pPr>
              <w:pStyle w:val="TableText"/>
            </w:pPr>
            <w:r>
              <w:t>W.11-12.9.b</w:t>
            </w:r>
          </w:p>
        </w:tc>
        <w:tc>
          <w:tcPr>
            <w:tcW w:w="8237" w:type="dxa"/>
          </w:tcPr>
          <w:p w14:paraId="46CD798A" w14:textId="77777777" w:rsidR="00925CF2" w:rsidRDefault="00925CF2" w:rsidP="00324CD9">
            <w:pPr>
              <w:pStyle w:val="TableText"/>
            </w:pPr>
            <w:r w:rsidRPr="00566142">
              <w:t>Draw evidence f</w:t>
            </w:r>
            <w:r>
              <w:t>ro</w:t>
            </w:r>
            <w:r w:rsidRPr="00566142">
              <w:t>m literary or informational texts to support analysis,</w:t>
            </w:r>
            <w:r>
              <w:t xml:space="preserve"> </w:t>
            </w:r>
            <w:r w:rsidRPr="00566142">
              <w:t>reflection, and research.</w:t>
            </w:r>
          </w:p>
          <w:p w14:paraId="53BC8AC2" w14:textId="049580C3" w:rsidR="00925CF2" w:rsidRPr="00D130E1" w:rsidRDefault="00D130E1" w:rsidP="00D130E1">
            <w:pPr>
              <w:pStyle w:val="SubStandard"/>
              <w:numPr>
                <w:ilvl w:val="0"/>
                <w:numId w:val="20"/>
              </w:numPr>
              <w:rPr>
                <w:rFonts w:ascii="Times" w:hAnsi="Times"/>
                <w:sz w:val="20"/>
                <w:szCs w:val="20"/>
                <w:lang w:eastAsia="fr-FR"/>
              </w:rPr>
            </w:pPr>
            <w:r>
              <w:rPr>
                <w:lang w:eastAsia="fr-FR"/>
              </w:rPr>
              <w:t>Apply </w:t>
            </w:r>
            <w:r>
              <w:rPr>
                <w:i/>
                <w:lang w:eastAsia="fr-FR"/>
              </w:rPr>
              <w:t>grades 11</w:t>
            </w:r>
            <w:r w:rsidR="000C7193" w:rsidRPr="006360CD">
              <w:rPr>
                <w:i/>
              </w:rPr>
              <w:t>–</w:t>
            </w:r>
            <w:r>
              <w:rPr>
                <w:i/>
                <w:lang w:eastAsia="fr-FR"/>
              </w:rPr>
              <w:t>12 Reading standards</w:t>
            </w:r>
            <w:r>
              <w:rPr>
                <w:lang w:eastAsia="fr-FR"/>
              </w:rPr>
              <w:t xml:space="preserve"> to literary nonfiction (e.g., </w:t>
            </w:r>
            <w:r w:rsidR="0041066A">
              <w:rPr>
                <w:lang w:eastAsia="fr-FR"/>
              </w:rPr>
              <w:t>“</w:t>
            </w:r>
            <w:r>
              <w:rPr>
                <w:lang w:eastAsia="fr-FR"/>
              </w:rPr>
              <w:t>Delineate and evaluate the reasoning in seminal U.S. texts, including the application of constitutional principles and use of legal reasoning [e.g., in U.S. Supreme Court Case majority opinions and dissents] and the premises, purposes, and arguments in works of public advocacy [e.g., </w:t>
            </w:r>
            <w:r>
              <w:rPr>
                <w:i/>
                <w:lang w:eastAsia="fr-FR"/>
              </w:rPr>
              <w:t>The Federalist</w:t>
            </w:r>
            <w:r>
              <w:rPr>
                <w:lang w:eastAsia="fr-FR"/>
              </w:rPr>
              <w:t>, presidential addresses]</w:t>
            </w:r>
            <w:r w:rsidR="0041066A">
              <w:rPr>
                <w:lang w:eastAsia="fr-FR"/>
              </w:rPr>
              <w:t>”</w:t>
            </w:r>
            <w:r>
              <w:rPr>
                <w:lang w:eastAsia="fr-FR"/>
              </w:rPr>
              <w:t>).</w:t>
            </w:r>
          </w:p>
        </w:tc>
      </w:tr>
      <w:tr w:rsidR="00662851" w:rsidRPr="00790BCC" w14:paraId="7A287878" w14:textId="77777777" w:rsidTr="00324CD9">
        <w:tc>
          <w:tcPr>
            <w:tcW w:w="1213" w:type="dxa"/>
          </w:tcPr>
          <w:p w14:paraId="40902B13" w14:textId="7DA285B5" w:rsidR="00662851" w:rsidRDefault="00662851" w:rsidP="00D33A43">
            <w:pPr>
              <w:pStyle w:val="TableText"/>
            </w:pPr>
            <w:r>
              <w:t>L.11-12.4.c</w:t>
            </w:r>
          </w:p>
        </w:tc>
        <w:tc>
          <w:tcPr>
            <w:tcW w:w="8237" w:type="dxa"/>
          </w:tcPr>
          <w:p w14:paraId="7DB642D5" w14:textId="364ACA2E" w:rsidR="00D67F1C" w:rsidRDefault="00662851" w:rsidP="00D67F1C">
            <w:pPr>
              <w:pStyle w:val="TableText"/>
            </w:pPr>
            <w:r>
              <w:t xml:space="preserve">Determine or clarify the meaning of unknown and multiple-meaning words and phrases based on </w:t>
            </w:r>
            <w:r>
              <w:rPr>
                <w:i/>
              </w:rPr>
              <w:t>grades 11–</w:t>
            </w:r>
            <w:r w:rsidRPr="00AF165A">
              <w:rPr>
                <w:i/>
              </w:rPr>
              <w:t>12 reading and content</w:t>
            </w:r>
            <w:r>
              <w:t>, choosing flexibly from a range of strategies.</w:t>
            </w:r>
          </w:p>
          <w:p w14:paraId="75D1514A" w14:textId="542EF278" w:rsidR="00662851" w:rsidRPr="00566142" w:rsidRDefault="00662851" w:rsidP="006360CD">
            <w:pPr>
              <w:pStyle w:val="SubStandard"/>
            </w:pPr>
            <w:r w:rsidRPr="000B65C6">
              <w:t xml:space="preserve">Consult general and specialized reference materials (e.g., dictionaries, glossaries, </w:t>
            </w:r>
            <w:r w:rsidRPr="000B65C6">
              <w:lastRenderedPageBreak/>
              <w:t>thesauruses), both print and digital, to find the pronunciation of a word or determine or clarify its precise meaning, its part of speech, its etymology, or its standard usage.</w:t>
            </w:r>
          </w:p>
        </w:tc>
      </w:tr>
    </w:tbl>
    <w:p w14:paraId="283FBCEF" w14:textId="77777777" w:rsidR="00790BCC" w:rsidRPr="00790BCC" w:rsidRDefault="00790BCC" w:rsidP="00D31F4D">
      <w:pPr>
        <w:pStyle w:val="Heading1"/>
      </w:pPr>
      <w:r w:rsidRPr="00790BCC">
        <w:lastRenderedPageBreak/>
        <w:t>Assessment</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1E6B6603" w14:textId="77777777" w:rsidTr="00324CD9">
        <w:tc>
          <w:tcPr>
            <w:tcW w:w="9450" w:type="dxa"/>
            <w:shd w:val="clear" w:color="auto" w:fill="76923C"/>
          </w:tcPr>
          <w:p w14:paraId="303FE61B" w14:textId="77777777" w:rsidR="00790BCC" w:rsidRPr="00790BCC" w:rsidRDefault="00790BCC" w:rsidP="007017EB">
            <w:pPr>
              <w:pStyle w:val="TableHeaders"/>
            </w:pPr>
            <w:r w:rsidRPr="00790BCC">
              <w:t>Assessment(s)</w:t>
            </w:r>
          </w:p>
        </w:tc>
      </w:tr>
      <w:tr w:rsidR="00790BCC" w:rsidRPr="00790BCC" w14:paraId="223128F1" w14:textId="77777777" w:rsidTr="00324CD9">
        <w:tc>
          <w:tcPr>
            <w:tcW w:w="9450" w:type="dxa"/>
            <w:tcBorders>
              <w:top w:val="single" w:sz="4" w:space="0" w:color="auto"/>
              <w:left w:val="single" w:sz="4" w:space="0" w:color="auto"/>
              <w:bottom w:val="single" w:sz="4" w:space="0" w:color="auto"/>
              <w:right w:val="single" w:sz="4" w:space="0" w:color="auto"/>
            </w:tcBorders>
          </w:tcPr>
          <w:p w14:paraId="19355084" w14:textId="6B00EE0D" w:rsidR="00790BCC" w:rsidRPr="00790BCC" w:rsidRDefault="00925CF2" w:rsidP="00D31F4D">
            <w:pPr>
              <w:pStyle w:val="TableText"/>
            </w:pPr>
            <w:r>
              <w:t xml:space="preserve">Student learning is assessed via a Quick Write at the end of the lesson. Students </w:t>
            </w:r>
            <w:r w:rsidR="0041066A">
              <w:t xml:space="preserve">respond to </w:t>
            </w:r>
            <w:r>
              <w:t xml:space="preserve">the following prompt, citing textual evidence to support analysis and inferences drawn from the text. </w:t>
            </w:r>
          </w:p>
          <w:p w14:paraId="2D5EA01C" w14:textId="0F3F58F2" w:rsidR="00DE6261" w:rsidRPr="00790BCC" w:rsidRDefault="00C26951" w:rsidP="008A292D">
            <w:pPr>
              <w:pStyle w:val="BulletedList"/>
            </w:pPr>
            <w:r w:rsidRPr="00C26951">
              <w:t>How do ideas in this excerpt interact to develop the larger concept of society’s receptivity to innovation</w:t>
            </w:r>
            <w:r w:rsidR="008A292D">
              <w:t>?</w:t>
            </w:r>
            <w:r w:rsidR="00DE6261">
              <w:rPr>
                <w:rStyle w:val="CommentReference"/>
              </w:rPr>
              <w:t xml:space="preserve"> </w:t>
            </w:r>
          </w:p>
        </w:tc>
      </w:tr>
      <w:tr w:rsidR="00790BCC" w:rsidRPr="00790BCC" w14:paraId="37E45CB7" w14:textId="77777777" w:rsidTr="00324CD9">
        <w:tc>
          <w:tcPr>
            <w:tcW w:w="9450" w:type="dxa"/>
            <w:shd w:val="clear" w:color="auto" w:fill="76923C"/>
          </w:tcPr>
          <w:p w14:paraId="52FC6610" w14:textId="77777777" w:rsidR="00790BCC" w:rsidRPr="00790BCC" w:rsidRDefault="00790BCC" w:rsidP="007017EB">
            <w:pPr>
              <w:pStyle w:val="TableHeaders"/>
            </w:pPr>
            <w:r w:rsidRPr="00790BCC">
              <w:t>High Performance Response(s)</w:t>
            </w:r>
          </w:p>
        </w:tc>
      </w:tr>
      <w:tr w:rsidR="00790BCC" w:rsidRPr="00790BCC" w14:paraId="019EFE36" w14:textId="77777777" w:rsidTr="00324CD9">
        <w:tc>
          <w:tcPr>
            <w:tcW w:w="9450" w:type="dxa"/>
          </w:tcPr>
          <w:p w14:paraId="4EC59758" w14:textId="77777777" w:rsidR="00790BCC" w:rsidRPr="00790BCC" w:rsidRDefault="00790BCC" w:rsidP="00D31F4D">
            <w:pPr>
              <w:pStyle w:val="TableText"/>
            </w:pPr>
            <w:r w:rsidRPr="00790BCC">
              <w:t>A High Performance Response should:</w:t>
            </w:r>
          </w:p>
          <w:p w14:paraId="0D4BF406" w14:textId="1DB9578B" w:rsidR="00790BCC" w:rsidRDefault="00390CCE" w:rsidP="00E62940">
            <w:pPr>
              <w:pStyle w:val="BulletedList"/>
            </w:pPr>
            <w:r>
              <w:t xml:space="preserve">Identify two or more ideas in this excerpt </w:t>
            </w:r>
            <w:r w:rsidR="00925CF2" w:rsidRPr="007945EB">
              <w:t xml:space="preserve">(e.g., </w:t>
            </w:r>
            <w:r w:rsidR="007D02BC">
              <w:t xml:space="preserve">the </w:t>
            </w:r>
            <w:r>
              <w:t>“laundry list</w:t>
            </w:r>
            <w:r w:rsidR="0041066A">
              <w:t xml:space="preserve"> </w:t>
            </w:r>
            <w:r w:rsidR="00564EB9">
              <w:t>…</w:t>
            </w:r>
            <w:r w:rsidR="0041066A">
              <w:t xml:space="preserve"> </w:t>
            </w:r>
            <w:r w:rsidR="001322E9">
              <w:t>of factors</w:t>
            </w:r>
            <w:r w:rsidR="00564EB9">
              <w:t>”</w:t>
            </w:r>
            <w:r w:rsidR="001322E9">
              <w:t xml:space="preserve"> </w:t>
            </w:r>
            <w:r w:rsidR="00520E70">
              <w:t xml:space="preserve">(p. 239) </w:t>
            </w:r>
            <w:r w:rsidR="000661F0">
              <w:t xml:space="preserve">affecting </w:t>
            </w:r>
            <w:r w:rsidR="001322E9">
              <w:t>receptivity</w:t>
            </w:r>
            <w:r w:rsidR="00D67F1C">
              <w:t>;</w:t>
            </w:r>
            <w:r w:rsidR="00487087">
              <w:t xml:space="preserve"> innovative vs. conservative societies</w:t>
            </w:r>
            <w:r w:rsidR="00925CF2" w:rsidRPr="007945EB">
              <w:t>)</w:t>
            </w:r>
            <w:r w:rsidR="00FE6EC9" w:rsidRPr="007945EB">
              <w:t>.</w:t>
            </w:r>
            <w:r w:rsidR="00925CF2">
              <w:t xml:space="preserve"> </w:t>
            </w:r>
          </w:p>
          <w:p w14:paraId="35DD309E" w14:textId="2EEE8617" w:rsidR="00925CF2" w:rsidRPr="00790BCC" w:rsidRDefault="00925CF2" w:rsidP="00D67F1C">
            <w:pPr>
              <w:pStyle w:val="BulletedList"/>
            </w:pPr>
            <w:r>
              <w:t xml:space="preserve">Explain how </w:t>
            </w:r>
            <w:r w:rsidRPr="00487087">
              <w:t>the ideas interact</w:t>
            </w:r>
            <w:r w:rsidR="00D130E1" w:rsidRPr="00487087">
              <w:t xml:space="preserve"> </w:t>
            </w:r>
            <w:r w:rsidR="007945EB" w:rsidRPr="00487087">
              <w:t xml:space="preserve">to develop the larger concept of </w:t>
            </w:r>
            <w:r w:rsidR="00D130E1" w:rsidRPr="00487087">
              <w:t>society’s receptivity to innovation</w:t>
            </w:r>
            <w:r w:rsidRPr="00487087">
              <w:t xml:space="preserve"> (e.g., </w:t>
            </w:r>
            <w:r w:rsidR="0041066A">
              <w:t>i</w:t>
            </w:r>
            <w:r w:rsidR="00FE6EC9" w:rsidRPr="00487087">
              <w:t xml:space="preserve">n this </w:t>
            </w:r>
            <w:r w:rsidR="00023235">
              <w:t>excerpt</w:t>
            </w:r>
            <w:r w:rsidR="00FE6EC9" w:rsidRPr="00487087">
              <w:t>,</w:t>
            </w:r>
            <w:r w:rsidR="006D16B5" w:rsidRPr="00487087">
              <w:t xml:space="preserve"> </w:t>
            </w:r>
            <w:r w:rsidR="003F0892" w:rsidRPr="00487087">
              <w:t>Diamond delve</w:t>
            </w:r>
            <w:r w:rsidR="008D000C" w:rsidRPr="00487087">
              <w:t>s</w:t>
            </w:r>
            <w:r w:rsidR="003F0892" w:rsidRPr="00487087">
              <w:t xml:space="preserve"> into the </w:t>
            </w:r>
            <w:r w:rsidR="00566205">
              <w:t>factors that affect</w:t>
            </w:r>
            <w:r w:rsidR="00093C7A">
              <w:t xml:space="preserve"> innovation receptivity among</w:t>
            </w:r>
            <w:r w:rsidR="00566205">
              <w:t xml:space="preserve"> societ</w:t>
            </w:r>
            <w:r w:rsidR="00093C7A">
              <w:t>ies.</w:t>
            </w:r>
            <w:r w:rsidR="009347FD">
              <w:t xml:space="preserve"> </w:t>
            </w:r>
            <w:r w:rsidR="00093C7A">
              <w:t xml:space="preserve">First, </w:t>
            </w:r>
            <w:r w:rsidR="00576271">
              <w:t>Diamond introduces</w:t>
            </w:r>
            <w:r w:rsidR="00D22A1C">
              <w:t xml:space="preserve"> </w:t>
            </w:r>
            <w:r w:rsidR="003F0892" w:rsidRPr="00487087">
              <w:t>a “laundry list</w:t>
            </w:r>
            <w:r w:rsidR="0041066A">
              <w:t xml:space="preserve"> </w:t>
            </w:r>
            <w:r w:rsidR="009347FD">
              <w:t>…</w:t>
            </w:r>
            <w:r w:rsidR="0041066A">
              <w:t xml:space="preserve"> </w:t>
            </w:r>
            <w:r w:rsidR="009347FD">
              <w:t xml:space="preserve">proposed by historians of technology” </w:t>
            </w:r>
            <w:r w:rsidR="0041066A">
              <w:br/>
            </w:r>
            <w:r w:rsidR="009347FD">
              <w:t xml:space="preserve">(p. 239) </w:t>
            </w:r>
            <w:r w:rsidR="003F0892" w:rsidRPr="00487087">
              <w:t xml:space="preserve">of </w:t>
            </w:r>
            <w:r w:rsidR="001322E9" w:rsidRPr="00487087">
              <w:t xml:space="preserve">physical, societal, and ideological factors </w:t>
            </w:r>
            <w:r w:rsidR="00576271">
              <w:t>that</w:t>
            </w:r>
            <w:r w:rsidR="009347FD">
              <w:t xml:space="preserve"> </w:t>
            </w:r>
            <w:r w:rsidR="00D67F1C">
              <w:t>affec</w:t>
            </w:r>
            <w:r w:rsidR="000661F0">
              <w:t xml:space="preserve">t </w:t>
            </w:r>
            <w:r w:rsidR="009347FD">
              <w:t>a society’s receptivity to innovation.</w:t>
            </w:r>
            <w:r w:rsidR="00483611">
              <w:t xml:space="preserve"> </w:t>
            </w:r>
            <w:r w:rsidR="00576271">
              <w:t>Diamond</w:t>
            </w:r>
            <w:r w:rsidR="00483611">
              <w:t xml:space="preserve"> then challenges the </w:t>
            </w:r>
            <w:r w:rsidR="00576271">
              <w:t>“</w:t>
            </w:r>
            <w:r w:rsidR="00483611">
              <w:t>laundry list</w:t>
            </w:r>
            <w:r w:rsidR="00576271">
              <w:t>”</w:t>
            </w:r>
            <w:r w:rsidR="00483611">
              <w:t xml:space="preserve"> </w:t>
            </w:r>
            <w:r w:rsidR="00520E70">
              <w:t xml:space="preserve">(p. 239) </w:t>
            </w:r>
            <w:r w:rsidR="00483611">
              <w:t xml:space="preserve">by explaining that it “does not exhaust the list of reasons proposed to explain why societies differ” (p. 240) and </w:t>
            </w:r>
            <w:r w:rsidR="00344111">
              <w:t xml:space="preserve">that </w:t>
            </w:r>
            <w:r w:rsidR="00483611">
              <w:t>“proximate explanations</w:t>
            </w:r>
            <w:r w:rsidR="00093C7A">
              <w:t>” (p. 240)</w:t>
            </w:r>
            <w:r w:rsidR="00483611">
              <w:t xml:space="preserve"> cannot explain the ultimate causes of continental differences</w:t>
            </w:r>
            <w:r w:rsidR="00576271">
              <w:t xml:space="preserve"> regarding </w:t>
            </w:r>
            <w:r w:rsidR="000661F0">
              <w:t xml:space="preserve">receptivity to </w:t>
            </w:r>
            <w:r w:rsidR="00576271">
              <w:t>technology.</w:t>
            </w:r>
            <w:r w:rsidR="00483611">
              <w:t xml:space="preserve"> </w:t>
            </w:r>
            <w:r w:rsidR="00576271">
              <w:t xml:space="preserve">Instead, Diamond </w:t>
            </w:r>
            <w:r w:rsidR="008C029A">
              <w:t>presents an alternate</w:t>
            </w:r>
            <w:r w:rsidR="00576271">
              <w:t xml:space="preserve"> conclusion: </w:t>
            </w:r>
            <w:r w:rsidR="00576271" w:rsidRPr="00566205">
              <w:t>“over</w:t>
            </w:r>
            <w:r w:rsidR="00B242FB">
              <w:t xml:space="preserve"> a</w:t>
            </w:r>
            <w:r w:rsidR="00576271" w:rsidRPr="00566205">
              <w:t xml:space="preserve"> large enough area</w:t>
            </w:r>
            <w:r w:rsidR="0041066A">
              <w:t xml:space="preserve"> </w:t>
            </w:r>
            <w:r w:rsidR="00576271" w:rsidRPr="00566205">
              <w:t>…</w:t>
            </w:r>
            <w:r w:rsidR="0041066A">
              <w:t xml:space="preserve"> </w:t>
            </w:r>
            <w:r w:rsidR="00576271" w:rsidRPr="00566205">
              <w:t>at any particular time, some proportion of societies is likely to be innovative” (p. 243</w:t>
            </w:r>
            <w:r w:rsidR="00B242FB">
              <w:t>)</w:t>
            </w:r>
            <w:r w:rsidR="00093C7A">
              <w:t>.</w:t>
            </w:r>
            <w:r w:rsidR="00483611">
              <w:t xml:space="preserve"> </w:t>
            </w:r>
            <w:r w:rsidR="00093C7A">
              <w:t>By</w:t>
            </w:r>
            <w:r w:rsidR="00483611">
              <w:t xml:space="preserve"> describ</w:t>
            </w:r>
            <w:r w:rsidR="00093C7A">
              <w:t>ing</w:t>
            </w:r>
            <w:r w:rsidR="00483611">
              <w:t xml:space="preserve"> the</w:t>
            </w:r>
            <w:r w:rsidR="00093C7A">
              <w:t xml:space="preserve"> diversity of New Guinean societies</w:t>
            </w:r>
            <w:r w:rsidR="003755EA">
              <w:t>,</w:t>
            </w:r>
            <w:r w:rsidR="00093C7A">
              <w:t xml:space="preserve"> such as the</w:t>
            </w:r>
            <w:r w:rsidR="00483611">
              <w:t xml:space="preserve"> innovative “Chimbu tribe [who] proved especially aggressive in adopting Western technology” </w:t>
            </w:r>
            <w:r w:rsidR="00566205">
              <w:t xml:space="preserve">(p. 241) </w:t>
            </w:r>
            <w:r w:rsidR="00483611">
              <w:t>and compar</w:t>
            </w:r>
            <w:r w:rsidR="00093C7A">
              <w:t>ing</w:t>
            </w:r>
            <w:r w:rsidR="00483611">
              <w:t xml:space="preserve"> them with the </w:t>
            </w:r>
            <w:r w:rsidR="00566205">
              <w:t xml:space="preserve">Daribi, who are </w:t>
            </w:r>
            <w:r w:rsidR="00483611">
              <w:t>“</w:t>
            </w:r>
            <w:r w:rsidR="00566205">
              <w:t>especially conservative and uninterested in new technology” (pp. 241</w:t>
            </w:r>
            <w:r w:rsidR="0041066A">
              <w:t>–</w:t>
            </w:r>
            <w:r w:rsidR="00566205">
              <w:t>242)</w:t>
            </w:r>
            <w:r w:rsidR="00093C7A">
              <w:t xml:space="preserve">, Diamond proves that </w:t>
            </w:r>
            <w:r w:rsidR="008B78A5">
              <w:t xml:space="preserve">receptivity to </w:t>
            </w:r>
            <w:r w:rsidR="00093C7A">
              <w:t>innovation</w:t>
            </w:r>
            <w:r w:rsidR="00E62940">
              <w:t xml:space="preserve"> is “essentially a random variable” (p. 243)</w:t>
            </w:r>
            <w:r w:rsidR="00D67F1C">
              <w:t>.</w:t>
            </w:r>
            <w:r w:rsidR="00246F3F" w:rsidRPr="00566205">
              <w:t>)</w:t>
            </w:r>
            <w:r w:rsidR="008D000C" w:rsidRPr="00566205">
              <w:t>.</w:t>
            </w:r>
          </w:p>
        </w:tc>
      </w:tr>
    </w:tbl>
    <w:p w14:paraId="4B8B04CE" w14:textId="77777777" w:rsidR="00790BCC" w:rsidRPr="00790BCC" w:rsidRDefault="00790BCC" w:rsidP="00D31F4D">
      <w:pPr>
        <w:pStyle w:val="Heading1"/>
      </w:pPr>
      <w:r w:rsidRPr="00341F48">
        <w:t>Vocabulary</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50"/>
      </w:tblGrid>
      <w:tr w:rsidR="00790BCC" w:rsidRPr="00790BCC" w14:paraId="656FE61C" w14:textId="77777777" w:rsidTr="00324CD9">
        <w:tc>
          <w:tcPr>
            <w:tcW w:w="9450" w:type="dxa"/>
            <w:shd w:val="clear" w:color="auto" w:fill="76923C"/>
          </w:tcPr>
          <w:p w14:paraId="2F442C9A" w14:textId="77777777" w:rsidR="00790BCC" w:rsidRPr="00790BCC" w:rsidRDefault="00790BCC" w:rsidP="00D31F4D">
            <w:pPr>
              <w:pStyle w:val="TableHeaders"/>
            </w:pPr>
            <w:r w:rsidRPr="00790BCC">
              <w:t>Vocabulary to provide directly (will not include extended instruction)</w:t>
            </w:r>
          </w:p>
        </w:tc>
      </w:tr>
      <w:tr w:rsidR="00790BCC" w:rsidRPr="00790BCC" w14:paraId="2898D1B7" w14:textId="77777777" w:rsidTr="00324CD9">
        <w:tc>
          <w:tcPr>
            <w:tcW w:w="9450" w:type="dxa"/>
          </w:tcPr>
          <w:p w14:paraId="1A2B3EF2" w14:textId="1B3E61F1" w:rsidR="00826483" w:rsidRDefault="002070E0" w:rsidP="002070E0">
            <w:pPr>
              <w:pStyle w:val="BulletedList"/>
            </w:pPr>
            <w:r>
              <w:t>p</w:t>
            </w:r>
            <w:r w:rsidR="00826483">
              <w:t>restige</w:t>
            </w:r>
            <w:r>
              <w:t xml:space="preserve"> (n.) </w:t>
            </w:r>
            <w:r w:rsidRPr="00790BCC">
              <w:t>–</w:t>
            </w:r>
            <w:r>
              <w:t xml:space="preserve"> </w:t>
            </w:r>
            <w:r w:rsidRPr="002070E0">
              <w:t>high status or reputation achieved through success, influence, wealth, etc</w:t>
            </w:r>
            <w:r>
              <w:t>.</w:t>
            </w:r>
          </w:p>
          <w:p w14:paraId="635DD02B" w14:textId="6AA2A281" w:rsidR="00D130E1" w:rsidRDefault="00D130E1" w:rsidP="00937AC7">
            <w:pPr>
              <w:pStyle w:val="BulletedList"/>
            </w:pPr>
            <w:r>
              <w:t xml:space="preserve">cachet (n.) </w:t>
            </w:r>
            <w:r w:rsidRPr="00790BCC">
              <w:t xml:space="preserve">– </w:t>
            </w:r>
            <w:r>
              <w:t xml:space="preserve"> </w:t>
            </w:r>
            <w:r w:rsidR="00937AC7" w:rsidRPr="00937AC7">
              <w:t>superior status</w:t>
            </w:r>
            <w:r w:rsidR="003E777C">
              <w:t>; importance</w:t>
            </w:r>
            <w:r w:rsidR="00777562">
              <w:t>; respect</w:t>
            </w:r>
          </w:p>
          <w:p w14:paraId="56F72FE1" w14:textId="7099CF1D" w:rsidR="00826483" w:rsidRDefault="00826483" w:rsidP="00344111">
            <w:pPr>
              <w:pStyle w:val="BulletedList"/>
            </w:pPr>
            <w:r>
              <w:t>vested</w:t>
            </w:r>
            <w:r w:rsidR="002070E0">
              <w:t xml:space="preserve"> </w:t>
            </w:r>
            <w:r w:rsidR="00344111">
              <w:t xml:space="preserve">interests </w:t>
            </w:r>
            <w:r w:rsidR="002070E0">
              <w:t>(</w:t>
            </w:r>
            <w:r w:rsidR="00344111">
              <w:t>n</w:t>
            </w:r>
            <w:r w:rsidR="002070E0">
              <w:t xml:space="preserve">.) </w:t>
            </w:r>
            <w:r w:rsidR="002070E0" w:rsidRPr="00790BCC">
              <w:t>–</w:t>
            </w:r>
            <w:r w:rsidR="002070E0">
              <w:t xml:space="preserve"> </w:t>
            </w:r>
            <w:r w:rsidR="00344111" w:rsidRPr="00344111">
              <w:t>personal or private reason</w:t>
            </w:r>
            <w:r w:rsidR="00344111">
              <w:t>s</w:t>
            </w:r>
            <w:r w:rsidR="00344111" w:rsidRPr="00344111">
              <w:t xml:space="preserve"> for wanting something to be done or to happen</w:t>
            </w:r>
          </w:p>
          <w:p w14:paraId="10DBBC08" w14:textId="48385CFE" w:rsidR="00925CF2" w:rsidRDefault="00925CF2" w:rsidP="00AC13B6">
            <w:pPr>
              <w:pStyle w:val="BulletedList"/>
            </w:pPr>
            <w:r>
              <w:lastRenderedPageBreak/>
              <w:t xml:space="preserve">perverse </w:t>
            </w:r>
            <w:r w:rsidR="00AC13B6">
              <w:t>(adj</w:t>
            </w:r>
            <w:r w:rsidR="00AC13B6" w:rsidRPr="00790BCC">
              <w:t xml:space="preserve">.) – </w:t>
            </w:r>
            <w:r w:rsidR="00AC13B6" w:rsidRPr="00AC13B6">
              <w:t>persistent or obstinate in what is wrong</w:t>
            </w:r>
          </w:p>
          <w:p w14:paraId="0379F15F" w14:textId="03A05F99" w:rsidR="00826483" w:rsidRDefault="00826483" w:rsidP="002070E0">
            <w:pPr>
              <w:pStyle w:val="BulletedList"/>
            </w:pPr>
            <w:r>
              <w:t>uniformly</w:t>
            </w:r>
            <w:r w:rsidR="002070E0">
              <w:t xml:space="preserve"> (adv.) </w:t>
            </w:r>
            <w:r w:rsidR="002070E0" w:rsidRPr="00790BCC">
              <w:t>–</w:t>
            </w:r>
            <w:r w:rsidR="002070E0">
              <w:t xml:space="preserve"> in an </w:t>
            </w:r>
            <w:r w:rsidR="002070E0" w:rsidRPr="002070E0">
              <w:t>identical or consistent</w:t>
            </w:r>
            <w:r w:rsidR="002070E0">
              <w:t xml:space="preserve"> way</w:t>
            </w:r>
          </w:p>
          <w:p w14:paraId="19EDFA6F" w14:textId="3D05F0B8" w:rsidR="00D130E1" w:rsidRDefault="00D130E1" w:rsidP="00937AC7">
            <w:pPr>
              <w:pStyle w:val="BulletedList"/>
            </w:pPr>
            <w:r>
              <w:t>ideological (adj.)</w:t>
            </w:r>
            <w:r w:rsidRPr="00790BCC">
              <w:t xml:space="preserve"> – </w:t>
            </w:r>
            <w:r w:rsidR="00937AC7">
              <w:t>relating to the</w:t>
            </w:r>
            <w:r w:rsidR="00937AC7" w:rsidRPr="00937AC7">
              <w:t xml:space="preserve"> body of doctrine, myth, belief, etc., that guides an individual, social movement, ins</w:t>
            </w:r>
            <w:r w:rsidR="00937AC7">
              <w:t xml:space="preserve">titution, class, or large group </w:t>
            </w:r>
          </w:p>
          <w:p w14:paraId="03B0ACA1" w14:textId="43263B59" w:rsidR="00826483" w:rsidRDefault="00826483" w:rsidP="002070E0">
            <w:pPr>
              <w:pStyle w:val="BulletedList"/>
            </w:pPr>
            <w:r>
              <w:t>heretics</w:t>
            </w:r>
            <w:r w:rsidR="002070E0">
              <w:t xml:space="preserve"> (n.) </w:t>
            </w:r>
            <w:r w:rsidR="002070E0" w:rsidRPr="00790BCC">
              <w:t>–</w:t>
            </w:r>
            <w:r w:rsidR="002070E0">
              <w:t xml:space="preserve"> people who do</w:t>
            </w:r>
            <w:r w:rsidR="002070E0" w:rsidRPr="002070E0">
              <w:t xml:space="preserve"> not conform to an established a</w:t>
            </w:r>
            <w:r w:rsidR="002070E0">
              <w:t>ttitude, doctrine, or principle</w:t>
            </w:r>
          </w:p>
          <w:p w14:paraId="189FFC82" w14:textId="6F5BFF24" w:rsidR="00826483" w:rsidRDefault="00826483" w:rsidP="00344111">
            <w:pPr>
              <w:pStyle w:val="BulletedList"/>
            </w:pPr>
            <w:r>
              <w:t>stifles</w:t>
            </w:r>
            <w:r w:rsidR="002070E0">
              <w:t xml:space="preserve"> (v.) </w:t>
            </w:r>
            <w:r w:rsidR="002070E0" w:rsidRPr="00790BCC">
              <w:t>–</w:t>
            </w:r>
            <w:r w:rsidR="002070E0">
              <w:t xml:space="preserve"> </w:t>
            </w:r>
            <w:r w:rsidR="00344111" w:rsidRPr="00344111">
              <w:t>makes something difficult or impossible</w:t>
            </w:r>
            <w:r w:rsidR="002070E0" w:rsidRPr="002070E0">
              <w:t xml:space="preserve"> </w:t>
            </w:r>
          </w:p>
          <w:p w14:paraId="433E8855" w14:textId="5F5364A5" w:rsidR="00492E37" w:rsidRDefault="00492E37" w:rsidP="003E777C">
            <w:pPr>
              <w:pStyle w:val="BulletedList"/>
            </w:pPr>
            <w:r>
              <w:t>plausible</w:t>
            </w:r>
            <w:r w:rsidR="002070E0">
              <w:t xml:space="preserve"> (adj.) </w:t>
            </w:r>
            <w:r w:rsidR="002070E0" w:rsidRPr="00790BCC">
              <w:t>–</w:t>
            </w:r>
            <w:r w:rsidR="003E777C">
              <w:t xml:space="preserve"> </w:t>
            </w:r>
            <w:r w:rsidR="003E777C" w:rsidRPr="003E777C">
              <w:t>having an appearance of truth or reason; seemingly worthy of approval or acceptance; credible; believable</w:t>
            </w:r>
          </w:p>
          <w:p w14:paraId="11424638" w14:textId="27F08934" w:rsidR="00D130E1" w:rsidRDefault="00D130E1" w:rsidP="00937AC7">
            <w:pPr>
              <w:pStyle w:val="BulletedList"/>
            </w:pPr>
            <w:r>
              <w:t>benign (adj.)</w:t>
            </w:r>
            <w:r w:rsidRPr="00790BCC">
              <w:t xml:space="preserve"> – </w:t>
            </w:r>
            <w:r w:rsidR="00937AC7" w:rsidRPr="00937AC7">
              <w:t>mild; gentle</w:t>
            </w:r>
            <w:r w:rsidR="00937AC7">
              <w:t xml:space="preserve"> </w:t>
            </w:r>
          </w:p>
          <w:p w14:paraId="016828AE" w14:textId="453B3D72" w:rsidR="002E173F" w:rsidRDefault="002E173F" w:rsidP="00AC13B6">
            <w:pPr>
              <w:pStyle w:val="BulletedList"/>
            </w:pPr>
            <w:r>
              <w:t>tacitly</w:t>
            </w:r>
            <w:r w:rsidR="00AC13B6">
              <w:t xml:space="preserve"> (adv</w:t>
            </w:r>
            <w:r w:rsidR="00AC13B6" w:rsidRPr="00790BCC">
              <w:t xml:space="preserve">.) – </w:t>
            </w:r>
            <w:r w:rsidR="004851A3">
              <w:t xml:space="preserve">in a way that is </w:t>
            </w:r>
            <w:r w:rsidR="00AC13B6" w:rsidRPr="00AC13B6">
              <w:t xml:space="preserve">understood without being openly expressed; </w:t>
            </w:r>
            <w:r w:rsidR="004851A3">
              <w:t xml:space="preserve">in a way that is </w:t>
            </w:r>
            <w:r w:rsidR="006926EA" w:rsidRPr="00F05A37">
              <w:t>suggested</w:t>
            </w:r>
            <w:r>
              <w:t xml:space="preserve"> </w:t>
            </w:r>
          </w:p>
          <w:p w14:paraId="2B2ACDB2" w14:textId="7F58AE87" w:rsidR="00492E37" w:rsidRDefault="00492E37" w:rsidP="003E777C">
            <w:pPr>
              <w:pStyle w:val="BulletedList"/>
            </w:pPr>
            <w:r>
              <w:t>speculation</w:t>
            </w:r>
            <w:r w:rsidR="002070E0">
              <w:t xml:space="preserve"> (n.) </w:t>
            </w:r>
            <w:r w:rsidR="002070E0" w:rsidRPr="00790BCC">
              <w:t>–</w:t>
            </w:r>
            <w:r w:rsidR="003E777C">
              <w:t xml:space="preserve"> </w:t>
            </w:r>
            <w:r w:rsidR="003E777C" w:rsidRPr="003E777C">
              <w:t>ideas or guesses about something that is not known</w:t>
            </w:r>
          </w:p>
          <w:p w14:paraId="42C4BE0B" w14:textId="7C846982" w:rsidR="00492E37" w:rsidRDefault="00492E37" w:rsidP="003E777C">
            <w:pPr>
              <w:pStyle w:val="BulletedList"/>
            </w:pPr>
            <w:r>
              <w:t>prevalent</w:t>
            </w:r>
            <w:r w:rsidR="002070E0">
              <w:t xml:space="preserve"> (adj.) </w:t>
            </w:r>
            <w:r w:rsidR="002070E0" w:rsidRPr="00790BCC">
              <w:t>–</w:t>
            </w:r>
            <w:r w:rsidR="003E777C">
              <w:t xml:space="preserve"> </w:t>
            </w:r>
            <w:r w:rsidR="003E777C" w:rsidRPr="003E777C">
              <w:t>widespread; of wide extent or occurrence; in general use or acceptance</w:t>
            </w:r>
          </w:p>
          <w:p w14:paraId="3B117A97" w14:textId="70439357" w:rsidR="00D130E1" w:rsidRPr="00790BCC" w:rsidRDefault="00D130E1" w:rsidP="00EC06EC">
            <w:pPr>
              <w:pStyle w:val="BulletedList"/>
            </w:pPr>
            <w:r>
              <w:t>myriad (</w:t>
            </w:r>
            <w:r w:rsidR="00937AC7">
              <w:t xml:space="preserve">adj.) </w:t>
            </w:r>
            <w:r w:rsidR="00937AC7" w:rsidRPr="00790BCC">
              <w:t xml:space="preserve">– </w:t>
            </w:r>
            <w:r w:rsidR="00937AC7">
              <w:t xml:space="preserve"> </w:t>
            </w:r>
            <w:r w:rsidR="00937AC7" w:rsidRPr="00937AC7">
              <w:t>of an indefinitely great number; innumerable</w:t>
            </w:r>
            <w:r w:rsidR="00937AC7">
              <w:t xml:space="preserve"> </w:t>
            </w:r>
          </w:p>
        </w:tc>
      </w:tr>
      <w:tr w:rsidR="00790BCC" w:rsidRPr="00790BCC" w14:paraId="1428654F" w14:textId="77777777" w:rsidTr="00324CD9">
        <w:tc>
          <w:tcPr>
            <w:tcW w:w="9450" w:type="dxa"/>
            <w:shd w:val="clear" w:color="auto" w:fill="76923C"/>
          </w:tcPr>
          <w:p w14:paraId="09B231AD" w14:textId="77777777" w:rsidR="00790BCC" w:rsidRPr="00790BCC" w:rsidRDefault="00790BCC" w:rsidP="00D31F4D">
            <w:pPr>
              <w:pStyle w:val="TableHeaders"/>
            </w:pPr>
            <w:r w:rsidRPr="00790BCC">
              <w:lastRenderedPageBreak/>
              <w:t>Vocabulary to teach (may include direct word work and/or questions)</w:t>
            </w:r>
          </w:p>
        </w:tc>
      </w:tr>
      <w:tr w:rsidR="00790BCC" w:rsidRPr="00790BCC" w14:paraId="2FFDAFB8" w14:textId="77777777" w:rsidTr="00324CD9">
        <w:tc>
          <w:tcPr>
            <w:tcW w:w="9450" w:type="dxa"/>
          </w:tcPr>
          <w:p w14:paraId="6EE3B0AC" w14:textId="33586B9E" w:rsidR="00F2390C" w:rsidRPr="00790BCC" w:rsidRDefault="00390CCE" w:rsidP="008D000C">
            <w:pPr>
              <w:pStyle w:val="BulletedList"/>
            </w:pPr>
            <w:r>
              <w:t>None</w:t>
            </w:r>
            <w:r w:rsidR="00324CD9">
              <w:t>.</w:t>
            </w:r>
          </w:p>
        </w:tc>
      </w:tr>
      <w:tr w:rsidR="00790BCC" w:rsidRPr="00790BCC" w14:paraId="01AA34FA" w14:textId="77777777" w:rsidTr="00324CD9">
        <w:tc>
          <w:tcPr>
            <w:tcW w:w="9450" w:type="dxa"/>
            <w:tcBorders>
              <w:top w:val="single" w:sz="4" w:space="0" w:color="auto"/>
              <w:left w:val="single" w:sz="4" w:space="0" w:color="auto"/>
              <w:bottom w:val="single" w:sz="4" w:space="0" w:color="auto"/>
              <w:right w:val="single" w:sz="4" w:space="0" w:color="auto"/>
            </w:tcBorders>
            <w:shd w:val="clear" w:color="auto" w:fill="76923C"/>
          </w:tcPr>
          <w:p w14:paraId="324AFBCA" w14:textId="77777777" w:rsidR="00790BCC" w:rsidRPr="00790BCC" w:rsidRDefault="00790BCC" w:rsidP="00D31F4D">
            <w:pPr>
              <w:pStyle w:val="TableHeaders"/>
            </w:pPr>
            <w:r w:rsidRPr="00790BCC">
              <w:t>Additional vocabulary to support English Language Learners (to provide directly)</w:t>
            </w:r>
          </w:p>
        </w:tc>
      </w:tr>
      <w:tr w:rsidR="00790BCC" w:rsidRPr="00790BCC" w14:paraId="24F3DB78" w14:textId="77777777" w:rsidTr="00324CD9">
        <w:tc>
          <w:tcPr>
            <w:tcW w:w="9450" w:type="dxa"/>
            <w:tcBorders>
              <w:top w:val="single" w:sz="4" w:space="0" w:color="auto"/>
              <w:left w:val="single" w:sz="4" w:space="0" w:color="auto"/>
              <w:bottom w:val="single" w:sz="4" w:space="0" w:color="auto"/>
              <w:right w:val="single" w:sz="4" w:space="0" w:color="auto"/>
            </w:tcBorders>
          </w:tcPr>
          <w:p w14:paraId="64F92919" w14:textId="6B785D2D" w:rsidR="00D130E1" w:rsidRDefault="00D130E1" w:rsidP="00937AC7">
            <w:pPr>
              <w:pStyle w:val="BulletedList"/>
            </w:pPr>
            <w:r>
              <w:t>cumbersome (adj.)</w:t>
            </w:r>
            <w:r w:rsidRPr="00790BCC">
              <w:t xml:space="preserve"> – </w:t>
            </w:r>
            <w:r>
              <w:t xml:space="preserve"> </w:t>
            </w:r>
            <w:r w:rsidR="00937AC7" w:rsidRPr="00937AC7">
              <w:t>complicated and hard to do</w:t>
            </w:r>
            <w:r w:rsidR="00937AC7">
              <w:t xml:space="preserve"> </w:t>
            </w:r>
          </w:p>
          <w:p w14:paraId="79BEFDF5" w14:textId="44755C48" w:rsidR="00925CF2" w:rsidRDefault="00925CF2" w:rsidP="009413A5">
            <w:pPr>
              <w:pStyle w:val="BulletedList"/>
            </w:pPr>
            <w:r>
              <w:t xml:space="preserve">porters </w:t>
            </w:r>
            <w:r w:rsidR="009413A5">
              <w:t>(n.)</w:t>
            </w:r>
            <w:r w:rsidR="009413A5" w:rsidRPr="00790BCC">
              <w:t xml:space="preserve"> – </w:t>
            </w:r>
            <w:r w:rsidR="009413A5">
              <w:t xml:space="preserve"> people</w:t>
            </w:r>
            <w:r w:rsidR="009413A5" w:rsidRPr="009413A5">
              <w:t xml:space="preserve"> whose job is to move </w:t>
            </w:r>
            <w:r w:rsidR="009413A5">
              <w:t>people</w:t>
            </w:r>
            <w:r w:rsidR="009413A5" w:rsidRPr="009413A5">
              <w:t xml:space="preserve"> </w:t>
            </w:r>
            <w:r w:rsidR="009413A5">
              <w:t xml:space="preserve">around </w:t>
            </w:r>
          </w:p>
          <w:p w14:paraId="2F21A77A" w14:textId="13446417" w:rsidR="00925CF2" w:rsidRDefault="00925CF2" w:rsidP="009413A5">
            <w:pPr>
              <w:pStyle w:val="BulletedList"/>
            </w:pPr>
            <w:r>
              <w:t xml:space="preserve">counterproductive </w:t>
            </w:r>
            <w:r w:rsidR="00AC13B6">
              <w:t>(adj</w:t>
            </w:r>
            <w:r w:rsidR="009413A5">
              <w:t>.)</w:t>
            </w:r>
            <w:r w:rsidR="009413A5" w:rsidRPr="00790BCC">
              <w:t xml:space="preserve"> – </w:t>
            </w:r>
            <w:r w:rsidR="009413A5" w:rsidRPr="009413A5">
              <w:t>not helpful</w:t>
            </w:r>
            <w:r w:rsidR="004851A3">
              <w:t>;</w:t>
            </w:r>
            <w:r w:rsidR="009413A5" w:rsidRPr="009413A5">
              <w:t xml:space="preserve"> making the thing you want to happen less likely to happen</w:t>
            </w:r>
            <w:r w:rsidR="009413A5">
              <w:t xml:space="preserve"> </w:t>
            </w:r>
          </w:p>
          <w:p w14:paraId="3922C1EC" w14:textId="682838A5" w:rsidR="00925CF2" w:rsidRDefault="00925CF2" w:rsidP="00AC13B6">
            <w:pPr>
              <w:pStyle w:val="BulletedList"/>
            </w:pPr>
            <w:r>
              <w:t xml:space="preserve">entrenched </w:t>
            </w:r>
            <w:r w:rsidR="00AC13B6">
              <w:t>(</w:t>
            </w:r>
            <w:r w:rsidR="00B00C52">
              <w:t>v</w:t>
            </w:r>
            <w:r w:rsidR="009413A5">
              <w:t>.)</w:t>
            </w:r>
            <w:r w:rsidR="009413A5" w:rsidRPr="00790BCC">
              <w:t xml:space="preserve"> – </w:t>
            </w:r>
            <w:r w:rsidR="009413A5">
              <w:t xml:space="preserve"> </w:t>
            </w:r>
            <w:r w:rsidR="00AC13B6" w:rsidRPr="00AC13B6">
              <w:t>place</w:t>
            </w:r>
            <w:r w:rsidR="00AC13B6">
              <w:t>d</w:t>
            </w:r>
            <w:r w:rsidR="00AC13B6" w:rsidRPr="00AC13B6">
              <w:t xml:space="preserve"> (someone or something) in a very strong position that cannot easily be changed</w:t>
            </w:r>
            <w:r w:rsidR="00AC13B6">
              <w:t xml:space="preserve"> </w:t>
            </w:r>
          </w:p>
          <w:p w14:paraId="057642F8" w14:textId="02A20192" w:rsidR="00492E37" w:rsidRPr="00790BCC" w:rsidRDefault="002E173F">
            <w:pPr>
              <w:pStyle w:val="BulletedList"/>
            </w:pPr>
            <w:r>
              <w:t xml:space="preserve">laundry list </w:t>
            </w:r>
            <w:r w:rsidR="009413A5">
              <w:t>(n.)</w:t>
            </w:r>
            <w:r w:rsidR="009413A5" w:rsidRPr="00790BCC">
              <w:t xml:space="preserve"> – </w:t>
            </w:r>
            <w:r w:rsidR="00AC13B6" w:rsidRPr="00AC13B6">
              <w:t>a long list of related things</w:t>
            </w:r>
            <w:r w:rsidR="009413A5">
              <w:t xml:space="preserve"> </w:t>
            </w:r>
          </w:p>
        </w:tc>
      </w:tr>
    </w:tbl>
    <w:p w14:paraId="3A3746FD" w14:textId="77777777" w:rsidR="00790BCC" w:rsidRPr="00790BCC" w:rsidRDefault="00790BCC" w:rsidP="00D31F4D">
      <w:pPr>
        <w:pStyle w:val="Heading1"/>
      </w:pPr>
      <w:r w:rsidRPr="00790BCC">
        <w:t>Lesson Agenda/Overview</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37"/>
        <w:gridCol w:w="1913"/>
      </w:tblGrid>
      <w:tr w:rsidR="00790BCC" w:rsidRPr="00790BCC" w14:paraId="2B0ECA15" w14:textId="77777777" w:rsidTr="006360CD">
        <w:tc>
          <w:tcPr>
            <w:tcW w:w="7537" w:type="dxa"/>
            <w:tcBorders>
              <w:bottom w:val="single" w:sz="4" w:space="0" w:color="auto"/>
            </w:tcBorders>
            <w:shd w:val="clear" w:color="auto" w:fill="76923C"/>
          </w:tcPr>
          <w:p w14:paraId="75AB1AD1" w14:textId="77777777" w:rsidR="00790BCC" w:rsidRPr="00790BCC" w:rsidRDefault="00790BCC" w:rsidP="00D31F4D">
            <w:pPr>
              <w:pStyle w:val="TableHeaders"/>
            </w:pPr>
            <w:r w:rsidRPr="00790BCC">
              <w:t>Student-Facing Agenda</w:t>
            </w:r>
          </w:p>
        </w:tc>
        <w:tc>
          <w:tcPr>
            <w:tcW w:w="1913" w:type="dxa"/>
            <w:tcBorders>
              <w:bottom w:val="single" w:sz="4" w:space="0" w:color="auto"/>
            </w:tcBorders>
            <w:shd w:val="clear" w:color="auto" w:fill="76923C"/>
          </w:tcPr>
          <w:p w14:paraId="4030CBFF" w14:textId="77777777" w:rsidR="00790BCC" w:rsidRPr="00790BCC" w:rsidRDefault="00790BCC" w:rsidP="00D31F4D">
            <w:pPr>
              <w:pStyle w:val="TableHeaders"/>
            </w:pPr>
            <w:r w:rsidRPr="00790BCC">
              <w:t>% of Lesson</w:t>
            </w:r>
          </w:p>
        </w:tc>
      </w:tr>
      <w:tr w:rsidR="00790BCC" w:rsidRPr="00790BCC" w14:paraId="50B0B051" w14:textId="77777777" w:rsidTr="006360CD">
        <w:trPr>
          <w:trHeight w:val="1041"/>
        </w:trPr>
        <w:tc>
          <w:tcPr>
            <w:tcW w:w="7537" w:type="dxa"/>
            <w:tcBorders>
              <w:bottom w:val="nil"/>
            </w:tcBorders>
          </w:tcPr>
          <w:p w14:paraId="716B564D" w14:textId="77777777" w:rsidR="00790BCC" w:rsidRPr="00D31F4D" w:rsidRDefault="00790BCC" w:rsidP="00D31F4D">
            <w:pPr>
              <w:pStyle w:val="TableText"/>
              <w:rPr>
                <w:b/>
              </w:rPr>
            </w:pPr>
            <w:r w:rsidRPr="00D31F4D">
              <w:rPr>
                <w:b/>
              </w:rPr>
              <w:t>Standards &amp; Text:</w:t>
            </w:r>
          </w:p>
          <w:p w14:paraId="3DDABD89" w14:textId="11D1E543" w:rsidR="00790BCC" w:rsidRPr="00790BCC" w:rsidRDefault="006E1121" w:rsidP="00D31F4D">
            <w:pPr>
              <w:pStyle w:val="BulletedList"/>
            </w:pPr>
            <w:r>
              <w:t>Standards: RI.11-12.3</w:t>
            </w:r>
            <w:r w:rsidR="00AC13B6">
              <w:t>, W.11-12.9.b</w:t>
            </w:r>
            <w:r w:rsidR="000F38F7">
              <w:t>, L.11-12.4.c</w:t>
            </w:r>
          </w:p>
          <w:p w14:paraId="0BA60A76" w14:textId="36F92A76" w:rsidR="00790BCC" w:rsidRPr="00790BCC" w:rsidRDefault="00790BCC" w:rsidP="00EB1CA8">
            <w:pPr>
              <w:pStyle w:val="BulletedList"/>
            </w:pPr>
            <w:r w:rsidRPr="00790BCC">
              <w:t xml:space="preserve">Text: </w:t>
            </w:r>
            <w:r w:rsidR="00AC13B6" w:rsidRPr="00AC13B6">
              <w:rPr>
                <w:i/>
              </w:rPr>
              <w:t>Guns, Germs, and Steel</w:t>
            </w:r>
            <w:r w:rsidR="00D474FE">
              <w:t xml:space="preserve"> by Jared Diamond,</w:t>
            </w:r>
            <w:r w:rsidR="00AC13B6">
              <w:t xml:space="preserve"> </w:t>
            </w:r>
            <w:r w:rsidR="00C61717">
              <w:t>p</w:t>
            </w:r>
            <w:r w:rsidR="00EB1CA8">
              <w:t>ages</w:t>
            </w:r>
            <w:r w:rsidR="00C61717">
              <w:t xml:space="preserve"> </w:t>
            </w:r>
            <w:r w:rsidR="00C61717" w:rsidRPr="00925CF2">
              <w:t>237</w:t>
            </w:r>
            <w:r w:rsidR="00A34D4F">
              <w:t>–</w:t>
            </w:r>
            <w:r w:rsidR="00C61717" w:rsidRPr="00925CF2">
              <w:t>243</w:t>
            </w:r>
          </w:p>
        </w:tc>
        <w:tc>
          <w:tcPr>
            <w:tcW w:w="1913" w:type="dxa"/>
            <w:tcBorders>
              <w:bottom w:val="nil"/>
            </w:tcBorders>
          </w:tcPr>
          <w:p w14:paraId="7BEC1499" w14:textId="77777777" w:rsidR="00790BCC" w:rsidRPr="00790BCC" w:rsidRDefault="00790BCC" w:rsidP="00790BCC"/>
          <w:p w14:paraId="2ADF3994" w14:textId="77777777" w:rsidR="00790BCC" w:rsidRPr="00790BCC" w:rsidRDefault="00790BCC" w:rsidP="00790BCC">
            <w:pPr>
              <w:spacing w:after="60" w:line="240" w:lineRule="auto"/>
            </w:pPr>
          </w:p>
        </w:tc>
      </w:tr>
      <w:tr w:rsidR="00790BCC" w:rsidRPr="00790BCC" w14:paraId="2EF3FD0A" w14:textId="77777777" w:rsidTr="006360CD">
        <w:tc>
          <w:tcPr>
            <w:tcW w:w="7537" w:type="dxa"/>
            <w:tcBorders>
              <w:top w:val="nil"/>
            </w:tcBorders>
          </w:tcPr>
          <w:p w14:paraId="2568ED31" w14:textId="77777777" w:rsidR="00790BCC" w:rsidRPr="00D31F4D" w:rsidRDefault="00790BCC" w:rsidP="00D31F4D">
            <w:pPr>
              <w:pStyle w:val="TableText"/>
              <w:rPr>
                <w:b/>
              </w:rPr>
            </w:pPr>
            <w:r w:rsidRPr="00D31F4D">
              <w:rPr>
                <w:b/>
              </w:rPr>
              <w:t>Learning Sequence:</w:t>
            </w:r>
          </w:p>
          <w:p w14:paraId="45603B81" w14:textId="77777777" w:rsidR="00790BCC" w:rsidRPr="00790BCC" w:rsidRDefault="00790BCC" w:rsidP="00D31F4D">
            <w:pPr>
              <w:pStyle w:val="NumberedList"/>
            </w:pPr>
            <w:r w:rsidRPr="00790BCC">
              <w:lastRenderedPageBreak/>
              <w:t>Introduction of Lesson Agenda</w:t>
            </w:r>
          </w:p>
          <w:p w14:paraId="17D7A160" w14:textId="77777777" w:rsidR="00790BCC" w:rsidRPr="00790BCC" w:rsidRDefault="00790BCC" w:rsidP="00D31F4D">
            <w:pPr>
              <w:pStyle w:val="NumberedList"/>
            </w:pPr>
            <w:r w:rsidRPr="00790BCC">
              <w:t>Homework Accountability</w:t>
            </w:r>
          </w:p>
          <w:p w14:paraId="4656ADBA" w14:textId="77777777" w:rsidR="00790BCC" w:rsidRDefault="005249FD" w:rsidP="00D31F4D">
            <w:pPr>
              <w:pStyle w:val="NumberedList"/>
            </w:pPr>
            <w:r>
              <w:t>Reading and Discussion</w:t>
            </w:r>
          </w:p>
          <w:p w14:paraId="065387D9" w14:textId="77777777" w:rsidR="005249FD" w:rsidRPr="00790BCC" w:rsidRDefault="005249FD" w:rsidP="00D31F4D">
            <w:pPr>
              <w:pStyle w:val="NumberedList"/>
            </w:pPr>
            <w:r>
              <w:t>Quick Write</w:t>
            </w:r>
          </w:p>
          <w:p w14:paraId="0D18B3BC" w14:textId="77777777" w:rsidR="00790BCC" w:rsidRPr="00790BCC" w:rsidRDefault="00790BCC" w:rsidP="00D31F4D">
            <w:pPr>
              <w:pStyle w:val="NumberedList"/>
            </w:pPr>
            <w:r w:rsidRPr="00790BCC">
              <w:t>Closing</w:t>
            </w:r>
          </w:p>
        </w:tc>
        <w:tc>
          <w:tcPr>
            <w:tcW w:w="1913" w:type="dxa"/>
            <w:tcBorders>
              <w:top w:val="nil"/>
            </w:tcBorders>
          </w:tcPr>
          <w:p w14:paraId="07B3F311" w14:textId="77777777" w:rsidR="00790BCC" w:rsidRPr="00790BCC" w:rsidRDefault="00790BCC" w:rsidP="00790BCC">
            <w:pPr>
              <w:spacing w:before="40" w:after="40"/>
            </w:pPr>
          </w:p>
          <w:p w14:paraId="1D807665" w14:textId="77777777" w:rsidR="00790BCC" w:rsidRPr="00790BCC" w:rsidRDefault="00790BCC" w:rsidP="00D31F4D">
            <w:pPr>
              <w:pStyle w:val="NumberedList"/>
              <w:numPr>
                <w:ilvl w:val="0"/>
                <w:numId w:val="13"/>
              </w:numPr>
            </w:pPr>
            <w:r w:rsidRPr="00790BCC">
              <w:lastRenderedPageBreak/>
              <w:t>5%</w:t>
            </w:r>
          </w:p>
          <w:p w14:paraId="644AC267" w14:textId="1C22F87C" w:rsidR="00790BCC" w:rsidRPr="00790BCC" w:rsidRDefault="00790BCC" w:rsidP="00D31F4D">
            <w:pPr>
              <w:pStyle w:val="NumberedList"/>
              <w:numPr>
                <w:ilvl w:val="0"/>
                <w:numId w:val="13"/>
              </w:numPr>
            </w:pPr>
            <w:r w:rsidRPr="00790BCC">
              <w:t>1</w:t>
            </w:r>
            <w:r w:rsidR="00520E70">
              <w:t>5</w:t>
            </w:r>
            <w:r w:rsidRPr="00790BCC">
              <w:t>%</w:t>
            </w:r>
          </w:p>
          <w:p w14:paraId="2310CEB9" w14:textId="04A37A9B" w:rsidR="00790BCC" w:rsidRDefault="00937AC7" w:rsidP="00D31F4D">
            <w:pPr>
              <w:pStyle w:val="NumberedList"/>
              <w:numPr>
                <w:ilvl w:val="0"/>
                <w:numId w:val="13"/>
              </w:numPr>
            </w:pPr>
            <w:r>
              <w:t>6</w:t>
            </w:r>
            <w:r w:rsidR="00520E70">
              <w:t>0</w:t>
            </w:r>
            <w:r w:rsidR="00790BCC" w:rsidRPr="00790BCC">
              <w:t>%</w:t>
            </w:r>
          </w:p>
          <w:p w14:paraId="56D758DC" w14:textId="77777777" w:rsidR="005249FD" w:rsidRPr="00790BCC" w:rsidRDefault="005249FD" w:rsidP="00D31F4D">
            <w:pPr>
              <w:pStyle w:val="NumberedList"/>
              <w:numPr>
                <w:ilvl w:val="0"/>
                <w:numId w:val="13"/>
              </w:numPr>
            </w:pPr>
            <w:r>
              <w:t>15%</w:t>
            </w:r>
          </w:p>
          <w:p w14:paraId="1E0E8AEA" w14:textId="77777777" w:rsidR="00790BCC" w:rsidRPr="00790BCC" w:rsidRDefault="00790BCC" w:rsidP="00D31F4D">
            <w:pPr>
              <w:pStyle w:val="NumberedList"/>
              <w:numPr>
                <w:ilvl w:val="0"/>
                <w:numId w:val="13"/>
              </w:numPr>
            </w:pPr>
            <w:r w:rsidRPr="00790BCC">
              <w:t>5%</w:t>
            </w:r>
          </w:p>
        </w:tc>
      </w:tr>
    </w:tbl>
    <w:p w14:paraId="613F2DCA" w14:textId="77777777" w:rsidR="00790BCC" w:rsidRPr="00790BCC" w:rsidRDefault="00790BCC" w:rsidP="00D31F4D">
      <w:pPr>
        <w:pStyle w:val="Heading1"/>
      </w:pPr>
      <w:r w:rsidRPr="00790BCC">
        <w:lastRenderedPageBreak/>
        <w:t>Materials</w:t>
      </w:r>
    </w:p>
    <w:p w14:paraId="75C74A42" w14:textId="272FBD4A" w:rsidR="00EB1CA8" w:rsidRPr="00790BCC" w:rsidRDefault="00EB1CA8" w:rsidP="00EB1CA8">
      <w:pPr>
        <w:pStyle w:val="BulletedList"/>
      </w:pPr>
      <w:r>
        <w:t>Student copies of the Surfacing Issues Tool (refer to 12.3.1 Lesson 2) (optional)—students may need additional blank copies</w:t>
      </w:r>
    </w:p>
    <w:p w14:paraId="0FCC9801" w14:textId="7477E50A" w:rsidR="00FC0614" w:rsidRDefault="00FC0614" w:rsidP="00937AC7">
      <w:pPr>
        <w:pStyle w:val="BulletedList"/>
      </w:pPr>
      <w:r>
        <w:t>Student copies of the Short Response Rubric</w:t>
      </w:r>
      <w:r w:rsidR="00B348DB">
        <w:t xml:space="preserve"> and Checklist</w:t>
      </w:r>
      <w:r>
        <w:t xml:space="preserve"> (refer</w:t>
      </w:r>
      <w:r w:rsidR="00413E8D">
        <w:t xml:space="preserve"> to</w:t>
      </w:r>
      <w:r>
        <w:t xml:space="preserve"> </w:t>
      </w:r>
      <w:r w:rsidR="000872D5">
        <w:t>12.3</w:t>
      </w:r>
      <w:r w:rsidR="006E1121">
        <w:t xml:space="preserve">.1 Lesson </w:t>
      </w:r>
      <w:r w:rsidR="00D44F84">
        <w:t>1</w:t>
      </w:r>
      <w:r>
        <w:t>)</w:t>
      </w:r>
      <w:r w:rsidR="00C13DBC">
        <w:t xml:space="preserve"> (optional)</w:t>
      </w:r>
    </w:p>
    <w:p w14:paraId="32BB38D9" w14:textId="77777777" w:rsidR="00790BCC" w:rsidRDefault="00790BCC" w:rsidP="00D31F4D">
      <w:pPr>
        <w:pStyle w:val="Heading1"/>
      </w:pPr>
      <w:r w:rsidRPr="00790BCC">
        <w:t>Learning Sequence</w:t>
      </w:r>
    </w:p>
    <w:tbl>
      <w:tblPr>
        <w:tblStyle w:val="TableGrid1"/>
        <w:tblW w:w="94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94"/>
        <w:gridCol w:w="8556"/>
      </w:tblGrid>
      <w:tr w:rsidR="00D31F4D" w:rsidRPr="00D31F4D" w14:paraId="0A3D898F" w14:textId="77777777" w:rsidTr="00324CD9">
        <w:tc>
          <w:tcPr>
            <w:tcW w:w="9450" w:type="dxa"/>
            <w:gridSpan w:val="2"/>
            <w:shd w:val="clear" w:color="auto" w:fill="76923C"/>
          </w:tcPr>
          <w:p w14:paraId="5380AB6E" w14:textId="77777777" w:rsidR="00D31F4D" w:rsidRPr="00D31F4D" w:rsidRDefault="00D31F4D" w:rsidP="009450B7">
            <w:pPr>
              <w:pStyle w:val="TableHeaders"/>
            </w:pPr>
            <w:r w:rsidRPr="009450B7">
              <w:rPr>
                <w:sz w:val="22"/>
              </w:rPr>
              <w:t>How to Use the Learning Sequence</w:t>
            </w:r>
          </w:p>
        </w:tc>
      </w:tr>
      <w:tr w:rsidR="00D31F4D" w:rsidRPr="00D31F4D" w14:paraId="7F2A73EB" w14:textId="77777777" w:rsidTr="00324CD9">
        <w:tc>
          <w:tcPr>
            <w:tcW w:w="894" w:type="dxa"/>
            <w:shd w:val="clear" w:color="auto" w:fill="76923C"/>
          </w:tcPr>
          <w:p w14:paraId="75D2EA51" w14:textId="77777777" w:rsidR="00D31F4D" w:rsidRPr="009450B7" w:rsidRDefault="00D31F4D" w:rsidP="00D31F4D">
            <w:pPr>
              <w:pStyle w:val="TableHeaders"/>
              <w:rPr>
                <w:sz w:val="22"/>
              </w:rPr>
            </w:pPr>
            <w:r w:rsidRPr="009450B7">
              <w:rPr>
                <w:sz w:val="22"/>
              </w:rPr>
              <w:t>Symbol</w:t>
            </w:r>
          </w:p>
        </w:tc>
        <w:tc>
          <w:tcPr>
            <w:tcW w:w="8556" w:type="dxa"/>
            <w:shd w:val="clear" w:color="auto" w:fill="76923C"/>
          </w:tcPr>
          <w:p w14:paraId="37742E8C" w14:textId="77777777" w:rsidR="00D31F4D" w:rsidRPr="009450B7" w:rsidRDefault="00D31F4D" w:rsidP="00D31F4D">
            <w:pPr>
              <w:pStyle w:val="TableHeaders"/>
              <w:rPr>
                <w:sz w:val="22"/>
              </w:rPr>
            </w:pPr>
            <w:r w:rsidRPr="009450B7">
              <w:rPr>
                <w:sz w:val="22"/>
              </w:rPr>
              <w:t>Type of Text &amp; Interpretation of the Symbol</w:t>
            </w:r>
          </w:p>
        </w:tc>
      </w:tr>
      <w:tr w:rsidR="00D31F4D" w:rsidRPr="00D31F4D" w14:paraId="594D4B32" w14:textId="77777777" w:rsidTr="00324CD9">
        <w:tc>
          <w:tcPr>
            <w:tcW w:w="894" w:type="dxa"/>
          </w:tcPr>
          <w:p w14:paraId="1AADEE04" w14:textId="77777777" w:rsidR="00D31F4D" w:rsidRPr="00D31F4D" w:rsidRDefault="00D31F4D" w:rsidP="00D31F4D">
            <w:pPr>
              <w:spacing w:before="20" w:after="20" w:line="240" w:lineRule="auto"/>
              <w:jc w:val="center"/>
              <w:rPr>
                <w:b/>
                <w:color w:val="4F81BD"/>
              </w:rPr>
            </w:pPr>
            <w:r w:rsidRPr="00D31F4D">
              <w:rPr>
                <w:b/>
                <w:color w:val="4F81BD"/>
              </w:rPr>
              <w:t>10%</w:t>
            </w:r>
          </w:p>
        </w:tc>
        <w:tc>
          <w:tcPr>
            <w:tcW w:w="8556" w:type="dxa"/>
          </w:tcPr>
          <w:p w14:paraId="1D90DBCF" w14:textId="77777777" w:rsidR="00D31F4D" w:rsidRPr="00D31F4D" w:rsidRDefault="00D31F4D" w:rsidP="00D31F4D">
            <w:pPr>
              <w:spacing w:before="20" w:after="20" w:line="240" w:lineRule="auto"/>
              <w:rPr>
                <w:b/>
                <w:color w:val="4F81BD"/>
              </w:rPr>
            </w:pPr>
            <w:r w:rsidRPr="00D31F4D">
              <w:rPr>
                <w:b/>
                <w:color w:val="4F81BD"/>
              </w:rPr>
              <w:t>Percentage indicates the percentage of lesson time each activity should take.</w:t>
            </w:r>
          </w:p>
        </w:tc>
      </w:tr>
      <w:tr w:rsidR="00D31F4D" w:rsidRPr="00D31F4D" w14:paraId="3F488382" w14:textId="77777777" w:rsidTr="00324CD9">
        <w:tc>
          <w:tcPr>
            <w:tcW w:w="894" w:type="dxa"/>
            <w:vMerge w:val="restart"/>
            <w:vAlign w:val="center"/>
          </w:tcPr>
          <w:p w14:paraId="054AA372" w14:textId="77777777" w:rsidR="00D31F4D" w:rsidRPr="00D31F4D" w:rsidRDefault="00D31F4D" w:rsidP="00D31F4D">
            <w:pPr>
              <w:spacing w:before="20" w:after="20" w:line="240" w:lineRule="auto"/>
              <w:jc w:val="center"/>
              <w:rPr>
                <w:sz w:val="18"/>
              </w:rPr>
            </w:pPr>
            <w:r w:rsidRPr="00D31F4D">
              <w:rPr>
                <w:sz w:val="18"/>
              </w:rPr>
              <w:t>no symbol</w:t>
            </w:r>
          </w:p>
        </w:tc>
        <w:tc>
          <w:tcPr>
            <w:tcW w:w="8556" w:type="dxa"/>
          </w:tcPr>
          <w:p w14:paraId="1B6CFD92" w14:textId="77777777" w:rsidR="00D31F4D" w:rsidRPr="00D31F4D" w:rsidRDefault="00D31F4D" w:rsidP="00D31F4D">
            <w:pPr>
              <w:spacing w:before="20" w:after="20" w:line="240" w:lineRule="auto"/>
            </w:pPr>
            <w:r w:rsidRPr="00D31F4D">
              <w:t>Plain text indicates teacher action.</w:t>
            </w:r>
          </w:p>
        </w:tc>
      </w:tr>
      <w:tr w:rsidR="00D31F4D" w:rsidRPr="00D31F4D" w14:paraId="604BDF66" w14:textId="77777777" w:rsidTr="00324CD9">
        <w:tc>
          <w:tcPr>
            <w:tcW w:w="894" w:type="dxa"/>
            <w:vMerge/>
          </w:tcPr>
          <w:p w14:paraId="5BE9F847" w14:textId="77777777" w:rsidR="00D31F4D" w:rsidRPr="00D31F4D" w:rsidRDefault="00D31F4D" w:rsidP="00D31F4D">
            <w:pPr>
              <w:spacing w:before="20" w:after="20" w:line="240" w:lineRule="auto"/>
              <w:jc w:val="center"/>
              <w:rPr>
                <w:b/>
                <w:color w:val="000000"/>
              </w:rPr>
            </w:pPr>
          </w:p>
        </w:tc>
        <w:tc>
          <w:tcPr>
            <w:tcW w:w="8556" w:type="dxa"/>
          </w:tcPr>
          <w:p w14:paraId="39E6A4C5" w14:textId="77777777" w:rsidR="00D31F4D" w:rsidRPr="00D31F4D" w:rsidRDefault="00D31F4D" w:rsidP="00D31F4D">
            <w:pPr>
              <w:spacing w:before="20" w:after="20" w:line="240" w:lineRule="auto"/>
              <w:rPr>
                <w:color w:val="4F81BD"/>
              </w:rPr>
            </w:pPr>
            <w:r w:rsidRPr="00D31F4D">
              <w:rPr>
                <w:b/>
              </w:rPr>
              <w:t>Bold text indicates questions for the teacher to ask students.</w:t>
            </w:r>
          </w:p>
        </w:tc>
      </w:tr>
      <w:tr w:rsidR="00D31F4D" w:rsidRPr="00D31F4D" w14:paraId="1BF2967F" w14:textId="77777777" w:rsidTr="00324CD9">
        <w:tc>
          <w:tcPr>
            <w:tcW w:w="894" w:type="dxa"/>
            <w:vMerge/>
          </w:tcPr>
          <w:p w14:paraId="59C630FB" w14:textId="77777777" w:rsidR="00D31F4D" w:rsidRPr="00D31F4D" w:rsidRDefault="00D31F4D" w:rsidP="00D31F4D">
            <w:pPr>
              <w:spacing w:before="20" w:after="20" w:line="240" w:lineRule="auto"/>
              <w:jc w:val="center"/>
              <w:rPr>
                <w:b/>
                <w:color w:val="000000"/>
              </w:rPr>
            </w:pPr>
          </w:p>
        </w:tc>
        <w:tc>
          <w:tcPr>
            <w:tcW w:w="8556" w:type="dxa"/>
          </w:tcPr>
          <w:p w14:paraId="235200BA" w14:textId="77777777" w:rsidR="00D31F4D" w:rsidRPr="00D31F4D" w:rsidRDefault="00D31F4D" w:rsidP="00D31F4D">
            <w:pPr>
              <w:spacing w:before="20" w:after="20" w:line="240" w:lineRule="auto"/>
              <w:rPr>
                <w:i/>
              </w:rPr>
            </w:pPr>
            <w:r w:rsidRPr="00D31F4D">
              <w:rPr>
                <w:i/>
              </w:rPr>
              <w:t>Italicized text indicates a vocabulary word.</w:t>
            </w:r>
          </w:p>
        </w:tc>
      </w:tr>
      <w:tr w:rsidR="00D31F4D" w:rsidRPr="00D31F4D" w14:paraId="3F65E42A" w14:textId="77777777" w:rsidTr="00324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bottom"/>
          </w:tcPr>
          <w:p w14:paraId="44843F15" w14:textId="77777777" w:rsidR="00D31F4D" w:rsidRPr="00D31F4D" w:rsidRDefault="00D31F4D" w:rsidP="00D31F4D">
            <w:pPr>
              <w:spacing w:before="40" w:after="0" w:line="240" w:lineRule="auto"/>
              <w:jc w:val="center"/>
            </w:pPr>
            <w:r w:rsidRPr="00D31F4D">
              <w:sym w:font="Webdings" w:char="F034"/>
            </w:r>
          </w:p>
        </w:tc>
        <w:tc>
          <w:tcPr>
            <w:tcW w:w="8556" w:type="dxa"/>
          </w:tcPr>
          <w:p w14:paraId="2074E445" w14:textId="77777777" w:rsidR="00D31F4D" w:rsidRPr="00D31F4D" w:rsidRDefault="00D31F4D" w:rsidP="00D31F4D">
            <w:pPr>
              <w:spacing w:before="20" w:after="20" w:line="240" w:lineRule="auto"/>
            </w:pPr>
            <w:r w:rsidRPr="00D31F4D">
              <w:t>Indicates student action(s).</w:t>
            </w:r>
          </w:p>
        </w:tc>
      </w:tr>
      <w:tr w:rsidR="00D31F4D" w:rsidRPr="00D31F4D" w14:paraId="10F3AB87" w14:textId="77777777" w:rsidTr="00324C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894" w:type="dxa"/>
            <w:vAlign w:val="center"/>
          </w:tcPr>
          <w:p w14:paraId="42EEE278" w14:textId="77777777" w:rsidR="00D31F4D" w:rsidRPr="00D31F4D" w:rsidRDefault="00D31F4D" w:rsidP="00D31F4D">
            <w:pPr>
              <w:spacing w:before="80" w:after="0" w:line="240" w:lineRule="auto"/>
              <w:jc w:val="center"/>
            </w:pPr>
            <w:r w:rsidRPr="00D31F4D">
              <w:sym w:font="Webdings" w:char="F028"/>
            </w:r>
          </w:p>
        </w:tc>
        <w:tc>
          <w:tcPr>
            <w:tcW w:w="8556" w:type="dxa"/>
          </w:tcPr>
          <w:p w14:paraId="6172ECCF" w14:textId="77777777" w:rsidR="00D31F4D" w:rsidRPr="00D31F4D" w:rsidRDefault="00D31F4D" w:rsidP="00D31F4D">
            <w:pPr>
              <w:spacing w:before="20" w:after="20" w:line="240" w:lineRule="auto"/>
            </w:pPr>
            <w:r w:rsidRPr="00D31F4D">
              <w:t>Indicates possible student response(s) to teacher questions.</w:t>
            </w:r>
          </w:p>
        </w:tc>
      </w:tr>
      <w:tr w:rsidR="00D31F4D" w:rsidRPr="00D31F4D" w14:paraId="12E1FF7B" w14:textId="77777777" w:rsidTr="00324CD9">
        <w:tc>
          <w:tcPr>
            <w:tcW w:w="894" w:type="dxa"/>
            <w:vAlign w:val="bottom"/>
          </w:tcPr>
          <w:p w14:paraId="6F0803DA" w14:textId="77777777" w:rsidR="00D31F4D" w:rsidRPr="00D31F4D" w:rsidRDefault="00D31F4D" w:rsidP="00D31F4D">
            <w:pPr>
              <w:spacing w:after="0" w:line="240" w:lineRule="auto"/>
              <w:jc w:val="center"/>
              <w:rPr>
                <w:color w:val="4F81BD"/>
              </w:rPr>
            </w:pPr>
            <w:r w:rsidRPr="00D31F4D">
              <w:rPr>
                <w:color w:val="4F81BD"/>
              </w:rPr>
              <w:sym w:font="Webdings" w:char="F069"/>
            </w:r>
          </w:p>
        </w:tc>
        <w:tc>
          <w:tcPr>
            <w:tcW w:w="8556" w:type="dxa"/>
          </w:tcPr>
          <w:p w14:paraId="2188A9AC" w14:textId="77777777" w:rsidR="00D31F4D" w:rsidRPr="00D31F4D" w:rsidRDefault="00D31F4D" w:rsidP="00D31F4D">
            <w:pPr>
              <w:spacing w:before="20" w:after="20" w:line="240" w:lineRule="auto"/>
              <w:rPr>
                <w:color w:val="4F81BD"/>
              </w:rPr>
            </w:pPr>
            <w:r w:rsidRPr="00D31F4D">
              <w:rPr>
                <w:color w:val="4F81BD"/>
              </w:rPr>
              <w:t>Indicates instructional notes for the teacher.</w:t>
            </w:r>
          </w:p>
        </w:tc>
      </w:tr>
    </w:tbl>
    <w:p w14:paraId="0312DCEA" w14:textId="77777777" w:rsidR="00790BCC" w:rsidRPr="00790BCC" w:rsidRDefault="00790BCC" w:rsidP="00324CD9">
      <w:pPr>
        <w:pStyle w:val="LearningSequenceHeader"/>
      </w:pPr>
      <w:r w:rsidRPr="00790BCC">
        <w:t>Activity 1: Introduction of Lesson Agenda</w:t>
      </w:r>
      <w:r w:rsidRPr="00790BCC">
        <w:tab/>
        <w:t>5%</w:t>
      </w:r>
    </w:p>
    <w:p w14:paraId="05B1BE93" w14:textId="06B10FA3" w:rsidR="00853741" w:rsidRPr="003B302D" w:rsidRDefault="00853741" w:rsidP="00853741">
      <w:pPr>
        <w:pStyle w:val="TA"/>
      </w:pPr>
      <w:r w:rsidRPr="00FE6EC9">
        <w:t>Begin by reviewing the agenda and the assessed stan</w:t>
      </w:r>
      <w:r w:rsidR="00937AC7">
        <w:t>dard for this lesson: RI.11-12.3</w:t>
      </w:r>
      <w:r w:rsidRPr="00FE6EC9">
        <w:t xml:space="preserve">. In this lesson, students </w:t>
      </w:r>
      <w:r w:rsidR="00B1415D">
        <w:t>analyze</w:t>
      </w:r>
      <w:r w:rsidRPr="00FE6EC9">
        <w:t xml:space="preserve"> how </w:t>
      </w:r>
      <w:r w:rsidR="00937AC7">
        <w:t>the ideas in t</w:t>
      </w:r>
      <w:r w:rsidR="00B1415D">
        <w:t>his excerpt</w:t>
      </w:r>
      <w:r w:rsidR="00937AC7">
        <w:t xml:space="preserve"> develop</w:t>
      </w:r>
      <w:r w:rsidR="00B1415D">
        <w:t xml:space="preserve"> the concept of</w:t>
      </w:r>
      <w:r w:rsidR="00937AC7">
        <w:t xml:space="preserve"> society’s receptivity to innovation</w:t>
      </w:r>
      <w:r w:rsidRPr="00FE6EC9">
        <w:t>. Additionally, students continue t</w:t>
      </w:r>
      <w:r w:rsidR="00FE6EC9" w:rsidRPr="00FE6EC9">
        <w:t>o surface issues from the text and pose inquiry questions</w:t>
      </w:r>
      <w:r w:rsidR="00B1415D">
        <w:t xml:space="preserve"> as part of the research process. </w:t>
      </w:r>
    </w:p>
    <w:p w14:paraId="0EE8BE69" w14:textId="4FA7E4A4" w:rsidR="00853741" w:rsidRPr="000B2D56" w:rsidRDefault="008C2E1B" w:rsidP="00853741">
      <w:pPr>
        <w:pStyle w:val="SA"/>
        <w:numPr>
          <w:ilvl w:val="0"/>
          <w:numId w:val="8"/>
        </w:numPr>
        <w:rPr>
          <w:rFonts w:asciiTheme="minorHAnsi" w:hAnsiTheme="minorHAnsi"/>
        </w:rPr>
      </w:pPr>
      <w:r>
        <w:t>Students look at the agenda</w:t>
      </w:r>
      <w:r w:rsidR="00853741">
        <w:t>.</w:t>
      </w:r>
    </w:p>
    <w:p w14:paraId="11DD84AD" w14:textId="0EA3305A" w:rsidR="00790BCC" w:rsidRPr="00790BCC" w:rsidRDefault="00790BCC" w:rsidP="00324CD9">
      <w:pPr>
        <w:pStyle w:val="LearningSequenceHeader"/>
        <w:keepNext/>
      </w:pPr>
      <w:r w:rsidRPr="00790BCC">
        <w:lastRenderedPageBreak/>
        <w:t>Activity 2: Homework Accountability</w:t>
      </w:r>
      <w:r w:rsidRPr="00790BCC">
        <w:tab/>
        <w:t>1</w:t>
      </w:r>
      <w:r w:rsidR="00520E70">
        <w:t>5</w:t>
      </w:r>
      <w:r w:rsidRPr="00790BCC">
        <w:t>%</w:t>
      </w:r>
    </w:p>
    <w:p w14:paraId="7A379076" w14:textId="60EBCC7D" w:rsidR="00D33DA7" w:rsidRDefault="00D33DA7" w:rsidP="00D33DA7">
      <w:pPr>
        <w:pStyle w:val="TA"/>
      </w:pPr>
      <w:r>
        <w:t xml:space="preserve">Instruct students to take out their responses to the </w:t>
      </w:r>
      <w:r w:rsidR="00BA6DE0">
        <w:t xml:space="preserve">first part of the </w:t>
      </w:r>
      <w:r w:rsidRPr="003870EB">
        <w:t xml:space="preserve">previous lesson’s homework assignment. (Read and annotate pages </w:t>
      </w:r>
      <w:r w:rsidR="00D33A43" w:rsidRPr="003870EB">
        <w:t>237</w:t>
      </w:r>
      <w:r w:rsidR="00A34D4F">
        <w:t>–</w:t>
      </w:r>
      <w:r w:rsidR="00D33A43" w:rsidRPr="003870EB">
        <w:t xml:space="preserve">243 of </w:t>
      </w:r>
      <w:r w:rsidR="00D33A43" w:rsidRPr="003870EB">
        <w:rPr>
          <w:i/>
        </w:rPr>
        <w:t>Guns, Germs, and Steel</w:t>
      </w:r>
      <w:r w:rsidRPr="006360CD">
        <w:rPr>
          <w:color w:val="000000" w:themeColor="text1"/>
        </w:rPr>
        <w:t>.</w:t>
      </w:r>
      <w:r>
        <w:t>) Instruct students to form pairs to discuss their responses.</w:t>
      </w:r>
    </w:p>
    <w:p w14:paraId="6DBBFBC8" w14:textId="10CE4DA4" w:rsidR="00D33DA7" w:rsidRDefault="00D33DA7" w:rsidP="00D33DA7">
      <w:pPr>
        <w:pStyle w:val="SR"/>
        <w:numPr>
          <w:ilvl w:val="0"/>
          <w:numId w:val="28"/>
        </w:numPr>
        <w:ind w:left="720"/>
      </w:pPr>
      <w:r>
        <w:t>Student annotation may include:</w:t>
      </w:r>
    </w:p>
    <w:p w14:paraId="105016F2" w14:textId="76F20ABF" w:rsidR="00D33DA7" w:rsidRPr="00E3183B" w:rsidRDefault="00D33DA7" w:rsidP="00D33DA7">
      <w:pPr>
        <w:pStyle w:val="SASRBullet"/>
        <w:numPr>
          <w:ilvl w:val="1"/>
          <w:numId w:val="29"/>
        </w:numPr>
        <w:ind w:left="1080"/>
      </w:pPr>
      <w:r w:rsidRPr="00E3183B">
        <w:t>Exclamation point by the phrase “</w:t>
      </w:r>
      <w:r w:rsidR="00E3183B" w:rsidRPr="00E3183B">
        <w:t>Throughout history, war has often been a leading stimulant of technological innovation</w:t>
      </w:r>
      <w:r w:rsidRPr="00E3183B">
        <w:t xml:space="preserve">” (p. </w:t>
      </w:r>
      <w:r w:rsidR="00E3183B" w:rsidRPr="00E3183B">
        <w:t>240</w:t>
      </w:r>
      <w:r w:rsidRPr="00E3183B">
        <w:t>)</w:t>
      </w:r>
      <w:r w:rsidR="003755EA">
        <w:t>,</w:t>
      </w:r>
      <w:r w:rsidRPr="00E3183B">
        <w:t xml:space="preserve"> because</w:t>
      </w:r>
      <w:r w:rsidR="00E3183B" w:rsidRPr="00E3183B">
        <w:t xml:space="preserve"> it </w:t>
      </w:r>
      <w:r w:rsidR="00797D35">
        <w:t>i</w:t>
      </w:r>
      <w:r w:rsidR="00E3183B" w:rsidRPr="00E3183B">
        <w:t xml:space="preserve">s surprising that innovation can be stimulated by devastation. </w:t>
      </w:r>
    </w:p>
    <w:p w14:paraId="6B8CFC35" w14:textId="2CC5D4B5" w:rsidR="00D33DA7" w:rsidRPr="00BD7D8C" w:rsidRDefault="00BD7D8C" w:rsidP="00D33DA7">
      <w:pPr>
        <w:pStyle w:val="SASRBullet"/>
        <w:numPr>
          <w:ilvl w:val="1"/>
          <w:numId w:val="29"/>
        </w:numPr>
        <w:ind w:left="1080"/>
      </w:pPr>
      <w:r w:rsidRPr="00BD7D8C">
        <w:t xml:space="preserve">Numbers next to </w:t>
      </w:r>
      <w:r w:rsidR="00D33DA7" w:rsidRPr="00BD7D8C">
        <w:t>“</w:t>
      </w:r>
      <w:r w:rsidRPr="00BD7D8C">
        <w:t xml:space="preserve">relative economic advantage compared with existing technology” </w:t>
      </w:r>
      <w:r w:rsidR="0085226C">
        <w:br/>
      </w:r>
      <w:r w:rsidRPr="00BD7D8C">
        <w:t>(p. 237); “social value and prestige” (p. 237); “compatibility with vested interests” (p. 237); and “the ease with which their advantages can be observed” (p. 238). These</w:t>
      </w:r>
      <w:r w:rsidR="0055486D">
        <w:t xml:space="preserve"> numbers</w:t>
      </w:r>
      <w:r w:rsidRPr="00BD7D8C">
        <w:t xml:space="preserve"> are the factors that influence the acceptance of a specific techno</w:t>
      </w:r>
      <w:r w:rsidR="00797D35">
        <w:t>logy</w:t>
      </w:r>
      <w:r w:rsidRPr="00BD7D8C">
        <w:t xml:space="preserve"> </w:t>
      </w:r>
      <w:r w:rsidR="005936C1">
        <w:t>within</w:t>
      </w:r>
      <w:r w:rsidRPr="00BD7D8C">
        <w:t xml:space="preserve"> a society. </w:t>
      </w:r>
    </w:p>
    <w:p w14:paraId="154FB085" w14:textId="470EEE1E" w:rsidR="00D33DA7" w:rsidRPr="00BD7D8C" w:rsidRDefault="00D33DA7" w:rsidP="00D33DA7">
      <w:pPr>
        <w:pStyle w:val="SASRBullet"/>
        <w:numPr>
          <w:ilvl w:val="1"/>
          <w:numId w:val="29"/>
        </w:numPr>
        <w:ind w:left="1080"/>
      </w:pPr>
      <w:r w:rsidRPr="00BD7D8C">
        <w:t>Star next to “</w:t>
      </w:r>
      <w:r w:rsidR="00BD7D8C" w:rsidRPr="00BD7D8C">
        <w:t>Thus it is untrue that there are continents whose societies have tended to be innovative and continents whose societies have tended to be conservative” (p. 243</w:t>
      </w:r>
      <w:r w:rsidRPr="00BD7D8C">
        <w:t>)</w:t>
      </w:r>
      <w:r w:rsidR="00BA6DE0">
        <w:t>. T</w:t>
      </w:r>
      <w:r w:rsidR="00104E73">
        <w:t xml:space="preserve">his claim </w:t>
      </w:r>
      <w:r w:rsidR="004A6AD5">
        <w:t xml:space="preserve">supports Diamond’s ideas that “at any particular time, some proportion of societies is likely to be innovative” </w:t>
      </w:r>
      <w:r w:rsidR="00104E73">
        <w:t>(p. 24</w:t>
      </w:r>
      <w:r w:rsidR="004A6AD5">
        <w:t>3</w:t>
      </w:r>
      <w:r w:rsidR="00104E73">
        <w:t>).</w:t>
      </w:r>
    </w:p>
    <w:p w14:paraId="2D16D9CF" w14:textId="77777777" w:rsidR="00D33DA7" w:rsidRDefault="00D33DA7" w:rsidP="00D33DA7">
      <w:pPr>
        <w:pStyle w:val="BR"/>
      </w:pPr>
    </w:p>
    <w:p w14:paraId="60AEAB45" w14:textId="22D1D8A1" w:rsidR="00D33DA7" w:rsidRDefault="00D33DA7" w:rsidP="00D33DA7">
      <w:pPr>
        <w:pStyle w:val="TA"/>
      </w:pPr>
      <w:r>
        <w:t>Instruct student pairs to share and discuss the vocabulary words they identified and defined in the previous lesson’s homework</w:t>
      </w:r>
      <w:r w:rsidR="002640D0">
        <w:t xml:space="preserve"> </w:t>
      </w:r>
      <w:r w:rsidR="002640D0" w:rsidRPr="00D4442B">
        <w:rPr>
          <w:color w:val="4F81BD" w:themeColor="accent1"/>
        </w:rPr>
        <w:t>(L.11-12.4.c)</w:t>
      </w:r>
      <w:r w:rsidR="0085226C" w:rsidRPr="006360CD">
        <w:t>.</w:t>
      </w:r>
    </w:p>
    <w:p w14:paraId="27ED6470" w14:textId="67706942" w:rsidR="00D33DA7" w:rsidRPr="008D000C" w:rsidRDefault="00D33DA7" w:rsidP="00D33DA7">
      <w:pPr>
        <w:pStyle w:val="SR"/>
        <w:numPr>
          <w:ilvl w:val="0"/>
          <w:numId w:val="28"/>
        </w:numPr>
        <w:ind w:left="720"/>
      </w:pPr>
      <w:r w:rsidRPr="008D000C">
        <w:t xml:space="preserve">Students may identify the following words: </w:t>
      </w:r>
      <w:r w:rsidR="003B5914" w:rsidRPr="00437178">
        <w:rPr>
          <w:i/>
        </w:rPr>
        <w:t>prestige</w:t>
      </w:r>
      <w:r w:rsidR="003B5914">
        <w:t xml:space="preserve">, </w:t>
      </w:r>
      <w:r w:rsidR="008D000C" w:rsidRPr="00E47F9C">
        <w:rPr>
          <w:i/>
        </w:rPr>
        <w:t>cachet</w:t>
      </w:r>
      <w:r w:rsidR="008D000C" w:rsidRPr="008D000C">
        <w:t xml:space="preserve">, </w:t>
      </w:r>
      <w:r w:rsidR="003B5914" w:rsidRPr="00437178">
        <w:rPr>
          <w:i/>
        </w:rPr>
        <w:t>vested</w:t>
      </w:r>
      <w:r w:rsidR="00D255CA" w:rsidRPr="00437178">
        <w:rPr>
          <w:i/>
        </w:rPr>
        <w:t xml:space="preserve"> interests</w:t>
      </w:r>
      <w:r w:rsidR="003B5914">
        <w:t xml:space="preserve">, </w:t>
      </w:r>
      <w:r w:rsidR="00AC13B6" w:rsidRPr="008D000C">
        <w:rPr>
          <w:i/>
        </w:rPr>
        <w:t xml:space="preserve">perverse, </w:t>
      </w:r>
      <w:r w:rsidR="003B5914">
        <w:rPr>
          <w:i/>
        </w:rPr>
        <w:t xml:space="preserve">uniformly, </w:t>
      </w:r>
      <w:r w:rsidR="008D000C" w:rsidRPr="008D000C">
        <w:rPr>
          <w:i/>
        </w:rPr>
        <w:t xml:space="preserve">ideological, </w:t>
      </w:r>
      <w:r w:rsidR="0085226C">
        <w:rPr>
          <w:i/>
        </w:rPr>
        <w:t xml:space="preserve">heretics, </w:t>
      </w:r>
      <w:r w:rsidR="003B5914">
        <w:rPr>
          <w:i/>
        </w:rPr>
        <w:t xml:space="preserve">stifles, plausible, </w:t>
      </w:r>
      <w:r w:rsidR="008D000C" w:rsidRPr="008D000C">
        <w:rPr>
          <w:i/>
        </w:rPr>
        <w:t xml:space="preserve">benign, </w:t>
      </w:r>
      <w:r w:rsidR="00AC13B6" w:rsidRPr="008D000C">
        <w:rPr>
          <w:i/>
        </w:rPr>
        <w:t>tacitly</w:t>
      </w:r>
      <w:r w:rsidR="008D000C" w:rsidRPr="008D000C">
        <w:rPr>
          <w:i/>
        </w:rPr>
        <w:t xml:space="preserve">, </w:t>
      </w:r>
      <w:r w:rsidR="003B5914">
        <w:rPr>
          <w:i/>
        </w:rPr>
        <w:t xml:space="preserve">speculation, prevalent, </w:t>
      </w:r>
      <w:r w:rsidR="003B5914">
        <w:t xml:space="preserve">and </w:t>
      </w:r>
      <w:r w:rsidR="008D000C" w:rsidRPr="008D000C">
        <w:rPr>
          <w:i/>
        </w:rPr>
        <w:t>myriad</w:t>
      </w:r>
      <w:r w:rsidR="003B5914">
        <w:rPr>
          <w:i/>
        </w:rPr>
        <w:t>.</w:t>
      </w:r>
    </w:p>
    <w:p w14:paraId="5932E584" w14:textId="1BE414DA" w:rsidR="00D33DA7" w:rsidRPr="008D000C" w:rsidRDefault="00D33DA7" w:rsidP="00D33DA7">
      <w:pPr>
        <w:pStyle w:val="IN"/>
        <w:numPr>
          <w:ilvl w:val="0"/>
          <w:numId w:val="30"/>
        </w:numPr>
        <w:ind w:left="360"/>
      </w:pPr>
      <w:r w:rsidRPr="008D000C">
        <w:rPr>
          <w:b/>
        </w:rPr>
        <w:t>Differentiation Consideration:</w:t>
      </w:r>
      <w:r w:rsidRPr="008D000C">
        <w:t xml:space="preserve"> Students may also identify the following words: </w:t>
      </w:r>
      <w:r w:rsidR="008D000C" w:rsidRPr="008D000C">
        <w:rPr>
          <w:i/>
        </w:rPr>
        <w:t>cumbersome</w:t>
      </w:r>
      <w:r w:rsidR="008D000C" w:rsidRPr="008D000C">
        <w:t xml:space="preserve">, </w:t>
      </w:r>
      <w:r w:rsidR="00AC13B6" w:rsidRPr="008D000C">
        <w:rPr>
          <w:i/>
        </w:rPr>
        <w:t>porters, counterproductive, entrenched,</w:t>
      </w:r>
      <w:r w:rsidR="005906D0">
        <w:rPr>
          <w:i/>
        </w:rPr>
        <w:t xml:space="preserve"> </w:t>
      </w:r>
      <w:r w:rsidR="005906D0" w:rsidRPr="00437178">
        <w:t>and</w:t>
      </w:r>
      <w:r w:rsidR="00AC13B6" w:rsidRPr="008D000C">
        <w:rPr>
          <w:i/>
        </w:rPr>
        <w:t xml:space="preserve"> laundry list.</w:t>
      </w:r>
    </w:p>
    <w:p w14:paraId="109BE813" w14:textId="77777777" w:rsidR="00925CF2" w:rsidRDefault="00D33DA7" w:rsidP="00B70723">
      <w:pPr>
        <w:pStyle w:val="IN"/>
        <w:numPr>
          <w:ilvl w:val="0"/>
          <w:numId w:val="30"/>
        </w:numPr>
        <w:ind w:left="360"/>
      </w:pPr>
      <w:r>
        <w:t>Definitions are provided in the Vocabulary box in this lesson.</w:t>
      </w:r>
    </w:p>
    <w:p w14:paraId="1AD1A70E" w14:textId="77777777" w:rsidR="002C01C8" w:rsidRDefault="002C01C8" w:rsidP="002C01C8">
      <w:pPr>
        <w:pStyle w:val="BR"/>
      </w:pPr>
    </w:p>
    <w:p w14:paraId="78027C81" w14:textId="1EC190DF" w:rsidR="002C01C8" w:rsidRDefault="00C13DBC" w:rsidP="002C01C8">
      <w:pPr>
        <w:pStyle w:val="TA"/>
      </w:pPr>
      <w:r>
        <w:t xml:space="preserve">Instruct students to take out their responses to the </w:t>
      </w:r>
      <w:r w:rsidR="00BA6DE0">
        <w:t xml:space="preserve">second part of the </w:t>
      </w:r>
      <w:r w:rsidRPr="003870EB">
        <w:t xml:space="preserve">previous lesson’s homework assignment. </w:t>
      </w:r>
      <w:r w:rsidR="00BA6DE0">
        <w:t>(C</w:t>
      </w:r>
      <w:r w:rsidR="00BA6DE0" w:rsidRPr="00CD111C">
        <w:t>ontinue to surface possible research issues and pose inquiry questions</w:t>
      </w:r>
      <w:r w:rsidR="00BA6DE0">
        <w:t xml:space="preserve"> </w:t>
      </w:r>
      <w:r w:rsidR="00BA6DE0" w:rsidRPr="00CD111C">
        <w:t>as you read and analyze the text.</w:t>
      </w:r>
      <w:r w:rsidR="00BA6DE0">
        <w:t xml:space="preserve">) </w:t>
      </w:r>
      <w:r w:rsidR="002C01C8">
        <w:t>Instruct student pairs to share and discuss surfaced issues and potential inquiry questions.</w:t>
      </w:r>
    </w:p>
    <w:p w14:paraId="126F5874" w14:textId="5E8301D6" w:rsidR="002C01C8" w:rsidRDefault="002C01C8" w:rsidP="002C01C8">
      <w:pPr>
        <w:pStyle w:val="SR"/>
      </w:pPr>
      <w:r>
        <w:t>Student responses may include:</w:t>
      </w:r>
    </w:p>
    <w:p w14:paraId="54A109B8" w14:textId="50DB2EB5" w:rsidR="002C01C8" w:rsidRDefault="002C01C8" w:rsidP="002C01C8">
      <w:pPr>
        <w:pStyle w:val="SASRBullet"/>
      </w:pPr>
      <w:r w:rsidRPr="00AE1446">
        <w:rPr>
          <w:b/>
        </w:rPr>
        <w:lastRenderedPageBreak/>
        <w:t>Surfaced issues:</w:t>
      </w:r>
      <w:r>
        <w:t xml:space="preserve"> </w:t>
      </w:r>
      <w:r w:rsidR="00D23808">
        <w:t>P</w:t>
      </w:r>
      <w:r>
        <w:t xml:space="preserve">restige of designer products; government regulation of new technologies; cheap slave labor or low-wage labor; </w:t>
      </w:r>
      <w:r w:rsidR="00BA6DE0">
        <w:t>i</w:t>
      </w:r>
      <w:r w:rsidR="00E55606" w:rsidRPr="00437178">
        <w:t>mmigration regulation</w:t>
      </w:r>
      <w:r w:rsidR="00E55606">
        <w:t xml:space="preserve"> and its effects on innovation</w:t>
      </w:r>
      <w:r>
        <w:t>; patent law; capitalism; entrepreneurial, risk-taking behavior; religion; war; strong, centralized government; scarcity of environmental resources; conservative outlook</w:t>
      </w:r>
      <w:r w:rsidR="00E55606">
        <w:t xml:space="preserve"> to innovation</w:t>
      </w:r>
      <w:r>
        <w:t xml:space="preserve">. </w:t>
      </w:r>
    </w:p>
    <w:p w14:paraId="14040631" w14:textId="30B2F1C6" w:rsidR="007C7E8F" w:rsidRDefault="002C01C8" w:rsidP="00437178">
      <w:pPr>
        <w:pStyle w:val="SASRBullet"/>
      </w:pPr>
      <w:r w:rsidRPr="007C7E8F">
        <w:rPr>
          <w:b/>
        </w:rPr>
        <w:t>Potential inquiry questions:</w:t>
      </w:r>
      <w:r>
        <w:t xml:space="preserve"> </w:t>
      </w:r>
      <w:r w:rsidR="00031098">
        <w:t xml:space="preserve">How does government regulation of an industry impact the </w:t>
      </w:r>
      <w:r w:rsidR="00104E73">
        <w:t>financial success of businesses in the industry</w:t>
      </w:r>
      <w:r w:rsidR="00344111">
        <w:t>?</w:t>
      </w:r>
      <w:r w:rsidR="00031098">
        <w:t>; To what degree should a business rely on low-</w:t>
      </w:r>
      <w:r w:rsidR="002B793F">
        <w:t>wage labor to increase profit?; How does regulation of immigrant workers impact the agricultur</w:t>
      </w:r>
      <w:r w:rsidR="00B36A7A">
        <w:t>al</w:t>
      </w:r>
      <w:r w:rsidR="002B793F">
        <w:t xml:space="preserve"> economy?; </w:t>
      </w:r>
      <w:r w:rsidR="00993AB3">
        <w:t xml:space="preserve">How do patent laws </w:t>
      </w:r>
      <w:r w:rsidR="002B793F">
        <w:t xml:space="preserve">encourage innovation?; What political structure is the best for stimulating economic growth?; How does a society encourage entrepreneurial, risk-taking behaviors safely?; How do religious views impact economic decisions?; How does war stimulate innovation?; What size government is best for a healthy economy?; What responsibility does the government have to replenish or regulate scarce environmental resources?; When is a conservative outlook </w:t>
      </w:r>
      <w:r w:rsidR="00CD30FE">
        <w:t xml:space="preserve">to innovation </w:t>
      </w:r>
      <w:r w:rsidR="002B793F">
        <w:t>a benefit?</w:t>
      </w:r>
      <w:r w:rsidR="00031098">
        <w:t xml:space="preserve"> </w:t>
      </w:r>
    </w:p>
    <w:p w14:paraId="7177C51C" w14:textId="0D0AA4A3" w:rsidR="002C01C8" w:rsidRPr="00B70723" w:rsidRDefault="002C01C8" w:rsidP="00437178">
      <w:pPr>
        <w:pStyle w:val="IN"/>
      </w:pPr>
      <w:r>
        <w:t>See</w:t>
      </w:r>
      <w:r w:rsidR="00B36A7A">
        <w:t xml:space="preserve"> the</w:t>
      </w:r>
      <w:r>
        <w:t xml:space="preserve"> Model Surfacing Issues Tool at the end of this lesson for more detail</w:t>
      </w:r>
      <w:r w:rsidR="00AE33A1">
        <w:t>s</w:t>
      </w:r>
      <w:r>
        <w:t xml:space="preserve"> regarding surfaced issues. </w:t>
      </w:r>
    </w:p>
    <w:p w14:paraId="4822E2B0" w14:textId="61023743" w:rsidR="002E173F" w:rsidRDefault="00790BCC" w:rsidP="00513545">
      <w:pPr>
        <w:pStyle w:val="LearningSequenceHeader"/>
      </w:pPr>
      <w:r w:rsidRPr="00790BCC">
        <w:t xml:space="preserve">Activity 3: </w:t>
      </w:r>
      <w:r w:rsidR="00B70723">
        <w:t xml:space="preserve">Reading and Discussion </w:t>
      </w:r>
      <w:r w:rsidRPr="00790BCC">
        <w:tab/>
      </w:r>
      <w:r w:rsidR="00390CCE">
        <w:t>6</w:t>
      </w:r>
      <w:r w:rsidR="00520E70">
        <w:t>0</w:t>
      </w:r>
      <w:r w:rsidRPr="00790BCC">
        <w:t>%</w:t>
      </w:r>
    </w:p>
    <w:p w14:paraId="149B8EFC" w14:textId="039BA5A2" w:rsidR="00427FBA" w:rsidRDefault="00427FBA" w:rsidP="00427FBA">
      <w:pPr>
        <w:pStyle w:val="TA"/>
      </w:pPr>
      <w:r w:rsidRPr="00B9725A">
        <w:t>Instruct students to form pairs</w:t>
      </w:r>
      <w:r>
        <w:t>.</w:t>
      </w:r>
      <w:r w:rsidRPr="00B9725A">
        <w:t xml:space="preserve"> Post or project each set of questio</w:t>
      </w:r>
      <w:r>
        <w:t>ns below for students to discuss. Instruct students to continue to annotate the text as they read and discuss</w:t>
      </w:r>
      <w:r w:rsidR="00D65E5C">
        <w:t xml:space="preserve"> </w:t>
      </w:r>
      <w:r w:rsidR="00D65E5C" w:rsidRPr="00D4442B">
        <w:rPr>
          <w:color w:val="4F81BD" w:themeColor="accent1"/>
        </w:rPr>
        <w:t>(W.11-12.9.b)</w:t>
      </w:r>
      <w:r w:rsidRPr="006360CD">
        <w:t>.</w:t>
      </w:r>
    </w:p>
    <w:p w14:paraId="767EC978" w14:textId="77777777" w:rsidR="008B6065" w:rsidRDefault="008B6065" w:rsidP="008B6065">
      <w:pPr>
        <w:pStyle w:val="TA"/>
      </w:pPr>
      <w:r>
        <w:t xml:space="preserve">Remind students to continue the research process by surfacing issues and identifying potential inquiry questions as they read and analyze the text. </w:t>
      </w:r>
    </w:p>
    <w:p w14:paraId="5B091BC2" w14:textId="198C0BF0" w:rsidR="008B6065" w:rsidRDefault="008B6065" w:rsidP="00EB1CA8">
      <w:pPr>
        <w:pStyle w:val="IN"/>
      </w:pPr>
      <w:r w:rsidRPr="00437178">
        <w:rPr>
          <w:b/>
        </w:rPr>
        <w:t>Differentiation Consideration:</w:t>
      </w:r>
      <w:r w:rsidR="00EB1CA8">
        <w:rPr>
          <w:b/>
        </w:rPr>
        <w:t xml:space="preserve"> </w:t>
      </w:r>
      <w:r w:rsidR="00EB1CA8" w:rsidRPr="00EB1CA8">
        <w:t>For additional support, consider providing students with copies of the Surfacing Issues Tool</w:t>
      </w:r>
      <w:r w:rsidRPr="00EB1CA8">
        <w:t xml:space="preserve">. </w:t>
      </w:r>
    </w:p>
    <w:p w14:paraId="12B5851C" w14:textId="2D08BE9A" w:rsidR="00427FBA" w:rsidRDefault="00427FBA" w:rsidP="008B6065">
      <w:pPr>
        <w:pStyle w:val="IN"/>
      </w:pPr>
      <w:r>
        <w:t xml:space="preserve">If necessary to support comprehension and fluency, consider using a masterful reading of the focus excerpt for the lesson. </w:t>
      </w:r>
    </w:p>
    <w:p w14:paraId="0DC5261A" w14:textId="4384EDB7" w:rsidR="001707FF" w:rsidRDefault="001707FF" w:rsidP="001707FF">
      <w:pPr>
        <w:pStyle w:val="IN"/>
      </w:pPr>
      <w:r>
        <w:rPr>
          <w:b/>
        </w:rPr>
        <w:t>Differentiation Consideration</w:t>
      </w:r>
      <w:r>
        <w:t>: Consider posting or projecting the following guiding question to support students in their reading throughout th</w:t>
      </w:r>
      <w:r w:rsidR="002F5B14">
        <w:t>is</w:t>
      </w:r>
      <w:r>
        <w:t xml:space="preserve"> lesson:</w:t>
      </w:r>
    </w:p>
    <w:p w14:paraId="67393537" w14:textId="6D88E1D8" w:rsidR="00427FBA" w:rsidRDefault="00AA50EC" w:rsidP="006360CD">
      <w:pPr>
        <w:pStyle w:val="DCwithQ"/>
      </w:pPr>
      <w:r>
        <w:t>For what reasons</w:t>
      </w:r>
      <w:r w:rsidRPr="005249FD">
        <w:t xml:space="preserve"> </w:t>
      </w:r>
      <w:r w:rsidR="001707FF" w:rsidRPr="005249FD">
        <w:t xml:space="preserve">do different </w:t>
      </w:r>
      <w:r w:rsidR="001707FF">
        <w:t>societies</w:t>
      </w:r>
      <w:r w:rsidR="001707FF" w:rsidRPr="005249FD">
        <w:t xml:space="preserve"> adopt technology?</w:t>
      </w:r>
    </w:p>
    <w:p w14:paraId="261FD357" w14:textId="1A04C442" w:rsidR="00427FBA" w:rsidRDefault="00427FBA" w:rsidP="00427FBA">
      <w:pPr>
        <w:pStyle w:val="TA"/>
      </w:pPr>
      <w:r>
        <w:t>Instruct student pairs to read pages 237</w:t>
      </w:r>
      <w:r w:rsidR="00AA1258">
        <w:t>–</w:t>
      </w:r>
      <w:r>
        <w:t>241 (</w:t>
      </w:r>
      <w:r w:rsidR="00A81F3A">
        <w:t xml:space="preserve">from </w:t>
      </w:r>
      <w:r w:rsidRPr="00E10AD5">
        <w:t>“Once an inventor has discovered a use for a new technology” to “</w:t>
      </w:r>
      <w:r>
        <w:t>makes it easier, not harder, to understand history’s broad pattern</w:t>
      </w:r>
      <w:r w:rsidRPr="00E10AD5">
        <w:t>”</w:t>
      </w:r>
      <w:r>
        <w:t>)</w:t>
      </w:r>
      <w:r w:rsidRPr="0085702B">
        <w:t xml:space="preserve"> </w:t>
      </w:r>
      <w:r>
        <w:t xml:space="preserve">and answer the following questions before sharing out with the class. </w:t>
      </w:r>
    </w:p>
    <w:p w14:paraId="7A383FD4" w14:textId="43E9CD53" w:rsidR="00390CCE" w:rsidRPr="000533EF" w:rsidRDefault="004B64A5" w:rsidP="00390CCE">
      <w:pPr>
        <w:pStyle w:val="Q"/>
      </w:pPr>
      <w:r>
        <w:lastRenderedPageBreak/>
        <w:t>How does Diamond extend his</w:t>
      </w:r>
      <w:r w:rsidR="00CC4801">
        <w:t xml:space="preserve"> claim that</w:t>
      </w:r>
      <w:r>
        <w:t xml:space="preserve"> “invention is</w:t>
      </w:r>
      <w:r w:rsidR="00B00C52">
        <w:t xml:space="preserve"> often</w:t>
      </w:r>
      <w:r>
        <w:t xml:space="preserve"> the mother of necessity”</w:t>
      </w:r>
      <w:r w:rsidR="00B00C52">
        <w:t xml:space="preserve"> (p. 232)</w:t>
      </w:r>
      <w:r>
        <w:t xml:space="preserve"> </w:t>
      </w:r>
      <w:r w:rsidR="00CC4801">
        <w:t>i</w:t>
      </w:r>
      <w:r>
        <w:t>n pages 237</w:t>
      </w:r>
      <w:r w:rsidR="00AA1258">
        <w:t>–</w:t>
      </w:r>
      <w:r>
        <w:t>238?</w:t>
      </w:r>
    </w:p>
    <w:p w14:paraId="75887D4C" w14:textId="3EC0F01C" w:rsidR="00520E70" w:rsidRDefault="00520E70" w:rsidP="00437178">
      <w:pPr>
        <w:pStyle w:val="SR"/>
      </w:pPr>
      <w:r>
        <w:t>Student responses should include:</w:t>
      </w:r>
    </w:p>
    <w:p w14:paraId="2A6D0174" w14:textId="3FA258F2" w:rsidR="00520E70" w:rsidRDefault="000533EF" w:rsidP="00B92D0F">
      <w:pPr>
        <w:pStyle w:val="SASRBullet"/>
      </w:pPr>
      <w:r w:rsidRPr="00155557">
        <w:t xml:space="preserve">Diamond </w:t>
      </w:r>
      <w:r w:rsidR="00427FBA" w:rsidRPr="00155557">
        <w:t xml:space="preserve">extends </w:t>
      </w:r>
      <w:r w:rsidRPr="00155557">
        <w:t xml:space="preserve">his </w:t>
      </w:r>
      <w:r w:rsidR="00427FBA" w:rsidRPr="00155557">
        <w:t xml:space="preserve">claim </w:t>
      </w:r>
      <w:r w:rsidR="00C75212">
        <w:t xml:space="preserve">by stating </w:t>
      </w:r>
      <w:r w:rsidRPr="00BB63CE">
        <w:t>that</w:t>
      </w:r>
      <w:r w:rsidR="00EC6C07">
        <w:t xml:space="preserve"> “[o]nce an inventor has discovered a use for a new technology, the next step is to persuade society to adopt it” (p. 237). </w:t>
      </w:r>
      <w:r w:rsidR="00AA50EC">
        <w:t xml:space="preserve">Thus, the “mother” (p. 232) is the invention, and </w:t>
      </w:r>
      <w:r w:rsidR="00EC6C07">
        <w:t>to get society to “accept[]” (p. 237)</w:t>
      </w:r>
      <w:r w:rsidR="00FD04DA">
        <w:t xml:space="preserve"> it</w:t>
      </w:r>
      <w:r w:rsidR="00AA50EC">
        <w:t>, society must find a need for it</w:t>
      </w:r>
      <w:r w:rsidR="00EC6C07">
        <w:t xml:space="preserve">. </w:t>
      </w:r>
    </w:p>
    <w:p w14:paraId="2216D1C3" w14:textId="5851D4B1" w:rsidR="00155557" w:rsidRDefault="00EC6C07" w:rsidP="00B92D0F">
      <w:pPr>
        <w:pStyle w:val="SASRBullet"/>
      </w:pPr>
      <w:r>
        <w:t xml:space="preserve">Diamond </w:t>
      </w:r>
      <w:r w:rsidR="00F8693E">
        <w:t xml:space="preserve">also </w:t>
      </w:r>
      <w:r>
        <w:t>explains that</w:t>
      </w:r>
      <w:r w:rsidR="000533EF" w:rsidRPr="00BB63CE">
        <w:t xml:space="preserve"> </w:t>
      </w:r>
      <w:r w:rsidR="00155557" w:rsidRPr="00BB63CE">
        <w:t>“a bigger, faster, more powerful device for doing something is no guarantee of ready acceptance</w:t>
      </w:r>
      <w:r w:rsidR="00155557" w:rsidRPr="00155557">
        <w:t xml:space="preserve">” (p. 237). </w:t>
      </w:r>
      <w:r w:rsidR="00155557">
        <w:t>Instead, specific</w:t>
      </w:r>
      <w:r w:rsidR="00155557" w:rsidRPr="00155557">
        <w:t xml:space="preserve"> </w:t>
      </w:r>
      <w:r w:rsidR="00BB63CE">
        <w:t xml:space="preserve">social </w:t>
      </w:r>
      <w:r w:rsidR="00155557" w:rsidRPr="00155557">
        <w:t>factors</w:t>
      </w:r>
      <w:r w:rsidR="00155557">
        <w:t xml:space="preserve">, not including necessity, </w:t>
      </w:r>
      <w:r w:rsidR="00155557" w:rsidRPr="00155557">
        <w:t>influence the acceptance of a new technology</w:t>
      </w:r>
      <w:r w:rsidR="00155557">
        <w:t xml:space="preserve">: “relative economic advantage” </w:t>
      </w:r>
      <w:r w:rsidR="00AA1258">
        <w:br/>
      </w:r>
      <w:r w:rsidR="00155557">
        <w:t>(p. 237); “social value and prestige” (p. 237); “compatibility with vested interests” (p. 237); and “</w:t>
      </w:r>
      <w:r w:rsidR="00BB63CE">
        <w:t>the ease with which</w:t>
      </w:r>
      <w:r w:rsidR="00AA1258">
        <w:t xml:space="preserve"> </w:t>
      </w:r>
      <w:r w:rsidR="00BB63CE">
        <w:t>…</w:t>
      </w:r>
      <w:r w:rsidR="00AA1258">
        <w:t xml:space="preserve"> </w:t>
      </w:r>
      <w:r w:rsidR="00BB63CE">
        <w:t>advantages can be observed” (p. 238)</w:t>
      </w:r>
      <w:r w:rsidR="00155557" w:rsidRPr="00155557">
        <w:t>.</w:t>
      </w:r>
      <w:r w:rsidR="00155557">
        <w:t xml:space="preserve"> </w:t>
      </w:r>
      <w:r w:rsidR="00C75212">
        <w:t xml:space="preserve">These social factors have greater impact on acceptance than necessity, as demonstrated by “the world’s continued rejection of an efficiently designed typewriter keyboard” or “Britain’s long reluctance to adopt electric lighting” (p. 237). </w:t>
      </w:r>
    </w:p>
    <w:p w14:paraId="67A3AD44" w14:textId="0E3A39C9" w:rsidR="00390CCE" w:rsidRPr="00390CCE" w:rsidRDefault="004B64A5" w:rsidP="00390CCE">
      <w:pPr>
        <w:pStyle w:val="Q"/>
        <w:rPr>
          <w:highlight w:val="yellow"/>
        </w:rPr>
      </w:pPr>
      <w:r>
        <w:t xml:space="preserve">How </w:t>
      </w:r>
      <w:r w:rsidR="00390CCE">
        <w:t xml:space="preserve">does Diamond differentiate between </w:t>
      </w:r>
      <w:r w:rsidR="006E1121">
        <w:t>the “four factors” (p</w:t>
      </w:r>
      <w:r w:rsidR="00321757">
        <w:t>.</w:t>
      </w:r>
      <w:r w:rsidR="00390CCE">
        <w:t xml:space="preserve"> 237)</w:t>
      </w:r>
      <w:r w:rsidR="00DB665B">
        <w:t xml:space="preserve"> of acceptance</w:t>
      </w:r>
      <w:r w:rsidR="00390CCE">
        <w:t xml:space="preserve"> and</w:t>
      </w:r>
      <w:r w:rsidR="006E1121">
        <w:t xml:space="preserve"> the “laundry list” (p</w:t>
      </w:r>
      <w:r w:rsidR="00321757">
        <w:t>. 239</w:t>
      </w:r>
      <w:r w:rsidR="00390CCE">
        <w:t>)</w:t>
      </w:r>
      <w:r w:rsidR="0073463E">
        <w:t xml:space="preserve"> of factors</w:t>
      </w:r>
      <w:r w:rsidR="00390CCE">
        <w:t>?</w:t>
      </w:r>
    </w:p>
    <w:p w14:paraId="4ED48467" w14:textId="5A2537BC" w:rsidR="00C26951" w:rsidRDefault="006E232F" w:rsidP="00437178">
      <w:pPr>
        <w:pStyle w:val="SR"/>
      </w:pPr>
      <w:r w:rsidRPr="00DB665B">
        <w:t>The “four factors” describe factors influencing receptivity</w:t>
      </w:r>
      <w:r w:rsidR="008C4D8C">
        <w:t xml:space="preserve"> or acceptance of a technology</w:t>
      </w:r>
      <w:r w:rsidRPr="00DB665B">
        <w:t xml:space="preserve"> </w:t>
      </w:r>
      <w:r w:rsidR="008C4D8C">
        <w:t>“</w:t>
      </w:r>
      <w:r w:rsidRPr="00DB665B">
        <w:t xml:space="preserve">within </w:t>
      </w:r>
      <w:r w:rsidR="008C4D8C">
        <w:t>the same</w:t>
      </w:r>
      <w:r w:rsidRPr="00DB665B">
        <w:t xml:space="preserve"> society</w:t>
      </w:r>
      <w:r w:rsidR="008C4D8C">
        <w:t>” (p. 237)</w:t>
      </w:r>
      <w:r w:rsidRPr="00DB665B">
        <w:t xml:space="preserve">. </w:t>
      </w:r>
      <w:r w:rsidR="004B64A5" w:rsidRPr="00DB665B">
        <w:t xml:space="preserve">The “laundry list” describes factors influencing receptivity </w:t>
      </w:r>
      <w:r w:rsidR="008C4D8C">
        <w:t>“among</w:t>
      </w:r>
      <w:r w:rsidRPr="00DB665B">
        <w:t xml:space="preserve"> societies</w:t>
      </w:r>
      <w:r w:rsidR="008C4D8C">
        <w:t>” (p. 239)</w:t>
      </w:r>
      <w:r w:rsidR="004B64A5" w:rsidRPr="00DB665B">
        <w:t xml:space="preserve">. </w:t>
      </w:r>
    </w:p>
    <w:p w14:paraId="3D2BAC02" w14:textId="0C4A1950" w:rsidR="0073463E" w:rsidRDefault="0073463E" w:rsidP="0073463E">
      <w:pPr>
        <w:pStyle w:val="Q"/>
      </w:pPr>
      <w:r>
        <w:t xml:space="preserve">How does Diamond </w:t>
      </w:r>
      <w:r w:rsidR="00AA50EC">
        <w:t xml:space="preserve">counter </w:t>
      </w:r>
      <w:r>
        <w:t>the “laundry list” (p</w:t>
      </w:r>
      <w:r w:rsidR="00045F9B">
        <w:t>. 239</w:t>
      </w:r>
      <w:r>
        <w:t xml:space="preserve">) of factors </w:t>
      </w:r>
      <w:r w:rsidR="000A4BAB">
        <w:t xml:space="preserve">that </w:t>
      </w:r>
      <w:r>
        <w:t xml:space="preserve">explain differences in receptivity </w:t>
      </w:r>
      <w:r w:rsidR="00045F9B">
        <w:t>among</w:t>
      </w:r>
      <w:r>
        <w:t xml:space="preserve"> societies?</w:t>
      </w:r>
    </w:p>
    <w:p w14:paraId="555205CF" w14:textId="11B9DCB2" w:rsidR="0073463E" w:rsidRDefault="0073463E" w:rsidP="0073463E">
      <w:pPr>
        <w:pStyle w:val="SR"/>
      </w:pPr>
      <w:r>
        <w:t>Student responses may include:</w:t>
      </w:r>
    </w:p>
    <w:p w14:paraId="2561BE5B" w14:textId="5644D544" w:rsidR="005F3890" w:rsidRDefault="0073463E" w:rsidP="0073463E">
      <w:pPr>
        <w:pStyle w:val="SASRBullet"/>
      </w:pPr>
      <w:r>
        <w:t>Diamond points out that</w:t>
      </w:r>
      <w:r w:rsidR="00CD30FE">
        <w:t>,</w:t>
      </w:r>
      <w:r>
        <w:t xml:space="preserve"> of the </w:t>
      </w:r>
      <w:r w:rsidR="00EB3E7C">
        <w:t xml:space="preserve">10 </w:t>
      </w:r>
      <w:r>
        <w:t>hypothetical physical, societal, and ideological factors</w:t>
      </w:r>
      <w:r w:rsidR="00CD30FE">
        <w:t xml:space="preserve">, </w:t>
      </w:r>
      <w:r w:rsidR="00AA50EC">
        <w:t>“</w:t>
      </w:r>
      <w:r w:rsidR="00CD30FE">
        <w:t>none</w:t>
      </w:r>
      <w:r w:rsidR="00EB3E7C">
        <w:t xml:space="preserve"> </w:t>
      </w:r>
      <w:r w:rsidR="00CD30FE">
        <w:t>…</w:t>
      </w:r>
      <w:r w:rsidR="00EB3E7C">
        <w:t xml:space="preserve"> </w:t>
      </w:r>
      <w:r w:rsidR="00CD30FE">
        <w:t>has any necessary association with geography” (p. 240)</w:t>
      </w:r>
      <w:r>
        <w:t xml:space="preserve">. Therefore, the factors do not explain why “postmedieval Europe” was receptive to technology, but “India or China” </w:t>
      </w:r>
      <w:r w:rsidR="003755EA">
        <w:t xml:space="preserve">was not </w:t>
      </w:r>
      <w:r>
        <w:t xml:space="preserve">(p. 240). </w:t>
      </w:r>
    </w:p>
    <w:p w14:paraId="575DD652" w14:textId="0AF1888E" w:rsidR="0073463E" w:rsidRDefault="0073463E" w:rsidP="0073463E">
      <w:pPr>
        <w:pStyle w:val="SASRBullet"/>
      </w:pPr>
      <w:r>
        <w:t>Diamond states that the list of “</w:t>
      </w:r>
      <w:r w:rsidR="007D02BC">
        <w:t xml:space="preserve">14 explanatory factors” (p. 239) does not “exhaust the list </w:t>
      </w:r>
      <w:r w:rsidR="00B6141D">
        <w:br/>
      </w:r>
      <w:r w:rsidR="007D02BC">
        <w:t xml:space="preserve">of reasons proposed to explain why societies differ in their receptivity to new technology” </w:t>
      </w:r>
      <w:r w:rsidR="00B6141D">
        <w:br/>
      </w:r>
      <w:r w:rsidR="007D02BC">
        <w:t>(p. 240)</w:t>
      </w:r>
      <w:r w:rsidR="00C514AB">
        <w:t xml:space="preserve">, </w:t>
      </w:r>
      <w:r w:rsidR="007D02BC">
        <w:t>indicat</w:t>
      </w:r>
      <w:r w:rsidR="00C514AB">
        <w:t>ing</w:t>
      </w:r>
      <w:r w:rsidR="007D02BC">
        <w:t xml:space="preserve"> that the list of factors is not complete.</w:t>
      </w:r>
    </w:p>
    <w:p w14:paraId="0118E25B" w14:textId="14FCB5F4" w:rsidR="006E232F" w:rsidRDefault="006E232F" w:rsidP="0073463E">
      <w:pPr>
        <w:pStyle w:val="SASRBullet"/>
      </w:pPr>
      <w:r>
        <w:t>Diamond states that “all of these proximate explanations bypass the question of the ultimate factors behind them” (p. 240)</w:t>
      </w:r>
      <w:r w:rsidR="004A6E17">
        <w:t xml:space="preserve">, meaning that </w:t>
      </w:r>
      <w:r w:rsidR="00C514AB">
        <w:t>t</w:t>
      </w:r>
      <w:r>
        <w:t xml:space="preserve">he factors in the list do not answer the ultimate question of </w:t>
      </w:r>
      <w:r w:rsidR="00C514AB">
        <w:t>why there are differences</w:t>
      </w:r>
      <w:r>
        <w:t xml:space="preserve"> in technology</w:t>
      </w:r>
      <w:r w:rsidR="00C514AB">
        <w:t xml:space="preserve"> and innovation “among societies</w:t>
      </w:r>
      <w:r w:rsidR="00DE7E2F">
        <w:t>”</w:t>
      </w:r>
      <w:r w:rsidR="00C514AB">
        <w:t xml:space="preserve"> (p. 239)</w:t>
      </w:r>
      <w:r>
        <w:t xml:space="preserve">. </w:t>
      </w:r>
    </w:p>
    <w:p w14:paraId="2434B6BA" w14:textId="77777777" w:rsidR="009C5A7C" w:rsidRPr="009C5A7C" w:rsidRDefault="009C5A7C" w:rsidP="00324CD9">
      <w:pPr>
        <w:pStyle w:val="TA"/>
      </w:pPr>
      <w:r w:rsidRPr="009C5A7C">
        <w:lastRenderedPageBreak/>
        <w:t>Lead a brief whole-class discussion of student responses.</w:t>
      </w:r>
    </w:p>
    <w:p w14:paraId="1552B312" w14:textId="77777777" w:rsidR="00855710" w:rsidRDefault="00855710" w:rsidP="009C5A7C">
      <w:pPr>
        <w:pStyle w:val="BR"/>
      </w:pPr>
    </w:p>
    <w:p w14:paraId="20AC878B" w14:textId="5149DC5E" w:rsidR="00DC376D" w:rsidRDefault="009C5A7C" w:rsidP="00B70723">
      <w:pPr>
        <w:pStyle w:val="TA"/>
      </w:pPr>
      <w:r>
        <w:t>Instruct student pairs to read pages 241</w:t>
      </w:r>
      <w:r w:rsidR="00B6141D">
        <w:t>–</w:t>
      </w:r>
      <w:r>
        <w:t>243</w:t>
      </w:r>
      <w:r w:rsidRPr="003B7A0F">
        <w:t xml:space="preserve"> </w:t>
      </w:r>
      <w:r>
        <w:t>(</w:t>
      </w:r>
      <w:r w:rsidR="00A81F3A">
        <w:t xml:space="preserve">from </w:t>
      </w:r>
      <w:r w:rsidRPr="003B7A0F">
        <w:t>“</w:t>
      </w:r>
      <w:r>
        <w:t xml:space="preserve">For the purposes of this book, the key question” </w:t>
      </w:r>
      <w:r w:rsidR="0028209F">
        <w:t xml:space="preserve">to </w:t>
      </w:r>
      <w:r>
        <w:t>“some proportion of societies is likely to be innovative”) and answer the following questions before sharing out with the class.</w:t>
      </w:r>
    </w:p>
    <w:p w14:paraId="6B8A4A7C" w14:textId="1997DBD7" w:rsidR="000A4BAB" w:rsidRDefault="00855B59" w:rsidP="00C60EA8">
      <w:pPr>
        <w:pStyle w:val="Q"/>
      </w:pPr>
      <w:r>
        <w:t xml:space="preserve">How does Diamond </w:t>
      </w:r>
      <w:r w:rsidR="00221CC7">
        <w:t xml:space="preserve">challenge </w:t>
      </w:r>
      <w:r>
        <w:t>the</w:t>
      </w:r>
      <w:r w:rsidR="000A4BAB">
        <w:t xml:space="preserve"> </w:t>
      </w:r>
      <w:r>
        <w:t xml:space="preserve">answer to </w:t>
      </w:r>
      <w:r w:rsidR="000A4BAB">
        <w:t xml:space="preserve">“the key question” </w:t>
      </w:r>
      <w:r>
        <w:t>(p</w:t>
      </w:r>
      <w:r w:rsidR="00B6141D">
        <w:t>.</w:t>
      </w:r>
      <w:r>
        <w:t xml:space="preserve"> 241) </w:t>
      </w:r>
      <w:r w:rsidR="000A4BAB">
        <w:t xml:space="preserve">about the </w:t>
      </w:r>
      <w:r w:rsidR="003D112D">
        <w:t>“</w:t>
      </w:r>
      <w:r w:rsidR="000A4BAB">
        <w:t>laundry list</w:t>
      </w:r>
      <w:r w:rsidR="003D112D">
        <w:t xml:space="preserve">” </w:t>
      </w:r>
      <w:r w:rsidR="00B6141D">
        <w:br/>
      </w:r>
      <w:r w:rsidR="003D112D">
        <w:t>(p. 239)</w:t>
      </w:r>
      <w:r w:rsidR="000A4BAB">
        <w:t>?</w:t>
      </w:r>
    </w:p>
    <w:p w14:paraId="3FFA678C" w14:textId="71D98AD7" w:rsidR="000A4BAB" w:rsidRDefault="00855B59" w:rsidP="00DF11A7">
      <w:pPr>
        <w:pStyle w:val="SR"/>
      </w:pPr>
      <w:r>
        <w:t>Diamond states that “</w:t>
      </w:r>
      <w:r w:rsidR="001E7E5B">
        <w:t>[</w:t>
      </w:r>
      <w:r>
        <w:t>m</w:t>
      </w:r>
      <w:r w:rsidR="001E7E5B">
        <w:t>]</w:t>
      </w:r>
      <w:r>
        <w:t>ost laypeople and many historians assume” that the factors</w:t>
      </w:r>
      <w:r w:rsidR="003D112D">
        <w:t xml:space="preserve"> on the “laundry list” (p. 239)</w:t>
      </w:r>
      <w:r>
        <w:t xml:space="preserve"> lead directly to “continental differences in technological development</w:t>
      </w:r>
      <w:r w:rsidR="001B705E">
        <w:t>”</w:t>
      </w:r>
      <w:r>
        <w:t xml:space="preserve"> </w:t>
      </w:r>
      <w:r w:rsidR="00B6141D">
        <w:br/>
      </w:r>
      <w:r>
        <w:t xml:space="preserve">(p. 241). Diamond, however, states that “such claims are based on pure speculation” (p. 241). He states that there has never been a study to compare “systematic ideological differences” </w:t>
      </w:r>
      <w:r w:rsidR="00B6141D">
        <w:br/>
      </w:r>
      <w:r>
        <w:t xml:space="preserve">(p. 241) between societies that resulted in technological differences. </w:t>
      </w:r>
    </w:p>
    <w:p w14:paraId="4485C0F7" w14:textId="4E52C9D2" w:rsidR="005F3890" w:rsidRPr="005F3890" w:rsidRDefault="005F3890" w:rsidP="00C60EA8">
      <w:pPr>
        <w:pStyle w:val="Q"/>
      </w:pPr>
      <w:r w:rsidRPr="005F3890">
        <w:t xml:space="preserve">How does Diamond’s discussion about “the key question” </w:t>
      </w:r>
      <w:r w:rsidR="00221CC7">
        <w:t>relate to his explanation of</w:t>
      </w:r>
      <w:r w:rsidRPr="005F3890">
        <w:t xml:space="preserve"> </w:t>
      </w:r>
      <w:r w:rsidR="00221CC7">
        <w:t>“</w:t>
      </w:r>
      <w:r w:rsidRPr="005F3890">
        <w:t>circular</w:t>
      </w:r>
      <w:r w:rsidR="00221CC7">
        <w:t xml:space="preserve">” </w:t>
      </w:r>
      <w:r w:rsidRPr="005F3890">
        <w:t>reasoning</w:t>
      </w:r>
      <w:r w:rsidR="003755EA">
        <w:t xml:space="preserve"> (p. 241)</w:t>
      </w:r>
      <w:r w:rsidRPr="005F3890">
        <w:t>?</w:t>
      </w:r>
    </w:p>
    <w:p w14:paraId="4828E3D7" w14:textId="7F8BD17F" w:rsidR="00D14C2D" w:rsidRDefault="006743F5" w:rsidP="006D6F84">
      <w:pPr>
        <w:pStyle w:val="SR"/>
      </w:pPr>
      <w:r w:rsidRPr="005F3890">
        <w:t>Diamond explains that “the usual reasoning</w:t>
      </w:r>
      <w:r w:rsidR="003719AD">
        <w:t xml:space="preserve">” </w:t>
      </w:r>
      <w:r w:rsidR="003719AD" w:rsidRPr="005F3890">
        <w:t>about society’s receptivity to innovation</w:t>
      </w:r>
      <w:r w:rsidRPr="005F3890">
        <w:t xml:space="preserve"> is</w:t>
      </w:r>
      <w:r w:rsidR="003719AD">
        <w:t xml:space="preserve"> “</w:t>
      </w:r>
      <w:r w:rsidRPr="005F3890">
        <w:t>circular” because</w:t>
      </w:r>
      <w:r w:rsidR="003719AD">
        <w:t xml:space="preserve"> historians </w:t>
      </w:r>
      <w:r w:rsidR="00D14C2D">
        <w:t xml:space="preserve">have “inferred” </w:t>
      </w:r>
      <w:r w:rsidR="003719AD">
        <w:t xml:space="preserve">that </w:t>
      </w:r>
      <w:r w:rsidR="00D14C2D">
        <w:t>“</w:t>
      </w:r>
      <w:r w:rsidR="003719AD">
        <w:t>technological differences</w:t>
      </w:r>
      <w:r w:rsidR="00D14C2D">
        <w:t xml:space="preserve">” </w:t>
      </w:r>
      <w:r w:rsidR="003719AD">
        <w:t xml:space="preserve">between </w:t>
      </w:r>
      <w:r w:rsidR="006D6F84">
        <w:t>groups</w:t>
      </w:r>
      <w:r w:rsidR="003719AD">
        <w:t xml:space="preserve"> </w:t>
      </w:r>
      <w:r w:rsidR="00D14C2D">
        <w:t>exist due to</w:t>
      </w:r>
      <w:r w:rsidR="003719AD">
        <w:t xml:space="preserve"> </w:t>
      </w:r>
      <w:r w:rsidR="00D14C2D">
        <w:t>“</w:t>
      </w:r>
      <w:r w:rsidR="003719AD">
        <w:t>ideological differences</w:t>
      </w:r>
      <w:r w:rsidR="00D14C2D">
        <w:t xml:space="preserve">” (p. 241). However, the only basis for that inference is that technological differences exist in the first place; there is no concrete evidence that supports the </w:t>
      </w:r>
      <w:r w:rsidR="006D6F84">
        <w:t>existence</w:t>
      </w:r>
      <w:r w:rsidR="00D14C2D">
        <w:t xml:space="preserve"> of ideological differences</w:t>
      </w:r>
      <w:r w:rsidR="00D14C2D" w:rsidRPr="005F3890">
        <w:t>.</w:t>
      </w:r>
      <w:r w:rsidR="006D6F84">
        <w:t xml:space="preserve"> </w:t>
      </w:r>
    </w:p>
    <w:p w14:paraId="14E62646" w14:textId="01F8E3DA" w:rsidR="00722B09" w:rsidRDefault="00221CC7" w:rsidP="00437178">
      <w:pPr>
        <w:pStyle w:val="IN"/>
      </w:pPr>
      <w:r>
        <w:t xml:space="preserve">Consider explaining </w:t>
      </w:r>
      <w:r w:rsidR="00D14C2D">
        <w:t xml:space="preserve">to students </w:t>
      </w:r>
      <w:r>
        <w:t xml:space="preserve">the concept of </w:t>
      </w:r>
      <w:r w:rsidRPr="006360CD">
        <w:rPr>
          <w:i/>
        </w:rPr>
        <w:t>circular reasoning</w:t>
      </w:r>
      <w:r>
        <w:t xml:space="preserve">: </w:t>
      </w:r>
      <w:r w:rsidR="00A81F3A">
        <w:t>where</w:t>
      </w:r>
      <w:r w:rsidRPr="005F3890">
        <w:t xml:space="preserve"> </w:t>
      </w:r>
      <w:r w:rsidR="006D6F84">
        <w:t xml:space="preserve">the evidence given to support a claim is a version of the claim itself. </w:t>
      </w:r>
    </w:p>
    <w:p w14:paraId="54B6326C" w14:textId="4449C9AF" w:rsidR="001322E9" w:rsidRDefault="001322E9" w:rsidP="00722B09">
      <w:pPr>
        <w:pStyle w:val="Q"/>
      </w:pPr>
      <w:r>
        <w:t xml:space="preserve">How does Diamond develop </w:t>
      </w:r>
      <w:r w:rsidR="00C24013">
        <w:t>his claims concerning</w:t>
      </w:r>
      <w:r>
        <w:t xml:space="preserve"> innovative v</w:t>
      </w:r>
      <w:r w:rsidR="00856AAA">
        <w:t>ersu</w:t>
      </w:r>
      <w:r>
        <w:t>s conservative societies</w:t>
      </w:r>
      <w:r w:rsidR="00C24013">
        <w:t xml:space="preserve"> on pages 241</w:t>
      </w:r>
      <w:r w:rsidR="00B6141D">
        <w:t>–</w:t>
      </w:r>
      <w:r w:rsidR="00C24013">
        <w:t>24</w:t>
      </w:r>
      <w:r w:rsidR="00722B09">
        <w:t>3</w:t>
      </w:r>
      <w:r>
        <w:t>?</w:t>
      </w:r>
    </w:p>
    <w:p w14:paraId="0C1136AC" w14:textId="7AB4050D" w:rsidR="001322E9" w:rsidRPr="005F3890" w:rsidRDefault="001322E9" w:rsidP="001322E9">
      <w:pPr>
        <w:pStyle w:val="SR"/>
      </w:pPr>
      <w:r w:rsidRPr="005F3890">
        <w:t xml:space="preserve">Student responses may include: </w:t>
      </w:r>
    </w:p>
    <w:p w14:paraId="4EE9EFF0" w14:textId="031DC680" w:rsidR="001322E9" w:rsidRDefault="002E76C6" w:rsidP="001322E9">
      <w:pPr>
        <w:pStyle w:val="SASRBullet"/>
      </w:pPr>
      <w:r>
        <w:t>Diamond describes two tribes living near one another in Papua New Guinea: the Chimbus and the Daribi. The innovative Chimbus “proved especially aggressive in adopting Western technology” (p. 241) while the Daribi remained “especially conservative and uninterested in new technology</w:t>
      </w:r>
      <w:r w:rsidR="00A81F3A">
        <w:t>”</w:t>
      </w:r>
      <w:r>
        <w:t xml:space="preserve"> (p. 241</w:t>
      </w:r>
      <w:r w:rsidR="00B6141D">
        <w:t>–</w:t>
      </w:r>
      <w:r>
        <w:t>242). This comparison develop</w:t>
      </w:r>
      <w:r w:rsidR="00213775">
        <w:t>s</w:t>
      </w:r>
      <w:r>
        <w:t xml:space="preserve"> </w:t>
      </w:r>
      <w:r w:rsidR="00CF768E">
        <w:t>Diamond’s</w:t>
      </w:r>
      <w:r>
        <w:t xml:space="preserve"> </w:t>
      </w:r>
      <w:r w:rsidR="00213775">
        <w:t>claim</w:t>
      </w:r>
      <w:r>
        <w:t xml:space="preserve"> that </w:t>
      </w:r>
      <w:r w:rsidR="00213775">
        <w:t xml:space="preserve">“from society to society” </w:t>
      </w:r>
      <w:r>
        <w:t>or geographic region</w:t>
      </w:r>
      <w:r w:rsidR="00213775">
        <w:t xml:space="preserve"> “on the same continent” (p. 242),</w:t>
      </w:r>
      <w:r>
        <w:t xml:space="preserve"> two </w:t>
      </w:r>
      <w:r w:rsidR="00213775">
        <w:t>societies</w:t>
      </w:r>
      <w:r>
        <w:t xml:space="preserve"> can have varying outlooks regarding new technology. </w:t>
      </w:r>
    </w:p>
    <w:p w14:paraId="4E7C7E42" w14:textId="51DF356B" w:rsidR="002E76C6" w:rsidRDefault="002E76C6" w:rsidP="001322E9">
      <w:pPr>
        <w:pStyle w:val="SASRBullet"/>
      </w:pPr>
      <w:r>
        <w:t xml:space="preserve">Diamond illustrates how receptivity can “vary over time within the same society” through examples of the “conservative” modern Islamic societies that in the past were </w:t>
      </w:r>
      <w:r>
        <w:lastRenderedPageBreak/>
        <w:t xml:space="preserve">“technologically advanced and open to innovation” (p. 242). China was also “more innovative </w:t>
      </w:r>
      <w:r w:rsidR="00487087">
        <w:t>and advanced” (p. 242) in the past and “technology was less advanced in Europe” (p. 243).</w:t>
      </w:r>
    </w:p>
    <w:p w14:paraId="0ED70259" w14:textId="2854BBD2" w:rsidR="00F27B6D" w:rsidRDefault="00F27B6D" w:rsidP="001322E9">
      <w:pPr>
        <w:pStyle w:val="SASRBullet"/>
      </w:pPr>
      <w:r>
        <w:t xml:space="preserve">Diamond states that “we think of western Europe and its derived North American societies as leading the modern world in technological innovation” (p. 243). However, </w:t>
      </w:r>
      <w:r w:rsidR="003755EA">
        <w:t>W</w:t>
      </w:r>
      <w:r w:rsidR="006743F5">
        <w:t>estern Europe, a prime example of</w:t>
      </w:r>
      <w:r w:rsidR="00722B09">
        <w:t xml:space="preserve"> a</w:t>
      </w:r>
      <w:r w:rsidR="006743F5">
        <w:t xml:space="preserve"> </w:t>
      </w:r>
      <w:r w:rsidR="00722B09">
        <w:t>“</w:t>
      </w:r>
      <w:r w:rsidR="006743F5">
        <w:t>civilized</w:t>
      </w:r>
      <w:r w:rsidR="00722B09">
        <w:t>” (p. 243)</w:t>
      </w:r>
      <w:r w:rsidR="006743F5">
        <w:t xml:space="preserve"> society, had less technological innovation than China or the Middle East “until the late Middle Ages” (p. 243). </w:t>
      </w:r>
      <w:r w:rsidR="003A330A">
        <w:t>Thus,</w:t>
      </w:r>
      <w:r w:rsidR="00B57DC2">
        <w:t xml:space="preserve"> Diamond reinforces his claim that “receptivity to innovation fluctuates in time within the same region” (p. 243).</w:t>
      </w:r>
    </w:p>
    <w:p w14:paraId="605A3C86" w14:textId="6A23729B" w:rsidR="005249FD" w:rsidRPr="00D10F30" w:rsidRDefault="005249FD" w:rsidP="005249FD">
      <w:pPr>
        <w:pStyle w:val="Q"/>
      </w:pPr>
      <w:r w:rsidRPr="00D10F30">
        <w:t xml:space="preserve">How do </w:t>
      </w:r>
      <w:r w:rsidR="00D35D15">
        <w:t>Diamond’s</w:t>
      </w:r>
      <w:r w:rsidRPr="00D10F30">
        <w:t xml:space="preserve"> observations</w:t>
      </w:r>
      <w:r w:rsidR="00EF12E1">
        <w:t xml:space="preserve"> and descriptions</w:t>
      </w:r>
      <w:r w:rsidRPr="00D10F30">
        <w:t xml:space="preserve"> of native societies on pages 241</w:t>
      </w:r>
      <w:r w:rsidR="00B7513D">
        <w:t>–</w:t>
      </w:r>
      <w:r w:rsidRPr="00D10F30">
        <w:t xml:space="preserve">243 </w:t>
      </w:r>
      <w:r w:rsidR="00C57C16" w:rsidRPr="00D10F30">
        <w:t>support his conclusion</w:t>
      </w:r>
      <w:r w:rsidR="007945EB" w:rsidRPr="00D10F30">
        <w:t>s</w:t>
      </w:r>
      <w:r w:rsidR="00C57C16" w:rsidRPr="00D10F30">
        <w:t xml:space="preserve"> about receptivity</w:t>
      </w:r>
      <w:r w:rsidRPr="00D10F30">
        <w:t>?</w:t>
      </w:r>
    </w:p>
    <w:p w14:paraId="00D0D5F2" w14:textId="6732CEA3" w:rsidR="005249FD" w:rsidRPr="00D10F30" w:rsidRDefault="005249FD" w:rsidP="005249FD">
      <w:pPr>
        <w:pStyle w:val="SR"/>
      </w:pPr>
      <w:r w:rsidRPr="00D10F30">
        <w:t xml:space="preserve">Student responses may include: </w:t>
      </w:r>
    </w:p>
    <w:p w14:paraId="08C1D400" w14:textId="55B63E48" w:rsidR="00500982" w:rsidRPr="00D10F30" w:rsidRDefault="00500982" w:rsidP="00500982">
      <w:pPr>
        <w:pStyle w:val="SASRBullet"/>
      </w:pPr>
      <w:r>
        <w:t xml:space="preserve">Diamond observes that </w:t>
      </w:r>
      <w:r w:rsidR="00B7513D">
        <w:t>“</w:t>
      </w:r>
      <w:r>
        <w:t>native societies</w:t>
      </w:r>
      <w:r w:rsidR="00B7513D">
        <w:t>”</w:t>
      </w:r>
      <w:r>
        <w:t xml:space="preserve"> can </w:t>
      </w:r>
      <w:r w:rsidR="00B7513D">
        <w:t>“</w:t>
      </w:r>
      <w:r>
        <w:t>differ greatly</w:t>
      </w:r>
      <w:r w:rsidR="00B7513D">
        <w:t>”</w:t>
      </w:r>
      <w:r>
        <w:t xml:space="preserve"> (p. 241) from one another in their level of receptivity, just as industrialized societies do. By using </w:t>
      </w:r>
      <w:r w:rsidR="00A2411B">
        <w:t xml:space="preserve">the </w:t>
      </w:r>
      <w:r>
        <w:t>example of the Papua New Guinean Chimbu tribe who “proved especially aggressive in adopting Western technology” (p. 241)</w:t>
      </w:r>
      <w:r>
        <w:rPr>
          <w:i/>
          <w:iCs/>
        </w:rPr>
        <w:t xml:space="preserve">, </w:t>
      </w:r>
      <w:r>
        <w:t>and the Daribi tribe who were “especially conservative and uninterested in new technology” (</w:t>
      </w:r>
      <w:r w:rsidR="00A2411B">
        <w:t xml:space="preserve">pp. </w:t>
      </w:r>
      <w:r>
        <w:t>241</w:t>
      </w:r>
      <w:r w:rsidR="00A2411B">
        <w:t>–</w:t>
      </w:r>
      <w:r>
        <w:t>242), Diamond demonstrates that the lifestyle of a given society (industrialized or stone age) does not determine its receptivity to new technology.</w:t>
      </w:r>
    </w:p>
    <w:p w14:paraId="66AC62A7" w14:textId="13DFF539" w:rsidR="005249FD" w:rsidRPr="00D10F30" w:rsidRDefault="002742C4" w:rsidP="005249FD">
      <w:pPr>
        <w:pStyle w:val="SASRBullet"/>
      </w:pPr>
      <w:r>
        <w:t>Diamond</w:t>
      </w:r>
      <w:r w:rsidR="005249FD" w:rsidRPr="00D10F30">
        <w:t xml:space="preserve"> observes that </w:t>
      </w:r>
      <w:r w:rsidR="00A25C2E">
        <w:t xml:space="preserve">native </w:t>
      </w:r>
      <w:r w:rsidR="00BB63CE">
        <w:t>societies</w:t>
      </w:r>
      <w:r w:rsidR="00BB63CE" w:rsidRPr="00D10F30">
        <w:t xml:space="preserve"> </w:t>
      </w:r>
      <w:r w:rsidR="005249FD" w:rsidRPr="00D10F30">
        <w:t xml:space="preserve">are just as receptive to adopting new technology when it suits them or </w:t>
      </w:r>
      <w:r w:rsidR="00A81F3A">
        <w:t xml:space="preserve">when it </w:t>
      </w:r>
      <w:r w:rsidR="005249FD" w:rsidRPr="00D10F30">
        <w:t>will improve their way of life. His observation of the Chimbus, who “saw white settlers planting coffee, [and] they began growing coffee themselves as a cash crop” (p. 241), and turning over the profits to purchase a modern sawmill, supports the idea that biology</w:t>
      </w:r>
      <w:r w:rsidR="00CD30DE">
        <w:t xml:space="preserve"> or being a similar native group</w:t>
      </w:r>
      <w:r w:rsidR="005249FD" w:rsidRPr="00D10F30">
        <w:t xml:space="preserve"> is not a factor preventing certain </w:t>
      </w:r>
      <w:r w:rsidR="00BB63CE">
        <w:t>societies</w:t>
      </w:r>
      <w:r w:rsidR="00BB63CE" w:rsidRPr="00D10F30">
        <w:t xml:space="preserve"> </w:t>
      </w:r>
      <w:r w:rsidR="005249FD" w:rsidRPr="00D10F30">
        <w:t xml:space="preserve">from adopting new technologies. </w:t>
      </w:r>
    </w:p>
    <w:p w14:paraId="7E519448" w14:textId="011CF32D" w:rsidR="005249FD" w:rsidRPr="00D10F30" w:rsidRDefault="005249FD" w:rsidP="005249FD">
      <w:pPr>
        <w:pStyle w:val="SASRBullet"/>
      </w:pPr>
      <w:r w:rsidRPr="00D10F30">
        <w:t xml:space="preserve">The </w:t>
      </w:r>
      <w:r w:rsidR="00EF12E1">
        <w:t>example</w:t>
      </w:r>
      <w:r w:rsidR="00EF12E1" w:rsidRPr="00D10F30">
        <w:t xml:space="preserve"> </w:t>
      </w:r>
      <w:r w:rsidRPr="00D10F30">
        <w:t xml:space="preserve">of </w:t>
      </w:r>
      <w:r w:rsidR="00520E70">
        <w:t>Aboriginal Australians</w:t>
      </w:r>
      <w:r w:rsidR="00520E70" w:rsidRPr="00D10F30">
        <w:t xml:space="preserve"> </w:t>
      </w:r>
      <w:r w:rsidRPr="00D10F30">
        <w:t xml:space="preserve">with different levels of receptivity to technology </w:t>
      </w:r>
      <w:r w:rsidR="008D000C" w:rsidRPr="00D10F30">
        <w:t xml:space="preserve">supports the idea that “over </w:t>
      </w:r>
      <w:r w:rsidR="0018609D">
        <w:t xml:space="preserve">a </w:t>
      </w:r>
      <w:r w:rsidR="008D000C" w:rsidRPr="00D10F30">
        <w:t>large enough area</w:t>
      </w:r>
      <w:r w:rsidR="00F95292">
        <w:t xml:space="preserve"> </w:t>
      </w:r>
      <w:r w:rsidR="008D000C" w:rsidRPr="00D10F30">
        <w:t>…</w:t>
      </w:r>
      <w:r w:rsidR="00F95292">
        <w:t xml:space="preserve"> </w:t>
      </w:r>
      <w:r w:rsidR="008D000C" w:rsidRPr="00D10F30">
        <w:t>at any particular time, some proportion of societies is likely to be innovative” (p. 243)</w:t>
      </w:r>
      <w:r w:rsidR="006D16B5" w:rsidRPr="00D10F30">
        <w:t xml:space="preserve">. While “Tasmanians continued to use stone tools” (p. 242) despite access to technology across the continent, others in mainland Australia adopted new technologies. </w:t>
      </w:r>
      <w:r w:rsidR="0098758D">
        <w:t>For example, f</w:t>
      </w:r>
      <w:r w:rsidR="006D16B5" w:rsidRPr="00D10F30">
        <w:t xml:space="preserve">ishing tribes in southeastern Australia “devised elaborate technologies for managing fish populations” (p. 242) because it was advantageous to do so. </w:t>
      </w:r>
    </w:p>
    <w:p w14:paraId="0189DBBA" w14:textId="77777777" w:rsidR="00175131" w:rsidRPr="007C4F0C" w:rsidRDefault="00175131" w:rsidP="00175131">
      <w:pPr>
        <w:pStyle w:val="Q"/>
        <w:rPr>
          <w:rStyle w:val="QChar"/>
          <w:b/>
        </w:rPr>
      </w:pPr>
      <w:r>
        <w:t>What leads Diamond to conclude that “at any particular time, some proportion of societies is likely to be innovative” (p. 243)?</w:t>
      </w:r>
      <w:r>
        <w:rPr>
          <w:rStyle w:val="QChar"/>
          <w:b/>
        </w:rPr>
        <w:t xml:space="preserve"> </w:t>
      </w:r>
    </w:p>
    <w:p w14:paraId="20BF293E" w14:textId="4FC0D801" w:rsidR="00175131" w:rsidRPr="00D10F30" w:rsidRDefault="00175131" w:rsidP="00175131">
      <w:pPr>
        <w:pStyle w:val="SR"/>
      </w:pPr>
      <w:r w:rsidRPr="00D10F30">
        <w:t>Student responses may include:</w:t>
      </w:r>
    </w:p>
    <w:p w14:paraId="609DEB9E" w14:textId="05B471C7" w:rsidR="00175131" w:rsidRDefault="00175131" w:rsidP="00175131">
      <w:pPr>
        <w:pStyle w:val="SASRBullet"/>
      </w:pPr>
      <w:r w:rsidRPr="00D10F30">
        <w:lastRenderedPageBreak/>
        <w:t xml:space="preserve">Diamond </w:t>
      </w:r>
      <w:r w:rsidR="003A330A">
        <w:t>explains</w:t>
      </w:r>
      <w:r w:rsidR="00965304">
        <w:t xml:space="preserve"> that the list of</w:t>
      </w:r>
      <w:r w:rsidR="00661C2B">
        <w:t xml:space="preserve"> </w:t>
      </w:r>
      <w:r w:rsidR="002742C4">
        <w:t>factors affecting receptivity</w:t>
      </w:r>
      <w:r w:rsidR="003A330A">
        <w:t xml:space="preserve"> </w:t>
      </w:r>
      <w:r w:rsidR="00965304">
        <w:t>do</w:t>
      </w:r>
      <w:r w:rsidRPr="00D10F30">
        <w:t xml:space="preserve"> not “differ[] systematically from </w:t>
      </w:r>
      <w:r w:rsidR="008A4DD2">
        <w:t>continent</w:t>
      </w:r>
      <w:r w:rsidRPr="00D10F30">
        <w:t xml:space="preserve"> to </w:t>
      </w:r>
      <w:r w:rsidR="008A4DD2">
        <w:t>continent</w:t>
      </w:r>
      <w:r w:rsidRPr="00D10F30">
        <w:t xml:space="preserve">” (p. 241), </w:t>
      </w:r>
      <w:r w:rsidR="008A4DD2">
        <w:t>but “the development and reception of inventions vary enormously from society t</w:t>
      </w:r>
      <w:r w:rsidR="00965304">
        <w:t>o society on the same continent</w:t>
      </w:r>
      <w:r w:rsidR="003A330A">
        <w:t>”</w:t>
      </w:r>
      <w:r w:rsidR="008A4DD2">
        <w:t xml:space="preserve"> (p. 242).</w:t>
      </w:r>
      <w:r w:rsidR="00965304">
        <w:t xml:space="preserve"> These conclusions are exactly what “one would expect if societ</w:t>
      </w:r>
      <w:r w:rsidR="0018609D">
        <w:t>y’</w:t>
      </w:r>
      <w:r w:rsidR="00965304">
        <w:t>s innovativeness is determined by many independent factors” (p. 243)</w:t>
      </w:r>
      <w:r w:rsidR="003A330A">
        <w:t>, and lead to the idea that the innovativeness of a society cannot be predicted by specific factors</w:t>
      </w:r>
      <w:r w:rsidR="00965304">
        <w:t xml:space="preserve">. </w:t>
      </w:r>
    </w:p>
    <w:p w14:paraId="55994BB7" w14:textId="614AC5D1" w:rsidR="00AA322B" w:rsidRDefault="00175131" w:rsidP="00AA322B">
      <w:pPr>
        <w:pStyle w:val="SASRBullet"/>
      </w:pPr>
      <w:r w:rsidRPr="00D10F30">
        <w:t xml:space="preserve">Diamond suggests that all of the factors are in play in </w:t>
      </w:r>
      <w:r w:rsidR="004A5027">
        <w:t xml:space="preserve">determining </w:t>
      </w:r>
      <w:r w:rsidRPr="00D10F30">
        <w:t xml:space="preserve">whether a </w:t>
      </w:r>
      <w:r w:rsidR="00BB63CE">
        <w:t>society</w:t>
      </w:r>
      <w:r w:rsidRPr="00D10F30">
        <w:t xml:space="preserve"> is receptive to innovation, and that “</w:t>
      </w:r>
      <w:r w:rsidR="0018609D">
        <w:t>[</w:t>
      </w:r>
      <w:r w:rsidRPr="00D10F30">
        <w:t>w</w:t>
      </w:r>
      <w:r w:rsidR="0018609D">
        <w:t>]</w:t>
      </w:r>
      <w:r w:rsidRPr="00D10F30">
        <w:t>ithout a detailed knowledge of all of th</w:t>
      </w:r>
      <w:r w:rsidR="0018609D">
        <w:t>o</w:t>
      </w:r>
      <w:r w:rsidRPr="00D10F30">
        <w:t>se factors, innovativeness becomes unpredictable” (p. 243)</w:t>
      </w:r>
      <w:r w:rsidR="00AA322B">
        <w:t>. Therefore</w:t>
      </w:r>
      <w:r w:rsidR="000D300B">
        <w:t>,</w:t>
      </w:r>
      <w:r w:rsidR="00AA322B">
        <w:t xml:space="preserve"> innovativeness is “essentially </w:t>
      </w:r>
      <w:r w:rsidR="000D300B">
        <w:br/>
      </w:r>
      <w:r w:rsidR="00AA322B">
        <w:t>a random variable” (p. 243).</w:t>
      </w:r>
    </w:p>
    <w:p w14:paraId="015D82EA" w14:textId="4B803C94" w:rsidR="00661C2B" w:rsidRDefault="008A4DD2" w:rsidP="00437178">
      <w:pPr>
        <w:pStyle w:val="SASRBullet"/>
      </w:pPr>
      <w:r>
        <w:t>The “laundry list” (p. 239) fails to provide “ultimate factors” (p. 240) to explain why societies differ in technological innovation. Diamond’s observations of societies, such as the Chimbus and Daribi, that live in close proximity and “differ greatly</w:t>
      </w:r>
      <w:r w:rsidR="000D300B">
        <w:t xml:space="preserve"> </w:t>
      </w:r>
      <w:r w:rsidR="003102E5">
        <w:t>…</w:t>
      </w:r>
      <w:r w:rsidR="000D300B">
        <w:t xml:space="preserve"> </w:t>
      </w:r>
      <w:r>
        <w:t>in t</w:t>
      </w:r>
      <w:r w:rsidR="003A330A">
        <w:t>h</w:t>
      </w:r>
      <w:r>
        <w:t xml:space="preserve">eir prevalent outlooks” </w:t>
      </w:r>
      <w:r w:rsidR="000D300B">
        <w:br/>
      </w:r>
      <w:r>
        <w:t>(p. 241) support</w:t>
      </w:r>
      <w:r w:rsidR="00661C2B">
        <w:t>s</w:t>
      </w:r>
      <w:r>
        <w:t xml:space="preserve"> the idea that recept</w:t>
      </w:r>
      <w:r w:rsidR="003A330A">
        <w:t>ivity to innovation varies over</w:t>
      </w:r>
      <w:r>
        <w:t xml:space="preserve"> time among and within societies.</w:t>
      </w:r>
    </w:p>
    <w:p w14:paraId="4C93CD9F" w14:textId="5E492781" w:rsidR="002E173F" w:rsidRPr="00790BCC" w:rsidRDefault="009C5A7C" w:rsidP="009C5A7C">
      <w:pPr>
        <w:pStyle w:val="TA"/>
      </w:pPr>
      <w:r w:rsidRPr="009C5A7C">
        <w:t>Lead a brief whole-class discussion of student responses.</w:t>
      </w:r>
    </w:p>
    <w:p w14:paraId="5D441F08" w14:textId="77777777" w:rsidR="00790BCC" w:rsidRPr="00790BCC" w:rsidRDefault="00B70723" w:rsidP="007017EB">
      <w:pPr>
        <w:pStyle w:val="LearningSequenceHeader"/>
      </w:pPr>
      <w:r>
        <w:t xml:space="preserve">Activity 4: </w:t>
      </w:r>
      <w:r w:rsidR="00853741">
        <w:t>Quick Write</w:t>
      </w:r>
      <w:r w:rsidR="00DC376D">
        <w:tab/>
        <w:t>15</w:t>
      </w:r>
      <w:r w:rsidR="00790BCC" w:rsidRPr="00790BCC">
        <w:t>%</w:t>
      </w:r>
    </w:p>
    <w:p w14:paraId="196760AF" w14:textId="77777777" w:rsidR="00DC376D" w:rsidRDefault="00DC376D" w:rsidP="00DC376D">
      <w:pPr>
        <w:pStyle w:val="TA"/>
      </w:pPr>
      <w:r>
        <w:t>Instruct students to respond briefly in writing to the following prompt:</w:t>
      </w:r>
    </w:p>
    <w:p w14:paraId="44242CC0" w14:textId="0467AEB3" w:rsidR="00C26951" w:rsidRDefault="00C26951" w:rsidP="00DC376D">
      <w:pPr>
        <w:pStyle w:val="Q"/>
      </w:pPr>
      <w:r w:rsidRPr="00C26951">
        <w:t>How do ideas in this excerpt interact to develop the larger concept of society’s receptivity</w:t>
      </w:r>
      <w:r w:rsidR="00A25C2E">
        <w:t xml:space="preserve"> </w:t>
      </w:r>
      <w:r w:rsidRPr="00C26951">
        <w:t>to innovation?</w:t>
      </w:r>
    </w:p>
    <w:p w14:paraId="227CA821" w14:textId="2A966305" w:rsidR="00DC376D" w:rsidRDefault="00DC376D" w:rsidP="00DC376D">
      <w:pPr>
        <w:pStyle w:val="Q"/>
      </w:pPr>
      <w:r w:rsidRPr="00FB2C02">
        <w:rPr>
          <w:b w:val="0"/>
        </w:rPr>
        <w:t xml:space="preserve">Instruct students to look at their annotations to find evidence. </w:t>
      </w:r>
      <w:r w:rsidRPr="00FB2C02">
        <w:rPr>
          <w:b w:val="0"/>
          <w:bCs/>
        </w:rPr>
        <w:t xml:space="preserve">Ask students to use this lesson’s vocabulary wherever possible in their written responses. </w:t>
      </w:r>
    </w:p>
    <w:p w14:paraId="234AD028" w14:textId="77777777" w:rsidR="00DC376D" w:rsidRDefault="00DC376D" w:rsidP="00DC376D">
      <w:pPr>
        <w:pStyle w:val="SA"/>
        <w:numPr>
          <w:ilvl w:val="0"/>
          <w:numId w:val="8"/>
        </w:numPr>
      </w:pPr>
      <w:r>
        <w:t>Students listen and read the Quick Write prompt.</w:t>
      </w:r>
    </w:p>
    <w:p w14:paraId="08206407" w14:textId="77777777" w:rsidR="00DC376D" w:rsidRDefault="00DC376D" w:rsidP="00DC376D">
      <w:pPr>
        <w:pStyle w:val="IN"/>
      </w:pPr>
      <w:r>
        <w:t>Display the</w:t>
      </w:r>
      <w:r w:rsidRPr="002C38DB">
        <w:t xml:space="preserve"> prompt for students to see</w:t>
      </w:r>
      <w:r>
        <w:t>, or provide the prompt in</w:t>
      </w:r>
      <w:r w:rsidRPr="002C38DB">
        <w:t xml:space="preserve"> hard copy</w:t>
      </w:r>
      <w:r>
        <w:t>.</w:t>
      </w:r>
    </w:p>
    <w:p w14:paraId="6241A4CE" w14:textId="1E1D7D30" w:rsidR="00DC376D" w:rsidRDefault="00DC376D" w:rsidP="00DC376D">
      <w:pPr>
        <w:pStyle w:val="TA"/>
        <w:rPr>
          <w:rFonts w:cs="Cambria"/>
        </w:rPr>
      </w:pPr>
      <w:r>
        <w:rPr>
          <w:rFonts w:cs="Cambria"/>
        </w:rPr>
        <w:t>Transit</w:t>
      </w:r>
      <w:r w:rsidR="00BD7D8C">
        <w:rPr>
          <w:rFonts w:cs="Cambria"/>
        </w:rPr>
        <w:t xml:space="preserve">ion to the independent </w:t>
      </w:r>
      <w:r>
        <w:rPr>
          <w:rFonts w:cs="Cambria"/>
        </w:rPr>
        <w:t>Quick Write.</w:t>
      </w:r>
      <w:r w:rsidRPr="000149E8">
        <w:t xml:space="preserve"> </w:t>
      </w:r>
    </w:p>
    <w:p w14:paraId="0B5C51B3" w14:textId="6C586C68" w:rsidR="00DC376D" w:rsidRDefault="00DC376D" w:rsidP="00DC376D">
      <w:pPr>
        <w:pStyle w:val="SA"/>
        <w:numPr>
          <w:ilvl w:val="0"/>
          <w:numId w:val="8"/>
        </w:numPr>
      </w:pPr>
      <w:r>
        <w:t xml:space="preserve">Students independently answer the prompt using evidence from the text. </w:t>
      </w:r>
    </w:p>
    <w:p w14:paraId="6FB6F1DA" w14:textId="77777777" w:rsidR="00790BCC" w:rsidRDefault="00DC376D" w:rsidP="007017EB">
      <w:pPr>
        <w:pStyle w:val="SR"/>
      </w:pPr>
      <w:r>
        <w:t>See the High Performance Response at the beginning of this lesson.</w:t>
      </w:r>
    </w:p>
    <w:p w14:paraId="7F16CE3A" w14:textId="28F28C4B" w:rsidR="00F8693E" w:rsidRPr="00790BCC" w:rsidRDefault="00F8693E" w:rsidP="00B92D0F">
      <w:pPr>
        <w:pStyle w:val="IN"/>
      </w:pPr>
      <w:r w:rsidRPr="00CC17BD">
        <w:t>Consider using the Short Response Rubric to assess students’ writing. Students may use the Short Response Rubric and Checklist to guide their written responses.</w:t>
      </w:r>
    </w:p>
    <w:p w14:paraId="7CDC03E3" w14:textId="75172D83" w:rsidR="00790BCC" w:rsidRPr="00790BCC" w:rsidRDefault="00AA12D8" w:rsidP="007017EB">
      <w:pPr>
        <w:pStyle w:val="LearningSequenceHeader"/>
      </w:pPr>
      <w:r>
        <w:lastRenderedPageBreak/>
        <w:t>Activity 5</w:t>
      </w:r>
      <w:r w:rsidR="00790BCC" w:rsidRPr="00790BCC">
        <w:t>: Closing</w:t>
      </w:r>
      <w:r w:rsidR="00790BCC" w:rsidRPr="00790BCC">
        <w:tab/>
        <w:t>5%</w:t>
      </w:r>
    </w:p>
    <w:p w14:paraId="1F8E258F" w14:textId="567FCCB3" w:rsidR="00853741" w:rsidRPr="00046DD8" w:rsidRDefault="00046DD8" w:rsidP="007017EB">
      <w:pPr>
        <w:pStyle w:val="TA"/>
        <w:rPr>
          <w:rFonts w:eastAsia="Times New Roman"/>
        </w:rPr>
      </w:pPr>
      <w:r w:rsidRPr="004C2930">
        <w:t xml:space="preserve">Display and distribute the homework assignment. For homework, instruct students to </w:t>
      </w:r>
      <w:r w:rsidRPr="004C2930">
        <w:rPr>
          <w:shd w:val="clear" w:color="auto" w:fill="FFFFFF"/>
        </w:rPr>
        <w:t>read</w:t>
      </w:r>
      <w:r>
        <w:rPr>
          <w:shd w:val="clear" w:color="auto" w:fill="FFFFFF"/>
        </w:rPr>
        <w:t xml:space="preserve"> and annotate </w:t>
      </w:r>
      <w:r>
        <w:t>pages 243</w:t>
      </w:r>
      <w:r w:rsidR="001465A3">
        <w:t>–</w:t>
      </w:r>
      <w:r>
        <w:t xml:space="preserve">249 in </w:t>
      </w:r>
      <w:r w:rsidRPr="00046DD8">
        <w:rPr>
          <w:i/>
        </w:rPr>
        <w:t>Guns, Germs, and Steel</w:t>
      </w:r>
      <w:r>
        <w:t xml:space="preserve"> (from “Where do innovations actually come from?” </w:t>
      </w:r>
      <w:r w:rsidR="00DE7B8A" w:rsidRPr="000078B7">
        <w:t>For all societies</w:t>
      </w:r>
      <w:r w:rsidR="00DE7B8A">
        <w:t xml:space="preserve">” </w:t>
      </w:r>
      <w:r>
        <w:t>to “induced numerous investors to lend money to Gutenberg”)</w:t>
      </w:r>
      <w:r w:rsidR="00C57F96">
        <w:rPr>
          <w:rFonts w:eastAsia="Times New Roman"/>
          <w:color w:val="4F81BD" w:themeColor="accent1"/>
          <w:shd w:val="clear" w:color="auto" w:fill="FFFFFF"/>
        </w:rPr>
        <w:t xml:space="preserve"> (W</w:t>
      </w:r>
      <w:r w:rsidR="00A25C2E" w:rsidRPr="004A3505">
        <w:rPr>
          <w:rFonts w:eastAsia="Times New Roman"/>
          <w:color w:val="4F81BD" w:themeColor="accent1"/>
          <w:shd w:val="clear" w:color="auto" w:fill="FFFFFF"/>
        </w:rPr>
        <w:t>.11-12.9.</w:t>
      </w:r>
      <w:r w:rsidR="00EE34B5" w:rsidRPr="004A3505">
        <w:rPr>
          <w:rFonts w:eastAsia="Times New Roman"/>
          <w:color w:val="4F81BD" w:themeColor="accent1"/>
          <w:shd w:val="clear" w:color="auto" w:fill="FFFFFF"/>
        </w:rPr>
        <w:t>b</w:t>
      </w:r>
      <w:r w:rsidR="00A25C2E" w:rsidRPr="004A3505">
        <w:rPr>
          <w:rFonts w:eastAsia="Times New Roman"/>
          <w:color w:val="4F81BD" w:themeColor="accent1"/>
          <w:shd w:val="clear" w:color="auto" w:fill="FFFFFF"/>
        </w:rPr>
        <w:t>)</w:t>
      </w:r>
      <w:r w:rsidRPr="006360CD">
        <w:t>.</w:t>
      </w:r>
      <w:r w:rsidRPr="00A25C2E">
        <w:t xml:space="preserve"> </w:t>
      </w:r>
      <w:r w:rsidR="004A3505">
        <w:rPr>
          <w:rFonts w:eastAsia="Times New Roman"/>
        </w:rPr>
        <w:t xml:space="preserve">Direct </w:t>
      </w:r>
      <w:r w:rsidRPr="007B2BBE">
        <w:rPr>
          <w:rFonts w:eastAsia="Times New Roman"/>
        </w:rPr>
        <w:t>students</w:t>
      </w:r>
      <w:r>
        <w:rPr>
          <w:rFonts w:eastAsia="Times New Roman"/>
        </w:rPr>
        <w:t xml:space="preserve"> to box any unfamiliar words and</w:t>
      </w:r>
      <w:r w:rsidRPr="007B2BBE">
        <w:rPr>
          <w:rFonts w:eastAsia="Times New Roman"/>
        </w:rPr>
        <w:t xml:space="preserve"> look up their definitions</w:t>
      </w:r>
      <w:r>
        <w:rPr>
          <w:rFonts w:eastAsia="Times New Roman"/>
        </w:rPr>
        <w:t xml:space="preserve">. Instruct students to </w:t>
      </w:r>
      <w:r w:rsidRPr="007B2BBE">
        <w:rPr>
          <w:rFonts w:eastAsia="Times New Roman"/>
        </w:rPr>
        <w:t>choose the definition that makes the most sense in</w:t>
      </w:r>
      <w:r w:rsidR="00EB1CA8">
        <w:rPr>
          <w:rFonts w:eastAsia="Times New Roman"/>
        </w:rPr>
        <w:t xml:space="preserve"> </w:t>
      </w:r>
      <w:r w:rsidRPr="007B2BBE">
        <w:rPr>
          <w:rFonts w:eastAsia="Times New Roman"/>
        </w:rPr>
        <w:t>context</w:t>
      </w:r>
      <w:r>
        <w:rPr>
          <w:rFonts w:eastAsia="Times New Roman"/>
        </w:rPr>
        <w:t>, and w</w:t>
      </w:r>
      <w:r w:rsidRPr="007B2BBE">
        <w:rPr>
          <w:rFonts w:eastAsia="Times New Roman"/>
        </w:rPr>
        <w:t>rite a brief definition above or near the word in the text</w:t>
      </w:r>
      <w:r w:rsidR="00A25C2E">
        <w:rPr>
          <w:rFonts w:eastAsia="Times New Roman"/>
        </w:rPr>
        <w:t xml:space="preserve"> </w:t>
      </w:r>
      <w:r w:rsidR="00A25C2E" w:rsidRPr="004A3505">
        <w:rPr>
          <w:rFonts w:eastAsia="Times New Roman"/>
          <w:color w:val="4F81BD" w:themeColor="accent1"/>
          <w:shd w:val="clear" w:color="auto" w:fill="FFFFFF"/>
        </w:rPr>
        <w:t>(L.11-12.4.c)</w:t>
      </w:r>
      <w:r w:rsidR="00A25C2E" w:rsidRPr="006360CD">
        <w:rPr>
          <w:rFonts w:eastAsia="Times New Roman"/>
          <w:shd w:val="clear" w:color="auto" w:fill="FFFFFF"/>
        </w:rPr>
        <w:t>.</w:t>
      </w:r>
      <w:r w:rsidRPr="004A3505">
        <w:rPr>
          <w:rFonts w:eastAsia="Times New Roman"/>
          <w:color w:val="4F81BD" w:themeColor="accent1"/>
        </w:rPr>
        <w:t xml:space="preserve"> </w:t>
      </w:r>
      <w:r w:rsidR="003A741D">
        <w:rPr>
          <w:rFonts w:eastAsia="Times New Roman"/>
        </w:rPr>
        <w:t xml:space="preserve">Additionally, </w:t>
      </w:r>
      <w:r w:rsidR="003A741D">
        <w:t>i</w:t>
      </w:r>
      <w:r w:rsidR="00C335CF">
        <w:t>nstruct students to continue</w:t>
      </w:r>
      <w:r w:rsidR="003A741D">
        <w:t xml:space="preserve"> the research process by</w:t>
      </w:r>
      <w:r w:rsidR="00C335CF">
        <w:t xml:space="preserve"> surfac</w:t>
      </w:r>
      <w:r w:rsidR="003A741D">
        <w:t>ing</w:t>
      </w:r>
      <w:r w:rsidR="00C335CF">
        <w:t xml:space="preserve"> issues and </w:t>
      </w:r>
      <w:r w:rsidR="003A741D">
        <w:t>generating</w:t>
      </w:r>
      <w:r w:rsidR="00C335CF">
        <w:t xml:space="preserve"> inquiry questions</w:t>
      </w:r>
      <w:r w:rsidR="00C57F96">
        <w:t xml:space="preserve"> as they read and analyze the text</w:t>
      </w:r>
      <w:r w:rsidR="003A741D">
        <w:t>.</w:t>
      </w:r>
    </w:p>
    <w:p w14:paraId="5EBBFE92" w14:textId="77777777" w:rsidR="00853741" w:rsidRPr="00790BCC" w:rsidRDefault="00853741" w:rsidP="007017EB">
      <w:pPr>
        <w:pStyle w:val="SA"/>
        <w:numPr>
          <w:ilvl w:val="0"/>
          <w:numId w:val="8"/>
        </w:numPr>
      </w:pPr>
      <w:r>
        <w:t xml:space="preserve">Students follow along. </w:t>
      </w:r>
    </w:p>
    <w:p w14:paraId="6D222298" w14:textId="77777777" w:rsidR="00790BCC" w:rsidRPr="00790BCC" w:rsidRDefault="00790BCC" w:rsidP="007017EB">
      <w:pPr>
        <w:pStyle w:val="Heading1"/>
      </w:pPr>
      <w:r w:rsidRPr="00790BCC">
        <w:t>Homework</w:t>
      </w:r>
    </w:p>
    <w:p w14:paraId="6D7D91ED" w14:textId="77777777" w:rsidR="00EB1CA8" w:rsidRDefault="00046DD8" w:rsidP="00324CD9">
      <w:r w:rsidRPr="00046DD8">
        <w:t>R</w:t>
      </w:r>
      <w:r w:rsidR="00853741" w:rsidRPr="00046DD8">
        <w:t>ead</w:t>
      </w:r>
      <w:r w:rsidRPr="00046DD8">
        <w:t xml:space="preserve"> and annotate</w:t>
      </w:r>
      <w:r w:rsidR="00853741" w:rsidRPr="00046DD8">
        <w:t xml:space="preserve"> pages 243</w:t>
      </w:r>
      <w:r w:rsidR="001465A3">
        <w:t>–</w:t>
      </w:r>
      <w:r w:rsidR="00853741" w:rsidRPr="00046DD8">
        <w:t xml:space="preserve">249 in </w:t>
      </w:r>
      <w:r w:rsidR="00853741" w:rsidRPr="00D33DA7">
        <w:rPr>
          <w:i/>
        </w:rPr>
        <w:t>Guns, Germs, and Steel</w:t>
      </w:r>
      <w:r w:rsidRPr="00046DD8">
        <w:t xml:space="preserve"> (</w:t>
      </w:r>
      <w:r w:rsidR="00853741" w:rsidRPr="00046DD8">
        <w:t>from “Where do innovations actually come from?</w:t>
      </w:r>
      <w:r w:rsidR="00DE7B8A">
        <w:t xml:space="preserve"> </w:t>
      </w:r>
      <w:r w:rsidR="00DE7B8A" w:rsidRPr="000078B7">
        <w:t>For all societies</w:t>
      </w:r>
      <w:r w:rsidR="00853741" w:rsidRPr="00046DD8">
        <w:t>” to “induced numerous investors to lend money to Gutenberg”</w:t>
      </w:r>
      <w:r w:rsidRPr="00046DD8">
        <w:t>)</w:t>
      </w:r>
      <w:r w:rsidRPr="006360CD">
        <w:t>.</w:t>
      </w:r>
      <w:r w:rsidRPr="00046DD8">
        <w:t xml:space="preserve"> Box any unfamiliar words and look up their definitions. Choose the definition t</w:t>
      </w:r>
      <w:r w:rsidR="00EB1CA8">
        <w:t xml:space="preserve">hat makes the most sense in </w:t>
      </w:r>
      <w:r w:rsidRPr="00046DD8">
        <w:t>context, and write a brief definition above or near the word in the text</w:t>
      </w:r>
      <w:r w:rsidRPr="006360CD">
        <w:t>.</w:t>
      </w:r>
      <w:r w:rsidR="00C335CF">
        <w:t xml:space="preserve"> </w:t>
      </w:r>
    </w:p>
    <w:p w14:paraId="51960F36" w14:textId="05542D55" w:rsidR="00853741" w:rsidRPr="00046DD8" w:rsidRDefault="00FA7696" w:rsidP="00324CD9">
      <w:r>
        <w:t>Also, c</w:t>
      </w:r>
      <w:r w:rsidR="00166E79">
        <w:t>ontinue</w:t>
      </w:r>
      <w:r>
        <w:t xml:space="preserve"> the research process by</w:t>
      </w:r>
      <w:r w:rsidR="00166E79">
        <w:t xml:space="preserve"> surfac</w:t>
      </w:r>
      <w:r>
        <w:t>ing</w:t>
      </w:r>
      <w:r w:rsidR="00166E79">
        <w:t xml:space="preserve"> issues and pos</w:t>
      </w:r>
      <w:r>
        <w:t>ing</w:t>
      </w:r>
      <w:r w:rsidR="00166E79">
        <w:t xml:space="preserve"> inquiry questions as you read and analyze the text.</w:t>
      </w:r>
    </w:p>
    <w:p w14:paraId="09E370B6" w14:textId="77777777" w:rsidR="00324CD9" w:rsidRDefault="00324CD9" w:rsidP="007017EB">
      <w:pPr>
        <w:rPr>
          <w:rFonts w:ascii="Arial" w:hAnsi="Arial" w:cs="Arial"/>
          <w:color w:val="000000"/>
          <w:sz w:val="23"/>
          <w:szCs w:val="23"/>
        </w:rPr>
        <w:sectPr w:rsidR="00324CD9" w:rsidSect="00D33A43">
          <w:headerReference w:type="default" r:id="rId7"/>
          <w:footerReference w:type="even" r:id="rId8"/>
          <w:footerReference w:type="default" r:id="rId9"/>
          <w:pgSz w:w="12240" w:h="15840"/>
          <w:pgMar w:top="1440" w:right="1440" w:bottom="1440" w:left="1440" w:header="432" w:footer="648" w:gutter="0"/>
          <w:cols w:space="720"/>
          <w:docGrid w:linePitch="299"/>
        </w:sectPr>
      </w:pPr>
    </w:p>
    <w:p w14:paraId="1649F0D0" w14:textId="7E9854D4" w:rsidR="00720959" w:rsidRDefault="00720959" w:rsidP="00720959">
      <w:pPr>
        <w:pStyle w:val="ToolHeader"/>
      </w:pPr>
      <w:r>
        <w:lastRenderedPageBreak/>
        <w:t xml:space="preserve">Model Surfacing Issues Tool </w:t>
      </w:r>
    </w:p>
    <w:tbl>
      <w:tblPr>
        <w:tblW w:w="94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00"/>
        <w:gridCol w:w="2674"/>
        <w:gridCol w:w="732"/>
        <w:gridCol w:w="2922"/>
        <w:gridCol w:w="720"/>
        <w:gridCol w:w="1402"/>
      </w:tblGrid>
      <w:tr w:rsidR="00324CD9" w:rsidRPr="00707670" w14:paraId="4DD70E18" w14:textId="77777777" w:rsidTr="00324CD9">
        <w:trPr>
          <w:trHeight w:val="557"/>
        </w:trPr>
        <w:tc>
          <w:tcPr>
            <w:tcW w:w="1000" w:type="dxa"/>
            <w:shd w:val="clear" w:color="auto" w:fill="D9D9D9"/>
            <w:vAlign w:val="center"/>
          </w:tcPr>
          <w:p w14:paraId="7576E7F5" w14:textId="77777777" w:rsidR="00324CD9" w:rsidRPr="00441941" w:rsidRDefault="00324CD9" w:rsidP="00324CD9">
            <w:pPr>
              <w:pStyle w:val="TableText"/>
              <w:rPr>
                <w:b/>
                <w:bCs/>
              </w:rPr>
            </w:pPr>
            <w:r w:rsidRPr="00441941">
              <w:rPr>
                <w:b/>
                <w:bCs/>
              </w:rPr>
              <w:t>Name:</w:t>
            </w:r>
          </w:p>
        </w:tc>
        <w:tc>
          <w:tcPr>
            <w:tcW w:w="2674" w:type="dxa"/>
            <w:vAlign w:val="center"/>
          </w:tcPr>
          <w:p w14:paraId="6DAD9D55" w14:textId="77777777" w:rsidR="00324CD9" w:rsidRPr="00441941" w:rsidRDefault="00324CD9" w:rsidP="00324CD9">
            <w:pPr>
              <w:pStyle w:val="TableText"/>
              <w:rPr>
                <w:b/>
                <w:bCs/>
              </w:rPr>
            </w:pPr>
          </w:p>
        </w:tc>
        <w:tc>
          <w:tcPr>
            <w:tcW w:w="732" w:type="dxa"/>
            <w:shd w:val="clear" w:color="auto" w:fill="D9D9D9"/>
            <w:vAlign w:val="center"/>
          </w:tcPr>
          <w:p w14:paraId="3879C57C" w14:textId="77777777" w:rsidR="00324CD9" w:rsidRPr="00441941" w:rsidRDefault="00324CD9" w:rsidP="00324CD9">
            <w:pPr>
              <w:pStyle w:val="TableText"/>
              <w:rPr>
                <w:b/>
                <w:bCs/>
              </w:rPr>
            </w:pPr>
            <w:r w:rsidRPr="00441941">
              <w:rPr>
                <w:b/>
                <w:bCs/>
              </w:rPr>
              <w:t>Class:</w:t>
            </w:r>
          </w:p>
        </w:tc>
        <w:tc>
          <w:tcPr>
            <w:tcW w:w="2922" w:type="dxa"/>
            <w:vAlign w:val="center"/>
          </w:tcPr>
          <w:p w14:paraId="3299E669" w14:textId="77777777" w:rsidR="00324CD9" w:rsidRPr="00441941" w:rsidRDefault="00324CD9" w:rsidP="00324CD9">
            <w:pPr>
              <w:pStyle w:val="TableText"/>
              <w:rPr>
                <w:b/>
                <w:bCs/>
              </w:rPr>
            </w:pPr>
          </w:p>
        </w:tc>
        <w:tc>
          <w:tcPr>
            <w:tcW w:w="720" w:type="dxa"/>
            <w:shd w:val="clear" w:color="auto" w:fill="D9D9D9"/>
            <w:vAlign w:val="center"/>
          </w:tcPr>
          <w:p w14:paraId="5529251B" w14:textId="77777777" w:rsidR="00324CD9" w:rsidRPr="00441941" w:rsidRDefault="00324CD9" w:rsidP="00324CD9">
            <w:pPr>
              <w:pStyle w:val="TableText"/>
              <w:rPr>
                <w:b/>
                <w:bCs/>
              </w:rPr>
            </w:pPr>
            <w:r w:rsidRPr="00441941">
              <w:rPr>
                <w:b/>
                <w:bCs/>
              </w:rPr>
              <w:t>Date:</w:t>
            </w:r>
          </w:p>
        </w:tc>
        <w:tc>
          <w:tcPr>
            <w:tcW w:w="1402" w:type="dxa"/>
            <w:vAlign w:val="center"/>
          </w:tcPr>
          <w:p w14:paraId="26816A48" w14:textId="77777777" w:rsidR="00324CD9" w:rsidRPr="00441941" w:rsidRDefault="00324CD9" w:rsidP="00324CD9">
            <w:pPr>
              <w:pStyle w:val="TableText"/>
              <w:rPr>
                <w:b/>
                <w:bCs/>
              </w:rPr>
            </w:pPr>
          </w:p>
        </w:tc>
      </w:tr>
    </w:tbl>
    <w:p w14:paraId="4E448290" w14:textId="77777777" w:rsidR="00324CD9" w:rsidRPr="00EB1CA8" w:rsidRDefault="00324CD9" w:rsidP="00324CD9">
      <w:pPr>
        <w:spacing w:before="0" w:after="0"/>
        <w:rPr>
          <w:b/>
          <w:bCs/>
          <w:sz w:val="10"/>
          <w:szCs w:val="1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50"/>
      </w:tblGrid>
      <w:tr w:rsidR="00324CD9" w:rsidRPr="00707670" w14:paraId="1A2540E7" w14:textId="77777777" w:rsidTr="00324CD9">
        <w:trPr>
          <w:trHeight w:val="562"/>
        </w:trPr>
        <w:tc>
          <w:tcPr>
            <w:tcW w:w="9450" w:type="dxa"/>
            <w:shd w:val="clear" w:color="auto" w:fill="D9D9D9"/>
            <w:vAlign w:val="center"/>
          </w:tcPr>
          <w:p w14:paraId="3551B1F8" w14:textId="77777777" w:rsidR="00324CD9" w:rsidRPr="00441941" w:rsidRDefault="00324CD9" w:rsidP="00324CD9">
            <w:pPr>
              <w:pStyle w:val="ToolTableText"/>
              <w:rPr>
                <w:b/>
                <w:bCs/>
              </w:rPr>
            </w:pPr>
            <w:r w:rsidRPr="00441941">
              <w:rPr>
                <w:b/>
                <w:bCs/>
              </w:rPr>
              <w:t xml:space="preserve">Directions: </w:t>
            </w:r>
            <w:r w:rsidRPr="00C604EF">
              <w:t>As you read, look for issues that are suggested in the text. Remember that an issue is an important aspect of human society for which there are many different opinions about what to think or do. Summarize the is</w:t>
            </w:r>
            <w:r>
              <w:t>sue succinctly, and note the page</w:t>
            </w:r>
            <w:r w:rsidRPr="00C604EF">
              <w:t xml:space="preserve"> number and what the text says about the issue in the correct columns.</w:t>
            </w:r>
          </w:p>
        </w:tc>
      </w:tr>
    </w:tbl>
    <w:p w14:paraId="4B8CA239" w14:textId="77777777" w:rsidR="00720959" w:rsidRPr="00646088" w:rsidRDefault="00720959" w:rsidP="00720959">
      <w:pPr>
        <w:spacing w:before="0" w:after="0"/>
        <w:rPr>
          <w:sz w:val="10"/>
        </w:rPr>
      </w:pPr>
    </w:p>
    <w:tbl>
      <w:tblPr>
        <w:tblStyle w:val="TableGrid"/>
        <w:tblW w:w="0" w:type="auto"/>
        <w:tblInd w:w="108" w:type="dxa"/>
        <w:tblLook w:val="04A0" w:firstRow="1" w:lastRow="0" w:firstColumn="1" w:lastColumn="0" w:noHBand="0" w:noVBand="1"/>
      </w:tblPr>
      <w:tblGrid>
        <w:gridCol w:w="3084"/>
        <w:gridCol w:w="3192"/>
        <w:gridCol w:w="3174"/>
      </w:tblGrid>
      <w:tr w:rsidR="00720959" w:rsidRPr="00324CD9" w14:paraId="21FF8D1C" w14:textId="77777777" w:rsidTr="00324CD9">
        <w:tc>
          <w:tcPr>
            <w:tcW w:w="3084" w:type="dxa"/>
            <w:shd w:val="clear" w:color="auto" w:fill="D9D9D9" w:themeFill="background1" w:themeFillShade="D9"/>
          </w:tcPr>
          <w:p w14:paraId="6D385386" w14:textId="77777777" w:rsidR="00720959" w:rsidRPr="00324CD9" w:rsidRDefault="00720959" w:rsidP="00566205">
            <w:pPr>
              <w:pStyle w:val="ToolTableText"/>
              <w:rPr>
                <w:b/>
                <w:sz w:val="22"/>
                <w:szCs w:val="22"/>
              </w:rPr>
            </w:pPr>
            <w:r w:rsidRPr="00324CD9">
              <w:rPr>
                <w:b/>
                <w:sz w:val="22"/>
                <w:szCs w:val="22"/>
              </w:rPr>
              <w:t>Issue</w:t>
            </w:r>
          </w:p>
        </w:tc>
        <w:tc>
          <w:tcPr>
            <w:tcW w:w="3192" w:type="dxa"/>
            <w:shd w:val="clear" w:color="auto" w:fill="D9D9D9" w:themeFill="background1" w:themeFillShade="D9"/>
          </w:tcPr>
          <w:p w14:paraId="24E92E52" w14:textId="77777777" w:rsidR="00720959" w:rsidRPr="00324CD9" w:rsidRDefault="00720959" w:rsidP="00566205">
            <w:pPr>
              <w:pStyle w:val="ToolTableText"/>
              <w:rPr>
                <w:b/>
                <w:sz w:val="22"/>
                <w:szCs w:val="22"/>
              </w:rPr>
            </w:pPr>
            <w:r w:rsidRPr="00324CD9">
              <w:rPr>
                <w:b/>
                <w:sz w:val="22"/>
                <w:szCs w:val="22"/>
              </w:rPr>
              <w:t>Page(s)</w:t>
            </w:r>
          </w:p>
        </w:tc>
        <w:tc>
          <w:tcPr>
            <w:tcW w:w="3174" w:type="dxa"/>
            <w:shd w:val="clear" w:color="auto" w:fill="D9D9D9" w:themeFill="background1" w:themeFillShade="D9"/>
          </w:tcPr>
          <w:p w14:paraId="20A2D62F" w14:textId="20AAF6FC" w:rsidR="00720959" w:rsidRPr="00324CD9" w:rsidRDefault="00720959" w:rsidP="00C57F96">
            <w:pPr>
              <w:pStyle w:val="ToolTableText"/>
              <w:rPr>
                <w:b/>
                <w:sz w:val="22"/>
                <w:szCs w:val="22"/>
              </w:rPr>
            </w:pPr>
            <w:r w:rsidRPr="00324CD9">
              <w:rPr>
                <w:b/>
                <w:sz w:val="22"/>
                <w:szCs w:val="22"/>
              </w:rPr>
              <w:t xml:space="preserve">Key </w:t>
            </w:r>
            <w:r w:rsidR="00C57F96">
              <w:rPr>
                <w:b/>
                <w:sz w:val="22"/>
                <w:szCs w:val="22"/>
              </w:rPr>
              <w:t>i</w:t>
            </w:r>
            <w:r w:rsidRPr="00324CD9">
              <w:rPr>
                <w:b/>
                <w:sz w:val="22"/>
                <w:szCs w:val="22"/>
              </w:rPr>
              <w:t xml:space="preserve">nformation about the </w:t>
            </w:r>
            <w:r w:rsidR="00C57F96">
              <w:rPr>
                <w:b/>
                <w:sz w:val="22"/>
                <w:szCs w:val="22"/>
              </w:rPr>
              <w:t>i</w:t>
            </w:r>
            <w:r w:rsidRPr="00324CD9">
              <w:rPr>
                <w:b/>
                <w:sz w:val="22"/>
                <w:szCs w:val="22"/>
              </w:rPr>
              <w:t xml:space="preserve">ssue from the </w:t>
            </w:r>
            <w:r w:rsidR="00C57F96">
              <w:rPr>
                <w:b/>
                <w:sz w:val="22"/>
                <w:szCs w:val="22"/>
              </w:rPr>
              <w:t>t</w:t>
            </w:r>
            <w:r w:rsidRPr="00324CD9">
              <w:rPr>
                <w:b/>
                <w:sz w:val="22"/>
                <w:szCs w:val="22"/>
              </w:rPr>
              <w:t>ext</w:t>
            </w:r>
          </w:p>
        </w:tc>
      </w:tr>
      <w:tr w:rsidR="00720959" w:rsidRPr="00324CD9" w14:paraId="374FBC2F" w14:textId="77777777" w:rsidTr="00324CD9">
        <w:tc>
          <w:tcPr>
            <w:tcW w:w="3084" w:type="dxa"/>
          </w:tcPr>
          <w:p w14:paraId="6B7791DC" w14:textId="61D8E2BD" w:rsidR="00720959" w:rsidRPr="00324CD9" w:rsidRDefault="00975219" w:rsidP="00324CD9">
            <w:pPr>
              <w:pStyle w:val="ToolTableText"/>
              <w:rPr>
                <w:sz w:val="22"/>
                <w:szCs w:val="22"/>
              </w:rPr>
            </w:pPr>
            <w:r w:rsidRPr="00324CD9">
              <w:rPr>
                <w:sz w:val="22"/>
                <w:szCs w:val="22"/>
              </w:rPr>
              <w:t xml:space="preserve">Prestige of designer products </w:t>
            </w:r>
          </w:p>
        </w:tc>
        <w:tc>
          <w:tcPr>
            <w:tcW w:w="3192" w:type="dxa"/>
          </w:tcPr>
          <w:p w14:paraId="6523A439" w14:textId="79F30BEE" w:rsidR="00720959" w:rsidRPr="00324CD9" w:rsidRDefault="00975219" w:rsidP="00324CD9">
            <w:pPr>
              <w:pStyle w:val="ToolTableText"/>
              <w:rPr>
                <w:sz w:val="22"/>
                <w:szCs w:val="22"/>
              </w:rPr>
            </w:pPr>
            <w:r w:rsidRPr="00324CD9">
              <w:rPr>
                <w:sz w:val="22"/>
                <w:szCs w:val="22"/>
              </w:rPr>
              <w:t>237</w:t>
            </w:r>
          </w:p>
        </w:tc>
        <w:tc>
          <w:tcPr>
            <w:tcW w:w="3174" w:type="dxa"/>
          </w:tcPr>
          <w:p w14:paraId="23600FED" w14:textId="59D1EA4D" w:rsidR="00720959" w:rsidRPr="00324CD9" w:rsidRDefault="007522B4" w:rsidP="00C57F96">
            <w:pPr>
              <w:pStyle w:val="ToolTableText"/>
              <w:rPr>
                <w:sz w:val="22"/>
                <w:szCs w:val="22"/>
              </w:rPr>
            </w:pPr>
            <w:r w:rsidRPr="00324CD9">
              <w:rPr>
                <w:sz w:val="22"/>
                <w:szCs w:val="22"/>
              </w:rPr>
              <w:t xml:space="preserve">Diamond </w:t>
            </w:r>
            <w:r w:rsidR="00975219" w:rsidRPr="00324CD9">
              <w:rPr>
                <w:sz w:val="22"/>
                <w:szCs w:val="22"/>
              </w:rPr>
              <w:t>states that “social value and prestige” (p. 237) play a role in whether a society adopts a technology, and</w:t>
            </w:r>
            <w:r w:rsidR="00C57F96">
              <w:rPr>
                <w:sz w:val="22"/>
                <w:szCs w:val="22"/>
              </w:rPr>
              <w:t xml:space="preserve"> he </w:t>
            </w:r>
            <w:r w:rsidR="00975219" w:rsidRPr="00324CD9">
              <w:rPr>
                <w:sz w:val="22"/>
                <w:szCs w:val="22"/>
              </w:rPr>
              <w:t xml:space="preserve">provides the example of designer products. </w:t>
            </w:r>
          </w:p>
        </w:tc>
      </w:tr>
      <w:tr w:rsidR="00720959" w:rsidRPr="00324CD9" w14:paraId="4F85697F" w14:textId="77777777" w:rsidTr="00324CD9">
        <w:tc>
          <w:tcPr>
            <w:tcW w:w="3084" w:type="dxa"/>
          </w:tcPr>
          <w:p w14:paraId="08F31CB0" w14:textId="6C0AEE15" w:rsidR="00720959" w:rsidRPr="00324CD9" w:rsidRDefault="00975219" w:rsidP="00324CD9">
            <w:pPr>
              <w:pStyle w:val="ToolTableText"/>
              <w:rPr>
                <w:sz w:val="22"/>
                <w:szCs w:val="22"/>
              </w:rPr>
            </w:pPr>
            <w:r w:rsidRPr="00324CD9">
              <w:rPr>
                <w:sz w:val="22"/>
                <w:szCs w:val="22"/>
              </w:rPr>
              <w:t>Government regulation of new technologies</w:t>
            </w:r>
          </w:p>
        </w:tc>
        <w:tc>
          <w:tcPr>
            <w:tcW w:w="3192" w:type="dxa"/>
          </w:tcPr>
          <w:p w14:paraId="71A03598" w14:textId="1E5B9B52" w:rsidR="00720959" w:rsidRPr="00324CD9" w:rsidRDefault="00975219" w:rsidP="00324CD9">
            <w:pPr>
              <w:pStyle w:val="ToolTableText"/>
              <w:rPr>
                <w:sz w:val="22"/>
                <w:szCs w:val="22"/>
              </w:rPr>
            </w:pPr>
            <w:r w:rsidRPr="00324CD9">
              <w:rPr>
                <w:sz w:val="22"/>
                <w:szCs w:val="22"/>
              </w:rPr>
              <w:t>238</w:t>
            </w:r>
          </w:p>
        </w:tc>
        <w:tc>
          <w:tcPr>
            <w:tcW w:w="3174" w:type="dxa"/>
          </w:tcPr>
          <w:p w14:paraId="2A35081F" w14:textId="7709020D" w:rsidR="00720959" w:rsidRPr="00324CD9" w:rsidRDefault="00975219" w:rsidP="00324CD9">
            <w:pPr>
              <w:pStyle w:val="ToolTableText"/>
              <w:rPr>
                <w:sz w:val="22"/>
                <w:szCs w:val="22"/>
              </w:rPr>
            </w:pPr>
            <w:r w:rsidRPr="00324CD9">
              <w:rPr>
                <w:sz w:val="22"/>
                <w:szCs w:val="22"/>
              </w:rPr>
              <w:t xml:space="preserve">British cities still used gas lighting because “regulatory obstacles” (p. 238) </w:t>
            </w:r>
            <w:r w:rsidR="00993AB3" w:rsidRPr="00324CD9">
              <w:rPr>
                <w:sz w:val="22"/>
                <w:szCs w:val="22"/>
              </w:rPr>
              <w:t>prevented electric</w:t>
            </w:r>
            <w:r w:rsidR="003242FA" w:rsidRPr="00324CD9">
              <w:rPr>
                <w:sz w:val="22"/>
                <w:szCs w:val="22"/>
              </w:rPr>
              <w:t xml:space="preserve">ity </w:t>
            </w:r>
            <w:r w:rsidR="00993AB3" w:rsidRPr="00324CD9">
              <w:rPr>
                <w:sz w:val="22"/>
                <w:szCs w:val="22"/>
              </w:rPr>
              <w:t>companies from establishing electric light systems</w:t>
            </w:r>
            <w:r w:rsidR="003242FA" w:rsidRPr="00324CD9">
              <w:rPr>
                <w:sz w:val="22"/>
                <w:szCs w:val="22"/>
              </w:rPr>
              <w:t xml:space="preserve"> even though electricity was available. </w:t>
            </w:r>
          </w:p>
        </w:tc>
      </w:tr>
      <w:tr w:rsidR="00720959" w:rsidRPr="00324CD9" w14:paraId="0995454F" w14:textId="77777777" w:rsidTr="00324CD9">
        <w:tc>
          <w:tcPr>
            <w:tcW w:w="3084" w:type="dxa"/>
          </w:tcPr>
          <w:p w14:paraId="2E07DD15" w14:textId="62651CDF" w:rsidR="00720959" w:rsidRPr="00324CD9" w:rsidRDefault="00F312B5" w:rsidP="00324CD9">
            <w:pPr>
              <w:pStyle w:val="ToolTableText"/>
              <w:rPr>
                <w:sz w:val="22"/>
                <w:szCs w:val="22"/>
              </w:rPr>
            </w:pPr>
            <w:r w:rsidRPr="00324CD9">
              <w:rPr>
                <w:sz w:val="22"/>
                <w:szCs w:val="22"/>
              </w:rPr>
              <w:t>Cheap slave labor or low-wage labor</w:t>
            </w:r>
          </w:p>
        </w:tc>
        <w:tc>
          <w:tcPr>
            <w:tcW w:w="3192" w:type="dxa"/>
          </w:tcPr>
          <w:p w14:paraId="7EB93EB9" w14:textId="105AA2E1" w:rsidR="00720959" w:rsidRPr="00324CD9" w:rsidRDefault="00F312B5" w:rsidP="00324CD9">
            <w:pPr>
              <w:pStyle w:val="ToolTableText"/>
              <w:rPr>
                <w:sz w:val="22"/>
                <w:szCs w:val="22"/>
              </w:rPr>
            </w:pPr>
            <w:r w:rsidRPr="00324CD9">
              <w:rPr>
                <w:sz w:val="22"/>
                <w:szCs w:val="22"/>
              </w:rPr>
              <w:t>239</w:t>
            </w:r>
          </w:p>
        </w:tc>
        <w:tc>
          <w:tcPr>
            <w:tcW w:w="3174" w:type="dxa"/>
          </w:tcPr>
          <w:p w14:paraId="23A84614" w14:textId="6516741F" w:rsidR="00720959" w:rsidRPr="00324CD9" w:rsidRDefault="00F312B5" w:rsidP="00324CD9">
            <w:pPr>
              <w:pStyle w:val="ToolTableText"/>
              <w:rPr>
                <w:sz w:val="22"/>
                <w:szCs w:val="22"/>
              </w:rPr>
            </w:pPr>
            <w:r w:rsidRPr="00324CD9">
              <w:rPr>
                <w:sz w:val="22"/>
                <w:szCs w:val="22"/>
              </w:rPr>
              <w:t xml:space="preserve">Although “cheap slave labor” </w:t>
            </w:r>
            <w:r w:rsidR="00131F24">
              <w:rPr>
                <w:sz w:val="22"/>
                <w:szCs w:val="22"/>
              </w:rPr>
              <w:br/>
            </w:r>
            <w:r w:rsidRPr="00324CD9">
              <w:rPr>
                <w:sz w:val="22"/>
                <w:szCs w:val="22"/>
              </w:rPr>
              <w:t>(p. 239) is a factor in increased receptivity to technology, it is not acceptable by modern day standards. However, low</w:t>
            </w:r>
            <w:r w:rsidR="00131F24">
              <w:rPr>
                <w:sz w:val="22"/>
                <w:szCs w:val="22"/>
              </w:rPr>
              <w:t>-</w:t>
            </w:r>
            <w:r w:rsidRPr="00324CD9">
              <w:rPr>
                <w:sz w:val="22"/>
                <w:szCs w:val="22"/>
              </w:rPr>
              <w:t xml:space="preserve">wage work still exists. </w:t>
            </w:r>
          </w:p>
        </w:tc>
      </w:tr>
      <w:tr w:rsidR="00720959" w:rsidRPr="00324CD9" w14:paraId="5C9B07E2" w14:textId="77777777" w:rsidTr="00324CD9">
        <w:tc>
          <w:tcPr>
            <w:tcW w:w="3084" w:type="dxa"/>
          </w:tcPr>
          <w:p w14:paraId="3E90AB96" w14:textId="57167E2D" w:rsidR="00720959" w:rsidRPr="00324CD9" w:rsidRDefault="00F312B5" w:rsidP="00324CD9">
            <w:pPr>
              <w:pStyle w:val="ToolTableText"/>
              <w:rPr>
                <w:sz w:val="22"/>
                <w:szCs w:val="22"/>
              </w:rPr>
            </w:pPr>
            <w:r w:rsidRPr="00324CD9">
              <w:rPr>
                <w:sz w:val="22"/>
                <w:szCs w:val="22"/>
              </w:rPr>
              <w:t>Immigration regulation</w:t>
            </w:r>
            <w:r w:rsidR="0053042A" w:rsidRPr="00324CD9">
              <w:rPr>
                <w:sz w:val="22"/>
                <w:szCs w:val="22"/>
              </w:rPr>
              <w:t xml:space="preserve"> and its effects on innovation</w:t>
            </w:r>
          </w:p>
        </w:tc>
        <w:tc>
          <w:tcPr>
            <w:tcW w:w="3192" w:type="dxa"/>
          </w:tcPr>
          <w:p w14:paraId="4F1362B2" w14:textId="31573CB0" w:rsidR="00720959" w:rsidRPr="00324CD9" w:rsidRDefault="00F312B5" w:rsidP="00324CD9">
            <w:pPr>
              <w:pStyle w:val="ToolTableText"/>
              <w:rPr>
                <w:sz w:val="22"/>
                <w:szCs w:val="22"/>
              </w:rPr>
            </w:pPr>
            <w:r w:rsidRPr="00324CD9">
              <w:rPr>
                <w:sz w:val="22"/>
                <w:szCs w:val="22"/>
              </w:rPr>
              <w:t>239</w:t>
            </w:r>
          </w:p>
        </w:tc>
        <w:tc>
          <w:tcPr>
            <w:tcW w:w="3174" w:type="dxa"/>
          </w:tcPr>
          <w:p w14:paraId="35BE3243" w14:textId="41C375AC" w:rsidR="00E55606" w:rsidRPr="00324CD9" w:rsidRDefault="00993AB3" w:rsidP="00324CD9">
            <w:pPr>
              <w:pStyle w:val="ToolTableText"/>
              <w:rPr>
                <w:sz w:val="22"/>
                <w:szCs w:val="22"/>
              </w:rPr>
            </w:pPr>
            <w:r w:rsidRPr="00324CD9">
              <w:rPr>
                <w:sz w:val="22"/>
                <w:szCs w:val="22"/>
              </w:rPr>
              <w:t>Diamond</w:t>
            </w:r>
            <w:r w:rsidR="00F312B5" w:rsidRPr="00324CD9">
              <w:rPr>
                <w:sz w:val="22"/>
                <w:szCs w:val="22"/>
              </w:rPr>
              <w:t xml:space="preserve"> states that “the prospect of changed immigration policies that would cut off the supply of cheap Mexican seasonal labor”</w:t>
            </w:r>
            <w:r w:rsidR="008B5259" w:rsidRPr="00324CD9">
              <w:rPr>
                <w:sz w:val="22"/>
                <w:szCs w:val="22"/>
              </w:rPr>
              <w:t xml:space="preserve"> (p. 239)</w:t>
            </w:r>
            <w:r w:rsidR="00F312B5" w:rsidRPr="00324CD9">
              <w:rPr>
                <w:sz w:val="22"/>
                <w:szCs w:val="22"/>
              </w:rPr>
              <w:t xml:space="preserve"> was a factor in the development of technology to harvest tomatoes by machines. </w:t>
            </w:r>
            <w:r w:rsidR="004A5027">
              <w:rPr>
                <w:sz w:val="22"/>
                <w:szCs w:val="22"/>
              </w:rPr>
              <w:t>These policies</w:t>
            </w:r>
            <w:r w:rsidR="00E55606" w:rsidRPr="00324CD9">
              <w:rPr>
                <w:sz w:val="22"/>
                <w:szCs w:val="22"/>
              </w:rPr>
              <w:t xml:space="preserve"> stimulated innovation that was previously unnecessary </w:t>
            </w:r>
            <w:r w:rsidR="00E55606" w:rsidRPr="00324CD9">
              <w:rPr>
                <w:sz w:val="22"/>
                <w:szCs w:val="22"/>
              </w:rPr>
              <w:lastRenderedPageBreak/>
              <w:t>because of immigrant labor.</w:t>
            </w:r>
          </w:p>
        </w:tc>
      </w:tr>
      <w:tr w:rsidR="00720959" w:rsidRPr="00324CD9" w14:paraId="1D98B942" w14:textId="77777777" w:rsidTr="00324CD9">
        <w:tc>
          <w:tcPr>
            <w:tcW w:w="3084" w:type="dxa"/>
          </w:tcPr>
          <w:p w14:paraId="428A573F" w14:textId="77777777" w:rsidR="00720959" w:rsidRPr="00324CD9" w:rsidRDefault="00720959" w:rsidP="00324CD9">
            <w:pPr>
              <w:pStyle w:val="ToolTableText"/>
              <w:rPr>
                <w:sz w:val="22"/>
                <w:szCs w:val="22"/>
              </w:rPr>
            </w:pPr>
            <w:r w:rsidRPr="00324CD9">
              <w:rPr>
                <w:sz w:val="22"/>
                <w:szCs w:val="22"/>
              </w:rPr>
              <w:lastRenderedPageBreak/>
              <w:t>Patent law</w:t>
            </w:r>
          </w:p>
        </w:tc>
        <w:tc>
          <w:tcPr>
            <w:tcW w:w="3192" w:type="dxa"/>
          </w:tcPr>
          <w:p w14:paraId="5041E62D" w14:textId="7C432A96" w:rsidR="00720959" w:rsidRPr="00324CD9" w:rsidRDefault="00720959" w:rsidP="00324CD9">
            <w:pPr>
              <w:pStyle w:val="ToolTableText"/>
              <w:rPr>
                <w:sz w:val="22"/>
                <w:szCs w:val="22"/>
              </w:rPr>
            </w:pPr>
            <w:r w:rsidRPr="00324CD9">
              <w:rPr>
                <w:sz w:val="22"/>
                <w:szCs w:val="22"/>
              </w:rPr>
              <w:t>23</w:t>
            </w:r>
            <w:r w:rsidR="00F312B5" w:rsidRPr="00324CD9">
              <w:rPr>
                <w:sz w:val="22"/>
                <w:szCs w:val="22"/>
              </w:rPr>
              <w:t>9</w:t>
            </w:r>
          </w:p>
        </w:tc>
        <w:tc>
          <w:tcPr>
            <w:tcW w:w="3174" w:type="dxa"/>
          </w:tcPr>
          <w:p w14:paraId="0B282178" w14:textId="2971B589" w:rsidR="00720959" w:rsidRPr="00324CD9" w:rsidRDefault="00F312B5" w:rsidP="00324CD9">
            <w:pPr>
              <w:pStyle w:val="ToolTableText"/>
              <w:rPr>
                <w:sz w:val="22"/>
                <w:szCs w:val="22"/>
              </w:rPr>
            </w:pPr>
            <w:r w:rsidRPr="00324CD9">
              <w:rPr>
                <w:sz w:val="22"/>
                <w:szCs w:val="22"/>
              </w:rPr>
              <w:t>Diamond states that patents help “protect[] ownership rights of inventors, reward[ing] innovation in the modern West” (p. 239).</w:t>
            </w:r>
          </w:p>
        </w:tc>
      </w:tr>
      <w:tr w:rsidR="00F312B5" w:rsidRPr="00324CD9" w14:paraId="73FC0C20" w14:textId="77777777" w:rsidTr="00324CD9">
        <w:tc>
          <w:tcPr>
            <w:tcW w:w="3084" w:type="dxa"/>
          </w:tcPr>
          <w:p w14:paraId="782A5BE8" w14:textId="2DE5C902" w:rsidR="00F312B5" w:rsidRPr="00324CD9" w:rsidRDefault="00F312B5" w:rsidP="00324CD9">
            <w:pPr>
              <w:pStyle w:val="ToolTableText"/>
              <w:rPr>
                <w:sz w:val="22"/>
                <w:szCs w:val="22"/>
              </w:rPr>
            </w:pPr>
            <w:r w:rsidRPr="00324CD9">
              <w:rPr>
                <w:sz w:val="22"/>
                <w:szCs w:val="22"/>
              </w:rPr>
              <w:t>Capitalism</w:t>
            </w:r>
          </w:p>
        </w:tc>
        <w:tc>
          <w:tcPr>
            <w:tcW w:w="3192" w:type="dxa"/>
          </w:tcPr>
          <w:p w14:paraId="0C14C673" w14:textId="635D0C52" w:rsidR="00F312B5" w:rsidRPr="00324CD9" w:rsidRDefault="00F312B5" w:rsidP="00324CD9">
            <w:pPr>
              <w:pStyle w:val="ToolTableText"/>
              <w:rPr>
                <w:sz w:val="22"/>
                <w:szCs w:val="22"/>
              </w:rPr>
            </w:pPr>
            <w:r w:rsidRPr="00324CD9">
              <w:rPr>
                <w:sz w:val="22"/>
                <w:szCs w:val="22"/>
              </w:rPr>
              <w:t>239</w:t>
            </w:r>
          </w:p>
        </w:tc>
        <w:tc>
          <w:tcPr>
            <w:tcW w:w="3174" w:type="dxa"/>
          </w:tcPr>
          <w:p w14:paraId="140DE44D" w14:textId="0A4E0E4E" w:rsidR="00F312B5" w:rsidRPr="00324CD9" w:rsidRDefault="00F312B5" w:rsidP="00324CD9">
            <w:pPr>
              <w:pStyle w:val="ToolTableText"/>
              <w:rPr>
                <w:sz w:val="22"/>
                <w:szCs w:val="22"/>
              </w:rPr>
            </w:pPr>
            <w:r w:rsidRPr="00324CD9">
              <w:rPr>
                <w:sz w:val="22"/>
                <w:szCs w:val="22"/>
              </w:rPr>
              <w:t xml:space="preserve">Diamond states that modern-day capitalism is “organized in a way that [makes] it </w:t>
            </w:r>
            <w:r w:rsidR="003102E5" w:rsidRPr="00324CD9">
              <w:rPr>
                <w:sz w:val="22"/>
                <w:szCs w:val="22"/>
              </w:rPr>
              <w:t xml:space="preserve">potentially rewarding to invest </w:t>
            </w:r>
            <w:r w:rsidRPr="00324CD9">
              <w:rPr>
                <w:sz w:val="22"/>
                <w:szCs w:val="22"/>
              </w:rPr>
              <w:t xml:space="preserve">capital in technological development” </w:t>
            </w:r>
            <w:r w:rsidR="00131F24">
              <w:rPr>
                <w:sz w:val="22"/>
                <w:szCs w:val="22"/>
              </w:rPr>
              <w:br/>
            </w:r>
            <w:r w:rsidRPr="00324CD9">
              <w:rPr>
                <w:sz w:val="22"/>
                <w:szCs w:val="22"/>
              </w:rPr>
              <w:t>(p. 239)</w:t>
            </w:r>
            <w:r w:rsidR="00131F24">
              <w:rPr>
                <w:sz w:val="22"/>
                <w:szCs w:val="22"/>
              </w:rPr>
              <w:t>.</w:t>
            </w:r>
          </w:p>
        </w:tc>
      </w:tr>
      <w:tr w:rsidR="00F312B5" w:rsidRPr="00324CD9" w14:paraId="33D27EC1" w14:textId="77777777" w:rsidTr="00324CD9">
        <w:tc>
          <w:tcPr>
            <w:tcW w:w="3084" w:type="dxa"/>
          </w:tcPr>
          <w:p w14:paraId="4105478E" w14:textId="0B5E8A72" w:rsidR="00F312B5" w:rsidRPr="00324CD9" w:rsidRDefault="0075793A" w:rsidP="00324CD9">
            <w:pPr>
              <w:pStyle w:val="ToolTableText"/>
              <w:rPr>
                <w:sz w:val="22"/>
                <w:szCs w:val="22"/>
              </w:rPr>
            </w:pPr>
            <w:r w:rsidRPr="00324CD9">
              <w:rPr>
                <w:sz w:val="22"/>
                <w:szCs w:val="22"/>
              </w:rPr>
              <w:t>Entrepreneurial, r</w:t>
            </w:r>
            <w:r w:rsidR="00F312B5" w:rsidRPr="00324CD9">
              <w:rPr>
                <w:sz w:val="22"/>
                <w:szCs w:val="22"/>
              </w:rPr>
              <w:t>isk-taking behavior</w:t>
            </w:r>
          </w:p>
        </w:tc>
        <w:tc>
          <w:tcPr>
            <w:tcW w:w="3192" w:type="dxa"/>
          </w:tcPr>
          <w:p w14:paraId="0296E60F" w14:textId="68B01A3B" w:rsidR="00F312B5" w:rsidRPr="00324CD9" w:rsidRDefault="00F312B5" w:rsidP="00324CD9">
            <w:pPr>
              <w:pStyle w:val="ToolTableText"/>
              <w:rPr>
                <w:sz w:val="22"/>
                <w:szCs w:val="22"/>
              </w:rPr>
            </w:pPr>
            <w:r w:rsidRPr="00324CD9">
              <w:rPr>
                <w:sz w:val="22"/>
                <w:szCs w:val="22"/>
              </w:rPr>
              <w:t>239</w:t>
            </w:r>
            <w:bookmarkStart w:id="0" w:name="_GoBack"/>
            <w:bookmarkEnd w:id="0"/>
          </w:p>
        </w:tc>
        <w:tc>
          <w:tcPr>
            <w:tcW w:w="3174" w:type="dxa"/>
          </w:tcPr>
          <w:p w14:paraId="72048E42" w14:textId="4CCFFEF4" w:rsidR="00F312B5" w:rsidRPr="00324CD9" w:rsidRDefault="00F312B5" w:rsidP="00324CD9">
            <w:pPr>
              <w:pStyle w:val="ToolTableText"/>
              <w:rPr>
                <w:sz w:val="22"/>
                <w:szCs w:val="22"/>
              </w:rPr>
            </w:pPr>
            <w:r w:rsidRPr="00324CD9">
              <w:rPr>
                <w:sz w:val="22"/>
                <w:szCs w:val="22"/>
              </w:rPr>
              <w:t xml:space="preserve">Risk taking behavior is “essential for efforts at innovation” (p. 239) but it can lead to dangerous or even illegal actions. </w:t>
            </w:r>
          </w:p>
        </w:tc>
      </w:tr>
      <w:tr w:rsidR="0075793A" w:rsidRPr="00324CD9" w14:paraId="3A781569" w14:textId="77777777" w:rsidTr="00324CD9">
        <w:tc>
          <w:tcPr>
            <w:tcW w:w="3084" w:type="dxa"/>
          </w:tcPr>
          <w:p w14:paraId="388134FC" w14:textId="2BDA37A9" w:rsidR="0075793A" w:rsidRPr="00324CD9" w:rsidRDefault="0075793A" w:rsidP="00324CD9">
            <w:pPr>
              <w:pStyle w:val="ToolTableText"/>
              <w:rPr>
                <w:sz w:val="22"/>
                <w:szCs w:val="22"/>
              </w:rPr>
            </w:pPr>
            <w:r w:rsidRPr="00324CD9">
              <w:rPr>
                <w:sz w:val="22"/>
                <w:szCs w:val="22"/>
              </w:rPr>
              <w:t>Religion</w:t>
            </w:r>
          </w:p>
        </w:tc>
        <w:tc>
          <w:tcPr>
            <w:tcW w:w="3192" w:type="dxa"/>
          </w:tcPr>
          <w:p w14:paraId="4FDA747F" w14:textId="6D96120D" w:rsidR="0075793A" w:rsidRPr="00324CD9" w:rsidRDefault="0075793A" w:rsidP="00324CD9">
            <w:pPr>
              <w:pStyle w:val="ToolTableText"/>
              <w:rPr>
                <w:sz w:val="22"/>
                <w:szCs w:val="22"/>
              </w:rPr>
            </w:pPr>
            <w:r w:rsidRPr="00324CD9">
              <w:rPr>
                <w:sz w:val="22"/>
                <w:szCs w:val="22"/>
              </w:rPr>
              <w:t>240</w:t>
            </w:r>
          </w:p>
        </w:tc>
        <w:tc>
          <w:tcPr>
            <w:tcW w:w="3174" w:type="dxa"/>
          </w:tcPr>
          <w:p w14:paraId="0AB41AE2" w14:textId="105031E6" w:rsidR="0075793A" w:rsidRPr="00324CD9" w:rsidRDefault="0075793A" w:rsidP="00324CD9">
            <w:pPr>
              <w:pStyle w:val="ToolTableText"/>
              <w:rPr>
                <w:sz w:val="22"/>
                <w:szCs w:val="22"/>
              </w:rPr>
            </w:pPr>
            <w:r w:rsidRPr="00324CD9">
              <w:rPr>
                <w:sz w:val="22"/>
                <w:szCs w:val="22"/>
              </w:rPr>
              <w:t>Religion can play various roles in innovation</w:t>
            </w:r>
            <w:r w:rsidR="00B70954" w:rsidRPr="00324CD9">
              <w:rPr>
                <w:sz w:val="22"/>
                <w:szCs w:val="22"/>
              </w:rPr>
              <w:t xml:space="preserve"> by </w:t>
            </w:r>
            <w:r w:rsidR="003065F8" w:rsidRPr="00324CD9">
              <w:rPr>
                <w:sz w:val="22"/>
                <w:szCs w:val="22"/>
              </w:rPr>
              <w:t xml:space="preserve">either being “compatible” (p. 240) or incompatible with it. </w:t>
            </w:r>
          </w:p>
        </w:tc>
      </w:tr>
      <w:tr w:rsidR="0075793A" w:rsidRPr="00324CD9" w14:paraId="242B4E35" w14:textId="77777777" w:rsidTr="00324CD9">
        <w:tc>
          <w:tcPr>
            <w:tcW w:w="3084" w:type="dxa"/>
          </w:tcPr>
          <w:p w14:paraId="7575E851" w14:textId="15441245" w:rsidR="0075793A" w:rsidRPr="00324CD9" w:rsidRDefault="0075793A" w:rsidP="00324CD9">
            <w:pPr>
              <w:pStyle w:val="ToolTableText"/>
              <w:rPr>
                <w:sz w:val="22"/>
                <w:szCs w:val="22"/>
              </w:rPr>
            </w:pPr>
            <w:r w:rsidRPr="00324CD9">
              <w:rPr>
                <w:sz w:val="22"/>
                <w:szCs w:val="22"/>
              </w:rPr>
              <w:t>War</w:t>
            </w:r>
          </w:p>
        </w:tc>
        <w:tc>
          <w:tcPr>
            <w:tcW w:w="3192" w:type="dxa"/>
          </w:tcPr>
          <w:p w14:paraId="475E6842" w14:textId="65B9DE2D" w:rsidR="0075793A" w:rsidRPr="00324CD9" w:rsidRDefault="0075793A" w:rsidP="00324CD9">
            <w:pPr>
              <w:pStyle w:val="ToolTableText"/>
              <w:rPr>
                <w:sz w:val="22"/>
                <w:szCs w:val="22"/>
              </w:rPr>
            </w:pPr>
            <w:r w:rsidRPr="00324CD9">
              <w:rPr>
                <w:sz w:val="22"/>
                <w:szCs w:val="22"/>
              </w:rPr>
              <w:t>240</w:t>
            </w:r>
          </w:p>
        </w:tc>
        <w:tc>
          <w:tcPr>
            <w:tcW w:w="3174" w:type="dxa"/>
          </w:tcPr>
          <w:p w14:paraId="0BD276FC" w14:textId="67DD2D99" w:rsidR="0075793A" w:rsidRPr="00324CD9" w:rsidRDefault="00E453A8" w:rsidP="00324CD9">
            <w:pPr>
              <w:pStyle w:val="ToolTableText"/>
              <w:rPr>
                <w:sz w:val="22"/>
                <w:szCs w:val="22"/>
              </w:rPr>
            </w:pPr>
            <w:r w:rsidRPr="00324CD9">
              <w:rPr>
                <w:sz w:val="22"/>
                <w:szCs w:val="22"/>
              </w:rPr>
              <w:t xml:space="preserve">“Throughout history, war has often been a leading stimulant of technological innovation” </w:t>
            </w:r>
            <w:r w:rsidR="005339DF">
              <w:rPr>
                <w:sz w:val="22"/>
                <w:szCs w:val="22"/>
              </w:rPr>
              <w:br/>
            </w:r>
            <w:r w:rsidRPr="00324CD9">
              <w:rPr>
                <w:sz w:val="22"/>
                <w:szCs w:val="22"/>
              </w:rPr>
              <w:t>(p. 240). War leads to the innovation of weapons, strategies, and modes of transport.</w:t>
            </w:r>
          </w:p>
        </w:tc>
      </w:tr>
      <w:tr w:rsidR="0075793A" w:rsidRPr="00324CD9" w14:paraId="3110EFFB" w14:textId="77777777" w:rsidTr="00324CD9">
        <w:tc>
          <w:tcPr>
            <w:tcW w:w="3084" w:type="dxa"/>
          </w:tcPr>
          <w:p w14:paraId="7B2B68C3" w14:textId="2908E283" w:rsidR="0075793A" w:rsidRPr="00324CD9" w:rsidRDefault="0075793A" w:rsidP="00324CD9">
            <w:pPr>
              <w:pStyle w:val="ToolTableText"/>
              <w:rPr>
                <w:sz w:val="22"/>
                <w:szCs w:val="22"/>
              </w:rPr>
            </w:pPr>
            <w:r w:rsidRPr="00324CD9">
              <w:rPr>
                <w:sz w:val="22"/>
                <w:szCs w:val="22"/>
              </w:rPr>
              <w:t>Strong, centralized government</w:t>
            </w:r>
          </w:p>
        </w:tc>
        <w:tc>
          <w:tcPr>
            <w:tcW w:w="3192" w:type="dxa"/>
          </w:tcPr>
          <w:p w14:paraId="4B5F077C" w14:textId="162D5F9E" w:rsidR="0075793A" w:rsidRPr="00324CD9" w:rsidRDefault="0075793A" w:rsidP="00324CD9">
            <w:pPr>
              <w:pStyle w:val="ToolTableText"/>
              <w:rPr>
                <w:sz w:val="22"/>
                <w:szCs w:val="22"/>
              </w:rPr>
            </w:pPr>
            <w:r w:rsidRPr="00324CD9">
              <w:rPr>
                <w:sz w:val="22"/>
                <w:szCs w:val="22"/>
              </w:rPr>
              <w:t>240</w:t>
            </w:r>
          </w:p>
        </w:tc>
        <w:tc>
          <w:tcPr>
            <w:tcW w:w="3174" w:type="dxa"/>
          </w:tcPr>
          <w:p w14:paraId="17AF09A0" w14:textId="16C6C5B5" w:rsidR="0075793A" w:rsidRPr="00324CD9" w:rsidRDefault="00E453A8" w:rsidP="00324CD9">
            <w:pPr>
              <w:pStyle w:val="ToolTableText"/>
              <w:rPr>
                <w:sz w:val="22"/>
                <w:szCs w:val="22"/>
              </w:rPr>
            </w:pPr>
            <w:r w:rsidRPr="00324CD9">
              <w:rPr>
                <w:sz w:val="22"/>
                <w:szCs w:val="22"/>
              </w:rPr>
              <w:t>A strong, centralized government helped to boost technology development in Germany and Japan, but “crushed it in China after A.D. 1500” (p. 240)</w:t>
            </w:r>
            <w:r w:rsidR="00C962EE">
              <w:rPr>
                <w:sz w:val="22"/>
                <w:szCs w:val="22"/>
              </w:rPr>
              <w:t>.</w:t>
            </w:r>
          </w:p>
        </w:tc>
      </w:tr>
      <w:tr w:rsidR="0075793A" w:rsidRPr="00324CD9" w14:paraId="228ED382" w14:textId="77777777" w:rsidTr="00324CD9">
        <w:tc>
          <w:tcPr>
            <w:tcW w:w="3084" w:type="dxa"/>
          </w:tcPr>
          <w:p w14:paraId="3F3BDC5A" w14:textId="5099DD2F" w:rsidR="0075793A" w:rsidRPr="00324CD9" w:rsidRDefault="0075793A" w:rsidP="00324CD9">
            <w:pPr>
              <w:pStyle w:val="ToolTableText"/>
              <w:rPr>
                <w:sz w:val="22"/>
                <w:szCs w:val="22"/>
              </w:rPr>
            </w:pPr>
            <w:r w:rsidRPr="00324CD9">
              <w:rPr>
                <w:sz w:val="22"/>
                <w:szCs w:val="22"/>
              </w:rPr>
              <w:t>Scarcity of environmental resources</w:t>
            </w:r>
          </w:p>
        </w:tc>
        <w:tc>
          <w:tcPr>
            <w:tcW w:w="3192" w:type="dxa"/>
          </w:tcPr>
          <w:p w14:paraId="7681453B" w14:textId="370A034D" w:rsidR="0075793A" w:rsidRPr="00324CD9" w:rsidRDefault="0075793A" w:rsidP="00324CD9">
            <w:pPr>
              <w:pStyle w:val="ToolTableText"/>
              <w:rPr>
                <w:sz w:val="22"/>
                <w:szCs w:val="22"/>
              </w:rPr>
            </w:pPr>
            <w:r w:rsidRPr="00324CD9">
              <w:rPr>
                <w:sz w:val="22"/>
                <w:szCs w:val="22"/>
              </w:rPr>
              <w:t>240</w:t>
            </w:r>
          </w:p>
        </w:tc>
        <w:tc>
          <w:tcPr>
            <w:tcW w:w="3174" w:type="dxa"/>
          </w:tcPr>
          <w:p w14:paraId="5849CEC9" w14:textId="3421FED7" w:rsidR="0075793A" w:rsidRPr="00324CD9" w:rsidRDefault="00E453A8" w:rsidP="00324CD9">
            <w:pPr>
              <w:pStyle w:val="ToolTableText"/>
              <w:rPr>
                <w:sz w:val="22"/>
                <w:szCs w:val="22"/>
              </w:rPr>
            </w:pPr>
            <w:r w:rsidRPr="00324CD9">
              <w:rPr>
                <w:sz w:val="22"/>
                <w:szCs w:val="22"/>
              </w:rPr>
              <w:t xml:space="preserve">The scarcity of environmental resources can drive a society to </w:t>
            </w:r>
            <w:r w:rsidR="00302353" w:rsidRPr="00324CD9">
              <w:rPr>
                <w:sz w:val="22"/>
                <w:szCs w:val="22"/>
              </w:rPr>
              <w:t xml:space="preserve">innovate to work around the scarcity or to </w:t>
            </w:r>
            <w:r w:rsidR="002C01C8" w:rsidRPr="00324CD9">
              <w:rPr>
                <w:sz w:val="22"/>
                <w:szCs w:val="22"/>
              </w:rPr>
              <w:t>replenish</w:t>
            </w:r>
            <w:r w:rsidR="00302353" w:rsidRPr="00324CD9">
              <w:rPr>
                <w:sz w:val="22"/>
                <w:szCs w:val="22"/>
              </w:rPr>
              <w:t xml:space="preserve"> the </w:t>
            </w:r>
            <w:r w:rsidR="002C01C8" w:rsidRPr="00324CD9">
              <w:rPr>
                <w:sz w:val="22"/>
                <w:szCs w:val="22"/>
              </w:rPr>
              <w:t xml:space="preserve">scarce resource. </w:t>
            </w:r>
          </w:p>
        </w:tc>
      </w:tr>
      <w:tr w:rsidR="0075793A" w:rsidRPr="00324CD9" w14:paraId="252C7ED2" w14:textId="77777777" w:rsidTr="00324CD9">
        <w:tc>
          <w:tcPr>
            <w:tcW w:w="3084" w:type="dxa"/>
          </w:tcPr>
          <w:p w14:paraId="1D602440" w14:textId="1F1A8AD8" w:rsidR="0075793A" w:rsidRPr="00324CD9" w:rsidRDefault="0075793A" w:rsidP="00324CD9">
            <w:pPr>
              <w:pStyle w:val="ToolTableText"/>
              <w:rPr>
                <w:sz w:val="22"/>
                <w:szCs w:val="22"/>
              </w:rPr>
            </w:pPr>
            <w:r w:rsidRPr="00324CD9">
              <w:rPr>
                <w:sz w:val="22"/>
                <w:szCs w:val="22"/>
              </w:rPr>
              <w:lastRenderedPageBreak/>
              <w:t>Conservative outlook</w:t>
            </w:r>
            <w:r w:rsidR="00E55606" w:rsidRPr="00324CD9">
              <w:rPr>
                <w:sz w:val="22"/>
                <w:szCs w:val="22"/>
              </w:rPr>
              <w:t xml:space="preserve"> to innovation</w:t>
            </w:r>
          </w:p>
        </w:tc>
        <w:tc>
          <w:tcPr>
            <w:tcW w:w="3192" w:type="dxa"/>
          </w:tcPr>
          <w:p w14:paraId="0C5B7B94" w14:textId="51B08E7D" w:rsidR="0075793A" w:rsidRPr="00324CD9" w:rsidRDefault="0075793A" w:rsidP="00324CD9">
            <w:pPr>
              <w:pStyle w:val="ToolTableText"/>
              <w:rPr>
                <w:sz w:val="22"/>
                <w:szCs w:val="22"/>
              </w:rPr>
            </w:pPr>
            <w:r w:rsidRPr="00324CD9">
              <w:rPr>
                <w:sz w:val="22"/>
                <w:szCs w:val="22"/>
              </w:rPr>
              <w:t>241</w:t>
            </w:r>
          </w:p>
        </w:tc>
        <w:tc>
          <w:tcPr>
            <w:tcW w:w="3174" w:type="dxa"/>
          </w:tcPr>
          <w:p w14:paraId="2CA08574" w14:textId="443A98FA" w:rsidR="0075793A" w:rsidRPr="00324CD9" w:rsidRDefault="0075793A" w:rsidP="00324CD9">
            <w:pPr>
              <w:pStyle w:val="ToolTableText"/>
              <w:rPr>
                <w:sz w:val="22"/>
                <w:szCs w:val="22"/>
              </w:rPr>
            </w:pPr>
            <w:r w:rsidRPr="00324CD9">
              <w:rPr>
                <w:sz w:val="22"/>
                <w:szCs w:val="22"/>
              </w:rPr>
              <w:t>Diamond indicates that many laypeople assume that in those societies with low receptivity to innovation, the society is “conservative, living in an imagined past Dreamtime of the world’s creation and not focused on practical ways to improve the present” (p. 241).</w:t>
            </w:r>
          </w:p>
        </w:tc>
      </w:tr>
    </w:tbl>
    <w:p w14:paraId="0707E974" w14:textId="77777777" w:rsidR="00720959" w:rsidRPr="005837C5" w:rsidRDefault="00720959" w:rsidP="00720959">
      <w:pPr>
        <w:spacing w:before="0" w:after="0" w:line="240" w:lineRule="auto"/>
      </w:pPr>
    </w:p>
    <w:p w14:paraId="0AE15706" w14:textId="77777777" w:rsidR="00D33A43" w:rsidRDefault="00D33A43" w:rsidP="000B3273">
      <w:pPr>
        <w:pStyle w:val="ToolHeader"/>
        <w:rPr>
          <w:i/>
        </w:rPr>
      </w:pPr>
    </w:p>
    <w:p w14:paraId="01D43735" w14:textId="77777777" w:rsidR="00D33A43" w:rsidRDefault="00D33A43" w:rsidP="000B3273">
      <w:pPr>
        <w:pStyle w:val="ToolHeader"/>
        <w:rPr>
          <w:i/>
        </w:rPr>
      </w:pPr>
    </w:p>
    <w:sectPr w:rsidR="00D33A43" w:rsidSect="00D33A43">
      <w:pgSz w:w="12240" w:h="15840"/>
      <w:pgMar w:top="1440" w:right="1440" w:bottom="1440" w:left="1440" w:header="432" w:footer="64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6A5D40" w14:textId="77777777" w:rsidR="00AF68D9" w:rsidRDefault="00AF68D9">
      <w:pPr>
        <w:spacing w:before="0" w:after="0" w:line="240" w:lineRule="auto"/>
      </w:pPr>
      <w:r>
        <w:separator/>
      </w:r>
    </w:p>
  </w:endnote>
  <w:endnote w:type="continuationSeparator" w:id="0">
    <w:p w14:paraId="1D2B5C6D" w14:textId="77777777" w:rsidR="00AF68D9" w:rsidRDefault="00AF68D9">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74D7E" w14:textId="77777777" w:rsidR="00242158" w:rsidRDefault="00242158" w:rsidP="00D33A43">
    <w:pPr>
      <w:pStyle w:val="Footer"/>
      <w:rPr>
        <w:rStyle w:val="PageNumber"/>
      </w:rPr>
    </w:pPr>
    <w:r>
      <w:rPr>
        <w:rStyle w:val="PageNumber"/>
      </w:rPr>
      <w:fldChar w:fldCharType="begin"/>
    </w:r>
    <w:r>
      <w:rPr>
        <w:rStyle w:val="PageNumber"/>
      </w:rPr>
      <w:instrText xml:space="preserve">PAGE  </w:instrText>
    </w:r>
    <w:r>
      <w:rPr>
        <w:rStyle w:val="PageNumber"/>
      </w:rPr>
      <w:fldChar w:fldCharType="end"/>
    </w:r>
  </w:p>
  <w:p w14:paraId="5C94C5C5" w14:textId="77777777" w:rsidR="00242158" w:rsidRDefault="00242158" w:rsidP="00D33A43">
    <w:pPr>
      <w:pStyle w:val="Footer"/>
    </w:pPr>
  </w:p>
  <w:p w14:paraId="5273FF17" w14:textId="77777777" w:rsidR="00242158" w:rsidRDefault="00242158" w:rsidP="00D33A43"/>
  <w:p w14:paraId="470DFE1B" w14:textId="77777777" w:rsidR="00242158" w:rsidRDefault="00242158" w:rsidP="00D33A43"/>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679560" w14:textId="77777777" w:rsidR="00242158" w:rsidRPr="00563CB8" w:rsidRDefault="00242158" w:rsidP="007017EB">
    <w:pPr>
      <w:spacing w:before="0" w:after="0" w:line="240" w:lineRule="auto"/>
      <w:rPr>
        <w:sz w:val="14"/>
      </w:rPr>
    </w:pPr>
  </w:p>
  <w:tbl>
    <w:tblPr>
      <w:tblW w:w="4991" w:type="pct"/>
      <w:tblBorders>
        <w:top w:val="single" w:sz="8" w:space="0" w:color="244061"/>
      </w:tblBorders>
      <w:tblLook w:val="04A0" w:firstRow="1" w:lastRow="0" w:firstColumn="1" w:lastColumn="0" w:noHBand="0" w:noVBand="1"/>
    </w:tblPr>
    <w:tblGrid>
      <w:gridCol w:w="4609"/>
      <w:gridCol w:w="625"/>
      <w:gridCol w:w="4325"/>
    </w:tblGrid>
    <w:tr w:rsidR="00242158" w14:paraId="5473C2D8" w14:textId="77777777" w:rsidTr="00D33A43">
      <w:trPr>
        <w:trHeight w:val="705"/>
      </w:trPr>
      <w:tc>
        <w:tcPr>
          <w:tcW w:w="4609" w:type="dxa"/>
          <w:shd w:val="clear" w:color="auto" w:fill="auto"/>
          <w:vAlign w:val="center"/>
        </w:tcPr>
        <w:p w14:paraId="2ADA4FEE" w14:textId="75CFEF8C" w:rsidR="00242158" w:rsidRPr="002E4C92" w:rsidRDefault="00242158" w:rsidP="007017EB">
          <w:pPr>
            <w:pStyle w:val="FooterText"/>
          </w:pPr>
          <w:r w:rsidRPr="002E4C92">
            <w:t>File:</w:t>
          </w:r>
          <w:r>
            <w:rPr>
              <w:b w:val="0"/>
            </w:rPr>
            <w:t xml:space="preserve"> 12.3.1 Lesson 7</w:t>
          </w:r>
          <w:r w:rsidRPr="002E4C92">
            <w:t xml:space="preserve"> Date:</w:t>
          </w:r>
          <w:r w:rsidR="005239C9">
            <w:rPr>
              <w:b w:val="0"/>
            </w:rPr>
            <w:t xml:space="preserve"> 4</w:t>
          </w:r>
          <w:r>
            <w:rPr>
              <w:b w:val="0"/>
            </w:rPr>
            <w:t>/</w:t>
          </w:r>
          <w:r w:rsidR="005239C9">
            <w:rPr>
              <w:b w:val="0"/>
            </w:rPr>
            <w:t>3</w:t>
          </w:r>
          <w:r w:rsidRPr="0039525B">
            <w:rPr>
              <w:b w:val="0"/>
            </w:rPr>
            <w:t>/</w:t>
          </w:r>
          <w:r>
            <w:rPr>
              <w:b w:val="0"/>
            </w:rPr>
            <w:t>15</w:t>
          </w:r>
          <w:r w:rsidRPr="0039525B">
            <w:rPr>
              <w:b w:val="0"/>
            </w:rPr>
            <w:t xml:space="preserve"> </w:t>
          </w:r>
          <w:r w:rsidRPr="002E4C92">
            <w:t>Classroom Use:</w:t>
          </w:r>
          <w:r w:rsidR="005239C9">
            <w:rPr>
              <w:b w:val="0"/>
            </w:rPr>
            <w:t xml:space="preserve"> Starting 4</w:t>
          </w:r>
          <w:r w:rsidRPr="0039525B">
            <w:rPr>
              <w:b w:val="0"/>
            </w:rPr>
            <w:t>/201</w:t>
          </w:r>
          <w:r>
            <w:rPr>
              <w:b w:val="0"/>
            </w:rPr>
            <w:t>5</w:t>
          </w:r>
          <w:r w:rsidRPr="0039525B">
            <w:rPr>
              <w:b w:val="0"/>
            </w:rPr>
            <w:t xml:space="preserve"> </w:t>
          </w:r>
        </w:p>
        <w:p w14:paraId="14391EF4" w14:textId="09440003" w:rsidR="00242158" w:rsidRPr="0039525B" w:rsidRDefault="00242158" w:rsidP="007017EB">
          <w:pPr>
            <w:pStyle w:val="FooterText"/>
            <w:rPr>
              <w:b w:val="0"/>
              <w:i/>
              <w:sz w:val="12"/>
            </w:rPr>
          </w:pPr>
          <w:r w:rsidRPr="0039525B">
            <w:rPr>
              <w:b w:val="0"/>
              <w:sz w:val="12"/>
            </w:rPr>
            <w:t>© 201</w:t>
          </w:r>
          <w:r>
            <w:rPr>
              <w:b w:val="0"/>
              <w:sz w:val="12"/>
            </w:rPr>
            <w:t>5</w:t>
          </w:r>
          <w:r w:rsidRPr="0039525B">
            <w:rPr>
              <w:b w:val="0"/>
              <w:sz w:val="12"/>
            </w:rPr>
            <w:t xml:space="preserve"> Public Consulting Group.</w:t>
          </w:r>
          <w:r w:rsidRPr="0039525B">
            <w:rPr>
              <w:b w:val="0"/>
              <w:i/>
              <w:sz w:val="12"/>
            </w:rPr>
            <w:t xml:space="preserve"> This work is licensed under a </w:t>
          </w:r>
        </w:p>
        <w:p w14:paraId="6E6520AC" w14:textId="77777777" w:rsidR="00242158" w:rsidRPr="0039525B" w:rsidRDefault="00242158" w:rsidP="007017EB">
          <w:pPr>
            <w:pStyle w:val="FooterText"/>
            <w:rPr>
              <w:b w:val="0"/>
              <w:i/>
            </w:rPr>
          </w:pPr>
          <w:r w:rsidRPr="0039525B">
            <w:rPr>
              <w:b w:val="0"/>
              <w:i/>
              <w:sz w:val="12"/>
            </w:rPr>
            <w:t>Creative Commons Attribution-NonCommercial-ShareAlike 3.0 Unported License</w:t>
          </w:r>
        </w:p>
        <w:p w14:paraId="38A362DE" w14:textId="77777777" w:rsidR="00242158" w:rsidRPr="002E4C92" w:rsidRDefault="00AF68D9" w:rsidP="007017EB">
          <w:pPr>
            <w:pStyle w:val="FooterText"/>
          </w:pPr>
          <w:hyperlink r:id="rId1" w:history="1">
            <w:r w:rsidR="00242158" w:rsidRPr="0054791C">
              <w:rPr>
                <w:rStyle w:val="Hyperlink"/>
                <w:rFonts w:asciiTheme="minorHAnsi" w:hAnsiTheme="minorHAnsi" w:cstheme="minorHAnsi"/>
                <w:sz w:val="12"/>
                <w:szCs w:val="12"/>
              </w:rPr>
              <w:t>http://creativecommons.org/licenses/by-nc-sa/3.0/</w:t>
            </w:r>
          </w:hyperlink>
        </w:p>
      </w:tc>
      <w:tc>
        <w:tcPr>
          <w:tcW w:w="625" w:type="dxa"/>
          <w:shd w:val="clear" w:color="auto" w:fill="auto"/>
          <w:vAlign w:val="center"/>
        </w:tcPr>
        <w:p w14:paraId="6F14A634" w14:textId="77777777" w:rsidR="00242158" w:rsidRPr="002E4C92" w:rsidRDefault="00242158" w:rsidP="007017EB">
          <w:pPr>
            <w:pStyle w:val="folio"/>
            <w:pBdr>
              <w:top w:val="none" w:sz="0" w:space="0" w:color="auto"/>
            </w:pBdr>
            <w:tabs>
              <w:tab w:val="clear" w:pos="6480"/>
              <w:tab w:val="clear" w:pos="10080"/>
            </w:tabs>
            <w:jc w:val="center"/>
            <w:rPr>
              <w:rFonts w:ascii="Calibri" w:hAnsi="Calibri" w:cs="Calibri"/>
              <w:b/>
              <w:sz w:val="14"/>
            </w:rPr>
          </w:pPr>
          <w:r w:rsidRPr="002E4C92">
            <w:rPr>
              <w:rFonts w:ascii="Calibri" w:hAnsi="Calibri" w:cs="Calibri"/>
              <w:b/>
              <w:color w:val="1F4E79"/>
              <w:sz w:val="28"/>
            </w:rPr>
            <w:fldChar w:fldCharType="begin"/>
          </w:r>
          <w:r w:rsidRPr="002E4C92">
            <w:rPr>
              <w:rFonts w:ascii="Calibri" w:hAnsi="Calibri" w:cs="Calibri"/>
              <w:b/>
              <w:color w:val="1F4E79"/>
              <w:sz w:val="28"/>
            </w:rPr>
            <w:instrText>PAGE</w:instrText>
          </w:r>
          <w:r w:rsidRPr="002E4C92">
            <w:rPr>
              <w:rFonts w:ascii="Calibri" w:hAnsi="Calibri" w:cs="Calibri"/>
              <w:b/>
              <w:color w:val="1F4E79"/>
              <w:sz w:val="28"/>
            </w:rPr>
            <w:fldChar w:fldCharType="separate"/>
          </w:r>
          <w:r w:rsidR="00B14981">
            <w:rPr>
              <w:rFonts w:ascii="Calibri" w:hAnsi="Calibri" w:cs="Calibri"/>
              <w:b/>
              <w:noProof/>
              <w:color w:val="1F4E79"/>
              <w:sz w:val="28"/>
            </w:rPr>
            <w:t>1</w:t>
          </w:r>
          <w:r w:rsidRPr="002E4C92">
            <w:rPr>
              <w:rFonts w:ascii="Calibri" w:hAnsi="Calibri" w:cs="Calibri"/>
              <w:b/>
              <w:color w:val="1F4E79"/>
              <w:sz w:val="28"/>
            </w:rPr>
            <w:fldChar w:fldCharType="end"/>
          </w:r>
        </w:p>
      </w:tc>
      <w:tc>
        <w:tcPr>
          <w:tcW w:w="4325" w:type="dxa"/>
          <w:shd w:val="clear" w:color="auto" w:fill="auto"/>
          <w:vAlign w:val="bottom"/>
        </w:tcPr>
        <w:p w14:paraId="063904A4" w14:textId="77777777" w:rsidR="00242158" w:rsidRPr="002E4C92" w:rsidRDefault="00242158" w:rsidP="007017EB">
          <w:pPr>
            <w:pStyle w:val="folio"/>
            <w:pBdr>
              <w:top w:val="none" w:sz="0" w:space="0" w:color="auto"/>
            </w:pBdr>
            <w:tabs>
              <w:tab w:val="clear" w:pos="6480"/>
              <w:tab w:val="clear" w:pos="10080"/>
            </w:tabs>
            <w:spacing w:before="20"/>
            <w:ind w:right="-103"/>
            <w:jc w:val="right"/>
            <w:rPr>
              <w:rFonts w:ascii="Calibri" w:hAnsi="Calibri" w:cs="Calibri"/>
              <w:b/>
              <w:sz w:val="12"/>
              <w:szCs w:val="12"/>
            </w:rPr>
          </w:pPr>
          <w:r>
            <w:rPr>
              <w:rFonts w:ascii="Calibri" w:hAnsi="Calibri" w:cs="Calibri"/>
              <w:b/>
              <w:noProof/>
              <w:sz w:val="12"/>
              <w:szCs w:val="12"/>
            </w:rPr>
            <w:drawing>
              <wp:inline distT="0" distB="0" distL="0" distR="0" wp14:anchorId="0D2D0561" wp14:editId="13340121">
                <wp:extent cx="1697355" cy="636270"/>
                <wp:effectExtent l="19050" t="0" r="0" b="0"/>
                <wp:docPr id="1" name="Picture 12" descr="PCG-CC-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CG-CC-NY.png"/>
                        <pic:cNvPicPr>
                          <a:picLocks noChangeAspect="1" noChangeArrowheads="1"/>
                        </pic:cNvPicPr>
                      </pic:nvPicPr>
                      <pic:blipFill>
                        <a:blip r:embed="rId2"/>
                        <a:srcRect/>
                        <a:stretch>
                          <a:fillRect/>
                        </a:stretch>
                      </pic:blipFill>
                      <pic:spPr bwMode="auto">
                        <a:xfrm>
                          <a:off x="0" y="0"/>
                          <a:ext cx="1697355" cy="636270"/>
                        </a:xfrm>
                        <a:prstGeom prst="rect">
                          <a:avLst/>
                        </a:prstGeom>
                        <a:noFill/>
                        <a:ln w="9525">
                          <a:noFill/>
                          <a:miter lim="800000"/>
                          <a:headEnd/>
                          <a:tailEnd/>
                        </a:ln>
                      </pic:spPr>
                    </pic:pic>
                  </a:graphicData>
                </a:graphic>
              </wp:inline>
            </w:drawing>
          </w:r>
        </w:p>
      </w:tc>
    </w:tr>
  </w:tbl>
  <w:p w14:paraId="7806CC4E" w14:textId="77777777" w:rsidR="00242158" w:rsidRPr="007017EB" w:rsidRDefault="00242158" w:rsidP="007017E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D66F17" w14:textId="77777777" w:rsidR="00AF68D9" w:rsidRDefault="00AF68D9">
      <w:pPr>
        <w:spacing w:before="0" w:after="0" w:line="240" w:lineRule="auto"/>
      </w:pPr>
      <w:r>
        <w:separator/>
      </w:r>
    </w:p>
  </w:footnote>
  <w:footnote w:type="continuationSeparator" w:id="0">
    <w:p w14:paraId="1C5F17F4" w14:textId="77777777" w:rsidR="00AF68D9" w:rsidRDefault="00AF68D9">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Look w:val="04A0" w:firstRow="1" w:lastRow="0" w:firstColumn="1" w:lastColumn="0" w:noHBand="0" w:noVBand="1"/>
    </w:tblPr>
    <w:tblGrid>
      <w:gridCol w:w="3708"/>
      <w:gridCol w:w="2430"/>
      <w:gridCol w:w="3438"/>
    </w:tblGrid>
    <w:tr w:rsidR="00242158" w:rsidRPr="00563CB8" w14:paraId="607A745C" w14:textId="77777777" w:rsidTr="00D33A43">
      <w:tc>
        <w:tcPr>
          <w:tcW w:w="3708" w:type="dxa"/>
          <w:shd w:val="clear" w:color="auto" w:fill="auto"/>
        </w:tcPr>
        <w:p w14:paraId="64C23372" w14:textId="77777777" w:rsidR="00242158" w:rsidRPr="00563CB8" w:rsidRDefault="00242158" w:rsidP="007017EB">
          <w:pPr>
            <w:pStyle w:val="PageHeader"/>
          </w:pPr>
          <w:r w:rsidRPr="00563CB8">
            <w:t xml:space="preserve">NYS </w:t>
          </w:r>
          <w:r w:rsidRPr="00E946A0">
            <w:t>Common</w:t>
          </w:r>
          <w:r w:rsidRPr="00563CB8">
            <w:t xml:space="preserve"> Core ELA &amp; Literacy Curriculum</w:t>
          </w:r>
        </w:p>
      </w:tc>
      <w:tc>
        <w:tcPr>
          <w:tcW w:w="2430" w:type="dxa"/>
          <w:shd w:val="clear" w:color="auto" w:fill="auto"/>
          <w:vAlign w:val="center"/>
        </w:tcPr>
        <w:p w14:paraId="093C76A2" w14:textId="63475093" w:rsidR="00242158" w:rsidRPr="00563CB8" w:rsidRDefault="00242158" w:rsidP="007017EB">
          <w:pPr>
            <w:jc w:val="center"/>
          </w:pPr>
        </w:p>
      </w:tc>
      <w:tc>
        <w:tcPr>
          <w:tcW w:w="3438" w:type="dxa"/>
          <w:shd w:val="clear" w:color="auto" w:fill="auto"/>
        </w:tcPr>
        <w:p w14:paraId="6F9FCCA3" w14:textId="77777777" w:rsidR="00242158" w:rsidRPr="00E946A0" w:rsidRDefault="00242158" w:rsidP="007017EB">
          <w:pPr>
            <w:pStyle w:val="PageHeader"/>
            <w:jc w:val="right"/>
            <w:rPr>
              <w:b w:val="0"/>
            </w:rPr>
          </w:pPr>
          <w:r>
            <w:rPr>
              <w:b w:val="0"/>
            </w:rPr>
            <w:t>Grade 12 • Module 3 • Unit 1 • Lesson 7</w:t>
          </w:r>
        </w:p>
      </w:tc>
    </w:tr>
  </w:tbl>
  <w:p w14:paraId="54CEE408" w14:textId="77777777" w:rsidR="00242158" w:rsidRPr="007017EB" w:rsidRDefault="00242158" w:rsidP="007017EB">
    <w:pPr>
      <w:pStyle w:val="Header"/>
      <w:rPr>
        <w:sz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B5950"/>
    <w:multiLevelType w:val="hybridMultilevel"/>
    <w:tmpl w:val="18D646F2"/>
    <w:lvl w:ilvl="0" w:tplc="49C8140C">
      <w:start w:val="1"/>
      <w:numFmt w:val="decimal"/>
      <w:lvlText w:val="%1."/>
      <w:lvlJc w:val="left"/>
      <w:pPr>
        <w:ind w:left="720" w:hanging="360"/>
      </w:pPr>
      <w:rPr>
        <w:rFonts w:ascii="Calibri" w:eastAsia="Times New Roman" w:hAnsi="Calibri"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5111B86"/>
    <w:multiLevelType w:val="hybridMultilevel"/>
    <w:tmpl w:val="4356CC30"/>
    <w:lvl w:ilvl="0" w:tplc="4F469282">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5C911EE"/>
    <w:multiLevelType w:val="hybridMultilevel"/>
    <w:tmpl w:val="2CEA737A"/>
    <w:lvl w:ilvl="0" w:tplc="8BF26D30">
      <w:start w:val="1"/>
      <w:numFmt w:val="bullet"/>
      <w:pStyle w:val="IN"/>
      <w:lvlText w:val=""/>
      <w:lvlJc w:val="left"/>
      <w:pPr>
        <w:ind w:left="1080" w:hanging="360"/>
      </w:pPr>
      <w:rPr>
        <w:rFonts w:ascii="Webdings" w:hAnsi="Web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8466A8"/>
    <w:multiLevelType w:val="hybridMultilevel"/>
    <w:tmpl w:val="25A8162E"/>
    <w:lvl w:ilvl="0" w:tplc="4F469282">
      <w:start w:val="1"/>
      <w:numFmt w:val="bullet"/>
      <w:lvlText w:val=""/>
      <w:lvlJc w:val="left"/>
      <w:pPr>
        <w:ind w:left="1440" w:hanging="360"/>
      </w:pPr>
      <w:rPr>
        <w:rFonts w:ascii="Wingdings" w:hAnsi="Wingdings" w:hint="default"/>
      </w:rPr>
    </w:lvl>
    <w:lvl w:ilvl="1" w:tplc="90B26BF8">
      <w:start w:val="1"/>
      <w:numFmt w:val="bullet"/>
      <w:pStyle w:val="SASR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096D5ABD"/>
    <w:multiLevelType w:val="hybridMultilevel"/>
    <w:tmpl w:val="B358C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BC5336F"/>
    <w:multiLevelType w:val="hybridMultilevel"/>
    <w:tmpl w:val="36025B7A"/>
    <w:lvl w:ilvl="0" w:tplc="C4405466">
      <w:start w:val="1"/>
      <w:numFmt w:val="bullet"/>
      <w:pStyle w:val="DCwithSR"/>
      <w:lvlText w:val=""/>
      <w:lvlJc w:val="left"/>
      <w:pPr>
        <w:ind w:left="1440" w:hanging="360"/>
      </w:pPr>
      <w:rPr>
        <w:rFonts w:ascii="Webdings" w:hAnsi="Webdings" w:hint="default"/>
        <w:color w:val="4F81BD" w:themeColor="accent1"/>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8C3417"/>
    <w:multiLevelType w:val="hybridMultilevel"/>
    <w:tmpl w:val="EC38C6D8"/>
    <w:lvl w:ilvl="0" w:tplc="F6EC464E">
      <w:start w:val="1"/>
      <w:numFmt w:val="decimal"/>
      <w:lvlText w:val="%1."/>
      <w:lvlJc w:val="left"/>
      <w:pPr>
        <w:ind w:left="360" w:hanging="360"/>
      </w:pPr>
      <w:rPr>
        <w:rFonts w:hint="default"/>
        <w:sz w:val="22"/>
      </w:rPr>
    </w:lvl>
    <w:lvl w:ilvl="1" w:tplc="04090003">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abstractNum w:abstractNumId="7">
    <w:nsid w:val="1EFA217D"/>
    <w:multiLevelType w:val="hybridMultilevel"/>
    <w:tmpl w:val="DED2B276"/>
    <w:lvl w:ilvl="0" w:tplc="4F469282">
      <w:start w:val="1"/>
      <w:numFmt w:val="bullet"/>
      <w:lvlText w:val=""/>
      <w:lvlJc w:val="left"/>
      <w:pPr>
        <w:ind w:left="1440" w:hanging="360"/>
      </w:pPr>
      <w:rPr>
        <w:rFonts w:ascii="Wingdings" w:hAnsi="Wingdings" w:hint="default"/>
      </w:rPr>
    </w:lvl>
    <w:lvl w:ilvl="1" w:tplc="04090005">
      <w:start w:val="1"/>
      <w:numFmt w:val="bullet"/>
      <w:lvlText w:val=""/>
      <w:lvlJc w:val="left"/>
      <w:pPr>
        <w:ind w:left="2160" w:hanging="360"/>
      </w:pPr>
      <w:rPr>
        <w:rFonts w:ascii="Wingdings" w:hAnsi="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24CF5478"/>
    <w:multiLevelType w:val="hybridMultilevel"/>
    <w:tmpl w:val="82BE4B16"/>
    <w:lvl w:ilvl="0" w:tplc="D830595C">
      <w:start w:val="1"/>
      <w:numFmt w:val="decimal"/>
      <w:pStyle w:val="NumberedList"/>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49F32E6D"/>
    <w:multiLevelType w:val="hybridMultilevel"/>
    <w:tmpl w:val="6B5ABABC"/>
    <w:lvl w:ilvl="0" w:tplc="B130EF86">
      <w:start w:val="1"/>
      <w:numFmt w:val="bullet"/>
      <w:lvlText w:val=""/>
      <w:lvlJc w:val="left"/>
      <w:pPr>
        <w:ind w:left="360" w:hanging="360"/>
      </w:pPr>
      <w:rPr>
        <w:rFonts w:ascii="Wingdings" w:hAnsi="Wingdings" w:hint="default"/>
      </w:rPr>
    </w:lvl>
    <w:lvl w:ilvl="1" w:tplc="C47690DA">
      <w:start w:val="1"/>
      <w:numFmt w:val="bullet"/>
      <w:lvlText w:val=""/>
      <w:lvlJc w:val="left"/>
      <w:pPr>
        <w:ind w:left="1080" w:hanging="360"/>
      </w:pPr>
      <w:rPr>
        <w:rFonts w:ascii="Wingdings 2" w:hAnsi="Wingdings 2" w:hint="default"/>
        <w:sz w:val="16"/>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5AC57447"/>
    <w:multiLevelType w:val="hybridMultilevel"/>
    <w:tmpl w:val="3E7A38EC"/>
    <w:lvl w:ilvl="0" w:tplc="23E44AD0">
      <w:start w:val="1"/>
      <w:numFmt w:val="bullet"/>
      <w:pStyle w:val="Bulleted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F4939C6"/>
    <w:multiLevelType w:val="hybridMultilevel"/>
    <w:tmpl w:val="E73C6760"/>
    <w:lvl w:ilvl="0" w:tplc="66BEF364">
      <w:start w:val="1"/>
      <w:numFmt w:val="bullet"/>
      <w:pStyle w:val="SR"/>
      <w:lvlText w:val=""/>
      <w:lvlJc w:val="left"/>
      <w:pPr>
        <w:ind w:left="1440" w:hanging="360"/>
      </w:pPr>
      <w:rPr>
        <w:rFonts w:ascii="Webdings" w:hAnsi="Web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171F0E"/>
    <w:multiLevelType w:val="hybridMultilevel"/>
    <w:tmpl w:val="889E8C6E"/>
    <w:lvl w:ilvl="0" w:tplc="D122B6BA">
      <w:start w:val="1"/>
      <w:numFmt w:val="bullet"/>
      <w:pStyle w:val="IN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77D65F8"/>
    <w:multiLevelType w:val="hybridMultilevel"/>
    <w:tmpl w:val="BE86B58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6C262C50"/>
    <w:multiLevelType w:val="hybridMultilevel"/>
    <w:tmpl w:val="7D4A26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CB34FA9"/>
    <w:multiLevelType w:val="hybridMultilevel"/>
    <w:tmpl w:val="3336278A"/>
    <w:lvl w:ilvl="0" w:tplc="4CE8CD4E">
      <w:start w:val="1"/>
      <w:numFmt w:val="bullet"/>
      <w:pStyle w:val="SA"/>
      <w:lvlText w:val=""/>
      <w:lvlJc w:val="left"/>
      <w:pPr>
        <w:ind w:left="720" w:hanging="360"/>
      </w:pPr>
      <w:rPr>
        <w:rFonts w:ascii="Webdings" w:hAnsi="Web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0B1732A"/>
    <w:multiLevelType w:val="hybridMultilevel"/>
    <w:tmpl w:val="9A7897FC"/>
    <w:lvl w:ilvl="0" w:tplc="8BD27DE8">
      <w:start w:val="3"/>
      <w:numFmt w:val="lowerLetter"/>
      <w:pStyle w:val="SubStandard"/>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nsid w:val="772C28EF"/>
    <w:multiLevelType w:val="hybridMultilevel"/>
    <w:tmpl w:val="03BEE6CE"/>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7E3E740C"/>
    <w:multiLevelType w:val="hybridMultilevel"/>
    <w:tmpl w:val="80C68E4C"/>
    <w:lvl w:ilvl="0" w:tplc="A6D0280A">
      <w:start w:val="2"/>
      <w:numFmt w:val="lowerLetter"/>
      <w:lvlText w:val="%1."/>
      <w:lvlJc w:val="left"/>
      <w:pPr>
        <w:ind w:left="360" w:hanging="360"/>
      </w:pPr>
      <w:rPr>
        <w:rFonts w:asciiTheme="minorHAnsi" w:hAnsiTheme="minorHAnsi"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8"/>
    <w:lvlOverride w:ilvl="0">
      <w:startOverride w:val="1"/>
    </w:lvlOverride>
  </w:num>
  <w:num w:numId="2">
    <w:abstractNumId w:val="8"/>
    <w:lvlOverride w:ilvl="0">
      <w:startOverride w:val="1"/>
    </w:lvlOverride>
  </w:num>
  <w:num w:numId="3">
    <w:abstractNumId w:val="9"/>
  </w:num>
  <w:num w:numId="4">
    <w:abstractNumId w:val="10"/>
  </w:num>
  <w:num w:numId="5">
    <w:abstractNumId w:val="2"/>
  </w:num>
  <w:num w:numId="6">
    <w:abstractNumId w:val="12"/>
  </w:num>
  <w:num w:numId="7">
    <w:abstractNumId w:val="8"/>
    <w:lvlOverride w:ilvl="0">
      <w:startOverride w:val="1"/>
    </w:lvlOverride>
  </w:num>
  <w:num w:numId="8">
    <w:abstractNumId w:val="15"/>
  </w:num>
  <w:num w:numId="9">
    <w:abstractNumId w:val="3"/>
  </w:num>
  <w:num w:numId="10">
    <w:abstractNumId w:val="11"/>
  </w:num>
  <w:num w:numId="11">
    <w:abstractNumId w:val="16"/>
  </w:num>
  <w:num w:numId="12">
    <w:abstractNumId w:val="8"/>
  </w:num>
  <w:num w:numId="13">
    <w:abstractNumId w:val="8"/>
    <w:lvlOverride w:ilvl="0">
      <w:startOverride w:val="1"/>
    </w:lvlOverride>
  </w:num>
  <w:num w:numId="14">
    <w:abstractNumId w:val="6"/>
    <w:lvlOverride w:ilvl="0">
      <w:startOverride w:val="1"/>
    </w:lvlOverride>
  </w:num>
  <w:num w:numId="15">
    <w:abstractNumId w:val="15"/>
  </w:num>
  <w:num w:numId="16">
    <w:abstractNumId w:val="5"/>
  </w:num>
  <w:num w:numId="17">
    <w:abstractNumId w:val="0"/>
  </w:num>
  <w:num w:numId="18">
    <w:abstractNumId w:val="4"/>
  </w:num>
  <w:num w:numId="19">
    <w:abstractNumId w:val="14"/>
  </w:num>
  <w:num w:numId="20">
    <w:abstractNumId w:val="18"/>
  </w:num>
  <w:num w:numId="21">
    <w:abstractNumId w:val="1"/>
  </w:num>
  <w:num w:numId="22">
    <w:abstractNumId w:val="7"/>
  </w:num>
  <w:num w:numId="23">
    <w:abstractNumId w:val="2"/>
  </w:num>
  <w:num w:numId="24">
    <w:abstractNumId w:val="15"/>
  </w:num>
  <w:num w:numId="25">
    <w:abstractNumId w:val="3"/>
  </w:num>
  <w:num w:numId="26">
    <w:abstractNumId w:val="11"/>
  </w:num>
  <w:num w:numId="27">
    <w:abstractNumId w:val="15"/>
  </w:num>
  <w:num w:numId="28">
    <w:abstractNumId w:val="11"/>
  </w:num>
  <w:num w:numId="29">
    <w:abstractNumId w:val="3"/>
  </w:num>
  <w:num w:numId="30">
    <w:abstractNumId w:val="2"/>
  </w:num>
  <w:num w:numId="31">
    <w:abstractNumId w:val="17"/>
  </w:num>
  <w:num w:numId="32">
    <w:abstractNumId w:val="13"/>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BCC"/>
    <w:rsid w:val="000017F3"/>
    <w:rsid w:val="00012307"/>
    <w:rsid w:val="00014E89"/>
    <w:rsid w:val="00015555"/>
    <w:rsid w:val="00023235"/>
    <w:rsid w:val="00031098"/>
    <w:rsid w:val="00031FCE"/>
    <w:rsid w:val="00045F9B"/>
    <w:rsid w:val="00046DD8"/>
    <w:rsid w:val="000533EF"/>
    <w:rsid w:val="00061B5E"/>
    <w:rsid w:val="000661F0"/>
    <w:rsid w:val="00085CCF"/>
    <w:rsid w:val="000872D5"/>
    <w:rsid w:val="00093C7A"/>
    <w:rsid w:val="000947B4"/>
    <w:rsid w:val="000A28F3"/>
    <w:rsid w:val="000A2BF4"/>
    <w:rsid w:val="000A4BAB"/>
    <w:rsid w:val="000A5641"/>
    <w:rsid w:val="000B3273"/>
    <w:rsid w:val="000B3A6F"/>
    <w:rsid w:val="000B7B2A"/>
    <w:rsid w:val="000C0271"/>
    <w:rsid w:val="000C1036"/>
    <w:rsid w:val="000C129C"/>
    <w:rsid w:val="000C298A"/>
    <w:rsid w:val="000C7193"/>
    <w:rsid w:val="000D300B"/>
    <w:rsid w:val="000D6515"/>
    <w:rsid w:val="000F17AE"/>
    <w:rsid w:val="000F38F7"/>
    <w:rsid w:val="00104E73"/>
    <w:rsid w:val="00121694"/>
    <w:rsid w:val="001247D8"/>
    <w:rsid w:val="00124A4E"/>
    <w:rsid w:val="00131F24"/>
    <w:rsid w:val="001322E9"/>
    <w:rsid w:val="0013379A"/>
    <w:rsid w:val="00135206"/>
    <w:rsid w:val="00144B97"/>
    <w:rsid w:val="0014504B"/>
    <w:rsid w:val="001465A3"/>
    <w:rsid w:val="00155557"/>
    <w:rsid w:val="00164618"/>
    <w:rsid w:val="00166E79"/>
    <w:rsid w:val="0016723E"/>
    <w:rsid w:val="001707FF"/>
    <w:rsid w:val="001735F1"/>
    <w:rsid w:val="00175131"/>
    <w:rsid w:val="001846FF"/>
    <w:rsid w:val="0018609D"/>
    <w:rsid w:val="001913C1"/>
    <w:rsid w:val="001960FF"/>
    <w:rsid w:val="001A5B17"/>
    <w:rsid w:val="001B1CFD"/>
    <w:rsid w:val="001B2026"/>
    <w:rsid w:val="001B2558"/>
    <w:rsid w:val="001B2DA3"/>
    <w:rsid w:val="001B705E"/>
    <w:rsid w:val="001B7174"/>
    <w:rsid w:val="001C5FF7"/>
    <w:rsid w:val="001C7902"/>
    <w:rsid w:val="001D05F8"/>
    <w:rsid w:val="001D1C59"/>
    <w:rsid w:val="001D207F"/>
    <w:rsid w:val="001D6BDC"/>
    <w:rsid w:val="001E546D"/>
    <w:rsid w:val="001E7E5B"/>
    <w:rsid w:val="001F2BA8"/>
    <w:rsid w:val="00204867"/>
    <w:rsid w:val="002070E0"/>
    <w:rsid w:val="00213775"/>
    <w:rsid w:val="002142D5"/>
    <w:rsid w:val="00221CC7"/>
    <w:rsid w:val="00226F2C"/>
    <w:rsid w:val="00227E9C"/>
    <w:rsid w:val="00227EAD"/>
    <w:rsid w:val="00233816"/>
    <w:rsid w:val="0023456F"/>
    <w:rsid w:val="0024128D"/>
    <w:rsid w:val="00242158"/>
    <w:rsid w:val="00246F3F"/>
    <w:rsid w:val="00247BDB"/>
    <w:rsid w:val="002503DA"/>
    <w:rsid w:val="00261482"/>
    <w:rsid w:val="002622D8"/>
    <w:rsid w:val="002640D0"/>
    <w:rsid w:val="00265498"/>
    <w:rsid w:val="002742C4"/>
    <w:rsid w:val="0028209F"/>
    <w:rsid w:val="00282DA1"/>
    <w:rsid w:val="002B100E"/>
    <w:rsid w:val="002B53E8"/>
    <w:rsid w:val="002B793F"/>
    <w:rsid w:val="002C01C8"/>
    <w:rsid w:val="002C0E4E"/>
    <w:rsid w:val="002C1768"/>
    <w:rsid w:val="002C370A"/>
    <w:rsid w:val="002C6131"/>
    <w:rsid w:val="002D7B32"/>
    <w:rsid w:val="002E173F"/>
    <w:rsid w:val="002E76C6"/>
    <w:rsid w:val="002F003D"/>
    <w:rsid w:val="002F245B"/>
    <w:rsid w:val="002F4066"/>
    <w:rsid w:val="002F5956"/>
    <w:rsid w:val="002F5B14"/>
    <w:rsid w:val="002F64B6"/>
    <w:rsid w:val="002F672F"/>
    <w:rsid w:val="00302353"/>
    <w:rsid w:val="0030625B"/>
    <w:rsid w:val="003065F8"/>
    <w:rsid w:val="003102E5"/>
    <w:rsid w:val="00316FA3"/>
    <w:rsid w:val="00317641"/>
    <w:rsid w:val="0031779E"/>
    <w:rsid w:val="00321757"/>
    <w:rsid w:val="003242FA"/>
    <w:rsid w:val="00324CD9"/>
    <w:rsid w:val="00331CAB"/>
    <w:rsid w:val="00333AA3"/>
    <w:rsid w:val="00341F48"/>
    <w:rsid w:val="00344111"/>
    <w:rsid w:val="00350E28"/>
    <w:rsid w:val="003520DC"/>
    <w:rsid w:val="003631A8"/>
    <w:rsid w:val="0036498F"/>
    <w:rsid w:val="003719AD"/>
    <w:rsid w:val="003755EA"/>
    <w:rsid w:val="003870EB"/>
    <w:rsid w:val="00390CCE"/>
    <w:rsid w:val="00394BDA"/>
    <w:rsid w:val="003A330A"/>
    <w:rsid w:val="003A741D"/>
    <w:rsid w:val="003B3463"/>
    <w:rsid w:val="003B5452"/>
    <w:rsid w:val="003B5914"/>
    <w:rsid w:val="003C6BDD"/>
    <w:rsid w:val="003C6EC0"/>
    <w:rsid w:val="003D112D"/>
    <w:rsid w:val="003D32EF"/>
    <w:rsid w:val="003E777C"/>
    <w:rsid w:val="003F0892"/>
    <w:rsid w:val="003F318B"/>
    <w:rsid w:val="003F6335"/>
    <w:rsid w:val="00401C71"/>
    <w:rsid w:val="0041066A"/>
    <w:rsid w:val="00411445"/>
    <w:rsid w:val="00413E8D"/>
    <w:rsid w:val="004153BF"/>
    <w:rsid w:val="00427FBA"/>
    <w:rsid w:val="0043572E"/>
    <w:rsid w:val="00437178"/>
    <w:rsid w:val="0044619F"/>
    <w:rsid w:val="0045329B"/>
    <w:rsid w:val="004559D9"/>
    <w:rsid w:val="00467ABF"/>
    <w:rsid w:val="00475DD9"/>
    <w:rsid w:val="0048245A"/>
    <w:rsid w:val="00483611"/>
    <w:rsid w:val="004851A3"/>
    <w:rsid w:val="00485A35"/>
    <w:rsid w:val="00487087"/>
    <w:rsid w:val="00491571"/>
    <w:rsid w:val="00492E37"/>
    <w:rsid w:val="00494E1C"/>
    <w:rsid w:val="004964D3"/>
    <w:rsid w:val="00496679"/>
    <w:rsid w:val="00497884"/>
    <w:rsid w:val="004A08F6"/>
    <w:rsid w:val="004A3505"/>
    <w:rsid w:val="004A5027"/>
    <w:rsid w:val="004A6AD5"/>
    <w:rsid w:val="004A6E17"/>
    <w:rsid w:val="004A713D"/>
    <w:rsid w:val="004A73E8"/>
    <w:rsid w:val="004B210E"/>
    <w:rsid w:val="004B304F"/>
    <w:rsid w:val="004B64A5"/>
    <w:rsid w:val="004C00DE"/>
    <w:rsid w:val="004C069C"/>
    <w:rsid w:val="004C11CF"/>
    <w:rsid w:val="004C2974"/>
    <w:rsid w:val="004C771D"/>
    <w:rsid w:val="004E1E0D"/>
    <w:rsid w:val="004E2E47"/>
    <w:rsid w:val="004E4C82"/>
    <w:rsid w:val="004E62BE"/>
    <w:rsid w:val="004F062D"/>
    <w:rsid w:val="004F077E"/>
    <w:rsid w:val="004F3A61"/>
    <w:rsid w:val="00500982"/>
    <w:rsid w:val="00511A35"/>
    <w:rsid w:val="00513545"/>
    <w:rsid w:val="00516F95"/>
    <w:rsid w:val="00520E70"/>
    <w:rsid w:val="00521EF5"/>
    <w:rsid w:val="005239C9"/>
    <w:rsid w:val="005249FD"/>
    <w:rsid w:val="0053042A"/>
    <w:rsid w:val="005339DF"/>
    <w:rsid w:val="00540870"/>
    <w:rsid w:val="0055486D"/>
    <w:rsid w:val="0056094D"/>
    <w:rsid w:val="005627A0"/>
    <w:rsid w:val="005640C7"/>
    <w:rsid w:val="00564EB9"/>
    <w:rsid w:val="00566205"/>
    <w:rsid w:val="0056769F"/>
    <w:rsid w:val="00572E1F"/>
    <w:rsid w:val="00576271"/>
    <w:rsid w:val="0058340C"/>
    <w:rsid w:val="00584E5A"/>
    <w:rsid w:val="005857C6"/>
    <w:rsid w:val="005866E4"/>
    <w:rsid w:val="005906D0"/>
    <w:rsid w:val="005936C1"/>
    <w:rsid w:val="0059466F"/>
    <w:rsid w:val="005973E4"/>
    <w:rsid w:val="005A7D0C"/>
    <w:rsid w:val="005B24AC"/>
    <w:rsid w:val="005B688A"/>
    <w:rsid w:val="005C0A5D"/>
    <w:rsid w:val="005D043E"/>
    <w:rsid w:val="005F3502"/>
    <w:rsid w:val="005F3890"/>
    <w:rsid w:val="005F395D"/>
    <w:rsid w:val="0062036F"/>
    <w:rsid w:val="00623949"/>
    <w:rsid w:val="006360CD"/>
    <w:rsid w:val="00660151"/>
    <w:rsid w:val="00661C2B"/>
    <w:rsid w:val="00662851"/>
    <w:rsid w:val="0067067A"/>
    <w:rsid w:val="006743F5"/>
    <w:rsid w:val="00683488"/>
    <w:rsid w:val="0068579B"/>
    <w:rsid w:val="0068688E"/>
    <w:rsid w:val="00692508"/>
    <w:rsid w:val="006926EA"/>
    <w:rsid w:val="00695D98"/>
    <w:rsid w:val="006A00FB"/>
    <w:rsid w:val="006A48D5"/>
    <w:rsid w:val="006B2821"/>
    <w:rsid w:val="006B4295"/>
    <w:rsid w:val="006B7301"/>
    <w:rsid w:val="006C1D38"/>
    <w:rsid w:val="006C4846"/>
    <w:rsid w:val="006D16B5"/>
    <w:rsid w:val="006D2C74"/>
    <w:rsid w:val="006D6F84"/>
    <w:rsid w:val="006E0422"/>
    <w:rsid w:val="006E1121"/>
    <w:rsid w:val="006E232F"/>
    <w:rsid w:val="006F2309"/>
    <w:rsid w:val="007002AE"/>
    <w:rsid w:val="007010B0"/>
    <w:rsid w:val="007017EB"/>
    <w:rsid w:val="00711CF1"/>
    <w:rsid w:val="00720959"/>
    <w:rsid w:val="00722B09"/>
    <w:rsid w:val="00723229"/>
    <w:rsid w:val="00724E7E"/>
    <w:rsid w:val="00730D3C"/>
    <w:rsid w:val="0073274E"/>
    <w:rsid w:val="0073463E"/>
    <w:rsid w:val="00736A70"/>
    <w:rsid w:val="00737358"/>
    <w:rsid w:val="00737FB9"/>
    <w:rsid w:val="00742B21"/>
    <w:rsid w:val="00742C6C"/>
    <w:rsid w:val="00744458"/>
    <w:rsid w:val="007522B4"/>
    <w:rsid w:val="0075793A"/>
    <w:rsid w:val="00770F12"/>
    <w:rsid w:val="007720EC"/>
    <w:rsid w:val="00774783"/>
    <w:rsid w:val="00777562"/>
    <w:rsid w:val="00781707"/>
    <w:rsid w:val="007905E5"/>
    <w:rsid w:val="00790BCC"/>
    <w:rsid w:val="00791649"/>
    <w:rsid w:val="00792184"/>
    <w:rsid w:val="0079393A"/>
    <w:rsid w:val="007945EB"/>
    <w:rsid w:val="00797D35"/>
    <w:rsid w:val="007A040E"/>
    <w:rsid w:val="007B3A08"/>
    <w:rsid w:val="007B566F"/>
    <w:rsid w:val="007B7945"/>
    <w:rsid w:val="007C4F0C"/>
    <w:rsid w:val="007C7E8F"/>
    <w:rsid w:val="007D02BC"/>
    <w:rsid w:val="007D1B83"/>
    <w:rsid w:val="007D2598"/>
    <w:rsid w:val="007D3CAB"/>
    <w:rsid w:val="007D627C"/>
    <w:rsid w:val="007E484F"/>
    <w:rsid w:val="007E52FE"/>
    <w:rsid w:val="007E68CE"/>
    <w:rsid w:val="007F6DFE"/>
    <w:rsid w:val="008235CC"/>
    <w:rsid w:val="00823BAD"/>
    <w:rsid w:val="00826483"/>
    <w:rsid w:val="00827034"/>
    <w:rsid w:val="0083315A"/>
    <w:rsid w:val="00837D93"/>
    <w:rsid w:val="0084061B"/>
    <w:rsid w:val="00846764"/>
    <w:rsid w:val="00851C73"/>
    <w:rsid w:val="0085226C"/>
    <w:rsid w:val="00853741"/>
    <w:rsid w:val="008540F5"/>
    <w:rsid w:val="00855710"/>
    <w:rsid w:val="00855B59"/>
    <w:rsid w:val="00856AAA"/>
    <w:rsid w:val="008615A8"/>
    <w:rsid w:val="008631BA"/>
    <w:rsid w:val="00867200"/>
    <w:rsid w:val="00885A07"/>
    <w:rsid w:val="008872EE"/>
    <w:rsid w:val="00896877"/>
    <w:rsid w:val="0089698D"/>
    <w:rsid w:val="008A02C9"/>
    <w:rsid w:val="008A292D"/>
    <w:rsid w:val="008A33F5"/>
    <w:rsid w:val="008A4DD2"/>
    <w:rsid w:val="008A6E69"/>
    <w:rsid w:val="008A745C"/>
    <w:rsid w:val="008B044E"/>
    <w:rsid w:val="008B5259"/>
    <w:rsid w:val="008B6065"/>
    <w:rsid w:val="008B78A5"/>
    <w:rsid w:val="008C029A"/>
    <w:rsid w:val="008C1651"/>
    <w:rsid w:val="008C2E1B"/>
    <w:rsid w:val="008C4D8C"/>
    <w:rsid w:val="008D000C"/>
    <w:rsid w:val="008D1088"/>
    <w:rsid w:val="008E0122"/>
    <w:rsid w:val="008E11D9"/>
    <w:rsid w:val="008E28DB"/>
    <w:rsid w:val="008E489D"/>
    <w:rsid w:val="008E49D2"/>
    <w:rsid w:val="008F4F85"/>
    <w:rsid w:val="008F608C"/>
    <w:rsid w:val="008F7F9F"/>
    <w:rsid w:val="00900DE4"/>
    <w:rsid w:val="00902CF8"/>
    <w:rsid w:val="00912018"/>
    <w:rsid w:val="009141EB"/>
    <w:rsid w:val="00925CF2"/>
    <w:rsid w:val="0093231D"/>
    <w:rsid w:val="009347FD"/>
    <w:rsid w:val="00937AC7"/>
    <w:rsid w:val="00937F3B"/>
    <w:rsid w:val="009413A5"/>
    <w:rsid w:val="009450B7"/>
    <w:rsid w:val="009450F1"/>
    <w:rsid w:val="00946AA4"/>
    <w:rsid w:val="0095205D"/>
    <w:rsid w:val="00965304"/>
    <w:rsid w:val="0096640C"/>
    <w:rsid w:val="00967882"/>
    <w:rsid w:val="00975219"/>
    <w:rsid w:val="00977749"/>
    <w:rsid w:val="0098758D"/>
    <w:rsid w:val="00993AB3"/>
    <w:rsid w:val="009946E8"/>
    <w:rsid w:val="00996E3F"/>
    <w:rsid w:val="009A1164"/>
    <w:rsid w:val="009A6ACC"/>
    <w:rsid w:val="009B0961"/>
    <w:rsid w:val="009C4873"/>
    <w:rsid w:val="009C5A7C"/>
    <w:rsid w:val="009C62A9"/>
    <w:rsid w:val="009D2330"/>
    <w:rsid w:val="009E2B3E"/>
    <w:rsid w:val="009F4DC6"/>
    <w:rsid w:val="00A001CE"/>
    <w:rsid w:val="00A01B73"/>
    <w:rsid w:val="00A04D89"/>
    <w:rsid w:val="00A1251D"/>
    <w:rsid w:val="00A13F4A"/>
    <w:rsid w:val="00A158FD"/>
    <w:rsid w:val="00A2411B"/>
    <w:rsid w:val="00A25C2E"/>
    <w:rsid w:val="00A27DAA"/>
    <w:rsid w:val="00A34D4F"/>
    <w:rsid w:val="00A4238E"/>
    <w:rsid w:val="00A61ED0"/>
    <w:rsid w:val="00A73293"/>
    <w:rsid w:val="00A81F3A"/>
    <w:rsid w:val="00A82A36"/>
    <w:rsid w:val="00A8497B"/>
    <w:rsid w:val="00A85590"/>
    <w:rsid w:val="00A8564C"/>
    <w:rsid w:val="00A95149"/>
    <w:rsid w:val="00A9654E"/>
    <w:rsid w:val="00AA1258"/>
    <w:rsid w:val="00AA12D8"/>
    <w:rsid w:val="00AA322B"/>
    <w:rsid w:val="00AA50EC"/>
    <w:rsid w:val="00AB5642"/>
    <w:rsid w:val="00AB758D"/>
    <w:rsid w:val="00AC13B6"/>
    <w:rsid w:val="00AD30E3"/>
    <w:rsid w:val="00AD5F6E"/>
    <w:rsid w:val="00AE0ACB"/>
    <w:rsid w:val="00AE33A1"/>
    <w:rsid w:val="00AF5B81"/>
    <w:rsid w:val="00AF68D9"/>
    <w:rsid w:val="00AF6D2D"/>
    <w:rsid w:val="00B00C52"/>
    <w:rsid w:val="00B14131"/>
    <w:rsid w:val="00B1415D"/>
    <w:rsid w:val="00B14981"/>
    <w:rsid w:val="00B242FB"/>
    <w:rsid w:val="00B348DB"/>
    <w:rsid w:val="00B36A7A"/>
    <w:rsid w:val="00B505CB"/>
    <w:rsid w:val="00B52FA8"/>
    <w:rsid w:val="00B57DC2"/>
    <w:rsid w:val="00B6141D"/>
    <w:rsid w:val="00B70449"/>
    <w:rsid w:val="00B70723"/>
    <w:rsid w:val="00B70954"/>
    <w:rsid w:val="00B7513D"/>
    <w:rsid w:val="00B833DD"/>
    <w:rsid w:val="00B84BB1"/>
    <w:rsid w:val="00B92D0F"/>
    <w:rsid w:val="00B93935"/>
    <w:rsid w:val="00B966D7"/>
    <w:rsid w:val="00BA1569"/>
    <w:rsid w:val="00BA6DE0"/>
    <w:rsid w:val="00BB63CE"/>
    <w:rsid w:val="00BB796A"/>
    <w:rsid w:val="00BC2792"/>
    <w:rsid w:val="00BC323E"/>
    <w:rsid w:val="00BC395E"/>
    <w:rsid w:val="00BD5373"/>
    <w:rsid w:val="00BD635A"/>
    <w:rsid w:val="00BD7D8C"/>
    <w:rsid w:val="00BE1C29"/>
    <w:rsid w:val="00BE3517"/>
    <w:rsid w:val="00BE57DA"/>
    <w:rsid w:val="00C00329"/>
    <w:rsid w:val="00C013D0"/>
    <w:rsid w:val="00C06B1A"/>
    <w:rsid w:val="00C1195A"/>
    <w:rsid w:val="00C13C47"/>
    <w:rsid w:val="00C13DBC"/>
    <w:rsid w:val="00C17277"/>
    <w:rsid w:val="00C2098F"/>
    <w:rsid w:val="00C24013"/>
    <w:rsid w:val="00C26951"/>
    <w:rsid w:val="00C335CF"/>
    <w:rsid w:val="00C3675C"/>
    <w:rsid w:val="00C37B92"/>
    <w:rsid w:val="00C43AF7"/>
    <w:rsid w:val="00C45EB6"/>
    <w:rsid w:val="00C470CC"/>
    <w:rsid w:val="00C514AB"/>
    <w:rsid w:val="00C5268D"/>
    <w:rsid w:val="00C5469F"/>
    <w:rsid w:val="00C56DAE"/>
    <w:rsid w:val="00C57C16"/>
    <w:rsid w:val="00C57F96"/>
    <w:rsid w:val="00C60EA8"/>
    <w:rsid w:val="00C61717"/>
    <w:rsid w:val="00C61F83"/>
    <w:rsid w:val="00C62EE6"/>
    <w:rsid w:val="00C67AA7"/>
    <w:rsid w:val="00C75212"/>
    <w:rsid w:val="00C76630"/>
    <w:rsid w:val="00C83769"/>
    <w:rsid w:val="00C856AA"/>
    <w:rsid w:val="00C92B04"/>
    <w:rsid w:val="00C962EE"/>
    <w:rsid w:val="00C966C1"/>
    <w:rsid w:val="00CA56E3"/>
    <w:rsid w:val="00CC142A"/>
    <w:rsid w:val="00CC1E6E"/>
    <w:rsid w:val="00CC4801"/>
    <w:rsid w:val="00CD1013"/>
    <w:rsid w:val="00CD111C"/>
    <w:rsid w:val="00CD30DE"/>
    <w:rsid w:val="00CD30FE"/>
    <w:rsid w:val="00CD3D4B"/>
    <w:rsid w:val="00CD7CBD"/>
    <w:rsid w:val="00CD7FBB"/>
    <w:rsid w:val="00CE2C83"/>
    <w:rsid w:val="00CE6BA9"/>
    <w:rsid w:val="00CF4DA4"/>
    <w:rsid w:val="00CF5754"/>
    <w:rsid w:val="00CF70D5"/>
    <w:rsid w:val="00CF768E"/>
    <w:rsid w:val="00D02744"/>
    <w:rsid w:val="00D07E7B"/>
    <w:rsid w:val="00D10F30"/>
    <w:rsid w:val="00D130E1"/>
    <w:rsid w:val="00D13875"/>
    <w:rsid w:val="00D14C2D"/>
    <w:rsid w:val="00D1508E"/>
    <w:rsid w:val="00D22A1C"/>
    <w:rsid w:val="00D23808"/>
    <w:rsid w:val="00D255CA"/>
    <w:rsid w:val="00D26F43"/>
    <w:rsid w:val="00D31F4D"/>
    <w:rsid w:val="00D33A43"/>
    <w:rsid w:val="00D33DA7"/>
    <w:rsid w:val="00D35D15"/>
    <w:rsid w:val="00D43571"/>
    <w:rsid w:val="00D4442B"/>
    <w:rsid w:val="00D44F84"/>
    <w:rsid w:val="00D46561"/>
    <w:rsid w:val="00D474FE"/>
    <w:rsid w:val="00D50049"/>
    <w:rsid w:val="00D65E5C"/>
    <w:rsid w:val="00D67F1C"/>
    <w:rsid w:val="00D7261A"/>
    <w:rsid w:val="00D74DC3"/>
    <w:rsid w:val="00D76C1C"/>
    <w:rsid w:val="00D80BA1"/>
    <w:rsid w:val="00D8105B"/>
    <w:rsid w:val="00D85580"/>
    <w:rsid w:val="00DA1593"/>
    <w:rsid w:val="00DB665B"/>
    <w:rsid w:val="00DC058E"/>
    <w:rsid w:val="00DC376D"/>
    <w:rsid w:val="00DE6261"/>
    <w:rsid w:val="00DE7B8A"/>
    <w:rsid w:val="00DE7E2F"/>
    <w:rsid w:val="00DF11A7"/>
    <w:rsid w:val="00E019FF"/>
    <w:rsid w:val="00E025C7"/>
    <w:rsid w:val="00E040E9"/>
    <w:rsid w:val="00E05DF6"/>
    <w:rsid w:val="00E10AD5"/>
    <w:rsid w:val="00E1242D"/>
    <w:rsid w:val="00E22E6A"/>
    <w:rsid w:val="00E24DC3"/>
    <w:rsid w:val="00E25602"/>
    <w:rsid w:val="00E25909"/>
    <w:rsid w:val="00E25FAA"/>
    <w:rsid w:val="00E3183B"/>
    <w:rsid w:val="00E337F0"/>
    <w:rsid w:val="00E346E9"/>
    <w:rsid w:val="00E40581"/>
    <w:rsid w:val="00E453A8"/>
    <w:rsid w:val="00E45401"/>
    <w:rsid w:val="00E4635B"/>
    <w:rsid w:val="00E47F9C"/>
    <w:rsid w:val="00E51A4D"/>
    <w:rsid w:val="00E54932"/>
    <w:rsid w:val="00E54ADF"/>
    <w:rsid w:val="00E55606"/>
    <w:rsid w:val="00E56887"/>
    <w:rsid w:val="00E62940"/>
    <w:rsid w:val="00E64346"/>
    <w:rsid w:val="00E721DA"/>
    <w:rsid w:val="00E838FF"/>
    <w:rsid w:val="00E84BE9"/>
    <w:rsid w:val="00E96A3A"/>
    <w:rsid w:val="00E974FF"/>
    <w:rsid w:val="00EA20B3"/>
    <w:rsid w:val="00EA5069"/>
    <w:rsid w:val="00EB1CA8"/>
    <w:rsid w:val="00EB20C7"/>
    <w:rsid w:val="00EB3E7C"/>
    <w:rsid w:val="00EC06EC"/>
    <w:rsid w:val="00EC3011"/>
    <w:rsid w:val="00EC6C07"/>
    <w:rsid w:val="00ED0DA8"/>
    <w:rsid w:val="00ED4927"/>
    <w:rsid w:val="00ED56EA"/>
    <w:rsid w:val="00EE34B5"/>
    <w:rsid w:val="00EE675F"/>
    <w:rsid w:val="00EF057C"/>
    <w:rsid w:val="00EF12E1"/>
    <w:rsid w:val="00F011FB"/>
    <w:rsid w:val="00F0198D"/>
    <w:rsid w:val="00F05A37"/>
    <w:rsid w:val="00F0613B"/>
    <w:rsid w:val="00F074F4"/>
    <w:rsid w:val="00F20AB2"/>
    <w:rsid w:val="00F21CF9"/>
    <w:rsid w:val="00F2390C"/>
    <w:rsid w:val="00F27B6D"/>
    <w:rsid w:val="00F312B5"/>
    <w:rsid w:val="00F3297E"/>
    <w:rsid w:val="00F46AF9"/>
    <w:rsid w:val="00F56811"/>
    <w:rsid w:val="00F6232C"/>
    <w:rsid w:val="00F66061"/>
    <w:rsid w:val="00F81A37"/>
    <w:rsid w:val="00F85776"/>
    <w:rsid w:val="00F8693E"/>
    <w:rsid w:val="00F86C72"/>
    <w:rsid w:val="00F86F97"/>
    <w:rsid w:val="00F87882"/>
    <w:rsid w:val="00F95292"/>
    <w:rsid w:val="00FA42D0"/>
    <w:rsid w:val="00FA68DA"/>
    <w:rsid w:val="00FA7696"/>
    <w:rsid w:val="00FA7D15"/>
    <w:rsid w:val="00FB0615"/>
    <w:rsid w:val="00FC0614"/>
    <w:rsid w:val="00FC6FC9"/>
    <w:rsid w:val="00FC7302"/>
    <w:rsid w:val="00FD04DA"/>
    <w:rsid w:val="00FD178A"/>
    <w:rsid w:val="00FD4EFA"/>
    <w:rsid w:val="00FD5AA9"/>
    <w:rsid w:val="00FD71E7"/>
    <w:rsid w:val="00FD7756"/>
    <w:rsid w:val="00FE1D61"/>
    <w:rsid w:val="00FE6EC9"/>
    <w:rsid w:val="00FF059A"/>
    <w:rsid w:val="00FF1275"/>
    <w:rsid w:val="00FF376B"/>
    <w:rsid w:val="00FF4E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826EEED"/>
  <w15:docId w15:val="{C076EBF9-9C3C-469F-98FD-F7E53B12A4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w:qFormat/>
    <w:rsid w:val="00C5268D"/>
    <w:pPr>
      <w:spacing w:before="60" w:after="180" w:line="276" w:lineRule="auto"/>
    </w:pPr>
    <w:rPr>
      <w:rFonts w:ascii="Calibri" w:eastAsia="Calibri" w:hAnsi="Calibri" w:cs="Times New Roman"/>
    </w:rPr>
  </w:style>
  <w:style w:type="paragraph" w:styleId="Heading1">
    <w:name w:val="heading 1"/>
    <w:aliases w:val="*Headers"/>
    <w:basedOn w:val="Normal"/>
    <w:next w:val="Normal"/>
    <w:link w:val="Heading1Char"/>
    <w:uiPriority w:val="9"/>
    <w:qFormat/>
    <w:rsid w:val="00C5268D"/>
    <w:pPr>
      <w:keepNext/>
      <w:keepLines/>
      <w:spacing w:before="480" w:after="120"/>
      <w:outlineLvl w:val="0"/>
    </w:pPr>
    <w:rPr>
      <w:rFonts w:asciiTheme="minorHAnsi" w:hAnsiTheme="minorHAnsi"/>
      <w:b/>
      <w:bCs/>
      <w:color w:val="365F91"/>
      <w:sz w:val="32"/>
      <w:szCs w:val="28"/>
    </w:rPr>
  </w:style>
  <w:style w:type="paragraph" w:styleId="Heading2">
    <w:name w:val="heading 2"/>
    <w:basedOn w:val="Normal"/>
    <w:next w:val="Normal"/>
    <w:link w:val="Heading2Char"/>
    <w:uiPriority w:val="9"/>
    <w:rsid w:val="00C5268D"/>
    <w:pPr>
      <w:keepNext/>
      <w:keepLines/>
      <w:spacing w:before="360"/>
      <w:outlineLvl w:val="1"/>
    </w:pPr>
    <w:rPr>
      <w:rFonts w:ascii="Cambria" w:hAnsi="Cambria"/>
      <w:b/>
      <w:bCs/>
      <w:i/>
      <w:color w:val="4F81BD"/>
      <w:sz w:val="26"/>
      <w:szCs w:val="26"/>
    </w:rPr>
  </w:style>
  <w:style w:type="paragraph" w:styleId="Heading3">
    <w:name w:val="heading 3"/>
    <w:basedOn w:val="Normal"/>
    <w:next w:val="Normal"/>
    <w:link w:val="Heading3Char"/>
    <w:uiPriority w:val="9"/>
    <w:rsid w:val="00C5268D"/>
    <w:pPr>
      <w:keepNext/>
      <w:keepLines/>
      <w:pBdr>
        <w:top w:val="dotted" w:sz="4" w:space="1" w:color="808080"/>
      </w:pBdr>
      <w:spacing w:before="200" w:after="120"/>
      <w:outlineLvl w:val="2"/>
    </w:pPr>
    <w:rPr>
      <w:rFonts w:ascii="Cambria" w:hAnsi="Cambria"/>
      <w:b/>
      <w:bCs/>
      <w:i/>
      <w:color w:val="7F7F7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5268D"/>
    <w:pPr>
      <w:tabs>
        <w:tab w:val="center" w:pos="4320"/>
        <w:tab w:val="right" w:pos="8640"/>
      </w:tabs>
    </w:pPr>
    <w:rPr>
      <w:rFonts w:ascii="Times New Roman" w:hAnsi="Times New Roman"/>
      <w:sz w:val="20"/>
    </w:rPr>
  </w:style>
  <w:style w:type="character" w:customStyle="1" w:styleId="FooterChar">
    <w:name w:val="Footer Char"/>
    <w:link w:val="Footer"/>
    <w:uiPriority w:val="99"/>
    <w:rsid w:val="00C5268D"/>
    <w:rPr>
      <w:rFonts w:ascii="Times New Roman" w:eastAsia="Calibri" w:hAnsi="Times New Roman" w:cs="Times New Roman"/>
      <w:sz w:val="20"/>
    </w:rPr>
  </w:style>
  <w:style w:type="character" w:styleId="PageNumber">
    <w:name w:val="page number"/>
    <w:uiPriority w:val="99"/>
    <w:rsid w:val="00C5268D"/>
    <w:rPr>
      <w:rFonts w:cs="Times New Roman"/>
    </w:rPr>
  </w:style>
  <w:style w:type="character" w:styleId="Hyperlink">
    <w:name w:val="Hyperlink"/>
    <w:uiPriority w:val="99"/>
    <w:unhideWhenUsed/>
    <w:rsid w:val="00C5268D"/>
    <w:rPr>
      <w:color w:val="0000FF"/>
      <w:u w:val="single"/>
    </w:rPr>
  </w:style>
  <w:style w:type="table" w:styleId="TableGrid">
    <w:name w:val="Table Grid"/>
    <w:basedOn w:val="TableNormal"/>
    <w:uiPriority w:val="59"/>
    <w:rsid w:val="00C5268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olio">
    <w:name w:val="folio"/>
    <w:basedOn w:val="Normal"/>
    <w:link w:val="folioChar"/>
    <w:rsid w:val="00C5268D"/>
    <w:pPr>
      <w:pBdr>
        <w:top w:val="single" w:sz="8" w:space="4" w:color="244061"/>
      </w:pBdr>
      <w:tabs>
        <w:tab w:val="center" w:pos="6480"/>
        <w:tab w:val="right" w:pos="10080"/>
      </w:tabs>
    </w:pPr>
    <w:rPr>
      <w:rFonts w:ascii="Verdana" w:eastAsia="Verdana" w:hAnsi="Verdana" w:cs="Verdana"/>
      <w:color w:val="595959"/>
      <w:sz w:val="16"/>
    </w:rPr>
  </w:style>
  <w:style w:type="paragraph" w:customStyle="1" w:styleId="NumberedList">
    <w:name w:val="*Numbered List"/>
    <w:link w:val="NumberedListChar"/>
    <w:qFormat/>
    <w:rsid w:val="00C5268D"/>
    <w:pPr>
      <w:numPr>
        <w:numId w:val="7"/>
      </w:numPr>
      <w:spacing w:after="60" w:line="240" w:lineRule="auto"/>
    </w:pPr>
    <w:rPr>
      <w:rFonts w:ascii="Calibri" w:eastAsia="Calibri" w:hAnsi="Calibri" w:cs="Times New Roman"/>
    </w:rPr>
  </w:style>
  <w:style w:type="paragraph" w:customStyle="1" w:styleId="PageHeader">
    <w:name w:val="*PageHeader"/>
    <w:link w:val="PageHeaderChar"/>
    <w:qFormat/>
    <w:rsid w:val="00C5268D"/>
    <w:pPr>
      <w:spacing w:before="120" w:after="0" w:line="240" w:lineRule="auto"/>
    </w:pPr>
    <w:rPr>
      <w:rFonts w:ascii="Calibri" w:eastAsia="Calibri" w:hAnsi="Calibri" w:cs="Times New Roman"/>
      <w:b/>
      <w:sz w:val="18"/>
    </w:rPr>
  </w:style>
  <w:style w:type="character" w:customStyle="1" w:styleId="PageHeaderChar">
    <w:name w:val="*PageHeader Char"/>
    <w:basedOn w:val="DefaultParagraphFont"/>
    <w:link w:val="PageHeader"/>
    <w:rsid w:val="00C5268D"/>
    <w:rPr>
      <w:rFonts w:ascii="Calibri" w:eastAsia="Calibri" w:hAnsi="Calibri" w:cs="Times New Roman"/>
      <w:b/>
      <w:sz w:val="18"/>
    </w:rPr>
  </w:style>
  <w:style w:type="paragraph" w:customStyle="1" w:styleId="FooterText">
    <w:name w:val="*FooterText"/>
    <w:link w:val="FooterTextChar"/>
    <w:qFormat/>
    <w:rsid w:val="00C5268D"/>
    <w:pPr>
      <w:spacing w:after="0" w:line="200" w:lineRule="exact"/>
    </w:pPr>
    <w:rPr>
      <w:rFonts w:ascii="Calibri" w:eastAsia="Verdana" w:hAnsi="Calibri" w:cs="Calibri"/>
      <w:b/>
      <w:color w:val="595959"/>
      <w:sz w:val="14"/>
    </w:rPr>
  </w:style>
  <w:style w:type="character" w:customStyle="1" w:styleId="folioChar">
    <w:name w:val="folio Char"/>
    <w:basedOn w:val="DefaultParagraphFont"/>
    <w:link w:val="folio"/>
    <w:rsid w:val="00C5268D"/>
    <w:rPr>
      <w:rFonts w:ascii="Verdana" w:eastAsia="Verdana" w:hAnsi="Verdana" w:cs="Verdana"/>
      <w:color w:val="595959"/>
      <w:sz w:val="16"/>
    </w:rPr>
  </w:style>
  <w:style w:type="character" w:customStyle="1" w:styleId="FooterTextChar">
    <w:name w:val="FooterText Char"/>
    <w:basedOn w:val="folioChar"/>
    <w:link w:val="FooterText"/>
    <w:rsid w:val="00C5268D"/>
    <w:rPr>
      <w:rFonts w:ascii="Calibri" w:eastAsia="Verdana" w:hAnsi="Calibri" w:cs="Calibri"/>
      <w:b/>
      <w:color w:val="595959"/>
      <w:sz w:val="14"/>
    </w:rPr>
  </w:style>
  <w:style w:type="paragraph" w:styleId="Header">
    <w:name w:val="header"/>
    <w:basedOn w:val="Normal"/>
    <w:link w:val="HeaderChar"/>
    <w:uiPriority w:val="99"/>
    <w:unhideWhenUsed/>
    <w:rsid w:val="00C5268D"/>
    <w:pPr>
      <w:tabs>
        <w:tab w:val="center" w:pos="4680"/>
        <w:tab w:val="right" w:pos="9360"/>
      </w:tabs>
    </w:pPr>
    <w:rPr>
      <w:sz w:val="20"/>
    </w:rPr>
  </w:style>
  <w:style w:type="character" w:customStyle="1" w:styleId="HeaderChar">
    <w:name w:val="Header Char"/>
    <w:link w:val="Header"/>
    <w:uiPriority w:val="99"/>
    <w:rsid w:val="00C5268D"/>
    <w:rPr>
      <w:rFonts w:ascii="Calibri" w:eastAsia="Calibri" w:hAnsi="Calibri" w:cs="Times New Roman"/>
      <w:sz w:val="20"/>
    </w:rPr>
  </w:style>
  <w:style w:type="paragraph" w:customStyle="1" w:styleId="BR">
    <w:name w:val="*BR*"/>
    <w:link w:val="BRChar"/>
    <w:qFormat/>
    <w:rsid w:val="00C5268D"/>
    <w:pPr>
      <w:pBdr>
        <w:bottom w:val="single" w:sz="12" w:space="1" w:color="7F7F7F" w:themeColor="text1" w:themeTint="80"/>
      </w:pBdr>
      <w:spacing w:after="360" w:line="240" w:lineRule="auto"/>
      <w:ind w:left="2880" w:right="2880"/>
    </w:pPr>
    <w:rPr>
      <w:rFonts w:ascii="Calibri" w:eastAsia="Calibri" w:hAnsi="Calibri" w:cs="Times New Roman"/>
      <w:sz w:val="18"/>
    </w:rPr>
  </w:style>
  <w:style w:type="character" w:customStyle="1" w:styleId="BRChar">
    <w:name w:val="*BR* Char"/>
    <w:basedOn w:val="DefaultParagraphFont"/>
    <w:link w:val="BR"/>
    <w:rsid w:val="00C5268D"/>
    <w:rPr>
      <w:rFonts w:ascii="Calibri" w:eastAsia="Calibri" w:hAnsi="Calibri" w:cs="Times New Roman"/>
      <w:sz w:val="18"/>
    </w:rPr>
  </w:style>
  <w:style w:type="paragraph" w:customStyle="1" w:styleId="BulletedList">
    <w:name w:val="*Bulleted List"/>
    <w:link w:val="BulletedListChar"/>
    <w:qFormat/>
    <w:rsid w:val="00D43571"/>
    <w:pPr>
      <w:numPr>
        <w:numId w:val="4"/>
      </w:numPr>
      <w:spacing w:before="60" w:after="60" w:line="276" w:lineRule="auto"/>
      <w:ind w:left="360"/>
    </w:pPr>
    <w:rPr>
      <w:rFonts w:ascii="Calibri" w:eastAsia="Calibri" w:hAnsi="Calibri" w:cs="Times New Roman"/>
    </w:rPr>
  </w:style>
  <w:style w:type="character" w:customStyle="1" w:styleId="BulletedListChar">
    <w:name w:val="*Bulleted List Char"/>
    <w:basedOn w:val="DefaultParagraphFont"/>
    <w:link w:val="BulletedList"/>
    <w:rsid w:val="00D43571"/>
    <w:rPr>
      <w:rFonts w:ascii="Calibri" w:eastAsia="Calibri" w:hAnsi="Calibri" w:cs="Times New Roman"/>
    </w:rPr>
  </w:style>
  <w:style w:type="paragraph" w:customStyle="1" w:styleId="ExcerptAuthor">
    <w:name w:val="*ExcerptAuthor"/>
    <w:basedOn w:val="Normal"/>
    <w:link w:val="ExcerptAuthorChar"/>
    <w:qFormat/>
    <w:rsid w:val="00C5268D"/>
    <w:pPr>
      <w:jc w:val="center"/>
    </w:pPr>
    <w:rPr>
      <w:rFonts w:asciiTheme="majorHAnsi" w:hAnsiTheme="majorHAnsi"/>
      <w:b/>
    </w:rPr>
  </w:style>
  <w:style w:type="character" w:customStyle="1" w:styleId="ExcerptAuthorChar">
    <w:name w:val="*ExcerptAuthor Char"/>
    <w:basedOn w:val="DefaultParagraphFont"/>
    <w:link w:val="ExcerptAuthor"/>
    <w:rsid w:val="00C5268D"/>
    <w:rPr>
      <w:rFonts w:asciiTheme="majorHAnsi" w:eastAsia="Calibri" w:hAnsiTheme="majorHAnsi" w:cs="Times New Roman"/>
      <w:b/>
    </w:rPr>
  </w:style>
  <w:style w:type="paragraph" w:customStyle="1" w:styleId="ExcerptBody">
    <w:name w:val="*ExcerptBody"/>
    <w:basedOn w:val="Normal"/>
    <w:link w:val="ExcerptBodyChar"/>
    <w:qFormat/>
    <w:rsid w:val="00C5268D"/>
    <w:pPr>
      <w:spacing w:before="100" w:beforeAutospacing="1" w:after="100" w:afterAutospacing="1"/>
      <w:jc w:val="both"/>
    </w:pPr>
    <w:rPr>
      <w:rFonts w:ascii="Times New Roman" w:eastAsia="Times New Roman" w:hAnsi="Times New Roman"/>
      <w:color w:val="000000"/>
      <w:sz w:val="24"/>
      <w:szCs w:val="17"/>
    </w:rPr>
  </w:style>
  <w:style w:type="character" w:customStyle="1" w:styleId="ExcerptBodyChar">
    <w:name w:val="*ExcerptBody Char"/>
    <w:basedOn w:val="DefaultParagraphFont"/>
    <w:link w:val="ExcerptBody"/>
    <w:rsid w:val="00C5268D"/>
    <w:rPr>
      <w:rFonts w:ascii="Times New Roman" w:eastAsia="Times New Roman" w:hAnsi="Times New Roman" w:cs="Times New Roman"/>
      <w:color w:val="000000"/>
      <w:sz w:val="24"/>
      <w:szCs w:val="17"/>
    </w:rPr>
  </w:style>
  <w:style w:type="paragraph" w:customStyle="1" w:styleId="ExcerptTitle">
    <w:name w:val="*ExcerptTitle"/>
    <w:basedOn w:val="Normal"/>
    <w:link w:val="ExcerptTitleChar"/>
    <w:qFormat/>
    <w:rsid w:val="00C5268D"/>
    <w:pPr>
      <w:jc w:val="center"/>
    </w:pPr>
    <w:rPr>
      <w:rFonts w:asciiTheme="majorHAnsi" w:hAnsiTheme="majorHAnsi"/>
      <w:b/>
      <w:smallCaps/>
      <w:sz w:val="32"/>
    </w:rPr>
  </w:style>
  <w:style w:type="character" w:customStyle="1" w:styleId="ExcerptTitleChar">
    <w:name w:val="*ExcerptTitle Char"/>
    <w:basedOn w:val="DefaultParagraphFont"/>
    <w:link w:val="ExcerptTitle"/>
    <w:rsid w:val="00C5268D"/>
    <w:rPr>
      <w:rFonts w:asciiTheme="majorHAnsi" w:eastAsia="Calibri" w:hAnsiTheme="majorHAnsi" w:cs="Times New Roman"/>
      <w:b/>
      <w:smallCaps/>
      <w:sz w:val="32"/>
    </w:rPr>
  </w:style>
  <w:style w:type="paragraph" w:customStyle="1" w:styleId="IN">
    <w:name w:val="*IN*"/>
    <w:link w:val="INChar"/>
    <w:qFormat/>
    <w:rsid w:val="00CD7FBB"/>
    <w:pPr>
      <w:numPr>
        <w:numId w:val="5"/>
      </w:numPr>
      <w:spacing w:before="120" w:after="60" w:line="276" w:lineRule="auto"/>
      <w:ind w:left="360"/>
    </w:pPr>
    <w:rPr>
      <w:rFonts w:ascii="Calibri" w:eastAsia="Calibri" w:hAnsi="Calibri" w:cs="Times New Roman"/>
      <w:color w:val="4F81BD"/>
    </w:rPr>
  </w:style>
  <w:style w:type="character" w:customStyle="1" w:styleId="INChar">
    <w:name w:val="*IN* Char"/>
    <w:basedOn w:val="DefaultParagraphFont"/>
    <w:link w:val="IN"/>
    <w:rsid w:val="00CD7FBB"/>
    <w:rPr>
      <w:rFonts w:ascii="Calibri" w:eastAsia="Calibri" w:hAnsi="Calibri" w:cs="Times New Roman"/>
      <w:color w:val="4F81BD"/>
    </w:rPr>
  </w:style>
  <w:style w:type="paragraph" w:customStyle="1" w:styleId="INBullet">
    <w:name w:val="*IN* Bullet"/>
    <w:link w:val="INBulletChar"/>
    <w:qFormat/>
    <w:rsid w:val="00CD7FBB"/>
    <w:pPr>
      <w:numPr>
        <w:numId w:val="6"/>
      </w:numPr>
      <w:spacing w:after="60" w:line="276" w:lineRule="auto"/>
      <w:ind w:left="720"/>
    </w:pPr>
    <w:rPr>
      <w:rFonts w:ascii="Calibri" w:eastAsia="Calibri" w:hAnsi="Calibri" w:cs="Times New Roman"/>
      <w:color w:val="4F81BD"/>
    </w:rPr>
  </w:style>
  <w:style w:type="character" w:customStyle="1" w:styleId="INBulletChar">
    <w:name w:val="*IN* Bullet Char"/>
    <w:basedOn w:val="BulletedListChar"/>
    <w:link w:val="INBullet"/>
    <w:rsid w:val="00CD7FBB"/>
    <w:rPr>
      <w:rFonts w:ascii="Calibri" w:eastAsia="Calibri" w:hAnsi="Calibri" w:cs="Times New Roman"/>
      <w:color w:val="4F81BD"/>
    </w:rPr>
  </w:style>
  <w:style w:type="paragraph" w:customStyle="1" w:styleId="LearningSequenceHeader">
    <w:name w:val="*Learning Sequence Header"/>
    <w:next w:val="Normal"/>
    <w:link w:val="LearningSequenceHeaderChar"/>
    <w:qFormat/>
    <w:rsid w:val="00C5268D"/>
    <w:pPr>
      <w:pBdr>
        <w:bottom w:val="single" w:sz="12" w:space="1" w:color="9BBB59" w:themeColor="accent3"/>
      </w:pBdr>
      <w:tabs>
        <w:tab w:val="right" w:pos="9360"/>
      </w:tabs>
      <w:spacing w:before="480" w:after="0" w:line="240" w:lineRule="auto"/>
    </w:pPr>
    <w:rPr>
      <w:rFonts w:eastAsia="Calibri" w:cs="Times New Roman"/>
      <w:b/>
      <w:bCs/>
      <w:color w:val="4F81BD"/>
      <w:sz w:val="28"/>
      <w:szCs w:val="26"/>
    </w:rPr>
  </w:style>
  <w:style w:type="character" w:customStyle="1" w:styleId="LearningSequenceHeaderChar">
    <w:name w:val="*Learning Sequence Header Char"/>
    <w:basedOn w:val="DefaultParagraphFont"/>
    <w:link w:val="LearningSequenceHeader"/>
    <w:rsid w:val="00C5268D"/>
    <w:rPr>
      <w:rFonts w:eastAsia="Calibri" w:cs="Times New Roman"/>
      <w:b/>
      <w:bCs/>
      <w:color w:val="4F81BD"/>
      <w:sz w:val="28"/>
      <w:szCs w:val="26"/>
    </w:rPr>
  </w:style>
  <w:style w:type="character" w:customStyle="1" w:styleId="NumberedListChar">
    <w:name w:val="*Numbered List Char"/>
    <w:basedOn w:val="BulletedListChar"/>
    <w:link w:val="NumberedList"/>
    <w:rsid w:val="00C5268D"/>
    <w:rPr>
      <w:rFonts w:ascii="Calibri" w:eastAsia="Calibri" w:hAnsi="Calibri" w:cs="Times New Roman"/>
    </w:rPr>
  </w:style>
  <w:style w:type="paragraph" w:customStyle="1" w:styleId="Q">
    <w:name w:val="*Q*"/>
    <w:link w:val="QChar"/>
    <w:qFormat/>
    <w:rsid w:val="00C5268D"/>
    <w:pPr>
      <w:spacing w:before="240" w:after="0" w:line="276" w:lineRule="auto"/>
    </w:pPr>
    <w:rPr>
      <w:rFonts w:ascii="Calibri" w:eastAsia="Calibri" w:hAnsi="Calibri" w:cs="Times New Roman"/>
      <w:b/>
    </w:rPr>
  </w:style>
  <w:style w:type="character" w:customStyle="1" w:styleId="QChar">
    <w:name w:val="*Q* Char"/>
    <w:basedOn w:val="DefaultParagraphFont"/>
    <w:link w:val="Q"/>
    <w:rsid w:val="00C5268D"/>
    <w:rPr>
      <w:rFonts w:ascii="Calibri" w:eastAsia="Calibri" w:hAnsi="Calibri" w:cs="Times New Roman"/>
      <w:b/>
    </w:rPr>
  </w:style>
  <w:style w:type="paragraph" w:customStyle="1" w:styleId="SA">
    <w:name w:val="*SA*"/>
    <w:link w:val="SAChar"/>
    <w:qFormat/>
    <w:rsid w:val="00C5268D"/>
    <w:pPr>
      <w:numPr>
        <w:numId w:val="15"/>
      </w:numPr>
      <w:spacing w:before="120" w:after="0" w:line="276" w:lineRule="auto"/>
    </w:pPr>
    <w:rPr>
      <w:rFonts w:ascii="Calibri" w:eastAsia="Calibri" w:hAnsi="Calibri" w:cs="Times New Roman"/>
    </w:rPr>
  </w:style>
  <w:style w:type="character" w:customStyle="1" w:styleId="SAChar">
    <w:name w:val="*SA* Char"/>
    <w:basedOn w:val="DefaultParagraphFont"/>
    <w:link w:val="SA"/>
    <w:rsid w:val="00C5268D"/>
    <w:rPr>
      <w:rFonts w:ascii="Calibri" w:eastAsia="Calibri" w:hAnsi="Calibri" w:cs="Times New Roman"/>
    </w:rPr>
  </w:style>
  <w:style w:type="paragraph" w:customStyle="1" w:styleId="SASRBullet">
    <w:name w:val="*SA/SR Bullet"/>
    <w:basedOn w:val="Normal"/>
    <w:link w:val="SASRBulletChar"/>
    <w:qFormat/>
    <w:rsid w:val="00D43571"/>
    <w:pPr>
      <w:numPr>
        <w:ilvl w:val="1"/>
        <w:numId w:val="9"/>
      </w:numPr>
      <w:spacing w:before="120"/>
      <w:ind w:left="1080"/>
      <w:contextualSpacing/>
    </w:pPr>
  </w:style>
  <w:style w:type="character" w:customStyle="1" w:styleId="SASRBulletChar">
    <w:name w:val="*SA/SR Bullet Char"/>
    <w:basedOn w:val="DefaultParagraphFont"/>
    <w:link w:val="SASRBullet"/>
    <w:rsid w:val="00D43571"/>
    <w:rPr>
      <w:rFonts w:ascii="Calibri" w:eastAsia="Calibri" w:hAnsi="Calibri" w:cs="Times New Roman"/>
    </w:rPr>
  </w:style>
  <w:style w:type="paragraph" w:customStyle="1" w:styleId="SR">
    <w:name w:val="*SR*"/>
    <w:link w:val="SRChar"/>
    <w:qFormat/>
    <w:rsid w:val="00D43571"/>
    <w:pPr>
      <w:numPr>
        <w:numId w:val="10"/>
      </w:numPr>
      <w:spacing w:before="120" w:after="0" w:line="276" w:lineRule="auto"/>
      <w:ind w:left="720"/>
    </w:pPr>
    <w:rPr>
      <w:rFonts w:ascii="Calibri" w:eastAsia="Calibri" w:hAnsi="Calibri" w:cs="Times New Roman"/>
    </w:rPr>
  </w:style>
  <w:style w:type="character" w:customStyle="1" w:styleId="SRChar">
    <w:name w:val="*SR* Char"/>
    <w:basedOn w:val="DefaultParagraphFont"/>
    <w:link w:val="SR"/>
    <w:rsid w:val="00D43571"/>
    <w:rPr>
      <w:rFonts w:ascii="Calibri" w:eastAsia="Calibri" w:hAnsi="Calibri" w:cs="Times New Roman"/>
    </w:rPr>
  </w:style>
  <w:style w:type="paragraph" w:customStyle="1" w:styleId="TableText">
    <w:name w:val="*TableText"/>
    <w:link w:val="TableTextChar"/>
    <w:qFormat/>
    <w:rsid w:val="00C5268D"/>
    <w:pPr>
      <w:spacing w:before="40" w:after="40" w:line="276" w:lineRule="auto"/>
    </w:pPr>
    <w:rPr>
      <w:rFonts w:ascii="Calibri" w:eastAsia="Calibri" w:hAnsi="Calibri" w:cs="Times New Roman"/>
    </w:rPr>
  </w:style>
  <w:style w:type="character" w:customStyle="1" w:styleId="TableTextChar">
    <w:name w:val="*TableText Char"/>
    <w:basedOn w:val="DefaultParagraphFont"/>
    <w:link w:val="TableText"/>
    <w:rsid w:val="00C5268D"/>
    <w:rPr>
      <w:rFonts w:ascii="Calibri" w:eastAsia="Calibri" w:hAnsi="Calibri" w:cs="Times New Roman"/>
    </w:rPr>
  </w:style>
  <w:style w:type="paragraph" w:customStyle="1" w:styleId="SubStandard">
    <w:name w:val="*SubStandard"/>
    <w:basedOn w:val="TableText"/>
    <w:link w:val="SubStandardChar"/>
    <w:qFormat/>
    <w:rsid w:val="00C5268D"/>
    <w:pPr>
      <w:numPr>
        <w:numId w:val="11"/>
      </w:numPr>
    </w:pPr>
  </w:style>
  <w:style w:type="character" w:customStyle="1" w:styleId="SubStandardChar">
    <w:name w:val="*SubStandard Char"/>
    <w:basedOn w:val="TableTextChar"/>
    <w:link w:val="SubStandard"/>
    <w:rsid w:val="00C5268D"/>
    <w:rPr>
      <w:rFonts w:ascii="Calibri" w:eastAsia="Calibri" w:hAnsi="Calibri" w:cs="Times New Roman"/>
    </w:rPr>
  </w:style>
  <w:style w:type="paragraph" w:customStyle="1" w:styleId="TA">
    <w:name w:val="*TA*"/>
    <w:link w:val="TAChar"/>
    <w:qFormat/>
    <w:rsid w:val="00C5268D"/>
    <w:pPr>
      <w:spacing w:before="180" w:after="180" w:line="240" w:lineRule="auto"/>
    </w:pPr>
    <w:rPr>
      <w:rFonts w:ascii="Calibri" w:eastAsia="Calibri" w:hAnsi="Calibri" w:cs="Times New Roman"/>
    </w:rPr>
  </w:style>
  <w:style w:type="character" w:customStyle="1" w:styleId="TAChar">
    <w:name w:val="*TA* Char"/>
    <w:basedOn w:val="DefaultParagraphFont"/>
    <w:link w:val="TA"/>
    <w:rsid w:val="00C5268D"/>
    <w:rPr>
      <w:rFonts w:ascii="Calibri" w:eastAsia="Calibri" w:hAnsi="Calibri" w:cs="Times New Roman"/>
    </w:rPr>
  </w:style>
  <w:style w:type="paragraph" w:customStyle="1" w:styleId="TableHeaders">
    <w:name w:val="*TableHeaders"/>
    <w:basedOn w:val="Normal"/>
    <w:link w:val="TableHeadersChar"/>
    <w:qFormat/>
    <w:rsid w:val="00C5268D"/>
    <w:pPr>
      <w:spacing w:before="40" w:after="40" w:line="240" w:lineRule="auto"/>
    </w:pPr>
    <w:rPr>
      <w:b/>
      <w:color w:val="FFFFFF" w:themeColor="background1"/>
    </w:rPr>
  </w:style>
  <w:style w:type="character" w:customStyle="1" w:styleId="TableHeadersChar">
    <w:name w:val="*TableHeaders Char"/>
    <w:basedOn w:val="DefaultParagraphFont"/>
    <w:link w:val="TableHeaders"/>
    <w:rsid w:val="00C5268D"/>
    <w:rPr>
      <w:rFonts w:ascii="Calibri" w:eastAsia="Calibri" w:hAnsi="Calibri" w:cs="Times New Roman"/>
      <w:b/>
      <w:color w:val="FFFFFF" w:themeColor="background1"/>
    </w:rPr>
  </w:style>
  <w:style w:type="paragraph" w:customStyle="1" w:styleId="ToolHeader">
    <w:name w:val="*ToolHeader"/>
    <w:link w:val="ToolHeaderChar"/>
    <w:qFormat/>
    <w:rsid w:val="00C5268D"/>
    <w:pPr>
      <w:spacing w:after="120" w:line="240" w:lineRule="auto"/>
    </w:pPr>
    <w:rPr>
      <w:rFonts w:eastAsia="Calibri" w:cs="Times New Roman"/>
      <w:b/>
      <w:bCs/>
      <w:color w:val="365F91"/>
      <w:sz w:val="32"/>
      <w:szCs w:val="28"/>
    </w:rPr>
  </w:style>
  <w:style w:type="paragraph" w:customStyle="1" w:styleId="ToolTableText">
    <w:name w:val="*ToolTableText"/>
    <w:qFormat/>
    <w:rsid w:val="00C5268D"/>
    <w:pPr>
      <w:spacing w:before="40" w:after="120" w:line="240" w:lineRule="auto"/>
    </w:pPr>
    <w:rPr>
      <w:rFonts w:ascii="Calibri" w:eastAsia="Calibri" w:hAnsi="Calibri" w:cs="Times New Roman"/>
    </w:rPr>
  </w:style>
  <w:style w:type="character" w:customStyle="1" w:styleId="apple-converted-space">
    <w:name w:val="apple-converted-space"/>
    <w:rsid w:val="00C5268D"/>
  </w:style>
  <w:style w:type="paragraph" w:styleId="BalloonText">
    <w:name w:val="Balloon Text"/>
    <w:basedOn w:val="Normal"/>
    <w:link w:val="BalloonTextChar"/>
    <w:uiPriority w:val="99"/>
    <w:semiHidden/>
    <w:unhideWhenUsed/>
    <w:rsid w:val="00C5268D"/>
    <w:rPr>
      <w:rFonts w:ascii="Tahoma" w:hAnsi="Tahoma"/>
      <w:sz w:val="16"/>
      <w:szCs w:val="16"/>
    </w:rPr>
  </w:style>
  <w:style w:type="character" w:customStyle="1" w:styleId="BalloonTextChar">
    <w:name w:val="Balloon Text Char"/>
    <w:link w:val="BalloonText"/>
    <w:uiPriority w:val="99"/>
    <w:semiHidden/>
    <w:rsid w:val="00C5268D"/>
    <w:rPr>
      <w:rFonts w:ascii="Tahoma" w:eastAsia="Calibri" w:hAnsi="Tahoma" w:cs="Times New Roman"/>
      <w:sz w:val="16"/>
      <w:szCs w:val="16"/>
    </w:rPr>
  </w:style>
  <w:style w:type="paragraph" w:styleId="BodyText">
    <w:name w:val="Body Text"/>
    <w:basedOn w:val="Normal"/>
    <w:link w:val="BodyTextChar"/>
    <w:rsid w:val="00C5268D"/>
    <w:pPr>
      <w:spacing w:after="120"/>
    </w:pPr>
  </w:style>
  <w:style w:type="character" w:customStyle="1" w:styleId="BodyTextChar">
    <w:name w:val="Body Text Char"/>
    <w:link w:val="BodyText"/>
    <w:rsid w:val="00C5268D"/>
    <w:rPr>
      <w:rFonts w:ascii="Calibri" w:eastAsia="Calibri" w:hAnsi="Calibri" w:cs="Times New Roman"/>
    </w:rPr>
  </w:style>
  <w:style w:type="paragraph" w:customStyle="1" w:styleId="ColorfulList-Accent11">
    <w:name w:val="Colorful List - Accent 11"/>
    <w:basedOn w:val="Normal"/>
    <w:uiPriority w:val="34"/>
    <w:rsid w:val="00C5268D"/>
    <w:pPr>
      <w:ind w:left="720"/>
      <w:contextualSpacing/>
    </w:pPr>
  </w:style>
  <w:style w:type="character" w:styleId="CommentReference">
    <w:name w:val="annotation reference"/>
    <w:uiPriority w:val="99"/>
    <w:semiHidden/>
    <w:unhideWhenUsed/>
    <w:rsid w:val="00C5268D"/>
    <w:rPr>
      <w:sz w:val="16"/>
      <w:szCs w:val="16"/>
    </w:rPr>
  </w:style>
  <w:style w:type="paragraph" w:styleId="CommentText">
    <w:name w:val="annotation text"/>
    <w:basedOn w:val="Normal"/>
    <w:link w:val="CommentTextChar"/>
    <w:uiPriority w:val="99"/>
    <w:unhideWhenUsed/>
    <w:rsid w:val="00C5268D"/>
    <w:rPr>
      <w:sz w:val="20"/>
    </w:rPr>
  </w:style>
  <w:style w:type="character" w:customStyle="1" w:styleId="CommentTextChar">
    <w:name w:val="Comment Text Char"/>
    <w:link w:val="CommentText"/>
    <w:uiPriority w:val="99"/>
    <w:rsid w:val="00C5268D"/>
    <w:rPr>
      <w:rFonts w:ascii="Calibri" w:eastAsia="Calibri" w:hAnsi="Calibri" w:cs="Times New Roman"/>
      <w:sz w:val="20"/>
    </w:rPr>
  </w:style>
  <w:style w:type="paragraph" w:styleId="CommentSubject">
    <w:name w:val="annotation subject"/>
    <w:basedOn w:val="CommentText"/>
    <w:next w:val="CommentText"/>
    <w:link w:val="CommentSubjectChar"/>
    <w:uiPriority w:val="99"/>
    <w:semiHidden/>
    <w:unhideWhenUsed/>
    <w:rsid w:val="00C5268D"/>
    <w:rPr>
      <w:b/>
      <w:bCs/>
    </w:rPr>
  </w:style>
  <w:style w:type="character" w:customStyle="1" w:styleId="CommentSubjectChar">
    <w:name w:val="Comment Subject Char"/>
    <w:link w:val="CommentSubject"/>
    <w:uiPriority w:val="99"/>
    <w:semiHidden/>
    <w:rsid w:val="00C5268D"/>
    <w:rPr>
      <w:rFonts w:ascii="Calibri" w:eastAsia="Calibri" w:hAnsi="Calibri" w:cs="Times New Roman"/>
      <w:b/>
      <w:bCs/>
      <w:sz w:val="20"/>
    </w:rPr>
  </w:style>
  <w:style w:type="character" w:styleId="FollowedHyperlink">
    <w:name w:val="FollowedHyperlink"/>
    <w:uiPriority w:val="99"/>
    <w:semiHidden/>
    <w:unhideWhenUsed/>
    <w:rsid w:val="00C5268D"/>
    <w:rPr>
      <w:color w:val="954F72"/>
      <w:u w:val="single"/>
    </w:rPr>
  </w:style>
  <w:style w:type="character" w:styleId="FootnoteReference">
    <w:name w:val="footnote reference"/>
    <w:basedOn w:val="DefaultParagraphFont"/>
    <w:uiPriority w:val="99"/>
    <w:semiHidden/>
    <w:unhideWhenUsed/>
    <w:rsid w:val="00C5268D"/>
    <w:rPr>
      <w:vertAlign w:val="superscript"/>
    </w:rPr>
  </w:style>
  <w:style w:type="paragraph" w:styleId="FootnoteText">
    <w:name w:val="footnote text"/>
    <w:basedOn w:val="Normal"/>
    <w:link w:val="FootnoteTextChar"/>
    <w:uiPriority w:val="99"/>
    <w:semiHidden/>
    <w:unhideWhenUsed/>
    <w:rsid w:val="00C5268D"/>
    <w:rPr>
      <w:sz w:val="20"/>
    </w:rPr>
  </w:style>
  <w:style w:type="character" w:customStyle="1" w:styleId="FootnoteTextChar">
    <w:name w:val="Footnote Text Char"/>
    <w:basedOn w:val="DefaultParagraphFont"/>
    <w:link w:val="FootnoteText"/>
    <w:uiPriority w:val="99"/>
    <w:semiHidden/>
    <w:rsid w:val="00C5268D"/>
    <w:rPr>
      <w:rFonts w:ascii="Calibri" w:eastAsia="Calibri" w:hAnsi="Calibri" w:cs="Times New Roman"/>
      <w:sz w:val="20"/>
    </w:rPr>
  </w:style>
  <w:style w:type="paragraph" w:customStyle="1" w:styleId="Header-banner">
    <w:name w:val="Header-banner"/>
    <w:rsid w:val="00D31F4D"/>
    <w:pPr>
      <w:spacing w:after="0" w:line="240" w:lineRule="auto"/>
      <w:ind w:left="43" w:right="43"/>
      <w:jc w:val="center"/>
    </w:pPr>
    <w:rPr>
      <w:rFonts w:ascii="Calibri" w:eastAsia="Calibri" w:hAnsi="Calibri" w:cs="Calibri"/>
      <w:b/>
      <w:bCs/>
      <w:caps/>
      <w:color w:val="FFFFFF"/>
      <w:sz w:val="44"/>
    </w:rPr>
  </w:style>
  <w:style w:type="paragraph" w:customStyle="1" w:styleId="Header2banner">
    <w:name w:val="Header2_banner"/>
    <w:basedOn w:val="Header-banner"/>
    <w:rsid w:val="00D31F4D"/>
    <w:pPr>
      <w:spacing w:line="440" w:lineRule="exact"/>
      <w:jc w:val="left"/>
    </w:pPr>
    <w:rPr>
      <w:caps w:val="0"/>
    </w:rPr>
  </w:style>
  <w:style w:type="character" w:customStyle="1" w:styleId="Heading1Char">
    <w:name w:val="Heading 1 Char"/>
    <w:aliases w:val="*Headers Char"/>
    <w:link w:val="Heading1"/>
    <w:uiPriority w:val="9"/>
    <w:rsid w:val="00C5268D"/>
    <w:rPr>
      <w:rFonts w:eastAsia="Calibri" w:cs="Times New Roman"/>
      <w:b/>
      <w:bCs/>
      <w:color w:val="365F91"/>
      <w:sz w:val="32"/>
      <w:szCs w:val="28"/>
    </w:rPr>
  </w:style>
  <w:style w:type="character" w:customStyle="1" w:styleId="Heading2Char">
    <w:name w:val="Heading 2 Char"/>
    <w:link w:val="Heading2"/>
    <w:uiPriority w:val="9"/>
    <w:rsid w:val="00C5268D"/>
    <w:rPr>
      <w:rFonts w:ascii="Cambria" w:eastAsia="Calibri" w:hAnsi="Cambria" w:cs="Times New Roman"/>
      <w:b/>
      <w:bCs/>
      <w:i/>
      <w:color w:val="4F81BD"/>
      <w:sz w:val="26"/>
      <w:szCs w:val="26"/>
    </w:rPr>
  </w:style>
  <w:style w:type="character" w:customStyle="1" w:styleId="Heading3Char">
    <w:name w:val="Heading 3 Char"/>
    <w:link w:val="Heading3"/>
    <w:uiPriority w:val="9"/>
    <w:rsid w:val="00C5268D"/>
    <w:rPr>
      <w:rFonts w:ascii="Cambria" w:eastAsia="Calibri" w:hAnsi="Cambria" w:cs="Times New Roman"/>
      <w:b/>
      <w:bCs/>
      <w:i/>
      <w:color w:val="7F7F7F"/>
      <w:sz w:val="20"/>
    </w:rPr>
  </w:style>
  <w:style w:type="paragraph" w:styleId="ListParagraph">
    <w:name w:val="List Paragraph"/>
    <w:basedOn w:val="Normal"/>
    <w:link w:val="ListParagraphChar"/>
    <w:uiPriority w:val="34"/>
    <w:rsid w:val="00C5268D"/>
    <w:pPr>
      <w:ind w:left="720"/>
      <w:contextualSpacing/>
    </w:pPr>
  </w:style>
  <w:style w:type="character" w:customStyle="1" w:styleId="ListParagraphChar">
    <w:name w:val="List Paragraph Char"/>
    <w:basedOn w:val="DefaultParagraphFont"/>
    <w:link w:val="ListParagraph"/>
    <w:uiPriority w:val="34"/>
    <w:rsid w:val="00C5268D"/>
    <w:rPr>
      <w:rFonts w:ascii="Calibri" w:eastAsia="Calibri" w:hAnsi="Calibri" w:cs="Times New Roman"/>
    </w:rPr>
  </w:style>
  <w:style w:type="paragraph" w:customStyle="1" w:styleId="MediumGrid1-Accent21">
    <w:name w:val="Medium Grid 1 - Accent 21"/>
    <w:basedOn w:val="Normal"/>
    <w:uiPriority w:val="34"/>
    <w:rsid w:val="00C5268D"/>
    <w:pPr>
      <w:ind w:left="720"/>
      <w:contextualSpacing/>
    </w:pPr>
  </w:style>
  <w:style w:type="paragraph" w:customStyle="1" w:styleId="MediumList2-Accent41">
    <w:name w:val="Medium List 2 - Accent 41"/>
    <w:basedOn w:val="Normal"/>
    <w:link w:val="MediumList2-Accent41Char"/>
    <w:uiPriority w:val="34"/>
    <w:rsid w:val="00C5268D"/>
    <w:pPr>
      <w:spacing w:after="200"/>
      <w:ind w:left="720"/>
      <w:contextualSpacing/>
    </w:pPr>
  </w:style>
  <w:style w:type="character" w:customStyle="1" w:styleId="MediumList2-Accent41Char">
    <w:name w:val="Medium List 2 - Accent 41 Char"/>
    <w:basedOn w:val="DefaultParagraphFont"/>
    <w:link w:val="MediumList2-Accent41"/>
    <w:uiPriority w:val="34"/>
    <w:rsid w:val="00C5268D"/>
    <w:rPr>
      <w:rFonts w:ascii="Calibri" w:eastAsia="Calibri" w:hAnsi="Calibri" w:cs="Times New Roman"/>
    </w:rPr>
  </w:style>
  <w:style w:type="paragraph" w:customStyle="1" w:styleId="NoSpacing1">
    <w:name w:val="No Spacing1"/>
    <w:link w:val="NoSpacingChar"/>
    <w:rsid w:val="00C5268D"/>
    <w:pPr>
      <w:spacing w:after="0" w:line="240" w:lineRule="auto"/>
    </w:pPr>
    <w:rPr>
      <w:rFonts w:ascii="Tahoma" w:eastAsia="Calibri" w:hAnsi="Tahoma" w:cs="Times New Roman"/>
      <w:sz w:val="19"/>
    </w:rPr>
  </w:style>
  <w:style w:type="character" w:customStyle="1" w:styleId="NoSpacingChar">
    <w:name w:val="No Spacing Char"/>
    <w:link w:val="NoSpacing1"/>
    <w:rsid w:val="00C5268D"/>
    <w:rPr>
      <w:rFonts w:ascii="Tahoma" w:eastAsia="Calibri" w:hAnsi="Tahoma" w:cs="Times New Roman"/>
      <w:sz w:val="19"/>
    </w:rPr>
  </w:style>
  <w:style w:type="paragraph" w:styleId="NormalWeb">
    <w:name w:val="Normal (Web)"/>
    <w:basedOn w:val="Normal"/>
    <w:uiPriority w:val="99"/>
    <w:unhideWhenUsed/>
    <w:rsid w:val="00C5268D"/>
    <w:pPr>
      <w:spacing w:before="100" w:beforeAutospacing="1" w:after="100" w:afterAutospacing="1"/>
    </w:pPr>
    <w:rPr>
      <w:rFonts w:ascii="Times New Roman" w:hAnsi="Times New Roman"/>
      <w:sz w:val="24"/>
      <w:szCs w:val="24"/>
    </w:rPr>
  </w:style>
  <w:style w:type="paragraph" w:customStyle="1" w:styleId="Pa4">
    <w:name w:val="Pa4"/>
    <w:basedOn w:val="Normal"/>
    <w:next w:val="Normal"/>
    <w:uiPriority w:val="99"/>
    <w:rsid w:val="00C5268D"/>
    <w:pPr>
      <w:autoSpaceDE w:val="0"/>
      <w:autoSpaceDN w:val="0"/>
      <w:adjustRightInd w:val="0"/>
      <w:spacing w:line="241" w:lineRule="atLeast"/>
    </w:pPr>
    <w:rPr>
      <w:rFonts w:ascii="Garamond" w:hAnsi="Garamond"/>
      <w:sz w:val="24"/>
      <w:szCs w:val="24"/>
    </w:rPr>
  </w:style>
  <w:style w:type="character" w:customStyle="1" w:styleId="reference-text">
    <w:name w:val="reference-text"/>
    <w:rsid w:val="00C5268D"/>
  </w:style>
  <w:style w:type="paragraph" w:styleId="Title">
    <w:name w:val="Title"/>
    <w:basedOn w:val="Normal"/>
    <w:next w:val="Normal"/>
    <w:link w:val="TitleChar"/>
    <w:uiPriority w:val="10"/>
    <w:rsid w:val="00C5268D"/>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rsid w:val="00C5268D"/>
    <w:rPr>
      <w:rFonts w:ascii="Cambria" w:eastAsia="Calibri" w:hAnsi="Cambria" w:cs="Times New Roman"/>
      <w:color w:val="17365D"/>
      <w:spacing w:val="5"/>
      <w:kern w:val="28"/>
      <w:sz w:val="52"/>
      <w:szCs w:val="52"/>
    </w:rPr>
  </w:style>
  <w:style w:type="table" w:customStyle="1" w:styleId="TableGrid1">
    <w:name w:val="Table Grid1"/>
    <w:basedOn w:val="TableNormal"/>
    <w:next w:val="TableGrid"/>
    <w:uiPriority w:val="59"/>
    <w:rsid w:val="00D31F4D"/>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CwithQ">
    <w:name w:val="*DC* with *Q*"/>
    <w:basedOn w:val="Q"/>
    <w:qFormat/>
    <w:rsid w:val="00FD4EFA"/>
    <w:pPr>
      <w:ind w:left="360"/>
    </w:pPr>
    <w:rPr>
      <w:color w:val="4F81BD" w:themeColor="accent1"/>
    </w:rPr>
  </w:style>
  <w:style w:type="paragraph" w:customStyle="1" w:styleId="DCwithSA">
    <w:name w:val="*DC* with *SA*"/>
    <w:basedOn w:val="SA"/>
    <w:qFormat/>
    <w:rsid w:val="00FD4EFA"/>
    <w:rPr>
      <w:color w:val="4F81BD" w:themeColor="accent1"/>
    </w:rPr>
  </w:style>
  <w:style w:type="paragraph" w:customStyle="1" w:styleId="DCwithSR">
    <w:name w:val="*DC* with *SR*"/>
    <w:basedOn w:val="SR"/>
    <w:qFormat/>
    <w:rsid w:val="001735F1"/>
    <w:pPr>
      <w:numPr>
        <w:numId w:val="16"/>
      </w:numPr>
      <w:ind w:left="720"/>
    </w:pPr>
    <w:rPr>
      <w:color w:val="4F81BD" w:themeColor="accent1"/>
    </w:rPr>
  </w:style>
  <w:style w:type="character" w:customStyle="1" w:styleId="oneclick-link">
    <w:name w:val="oneclick-link"/>
    <w:basedOn w:val="DefaultParagraphFont"/>
    <w:rsid w:val="00AC13B6"/>
  </w:style>
  <w:style w:type="paragraph" w:styleId="Revision">
    <w:name w:val="Revision"/>
    <w:hidden/>
    <w:uiPriority w:val="99"/>
    <w:semiHidden/>
    <w:rsid w:val="0062036F"/>
    <w:pPr>
      <w:spacing w:after="0" w:line="240" w:lineRule="auto"/>
    </w:pPr>
    <w:rPr>
      <w:rFonts w:ascii="Calibri" w:eastAsia="Calibri" w:hAnsi="Calibri" w:cs="Times New Roman"/>
    </w:rPr>
  </w:style>
  <w:style w:type="character" w:customStyle="1" w:styleId="ToolHeaderChar">
    <w:name w:val="*ToolHeader Char"/>
    <w:link w:val="ToolHeader"/>
    <w:locked/>
    <w:rsid w:val="00720959"/>
    <w:rPr>
      <w:rFonts w:eastAsia="Calibri" w:cs="Times New Roman"/>
      <w:b/>
      <w:bCs/>
      <w:color w:val="365F91"/>
      <w:sz w:val="32"/>
      <w:szCs w:val="28"/>
    </w:rPr>
  </w:style>
  <w:style w:type="paragraph" w:customStyle="1" w:styleId="PageHeader0">
    <w:name w:val="Page Header"/>
    <w:basedOn w:val="BodyText"/>
    <w:link w:val="PageHeaderChar0"/>
    <w:qFormat/>
    <w:rsid w:val="00742C6C"/>
    <w:rPr>
      <w:b/>
      <w:sz w:val="18"/>
    </w:rPr>
  </w:style>
  <w:style w:type="character" w:customStyle="1" w:styleId="PageHeaderChar0">
    <w:name w:val="Page Header Char"/>
    <w:link w:val="PageHeader0"/>
    <w:rsid w:val="00742C6C"/>
    <w:rPr>
      <w:rFonts w:ascii="Calibri" w:eastAsia="Calibri" w:hAnsi="Calibri" w:cs="Times New Roman"/>
      <w:b/>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288537">
      <w:bodyDiv w:val="1"/>
      <w:marLeft w:val="0"/>
      <w:marRight w:val="0"/>
      <w:marTop w:val="0"/>
      <w:marBottom w:val="0"/>
      <w:divBdr>
        <w:top w:val="none" w:sz="0" w:space="0" w:color="auto"/>
        <w:left w:val="none" w:sz="0" w:space="0" w:color="auto"/>
        <w:bottom w:val="none" w:sz="0" w:space="0" w:color="auto"/>
        <w:right w:val="none" w:sz="0" w:space="0" w:color="auto"/>
      </w:divBdr>
    </w:div>
    <w:div w:id="413942539">
      <w:bodyDiv w:val="1"/>
      <w:marLeft w:val="0"/>
      <w:marRight w:val="0"/>
      <w:marTop w:val="0"/>
      <w:marBottom w:val="0"/>
      <w:divBdr>
        <w:top w:val="none" w:sz="0" w:space="0" w:color="auto"/>
        <w:left w:val="none" w:sz="0" w:space="0" w:color="auto"/>
        <w:bottom w:val="none" w:sz="0" w:space="0" w:color="auto"/>
        <w:right w:val="none" w:sz="0" w:space="0" w:color="auto"/>
      </w:divBdr>
    </w:div>
    <w:div w:id="1004288425">
      <w:bodyDiv w:val="1"/>
      <w:marLeft w:val="0"/>
      <w:marRight w:val="0"/>
      <w:marTop w:val="0"/>
      <w:marBottom w:val="0"/>
      <w:divBdr>
        <w:top w:val="none" w:sz="0" w:space="0" w:color="auto"/>
        <w:left w:val="none" w:sz="0" w:space="0" w:color="auto"/>
        <w:bottom w:val="none" w:sz="0" w:space="0" w:color="auto"/>
        <w:right w:val="none" w:sz="0" w:space="0" w:color="auto"/>
      </w:divBdr>
    </w:div>
    <w:div w:id="1013066202">
      <w:bodyDiv w:val="1"/>
      <w:marLeft w:val="0"/>
      <w:marRight w:val="0"/>
      <w:marTop w:val="0"/>
      <w:marBottom w:val="0"/>
      <w:divBdr>
        <w:top w:val="none" w:sz="0" w:space="0" w:color="auto"/>
        <w:left w:val="none" w:sz="0" w:space="0" w:color="auto"/>
        <w:bottom w:val="none" w:sz="0" w:space="0" w:color="auto"/>
        <w:right w:val="none" w:sz="0" w:space="0" w:color="auto"/>
      </w:divBdr>
    </w:div>
    <w:div w:id="1470318566">
      <w:bodyDiv w:val="1"/>
      <w:marLeft w:val="0"/>
      <w:marRight w:val="0"/>
      <w:marTop w:val="0"/>
      <w:marBottom w:val="0"/>
      <w:divBdr>
        <w:top w:val="none" w:sz="0" w:space="0" w:color="auto"/>
        <w:left w:val="none" w:sz="0" w:space="0" w:color="auto"/>
        <w:bottom w:val="none" w:sz="0" w:space="0" w:color="auto"/>
        <w:right w:val="none" w:sz="0" w:space="0" w:color="auto"/>
      </w:divBdr>
    </w:div>
    <w:div w:id="1698432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creativecommons.org/licenses/by-nc-sa/3.0/" TargetMode="Externa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3758</Words>
  <Characters>21426</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25134</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PCG Education</dc:creator>
  <cp:keywords/>
  <dc:description/>
  <cp:lastModifiedBy>Chmielewski, Elizabeth</cp:lastModifiedBy>
  <cp:revision>2</cp:revision>
  <cp:lastPrinted>2014-11-10T16:00:00Z</cp:lastPrinted>
  <dcterms:created xsi:type="dcterms:W3CDTF">2015-04-02T16:32:00Z</dcterms:created>
  <dcterms:modified xsi:type="dcterms:W3CDTF">2015-04-02T16:32:00Z</dcterms:modified>
  <cp:category/>
</cp:coreProperties>
</file>