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470"/>
      </w:tblGrid>
      <w:tr w:rsidR="009372CC" w:rsidRPr="00790BCC" w14:paraId="200DC091" w14:textId="77777777">
        <w:trPr>
          <w:trHeight w:val="1008"/>
        </w:trPr>
        <w:tc>
          <w:tcPr>
            <w:tcW w:w="1980" w:type="dxa"/>
            <w:tcBorders>
              <w:bottom w:val="single" w:sz="18" w:space="0" w:color="FFFFFF"/>
              <w:right w:val="single" w:sz="18" w:space="0" w:color="FFFFFF"/>
            </w:tcBorders>
            <w:shd w:val="clear" w:color="auto" w:fill="385623"/>
            <w:vAlign w:val="center"/>
          </w:tcPr>
          <w:p w14:paraId="15D519FD" w14:textId="77777777" w:rsidR="009372CC" w:rsidRPr="0043460D" w:rsidRDefault="009372CC" w:rsidP="009372CC">
            <w:pPr>
              <w:pStyle w:val="Header-banner"/>
            </w:pPr>
            <w:r>
              <w:t>12.3.1</w:t>
            </w:r>
          </w:p>
        </w:tc>
        <w:tc>
          <w:tcPr>
            <w:tcW w:w="7470" w:type="dxa"/>
            <w:tcBorders>
              <w:left w:val="single" w:sz="18" w:space="0" w:color="FFFFFF"/>
              <w:bottom w:val="single" w:sz="18" w:space="0" w:color="FFFFFF"/>
            </w:tcBorders>
            <w:shd w:val="clear" w:color="auto" w:fill="76923C"/>
            <w:vAlign w:val="center"/>
          </w:tcPr>
          <w:p w14:paraId="2B52BC47" w14:textId="77777777" w:rsidR="009372CC" w:rsidRPr="0043460D" w:rsidRDefault="009372CC" w:rsidP="009372CC">
            <w:pPr>
              <w:pStyle w:val="Header2banner"/>
            </w:pPr>
            <w:r>
              <w:t>Lesson 3</w:t>
            </w:r>
          </w:p>
        </w:tc>
      </w:tr>
    </w:tbl>
    <w:p w14:paraId="4AA14D2C" w14:textId="77777777" w:rsidR="00790BCC" w:rsidRPr="00790BCC" w:rsidRDefault="00790BCC" w:rsidP="00D31F4D">
      <w:pPr>
        <w:pStyle w:val="Heading1"/>
      </w:pPr>
      <w:r w:rsidRPr="00790BCC">
        <w:t>Introduction</w:t>
      </w:r>
    </w:p>
    <w:p w14:paraId="291A6A4D" w14:textId="2A717953" w:rsidR="004E6071" w:rsidRPr="00D15B22" w:rsidRDefault="004E6071" w:rsidP="004E6071">
      <w:pPr>
        <w:shd w:val="clear" w:color="auto" w:fill="FFFFFF"/>
      </w:pPr>
      <w:r>
        <w:t xml:space="preserve">In this lesson, students continue to read and analyze </w:t>
      </w:r>
      <w:r w:rsidR="007A78BE">
        <w:t xml:space="preserve">pages 21–25 of </w:t>
      </w:r>
      <w:r w:rsidRPr="00657B1C">
        <w:rPr>
          <w:i/>
        </w:rPr>
        <w:t xml:space="preserve">Guns, Germs, and Steel </w:t>
      </w:r>
      <w:r>
        <w:t>by Jared Diamond (from “A genetic explanation isn’t the only possible answer to Yali’s question” to “That seems to me the strongest argument for writing this book”). In this excerpt</w:t>
      </w:r>
      <w:r w:rsidR="00222AAE">
        <w:t>,</w:t>
      </w:r>
      <w:r>
        <w:t xml:space="preserve"> Diamond continues to examine </w:t>
      </w:r>
      <w:r w:rsidR="004F12EF">
        <w:t xml:space="preserve">and debunk </w:t>
      </w:r>
      <w:r>
        <w:t xml:space="preserve">possible answers to Yali’s question regarding </w:t>
      </w:r>
      <w:r w:rsidR="009E3EAD">
        <w:t>wealth and power</w:t>
      </w:r>
      <w:r>
        <w:t xml:space="preserve"> disparities in relation to human development. </w:t>
      </w:r>
      <w:r w:rsidR="00EB1A72">
        <w:t>Diamond</w:t>
      </w:r>
      <w:r w:rsidR="002C13BD">
        <w:t xml:space="preserve"> also begins to lay the groundwork for his</w:t>
      </w:r>
      <w:r w:rsidR="00EB1A72">
        <w:t xml:space="preserve"> research or</w:t>
      </w:r>
      <w:r w:rsidR="002C13BD">
        <w:t xml:space="preserve"> answer to Yali</w:t>
      </w:r>
      <w:r w:rsidR="00007B84">
        <w:t>’s question.</w:t>
      </w:r>
      <w:r w:rsidR="002C13BD">
        <w:t xml:space="preserve"> </w:t>
      </w:r>
      <w:r w:rsidR="00FF6386">
        <w:t>A</w:t>
      </w:r>
      <w:r w:rsidR="002922E0">
        <w:t>t the beginning of the lesson, s</w:t>
      </w:r>
      <w:r w:rsidR="00D81F63">
        <w:t xml:space="preserve">tudents </w:t>
      </w:r>
      <w:r w:rsidR="00FF6386">
        <w:t xml:space="preserve">participate in a Pre-Discussion Quick Write, in which they </w:t>
      </w:r>
      <w:r w:rsidR="00167D8D">
        <w:t xml:space="preserve">consider </w:t>
      </w:r>
      <w:r>
        <w:t xml:space="preserve">the </w:t>
      </w:r>
      <w:r w:rsidR="00FF6386">
        <w:t xml:space="preserve">Quick Write prompt and the </w:t>
      </w:r>
      <w:r>
        <w:t>way</w:t>
      </w:r>
      <w:r w:rsidR="00EB1A72">
        <w:t>s</w:t>
      </w:r>
      <w:r>
        <w:t xml:space="preserve"> in which </w:t>
      </w:r>
      <w:r w:rsidR="00167D8D">
        <w:t xml:space="preserve">the </w:t>
      </w:r>
      <w:r w:rsidR="00D15B22">
        <w:t>author’s i</w:t>
      </w:r>
      <w:r>
        <w:t>deas in this excerpt</w:t>
      </w:r>
      <w:r w:rsidR="00D15B22">
        <w:t xml:space="preserve"> refine his purpose</w:t>
      </w:r>
      <w:r>
        <w:t xml:space="preserve">. </w:t>
      </w:r>
      <w:r w:rsidR="00FF6386">
        <w:t>Students then participate in a</w:t>
      </w:r>
      <w:r w:rsidR="00EA2B33">
        <w:t xml:space="preserve"> whole-class discussion </w:t>
      </w:r>
      <w:r w:rsidR="00FF6386">
        <w:t>of the Quick Write</w:t>
      </w:r>
      <w:r w:rsidR="002922E0">
        <w:t>, during which</w:t>
      </w:r>
      <w:r w:rsidR="00EA2B33">
        <w:t xml:space="preserve"> they</w:t>
      </w:r>
      <w:r w:rsidR="004E2AE9">
        <w:t xml:space="preserve"> make connections to their previous analys</w:t>
      </w:r>
      <w:r w:rsidR="00FF6386">
        <w:t>e</w:t>
      </w:r>
      <w:r w:rsidR="004E2AE9">
        <w:t xml:space="preserve">s of the author’s </w:t>
      </w:r>
      <w:r w:rsidR="00DC660E">
        <w:t xml:space="preserve">research </w:t>
      </w:r>
      <w:r w:rsidR="004E2AE9">
        <w:t>purpose</w:t>
      </w:r>
      <w:r w:rsidR="00921674">
        <w:t xml:space="preserve"> or </w:t>
      </w:r>
      <w:r w:rsidR="002922E0">
        <w:t xml:space="preserve">the </w:t>
      </w:r>
      <w:r w:rsidR="00921674">
        <w:t>“subject”</w:t>
      </w:r>
      <w:r w:rsidR="002922E0">
        <w:t xml:space="preserve"> of his book</w:t>
      </w:r>
      <w:r w:rsidR="00921674">
        <w:t xml:space="preserve"> (p. 16)</w:t>
      </w:r>
      <w:r w:rsidR="004E2AE9">
        <w:t xml:space="preserve">. </w:t>
      </w:r>
      <w:r w:rsidR="00FF6386">
        <w:t xml:space="preserve">Students then revisit the Quick Write to close the lesson. </w:t>
      </w:r>
      <w:r>
        <w:t xml:space="preserve">Student </w:t>
      </w:r>
      <w:r w:rsidR="00EA2B33">
        <w:t>learning is assessed via a Quick W</w:t>
      </w:r>
      <w:r>
        <w:t xml:space="preserve">rite at the end of the lesson: </w:t>
      </w:r>
      <w:r w:rsidR="00D15B22" w:rsidRPr="00D15B22">
        <w:rPr>
          <w:rFonts w:cs="Arial"/>
          <w:bCs/>
          <w:color w:val="000000"/>
        </w:rPr>
        <w:t>How do the interaction and development of ideas in this excerpt refine the author’s purpose?</w:t>
      </w:r>
    </w:p>
    <w:p w14:paraId="756CD33A" w14:textId="19646FF7" w:rsidR="00BA16E4" w:rsidRPr="004E6071" w:rsidRDefault="004E6071" w:rsidP="004E6071">
      <w:r>
        <w:t xml:space="preserve">For homework, students read and </w:t>
      </w:r>
      <w:r w:rsidRPr="00751AD9">
        <w:t xml:space="preserve">annotate </w:t>
      </w:r>
      <w:r w:rsidRPr="00995D40">
        <w:rPr>
          <w:i/>
        </w:rPr>
        <w:t>Guns, Germs, and Steel</w:t>
      </w:r>
      <w:r w:rsidR="002C13BD">
        <w:t>, pages 65</w:t>
      </w:r>
      <w:r w:rsidR="00FF6386">
        <w:t>–</w:t>
      </w:r>
      <w:r w:rsidR="002C13BD">
        <w:t>71</w:t>
      </w:r>
      <w:r>
        <w:t xml:space="preserve">, </w:t>
      </w:r>
      <w:r w:rsidR="00BA16E4">
        <w:t>boxing any unfamiliar words and looking up their definitions.</w:t>
      </w:r>
      <w:r>
        <w:t xml:space="preserve"> Students also continue to surface issues</w:t>
      </w:r>
      <w:r w:rsidR="00007B84">
        <w:t xml:space="preserve"> </w:t>
      </w:r>
      <w:r w:rsidR="00BA16E4">
        <w:t>related to the text for research purposes and come to the next lesson prepared to share 2–3 additional issues.</w:t>
      </w:r>
    </w:p>
    <w:p w14:paraId="6AF04E4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0"/>
        <w:gridCol w:w="8010"/>
      </w:tblGrid>
      <w:tr w:rsidR="00790BCC" w:rsidRPr="00790BCC" w14:paraId="2D604632" w14:textId="77777777">
        <w:tc>
          <w:tcPr>
            <w:tcW w:w="9450" w:type="dxa"/>
            <w:gridSpan w:val="2"/>
            <w:shd w:val="clear" w:color="auto" w:fill="76923C"/>
          </w:tcPr>
          <w:p w14:paraId="1FF8F874" w14:textId="77777777" w:rsidR="00790BCC" w:rsidRPr="0043460D" w:rsidRDefault="00790BCC" w:rsidP="007017EB">
            <w:pPr>
              <w:pStyle w:val="TableHeaders"/>
            </w:pPr>
            <w:r w:rsidRPr="0043460D">
              <w:t>Assessed Standard(s)</w:t>
            </w:r>
          </w:p>
        </w:tc>
      </w:tr>
      <w:tr w:rsidR="00790BCC" w:rsidRPr="00790BCC" w14:paraId="17B25232" w14:textId="77777777" w:rsidTr="007A78BE">
        <w:tc>
          <w:tcPr>
            <w:tcW w:w="1440" w:type="dxa"/>
          </w:tcPr>
          <w:p w14:paraId="6171ADA6" w14:textId="77777777" w:rsidR="00790BCC" w:rsidRPr="00790BCC" w:rsidRDefault="00CD0616" w:rsidP="00D31F4D">
            <w:pPr>
              <w:pStyle w:val="TableText"/>
            </w:pPr>
            <w:r>
              <w:t>RI.11-12.3</w:t>
            </w:r>
          </w:p>
        </w:tc>
        <w:tc>
          <w:tcPr>
            <w:tcW w:w="8010" w:type="dxa"/>
          </w:tcPr>
          <w:p w14:paraId="611FB010" w14:textId="77777777" w:rsidR="00790BCC" w:rsidRPr="00790BCC" w:rsidRDefault="00CD0616" w:rsidP="00CD0616">
            <w:pPr>
              <w:pStyle w:val="SubStandard"/>
              <w:numPr>
                <w:ilvl w:val="0"/>
                <w:numId w:val="0"/>
              </w:numPr>
            </w:pPr>
            <w:r w:rsidRPr="00CD0616">
              <w:rPr>
                <w:color w:val="202020"/>
              </w:rPr>
              <w:t>Analyze a complex set of ideas or sequence of events and explain how specific individuals, ideas, or events interact and develop over the course of the text.</w:t>
            </w:r>
          </w:p>
        </w:tc>
      </w:tr>
      <w:tr w:rsidR="00B23221" w:rsidRPr="00790BCC" w14:paraId="0CF40F57" w14:textId="77777777" w:rsidTr="007A78BE">
        <w:tc>
          <w:tcPr>
            <w:tcW w:w="1440" w:type="dxa"/>
          </w:tcPr>
          <w:p w14:paraId="2F080FB9" w14:textId="77777777" w:rsidR="00B23221" w:rsidRPr="00790BCC" w:rsidRDefault="00B23221" w:rsidP="00BA4EAC">
            <w:pPr>
              <w:pStyle w:val="TableText"/>
            </w:pPr>
            <w:r>
              <w:t>RI.11-12.6</w:t>
            </w:r>
          </w:p>
        </w:tc>
        <w:tc>
          <w:tcPr>
            <w:tcW w:w="8010" w:type="dxa"/>
          </w:tcPr>
          <w:p w14:paraId="634FF197" w14:textId="77777777" w:rsidR="00B23221" w:rsidRPr="00790BCC" w:rsidRDefault="00B23221" w:rsidP="00BA4EAC">
            <w:pPr>
              <w:pStyle w:val="TableText"/>
            </w:pPr>
            <w:r w:rsidRPr="00414274">
              <w:rPr>
                <w:color w:val="202020"/>
              </w:rPr>
              <w:t>Determine an author's point of view or purpose in a text in which the rhetoric is particularly effective, analyzing how style and content contribute to the power, persuasiveness</w:t>
            </w:r>
            <w:r w:rsidR="00B240C0">
              <w:rPr>
                <w:color w:val="202020"/>
              </w:rPr>
              <w:t>,</w:t>
            </w:r>
            <w:r w:rsidRPr="00414274">
              <w:rPr>
                <w:color w:val="202020"/>
              </w:rPr>
              <w:t xml:space="preserve"> or beauty of the text.</w:t>
            </w:r>
          </w:p>
        </w:tc>
      </w:tr>
      <w:tr w:rsidR="00790BCC" w:rsidRPr="00790BCC" w14:paraId="52F9327A" w14:textId="77777777">
        <w:tc>
          <w:tcPr>
            <w:tcW w:w="9450" w:type="dxa"/>
            <w:gridSpan w:val="2"/>
            <w:shd w:val="clear" w:color="auto" w:fill="76923C"/>
          </w:tcPr>
          <w:p w14:paraId="09FD3C26" w14:textId="77777777" w:rsidR="00790BCC" w:rsidRPr="0043460D" w:rsidRDefault="00790BCC" w:rsidP="007017EB">
            <w:pPr>
              <w:pStyle w:val="TableHeaders"/>
            </w:pPr>
            <w:r w:rsidRPr="0043460D">
              <w:t>Addressed Standard(s)</w:t>
            </w:r>
          </w:p>
        </w:tc>
      </w:tr>
      <w:tr w:rsidR="00210071" w:rsidRPr="00790BCC" w14:paraId="17A6F863" w14:textId="77777777" w:rsidTr="007A78BE">
        <w:tc>
          <w:tcPr>
            <w:tcW w:w="1440" w:type="dxa"/>
          </w:tcPr>
          <w:p w14:paraId="3D1266C2" w14:textId="77777777" w:rsidR="00210071" w:rsidRPr="001A4155" w:rsidRDefault="00210071" w:rsidP="00FC75B0">
            <w:pPr>
              <w:pStyle w:val="TableText"/>
            </w:pPr>
            <w:r>
              <w:t>W.11-12.9.</w:t>
            </w:r>
            <w:r w:rsidR="00FC75B0">
              <w:t>b</w:t>
            </w:r>
          </w:p>
        </w:tc>
        <w:tc>
          <w:tcPr>
            <w:tcW w:w="8010" w:type="dxa"/>
          </w:tcPr>
          <w:p w14:paraId="05FD04A9" w14:textId="77777777" w:rsidR="00210071" w:rsidRPr="00D16B66" w:rsidRDefault="00210071" w:rsidP="00BA4EAC">
            <w:pPr>
              <w:pStyle w:val="TableText"/>
              <w:rPr>
                <w:b/>
                <w:bCs/>
                <w:i/>
                <w:iCs/>
                <w:color w:val="404040"/>
                <w:sz w:val="20"/>
                <w:szCs w:val="20"/>
              </w:rPr>
            </w:pPr>
            <w:r>
              <w:t>Draw evidence from literary or informational texts to support analysis, reflection, and research.</w:t>
            </w:r>
          </w:p>
          <w:p w14:paraId="56A87540" w14:textId="688E201C" w:rsidR="00210071" w:rsidRDefault="00FC75B0" w:rsidP="00114572">
            <w:pPr>
              <w:pStyle w:val="SubStandard"/>
            </w:pPr>
            <w:r w:rsidRPr="008861B7">
              <w:t>Apply</w:t>
            </w:r>
            <w:r w:rsidRPr="006E67FD">
              <w:rPr>
                <w:rStyle w:val="apple-converted-space"/>
                <w:color w:val="202020"/>
              </w:rPr>
              <w:t xml:space="preserve"> </w:t>
            </w:r>
            <w:r w:rsidRPr="008861B7">
              <w:rPr>
                <w:i/>
                <w:iCs/>
              </w:rPr>
              <w:t>grades 11</w:t>
            </w:r>
            <w:r w:rsidR="00114572">
              <w:rPr>
                <w:i/>
                <w:iCs/>
              </w:rPr>
              <w:t>–</w:t>
            </w:r>
            <w:r w:rsidRPr="008861B7">
              <w:rPr>
                <w:i/>
                <w:iCs/>
              </w:rPr>
              <w:t>12 Reading standards</w:t>
            </w:r>
            <w:r w:rsidRPr="006E67FD">
              <w:rPr>
                <w:rStyle w:val="apple-converted-space"/>
                <w:color w:val="202020"/>
              </w:rPr>
              <w:t xml:space="preserve"> </w:t>
            </w:r>
            <w:r w:rsidRPr="006E67FD">
              <w:t>to literary nonfiction (e.g., “</w:t>
            </w:r>
            <w:r w:rsidRPr="008861B7">
              <w:t xml:space="preserve">Delineate and </w:t>
            </w:r>
            <w:r w:rsidRPr="008861B7">
              <w:lastRenderedPageBreak/>
              <w:t>evaluate the reasoning in seminal U.S. texts, including the application of constitutional principles and use of legal reasoning [e.g., in U.S. Supreme Court Case majority opinions and dissents] and the premises, purposes, and arguments in works of public advocacy [e.g.,</w:t>
            </w:r>
            <w:r w:rsidRPr="006E67FD">
              <w:rPr>
                <w:rStyle w:val="apple-converted-space"/>
                <w:color w:val="202020"/>
              </w:rPr>
              <w:t xml:space="preserve"> </w:t>
            </w:r>
            <w:r w:rsidRPr="008861B7">
              <w:rPr>
                <w:rStyle w:val="Emphasis"/>
                <w:color w:val="202020"/>
              </w:rPr>
              <w:t>The Federalist</w:t>
            </w:r>
            <w:r w:rsidRPr="006E67FD">
              <w:t>, presidential addresses]”</w:t>
            </w:r>
            <w:r w:rsidRPr="008861B7">
              <w:t>).</w:t>
            </w:r>
          </w:p>
        </w:tc>
      </w:tr>
      <w:tr w:rsidR="00A24DD2" w:rsidRPr="00790BCC" w14:paraId="1FE1B9AC" w14:textId="77777777" w:rsidTr="007A78BE">
        <w:tc>
          <w:tcPr>
            <w:tcW w:w="1440" w:type="dxa"/>
          </w:tcPr>
          <w:p w14:paraId="7B93A329" w14:textId="77777777" w:rsidR="00A24DD2" w:rsidRDefault="00A24DD2" w:rsidP="00BA4EAC">
            <w:pPr>
              <w:pStyle w:val="TableText"/>
              <w:keepNext/>
            </w:pPr>
            <w:r>
              <w:lastRenderedPageBreak/>
              <w:t>SL.11-12.1.a, c, d</w:t>
            </w:r>
          </w:p>
        </w:tc>
        <w:tc>
          <w:tcPr>
            <w:tcW w:w="8010" w:type="dxa"/>
          </w:tcPr>
          <w:p w14:paraId="69E75ABF" w14:textId="77777777" w:rsidR="00A24DD2" w:rsidRDefault="00A24DD2" w:rsidP="00BA4EAC">
            <w:pPr>
              <w:pStyle w:val="ToolTableText"/>
              <w:keepNext/>
            </w:pPr>
            <w:r w:rsidRPr="00F7509A">
              <w:t xml:space="preserve">Initiate and participate effectively in a range of collaborative discussions (one-on-one, in groups, and teacher-led) with diverse partners on </w:t>
            </w:r>
            <w:r w:rsidRPr="007D7FB5">
              <w:rPr>
                <w:i/>
              </w:rPr>
              <w:t>grades 11</w:t>
            </w:r>
            <w:r>
              <w:rPr>
                <w:i/>
              </w:rPr>
              <w:t>–</w:t>
            </w:r>
            <w:r w:rsidRPr="007D7FB5">
              <w:rPr>
                <w:i/>
              </w:rPr>
              <w:t>12 topics, texts, and issues</w:t>
            </w:r>
            <w:r>
              <w:t>, building on others’</w:t>
            </w:r>
            <w:r w:rsidRPr="00F7509A">
              <w:t xml:space="preserve"> ideas and expressing their own clearly and persuasively.</w:t>
            </w:r>
          </w:p>
          <w:p w14:paraId="6B913F28" w14:textId="77777777" w:rsidR="00A24DD2" w:rsidRDefault="00A24DD2" w:rsidP="00A24DD2">
            <w:pPr>
              <w:pStyle w:val="SubStandard"/>
              <w:keepNext/>
              <w:numPr>
                <w:ilvl w:val="0"/>
                <w:numId w:val="21"/>
              </w:numPr>
            </w:pPr>
            <w:r w:rsidRPr="00F7509A">
              <w:t>Come to discussions prepared, having read and researched material under study; explicitly draw on that preparation by referring to evidence from texts and other research on the topic or issue to stimulate a thoughtful, well-reasoned exchange of ideas.</w:t>
            </w:r>
          </w:p>
          <w:p w14:paraId="3E30BF58" w14:textId="77777777" w:rsidR="00A24DD2" w:rsidRPr="00C77F6B" w:rsidRDefault="00A24DD2" w:rsidP="00C77F6B">
            <w:pPr>
              <w:pStyle w:val="SubStandard"/>
              <w:numPr>
                <w:ilvl w:val="0"/>
                <w:numId w:val="20"/>
              </w:numPr>
              <w:rPr>
                <w:b/>
                <w:bCs/>
                <w:i/>
                <w:iCs/>
                <w:color w:val="404040"/>
                <w:sz w:val="20"/>
                <w:szCs w:val="20"/>
              </w:rPr>
            </w:pPr>
            <w:r w:rsidRPr="00F7509A">
              <w:t xml:space="preserve">Propel conversations by posing and responding to questions that probe reasoning and evidence; ensure a hearing for a full range of positions on a topic or issue; clarify, verify, or challenge ideas </w:t>
            </w:r>
            <w:r w:rsidRPr="00C77F6B">
              <w:t>and</w:t>
            </w:r>
            <w:r w:rsidRPr="00F7509A">
              <w:t xml:space="preserve"> conclusions; and promote divergent and creative perspectives.</w:t>
            </w:r>
          </w:p>
          <w:p w14:paraId="6F295654" w14:textId="77777777" w:rsidR="00A24DD2" w:rsidRDefault="00A24DD2" w:rsidP="00BA4EAC">
            <w:pPr>
              <w:pStyle w:val="SubStandard"/>
            </w:pPr>
            <w:r w:rsidRPr="00F7509A">
              <w:t>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r>
      <w:tr w:rsidR="008907F0" w:rsidRPr="00790BCC" w14:paraId="6511ED1D" w14:textId="77777777" w:rsidTr="007A78BE">
        <w:tc>
          <w:tcPr>
            <w:tcW w:w="1440" w:type="dxa"/>
          </w:tcPr>
          <w:p w14:paraId="319CB75A" w14:textId="77777777" w:rsidR="008907F0" w:rsidRDefault="008907F0" w:rsidP="00BA4EAC">
            <w:pPr>
              <w:pStyle w:val="TableText"/>
              <w:keepNext/>
            </w:pPr>
            <w:r>
              <w:t>L.11-12.4.c</w:t>
            </w:r>
          </w:p>
        </w:tc>
        <w:tc>
          <w:tcPr>
            <w:tcW w:w="8010" w:type="dxa"/>
          </w:tcPr>
          <w:p w14:paraId="6432D68D" w14:textId="77777777" w:rsidR="00990E05" w:rsidRPr="00B94450" w:rsidRDefault="00990E05" w:rsidP="00990E05">
            <w:pPr>
              <w:pStyle w:val="TableText"/>
            </w:pPr>
            <w:r w:rsidRPr="00B94450">
              <w:t xml:space="preserve">Determine or clarify the meaning of unknown and multiple-meaning words and phrases based on </w:t>
            </w:r>
            <w:r w:rsidRPr="00B94450">
              <w:rPr>
                <w:i/>
              </w:rPr>
              <w:t>grades 11–12 reading and content</w:t>
            </w:r>
            <w:r w:rsidRPr="00B94450">
              <w:t>, choosing flexibly from a range of strategies.</w:t>
            </w:r>
          </w:p>
          <w:p w14:paraId="0D5DDDC8" w14:textId="77777777" w:rsidR="008907F0" w:rsidRPr="00F7509A" w:rsidRDefault="00990E05" w:rsidP="00C77F6B">
            <w:pPr>
              <w:pStyle w:val="SubStandard"/>
              <w:numPr>
                <w:ilvl w:val="0"/>
                <w:numId w:val="24"/>
              </w:numPr>
            </w:pPr>
            <w:r w:rsidRPr="000B65C6">
              <w:t>Consult general and specialized reference materials (e.g., dictionaries, glossaries, thesauruses), both print and digital, to find the pronunciation of a word or determine or clarify its precise meaning, its part of speech, its etymology, or its standard usage.</w:t>
            </w:r>
          </w:p>
        </w:tc>
      </w:tr>
    </w:tbl>
    <w:p w14:paraId="7BC258DC" w14:textId="77777777" w:rsidR="00790BCC" w:rsidRPr="00790BCC" w:rsidRDefault="00790BCC" w:rsidP="00D31F4D">
      <w:pPr>
        <w:pStyle w:val="Heading1"/>
      </w:pPr>
      <w:r w:rsidRPr="00790BCC">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92A0FB9" w14:textId="77777777">
        <w:tc>
          <w:tcPr>
            <w:tcW w:w="9450" w:type="dxa"/>
            <w:shd w:val="clear" w:color="auto" w:fill="76923C"/>
          </w:tcPr>
          <w:p w14:paraId="69D7DC44" w14:textId="77777777" w:rsidR="00790BCC" w:rsidRPr="0043460D" w:rsidRDefault="00790BCC" w:rsidP="007017EB">
            <w:pPr>
              <w:pStyle w:val="TableHeaders"/>
            </w:pPr>
            <w:r w:rsidRPr="0043460D">
              <w:t>Assessment(s)</w:t>
            </w:r>
          </w:p>
        </w:tc>
      </w:tr>
      <w:tr w:rsidR="00790BCC" w:rsidRPr="00790BCC" w14:paraId="2955E885" w14:textId="77777777">
        <w:tc>
          <w:tcPr>
            <w:tcW w:w="9450" w:type="dxa"/>
            <w:tcBorders>
              <w:top w:val="single" w:sz="4" w:space="0" w:color="auto"/>
              <w:left w:val="single" w:sz="4" w:space="0" w:color="auto"/>
              <w:bottom w:val="single" w:sz="4" w:space="0" w:color="auto"/>
              <w:right w:val="single" w:sz="4" w:space="0" w:color="auto"/>
            </w:tcBorders>
          </w:tcPr>
          <w:p w14:paraId="7DA9D8B6" w14:textId="77777777" w:rsidR="00CD0616" w:rsidRPr="00F572E7" w:rsidRDefault="00CD0616" w:rsidP="00CD0616">
            <w:pPr>
              <w:pStyle w:val="TableText"/>
              <w:rPr>
                <w:rStyle w:val="TAChar"/>
              </w:rPr>
            </w:pPr>
            <w:r w:rsidRPr="00F572E7">
              <w:t xml:space="preserve">Student learning is assessed via a Quick Write at the end of the lesson. Students </w:t>
            </w:r>
            <w:r>
              <w:t>respond to</w:t>
            </w:r>
            <w:r w:rsidRPr="00F572E7">
              <w:t xml:space="preserve"> the following prompt, citing textual evidence to support analysis and inferences drawn from the text. </w:t>
            </w:r>
          </w:p>
          <w:p w14:paraId="77EBBA45" w14:textId="77777777" w:rsidR="00A33DF3" w:rsidRPr="00F42978" w:rsidRDefault="00CD0616" w:rsidP="00092B03">
            <w:pPr>
              <w:pStyle w:val="BulletedList"/>
            </w:pPr>
            <w:r w:rsidRPr="00F42978">
              <w:rPr>
                <w:rFonts w:cs="Arial"/>
                <w:bCs/>
                <w:color w:val="000000"/>
              </w:rPr>
              <w:t>How do</w:t>
            </w:r>
            <w:r w:rsidR="00210071" w:rsidRPr="00F42978">
              <w:rPr>
                <w:rFonts w:cs="Arial"/>
                <w:bCs/>
                <w:color w:val="000000"/>
              </w:rPr>
              <w:t xml:space="preserve"> the interaction and development of</w:t>
            </w:r>
            <w:r w:rsidRPr="00F42978">
              <w:rPr>
                <w:rFonts w:cs="Arial"/>
                <w:bCs/>
                <w:color w:val="000000"/>
              </w:rPr>
              <w:t xml:space="preserve"> ideas </w:t>
            </w:r>
            <w:r w:rsidR="00210071" w:rsidRPr="00F42978">
              <w:rPr>
                <w:rFonts w:cs="Arial"/>
                <w:bCs/>
                <w:color w:val="000000"/>
              </w:rPr>
              <w:t xml:space="preserve">in this excerpt </w:t>
            </w:r>
            <w:r w:rsidRPr="00F42978">
              <w:rPr>
                <w:rFonts w:cs="Arial"/>
                <w:bCs/>
                <w:color w:val="000000"/>
              </w:rPr>
              <w:t>refine the author’s purpose</w:t>
            </w:r>
            <w:r w:rsidR="00210071" w:rsidRPr="00F42978">
              <w:rPr>
                <w:rFonts w:cs="Arial"/>
                <w:bCs/>
                <w:color w:val="000000"/>
              </w:rPr>
              <w:t xml:space="preserve">? </w:t>
            </w:r>
          </w:p>
        </w:tc>
      </w:tr>
      <w:tr w:rsidR="00790BCC" w:rsidRPr="00790BCC" w14:paraId="4C3E6203" w14:textId="77777777">
        <w:tc>
          <w:tcPr>
            <w:tcW w:w="9450" w:type="dxa"/>
            <w:shd w:val="clear" w:color="auto" w:fill="76923C"/>
          </w:tcPr>
          <w:p w14:paraId="5FC60F1B" w14:textId="77777777" w:rsidR="009059D2" w:rsidRDefault="00790BCC" w:rsidP="007A78BE">
            <w:pPr>
              <w:pStyle w:val="TableHeaders"/>
              <w:keepNext/>
              <w:rPr>
                <w:rFonts w:asciiTheme="majorHAnsi" w:eastAsiaTheme="majorEastAsia" w:hAnsiTheme="majorHAnsi" w:cstheme="majorBidi"/>
                <w:b w:val="0"/>
                <w:bCs/>
                <w:i/>
                <w:iCs/>
              </w:rPr>
            </w:pPr>
            <w:r w:rsidRPr="0043460D">
              <w:t>High Performance Response(s)</w:t>
            </w:r>
          </w:p>
        </w:tc>
      </w:tr>
      <w:tr w:rsidR="00790BCC" w:rsidRPr="00790BCC" w14:paraId="7CF379EE" w14:textId="77777777">
        <w:tc>
          <w:tcPr>
            <w:tcW w:w="9450" w:type="dxa"/>
          </w:tcPr>
          <w:p w14:paraId="1042F9D0" w14:textId="77777777" w:rsidR="00790BCC" w:rsidRPr="00790BCC" w:rsidRDefault="00790BCC" w:rsidP="00D31F4D">
            <w:pPr>
              <w:pStyle w:val="TableText"/>
            </w:pPr>
            <w:r w:rsidRPr="00790BCC">
              <w:t>A High Performance Response should:</w:t>
            </w:r>
          </w:p>
          <w:p w14:paraId="7476698A" w14:textId="77777777" w:rsidR="00F877D8" w:rsidRPr="005201DF" w:rsidRDefault="00F877D8" w:rsidP="00E606E0">
            <w:pPr>
              <w:pStyle w:val="BulletedList"/>
            </w:pPr>
            <w:r w:rsidRPr="005201DF">
              <w:lastRenderedPageBreak/>
              <w:t xml:space="preserve">Identify the author’s purpose (e.g., Diamond’s purpose is to </w:t>
            </w:r>
            <w:r w:rsidR="002C6219">
              <w:t xml:space="preserve">more accurately </w:t>
            </w:r>
            <w:r w:rsidRPr="005201DF">
              <w:t>answer Yali’s question about the inequality of global wealth and power distribution</w:t>
            </w:r>
            <w:r w:rsidR="00F92AA4">
              <w:t xml:space="preserve"> because</w:t>
            </w:r>
            <w:r w:rsidR="003503BC">
              <w:t xml:space="preserve"> the “ultimate causes” (p. 23) have yet to be explained and</w:t>
            </w:r>
            <w:r w:rsidR="00F92AA4">
              <w:t xml:space="preserve"> he does not w</w:t>
            </w:r>
            <w:r w:rsidR="00627969">
              <w:t>ant</w:t>
            </w:r>
            <w:r w:rsidR="00F92AA4">
              <w:t xml:space="preserve"> people to accept a racist biological explanation</w:t>
            </w:r>
            <w:r w:rsidR="00AE185E">
              <w:t xml:space="preserve"> </w:t>
            </w:r>
            <w:r w:rsidR="00F92AA4">
              <w:t>instead</w:t>
            </w:r>
            <w:r w:rsidRPr="005201DF">
              <w:t>).</w:t>
            </w:r>
          </w:p>
          <w:p w14:paraId="7DBBD02F" w14:textId="77777777" w:rsidR="00F877D8" w:rsidRPr="007B0CC6" w:rsidRDefault="00F877D8" w:rsidP="00E606E0">
            <w:pPr>
              <w:pStyle w:val="BulletedList"/>
            </w:pPr>
            <w:r w:rsidRPr="005201DF">
              <w:t>Identify the ideas that interact and develop in this excerpt (e.g., the “stimulatory effects” and “inhibitory effects” (p. 22) of climate, the connection of “lowland river valleys” to “productive agriculture”</w:t>
            </w:r>
            <w:r w:rsidR="00414D6D" w:rsidRPr="001A5E64">
              <w:t xml:space="preserve"> (p. 22), “biological differences” (p. 18), and “European guns, infectious diseases, steel tools, and manufactured product</w:t>
            </w:r>
            <w:r w:rsidR="00414D6D" w:rsidRPr="007B0CC6">
              <w:t>s” (p. 23)).</w:t>
            </w:r>
          </w:p>
          <w:p w14:paraId="292EA16C" w14:textId="2B4BBC91" w:rsidR="00790BCC" w:rsidRPr="00790BCC" w:rsidRDefault="00210071" w:rsidP="00114572">
            <w:pPr>
              <w:pStyle w:val="BulletedList"/>
            </w:pPr>
            <w:r>
              <w:t xml:space="preserve">Analyze how ideas interact and develop </w:t>
            </w:r>
            <w:r w:rsidR="000D04F3">
              <w:t xml:space="preserve">to refine the author’s purpose in this excerpt </w:t>
            </w:r>
            <w:r w:rsidR="00BA4EAC">
              <w:t xml:space="preserve">(e.g., </w:t>
            </w:r>
            <w:r w:rsidR="00DC660E">
              <w:t>Diamond explains that i</w:t>
            </w:r>
            <w:r w:rsidR="00574DD3">
              <w:t>deas</w:t>
            </w:r>
            <w:r w:rsidR="000B4276">
              <w:t>,</w:t>
            </w:r>
            <w:r w:rsidR="00574DD3">
              <w:t xml:space="preserve"> such as the </w:t>
            </w:r>
            <w:r w:rsidR="00BA4EAC">
              <w:t xml:space="preserve">“stimulatory effects” and “inhibitory effects” </w:t>
            </w:r>
            <w:r w:rsidR="00B82311">
              <w:t xml:space="preserve">(p. 22) </w:t>
            </w:r>
            <w:r w:rsidR="00BA4EAC">
              <w:t>of climate</w:t>
            </w:r>
            <w:r w:rsidR="00AA2A5C">
              <w:t xml:space="preserve">, and the idea that “lowland river valleys” were key to “productive agriculture” (p. 22) are invalid as explanations </w:t>
            </w:r>
            <w:r w:rsidR="00F877D8">
              <w:t>for</w:t>
            </w:r>
            <w:r w:rsidR="00AA2A5C">
              <w:t xml:space="preserve"> human development</w:t>
            </w:r>
            <w:r w:rsidR="008233E3">
              <w:t xml:space="preserve"> disparities</w:t>
            </w:r>
            <w:r w:rsidR="002F435F">
              <w:t xml:space="preserve"> because historical and archaeological evidence proves otherwise</w:t>
            </w:r>
            <w:r w:rsidR="00AA2A5C">
              <w:t xml:space="preserve">. </w:t>
            </w:r>
            <w:r w:rsidR="000D04F3">
              <w:t xml:space="preserve">Diamond also acknowledges that while other researchers have made </w:t>
            </w:r>
            <w:r w:rsidR="000F311B">
              <w:t>“</w:t>
            </w:r>
            <w:r w:rsidR="000D04F3">
              <w:t>some progress” (p. 23) in their investigations</w:t>
            </w:r>
            <w:r w:rsidR="008233E3">
              <w:t>,</w:t>
            </w:r>
            <w:r w:rsidR="000D04F3">
              <w:t xml:space="preserve"> “we’re not told what the correct explanation” (p. 25) to Yali’s question is.</w:t>
            </w:r>
            <w:r w:rsidR="00B82311">
              <w:t xml:space="preserve"> He explains that the “immediate factors” </w:t>
            </w:r>
            <w:r w:rsidR="006264B4">
              <w:t xml:space="preserve">that </w:t>
            </w:r>
            <w:r w:rsidR="00B82311">
              <w:t xml:space="preserve">“enabled Europeans to kill or conquer other peoples” included “European guns, infectious diseases, steel tools, and manufactured products” (p. 23), </w:t>
            </w:r>
            <w:r w:rsidR="00CE6775">
              <w:t>and</w:t>
            </w:r>
            <w:r w:rsidR="00B82311">
              <w:t xml:space="preserve"> says that this idea is “on the right track” to answering Yali, </w:t>
            </w:r>
            <w:r w:rsidR="00CE6775">
              <w:t>but</w:t>
            </w:r>
            <w:r w:rsidR="00B82311">
              <w:t xml:space="preserve"> is an “incomplete” “hypothesis” (p. 23</w:t>
            </w:r>
            <w:r w:rsidR="000F1B6D">
              <w:t>).</w:t>
            </w:r>
            <w:r w:rsidR="00594A97">
              <w:t xml:space="preserve"> </w:t>
            </w:r>
            <w:r w:rsidR="00BA4EAC">
              <w:t xml:space="preserve">By proving </w:t>
            </w:r>
            <w:r w:rsidR="00594A97">
              <w:t xml:space="preserve">that other potential answers to Yali’s question are either </w:t>
            </w:r>
            <w:r w:rsidR="00BA4EAC">
              <w:t xml:space="preserve">false </w:t>
            </w:r>
            <w:r w:rsidR="00594A97">
              <w:t xml:space="preserve">or </w:t>
            </w:r>
            <w:r w:rsidR="00B82311">
              <w:t>incomplete</w:t>
            </w:r>
            <w:r w:rsidR="00594A97">
              <w:t xml:space="preserve"> because they</w:t>
            </w:r>
            <w:r w:rsidR="00386910">
              <w:t xml:space="preserve"> address “proximate</w:t>
            </w:r>
            <w:r w:rsidR="0030106C">
              <w:t xml:space="preserve"> </w:t>
            </w:r>
            <w:r w:rsidR="000F311B">
              <w:t>…</w:t>
            </w:r>
            <w:r w:rsidR="0030106C">
              <w:t xml:space="preserve"> </w:t>
            </w:r>
            <w:r w:rsidR="00386910">
              <w:t>explanation[s]” (p. 23)</w:t>
            </w:r>
            <w:r w:rsidR="00AE185E">
              <w:t xml:space="preserve"> only</w:t>
            </w:r>
            <w:r w:rsidR="0004796E">
              <w:t>,</w:t>
            </w:r>
            <w:r w:rsidR="00386910">
              <w:t xml:space="preserve"> instead of searching for the “ultimate causes” (p. 23),</w:t>
            </w:r>
            <w:r w:rsidR="00BA4EAC">
              <w:t xml:space="preserve"> </w:t>
            </w:r>
            <w:r w:rsidR="00AE185E">
              <w:t>Diamond</w:t>
            </w:r>
            <w:r w:rsidR="00386910">
              <w:t xml:space="preserve"> </w:t>
            </w:r>
            <w:r w:rsidR="006264B4">
              <w:t xml:space="preserve">demonstrates </w:t>
            </w:r>
            <w:r w:rsidR="00BA4EAC">
              <w:t xml:space="preserve">a need for </w:t>
            </w:r>
            <w:r w:rsidR="006264B4">
              <w:t xml:space="preserve">a </w:t>
            </w:r>
            <w:r w:rsidR="00BA2B24">
              <w:t>more accurate</w:t>
            </w:r>
            <w:r w:rsidR="00BA4EAC">
              <w:t xml:space="preserve"> answer to Yali</w:t>
            </w:r>
            <w:r w:rsidR="006264B4">
              <w:t>’s question</w:t>
            </w:r>
            <w:r w:rsidR="00BA4EAC">
              <w:t xml:space="preserve">, which </w:t>
            </w:r>
            <w:r w:rsidR="006264B4">
              <w:t>he intends to provide in his</w:t>
            </w:r>
            <w:r w:rsidR="00BA4EAC">
              <w:t xml:space="preserve"> book.</w:t>
            </w:r>
            <w:r w:rsidR="004864DA">
              <w:t>).</w:t>
            </w:r>
          </w:p>
        </w:tc>
      </w:tr>
    </w:tbl>
    <w:p w14:paraId="2399AD87" w14:textId="77777777" w:rsidR="00790BCC" w:rsidRPr="00790BCC" w:rsidRDefault="00790BCC" w:rsidP="00D31F4D">
      <w:pPr>
        <w:pStyle w:val="Heading1"/>
      </w:pPr>
      <w:r w:rsidRPr="00341F48">
        <w:lastRenderedPageBreak/>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570BF11F" w14:textId="77777777">
        <w:tc>
          <w:tcPr>
            <w:tcW w:w="9450" w:type="dxa"/>
            <w:shd w:val="clear" w:color="auto" w:fill="76923C"/>
          </w:tcPr>
          <w:p w14:paraId="59A2D681" w14:textId="77777777" w:rsidR="00790BCC" w:rsidRPr="0043460D" w:rsidRDefault="00790BCC" w:rsidP="00D31F4D">
            <w:pPr>
              <w:pStyle w:val="TableHeaders"/>
            </w:pPr>
            <w:r w:rsidRPr="0043460D">
              <w:t>Vocabulary to provide directly (will not include extended instruction)</w:t>
            </w:r>
          </w:p>
        </w:tc>
      </w:tr>
      <w:tr w:rsidR="00790BCC" w:rsidRPr="00790BCC" w14:paraId="229129CA" w14:textId="77777777">
        <w:tc>
          <w:tcPr>
            <w:tcW w:w="9450" w:type="dxa"/>
          </w:tcPr>
          <w:p w14:paraId="002E1F70" w14:textId="77777777" w:rsidR="00790BCC" w:rsidRDefault="00F833C1" w:rsidP="00D31F4D">
            <w:pPr>
              <w:pStyle w:val="BulletedList"/>
            </w:pPr>
            <w:r>
              <w:t>inhibitory</w:t>
            </w:r>
            <w:r w:rsidR="000C7F7E">
              <w:t xml:space="preserve"> (</w:t>
            </w:r>
            <w:r w:rsidR="00485F66">
              <w:t>adj</w:t>
            </w:r>
            <w:r w:rsidR="00790BCC" w:rsidRPr="00790BCC">
              <w:t xml:space="preserve">.) – </w:t>
            </w:r>
            <w:r w:rsidR="00485F66">
              <w:t>acting to prevent</w:t>
            </w:r>
            <w:r w:rsidR="000C7F7E">
              <w:t xml:space="preserve"> or slow down </w:t>
            </w:r>
            <w:r w:rsidR="00BC27C0">
              <w:t>an</w:t>
            </w:r>
            <w:r w:rsidR="000C7F7E">
              <w:t xml:space="preserve"> activity or occurrence of (something)</w:t>
            </w:r>
          </w:p>
          <w:p w14:paraId="0478B1C1" w14:textId="77777777" w:rsidR="00F833C1" w:rsidRDefault="00F833C1" w:rsidP="00D31F4D">
            <w:pPr>
              <w:pStyle w:val="BulletedList"/>
            </w:pPr>
            <w:r>
              <w:t>scrutiny</w:t>
            </w:r>
            <w:r w:rsidR="00BC27C0">
              <w:t xml:space="preserve"> (n.) – a close </w:t>
            </w:r>
            <w:r w:rsidR="00BE5B1D">
              <w:t>examination or investigation</w:t>
            </w:r>
          </w:p>
          <w:p w14:paraId="2547F715" w14:textId="77777777" w:rsidR="00F833C1" w:rsidRDefault="00F833C1" w:rsidP="00D31F4D">
            <w:pPr>
              <w:pStyle w:val="BulletedList"/>
            </w:pPr>
            <w:r w:rsidRPr="00152B04">
              <w:t>backwater</w:t>
            </w:r>
            <w:r w:rsidR="00BC27C0" w:rsidRPr="00152B04">
              <w:t xml:space="preserve"> (n</w:t>
            </w:r>
            <w:r w:rsidR="00BC27C0">
              <w:t>.) – a place or state of stagnant backwardness</w:t>
            </w:r>
          </w:p>
          <w:p w14:paraId="54DEAACB" w14:textId="77777777" w:rsidR="00F833C1" w:rsidRDefault="00F833C1" w:rsidP="00D31F4D">
            <w:pPr>
              <w:pStyle w:val="BulletedList"/>
            </w:pPr>
            <w:r>
              <w:t>bureaucracies</w:t>
            </w:r>
            <w:r w:rsidR="00BC27C0">
              <w:t xml:space="preserve"> (</w:t>
            </w:r>
            <w:r w:rsidR="00D134FE">
              <w:t>n.) –</w:t>
            </w:r>
            <w:r w:rsidR="00E01EEB">
              <w:t xml:space="preserve"> </w:t>
            </w:r>
            <w:r w:rsidR="00D134FE">
              <w:t>bod</w:t>
            </w:r>
            <w:r w:rsidR="00E01EEB">
              <w:t>ies</w:t>
            </w:r>
            <w:r w:rsidR="00D134FE">
              <w:t xml:space="preserve"> of officials and administrators, especially of a government or government department</w:t>
            </w:r>
          </w:p>
          <w:p w14:paraId="7D4B1050" w14:textId="77777777" w:rsidR="0019661A" w:rsidRDefault="0019661A" w:rsidP="00D31F4D">
            <w:pPr>
              <w:pStyle w:val="BulletedList"/>
            </w:pPr>
            <w:r>
              <w:t>proximate (adj.) – next; nearest; immediately before or after in order, place, occurrence, etc.</w:t>
            </w:r>
          </w:p>
          <w:p w14:paraId="43BDB80F" w14:textId="77777777" w:rsidR="00D925AC" w:rsidRDefault="00D925AC" w:rsidP="00D925AC">
            <w:pPr>
              <w:pStyle w:val="BulletedList"/>
            </w:pPr>
            <w:r>
              <w:t>causation (n.) – the relationship between an event or situation and a possible reason or cause</w:t>
            </w:r>
          </w:p>
          <w:p w14:paraId="604AFFF9" w14:textId="77777777" w:rsidR="00F833C1" w:rsidRDefault="00F833C1" w:rsidP="00D31F4D">
            <w:pPr>
              <w:pStyle w:val="BulletedList"/>
            </w:pPr>
            <w:r w:rsidRPr="00485F66">
              <w:t>intractable</w:t>
            </w:r>
            <w:r w:rsidR="00D134FE" w:rsidRPr="00485F66">
              <w:t xml:space="preserve"> (adj.) –</w:t>
            </w:r>
            <w:r w:rsidR="00D134FE">
              <w:t xml:space="preserve"> not easily managed, controlled, or solved</w:t>
            </w:r>
          </w:p>
          <w:p w14:paraId="384ADC35" w14:textId="77777777" w:rsidR="00187FE2" w:rsidRDefault="00187FE2" w:rsidP="00D31F4D">
            <w:pPr>
              <w:pStyle w:val="BulletedList"/>
            </w:pPr>
            <w:r>
              <w:t>conferring (v.) – giving (as a property or characteristic) to someone or something</w:t>
            </w:r>
          </w:p>
          <w:p w14:paraId="2AEEB48C" w14:textId="77777777" w:rsidR="0019661A" w:rsidRPr="00790BCC" w:rsidRDefault="00F833C1" w:rsidP="0019661A">
            <w:pPr>
              <w:pStyle w:val="BulletedList"/>
            </w:pPr>
            <w:r>
              <w:lastRenderedPageBreak/>
              <w:t>inexorable</w:t>
            </w:r>
            <w:r w:rsidR="00434689">
              <w:t xml:space="preserve"> (adj.) – unyielding, unalterable</w:t>
            </w:r>
          </w:p>
        </w:tc>
      </w:tr>
      <w:tr w:rsidR="00790BCC" w:rsidRPr="00790BCC" w14:paraId="4486E82D" w14:textId="77777777">
        <w:tc>
          <w:tcPr>
            <w:tcW w:w="9450" w:type="dxa"/>
            <w:shd w:val="clear" w:color="auto" w:fill="76923C"/>
          </w:tcPr>
          <w:p w14:paraId="35FCF670" w14:textId="77777777" w:rsidR="00790BCC" w:rsidRPr="0043460D" w:rsidRDefault="00790BCC" w:rsidP="00D31F4D">
            <w:pPr>
              <w:pStyle w:val="TableHeaders"/>
            </w:pPr>
            <w:r w:rsidRPr="0043460D">
              <w:lastRenderedPageBreak/>
              <w:t>Vocabulary to teach (may include direct word work and/or questions)</w:t>
            </w:r>
          </w:p>
        </w:tc>
      </w:tr>
      <w:tr w:rsidR="00790BCC" w:rsidRPr="00790BCC" w14:paraId="578C3367" w14:textId="77777777">
        <w:tc>
          <w:tcPr>
            <w:tcW w:w="9450" w:type="dxa"/>
          </w:tcPr>
          <w:p w14:paraId="0685D6C0" w14:textId="77777777" w:rsidR="00790BCC" w:rsidRPr="00790BCC" w:rsidRDefault="002067D2" w:rsidP="00D31F4D">
            <w:pPr>
              <w:pStyle w:val="BulletedList"/>
            </w:pPr>
            <w:r>
              <w:t>N</w:t>
            </w:r>
            <w:r w:rsidR="00BE7F7C">
              <w:t>one</w:t>
            </w:r>
            <w:r w:rsidR="007C1BEB">
              <w:t>.</w:t>
            </w:r>
          </w:p>
        </w:tc>
      </w:tr>
      <w:tr w:rsidR="00790BCC" w:rsidRPr="00790BCC" w14:paraId="75F0A2FC" w14:textId="77777777">
        <w:tc>
          <w:tcPr>
            <w:tcW w:w="9450" w:type="dxa"/>
            <w:tcBorders>
              <w:top w:val="single" w:sz="4" w:space="0" w:color="auto"/>
              <w:left w:val="single" w:sz="4" w:space="0" w:color="auto"/>
              <w:bottom w:val="single" w:sz="4" w:space="0" w:color="auto"/>
              <w:right w:val="single" w:sz="4" w:space="0" w:color="auto"/>
            </w:tcBorders>
            <w:shd w:val="clear" w:color="auto" w:fill="76923C"/>
          </w:tcPr>
          <w:p w14:paraId="389CE457" w14:textId="77777777" w:rsidR="00790BCC" w:rsidRPr="0043460D" w:rsidRDefault="00790BCC" w:rsidP="009540E2">
            <w:pPr>
              <w:pStyle w:val="TableHeaders"/>
              <w:keepNext/>
            </w:pPr>
            <w:r w:rsidRPr="0043460D">
              <w:t>Additional vocabulary to support English Language Learners (to provide directly)</w:t>
            </w:r>
          </w:p>
        </w:tc>
      </w:tr>
      <w:tr w:rsidR="00790BCC" w:rsidRPr="00790BCC" w14:paraId="07000267" w14:textId="77777777">
        <w:tc>
          <w:tcPr>
            <w:tcW w:w="9450" w:type="dxa"/>
            <w:tcBorders>
              <w:top w:val="single" w:sz="4" w:space="0" w:color="auto"/>
              <w:left w:val="single" w:sz="4" w:space="0" w:color="auto"/>
              <w:bottom w:val="single" w:sz="4" w:space="0" w:color="auto"/>
              <w:right w:val="single" w:sz="4" w:space="0" w:color="auto"/>
            </w:tcBorders>
          </w:tcPr>
          <w:p w14:paraId="2BA9A565" w14:textId="77777777" w:rsidR="00790BCC" w:rsidRDefault="00F833C1" w:rsidP="00D31F4D">
            <w:pPr>
              <w:pStyle w:val="BulletedList"/>
            </w:pPr>
            <w:r>
              <w:t>stimulatory</w:t>
            </w:r>
            <w:r w:rsidR="00790BCC" w:rsidRPr="00790BCC">
              <w:t xml:space="preserve"> (</w:t>
            </w:r>
            <w:r w:rsidR="00485F66">
              <w:t>adj</w:t>
            </w:r>
            <w:r w:rsidR="00790BCC" w:rsidRPr="00790BCC">
              <w:t>.)</w:t>
            </w:r>
            <w:r w:rsidR="00434689">
              <w:t xml:space="preserve"> – </w:t>
            </w:r>
            <w:r w:rsidR="00485F66">
              <w:t xml:space="preserve">causing </w:t>
            </w:r>
            <w:r w:rsidR="00434689">
              <w:t>or encourag</w:t>
            </w:r>
            <w:r w:rsidR="00485F66">
              <w:t>ing</w:t>
            </w:r>
            <w:r w:rsidR="00434689">
              <w:t xml:space="preserve"> (something) to happen or develop</w:t>
            </w:r>
          </w:p>
          <w:p w14:paraId="263AD34F" w14:textId="77777777" w:rsidR="00362D26" w:rsidRPr="00114432" w:rsidRDefault="00362D26" w:rsidP="00362D26">
            <w:pPr>
              <w:pStyle w:val="BulletedList"/>
              <w:keepNext/>
              <w:keepLines/>
              <w:outlineLvl w:val="1"/>
            </w:pPr>
            <w:r w:rsidRPr="00114432">
              <w:t>crucial (adj.) – extremely important</w:t>
            </w:r>
          </w:p>
          <w:p w14:paraId="39C93958" w14:textId="77777777" w:rsidR="00F833C1" w:rsidRDefault="00F833C1" w:rsidP="00D31F4D">
            <w:pPr>
              <w:pStyle w:val="BulletedList"/>
            </w:pPr>
            <w:r>
              <w:t>preceding</w:t>
            </w:r>
            <w:r w:rsidR="00434689">
              <w:t xml:space="preserve"> (</w:t>
            </w:r>
            <w:r w:rsidR="00F846DF">
              <w:t>v</w:t>
            </w:r>
            <w:r w:rsidR="00434689">
              <w:t>.) –</w:t>
            </w:r>
            <w:r w:rsidR="0021275E">
              <w:t xml:space="preserve"> happening, going, or coming before (something or someone)</w:t>
            </w:r>
          </w:p>
          <w:p w14:paraId="77A9AEEB" w14:textId="77777777" w:rsidR="00362D26" w:rsidRDefault="00362D26" w:rsidP="00D31F4D">
            <w:pPr>
              <w:pStyle w:val="BulletedList"/>
            </w:pPr>
            <w:r w:rsidRPr="001F6BC3">
              <w:t>ultimate (</w:t>
            </w:r>
            <w:r w:rsidR="00F846DF">
              <w:t>adj</w:t>
            </w:r>
            <w:r w:rsidRPr="001F6BC3">
              <w:t xml:space="preserve">.) – </w:t>
            </w:r>
            <w:r w:rsidR="0021275E">
              <w:t xml:space="preserve">happening or coming at the end of a process, series of events, etc. </w:t>
            </w:r>
          </w:p>
          <w:p w14:paraId="43A8784A" w14:textId="77777777" w:rsidR="00325EDA" w:rsidRDefault="00325EDA" w:rsidP="00D31F4D">
            <w:pPr>
              <w:pStyle w:val="BulletedList"/>
            </w:pPr>
            <w:r>
              <w:t>immediate (adj.) –</w:t>
            </w:r>
            <w:r w:rsidR="00276652">
              <w:t xml:space="preserve"> coming straight from a cause or reason</w:t>
            </w:r>
          </w:p>
          <w:p w14:paraId="311B7FBB" w14:textId="77777777" w:rsidR="00A66B14" w:rsidRPr="00790BCC" w:rsidRDefault="00A66B14" w:rsidP="00D31F4D">
            <w:pPr>
              <w:pStyle w:val="BulletedList"/>
            </w:pPr>
            <w:r>
              <w:t>underclass</w:t>
            </w:r>
            <w:r w:rsidR="003D6DE9">
              <w:t xml:space="preserve"> (n.) – a social class made up of people who are very poor and have very little power or chance to improve their lives</w:t>
            </w:r>
          </w:p>
        </w:tc>
      </w:tr>
    </w:tbl>
    <w:p w14:paraId="2668D840" w14:textId="77777777" w:rsidR="00790BCC" w:rsidRPr="00790BCC" w:rsidRDefault="00790BCC" w:rsidP="00D31F4D">
      <w:pPr>
        <w:pStyle w:val="Heading1"/>
      </w:pPr>
      <w:r w:rsidRPr="00790BCC">
        <w:t>Lesson Agenda/Overview</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00"/>
      </w:tblGrid>
      <w:tr w:rsidR="00790BCC" w:rsidRPr="00790BCC" w14:paraId="03100781" w14:textId="77777777">
        <w:tc>
          <w:tcPr>
            <w:tcW w:w="7650" w:type="dxa"/>
            <w:tcBorders>
              <w:bottom w:val="single" w:sz="4" w:space="0" w:color="auto"/>
            </w:tcBorders>
            <w:shd w:val="clear" w:color="auto" w:fill="76923C"/>
          </w:tcPr>
          <w:p w14:paraId="1F3CD6E2" w14:textId="77777777" w:rsidR="00790BCC" w:rsidRPr="0043460D" w:rsidRDefault="00790BCC" w:rsidP="00D31F4D">
            <w:pPr>
              <w:pStyle w:val="TableHeaders"/>
            </w:pPr>
            <w:r w:rsidRPr="0043460D">
              <w:t>Student-Facing Agenda</w:t>
            </w:r>
          </w:p>
        </w:tc>
        <w:tc>
          <w:tcPr>
            <w:tcW w:w="1800" w:type="dxa"/>
            <w:tcBorders>
              <w:bottom w:val="single" w:sz="4" w:space="0" w:color="auto"/>
            </w:tcBorders>
            <w:shd w:val="clear" w:color="auto" w:fill="76923C"/>
          </w:tcPr>
          <w:p w14:paraId="7C0C6873" w14:textId="77777777" w:rsidR="00790BCC" w:rsidRPr="0043460D" w:rsidRDefault="00790BCC" w:rsidP="00D31F4D">
            <w:pPr>
              <w:pStyle w:val="TableHeaders"/>
            </w:pPr>
            <w:r w:rsidRPr="0043460D">
              <w:t>% of Lesson</w:t>
            </w:r>
          </w:p>
        </w:tc>
      </w:tr>
      <w:tr w:rsidR="00790BCC" w:rsidRPr="00790BCC" w14:paraId="2F2936F3" w14:textId="77777777">
        <w:trPr>
          <w:trHeight w:val="1313"/>
        </w:trPr>
        <w:tc>
          <w:tcPr>
            <w:tcW w:w="7650" w:type="dxa"/>
            <w:tcBorders>
              <w:bottom w:val="nil"/>
            </w:tcBorders>
          </w:tcPr>
          <w:p w14:paraId="18FC9FEE" w14:textId="77777777" w:rsidR="00790BCC" w:rsidRPr="00D31F4D" w:rsidRDefault="00790BCC" w:rsidP="00D31F4D">
            <w:pPr>
              <w:pStyle w:val="TableText"/>
              <w:rPr>
                <w:b/>
              </w:rPr>
            </w:pPr>
            <w:r w:rsidRPr="00D31F4D">
              <w:rPr>
                <w:b/>
              </w:rPr>
              <w:t>Standards &amp; Text:</w:t>
            </w:r>
          </w:p>
          <w:p w14:paraId="2E902C8E" w14:textId="524CACFB" w:rsidR="00790BCC" w:rsidRPr="00790BCC" w:rsidRDefault="002C13BD" w:rsidP="00D31F4D">
            <w:pPr>
              <w:pStyle w:val="BulletedList"/>
            </w:pPr>
            <w:r>
              <w:t>Standards: RI.11-12.3, RI.11-12.6, W.11-12.9.</w:t>
            </w:r>
            <w:r w:rsidR="005A06B9">
              <w:t>b</w:t>
            </w:r>
            <w:r w:rsidR="000C038E">
              <w:t xml:space="preserve">, </w:t>
            </w:r>
            <w:r w:rsidR="00937C99">
              <w:t>SL.11-12.</w:t>
            </w:r>
            <w:r w:rsidR="00474AC1">
              <w:t>1.</w:t>
            </w:r>
            <w:r w:rsidR="00114572">
              <w:t>a,</w:t>
            </w:r>
            <w:r w:rsidR="00937C99">
              <w:t>c,d</w:t>
            </w:r>
            <w:r w:rsidR="00652036">
              <w:t>, L.11-12.4.c</w:t>
            </w:r>
          </w:p>
          <w:p w14:paraId="6C0A0BD0" w14:textId="1FB6CB45" w:rsidR="00790BCC" w:rsidRPr="00790BCC" w:rsidRDefault="002C13BD" w:rsidP="00AF4B8D">
            <w:pPr>
              <w:pStyle w:val="BulletedList"/>
            </w:pPr>
            <w:r>
              <w:t xml:space="preserve">Text: </w:t>
            </w:r>
            <w:r w:rsidRPr="002C13BD">
              <w:rPr>
                <w:i/>
              </w:rPr>
              <w:t>Guns, Germs, and Steel</w:t>
            </w:r>
            <w:r>
              <w:t xml:space="preserve"> by Jared Diamond</w:t>
            </w:r>
            <w:r w:rsidR="000C038E">
              <w:t xml:space="preserve">, </w:t>
            </w:r>
            <w:r w:rsidR="00937C99">
              <w:t>p</w:t>
            </w:r>
            <w:r w:rsidR="00AF4B8D">
              <w:t>ages</w:t>
            </w:r>
            <w:r w:rsidR="00937C99">
              <w:t xml:space="preserve"> 21</w:t>
            </w:r>
            <w:r w:rsidR="0030106C">
              <w:t>–</w:t>
            </w:r>
            <w:r w:rsidR="00937C99">
              <w:t>25</w:t>
            </w:r>
          </w:p>
        </w:tc>
        <w:tc>
          <w:tcPr>
            <w:tcW w:w="1800" w:type="dxa"/>
            <w:tcBorders>
              <w:bottom w:val="nil"/>
            </w:tcBorders>
          </w:tcPr>
          <w:p w14:paraId="58742EA9" w14:textId="77777777" w:rsidR="00790BCC" w:rsidRPr="00790BCC" w:rsidRDefault="00790BCC" w:rsidP="00790BCC"/>
          <w:p w14:paraId="7C2EEC39" w14:textId="77777777" w:rsidR="00790BCC" w:rsidRPr="00790BCC" w:rsidRDefault="00790BCC" w:rsidP="00790BCC">
            <w:pPr>
              <w:spacing w:after="60" w:line="240" w:lineRule="auto"/>
            </w:pPr>
          </w:p>
        </w:tc>
      </w:tr>
      <w:tr w:rsidR="00790BCC" w:rsidRPr="00790BCC" w14:paraId="6873A5E3" w14:textId="77777777">
        <w:tc>
          <w:tcPr>
            <w:tcW w:w="7650" w:type="dxa"/>
            <w:tcBorders>
              <w:top w:val="nil"/>
            </w:tcBorders>
          </w:tcPr>
          <w:p w14:paraId="5B2DE603" w14:textId="77777777" w:rsidR="00790BCC" w:rsidRPr="00D31F4D" w:rsidRDefault="00790BCC" w:rsidP="00D31F4D">
            <w:pPr>
              <w:pStyle w:val="TableText"/>
              <w:rPr>
                <w:b/>
              </w:rPr>
            </w:pPr>
            <w:r w:rsidRPr="00D31F4D">
              <w:rPr>
                <w:b/>
              </w:rPr>
              <w:t>Learning Sequence:</w:t>
            </w:r>
          </w:p>
          <w:p w14:paraId="0ADDE3D9" w14:textId="77777777" w:rsidR="00790BCC" w:rsidRPr="00790BCC" w:rsidRDefault="00790BCC" w:rsidP="00D31F4D">
            <w:pPr>
              <w:pStyle w:val="NumberedList"/>
            </w:pPr>
            <w:r w:rsidRPr="00790BCC">
              <w:t>Introduction of Lesson Agenda</w:t>
            </w:r>
          </w:p>
          <w:p w14:paraId="7D7ABEBD" w14:textId="77777777" w:rsidR="00790BCC" w:rsidRPr="00790BCC" w:rsidRDefault="00790BCC" w:rsidP="00D31F4D">
            <w:pPr>
              <w:pStyle w:val="NumberedList"/>
            </w:pPr>
            <w:r w:rsidRPr="00790BCC">
              <w:t>Homework Accountability</w:t>
            </w:r>
          </w:p>
          <w:p w14:paraId="68F460BA" w14:textId="77777777" w:rsidR="00790BCC" w:rsidRPr="00790BCC" w:rsidRDefault="00167D8D" w:rsidP="00D31F4D">
            <w:pPr>
              <w:pStyle w:val="NumberedList"/>
            </w:pPr>
            <w:r>
              <w:t>Pre-Discussion Quick Write</w:t>
            </w:r>
          </w:p>
          <w:p w14:paraId="022FBA62" w14:textId="77777777" w:rsidR="00790BCC" w:rsidRPr="00790BCC" w:rsidRDefault="00167D8D" w:rsidP="00D31F4D">
            <w:pPr>
              <w:pStyle w:val="NumberedList"/>
            </w:pPr>
            <w:r>
              <w:t xml:space="preserve">Whole-Class Discussion </w:t>
            </w:r>
          </w:p>
          <w:p w14:paraId="7C0DE9E9" w14:textId="77777777" w:rsidR="00790BCC" w:rsidRPr="00790BCC" w:rsidRDefault="00167D8D" w:rsidP="00D31F4D">
            <w:pPr>
              <w:pStyle w:val="NumberedList"/>
            </w:pPr>
            <w:r>
              <w:t>Quick Write</w:t>
            </w:r>
          </w:p>
          <w:p w14:paraId="3CD38536" w14:textId="77777777" w:rsidR="00790BCC" w:rsidRPr="00790BCC" w:rsidRDefault="00790BCC" w:rsidP="00D31F4D">
            <w:pPr>
              <w:pStyle w:val="NumberedList"/>
            </w:pPr>
            <w:r w:rsidRPr="00790BCC">
              <w:t>Closing</w:t>
            </w:r>
          </w:p>
        </w:tc>
        <w:tc>
          <w:tcPr>
            <w:tcW w:w="1800" w:type="dxa"/>
            <w:tcBorders>
              <w:top w:val="nil"/>
            </w:tcBorders>
          </w:tcPr>
          <w:p w14:paraId="19AA32E0" w14:textId="77777777" w:rsidR="00790BCC" w:rsidRPr="00790BCC" w:rsidRDefault="00790BCC" w:rsidP="00790BCC">
            <w:pPr>
              <w:spacing w:before="40" w:after="40"/>
            </w:pPr>
          </w:p>
          <w:p w14:paraId="316E6F14" w14:textId="77777777" w:rsidR="00790BCC" w:rsidRPr="00790BCC" w:rsidRDefault="00790BCC" w:rsidP="00D31F4D">
            <w:pPr>
              <w:pStyle w:val="NumberedList"/>
              <w:numPr>
                <w:ilvl w:val="0"/>
                <w:numId w:val="13"/>
              </w:numPr>
            </w:pPr>
            <w:r w:rsidRPr="00790BCC">
              <w:t>5%</w:t>
            </w:r>
          </w:p>
          <w:p w14:paraId="74A8127A" w14:textId="77777777" w:rsidR="00790BCC" w:rsidRPr="00790BCC" w:rsidRDefault="00167D8D" w:rsidP="00D31F4D">
            <w:pPr>
              <w:pStyle w:val="NumberedList"/>
              <w:numPr>
                <w:ilvl w:val="0"/>
                <w:numId w:val="13"/>
              </w:numPr>
            </w:pPr>
            <w:r>
              <w:t>15</w:t>
            </w:r>
            <w:r w:rsidR="00790BCC" w:rsidRPr="00790BCC">
              <w:t>%</w:t>
            </w:r>
          </w:p>
          <w:p w14:paraId="6ED9C5B5" w14:textId="77777777" w:rsidR="00790BCC" w:rsidRPr="00790BCC" w:rsidRDefault="00167D8D" w:rsidP="00D31F4D">
            <w:pPr>
              <w:pStyle w:val="NumberedList"/>
              <w:numPr>
                <w:ilvl w:val="0"/>
                <w:numId w:val="13"/>
              </w:numPr>
            </w:pPr>
            <w:r>
              <w:t>15</w:t>
            </w:r>
            <w:r w:rsidR="00790BCC" w:rsidRPr="00790BCC">
              <w:t>%</w:t>
            </w:r>
          </w:p>
          <w:p w14:paraId="3382A678" w14:textId="77777777" w:rsidR="00790BCC" w:rsidRPr="00790BCC" w:rsidRDefault="00167D8D" w:rsidP="00D31F4D">
            <w:pPr>
              <w:pStyle w:val="NumberedList"/>
              <w:numPr>
                <w:ilvl w:val="0"/>
                <w:numId w:val="13"/>
              </w:numPr>
            </w:pPr>
            <w:r>
              <w:t>45</w:t>
            </w:r>
            <w:r w:rsidR="00790BCC" w:rsidRPr="00790BCC">
              <w:t>%</w:t>
            </w:r>
          </w:p>
          <w:p w14:paraId="36390ADB" w14:textId="77777777" w:rsidR="00790BCC" w:rsidRPr="00790BCC" w:rsidRDefault="00167D8D" w:rsidP="00D31F4D">
            <w:pPr>
              <w:pStyle w:val="NumberedList"/>
              <w:numPr>
                <w:ilvl w:val="0"/>
                <w:numId w:val="13"/>
              </w:numPr>
            </w:pPr>
            <w:r>
              <w:t>15</w:t>
            </w:r>
            <w:r w:rsidR="00790BCC" w:rsidRPr="00790BCC">
              <w:t>%</w:t>
            </w:r>
          </w:p>
          <w:p w14:paraId="4562556A" w14:textId="77777777" w:rsidR="00790BCC" w:rsidRPr="00790BCC" w:rsidRDefault="00790BCC" w:rsidP="00D31F4D">
            <w:pPr>
              <w:pStyle w:val="NumberedList"/>
              <w:numPr>
                <w:ilvl w:val="0"/>
                <w:numId w:val="13"/>
              </w:numPr>
            </w:pPr>
            <w:r w:rsidRPr="00790BCC">
              <w:t>5%</w:t>
            </w:r>
          </w:p>
        </w:tc>
      </w:tr>
    </w:tbl>
    <w:p w14:paraId="37AFE243" w14:textId="77777777" w:rsidR="00790BCC" w:rsidRPr="00790BCC" w:rsidRDefault="00790BCC" w:rsidP="00D31F4D">
      <w:pPr>
        <w:pStyle w:val="Heading1"/>
      </w:pPr>
      <w:r w:rsidRPr="00790BCC">
        <w:t>Materials</w:t>
      </w:r>
    </w:p>
    <w:p w14:paraId="7187F449" w14:textId="77777777" w:rsidR="00032B05" w:rsidRDefault="00032B05" w:rsidP="00032B05">
      <w:pPr>
        <w:pStyle w:val="BulletedList"/>
      </w:pPr>
      <w:r>
        <w:t>Copies of the 12.3 Common Core Learning Standards Tool for each student (optional)</w:t>
      </w:r>
      <w:bookmarkStart w:id="0" w:name="_GoBack"/>
      <w:bookmarkEnd w:id="0"/>
    </w:p>
    <w:p w14:paraId="0B7D9EEC" w14:textId="77777777" w:rsidR="00CA0ACF" w:rsidRPr="00790BCC" w:rsidRDefault="00CA0ACF" w:rsidP="00CA0ACF">
      <w:pPr>
        <w:pStyle w:val="BulletedList"/>
      </w:pPr>
      <w:r>
        <w:t>Copies of the 12.3 Speaking and Listening Rubric and Checklist for each student</w:t>
      </w:r>
    </w:p>
    <w:p w14:paraId="07B38D75" w14:textId="290D001C" w:rsidR="00801288" w:rsidRDefault="00801288" w:rsidP="00A2256B">
      <w:pPr>
        <w:pStyle w:val="BulletedList"/>
      </w:pPr>
      <w:r>
        <w:lastRenderedPageBreak/>
        <w:t>Student copies of the Surfacing Issues Tool (refer to 12.3.1 Lesson 2)</w:t>
      </w:r>
      <w:r w:rsidR="0030106C">
        <w:t xml:space="preserve"> (optional)</w:t>
      </w:r>
      <w:r w:rsidR="00AF4B8D">
        <w:t>—students may need additional blank copies</w:t>
      </w:r>
    </w:p>
    <w:p w14:paraId="25FD1B54" w14:textId="77777777" w:rsidR="00790BCC" w:rsidRDefault="00A2256B" w:rsidP="00A2256B">
      <w:pPr>
        <w:pStyle w:val="BulletedList"/>
      </w:pPr>
      <w:r w:rsidRPr="005F6B90">
        <w:t>Student copies of the Short Response R</w:t>
      </w:r>
      <w:r>
        <w:t>ubric and Checklist (refer to 12.3</w:t>
      </w:r>
      <w:r w:rsidRPr="005F6B90">
        <w:t>.1 Lesson 1</w:t>
      </w:r>
      <w:r>
        <w:t>)</w:t>
      </w:r>
      <w:r w:rsidR="0030106C">
        <w:t xml:space="preserve"> (optional)</w:t>
      </w:r>
    </w:p>
    <w:p w14:paraId="0D14D517"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694C5238" w14:textId="77777777">
        <w:tc>
          <w:tcPr>
            <w:tcW w:w="9450" w:type="dxa"/>
            <w:gridSpan w:val="2"/>
            <w:shd w:val="clear" w:color="auto" w:fill="76923C"/>
          </w:tcPr>
          <w:p w14:paraId="733F9537" w14:textId="77777777" w:rsidR="00D31F4D" w:rsidRPr="0043460D" w:rsidRDefault="00D31F4D" w:rsidP="009450B7">
            <w:pPr>
              <w:pStyle w:val="TableHeaders"/>
              <w:rPr>
                <w:sz w:val="20"/>
                <w:szCs w:val="20"/>
              </w:rPr>
            </w:pPr>
            <w:r w:rsidRPr="0043460D">
              <w:rPr>
                <w:szCs w:val="20"/>
              </w:rPr>
              <w:t>How to Use the Learning Sequence</w:t>
            </w:r>
          </w:p>
        </w:tc>
      </w:tr>
      <w:tr w:rsidR="00D31F4D" w:rsidRPr="00D31F4D" w14:paraId="58BF7038" w14:textId="77777777">
        <w:tc>
          <w:tcPr>
            <w:tcW w:w="894" w:type="dxa"/>
            <w:shd w:val="clear" w:color="auto" w:fill="76923C"/>
          </w:tcPr>
          <w:p w14:paraId="2FFB1645" w14:textId="77777777" w:rsidR="00D31F4D" w:rsidRPr="0043460D" w:rsidRDefault="00D31F4D" w:rsidP="00D31F4D">
            <w:pPr>
              <w:pStyle w:val="TableHeaders"/>
              <w:rPr>
                <w:szCs w:val="20"/>
              </w:rPr>
            </w:pPr>
            <w:r w:rsidRPr="0043460D">
              <w:rPr>
                <w:szCs w:val="20"/>
              </w:rPr>
              <w:t>Symbol</w:t>
            </w:r>
          </w:p>
        </w:tc>
        <w:tc>
          <w:tcPr>
            <w:tcW w:w="8556" w:type="dxa"/>
            <w:shd w:val="clear" w:color="auto" w:fill="76923C"/>
          </w:tcPr>
          <w:p w14:paraId="4E922C6F" w14:textId="77777777" w:rsidR="00D31F4D" w:rsidRPr="0043460D" w:rsidRDefault="00D31F4D" w:rsidP="00D31F4D">
            <w:pPr>
              <w:pStyle w:val="TableHeaders"/>
              <w:rPr>
                <w:szCs w:val="20"/>
              </w:rPr>
            </w:pPr>
            <w:r w:rsidRPr="0043460D">
              <w:rPr>
                <w:szCs w:val="20"/>
              </w:rPr>
              <w:t>Type of Text &amp; Interpretation of the Symbol</w:t>
            </w:r>
          </w:p>
        </w:tc>
      </w:tr>
      <w:tr w:rsidR="00D31F4D" w:rsidRPr="00D31F4D" w14:paraId="4CD02EED" w14:textId="77777777">
        <w:tc>
          <w:tcPr>
            <w:tcW w:w="894" w:type="dxa"/>
            <w:shd w:val="clear" w:color="auto" w:fill="auto"/>
          </w:tcPr>
          <w:p w14:paraId="434102A3" w14:textId="77777777" w:rsidR="00D31F4D" w:rsidRPr="0043460D" w:rsidRDefault="00D31F4D" w:rsidP="0043460D">
            <w:pPr>
              <w:spacing w:before="20" w:after="20" w:line="240" w:lineRule="auto"/>
              <w:jc w:val="center"/>
              <w:rPr>
                <w:b/>
                <w:color w:val="4F81BD"/>
                <w:sz w:val="20"/>
                <w:szCs w:val="20"/>
              </w:rPr>
            </w:pPr>
            <w:r w:rsidRPr="0043460D">
              <w:rPr>
                <w:b/>
                <w:color w:val="4F81BD"/>
                <w:sz w:val="20"/>
                <w:szCs w:val="20"/>
              </w:rPr>
              <w:t>10%</w:t>
            </w:r>
          </w:p>
        </w:tc>
        <w:tc>
          <w:tcPr>
            <w:tcW w:w="8556" w:type="dxa"/>
            <w:shd w:val="clear" w:color="auto" w:fill="auto"/>
          </w:tcPr>
          <w:p w14:paraId="300F0F71" w14:textId="77777777" w:rsidR="00D31F4D" w:rsidRPr="0043460D" w:rsidRDefault="00D31F4D" w:rsidP="0043460D">
            <w:pPr>
              <w:spacing w:before="20" w:after="20" w:line="240" w:lineRule="auto"/>
              <w:rPr>
                <w:b/>
                <w:color w:val="4F81BD"/>
                <w:sz w:val="20"/>
                <w:szCs w:val="20"/>
              </w:rPr>
            </w:pPr>
            <w:r w:rsidRPr="0043460D">
              <w:rPr>
                <w:b/>
                <w:color w:val="4F81BD"/>
                <w:sz w:val="20"/>
                <w:szCs w:val="20"/>
              </w:rPr>
              <w:t>Percentage indicates the percentage of lesson time each activity should take.</w:t>
            </w:r>
          </w:p>
        </w:tc>
      </w:tr>
      <w:tr w:rsidR="00D31F4D" w:rsidRPr="00D31F4D" w14:paraId="576253F9" w14:textId="77777777">
        <w:tc>
          <w:tcPr>
            <w:tcW w:w="894" w:type="dxa"/>
            <w:vMerge w:val="restart"/>
            <w:shd w:val="clear" w:color="auto" w:fill="auto"/>
            <w:vAlign w:val="center"/>
          </w:tcPr>
          <w:p w14:paraId="69A521DF" w14:textId="77777777" w:rsidR="00D31F4D" w:rsidRPr="0043460D" w:rsidRDefault="00D31F4D" w:rsidP="0043460D">
            <w:pPr>
              <w:spacing w:before="20" w:after="20" w:line="240" w:lineRule="auto"/>
              <w:jc w:val="center"/>
              <w:rPr>
                <w:sz w:val="18"/>
                <w:szCs w:val="20"/>
              </w:rPr>
            </w:pPr>
            <w:r w:rsidRPr="0043460D">
              <w:rPr>
                <w:sz w:val="18"/>
                <w:szCs w:val="20"/>
              </w:rPr>
              <w:t>no symbol</w:t>
            </w:r>
          </w:p>
        </w:tc>
        <w:tc>
          <w:tcPr>
            <w:tcW w:w="8556" w:type="dxa"/>
            <w:shd w:val="clear" w:color="auto" w:fill="auto"/>
          </w:tcPr>
          <w:p w14:paraId="7F1157CD" w14:textId="77777777" w:rsidR="00D31F4D" w:rsidRPr="0043460D" w:rsidRDefault="00D31F4D" w:rsidP="0043460D">
            <w:pPr>
              <w:spacing w:before="20" w:after="20" w:line="240" w:lineRule="auto"/>
              <w:rPr>
                <w:sz w:val="20"/>
                <w:szCs w:val="20"/>
              </w:rPr>
            </w:pPr>
            <w:r w:rsidRPr="0043460D">
              <w:rPr>
                <w:sz w:val="20"/>
                <w:szCs w:val="20"/>
              </w:rPr>
              <w:t>Plain text indicates teacher action.</w:t>
            </w:r>
          </w:p>
        </w:tc>
      </w:tr>
      <w:tr w:rsidR="00D31F4D" w:rsidRPr="00D31F4D" w14:paraId="6B86B0D4" w14:textId="77777777">
        <w:tc>
          <w:tcPr>
            <w:tcW w:w="894" w:type="dxa"/>
            <w:vMerge/>
            <w:shd w:val="clear" w:color="auto" w:fill="auto"/>
          </w:tcPr>
          <w:p w14:paraId="723C6513"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11FE8024" w14:textId="77777777" w:rsidR="00D31F4D" w:rsidRPr="0043460D" w:rsidRDefault="00D31F4D" w:rsidP="0043460D">
            <w:pPr>
              <w:spacing w:before="20" w:after="20" w:line="240" w:lineRule="auto"/>
              <w:rPr>
                <w:color w:val="4F81BD"/>
                <w:sz w:val="20"/>
                <w:szCs w:val="20"/>
              </w:rPr>
            </w:pPr>
            <w:r w:rsidRPr="0043460D">
              <w:rPr>
                <w:b/>
                <w:sz w:val="20"/>
                <w:szCs w:val="20"/>
              </w:rPr>
              <w:t>Bold text indicates questions for the teacher to ask students.</w:t>
            </w:r>
          </w:p>
        </w:tc>
      </w:tr>
      <w:tr w:rsidR="00D31F4D" w:rsidRPr="00D31F4D" w14:paraId="28A267D0" w14:textId="77777777">
        <w:tc>
          <w:tcPr>
            <w:tcW w:w="894" w:type="dxa"/>
            <w:vMerge/>
            <w:shd w:val="clear" w:color="auto" w:fill="auto"/>
          </w:tcPr>
          <w:p w14:paraId="293AA75C" w14:textId="77777777" w:rsidR="00D31F4D" w:rsidRPr="0043460D" w:rsidRDefault="00D31F4D" w:rsidP="0043460D">
            <w:pPr>
              <w:spacing w:before="20" w:after="20" w:line="240" w:lineRule="auto"/>
              <w:jc w:val="center"/>
              <w:rPr>
                <w:b/>
                <w:color w:val="000000"/>
                <w:sz w:val="20"/>
                <w:szCs w:val="20"/>
              </w:rPr>
            </w:pPr>
          </w:p>
        </w:tc>
        <w:tc>
          <w:tcPr>
            <w:tcW w:w="8556" w:type="dxa"/>
            <w:shd w:val="clear" w:color="auto" w:fill="auto"/>
          </w:tcPr>
          <w:p w14:paraId="4A332F17" w14:textId="77777777" w:rsidR="00D31F4D" w:rsidRPr="0043460D" w:rsidRDefault="00D31F4D" w:rsidP="0043460D">
            <w:pPr>
              <w:spacing w:before="20" w:after="20" w:line="240" w:lineRule="auto"/>
              <w:rPr>
                <w:i/>
                <w:sz w:val="20"/>
                <w:szCs w:val="20"/>
              </w:rPr>
            </w:pPr>
            <w:r w:rsidRPr="0043460D">
              <w:rPr>
                <w:i/>
                <w:sz w:val="20"/>
                <w:szCs w:val="20"/>
              </w:rPr>
              <w:t>Italicized text indicates a vocabulary word.</w:t>
            </w:r>
          </w:p>
        </w:tc>
      </w:tr>
      <w:tr w:rsidR="00D31F4D" w:rsidRPr="00D31F4D" w14:paraId="45362E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797563F6" w14:textId="77777777" w:rsidR="00D31F4D" w:rsidRPr="0043460D" w:rsidRDefault="00D31F4D" w:rsidP="0043460D">
            <w:pPr>
              <w:spacing w:before="40" w:after="0" w:line="240" w:lineRule="auto"/>
              <w:jc w:val="center"/>
              <w:rPr>
                <w:sz w:val="20"/>
                <w:szCs w:val="20"/>
              </w:rPr>
            </w:pPr>
            <w:r w:rsidRPr="0043460D">
              <w:rPr>
                <w:sz w:val="20"/>
                <w:szCs w:val="20"/>
              </w:rPr>
              <w:sym w:font="Webdings" w:char="F034"/>
            </w:r>
          </w:p>
        </w:tc>
        <w:tc>
          <w:tcPr>
            <w:tcW w:w="8556" w:type="dxa"/>
            <w:shd w:val="clear" w:color="auto" w:fill="auto"/>
          </w:tcPr>
          <w:p w14:paraId="2788C68F" w14:textId="77777777" w:rsidR="00D31F4D" w:rsidRPr="0043460D" w:rsidRDefault="00D31F4D" w:rsidP="0043460D">
            <w:pPr>
              <w:spacing w:before="20" w:after="20" w:line="240" w:lineRule="auto"/>
              <w:rPr>
                <w:sz w:val="20"/>
                <w:szCs w:val="20"/>
              </w:rPr>
            </w:pPr>
            <w:r w:rsidRPr="0043460D">
              <w:rPr>
                <w:sz w:val="20"/>
                <w:szCs w:val="20"/>
              </w:rPr>
              <w:t>Indicates student action(s).</w:t>
            </w:r>
          </w:p>
        </w:tc>
      </w:tr>
      <w:tr w:rsidR="00D31F4D" w:rsidRPr="00D31F4D" w14:paraId="285345E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AB1E3F4" w14:textId="77777777" w:rsidR="00D31F4D" w:rsidRPr="0043460D" w:rsidRDefault="00D31F4D" w:rsidP="0043460D">
            <w:pPr>
              <w:spacing w:before="80" w:after="0" w:line="240" w:lineRule="auto"/>
              <w:jc w:val="center"/>
              <w:rPr>
                <w:sz w:val="20"/>
                <w:szCs w:val="20"/>
              </w:rPr>
            </w:pPr>
            <w:r w:rsidRPr="0043460D">
              <w:rPr>
                <w:sz w:val="20"/>
                <w:szCs w:val="20"/>
              </w:rPr>
              <w:sym w:font="Webdings" w:char="F028"/>
            </w:r>
          </w:p>
        </w:tc>
        <w:tc>
          <w:tcPr>
            <w:tcW w:w="8556" w:type="dxa"/>
            <w:shd w:val="clear" w:color="auto" w:fill="auto"/>
          </w:tcPr>
          <w:p w14:paraId="2582DC89" w14:textId="77777777" w:rsidR="00D31F4D" w:rsidRPr="0043460D" w:rsidRDefault="00D31F4D" w:rsidP="0043460D">
            <w:pPr>
              <w:spacing w:before="20" w:after="20" w:line="240" w:lineRule="auto"/>
              <w:rPr>
                <w:sz w:val="20"/>
                <w:szCs w:val="20"/>
              </w:rPr>
            </w:pPr>
            <w:r w:rsidRPr="0043460D">
              <w:rPr>
                <w:sz w:val="20"/>
                <w:szCs w:val="20"/>
              </w:rPr>
              <w:t>Indicates possible student response(s) to teacher questions.</w:t>
            </w:r>
          </w:p>
        </w:tc>
      </w:tr>
      <w:tr w:rsidR="00D31F4D" w:rsidRPr="00D31F4D" w14:paraId="284F5AC4" w14:textId="77777777">
        <w:tc>
          <w:tcPr>
            <w:tcW w:w="894" w:type="dxa"/>
            <w:shd w:val="clear" w:color="auto" w:fill="auto"/>
            <w:vAlign w:val="bottom"/>
          </w:tcPr>
          <w:p w14:paraId="1DAD18AB" w14:textId="77777777" w:rsidR="00D31F4D" w:rsidRPr="0043460D" w:rsidRDefault="00D31F4D" w:rsidP="0043460D">
            <w:pPr>
              <w:spacing w:after="0" w:line="240" w:lineRule="auto"/>
              <w:jc w:val="center"/>
              <w:rPr>
                <w:color w:val="4F81BD"/>
                <w:sz w:val="20"/>
                <w:szCs w:val="20"/>
              </w:rPr>
            </w:pPr>
            <w:r w:rsidRPr="0043460D">
              <w:rPr>
                <w:color w:val="4F81BD"/>
                <w:sz w:val="20"/>
                <w:szCs w:val="20"/>
              </w:rPr>
              <w:sym w:font="Webdings" w:char="F069"/>
            </w:r>
          </w:p>
        </w:tc>
        <w:tc>
          <w:tcPr>
            <w:tcW w:w="8556" w:type="dxa"/>
            <w:shd w:val="clear" w:color="auto" w:fill="auto"/>
          </w:tcPr>
          <w:p w14:paraId="14980D9F" w14:textId="77777777" w:rsidR="00D31F4D" w:rsidRPr="0043460D" w:rsidRDefault="00D31F4D" w:rsidP="0043460D">
            <w:pPr>
              <w:spacing w:before="20" w:after="20" w:line="240" w:lineRule="auto"/>
              <w:rPr>
                <w:color w:val="4F81BD"/>
                <w:sz w:val="20"/>
                <w:szCs w:val="20"/>
              </w:rPr>
            </w:pPr>
            <w:r w:rsidRPr="0043460D">
              <w:rPr>
                <w:color w:val="4F81BD"/>
                <w:sz w:val="20"/>
                <w:szCs w:val="20"/>
              </w:rPr>
              <w:t>Indicates instructional notes for the teacher.</w:t>
            </w:r>
          </w:p>
        </w:tc>
      </w:tr>
    </w:tbl>
    <w:p w14:paraId="0759C80E" w14:textId="77777777" w:rsidR="00790BCC" w:rsidRPr="00790BCC" w:rsidRDefault="00790BCC" w:rsidP="007C1BEB">
      <w:pPr>
        <w:pStyle w:val="LearningSequenceHeader"/>
      </w:pPr>
      <w:r w:rsidRPr="00790BCC">
        <w:t>Activity 1: Introduction of Lesson Agenda</w:t>
      </w:r>
      <w:r w:rsidRPr="00790BCC">
        <w:tab/>
        <w:t>5%</w:t>
      </w:r>
    </w:p>
    <w:p w14:paraId="1A5C7311" w14:textId="77777777" w:rsidR="00A2256B" w:rsidRPr="000C43C6" w:rsidRDefault="00A2256B" w:rsidP="00A2256B">
      <w:pPr>
        <w:pStyle w:val="TA"/>
      </w:pPr>
      <w:r w:rsidRPr="000C43C6">
        <w:t xml:space="preserve">Begin </w:t>
      </w:r>
      <w:r w:rsidR="00092B03">
        <w:t xml:space="preserve">by reviewing the agenda and </w:t>
      </w:r>
      <w:r w:rsidR="00734FC6">
        <w:t xml:space="preserve">the </w:t>
      </w:r>
      <w:r w:rsidRPr="000C43C6">
        <w:t>assess</w:t>
      </w:r>
      <w:r>
        <w:t>ed standards for this lesson: RI.11-12.3</w:t>
      </w:r>
      <w:r w:rsidRPr="00F079EF">
        <w:t xml:space="preserve"> and</w:t>
      </w:r>
      <w:r>
        <w:t xml:space="preserve"> RI.11-12.6</w:t>
      </w:r>
      <w:r w:rsidRPr="000C43C6">
        <w:t xml:space="preserve">. In this lesson, students </w:t>
      </w:r>
      <w:r w:rsidR="002F435F">
        <w:t>prepare</w:t>
      </w:r>
      <w:r w:rsidR="002F435F" w:rsidRPr="000C43C6">
        <w:t xml:space="preserve"> an independently written response </w:t>
      </w:r>
      <w:r w:rsidR="00734940">
        <w:t xml:space="preserve">to the Quick Write prompt </w:t>
      </w:r>
      <w:r w:rsidR="002F435F" w:rsidRPr="000C43C6">
        <w:t>at the beginning of the lesson</w:t>
      </w:r>
      <w:r w:rsidR="007053A6">
        <w:t xml:space="preserve"> </w:t>
      </w:r>
      <w:r w:rsidR="00734940">
        <w:t>that</w:t>
      </w:r>
      <w:r w:rsidR="002F435F" w:rsidRPr="000C43C6">
        <w:t xml:space="preserve"> </w:t>
      </w:r>
      <w:r w:rsidRPr="000C43C6">
        <w:t>consider</w:t>
      </w:r>
      <w:r w:rsidR="007053A6">
        <w:t>s</w:t>
      </w:r>
      <w:r w:rsidRPr="000C43C6">
        <w:t xml:space="preserve"> </w:t>
      </w:r>
      <w:r>
        <w:t>the way</w:t>
      </w:r>
      <w:r w:rsidR="00A77BFF">
        <w:t>s</w:t>
      </w:r>
      <w:r>
        <w:t xml:space="preserve"> in which the author’s ideas in this excerpt refine his purpose</w:t>
      </w:r>
      <w:r w:rsidR="007053A6">
        <w:t>.</w:t>
      </w:r>
      <w:r w:rsidRPr="000C43C6">
        <w:t xml:space="preserve"> </w:t>
      </w:r>
      <w:r w:rsidR="00734940">
        <w:t xml:space="preserve">Students then participate </w:t>
      </w:r>
      <w:r w:rsidRPr="000C43C6">
        <w:t>in a whole-class discussion</w:t>
      </w:r>
      <w:r w:rsidR="00734940">
        <w:t xml:space="preserve"> before returning to the Quick Write to refine their responses</w:t>
      </w:r>
      <w:r w:rsidRPr="000C43C6">
        <w:t xml:space="preserve">.  </w:t>
      </w:r>
    </w:p>
    <w:p w14:paraId="67B70C92" w14:textId="77777777" w:rsidR="00A2256B" w:rsidRDefault="00A2256B" w:rsidP="00A2256B">
      <w:pPr>
        <w:pStyle w:val="SA"/>
        <w:numPr>
          <w:ilvl w:val="0"/>
          <w:numId w:val="8"/>
        </w:numPr>
      </w:pPr>
      <w:r>
        <w:t>Students look at the agenda.</w:t>
      </w:r>
    </w:p>
    <w:p w14:paraId="746A1C1F" w14:textId="77777777" w:rsidR="00160651" w:rsidRDefault="00160651" w:rsidP="00160651">
      <w:pPr>
        <w:pStyle w:val="IN"/>
      </w:pPr>
      <w:r w:rsidRPr="00EF49F1">
        <w:rPr>
          <w:b/>
        </w:rPr>
        <w:t xml:space="preserve">Differentiation Consideration: </w:t>
      </w:r>
      <w:r>
        <w:t>If students are using the 12.3 Common Core Learning Standards Tool, instruct them to refer to it for this portion of the lesson introduction.</w:t>
      </w:r>
    </w:p>
    <w:p w14:paraId="25C5BE5C" w14:textId="77777777" w:rsidR="00160651" w:rsidRPr="00160651" w:rsidRDefault="00160651" w:rsidP="00160651">
      <w:pPr>
        <w:pStyle w:val="TA"/>
        <w:rPr>
          <w:color w:val="4F81BD"/>
        </w:rPr>
      </w:pPr>
      <w:r w:rsidRPr="00160651">
        <w:rPr>
          <w:color w:val="4F81BD"/>
        </w:rPr>
        <w:t>Po</w:t>
      </w:r>
      <w:r>
        <w:rPr>
          <w:color w:val="4F81BD"/>
        </w:rPr>
        <w:t>st or project standard SL.11-12.1.d</w:t>
      </w:r>
      <w:r w:rsidRPr="00160651">
        <w:rPr>
          <w:color w:val="4F81BD"/>
        </w:rPr>
        <w:t>. Instruct students to talk in pairs about what they think the standard means. Lead a brief discussion about the standard.</w:t>
      </w:r>
    </w:p>
    <w:p w14:paraId="2E2494E2" w14:textId="77777777" w:rsidR="00160651" w:rsidRDefault="00160651" w:rsidP="00160651">
      <w:pPr>
        <w:pStyle w:val="DCwithSR"/>
      </w:pPr>
      <w:r>
        <w:t>Student responses should include:</w:t>
      </w:r>
    </w:p>
    <w:p w14:paraId="4C706430" w14:textId="77777777" w:rsidR="00734FC6" w:rsidRDefault="00AA6B67" w:rsidP="00734FC6">
      <w:pPr>
        <w:pStyle w:val="SASRBullet"/>
        <w:rPr>
          <w:color w:val="4F81BD"/>
        </w:rPr>
      </w:pPr>
      <w:r>
        <w:rPr>
          <w:color w:val="4F81BD"/>
        </w:rPr>
        <w:t>S</w:t>
      </w:r>
      <w:r w:rsidR="005C3523" w:rsidRPr="00734FC6">
        <w:rPr>
          <w:color w:val="4F81BD"/>
        </w:rPr>
        <w:t xml:space="preserve">tudents </w:t>
      </w:r>
      <w:r w:rsidR="00160651" w:rsidRPr="00734FC6">
        <w:rPr>
          <w:color w:val="4F81BD"/>
        </w:rPr>
        <w:t>should respond to others without criticizing their perspective</w:t>
      </w:r>
      <w:r>
        <w:rPr>
          <w:color w:val="4F81BD"/>
        </w:rPr>
        <w:t>s</w:t>
      </w:r>
      <w:r w:rsidR="00160651" w:rsidRPr="00734FC6">
        <w:rPr>
          <w:color w:val="4F81BD"/>
        </w:rPr>
        <w:t>.</w:t>
      </w:r>
    </w:p>
    <w:p w14:paraId="0EC06739" w14:textId="77777777" w:rsidR="00734FC6" w:rsidRDefault="00AA6B67" w:rsidP="00734FC6">
      <w:pPr>
        <w:pStyle w:val="SASRBullet"/>
        <w:rPr>
          <w:color w:val="4F81BD"/>
        </w:rPr>
      </w:pPr>
      <w:r>
        <w:rPr>
          <w:color w:val="4F81BD"/>
        </w:rPr>
        <w:t>S</w:t>
      </w:r>
      <w:r w:rsidR="005C3523" w:rsidRPr="00734FC6">
        <w:rPr>
          <w:color w:val="4F81BD"/>
        </w:rPr>
        <w:t xml:space="preserve">tudents </w:t>
      </w:r>
      <w:r w:rsidR="00160651" w:rsidRPr="00734FC6">
        <w:rPr>
          <w:color w:val="4F81BD"/>
        </w:rPr>
        <w:t>should resolve arguments that arise during the discussion.</w:t>
      </w:r>
    </w:p>
    <w:p w14:paraId="0644AAC3" w14:textId="77777777" w:rsidR="00160651" w:rsidRPr="00734FC6" w:rsidRDefault="00AA6B67" w:rsidP="00734FC6">
      <w:pPr>
        <w:pStyle w:val="SASRBullet"/>
        <w:rPr>
          <w:color w:val="4F81BD"/>
        </w:rPr>
      </w:pPr>
      <w:r>
        <w:rPr>
          <w:color w:val="4F81BD"/>
        </w:rPr>
        <w:t>S</w:t>
      </w:r>
      <w:r w:rsidR="005C3523" w:rsidRPr="00734FC6">
        <w:rPr>
          <w:color w:val="4F81BD"/>
        </w:rPr>
        <w:t xml:space="preserve">tudents </w:t>
      </w:r>
      <w:r w:rsidR="00160651" w:rsidRPr="00734FC6">
        <w:rPr>
          <w:color w:val="4F81BD"/>
        </w:rPr>
        <w:t xml:space="preserve">should determine what new information is needed to advance the argument. </w:t>
      </w:r>
    </w:p>
    <w:p w14:paraId="13579F09" w14:textId="77777777" w:rsidR="004D3424" w:rsidRDefault="00160651" w:rsidP="007A78BE">
      <w:pPr>
        <w:pStyle w:val="LearningSequenceHeader"/>
        <w:keepNext/>
      </w:pPr>
      <w:r>
        <w:lastRenderedPageBreak/>
        <w:t xml:space="preserve"> </w:t>
      </w:r>
      <w:r w:rsidR="00790BCC" w:rsidRPr="00790BCC">
        <w:t>Activity 2: Homework Accountability</w:t>
      </w:r>
      <w:r w:rsidR="00790BCC" w:rsidRPr="00790BCC">
        <w:tab/>
        <w:t>1</w:t>
      </w:r>
      <w:r w:rsidR="00583098">
        <w:t>5</w:t>
      </w:r>
      <w:r w:rsidR="00790BCC" w:rsidRPr="00790BCC">
        <w:t>%</w:t>
      </w:r>
    </w:p>
    <w:p w14:paraId="237CC57B" w14:textId="77777777" w:rsidR="00790BCC" w:rsidRDefault="00801288" w:rsidP="007017EB">
      <w:pPr>
        <w:pStyle w:val="TA"/>
      </w:pPr>
      <w:r w:rsidRPr="00FC4E61">
        <w:rPr>
          <w:rFonts w:cs="Calibri"/>
        </w:rPr>
        <w:t xml:space="preserve">Instruct students to take out their responses to the </w:t>
      </w:r>
      <w:r w:rsidR="007D560F">
        <w:rPr>
          <w:rFonts w:cs="Calibri"/>
        </w:rPr>
        <w:t xml:space="preserve">first part of the </w:t>
      </w:r>
      <w:r w:rsidRPr="00FC4E61">
        <w:rPr>
          <w:rFonts w:cs="Calibri"/>
        </w:rPr>
        <w:t>previous lesson’s homework assignment</w:t>
      </w:r>
      <w:r w:rsidR="00AA6B67">
        <w:rPr>
          <w:rFonts w:cs="Calibri"/>
        </w:rPr>
        <w:t>.</w:t>
      </w:r>
      <w:r w:rsidRPr="00FC4E61">
        <w:rPr>
          <w:rFonts w:cs="Calibri"/>
        </w:rPr>
        <w:t xml:space="preserve"> </w:t>
      </w:r>
      <w:r w:rsidR="00A2256B">
        <w:t>(Read and annotate pages 21</w:t>
      </w:r>
      <w:r w:rsidR="00AA6B67">
        <w:t>–</w:t>
      </w:r>
      <w:r w:rsidR="00A2256B">
        <w:t>25</w:t>
      </w:r>
      <w:r w:rsidR="00A2256B" w:rsidRPr="0025637E">
        <w:t xml:space="preserve"> of </w:t>
      </w:r>
      <w:r w:rsidR="00A2256B">
        <w:rPr>
          <w:i/>
        </w:rPr>
        <w:t>Guns, Germs, and Steel</w:t>
      </w:r>
      <w:r w:rsidR="00A2256B" w:rsidRPr="0025637E">
        <w:rPr>
          <w:i/>
        </w:rPr>
        <w:t xml:space="preserve"> </w:t>
      </w:r>
      <w:r w:rsidR="00A2256B">
        <w:t>(from “A genetic explanation isn’t the only possible answer to Yali’s question” to “That seems to me the strongest argument for writing this book”)</w:t>
      </w:r>
      <w:r w:rsidR="00EE2EAA">
        <w:t xml:space="preserve"> </w:t>
      </w:r>
      <w:r w:rsidR="00EE2EAA" w:rsidRPr="00092B03">
        <w:rPr>
          <w:color w:val="4F81BD" w:themeColor="accent1"/>
        </w:rPr>
        <w:t>(W.11-12.9.b)</w:t>
      </w:r>
      <w:r w:rsidR="00AA6B67">
        <w:t>.</w:t>
      </w:r>
      <w:r>
        <w:t xml:space="preserve">) Instruct students to form pairs to discuss their </w:t>
      </w:r>
      <w:r w:rsidRPr="007A27E0">
        <w:t>responses.</w:t>
      </w:r>
    </w:p>
    <w:p w14:paraId="04B0D5C8" w14:textId="77777777" w:rsidR="00A2256B" w:rsidRDefault="00A2256B" w:rsidP="00A2256B">
      <w:pPr>
        <w:pStyle w:val="SR"/>
      </w:pPr>
      <w:r>
        <w:t xml:space="preserve">Student </w:t>
      </w:r>
      <w:r w:rsidR="00734FC2">
        <w:t>annotation</w:t>
      </w:r>
      <w:r>
        <w:t xml:space="preserve"> may include:</w:t>
      </w:r>
    </w:p>
    <w:p w14:paraId="0F0601D2" w14:textId="4F3B4BF4" w:rsidR="00A2256B" w:rsidRDefault="004C5B1B" w:rsidP="00A2256B">
      <w:pPr>
        <w:pStyle w:val="SASRBullet"/>
      </w:pPr>
      <w:r>
        <w:t>An exclamation point beside the statement “the peoples of northern Europe contributed nothing of fundamental importance to Eurasia</w:t>
      </w:r>
      <w:r w:rsidR="00224F7F">
        <w:t>n</w:t>
      </w:r>
      <w:r>
        <w:t xml:space="preserve"> civilization until the last thousand years” (p. 22)</w:t>
      </w:r>
      <w:r w:rsidR="00114572">
        <w:t>,</w:t>
      </w:r>
      <w:r>
        <w:t xml:space="preserve"> because this</w:t>
      </w:r>
      <w:r w:rsidR="00320D56">
        <w:t xml:space="preserve"> detail</w:t>
      </w:r>
      <w:r>
        <w:t xml:space="preserve"> seems to go against generally accepted knowledge about Europe.</w:t>
      </w:r>
    </w:p>
    <w:p w14:paraId="7480968C" w14:textId="30DDA2F6" w:rsidR="00A2256B" w:rsidRDefault="004C5B1B" w:rsidP="00A2256B">
      <w:pPr>
        <w:pStyle w:val="SASRBullet"/>
      </w:pPr>
      <w:r>
        <w:t>A star beside “detailed archaeological studies have shown that complex irrigation systems did not accompany the rise of centralized bureaucracies but followed after a considerable lag” (p. 22)</w:t>
      </w:r>
      <w:r w:rsidR="00114572">
        <w:t>,</w:t>
      </w:r>
      <w:r>
        <w:t xml:space="preserve"> because this seems like an important fact about human development.</w:t>
      </w:r>
    </w:p>
    <w:p w14:paraId="041C8115" w14:textId="41C1909B" w:rsidR="00A2256B" w:rsidRDefault="004C5B1B" w:rsidP="00A2256B">
      <w:pPr>
        <w:pStyle w:val="SASRBullet"/>
      </w:pPr>
      <w:r>
        <w:t>A star beside the question “why were Europeans, rather than Africans or Native Americans, the ones to end up with guns, the nastiest germs, and steel?”</w:t>
      </w:r>
      <w:r w:rsidR="00937C99">
        <w:t xml:space="preserve"> (p. 23)</w:t>
      </w:r>
      <w:r w:rsidR="00114572">
        <w:t>,</w:t>
      </w:r>
      <w:r>
        <w:t xml:space="preserve"> because </w:t>
      </w:r>
      <w:r w:rsidR="00184721">
        <w:t>it</w:t>
      </w:r>
      <w:r w:rsidR="001E7361">
        <w:t xml:space="preserve"> begins to</w:t>
      </w:r>
      <w:r w:rsidR="00184721">
        <w:t xml:space="preserve"> explore the </w:t>
      </w:r>
      <w:r w:rsidR="0098069E">
        <w:t xml:space="preserve">possible </w:t>
      </w:r>
      <w:r w:rsidR="00184721">
        <w:t>causes of power and wealth distribution</w:t>
      </w:r>
      <w:r w:rsidR="0069711A">
        <w:t>, which is Diamond’s research focus.</w:t>
      </w:r>
    </w:p>
    <w:p w14:paraId="5490BECC" w14:textId="4C5B615D" w:rsidR="00A2256B" w:rsidRDefault="004C5B1B" w:rsidP="00A2256B">
      <w:pPr>
        <w:pStyle w:val="SASRBullet"/>
      </w:pPr>
      <w:r>
        <w:t>Underline the sentence “Yet the roots of inequality in the modern world lie far back in prehistory”</w:t>
      </w:r>
      <w:r w:rsidR="00E56E7C">
        <w:t xml:space="preserve"> (p. 23)</w:t>
      </w:r>
      <w:r w:rsidR="00114572">
        <w:t>,</w:t>
      </w:r>
      <w:r>
        <w:t xml:space="preserve"> because this seems to be a major point in the book </w:t>
      </w:r>
      <w:r w:rsidR="00E56E7C">
        <w:t xml:space="preserve">that connects the ideas of “proximate </w:t>
      </w:r>
      <w:r w:rsidR="00224F7F">
        <w:t xml:space="preserve">(first stage) </w:t>
      </w:r>
      <w:r w:rsidR="00E56E7C">
        <w:t xml:space="preserve">explanation[s]” to the author’s search for “ultimate causes” </w:t>
      </w:r>
      <w:r w:rsidR="00937C99">
        <w:t>(p. 23</w:t>
      </w:r>
      <w:r w:rsidR="00224F7F">
        <w:t>)</w:t>
      </w:r>
      <w:r>
        <w:t>.</w:t>
      </w:r>
    </w:p>
    <w:p w14:paraId="4FF46C7A" w14:textId="68B2F803" w:rsidR="0086535C" w:rsidRDefault="0086535C" w:rsidP="00A2256B">
      <w:pPr>
        <w:pStyle w:val="SASRBullet"/>
      </w:pPr>
      <w:r>
        <w:t xml:space="preserve">A question mark beside the sentence “Modern Europe is not a society molded by sub-Saharan black Africans </w:t>
      </w:r>
      <w:r w:rsidR="00224F7F">
        <w:t xml:space="preserve">who brought millions of Native Americans </w:t>
      </w:r>
      <w:r>
        <w:t xml:space="preserve">as slaves” </w:t>
      </w:r>
      <w:r w:rsidR="00184721">
        <w:t>(p. 24)</w:t>
      </w:r>
      <w:r w:rsidR="00114572">
        <w:t>,</w:t>
      </w:r>
      <w:r w:rsidR="00184721">
        <w:t xml:space="preserve"> </w:t>
      </w:r>
      <w:r>
        <w:t>because the relevance of this statement is unclear.</w:t>
      </w:r>
    </w:p>
    <w:p w14:paraId="6EF27263" w14:textId="77777777" w:rsidR="00A2256B" w:rsidRDefault="00A2256B" w:rsidP="00A2256B">
      <w:pPr>
        <w:pStyle w:val="BR"/>
      </w:pPr>
    </w:p>
    <w:p w14:paraId="661B39A5" w14:textId="77777777" w:rsidR="00A2256B" w:rsidRDefault="00A2256B" w:rsidP="00A2256B">
      <w:pPr>
        <w:pStyle w:val="TA"/>
      </w:pPr>
      <w:r>
        <w:t>Instruct student pairs to share and discuss the vocabulary words they identified and defined in the previous lesson’s homework</w:t>
      </w:r>
      <w:r w:rsidR="00A742AE">
        <w:t xml:space="preserve"> </w:t>
      </w:r>
      <w:r w:rsidR="00A742AE" w:rsidRPr="00092B03">
        <w:rPr>
          <w:color w:val="4F81BD" w:themeColor="accent1"/>
        </w:rPr>
        <w:t>(L.11-12.4.c)</w:t>
      </w:r>
      <w:r w:rsidRPr="005201A9">
        <w:rPr>
          <w:color w:val="000000" w:themeColor="text1"/>
        </w:rPr>
        <w:t>.</w:t>
      </w:r>
    </w:p>
    <w:p w14:paraId="3D7F6E8B" w14:textId="77777777" w:rsidR="00A2256B" w:rsidRDefault="00A2256B" w:rsidP="00E606E0">
      <w:pPr>
        <w:pStyle w:val="SA"/>
      </w:pPr>
      <w:r>
        <w:t>Students may identify the following words:</w:t>
      </w:r>
      <w:r w:rsidR="00C8172E">
        <w:t xml:space="preserve"> </w:t>
      </w:r>
      <w:r w:rsidR="00C8172E" w:rsidRPr="00E606E0">
        <w:rPr>
          <w:i/>
        </w:rPr>
        <w:t>inhibitory, scrutiny, backwater, bureaucracies,</w:t>
      </w:r>
      <w:r w:rsidR="00BA13BE">
        <w:rPr>
          <w:i/>
        </w:rPr>
        <w:t xml:space="preserve"> proximate, causation,</w:t>
      </w:r>
      <w:r w:rsidR="006E3C89">
        <w:rPr>
          <w:i/>
        </w:rPr>
        <w:t xml:space="preserve"> </w:t>
      </w:r>
      <w:r w:rsidR="00C8172E" w:rsidRPr="00E606E0">
        <w:rPr>
          <w:i/>
        </w:rPr>
        <w:t xml:space="preserve">intractable, </w:t>
      </w:r>
      <w:r w:rsidR="00187FE2" w:rsidRPr="00E606E0">
        <w:rPr>
          <w:i/>
        </w:rPr>
        <w:t>conferring</w:t>
      </w:r>
      <w:r w:rsidR="00AA6B67">
        <w:t>,</w:t>
      </w:r>
      <w:r w:rsidR="00187FE2">
        <w:t xml:space="preserve"> </w:t>
      </w:r>
      <w:r w:rsidR="00C8172E">
        <w:t xml:space="preserve">and </w:t>
      </w:r>
      <w:r w:rsidR="00C8172E" w:rsidRPr="00E606E0">
        <w:rPr>
          <w:i/>
        </w:rPr>
        <w:t>inexorable</w:t>
      </w:r>
      <w:r w:rsidR="00C8172E">
        <w:t>.</w:t>
      </w:r>
    </w:p>
    <w:p w14:paraId="5CC0B125" w14:textId="77777777" w:rsidR="00A2256B" w:rsidRDefault="00A2256B" w:rsidP="00C8172E">
      <w:pPr>
        <w:pStyle w:val="IN"/>
      </w:pPr>
      <w:r w:rsidRPr="00C8172E">
        <w:rPr>
          <w:b/>
        </w:rPr>
        <w:t>Differentiation Consideration:</w:t>
      </w:r>
      <w:r>
        <w:t xml:space="preserve"> Students may also identify the following words</w:t>
      </w:r>
      <w:r w:rsidR="00C8172E">
        <w:t xml:space="preserve">: </w:t>
      </w:r>
      <w:r w:rsidR="00C8172E" w:rsidRPr="00C8172E">
        <w:rPr>
          <w:i/>
        </w:rPr>
        <w:t xml:space="preserve">stimulatory, </w:t>
      </w:r>
      <w:r w:rsidR="00184721">
        <w:rPr>
          <w:i/>
        </w:rPr>
        <w:t>c</w:t>
      </w:r>
      <w:r w:rsidR="00450311">
        <w:rPr>
          <w:i/>
        </w:rPr>
        <w:t>rucial</w:t>
      </w:r>
      <w:r w:rsidR="00184721">
        <w:rPr>
          <w:i/>
        </w:rPr>
        <w:t>,</w:t>
      </w:r>
      <w:r w:rsidR="00C8172E" w:rsidRPr="00C8172E">
        <w:rPr>
          <w:i/>
        </w:rPr>
        <w:t xml:space="preserve"> preceding, </w:t>
      </w:r>
      <w:r w:rsidR="00184721">
        <w:rPr>
          <w:i/>
        </w:rPr>
        <w:t xml:space="preserve">ultimate, </w:t>
      </w:r>
      <w:r w:rsidR="00AF32FD">
        <w:rPr>
          <w:i/>
        </w:rPr>
        <w:t>immediate</w:t>
      </w:r>
      <w:r w:rsidR="00AF32FD" w:rsidRPr="005201A9">
        <w:t>,</w:t>
      </w:r>
      <w:r w:rsidR="00325EDA" w:rsidRPr="005201A9">
        <w:t xml:space="preserve"> </w:t>
      </w:r>
      <w:r w:rsidR="00AF32FD" w:rsidRPr="005201A9">
        <w:t>and</w:t>
      </w:r>
      <w:r w:rsidR="00AF32FD">
        <w:rPr>
          <w:i/>
        </w:rPr>
        <w:t xml:space="preserve"> </w:t>
      </w:r>
      <w:r w:rsidR="00C8172E" w:rsidRPr="00C8172E">
        <w:rPr>
          <w:i/>
        </w:rPr>
        <w:t>underclass</w:t>
      </w:r>
      <w:r w:rsidR="00C8172E">
        <w:t>.</w:t>
      </w:r>
    </w:p>
    <w:p w14:paraId="6758D2CC" w14:textId="77777777" w:rsidR="00A2256B" w:rsidRPr="00790BCC" w:rsidRDefault="00A2256B" w:rsidP="00A2256B">
      <w:pPr>
        <w:pStyle w:val="IN"/>
      </w:pPr>
      <w:r>
        <w:t>Definitions are provided in the Vocabulary box in this lesson.</w:t>
      </w:r>
    </w:p>
    <w:p w14:paraId="559BCDB3" w14:textId="77777777" w:rsidR="00A2256B" w:rsidRDefault="00A2256B" w:rsidP="00C8172E">
      <w:pPr>
        <w:pStyle w:val="BR"/>
      </w:pPr>
    </w:p>
    <w:p w14:paraId="552F33F4" w14:textId="474DB989" w:rsidR="00C8172E" w:rsidRDefault="007D560F" w:rsidP="00A2256B">
      <w:pPr>
        <w:pStyle w:val="TA"/>
      </w:pPr>
      <w:r w:rsidRPr="00FC4E61">
        <w:rPr>
          <w:rFonts w:cs="Calibri"/>
        </w:rPr>
        <w:lastRenderedPageBreak/>
        <w:t xml:space="preserve">Instruct students to take out their responses to the </w:t>
      </w:r>
      <w:r>
        <w:rPr>
          <w:rFonts w:cs="Calibri"/>
        </w:rPr>
        <w:t xml:space="preserve">second part of the </w:t>
      </w:r>
      <w:r w:rsidRPr="00FC4E61">
        <w:rPr>
          <w:rFonts w:cs="Calibri"/>
        </w:rPr>
        <w:t>previous lesson’s homework assignment</w:t>
      </w:r>
      <w:r>
        <w:rPr>
          <w:rFonts w:cs="Calibri"/>
        </w:rPr>
        <w:t>.</w:t>
      </w:r>
      <w:r>
        <w:t xml:space="preserve"> (Continue to surface issues related to the text and come to the next class prepared to share 2</w:t>
      </w:r>
      <w:r w:rsidR="00AF4B8D">
        <w:t>–</w:t>
      </w:r>
      <w:r>
        <w:t xml:space="preserve">3 additional issues.) </w:t>
      </w:r>
      <w:r w:rsidR="00C8172E">
        <w:t xml:space="preserve">Instruct student pairs to discuss </w:t>
      </w:r>
      <w:r>
        <w:t>the</w:t>
      </w:r>
      <w:r w:rsidR="00C8172E">
        <w:t xml:space="preserve"> issues they surfaced during their </w:t>
      </w:r>
      <w:r w:rsidR="00DF54DC">
        <w:t>homework</w:t>
      </w:r>
      <w:r w:rsidR="00C8172E">
        <w:t>.</w:t>
      </w:r>
    </w:p>
    <w:p w14:paraId="0EE8EF03" w14:textId="77777777" w:rsidR="00FE1BE2" w:rsidRDefault="00FE1BE2" w:rsidP="00E606E0">
      <w:pPr>
        <w:pStyle w:val="SR"/>
      </w:pPr>
      <w:r>
        <w:t>Student responses may include:</w:t>
      </w:r>
    </w:p>
    <w:p w14:paraId="1925F1A0" w14:textId="77777777" w:rsidR="00FE1BE2" w:rsidRDefault="00D02523" w:rsidP="00E606E0">
      <w:pPr>
        <w:pStyle w:val="SASRBullet"/>
      </w:pPr>
      <w:r>
        <w:t>Climate’s effects on human development</w:t>
      </w:r>
    </w:p>
    <w:p w14:paraId="5FB34F0E" w14:textId="77777777" w:rsidR="000C1047" w:rsidRDefault="00D02523" w:rsidP="00E606E0">
      <w:pPr>
        <w:pStyle w:val="SASRBullet"/>
      </w:pPr>
      <w:r>
        <w:t>Irrigation and centralized bureaucracies</w:t>
      </w:r>
    </w:p>
    <w:p w14:paraId="7CECB44F" w14:textId="77777777" w:rsidR="000C1047" w:rsidRDefault="00D02523" w:rsidP="00E606E0">
      <w:pPr>
        <w:pStyle w:val="SASRBullet"/>
      </w:pPr>
      <w:r>
        <w:t>Immediate, proximate (first stage) explanations vs. ultimate causes</w:t>
      </w:r>
    </w:p>
    <w:p w14:paraId="1FCE2DF1" w14:textId="77777777" w:rsidR="00790BCC" w:rsidRPr="00790BCC" w:rsidRDefault="004E2AE9" w:rsidP="007C1BEB">
      <w:pPr>
        <w:pStyle w:val="LearningSequenceHeader"/>
        <w:keepNext/>
      </w:pPr>
      <w:r>
        <w:t xml:space="preserve">Activity 3: </w:t>
      </w:r>
      <w:r w:rsidR="00CE54F4">
        <w:t>Pre-Discussion Quick Write</w:t>
      </w:r>
      <w:r w:rsidR="00790BCC" w:rsidRPr="00790BCC">
        <w:tab/>
      </w:r>
      <w:r w:rsidR="00CE54F4">
        <w:t>15</w:t>
      </w:r>
      <w:r w:rsidR="00790BCC" w:rsidRPr="00790BCC">
        <w:t>%</w:t>
      </w:r>
    </w:p>
    <w:p w14:paraId="43C5381D" w14:textId="77777777" w:rsidR="00495373" w:rsidRDefault="00495373" w:rsidP="00495373">
      <w:pPr>
        <w:pStyle w:val="TA"/>
      </w:pPr>
      <w:r>
        <w:t>Inform students</w:t>
      </w:r>
      <w:r w:rsidR="00C35DA8">
        <w:t xml:space="preserve"> that</w:t>
      </w:r>
      <w:r>
        <w:t xml:space="preserve"> their analysis in this lesson begins with a Quick Write in response to the prompt below. Students then use their independently generated responses to inform the following discussion, and have the opportunity to review or expand their Quick Write responses after the discussion.</w:t>
      </w:r>
    </w:p>
    <w:p w14:paraId="000687E8" w14:textId="77777777" w:rsidR="00495373" w:rsidRDefault="00495373" w:rsidP="00495373">
      <w:pPr>
        <w:pStyle w:val="IN"/>
      </w:pPr>
      <w:r w:rsidRPr="00FF128B">
        <w:rPr>
          <w:b/>
        </w:rPr>
        <w:t>Differentiation Consideration:</w:t>
      </w:r>
      <w:r>
        <w:t xml:space="preserve"> If necessary, consider providing time for students to reread the lesson’s excerpt before they respond in writing to the following prompt. </w:t>
      </w:r>
    </w:p>
    <w:p w14:paraId="15987AD1" w14:textId="77777777" w:rsidR="00F30521" w:rsidRDefault="00F30521" w:rsidP="00495373">
      <w:pPr>
        <w:pStyle w:val="IN"/>
      </w:pPr>
      <w:r w:rsidRPr="00F30521">
        <w:rPr>
          <w:b/>
        </w:rPr>
        <w:t>Differentiation Consideration</w:t>
      </w:r>
      <w:r>
        <w:t xml:space="preserve">: Encourage students to reference their </w:t>
      </w:r>
      <w:r w:rsidR="007D560F">
        <w:t xml:space="preserve">12.3.1 </w:t>
      </w:r>
      <w:r>
        <w:t>Lesson</w:t>
      </w:r>
      <w:r w:rsidR="001E4CFF">
        <w:t>s</w:t>
      </w:r>
      <w:r>
        <w:t xml:space="preserve"> 1 and 2 Quick Writes as resources when completing this </w:t>
      </w:r>
      <w:r w:rsidR="00E528E7">
        <w:t>P</w:t>
      </w:r>
      <w:r>
        <w:t>re-</w:t>
      </w:r>
      <w:r w:rsidR="00E528E7">
        <w:t>D</w:t>
      </w:r>
      <w:r>
        <w:t>iscussion Quick Write.</w:t>
      </w:r>
    </w:p>
    <w:p w14:paraId="15AC6BDC" w14:textId="77777777" w:rsidR="00495373" w:rsidRDefault="00495373" w:rsidP="00495373">
      <w:pPr>
        <w:pStyle w:val="IN"/>
      </w:pPr>
      <w:r>
        <w:t xml:space="preserve">This activity differs from previous lessons’ </w:t>
      </w:r>
      <w:r w:rsidR="001E4CFF">
        <w:t>R</w:t>
      </w:r>
      <w:r>
        <w:t xml:space="preserve">eading and </w:t>
      </w:r>
      <w:r w:rsidR="001E4CFF">
        <w:t>D</w:t>
      </w:r>
      <w:r>
        <w:t xml:space="preserve">iscussion activities by allowing students more independence in analyzing the text before the lesson assessment. For the reading and text analysis in this lesson, students first work independently to respond to a text-based prompt regarding </w:t>
      </w:r>
      <w:r w:rsidR="000C1047">
        <w:t xml:space="preserve">how ideas interact and develop over the course of the excerpt to refine the author’s purpose. </w:t>
      </w:r>
      <w:r>
        <w:t>Students then discuss their independent responses in small groups. Later</w:t>
      </w:r>
      <w:r w:rsidR="009404BC">
        <w:t>,</w:t>
      </w:r>
      <w:r>
        <w:t xml:space="preserve"> they re-evaluate their initial responses and consider how their original opinions were challenged or verified through discussion, or whether they made</w:t>
      </w:r>
      <w:r w:rsidRPr="00AE6F89">
        <w:t xml:space="preserve"> new connections in light of the e</w:t>
      </w:r>
      <w:r>
        <w:t>vidence and reasoning presented.</w:t>
      </w:r>
    </w:p>
    <w:p w14:paraId="12B2A671" w14:textId="77777777" w:rsidR="00495373" w:rsidRDefault="00495373" w:rsidP="00495373">
      <w:pPr>
        <w:pStyle w:val="TA"/>
      </w:pPr>
      <w:r>
        <w:t>Instruct students to read the following prompt:</w:t>
      </w:r>
    </w:p>
    <w:p w14:paraId="6AA80453" w14:textId="77777777" w:rsidR="00790BCC" w:rsidRDefault="00495373" w:rsidP="007C1BEB">
      <w:pPr>
        <w:pStyle w:val="Q"/>
      </w:pPr>
      <w:r w:rsidRPr="00495373">
        <w:t>How does the interaction and development of ideas in this excerpt refine the author’s purpose?</w:t>
      </w:r>
    </w:p>
    <w:p w14:paraId="4ABAD28A" w14:textId="77777777" w:rsidR="00495373" w:rsidRDefault="00495373" w:rsidP="00495373">
      <w:pPr>
        <w:pStyle w:val="SA"/>
        <w:numPr>
          <w:ilvl w:val="0"/>
          <w:numId w:val="8"/>
        </w:numPr>
      </w:pPr>
      <w:r>
        <w:t>Students listen and read the Quick Write prompt.</w:t>
      </w:r>
    </w:p>
    <w:p w14:paraId="3C68B8A3" w14:textId="16AB6855" w:rsidR="00206472" w:rsidRDefault="0030659C" w:rsidP="00CA0ACF">
      <w:pPr>
        <w:pStyle w:val="IN"/>
      </w:pPr>
      <w:r w:rsidRPr="00CA0ACF">
        <w:rPr>
          <w:b/>
        </w:rPr>
        <w:t>Differentiation Consideration</w:t>
      </w:r>
      <w:r>
        <w:t xml:space="preserve">: </w:t>
      </w:r>
      <w:r w:rsidR="00206472">
        <w:t>Consider posting or projecting the following guiding question to support students in their reading throughout th</w:t>
      </w:r>
      <w:r w:rsidR="00CA0ACF">
        <w:t>is</w:t>
      </w:r>
      <w:r w:rsidR="00206472">
        <w:t xml:space="preserve"> lesson: </w:t>
      </w:r>
    </w:p>
    <w:p w14:paraId="03CFE94F" w14:textId="4D0B69CE" w:rsidR="00206472" w:rsidRPr="00C13592" w:rsidRDefault="00206472" w:rsidP="00CA0ACF">
      <w:pPr>
        <w:pStyle w:val="DCwithQ"/>
      </w:pPr>
      <w:r>
        <w:t xml:space="preserve">How do different ideas in this excerpt show the author’s purpose? </w:t>
      </w:r>
    </w:p>
    <w:p w14:paraId="7C2BDF75" w14:textId="77777777" w:rsidR="00495373" w:rsidRDefault="00495373" w:rsidP="00495373">
      <w:pPr>
        <w:pStyle w:val="IN"/>
      </w:pPr>
      <w:r>
        <w:t>Display the prompt for students to see, or provide the prompt in hard copy.</w:t>
      </w:r>
    </w:p>
    <w:p w14:paraId="3A2877DA" w14:textId="77777777" w:rsidR="00495373" w:rsidRDefault="00495373" w:rsidP="00495373">
      <w:pPr>
        <w:pStyle w:val="TA"/>
      </w:pPr>
      <w:r>
        <w:lastRenderedPageBreak/>
        <w:t xml:space="preserve">Transition to the independent Quick Write. </w:t>
      </w:r>
    </w:p>
    <w:p w14:paraId="3D8AB2D9" w14:textId="77777777" w:rsidR="00495373" w:rsidRDefault="00495373" w:rsidP="00495373">
      <w:pPr>
        <w:pStyle w:val="SA"/>
        <w:numPr>
          <w:ilvl w:val="0"/>
          <w:numId w:val="8"/>
        </w:numPr>
      </w:pPr>
      <w:r>
        <w:t xml:space="preserve">Students independently answer the prompt using evidence from the text. </w:t>
      </w:r>
    </w:p>
    <w:p w14:paraId="0CFC01B5" w14:textId="77777777" w:rsidR="00495373" w:rsidRDefault="00495373" w:rsidP="00495373">
      <w:pPr>
        <w:pStyle w:val="SR"/>
      </w:pPr>
      <w:r>
        <w:t>See the High Performance Response at the beginning of this lesson.</w:t>
      </w:r>
    </w:p>
    <w:p w14:paraId="3ADA2C2F" w14:textId="77777777" w:rsidR="00495373" w:rsidRPr="00790BCC" w:rsidRDefault="00495373" w:rsidP="00495373">
      <w:pPr>
        <w:pStyle w:val="IN"/>
      </w:pPr>
      <w:r>
        <w:t>This initial Quick Write is intended to demonstrate students’ first thoughts and observations in response to the prompt. Students will have additional time to develop their analysis in this lesson, and return to this Quick Write after a whole-class discussion.</w:t>
      </w:r>
    </w:p>
    <w:p w14:paraId="5EDDE016" w14:textId="77777777" w:rsidR="00790BCC" w:rsidRPr="00790BCC" w:rsidRDefault="004E2AE9" w:rsidP="007C1BEB">
      <w:pPr>
        <w:pStyle w:val="LearningSequenceHeader"/>
        <w:keepNext/>
      </w:pPr>
      <w:r>
        <w:t xml:space="preserve">Activity 4: </w:t>
      </w:r>
      <w:r w:rsidR="00CE54F4">
        <w:t>Whole-Class</w:t>
      </w:r>
      <w:r>
        <w:t xml:space="preserve"> Discussion</w:t>
      </w:r>
      <w:r w:rsidR="00CE54F4">
        <w:tab/>
        <w:t>45</w:t>
      </w:r>
      <w:r w:rsidR="00790BCC" w:rsidRPr="00790BCC">
        <w:t>%</w:t>
      </w:r>
    </w:p>
    <w:p w14:paraId="00EAA41B" w14:textId="34E17304" w:rsidR="003870A1" w:rsidRDefault="003870A1" w:rsidP="003870A1">
      <w:pPr>
        <w:pStyle w:val="TA"/>
      </w:pPr>
      <w:r>
        <w:t>Display or distribute the 12.3 Speaking and Listening Rubric and Checklist.</w:t>
      </w:r>
      <w:r w:rsidRPr="0095349D">
        <w:t xml:space="preserve"> </w:t>
      </w:r>
      <w:r>
        <w:t>Explain to students that they should refer to the 12.3 Speaking and Listening Rubric and Checklist for standards SL.11-12.1.a,</w:t>
      </w:r>
      <w:r w:rsidR="00114572">
        <w:t>c,d</w:t>
      </w:r>
      <w:r>
        <w:t xml:space="preserve">  during the following discussion.</w:t>
      </w:r>
    </w:p>
    <w:p w14:paraId="44A659CE" w14:textId="77777777" w:rsidR="003870A1" w:rsidRDefault="003870A1" w:rsidP="003870A1">
      <w:pPr>
        <w:pStyle w:val="SA"/>
        <w:numPr>
          <w:ilvl w:val="0"/>
          <w:numId w:val="8"/>
        </w:numPr>
      </w:pPr>
      <w:r>
        <w:t>Students independently review the relevant portions of the 12.3 Speaking and Listening Rubric and Checklist.</w:t>
      </w:r>
    </w:p>
    <w:p w14:paraId="3CCFFDF1" w14:textId="77777777" w:rsidR="00EE4AEC" w:rsidRDefault="00EE4AEC" w:rsidP="00EE4AEC">
      <w:pPr>
        <w:pStyle w:val="TA"/>
      </w:pPr>
      <w:r>
        <w:t>Remind students to continue to record issues for research as they</w:t>
      </w:r>
      <w:r w:rsidR="00980E8C">
        <w:t xml:space="preserve"> participate in the whole-class discussion</w:t>
      </w:r>
      <w:r>
        <w:t>.</w:t>
      </w:r>
    </w:p>
    <w:p w14:paraId="124DDE25" w14:textId="77777777" w:rsidR="00EE4AEC" w:rsidRDefault="00EE4AEC" w:rsidP="00114432">
      <w:pPr>
        <w:pStyle w:val="IN"/>
      </w:pPr>
      <w:r w:rsidRPr="003211EC">
        <w:rPr>
          <w:b/>
        </w:rPr>
        <w:t>Differentiation Consideration</w:t>
      </w:r>
      <w:r>
        <w:t xml:space="preserve">: </w:t>
      </w:r>
      <w:r w:rsidR="001E4CFF">
        <w:t xml:space="preserve">For additional </w:t>
      </w:r>
      <w:r>
        <w:t xml:space="preserve">support, </w:t>
      </w:r>
      <w:r w:rsidR="001E4CFF">
        <w:t xml:space="preserve">consider </w:t>
      </w:r>
      <w:r>
        <w:t>provid</w:t>
      </w:r>
      <w:r w:rsidR="001E4CFF">
        <w:t>ing</w:t>
      </w:r>
      <w:r>
        <w:t xml:space="preserve"> students with copies of the Surfacing Issues Tool.</w:t>
      </w:r>
    </w:p>
    <w:p w14:paraId="504FF1E1" w14:textId="77777777" w:rsidR="00356D14" w:rsidRDefault="00356D14" w:rsidP="00114432">
      <w:pPr>
        <w:pStyle w:val="BR"/>
      </w:pPr>
    </w:p>
    <w:p w14:paraId="25FF26AC" w14:textId="77777777" w:rsidR="003870A1" w:rsidRDefault="003870A1" w:rsidP="00E606E0">
      <w:pPr>
        <w:pStyle w:val="TA"/>
      </w:pPr>
      <w:r>
        <w:t xml:space="preserve">Facilitate a whole-class discussion of student responses and observations based on their Quick Write responses. Encourage students to consider points of agreement or disagreement with other students and how the evidence and reasoning presented by other students can help </w:t>
      </w:r>
      <w:r w:rsidRPr="00AE6F89">
        <w:t>qualify or justify</w:t>
      </w:r>
      <w:r>
        <w:t xml:space="preserve"> the observations they generated independently.</w:t>
      </w:r>
      <w:r w:rsidRPr="00AE6F89">
        <w:t xml:space="preserve"> </w:t>
      </w:r>
    </w:p>
    <w:p w14:paraId="487B5778" w14:textId="77777777" w:rsidR="003870A1" w:rsidRDefault="003870A1" w:rsidP="003870A1">
      <w:pPr>
        <w:pStyle w:val="SA"/>
        <w:numPr>
          <w:ilvl w:val="0"/>
          <w:numId w:val="8"/>
        </w:numPr>
      </w:pPr>
      <w:r>
        <w:t>Students share their observations and evidence generated during the Quick Write with the whole class.</w:t>
      </w:r>
    </w:p>
    <w:p w14:paraId="3ED77F45" w14:textId="77777777" w:rsidR="00F30521" w:rsidRDefault="00F30521" w:rsidP="00F30521">
      <w:pPr>
        <w:pStyle w:val="SR"/>
      </w:pPr>
      <w:r>
        <w:t>Student responses may include:</w:t>
      </w:r>
    </w:p>
    <w:p w14:paraId="6C3A4A63" w14:textId="02AA837F" w:rsidR="00F30521" w:rsidRDefault="00317353" w:rsidP="00F30521">
      <w:pPr>
        <w:pStyle w:val="SASRBullet"/>
      </w:pPr>
      <w:r>
        <w:t xml:space="preserve">Diamond’s </w:t>
      </w:r>
      <w:r w:rsidR="009B204B">
        <w:t xml:space="preserve">analysis of </w:t>
      </w:r>
      <w:r w:rsidR="00737440">
        <w:t>incorrect answers to Yali’s question further refin</w:t>
      </w:r>
      <w:r>
        <w:t>es his</w:t>
      </w:r>
      <w:r w:rsidR="00737440">
        <w:t xml:space="preserve"> purpose</w:t>
      </w:r>
      <w:r w:rsidR="00E905AB">
        <w:t xml:space="preserve"> by </w:t>
      </w:r>
      <w:r w:rsidR="00497DFC">
        <w:t>pav</w:t>
      </w:r>
      <w:r w:rsidR="00E905AB">
        <w:t>ing</w:t>
      </w:r>
      <w:r w:rsidR="00497DFC">
        <w:t xml:space="preserve"> the way for the answer he will provide to Yali’s question</w:t>
      </w:r>
      <w:r w:rsidR="009B204B">
        <w:t>.</w:t>
      </w:r>
      <w:r w:rsidR="00497DFC">
        <w:t xml:space="preserve"> </w:t>
      </w:r>
      <w:r w:rsidR="00114572">
        <w:t>According to Diamond, i</w:t>
      </w:r>
      <w:r w:rsidR="00A6365E">
        <w:t>dea</w:t>
      </w:r>
      <w:r w:rsidR="00497DFC">
        <w:t>s such as the</w:t>
      </w:r>
      <w:r w:rsidR="00A6365E">
        <w:t xml:space="preserve"> </w:t>
      </w:r>
      <w:r w:rsidR="00BE4AE1">
        <w:t xml:space="preserve">“stimulatory effects” and “inhibitory effects” of climate </w:t>
      </w:r>
      <w:r w:rsidR="00497DFC">
        <w:t xml:space="preserve">upon </w:t>
      </w:r>
      <w:r w:rsidR="001948C7">
        <w:t>“human creativity and energy” (p. 22)</w:t>
      </w:r>
      <w:r w:rsidR="00BE4AE1">
        <w:t xml:space="preserve"> </w:t>
      </w:r>
      <w:r w:rsidR="00A6365E">
        <w:t>“fail</w:t>
      </w:r>
      <w:r w:rsidR="00114572">
        <w:t>[]</w:t>
      </w:r>
      <w:r w:rsidR="00A6365E">
        <w:t xml:space="preserve"> to survive </w:t>
      </w:r>
      <w:r w:rsidR="00114572">
        <w:t xml:space="preserve">[the] </w:t>
      </w:r>
      <w:r w:rsidR="00A6365E">
        <w:t>scrutiny” (p. 22)</w:t>
      </w:r>
      <w:r w:rsidR="00497DFC">
        <w:t xml:space="preserve"> of </w:t>
      </w:r>
      <w:r w:rsidR="00E905AB">
        <w:t>history</w:t>
      </w:r>
      <w:r w:rsidR="00A6365E">
        <w:t xml:space="preserve">. </w:t>
      </w:r>
      <w:r w:rsidR="00DB5220">
        <w:t>“</w:t>
      </w:r>
      <w:r w:rsidR="00224F7F">
        <w:t>[</w:t>
      </w:r>
      <w:r w:rsidR="00DB5220">
        <w:t>D</w:t>
      </w:r>
      <w:r w:rsidR="00224F7F">
        <w:t>]</w:t>
      </w:r>
      <w:r w:rsidR="00DB5220">
        <w:t xml:space="preserve">etailed archaeological studies” (p. 22) also help </w:t>
      </w:r>
      <w:r w:rsidR="00A6365E">
        <w:t xml:space="preserve">Diamond </w:t>
      </w:r>
      <w:r w:rsidR="00DB5220">
        <w:t>prove</w:t>
      </w:r>
      <w:r w:rsidR="000C1047">
        <w:t xml:space="preserve"> false </w:t>
      </w:r>
      <w:r w:rsidR="00A6365E">
        <w:t>the idea that</w:t>
      </w:r>
      <w:r w:rsidR="00E30603">
        <w:t xml:space="preserve"> </w:t>
      </w:r>
      <w:r w:rsidR="00BE4AE1">
        <w:t xml:space="preserve">“lowland river valleys” </w:t>
      </w:r>
      <w:r w:rsidR="00733A52">
        <w:t xml:space="preserve">in dry climates </w:t>
      </w:r>
      <w:r w:rsidR="00A6365E">
        <w:t xml:space="preserve">were </w:t>
      </w:r>
      <w:r w:rsidR="00733A52">
        <w:t xml:space="preserve">where “large-scale irrigation systems” for agriculture and “centralized </w:t>
      </w:r>
      <w:r w:rsidR="003870A1">
        <w:t>bureaucracies</w:t>
      </w:r>
      <w:r w:rsidR="00733A52">
        <w:t xml:space="preserve">” developed </w:t>
      </w:r>
      <w:r w:rsidR="00E30603">
        <w:t>(p. 22)</w:t>
      </w:r>
      <w:r w:rsidR="00DB5220">
        <w:t>.</w:t>
      </w:r>
      <w:r w:rsidR="00E30603">
        <w:t xml:space="preserve"> </w:t>
      </w:r>
      <w:r w:rsidR="00A6365E">
        <w:t xml:space="preserve">Both of these ideas, combined with the idea </w:t>
      </w:r>
      <w:r w:rsidR="00A6365E">
        <w:lastRenderedPageBreak/>
        <w:t xml:space="preserve">of “biological differences” (p. 18) from the previous </w:t>
      </w:r>
      <w:r w:rsidR="000A3699">
        <w:t>excerpt</w:t>
      </w:r>
      <w:r w:rsidR="00A6365E">
        <w:t xml:space="preserve">, work together to </w:t>
      </w:r>
      <w:r w:rsidR="00C27655">
        <w:t xml:space="preserve">support </w:t>
      </w:r>
      <w:r w:rsidR="00A6365E">
        <w:t>the author</w:t>
      </w:r>
      <w:r w:rsidR="001948C7">
        <w:t>’</w:t>
      </w:r>
      <w:r w:rsidR="00A6365E">
        <w:t>s claim that Yali’s question has not been correctly answered.</w:t>
      </w:r>
    </w:p>
    <w:p w14:paraId="1344AD61" w14:textId="77777777" w:rsidR="00F30521" w:rsidRDefault="00E905AB" w:rsidP="00F30521">
      <w:pPr>
        <w:pStyle w:val="SASRBullet"/>
      </w:pPr>
      <w:r>
        <w:t xml:space="preserve">The </w:t>
      </w:r>
      <w:r w:rsidR="00725DF2">
        <w:t xml:space="preserve">development and </w:t>
      </w:r>
      <w:r>
        <w:t>interaction of the concepts of proximate and ultimate causes further refines Diamond’s purpose by demonstrating the need for a “correct explanation” (p. 25) to Yali’s question</w:t>
      </w:r>
      <w:r w:rsidR="00D705FC">
        <w:t>.</w:t>
      </w:r>
      <w:r w:rsidR="00B249DE">
        <w:t xml:space="preserve"> </w:t>
      </w:r>
      <w:r>
        <w:t xml:space="preserve">Diamond </w:t>
      </w:r>
      <w:r w:rsidR="00B249DE">
        <w:t>explains that the “immediate factors”</w:t>
      </w:r>
      <w:r w:rsidR="00E528E7">
        <w:t xml:space="preserve"> that</w:t>
      </w:r>
      <w:r w:rsidR="00B249DE">
        <w:t xml:space="preserve"> “enabled Europeans to kill or conquer other peoples” included “European guns, infectious diseases, steel tools, and manufactured products” (p. 23)</w:t>
      </w:r>
      <w:r w:rsidR="00B34FFA">
        <w:t xml:space="preserve">. He states that this idea </w:t>
      </w:r>
      <w:r w:rsidR="00C129FA">
        <w:t>“</w:t>
      </w:r>
      <w:r w:rsidR="00B34FFA">
        <w:t xml:space="preserve">is on the right track” (p. 23) to answering Yali, but that it is an “incomplete” “hypothesis” </w:t>
      </w:r>
      <w:r w:rsidR="005331FE">
        <w:t>because it offers only “proxima</w:t>
      </w:r>
      <w:r w:rsidR="00F92590">
        <w:t>te,” or “first stage</w:t>
      </w:r>
      <w:r w:rsidR="00E528E7">
        <w:t>,</w:t>
      </w:r>
      <w:r w:rsidR="00C129FA">
        <w:t>”</w:t>
      </w:r>
      <w:r w:rsidR="00F92590">
        <w:t xml:space="preserve"> </w:t>
      </w:r>
      <w:r w:rsidR="00C129FA">
        <w:t>“</w:t>
      </w:r>
      <w:r w:rsidR="00F92590">
        <w:t>explanation</w:t>
      </w:r>
      <w:r w:rsidR="00C129FA">
        <w:t>[</w:t>
      </w:r>
      <w:r w:rsidR="00F92590">
        <w:t>s</w:t>
      </w:r>
      <w:r w:rsidR="00C129FA">
        <w:t>]</w:t>
      </w:r>
      <w:r w:rsidR="00F92590">
        <w:t>” and does not provide “ultimate” explanations (p. 23)</w:t>
      </w:r>
      <w:r w:rsidR="00B34FFA">
        <w:t xml:space="preserve">. Diamond </w:t>
      </w:r>
      <w:r w:rsidR="00D84F72">
        <w:t xml:space="preserve">uses this idea as a springboard to demonstrate </w:t>
      </w:r>
      <w:r w:rsidR="00B60FC3">
        <w:t xml:space="preserve">the “incomplete” </w:t>
      </w:r>
      <w:r w:rsidR="00C129FA">
        <w:t xml:space="preserve">(p. 23) </w:t>
      </w:r>
      <w:r w:rsidR="00EF3A51">
        <w:t>nature of the answer, thereby</w:t>
      </w:r>
      <w:r w:rsidR="00B60FC3">
        <w:t xml:space="preserve"> </w:t>
      </w:r>
      <w:r w:rsidR="00F92590">
        <w:t xml:space="preserve">establishing </w:t>
      </w:r>
      <w:r w:rsidR="00EF3A51">
        <w:t xml:space="preserve">the </w:t>
      </w:r>
      <w:r w:rsidR="00F92590">
        <w:t xml:space="preserve">need for the </w:t>
      </w:r>
      <w:r w:rsidR="00B60FC3">
        <w:t>research he provides</w:t>
      </w:r>
      <w:r w:rsidR="00F92590">
        <w:t>.</w:t>
      </w:r>
      <w:r w:rsidR="00B60FC3">
        <w:t xml:space="preserve"> </w:t>
      </w:r>
      <w:r w:rsidR="00EF3A51">
        <w:t xml:space="preserve">Through this reasoning, </w:t>
      </w:r>
      <w:r w:rsidR="00B60FC3">
        <w:t xml:space="preserve">Diamond </w:t>
      </w:r>
      <w:r w:rsidR="00BE7F7C">
        <w:t>refines</w:t>
      </w:r>
      <w:r w:rsidR="00B60FC3">
        <w:t xml:space="preserve"> the purpose of his book as </w:t>
      </w:r>
      <w:r w:rsidR="00B34FFA">
        <w:t>“a search for ultimate causes”</w:t>
      </w:r>
      <w:r w:rsidR="00EF3369">
        <w:t xml:space="preserve"> (p. 23)</w:t>
      </w:r>
      <w:r w:rsidR="00B60FC3">
        <w:t xml:space="preserve"> because no one else has offered </w:t>
      </w:r>
      <w:r w:rsidR="00EF3369">
        <w:t>a “generally accepted answer to Yali’s question” (p. 24)</w:t>
      </w:r>
      <w:r w:rsidR="00B60FC3">
        <w:t>.</w:t>
      </w:r>
    </w:p>
    <w:p w14:paraId="4CBC2DFE" w14:textId="77777777" w:rsidR="006711DE" w:rsidRDefault="00092B03" w:rsidP="005201A9">
      <w:pPr>
        <w:pStyle w:val="SASRBullet"/>
      </w:pPr>
      <w:r>
        <w:t>A</w:t>
      </w:r>
      <w:r w:rsidR="00725DF2">
        <w:t xml:space="preserve"> lack of acceptable answer</w:t>
      </w:r>
      <w:r w:rsidR="00224E1C">
        <w:t>s</w:t>
      </w:r>
      <w:r w:rsidR="00725DF2">
        <w:t xml:space="preserve"> to Yali’s question </w:t>
      </w:r>
      <w:r>
        <w:t>and Diamond’s rejection of the “genetic explanation” (p. 21)</w:t>
      </w:r>
      <w:r w:rsidR="00725DF2">
        <w:t xml:space="preserve"> further refine Diamond’s purpose. Diamond </w:t>
      </w:r>
      <w:r w:rsidR="00EE621A">
        <w:t>states that there is “no generally accepted answer to Yali’s question” (p. 24) and offers further that the “lack of such ultimate explanations leaves a big intellectual gap” (p. 24). He recognizes that given this “gap” people “will continue to suspect that the racist biological explanation” for “differences in peoples’ status” “is correct after all”</w:t>
      </w:r>
      <w:r w:rsidR="003B747C">
        <w:t xml:space="preserve"> </w:t>
      </w:r>
      <w:r w:rsidR="00EE621A">
        <w:t>(p. 25).</w:t>
      </w:r>
      <w:r w:rsidR="00725DF2">
        <w:t xml:space="preserve"> </w:t>
      </w:r>
      <w:r w:rsidR="00C16B8B">
        <w:t>Diamond acknowledges his purpose and desire to have a “convincing, detailed, agreed-upon explanation for the broad pattern of history” (p. 25) to refute the racist explanation</w:t>
      </w:r>
      <w:r w:rsidR="00EE621A">
        <w:t xml:space="preserve"> </w:t>
      </w:r>
      <w:r w:rsidR="00C16B8B">
        <w:t xml:space="preserve">as </w:t>
      </w:r>
      <w:r w:rsidR="00EE621A">
        <w:t>“the strongest argument for writing [</w:t>
      </w:r>
      <w:r w:rsidR="00EE621A" w:rsidRPr="005201A9">
        <w:rPr>
          <w:i/>
        </w:rPr>
        <w:t>Guns, Germs, and Steel</w:t>
      </w:r>
      <w:r w:rsidR="00EE621A">
        <w:t>]” (p. 25).</w:t>
      </w:r>
    </w:p>
    <w:p w14:paraId="6A3D3540" w14:textId="77777777" w:rsidR="00F30521" w:rsidRDefault="00F30521" w:rsidP="00F30521">
      <w:pPr>
        <w:pStyle w:val="IN"/>
      </w:pPr>
      <w:r w:rsidRPr="00F30521">
        <w:rPr>
          <w:b/>
        </w:rPr>
        <w:t>Differentiation</w:t>
      </w:r>
      <w:r>
        <w:rPr>
          <w:b/>
        </w:rPr>
        <w:t xml:space="preserve"> Consideration: </w:t>
      </w:r>
      <w:r w:rsidR="00A35EA1" w:rsidRPr="00092B03">
        <w:t>If students struggle</w:t>
      </w:r>
      <w:r w:rsidR="00A35EA1">
        <w:rPr>
          <w:b/>
        </w:rPr>
        <w:t xml:space="preserve">, </w:t>
      </w:r>
      <w:r w:rsidR="00A35EA1">
        <w:t>c</w:t>
      </w:r>
      <w:r>
        <w:t xml:space="preserve">onsider </w:t>
      </w:r>
      <w:r w:rsidR="00E528E7">
        <w:t>ask</w:t>
      </w:r>
      <w:r>
        <w:t>ing the following scaffolding question</w:t>
      </w:r>
      <w:r w:rsidR="00E528E7">
        <w:t>s</w:t>
      </w:r>
      <w:r>
        <w:t>:</w:t>
      </w:r>
    </w:p>
    <w:p w14:paraId="4930B922" w14:textId="77777777" w:rsidR="00AD6933" w:rsidRDefault="008E4083" w:rsidP="00114432">
      <w:pPr>
        <w:pStyle w:val="DCwithQ"/>
      </w:pPr>
      <w:r>
        <w:t xml:space="preserve">How </w:t>
      </w:r>
      <w:r w:rsidR="00414D6D">
        <w:t xml:space="preserve">does Diamond’s acknowledgement of other research </w:t>
      </w:r>
      <w:r>
        <w:t>contribute to</w:t>
      </w:r>
      <w:r w:rsidR="00426317">
        <w:t xml:space="preserve"> his purpose in the text?</w:t>
      </w:r>
    </w:p>
    <w:p w14:paraId="6D3B21DE" w14:textId="77777777" w:rsidR="00D66C04" w:rsidRDefault="00D66C04" w:rsidP="00D66C04">
      <w:pPr>
        <w:pStyle w:val="IN"/>
      </w:pPr>
      <w:r>
        <w:t>Consider instructing students to form small groups and having each group elect a spokesperson to share their observations, or allowing students to volunteer to discuss the observations and evidence generated during their Quick Write.</w:t>
      </w:r>
    </w:p>
    <w:p w14:paraId="108F3DA8" w14:textId="77777777" w:rsidR="003870A1" w:rsidRDefault="003870A1" w:rsidP="003870A1">
      <w:pPr>
        <w:pStyle w:val="IN"/>
      </w:pPr>
      <w:r>
        <w:t>Consider reminding students of their previous work with SL.11-12.1.a, which requires that students have come to class having read the material and asks them to explicitly draw on evidence from the text to support their discussion.</w:t>
      </w:r>
    </w:p>
    <w:p w14:paraId="623D212F" w14:textId="77777777" w:rsidR="003870A1" w:rsidRDefault="003870A1" w:rsidP="003870A1">
      <w:pPr>
        <w:pStyle w:val="IN"/>
      </w:pPr>
      <w:r>
        <w:t xml:space="preserve">Consider reminding students of their previous work with SL.11-12.1.c, which requires that students </w:t>
      </w:r>
      <w:r w:rsidR="00E528E7">
        <w:t>ask</w:t>
      </w:r>
      <w:r>
        <w:t xml:space="preserve"> and respond to questions and qualify or justify their own points of agreement and disagreement with other students.</w:t>
      </w:r>
    </w:p>
    <w:p w14:paraId="5E2EE908" w14:textId="77777777" w:rsidR="003870A1" w:rsidRDefault="003870A1" w:rsidP="003870A1">
      <w:pPr>
        <w:pStyle w:val="IN"/>
      </w:pPr>
      <w:r>
        <w:lastRenderedPageBreak/>
        <w:t xml:space="preserve">Consider reminding students </w:t>
      </w:r>
      <w:r w:rsidR="0057776E">
        <w:t>that this is an opportunity to practice standard</w:t>
      </w:r>
      <w:r>
        <w:t xml:space="preserve"> SL.11-12.1.d, which requires that students seek to understand and respond thoughtfully to diverse perspectives in order to deepen the investigation of their position and observations.</w:t>
      </w:r>
    </w:p>
    <w:p w14:paraId="48AEB365" w14:textId="77777777" w:rsidR="00EB49E1" w:rsidRDefault="00EB49E1" w:rsidP="00E606E0">
      <w:pPr>
        <w:pStyle w:val="BR"/>
      </w:pPr>
    </w:p>
    <w:p w14:paraId="7124FB36" w14:textId="77777777" w:rsidR="00F30521" w:rsidRDefault="00F30521" w:rsidP="00F30521">
      <w:pPr>
        <w:pStyle w:val="TA"/>
      </w:pPr>
      <w:r>
        <w:t>Instruct students to form pairs and briefly discuss how their opinions were challenged or verified through discussion, or whether they made</w:t>
      </w:r>
      <w:r w:rsidRPr="00AE6F89">
        <w:t xml:space="preserve"> new connections in light of the e</w:t>
      </w:r>
      <w:r>
        <w:t>vidence and reasoning presented during the discussions.</w:t>
      </w:r>
    </w:p>
    <w:p w14:paraId="32C6386F" w14:textId="77777777" w:rsidR="00F30521" w:rsidRDefault="00F30521" w:rsidP="00F30521">
      <w:pPr>
        <w:pStyle w:val="SA"/>
        <w:numPr>
          <w:ilvl w:val="0"/>
          <w:numId w:val="8"/>
        </w:numPr>
      </w:pPr>
      <w:r>
        <w:t>Student pairs discuss how their opinions were challenged or verified through discussion, and identify any new connections they made during the discussion.</w:t>
      </w:r>
    </w:p>
    <w:p w14:paraId="796FD0DD" w14:textId="77777777" w:rsidR="00790BCC" w:rsidRPr="00790BCC" w:rsidRDefault="00F30521" w:rsidP="007017EB">
      <w:pPr>
        <w:pStyle w:val="TA"/>
      </w:pPr>
      <w:r>
        <w:t>Lead a brief whole-class discussion of student observations</w:t>
      </w:r>
      <w:r w:rsidR="006A616E">
        <w:t>.</w:t>
      </w:r>
    </w:p>
    <w:p w14:paraId="51ACA69F" w14:textId="77777777" w:rsidR="00790BCC" w:rsidRPr="00790BCC" w:rsidRDefault="00167D8D" w:rsidP="007017EB">
      <w:pPr>
        <w:pStyle w:val="LearningSequenceHeader"/>
      </w:pPr>
      <w:r>
        <w:t>Activity 5:</w:t>
      </w:r>
      <w:r w:rsidR="00495373">
        <w:t xml:space="preserve"> </w:t>
      </w:r>
      <w:r w:rsidR="00CE54F4">
        <w:t>Quick Write</w:t>
      </w:r>
      <w:r w:rsidR="00CE54F4">
        <w:tab/>
        <w:t>15</w:t>
      </w:r>
      <w:r w:rsidR="00790BCC" w:rsidRPr="00790BCC">
        <w:t>%</w:t>
      </w:r>
    </w:p>
    <w:p w14:paraId="6780F0CF" w14:textId="77777777" w:rsidR="003E2442" w:rsidRPr="00D33664" w:rsidRDefault="003E2442" w:rsidP="00B240C0">
      <w:pPr>
        <w:pStyle w:val="TA"/>
      </w:pPr>
      <w:r w:rsidRPr="00D33664">
        <w:t>Instruct students to return to their Pre-Discussion Quick Write</w:t>
      </w:r>
      <w:r w:rsidR="0057776E">
        <w:t>s</w:t>
      </w:r>
      <w:r w:rsidRPr="00D33664">
        <w:t>. Instruct students to independently revise or expand their Quick Write response</w:t>
      </w:r>
      <w:r w:rsidR="0057776E">
        <w:t>s</w:t>
      </w:r>
      <w:r w:rsidRPr="00D33664">
        <w:t xml:space="preserve"> in light of the whole-class discussion, adding any new connections, and strengthening or revising any verified or challenged opinions.</w:t>
      </w:r>
    </w:p>
    <w:p w14:paraId="58A3273D" w14:textId="77777777" w:rsidR="00B148E2" w:rsidRDefault="00B148E2" w:rsidP="00B148E2">
      <w:pPr>
        <w:pStyle w:val="Q"/>
      </w:pPr>
      <w:r w:rsidRPr="00B148E2">
        <w:rPr>
          <w:rFonts w:cs="Arial"/>
          <w:bCs/>
          <w:color w:val="000000"/>
        </w:rPr>
        <w:t>How do the interaction and development of ideas in this excerpt refine the author’s purpose?</w:t>
      </w:r>
    </w:p>
    <w:p w14:paraId="06253A89" w14:textId="77777777" w:rsidR="00324058" w:rsidRDefault="00B148E2" w:rsidP="00114432">
      <w:pPr>
        <w:pStyle w:val="TA"/>
      </w:pPr>
      <w:r w:rsidRPr="007F52B0">
        <w:t>Instruct students to look at their annotations to find evidence. Ask students to use this lesson’s vocabulary wherever possible in their written responses.</w:t>
      </w:r>
    </w:p>
    <w:p w14:paraId="5D435868" w14:textId="77777777" w:rsidR="00B148E2" w:rsidRDefault="00B148E2" w:rsidP="00B148E2">
      <w:pPr>
        <w:pStyle w:val="SA"/>
        <w:numPr>
          <w:ilvl w:val="0"/>
          <w:numId w:val="8"/>
        </w:numPr>
      </w:pPr>
      <w:r>
        <w:t>Students listen and read the Quick Write prompt</w:t>
      </w:r>
      <w:r w:rsidR="00970A58">
        <w:t>.</w:t>
      </w:r>
    </w:p>
    <w:p w14:paraId="7BA38849" w14:textId="77777777" w:rsidR="00B148E2" w:rsidRDefault="00B148E2" w:rsidP="00B240C0">
      <w:pPr>
        <w:pStyle w:val="IN"/>
      </w:pPr>
      <w:r>
        <w:t>Display the prompt for students to see, or provide the prompt in hard copy.</w:t>
      </w:r>
    </w:p>
    <w:p w14:paraId="4BB0580C" w14:textId="77777777" w:rsidR="00B148E2" w:rsidRDefault="00B148E2" w:rsidP="00B148E2">
      <w:pPr>
        <w:pStyle w:val="TA"/>
      </w:pPr>
      <w:r>
        <w:t xml:space="preserve">Transition to the independent Quick Write. </w:t>
      </w:r>
    </w:p>
    <w:p w14:paraId="472EA431" w14:textId="667C4BC4" w:rsidR="00B148E2" w:rsidRDefault="00B148E2" w:rsidP="00B148E2">
      <w:pPr>
        <w:pStyle w:val="SA"/>
        <w:numPr>
          <w:ilvl w:val="0"/>
          <w:numId w:val="8"/>
        </w:numPr>
      </w:pPr>
      <w:r>
        <w:t xml:space="preserve">Students </w:t>
      </w:r>
      <w:r w:rsidR="005B441B">
        <w:t>revise or expand their Pre-Discussion Quick Write response</w:t>
      </w:r>
      <w:r w:rsidR="00114572">
        <w:t>s</w:t>
      </w:r>
      <w:r w:rsidR="005B441B">
        <w:t xml:space="preserve">. </w:t>
      </w:r>
    </w:p>
    <w:p w14:paraId="635DD1DA" w14:textId="77777777" w:rsidR="00790BCC" w:rsidRDefault="00B148E2" w:rsidP="00E606E0">
      <w:pPr>
        <w:pStyle w:val="SR"/>
      </w:pPr>
      <w:r>
        <w:t>See the High Performance Response at the beginning of this lesson.</w:t>
      </w:r>
    </w:p>
    <w:p w14:paraId="2148812C" w14:textId="77777777" w:rsidR="00970A58" w:rsidRPr="00790BCC" w:rsidRDefault="00970A58" w:rsidP="005201A9">
      <w:pPr>
        <w:pStyle w:val="IN"/>
      </w:pPr>
      <w:r w:rsidRPr="00D63532">
        <w:t>Consider using the Short Response Rubric to assess students’ writing. Students may use the Short Response Rubric and Checklist to guide their written responses.</w:t>
      </w:r>
    </w:p>
    <w:p w14:paraId="75903AD1" w14:textId="77777777" w:rsidR="00790BCC" w:rsidRPr="00790BCC" w:rsidRDefault="00790BCC" w:rsidP="007C1BEB">
      <w:pPr>
        <w:pStyle w:val="LearningSequenceHeader"/>
        <w:keepNext/>
      </w:pPr>
      <w:r w:rsidRPr="00790BCC">
        <w:t>Activity 6: Closing</w:t>
      </w:r>
      <w:r w:rsidRPr="00790BCC">
        <w:tab/>
        <w:t>5%</w:t>
      </w:r>
    </w:p>
    <w:p w14:paraId="392D48DB" w14:textId="77777777" w:rsidR="00C91887" w:rsidRDefault="00C91887" w:rsidP="00C91887">
      <w:pPr>
        <w:pStyle w:val="TA"/>
      </w:pPr>
      <w:r w:rsidRPr="004C2930">
        <w:t>Display and distribute the homework assignment. For homework, instruct students to</w:t>
      </w:r>
      <w:r w:rsidRPr="004F06ED">
        <w:rPr>
          <w:rFonts w:ascii="Arial" w:hAnsi="Arial"/>
          <w:sz w:val="20"/>
          <w:szCs w:val="20"/>
        </w:rPr>
        <w:t xml:space="preserve"> </w:t>
      </w:r>
      <w:r>
        <w:t>r</w:t>
      </w:r>
      <w:r w:rsidRPr="004F06ED">
        <w:t>ead and</w:t>
      </w:r>
      <w:r>
        <w:t xml:space="preserve"> annotate </w:t>
      </w:r>
      <w:r>
        <w:rPr>
          <w:rFonts w:cs="Arial"/>
          <w:color w:val="000000"/>
        </w:rPr>
        <w:t>pages</w:t>
      </w:r>
      <w:r w:rsidR="00495373">
        <w:rPr>
          <w:rFonts w:cs="Arial"/>
          <w:color w:val="000000"/>
        </w:rPr>
        <w:t xml:space="preserve"> 65</w:t>
      </w:r>
      <w:r w:rsidR="00FF6386">
        <w:t>–</w:t>
      </w:r>
      <w:r w:rsidR="00495373">
        <w:rPr>
          <w:rFonts w:cs="Arial"/>
          <w:color w:val="000000"/>
        </w:rPr>
        <w:t>71</w:t>
      </w:r>
      <w:r>
        <w:rPr>
          <w:rFonts w:cs="Arial"/>
          <w:color w:val="000000"/>
        </w:rPr>
        <w:t xml:space="preserve"> of </w:t>
      </w:r>
      <w:r w:rsidRPr="00C84A8C">
        <w:rPr>
          <w:rFonts w:cs="Arial"/>
          <w:i/>
          <w:color w:val="000000"/>
        </w:rPr>
        <w:t>Guns, Germs, and Steel</w:t>
      </w:r>
      <w:r>
        <w:rPr>
          <w:rFonts w:cs="Arial"/>
          <w:color w:val="000000"/>
        </w:rPr>
        <w:t xml:space="preserve"> </w:t>
      </w:r>
      <w:r>
        <w:t xml:space="preserve">(from </w:t>
      </w:r>
      <w:r w:rsidR="00495373">
        <w:t>“The biggest population shift of modern times has been”</w:t>
      </w:r>
      <w:r>
        <w:t xml:space="preserve"> to “</w:t>
      </w:r>
      <w:r w:rsidR="00495373">
        <w:t>no Indian should be able to offend a Christian</w:t>
      </w:r>
      <w:r>
        <w:t>”)</w:t>
      </w:r>
      <w:r w:rsidR="004575B7">
        <w:t xml:space="preserve"> </w:t>
      </w:r>
      <w:r w:rsidR="004575B7" w:rsidRPr="00092B03">
        <w:rPr>
          <w:color w:val="4F81BD" w:themeColor="accent1"/>
        </w:rPr>
        <w:t>(W.11-12.9.b)</w:t>
      </w:r>
      <w:r w:rsidRPr="007A78BE">
        <w:t>.</w:t>
      </w:r>
    </w:p>
    <w:p w14:paraId="1950C6D0" w14:textId="418A57C2" w:rsidR="00C91887" w:rsidRDefault="00552A91" w:rsidP="00C91887">
      <w:pPr>
        <w:pStyle w:val="TA"/>
      </w:pPr>
      <w:r>
        <w:lastRenderedPageBreak/>
        <w:t>Direct</w:t>
      </w:r>
      <w:r w:rsidR="00C91887" w:rsidRPr="00D27D0E">
        <w:t xml:space="preserve"> students to box any unfamiliar words and look up their definitions. Instruct </w:t>
      </w:r>
      <w:r w:rsidR="00FF6386">
        <w:t xml:space="preserve">them </w:t>
      </w:r>
      <w:r w:rsidR="00C91887" w:rsidRPr="00D27D0E">
        <w:t>to choose the definition t</w:t>
      </w:r>
      <w:r w:rsidR="00E04477">
        <w:t xml:space="preserve">hat makes the most sense in </w:t>
      </w:r>
      <w:r w:rsidR="00C91887" w:rsidRPr="00D27D0E">
        <w:t>context, and write a brief definition above or near the word in the text</w:t>
      </w:r>
      <w:r w:rsidR="004575B7">
        <w:t xml:space="preserve"> </w:t>
      </w:r>
      <w:r w:rsidR="004575B7" w:rsidRPr="00092B03">
        <w:rPr>
          <w:color w:val="4F81BD" w:themeColor="accent1"/>
        </w:rPr>
        <w:t>(L.11-12.4.c)</w:t>
      </w:r>
      <w:r w:rsidR="00C91887" w:rsidRPr="005201A9">
        <w:rPr>
          <w:color w:val="000000" w:themeColor="text1"/>
        </w:rPr>
        <w:t>.</w:t>
      </w:r>
    </w:p>
    <w:p w14:paraId="4AE7D774" w14:textId="77777777" w:rsidR="00C91887" w:rsidRDefault="00DD7A80" w:rsidP="00C91887">
      <w:pPr>
        <w:pStyle w:val="TA"/>
      </w:pPr>
      <w:r>
        <w:t>Also, instruct s</w:t>
      </w:r>
      <w:r w:rsidR="00C91887">
        <w:t xml:space="preserve">tudents </w:t>
      </w:r>
      <w:r>
        <w:t xml:space="preserve">to </w:t>
      </w:r>
      <w:r w:rsidR="00C91887">
        <w:t>continue</w:t>
      </w:r>
      <w:r>
        <w:t xml:space="preserve"> to</w:t>
      </w:r>
      <w:r w:rsidR="00C91887">
        <w:t xml:space="preserve"> surfac</w:t>
      </w:r>
      <w:r>
        <w:t>e</w:t>
      </w:r>
      <w:r w:rsidR="00C91887">
        <w:t xml:space="preserve"> issues related to the text</w:t>
      </w:r>
      <w:r w:rsidR="000A36CC">
        <w:t xml:space="preserve"> for research purposes</w:t>
      </w:r>
      <w:r w:rsidR="00C91887">
        <w:t xml:space="preserve"> and come to the next </w:t>
      </w:r>
      <w:r w:rsidR="00FF6386">
        <w:t>lesson</w:t>
      </w:r>
      <w:r w:rsidR="00C91887">
        <w:t xml:space="preserve"> prepared to share 2</w:t>
      </w:r>
      <w:r w:rsidR="00FF6386">
        <w:t>–</w:t>
      </w:r>
      <w:r w:rsidR="00C91887">
        <w:t>3 additional issues.</w:t>
      </w:r>
    </w:p>
    <w:p w14:paraId="3B415854" w14:textId="77777777" w:rsidR="00790BCC" w:rsidRPr="00790BCC" w:rsidRDefault="00C91887" w:rsidP="007017EB">
      <w:pPr>
        <w:pStyle w:val="SA"/>
        <w:numPr>
          <w:ilvl w:val="0"/>
          <w:numId w:val="8"/>
        </w:numPr>
      </w:pPr>
      <w:r>
        <w:t>Students follow along.</w:t>
      </w:r>
    </w:p>
    <w:p w14:paraId="54E66A87" w14:textId="77777777" w:rsidR="00790BCC" w:rsidRPr="00790BCC" w:rsidRDefault="00790BCC" w:rsidP="007017EB">
      <w:pPr>
        <w:pStyle w:val="Heading1"/>
      </w:pPr>
      <w:r w:rsidRPr="00790BCC">
        <w:t>Homework</w:t>
      </w:r>
    </w:p>
    <w:p w14:paraId="269198FB" w14:textId="30D0BBA5" w:rsidR="00FF6386" w:rsidRDefault="00C91887" w:rsidP="007C1BEB">
      <w:pPr>
        <w:rPr>
          <w:color w:val="000000" w:themeColor="text1"/>
        </w:rPr>
      </w:pPr>
      <w:r>
        <w:t xml:space="preserve">Read and annotate pages </w:t>
      </w:r>
      <w:r w:rsidR="00495373">
        <w:t>65</w:t>
      </w:r>
      <w:r w:rsidR="00FF6386">
        <w:t>–</w:t>
      </w:r>
      <w:r w:rsidR="00495373">
        <w:t>71</w:t>
      </w:r>
      <w:r w:rsidRPr="0025637E">
        <w:t xml:space="preserve"> of </w:t>
      </w:r>
      <w:r>
        <w:rPr>
          <w:i/>
        </w:rPr>
        <w:t>Guns, Germs, and Steel</w:t>
      </w:r>
      <w:r w:rsidRPr="0025637E">
        <w:rPr>
          <w:i/>
        </w:rPr>
        <w:t xml:space="preserve"> </w:t>
      </w:r>
      <w:r>
        <w:t>(</w:t>
      </w:r>
      <w:r w:rsidR="00495373">
        <w:t>from “The biggest population shift of modern times has been” to “no Indian should be able to offend a Christian”).</w:t>
      </w:r>
      <w:r>
        <w:t xml:space="preserve"> Box any unfamiliar words and look up their definitions. Choose the definition t</w:t>
      </w:r>
      <w:r w:rsidR="00E04477">
        <w:t xml:space="preserve">hat makes the most sense in </w:t>
      </w:r>
      <w:r>
        <w:t>context, and write a brief definition above or near the word in the text</w:t>
      </w:r>
      <w:r w:rsidRPr="005201A9">
        <w:rPr>
          <w:color w:val="000000" w:themeColor="text1"/>
        </w:rPr>
        <w:t>.</w:t>
      </w:r>
    </w:p>
    <w:p w14:paraId="3AA6AA27" w14:textId="77777777" w:rsidR="00C91887" w:rsidRDefault="00D953FD" w:rsidP="007C1BEB">
      <w:r>
        <w:t>A</w:t>
      </w:r>
      <w:r w:rsidR="00C91887">
        <w:t>lso</w:t>
      </w:r>
      <w:r>
        <w:t>,</w:t>
      </w:r>
      <w:r w:rsidR="00C91887">
        <w:t xml:space="preserve"> continue to surface issues related to the text </w:t>
      </w:r>
      <w:r w:rsidR="000A36CC">
        <w:t xml:space="preserve">for research purposes </w:t>
      </w:r>
      <w:r w:rsidR="00C91887">
        <w:t xml:space="preserve">and come to the next </w:t>
      </w:r>
      <w:r w:rsidR="00FF6386">
        <w:t xml:space="preserve">lesson </w:t>
      </w:r>
      <w:r w:rsidR="00C91887">
        <w:t>prepared to share 2</w:t>
      </w:r>
      <w:r w:rsidR="00FF6386">
        <w:t>–</w:t>
      </w:r>
      <w:r w:rsidR="00C91887">
        <w:t>3 additional issues.</w:t>
      </w:r>
    </w:p>
    <w:p w14:paraId="794C2175" w14:textId="77777777" w:rsidR="00CA0ACF" w:rsidRDefault="00CA0ACF" w:rsidP="007C1BEB">
      <w:pPr>
        <w:sectPr w:rsidR="00CA0ACF" w:rsidSect="00BA4EAC">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6D4683CC" w14:textId="0D8C82C3" w:rsidR="00CA0ACF" w:rsidRDefault="00CA0ACF" w:rsidP="00CA0ACF">
      <w:pPr>
        <w:pStyle w:val="ToolHeader"/>
      </w:pPr>
      <w:r>
        <w:lastRenderedPageBreak/>
        <w:t>12.3 Common Core Learning Standards Tool</w:t>
      </w:r>
    </w:p>
    <w:tbl>
      <w:tblPr>
        <w:tblW w:w="13078"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36040" w:rsidRPr="00383F3C" w14:paraId="04F9E59F" w14:textId="77777777" w:rsidTr="00632281">
        <w:trPr>
          <w:cantSplit/>
          <w:tblHeader/>
        </w:trPr>
        <w:tc>
          <w:tcPr>
            <w:tcW w:w="4950" w:type="dxa"/>
            <w:gridSpan w:val="2"/>
            <w:shd w:val="clear" w:color="auto" w:fill="D9D9D9" w:themeFill="background1" w:themeFillShade="D9"/>
          </w:tcPr>
          <w:p w14:paraId="004DA8D6" w14:textId="77777777" w:rsidR="00536040" w:rsidRPr="006C4FA7" w:rsidRDefault="00536040" w:rsidP="00536040">
            <w:pPr>
              <w:pStyle w:val="ToolTableText"/>
              <w:ind w:left="72"/>
              <w:rPr>
                <w:rFonts w:cs="Perpetua"/>
                <w:b/>
              </w:rPr>
            </w:pPr>
            <w:r>
              <w:rPr>
                <w:rFonts w:cs="Perpetua"/>
                <w:b/>
              </w:rPr>
              <w:t>CCS Standards: Reading</w:t>
            </w:r>
            <w:r w:rsidRPr="00645AB7">
              <w:rPr>
                <w:rFonts w:cs="Tahoma"/>
                <w:b/>
                <w:bCs/>
              </w:rPr>
              <w:t>—</w:t>
            </w:r>
            <w:r>
              <w:rPr>
                <w:rFonts w:cs="Perpetua"/>
                <w:b/>
              </w:rPr>
              <w:t>Informational Text</w:t>
            </w:r>
          </w:p>
        </w:tc>
        <w:tc>
          <w:tcPr>
            <w:tcW w:w="2700" w:type="dxa"/>
            <w:shd w:val="clear" w:color="auto" w:fill="D9D9D9" w:themeFill="background1" w:themeFillShade="D9"/>
          </w:tcPr>
          <w:p w14:paraId="3E52BBC3" w14:textId="77777777" w:rsidR="00536040" w:rsidRPr="00383F3C" w:rsidRDefault="00536040" w:rsidP="00536040">
            <w:pPr>
              <w:ind w:left="115"/>
              <w:rPr>
                <w:rFonts w:cs="Tahoma"/>
                <w:b/>
                <w:bCs/>
                <w:color w:val="2D2D2C"/>
              </w:rPr>
            </w:pPr>
            <w:r w:rsidRPr="00645AB7">
              <w:rPr>
                <w:rFonts w:cs="Tahoma"/>
                <w:b/>
                <w:bCs/>
              </w:rPr>
              <w:t>I know what this is asking and I can do this.</w:t>
            </w:r>
          </w:p>
        </w:tc>
        <w:tc>
          <w:tcPr>
            <w:tcW w:w="2700" w:type="dxa"/>
            <w:shd w:val="clear" w:color="auto" w:fill="D9D9D9" w:themeFill="background1" w:themeFillShade="D9"/>
            <w:tcMar>
              <w:top w:w="100" w:type="dxa"/>
              <w:left w:w="115" w:type="dxa"/>
              <w:bottom w:w="100" w:type="dxa"/>
              <w:right w:w="115" w:type="dxa"/>
            </w:tcMar>
          </w:tcPr>
          <w:p w14:paraId="06F9ED27" w14:textId="77777777" w:rsidR="00536040" w:rsidRPr="00383F3C" w:rsidRDefault="00536040" w:rsidP="00536040">
            <w:pPr>
              <w:ind w:right="-194"/>
              <w:rPr>
                <w:rFonts w:cs="Tahoma"/>
                <w:b/>
                <w:bCs/>
                <w:color w:val="2D2D2C"/>
              </w:rPr>
            </w:pPr>
            <w:r w:rsidRPr="00645AB7">
              <w:rPr>
                <w:rFonts w:cs="Tahoma"/>
                <w:b/>
                <w:bCs/>
              </w:rPr>
              <w:t>This standard has familiar language, but I haven’t mastered it.</w:t>
            </w:r>
          </w:p>
        </w:tc>
        <w:tc>
          <w:tcPr>
            <w:tcW w:w="2728" w:type="dxa"/>
            <w:shd w:val="clear" w:color="auto" w:fill="D9D9D9" w:themeFill="background1" w:themeFillShade="D9"/>
            <w:tcMar>
              <w:left w:w="115" w:type="dxa"/>
              <w:right w:w="115" w:type="dxa"/>
            </w:tcMar>
          </w:tcPr>
          <w:p w14:paraId="3D0BB3B4" w14:textId="77777777" w:rsidR="00536040" w:rsidRPr="00383F3C" w:rsidRDefault="00536040" w:rsidP="00536040">
            <w:pPr>
              <w:rPr>
                <w:rFonts w:cs="Tahoma"/>
                <w:b/>
                <w:bCs/>
                <w:color w:val="2D2D2C"/>
              </w:rPr>
            </w:pPr>
            <w:r w:rsidRPr="00645AB7">
              <w:rPr>
                <w:rFonts w:cs="Tahoma"/>
                <w:b/>
                <w:bCs/>
              </w:rPr>
              <w:t>I am not familiar with this standard.</w:t>
            </w:r>
          </w:p>
        </w:tc>
      </w:tr>
      <w:tr w:rsidR="00536040" w:rsidRPr="00383F3C" w14:paraId="731A23CE" w14:textId="77777777" w:rsidTr="00632281">
        <w:trPr>
          <w:cantSplit/>
        </w:trPr>
        <w:tc>
          <w:tcPr>
            <w:tcW w:w="1548" w:type="dxa"/>
            <w:shd w:val="clear" w:color="auto" w:fill="FFFFFF" w:themeFill="background1"/>
            <w:tcMar>
              <w:top w:w="100" w:type="dxa"/>
              <w:left w:w="108" w:type="dxa"/>
              <w:bottom w:w="100" w:type="dxa"/>
              <w:right w:w="108" w:type="dxa"/>
            </w:tcMar>
          </w:tcPr>
          <w:p w14:paraId="01EAC774" w14:textId="77777777" w:rsidR="00536040" w:rsidRPr="00602135" w:rsidRDefault="00536040" w:rsidP="00536040">
            <w:pPr>
              <w:pStyle w:val="ToolTableText"/>
            </w:pPr>
            <w:r w:rsidRPr="00602135">
              <w:t>RI.11-12.1.a</w:t>
            </w:r>
          </w:p>
        </w:tc>
        <w:tc>
          <w:tcPr>
            <w:tcW w:w="3402" w:type="dxa"/>
            <w:shd w:val="clear" w:color="auto" w:fill="FFFFFF" w:themeFill="background1"/>
            <w:tcMar>
              <w:top w:w="100" w:type="dxa"/>
              <w:left w:w="108" w:type="dxa"/>
              <w:bottom w:w="100" w:type="dxa"/>
              <w:right w:w="108" w:type="dxa"/>
            </w:tcMar>
          </w:tcPr>
          <w:p w14:paraId="26F25395" w14:textId="77777777" w:rsidR="00536040" w:rsidRPr="00887CFF" w:rsidRDefault="00536040" w:rsidP="00536040">
            <w:pPr>
              <w:autoSpaceDE w:val="0"/>
              <w:autoSpaceDN w:val="0"/>
              <w:adjustRightInd w:val="0"/>
              <w:spacing w:before="0" w:after="0"/>
              <w:rPr>
                <w:rFonts w:cs="Perpetua"/>
              </w:rPr>
            </w:pPr>
            <w:r w:rsidRPr="00887CFF">
              <w:t xml:space="preserve">Cite strong and thorough textual evidence to support analysis of what the text says explicitly as well as inferences drawn from the text, </w:t>
            </w:r>
            <w:r w:rsidRPr="00887CFF">
              <w:rPr>
                <w:rFonts w:cs="Perpetua"/>
              </w:rPr>
              <w:t>including determining where the text leaves matters uncertain.</w:t>
            </w:r>
          </w:p>
          <w:p w14:paraId="397D3593" w14:textId="77777777" w:rsidR="00536040" w:rsidRDefault="00536040" w:rsidP="00536040">
            <w:pPr>
              <w:pStyle w:val="ToolTableText"/>
              <w:numPr>
                <w:ilvl w:val="0"/>
                <w:numId w:val="25"/>
              </w:numPr>
              <w:rPr>
                <w:rFonts w:cs="Perpetua"/>
              </w:rPr>
            </w:pPr>
            <w:r w:rsidRPr="00887CFF">
              <w:t>Develop factual, interpretive, and evaluative questions for further exploration of the topic(s).</w:t>
            </w:r>
          </w:p>
        </w:tc>
        <w:tc>
          <w:tcPr>
            <w:tcW w:w="2700" w:type="dxa"/>
            <w:shd w:val="clear" w:color="auto" w:fill="FFFFFF" w:themeFill="background1"/>
          </w:tcPr>
          <w:p w14:paraId="137D2CF6" w14:textId="77777777" w:rsidR="00536040" w:rsidRPr="00383F3C" w:rsidRDefault="00536040" w:rsidP="00536040">
            <w:pPr>
              <w:rPr>
                <w:rFonts w:cs="Tahoma"/>
                <w:b/>
                <w:bCs/>
                <w:color w:val="2D2D2C"/>
              </w:rPr>
            </w:pPr>
          </w:p>
        </w:tc>
        <w:tc>
          <w:tcPr>
            <w:tcW w:w="2700" w:type="dxa"/>
            <w:shd w:val="clear" w:color="auto" w:fill="FFFFFF" w:themeFill="background1"/>
          </w:tcPr>
          <w:p w14:paraId="443283B4" w14:textId="77777777" w:rsidR="00536040" w:rsidRPr="00383F3C" w:rsidRDefault="00536040" w:rsidP="00536040">
            <w:pPr>
              <w:ind w:right="-194"/>
              <w:rPr>
                <w:rFonts w:cs="Tahoma"/>
                <w:b/>
                <w:bCs/>
                <w:color w:val="2D2D2C"/>
              </w:rPr>
            </w:pPr>
          </w:p>
        </w:tc>
        <w:tc>
          <w:tcPr>
            <w:tcW w:w="2728" w:type="dxa"/>
            <w:shd w:val="clear" w:color="auto" w:fill="FFFFFF" w:themeFill="background1"/>
          </w:tcPr>
          <w:p w14:paraId="60F35BEB" w14:textId="77777777" w:rsidR="00536040" w:rsidRPr="00383F3C" w:rsidRDefault="00536040" w:rsidP="00536040">
            <w:pPr>
              <w:rPr>
                <w:rFonts w:cs="Tahoma"/>
                <w:b/>
                <w:bCs/>
                <w:color w:val="2D2D2C"/>
              </w:rPr>
            </w:pPr>
          </w:p>
        </w:tc>
      </w:tr>
    </w:tbl>
    <w:p w14:paraId="75E64046" w14:textId="77777777" w:rsidR="00536040" w:rsidRDefault="00536040">
      <w:r>
        <w:br w:type="page"/>
      </w:r>
    </w:p>
    <w:tbl>
      <w:tblPr>
        <w:tblW w:w="13078"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36040" w:rsidRPr="00383F3C" w14:paraId="21012CFE" w14:textId="77777777" w:rsidTr="00536040">
        <w:trPr>
          <w:cantSplit/>
          <w:trHeight w:val="1178"/>
          <w:tblHeader/>
        </w:trPr>
        <w:tc>
          <w:tcPr>
            <w:tcW w:w="4950" w:type="dxa"/>
            <w:gridSpan w:val="2"/>
            <w:tcBorders>
              <w:top w:val="single" w:sz="4" w:space="0" w:color="auto"/>
              <w:left w:val="single" w:sz="4" w:space="0" w:color="auto"/>
              <w:bottom w:val="single" w:sz="6" w:space="0" w:color="auto"/>
              <w:right w:val="single" w:sz="6" w:space="0" w:color="auto"/>
            </w:tcBorders>
            <w:shd w:val="clear" w:color="auto" w:fill="D9D9D9" w:themeFill="background1" w:themeFillShade="D9"/>
            <w:tcMar>
              <w:top w:w="100" w:type="dxa"/>
              <w:left w:w="108" w:type="dxa"/>
              <w:bottom w:w="100" w:type="dxa"/>
              <w:right w:w="108" w:type="dxa"/>
            </w:tcMar>
          </w:tcPr>
          <w:p w14:paraId="68138A46" w14:textId="70C94EF0" w:rsidR="00536040" w:rsidRPr="00540BAC" w:rsidRDefault="00536040" w:rsidP="00536040">
            <w:pPr>
              <w:tabs>
                <w:tab w:val="left" w:pos="2067"/>
              </w:tabs>
              <w:spacing w:after="60"/>
              <w:ind w:left="72" w:hanging="72"/>
              <w:rPr>
                <w:rFonts w:cs="Tahoma"/>
                <w:b/>
                <w:bCs/>
              </w:rPr>
            </w:pPr>
            <w:r w:rsidRPr="00540BAC">
              <w:rPr>
                <w:rFonts w:cs="Tahoma"/>
                <w:b/>
                <w:bCs/>
              </w:rPr>
              <w:lastRenderedPageBreak/>
              <w:t xml:space="preserve">CCS Standards: </w:t>
            </w:r>
            <w:r>
              <w:rPr>
                <w:rFonts w:cs="Tahoma"/>
                <w:b/>
                <w:bCs/>
              </w:rPr>
              <w:t>Writing</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50AC9AE9" w14:textId="77777777" w:rsidR="00536040" w:rsidRPr="00540BAC" w:rsidRDefault="00536040" w:rsidP="00536040">
            <w:pPr>
              <w:spacing w:after="60"/>
              <w:ind w:left="116"/>
              <w:rPr>
                <w:rFonts w:cs="Tahoma"/>
                <w:b/>
                <w:bCs/>
              </w:rPr>
            </w:pPr>
            <w:r w:rsidRPr="00645AB7">
              <w:rPr>
                <w:rFonts w:cs="Tahoma"/>
                <w:b/>
                <w:bCs/>
              </w:rPr>
              <w:t>I know what this is asking and I can do this.</w:t>
            </w:r>
          </w:p>
        </w:tc>
        <w:tc>
          <w:tcPr>
            <w:tcW w:w="2700"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08BFC3AD" w14:textId="77777777" w:rsidR="00536040" w:rsidRPr="00540BAC" w:rsidRDefault="00536040" w:rsidP="00536040">
            <w:pPr>
              <w:spacing w:after="60"/>
              <w:ind w:left="104" w:right="-194"/>
              <w:rPr>
                <w:rFonts w:cs="Tahoma"/>
                <w:b/>
                <w:bCs/>
              </w:rPr>
            </w:pPr>
            <w:r w:rsidRPr="00645AB7">
              <w:rPr>
                <w:rFonts w:cs="Tahoma"/>
                <w:b/>
                <w:bCs/>
              </w:rPr>
              <w:t>This standard has familiar language, but I haven’t mastered it.</w:t>
            </w:r>
          </w:p>
        </w:tc>
        <w:tc>
          <w:tcPr>
            <w:tcW w:w="2728" w:type="dxa"/>
            <w:tcBorders>
              <w:top w:val="single" w:sz="4" w:space="0" w:color="auto"/>
              <w:left w:val="single" w:sz="6" w:space="0" w:color="auto"/>
              <w:bottom w:val="single" w:sz="6" w:space="0" w:color="auto"/>
              <w:right w:val="single" w:sz="4" w:space="0" w:color="auto"/>
            </w:tcBorders>
            <w:shd w:val="clear" w:color="auto" w:fill="D9D9D9" w:themeFill="background1" w:themeFillShade="D9"/>
          </w:tcPr>
          <w:p w14:paraId="3FC26DF5" w14:textId="77777777" w:rsidR="00536040" w:rsidRPr="00540BAC" w:rsidRDefault="00536040" w:rsidP="00536040">
            <w:pPr>
              <w:spacing w:after="60"/>
              <w:ind w:left="92"/>
              <w:rPr>
                <w:rFonts w:cs="Tahoma"/>
                <w:b/>
                <w:bCs/>
              </w:rPr>
            </w:pPr>
            <w:r w:rsidRPr="00645AB7">
              <w:rPr>
                <w:rFonts w:cs="Tahoma"/>
                <w:b/>
                <w:bCs/>
              </w:rPr>
              <w:t>I am not familiar with this standard.</w:t>
            </w:r>
          </w:p>
        </w:tc>
      </w:tr>
      <w:tr w:rsidR="00536040" w:rsidRPr="00383F3C" w14:paraId="658F24D3" w14:textId="77777777" w:rsidTr="00536040">
        <w:trPr>
          <w:cantSplit/>
        </w:trPr>
        <w:tc>
          <w:tcPr>
            <w:tcW w:w="1548" w:type="dxa"/>
            <w:shd w:val="clear" w:color="auto" w:fill="FFFFFF"/>
            <w:tcMar>
              <w:top w:w="100" w:type="dxa"/>
              <w:left w:w="108" w:type="dxa"/>
              <w:bottom w:w="100" w:type="dxa"/>
              <w:right w:w="108" w:type="dxa"/>
            </w:tcMar>
          </w:tcPr>
          <w:p w14:paraId="4527CFB5" w14:textId="77777777" w:rsidR="00536040" w:rsidRPr="00602135" w:rsidRDefault="00536040" w:rsidP="00536040">
            <w:pPr>
              <w:pStyle w:val="ToolTableText"/>
            </w:pPr>
            <w:r w:rsidRPr="00602135">
              <w:t>W.11-12.1</w:t>
            </w:r>
          </w:p>
        </w:tc>
        <w:tc>
          <w:tcPr>
            <w:tcW w:w="3402" w:type="dxa"/>
            <w:shd w:val="clear" w:color="auto" w:fill="FFFFFF"/>
            <w:tcMar>
              <w:top w:w="100" w:type="dxa"/>
              <w:left w:w="108" w:type="dxa"/>
              <w:bottom w:w="100" w:type="dxa"/>
              <w:right w:w="108" w:type="dxa"/>
            </w:tcMar>
          </w:tcPr>
          <w:p w14:paraId="23583EE1" w14:textId="77777777" w:rsidR="00536040" w:rsidRPr="00696E6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tc>
        <w:tc>
          <w:tcPr>
            <w:tcW w:w="2700" w:type="dxa"/>
            <w:shd w:val="clear" w:color="auto" w:fill="FFFFFF"/>
          </w:tcPr>
          <w:p w14:paraId="0B70F557" w14:textId="77777777" w:rsidR="00536040" w:rsidRPr="00383F3C" w:rsidRDefault="00536040" w:rsidP="00536040">
            <w:pPr>
              <w:pStyle w:val="ToolTableText"/>
            </w:pPr>
          </w:p>
        </w:tc>
        <w:tc>
          <w:tcPr>
            <w:tcW w:w="2700" w:type="dxa"/>
            <w:shd w:val="clear" w:color="auto" w:fill="FFFFFF"/>
          </w:tcPr>
          <w:p w14:paraId="0780B58B" w14:textId="77777777" w:rsidR="00536040" w:rsidRPr="00383F3C" w:rsidRDefault="00536040" w:rsidP="00536040">
            <w:pPr>
              <w:pStyle w:val="ToolTableText"/>
            </w:pPr>
          </w:p>
        </w:tc>
        <w:tc>
          <w:tcPr>
            <w:tcW w:w="2728" w:type="dxa"/>
            <w:shd w:val="clear" w:color="auto" w:fill="FFFFFF"/>
          </w:tcPr>
          <w:p w14:paraId="6FC14C0B" w14:textId="77777777" w:rsidR="00536040" w:rsidRPr="00383F3C" w:rsidRDefault="00536040" w:rsidP="00536040">
            <w:pPr>
              <w:pStyle w:val="ToolTableText"/>
            </w:pPr>
          </w:p>
        </w:tc>
      </w:tr>
      <w:tr w:rsidR="00536040" w:rsidRPr="00383F3C" w14:paraId="0C99A4C3" w14:textId="77777777" w:rsidTr="00536040">
        <w:trPr>
          <w:cantSplit/>
        </w:trPr>
        <w:tc>
          <w:tcPr>
            <w:tcW w:w="1548" w:type="dxa"/>
            <w:shd w:val="clear" w:color="auto" w:fill="FFFFFF"/>
            <w:tcMar>
              <w:top w:w="100" w:type="dxa"/>
              <w:left w:w="108" w:type="dxa"/>
              <w:bottom w:w="100" w:type="dxa"/>
              <w:right w:w="108" w:type="dxa"/>
            </w:tcMar>
          </w:tcPr>
          <w:p w14:paraId="1697535A" w14:textId="05B9F57C" w:rsidR="00536040" w:rsidRPr="00602135" w:rsidRDefault="00536040" w:rsidP="00536040">
            <w:pPr>
              <w:pStyle w:val="ToolTableText"/>
            </w:pPr>
            <w:r w:rsidRPr="00602135">
              <w:t>W.11-12.1.a</w:t>
            </w:r>
          </w:p>
        </w:tc>
        <w:tc>
          <w:tcPr>
            <w:tcW w:w="3402" w:type="dxa"/>
            <w:shd w:val="clear" w:color="auto" w:fill="FFFFFF"/>
            <w:tcMar>
              <w:top w:w="100" w:type="dxa"/>
              <w:left w:w="108" w:type="dxa"/>
              <w:bottom w:w="100" w:type="dxa"/>
              <w:right w:w="108" w:type="dxa"/>
            </w:tcMar>
          </w:tcPr>
          <w:p w14:paraId="4A0B42DB"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46656FF9" w14:textId="2D1096DD" w:rsidR="00536040" w:rsidRPr="00887CFF" w:rsidRDefault="00536040" w:rsidP="00536040">
            <w:pPr>
              <w:pStyle w:val="ToolTableText"/>
            </w:pPr>
            <w:r w:rsidRPr="00BC6543">
              <w:t>Introduce precise, knowledgeable claim(s), establish the significance of the claim(s), distinguish the claim(s) from alternate or opposing claims, and create an organization that logically sequences claim(s), counterclaims, reasons, and evidence.</w:t>
            </w:r>
          </w:p>
        </w:tc>
        <w:tc>
          <w:tcPr>
            <w:tcW w:w="2700" w:type="dxa"/>
            <w:shd w:val="clear" w:color="auto" w:fill="FFFFFF"/>
          </w:tcPr>
          <w:p w14:paraId="3C8579DA" w14:textId="77777777" w:rsidR="00536040" w:rsidRPr="00383F3C" w:rsidRDefault="00536040" w:rsidP="00536040">
            <w:pPr>
              <w:pStyle w:val="ToolTableText"/>
            </w:pPr>
          </w:p>
        </w:tc>
        <w:tc>
          <w:tcPr>
            <w:tcW w:w="2700" w:type="dxa"/>
            <w:shd w:val="clear" w:color="auto" w:fill="FFFFFF"/>
          </w:tcPr>
          <w:p w14:paraId="67A0643A" w14:textId="77777777" w:rsidR="00536040" w:rsidRPr="00383F3C" w:rsidRDefault="00536040" w:rsidP="00536040">
            <w:pPr>
              <w:pStyle w:val="ToolTableText"/>
            </w:pPr>
          </w:p>
        </w:tc>
        <w:tc>
          <w:tcPr>
            <w:tcW w:w="2728" w:type="dxa"/>
            <w:shd w:val="clear" w:color="auto" w:fill="FFFFFF"/>
          </w:tcPr>
          <w:p w14:paraId="0F320294" w14:textId="77777777" w:rsidR="00536040" w:rsidRPr="00383F3C" w:rsidRDefault="00536040" w:rsidP="00536040">
            <w:pPr>
              <w:pStyle w:val="ToolTableText"/>
            </w:pPr>
          </w:p>
        </w:tc>
      </w:tr>
      <w:tr w:rsidR="00536040" w:rsidRPr="00383F3C" w14:paraId="30225111" w14:textId="77777777" w:rsidTr="00536040">
        <w:trPr>
          <w:cantSplit/>
        </w:trPr>
        <w:tc>
          <w:tcPr>
            <w:tcW w:w="1548" w:type="dxa"/>
            <w:shd w:val="clear" w:color="auto" w:fill="FFFFFF"/>
            <w:tcMar>
              <w:top w:w="100" w:type="dxa"/>
              <w:left w:w="108" w:type="dxa"/>
              <w:bottom w:w="100" w:type="dxa"/>
              <w:right w:w="108" w:type="dxa"/>
            </w:tcMar>
          </w:tcPr>
          <w:p w14:paraId="5A893AAC" w14:textId="77777777" w:rsidR="00536040" w:rsidRPr="00602135" w:rsidRDefault="00536040" w:rsidP="00536040">
            <w:pPr>
              <w:pStyle w:val="ToolTableText"/>
            </w:pPr>
            <w:r w:rsidRPr="00602135">
              <w:lastRenderedPageBreak/>
              <w:t>W.11-12.1.b</w:t>
            </w:r>
          </w:p>
        </w:tc>
        <w:tc>
          <w:tcPr>
            <w:tcW w:w="3402" w:type="dxa"/>
            <w:shd w:val="clear" w:color="auto" w:fill="FFFFFF"/>
            <w:tcMar>
              <w:top w:w="100" w:type="dxa"/>
              <w:left w:w="108" w:type="dxa"/>
              <w:bottom w:w="100" w:type="dxa"/>
              <w:right w:w="108" w:type="dxa"/>
            </w:tcMar>
          </w:tcPr>
          <w:p w14:paraId="5D9CBB03"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60BF5CD2" w14:textId="77777777" w:rsidR="00536040" w:rsidRPr="00696E60" w:rsidRDefault="00536040" w:rsidP="00536040">
            <w:pPr>
              <w:pStyle w:val="ToolTableText"/>
              <w:numPr>
                <w:ilvl w:val="0"/>
                <w:numId w:val="27"/>
              </w:numPr>
            </w:pPr>
            <w:r>
              <w:t xml:space="preserve"> </w:t>
            </w:r>
            <w:r w:rsidRPr="00887CFF">
              <w:t>Develop claim(s) and counterclaims fairly and thoroughly, supplying the most relevant evidence for each while pointing out the strengths and limitations of both in a manner that anticipates the audience’s knowledge level, concerns, values and possible biases.</w:t>
            </w:r>
          </w:p>
        </w:tc>
        <w:tc>
          <w:tcPr>
            <w:tcW w:w="2700" w:type="dxa"/>
            <w:shd w:val="clear" w:color="auto" w:fill="FFFFFF"/>
          </w:tcPr>
          <w:p w14:paraId="2858D25C" w14:textId="77777777" w:rsidR="00536040" w:rsidRPr="00383F3C" w:rsidRDefault="00536040" w:rsidP="00536040">
            <w:pPr>
              <w:pStyle w:val="ToolTableText"/>
            </w:pPr>
          </w:p>
        </w:tc>
        <w:tc>
          <w:tcPr>
            <w:tcW w:w="2700" w:type="dxa"/>
            <w:shd w:val="clear" w:color="auto" w:fill="FFFFFF"/>
          </w:tcPr>
          <w:p w14:paraId="728AE6BD" w14:textId="77777777" w:rsidR="00536040" w:rsidRPr="00383F3C" w:rsidRDefault="00536040" w:rsidP="00536040">
            <w:pPr>
              <w:pStyle w:val="ToolTableText"/>
            </w:pPr>
          </w:p>
        </w:tc>
        <w:tc>
          <w:tcPr>
            <w:tcW w:w="2728" w:type="dxa"/>
            <w:shd w:val="clear" w:color="auto" w:fill="FFFFFF"/>
          </w:tcPr>
          <w:p w14:paraId="55C2E043" w14:textId="77777777" w:rsidR="00536040" w:rsidRPr="00383F3C" w:rsidRDefault="00536040" w:rsidP="00536040">
            <w:pPr>
              <w:pStyle w:val="ToolTableText"/>
            </w:pPr>
          </w:p>
        </w:tc>
      </w:tr>
      <w:tr w:rsidR="00536040" w:rsidRPr="00383F3C" w14:paraId="435225F4" w14:textId="77777777" w:rsidTr="00536040">
        <w:trPr>
          <w:cantSplit/>
        </w:trPr>
        <w:tc>
          <w:tcPr>
            <w:tcW w:w="1548" w:type="dxa"/>
            <w:shd w:val="clear" w:color="auto" w:fill="FFFFFF"/>
            <w:tcMar>
              <w:top w:w="100" w:type="dxa"/>
              <w:left w:w="108" w:type="dxa"/>
              <w:bottom w:w="100" w:type="dxa"/>
              <w:right w:w="108" w:type="dxa"/>
            </w:tcMar>
          </w:tcPr>
          <w:p w14:paraId="2F8CD424" w14:textId="77777777" w:rsidR="00536040" w:rsidRPr="00602135" w:rsidRDefault="00536040" w:rsidP="00536040">
            <w:pPr>
              <w:pStyle w:val="ToolTableText"/>
            </w:pPr>
            <w:r w:rsidRPr="00602135">
              <w:lastRenderedPageBreak/>
              <w:t>W.11-12.1.c</w:t>
            </w:r>
          </w:p>
        </w:tc>
        <w:tc>
          <w:tcPr>
            <w:tcW w:w="3402" w:type="dxa"/>
            <w:shd w:val="clear" w:color="auto" w:fill="FFFFFF"/>
            <w:tcMar>
              <w:top w:w="100" w:type="dxa"/>
              <w:left w:w="108" w:type="dxa"/>
              <w:bottom w:w="100" w:type="dxa"/>
              <w:right w:w="108" w:type="dxa"/>
            </w:tcMar>
          </w:tcPr>
          <w:p w14:paraId="48B3302F"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1D4C6360" w14:textId="77777777" w:rsidR="00536040" w:rsidRPr="00696E60" w:rsidRDefault="00536040" w:rsidP="00536040">
            <w:pPr>
              <w:pStyle w:val="ToolTableText"/>
              <w:numPr>
                <w:ilvl w:val="0"/>
                <w:numId w:val="28"/>
              </w:numPr>
            </w:pPr>
            <w:r w:rsidRPr="00887CFF">
              <w:t>Use words, phrases, and clauses as well as varied syntax to link the major sections of the text, create cohesion and clarify the relationships between claim(s) and reasons, between reasons and evidence, and between claim(s) and counterclaims.</w:t>
            </w:r>
          </w:p>
        </w:tc>
        <w:tc>
          <w:tcPr>
            <w:tcW w:w="2700" w:type="dxa"/>
            <w:shd w:val="clear" w:color="auto" w:fill="FFFFFF"/>
          </w:tcPr>
          <w:p w14:paraId="168D2DB9" w14:textId="77777777" w:rsidR="00536040" w:rsidRPr="00383F3C" w:rsidRDefault="00536040" w:rsidP="00536040">
            <w:pPr>
              <w:pStyle w:val="ToolTableText"/>
            </w:pPr>
          </w:p>
        </w:tc>
        <w:tc>
          <w:tcPr>
            <w:tcW w:w="2700" w:type="dxa"/>
            <w:shd w:val="clear" w:color="auto" w:fill="FFFFFF"/>
          </w:tcPr>
          <w:p w14:paraId="411FCF80" w14:textId="77777777" w:rsidR="00536040" w:rsidRPr="00383F3C" w:rsidRDefault="00536040" w:rsidP="00536040">
            <w:pPr>
              <w:pStyle w:val="ToolTableText"/>
            </w:pPr>
          </w:p>
        </w:tc>
        <w:tc>
          <w:tcPr>
            <w:tcW w:w="2728" w:type="dxa"/>
            <w:shd w:val="clear" w:color="auto" w:fill="FFFFFF"/>
          </w:tcPr>
          <w:p w14:paraId="7C682B4D" w14:textId="77777777" w:rsidR="00536040" w:rsidRPr="00383F3C" w:rsidRDefault="00536040" w:rsidP="00536040">
            <w:pPr>
              <w:pStyle w:val="ToolTableText"/>
            </w:pPr>
          </w:p>
        </w:tc>
      </w:tr>
      <w:tr w:rsidR="00536040" w:rsidRPr="00383F3C" w14:paraId="6D8CB59B" w14:textId="77777777" w:rsidTr="00536040">
        <w:trPr>
          <w:cantSplit/>
        </w:trPr>
        <w:tc>
          <w:tcPr>
            <w:tcW w:w="1548" w:type="dxa"/>
            <w:shd w:val="clear" w:color="auto" w:fill="FFFFFF"/>
            <w:tcMar>
              <w:top w:w="100" w:type="dxa"/>
              <w:left w:w="108" w:type="dxa"/>
              <w:bottom w:w="100" w:type="dxa"/>
              <w:right w:w="108" w:type="dxa"/>
            </w:tcMar>
          </w:tcPr>
          <w:p w14:paraId="4186DA95" w14:textId="77777777" w:rsidR="00536040" w:rsidRPr="00602135" w:rsidRDefault="00536040" w:rsidP="00536040">
            <w:pPr>
              <w:pStyle w:val="ToolTableText"/>
            </w:pPr>
            <w:r w:rsidRPr="00602135">
              <w:lastRenderedPageBreak/>
              <w:t>W.11-12.1.d</w:t>
            </w:r>
          </w:p>
        </w:tc>
        <w:tc>
          <w:tcPr>
            <w:tcW w:w="3402" w:type="dxa"/>
            <w:shd w:val="clear" w:color="auto" w:fill="FFFFFF"/>
            <w:tcMar>
              <w:top w:w="100" w:type="dxa"/>
              <w:left w:w="108" w:type="dxa"/>
              <w:bottom w:w="100" w:type="dxa"/>
              <w:right w:w="108" w:type="dxa"/>
            </w:tcMar>
          </w:tcPr>
          <w:p w14:paraId="6D7C50E8"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5538B8C2" w14:textId="77777777" w:rsidR="00536040" w:rsidRPr="00696E60" w:rsidRDefault="00536040" w:rsidP="00536040">
            <w:pPr>
              <w:pStyle w:val="ToolTableText"/>
              <w:numPr>
                <w:ilvl w:val="0"/>
                <w:numId w:val="29"/>
              </w:numPr>
            </w:pPr>
            <w:r w:rsidRPr="00887CFF">
              <w:t>Establish and maintain a formal style and objective tone while attending to the norms and conventions of the discipline in which they are writing.</w:t>
            </w:r>
          </w:p>
        </w:tc>
        <w:tc>
          <w:tcPr>
            <w:tcW w:w="2700" w:type="dxa"/>
            <w:shd w:val="clear" w:color="auto" w:fill="FFFFFF"/>
          </w:tcPr>
          <w:p w14:paraId="7C14DAA4" w14:textId="77777777" w:rsidR="00536040" w:rsidRPr="00383F3C" w:rsidRDefault="00536040" w:rsidP="00536040">
            <w:pPr>
              <w:pStyle w:val="ToolTableText"/>
            </w:pPr>
          </w:p>
        </w:tc>
        <w:tc>
          <w:tcPr>
            <w:tcW w:w="2700" w:type="dxa"/>
            <w:shd w:val="clear" w:color="auto" w:fill="FFFFFF"/>
          </w:tcPr>
          <w:p w14:paraId="4714C28F" w14:textId="77777777" w:rsidR="00536040" w:rsidRPr="00383F3C" w:rsidRDefault="00536040" w:rsidP="00536040">
            <w:pPr>
              <w:pStyle w:val="ToolTableText"/>
            </w:pPr>
          </w:p>
        </w:tc>
        <w:tc>
          <w:tcPr>
            <w:tcW w:w="2728" w:type="dxa"/>
            <w:shd w:val="clear" w:color="auto" w:fill="FFFFFF"/>
          </w:tcPr>
          <w:p w14:paraId="0278C0E5" w14:textId="77777777" w:rsidR="00536040" w:rsidRPr="00383F3C" w:rsidRDefault="00536040" w:rsidP="00536040">
            <w:pPr>
              <w:pStyle w:val="ToolTableText"/>
            </w:pPr>
          </w:p>
        </w:tc>
      </w:tr>
      <w:tr w:rsidR="00536040" w:rsidRPr="00383F3C" w14:paraId="5146F50F" w14:textId="77777777" w:rsidTr="00536040">
        <w:trPr>
          <w:cantSplit/>
        </w:trPr>
        <w:tc>
          <w:tcPr>
            <w:tcW w:w="1548" w:type="dxa"/>
            <w:shd w:val="clear" w:color="auto" w:fill="FFFFFF"/>
            <w:tcMar>
              <w:top w:w="100" w:type="dxa"/>
              <w:left w:w="108" w:type="dxa"/>
              <w:bottom w:w="100" w:type="dxa"/>
              <w:right w:w="108" w:type="dxa"/>
            </w:tcMar>
          </w:tcPr>
          <w:p w14:paraId="4A1FDFCA" w14:textId="77777777" w:rsidR="00536040" w:rsidRPr="00602135" w:rsidRDefault="00536040" w:rsidP="00536040">
            <w:pPr>
              <w:pStyle w:val="ToolTableText"/>
            </w:pPr>
            <w:r w:rsidRPr="00602135">
              <w:t>W.11-12.1.e</w:t>
            </w:r>
          </w:p>
        </w:tc>
        <w:tc>
          <w:tcPr>
            <w:tcW w:w="3402" w:type="dxa"/>
            <w:shd w:val="clear" w:color="auto" w:fill="FFFFFF"/>
            <w:tcMar>
              <w:top w:w="100" w:type="dxa"/>
              <w:left w:w="108" w:type="dxa"/>
              <w:bottom w:w="100" w:type="dxa"/>
              <w:right w:w="108" w:type="dxa"/>
            </w:tcMar>
          </w:tcPr>
          <w:p w14:paraId="43D9291E" w14:textId="77777777" w:rsidR="00536040" w:rsidRDefault="00536040" w:rsidP="00536040">
            <w:pPr>
              <w:pStyle w:val="ToolTableText"/>
            </w:pPr>
            <w:r w:rsidRPr="00887CFF">
              <w:t>Write arguments to support claims in an analysis of substantive topics or texts, using valid reasoning and relevant and sufficient evidence. Explore and inquire into areas of interest to formulate an argument.</w:t>
            </w:r>
          </w:p>
          <w:p w14:paraId="7D0B2A7A" w14:textId="77777777" w:rsidR="00536040" w:rsidRPr="00696E60" w:rsidRDefault="00536040" w:rsidP="00536040">
            <w:pPr>
              <w:pStyle w:val="ToolTableText"/>
              <w:numPr>
                <w:ilvl w:val="0"/>
                <w:numId w:val="30"/>
              </w:numPr>
            </w:pPr>
            <w:r w:rsidRPr="00887CFF">
              <w:t>Provide a concluding statement or section that follows from and supports the argument presented.</w:t>
            </w:r>
          </w:p>
        </w:tc>
        <w:tc>
          <w:tcPr>
            <w:tcW w:w="2700" w:type="dxa"/>
            <w:shd w:val="clear" w:color="auto" w:fill="FFFFFF"/>
          </w:tcPr>
          <w:p w14:paraId="30698E92" w14:textId="77777777" w:rsidR="00536040" w:rsidRPr="00383F3C" w:rsidRDefault="00536040" w:rsidP="00536040">
            <w:pPr>
              <w:pStyle w:val="ToolTableText"/>
            </w:pPr>
          </w:p>
        </w:tc>
        <w:tc>
          <w:tcPr>
            <w:tcW w:w="2700" w:type="dxa"/>
            <w:shd w:val="clear" w:color="auto" w:fill="FFFFFF"/>
          </w:tcPr>
          <w:p w14:paraId="5C8F4171" w14:textId="77777777" w:rsidR="00536040" w:rsidRPr="00383F3C" w:rsidRDefault="00536040" w:rsidP="00536040">
            <w:pPr>
              <w:pStyle w:val="ToolTableText"/>
            </w:pPr>
          </w:p>
        </w:tc>
        <w:tc>
          <w:tcPr>
            <w:tcW w:w="2728" w:type="dxa"/>
            <w:shd w:val="clear" w:color="auto" w:fill="FFFFFF"/>
          </w:tcPr>
          <w:p w14:paraId="7ECE740C" w14:textId="77777777" w:rsidR="00536040" w:rsidRPr="00383F3C" w:rsidRDefault="00536040" w:rsidP="00536040">
            <w:pPr>
              <w:pStyle w:val="ToolTableText"/>
            </w:pPr>
          </w:p>
        </w:tc>
      </w:tr>
      <w:tr w:rsidR="00536040" w:rsidRPr="00383F3C" w14:paraId="1B48D28F" w14:textId="77777777" w:rsidTr="00536040">
        <w:trPr>
          <w:cantSplit/>
        </w:trPr>
        <w:tc>
          <w:tcPr>
            <w:tcW w:w="1548" w:type="dxa"/>
            <w:shd w:val="clear" w:color="auto" w:fill="FFFFFF"/>
            <w:tcMar>
              <w:top w:w="100" w:type="dxa"/>
              <w:left w:w="108" w:type="dxa"/>
              <w:bottom w:w="100" w:type="dxa"/>
              <w:right w:w="108" w:type="dxa"/>
            </w:tcMar>
          </w:tcPr>
          <w:p w14:paraId="2A340E4D" w14:textId="77777777" w:rsidR="00536040" w:rsidRDefault="00536040" w:rsidP="00536040">
            <w:pPr>
              <w:pStyle w:val="ToolTableText"/>
              <w:rPr>
                <w:b/>
              </w:rPr>
            </w:pPr>
            <w:r w:rsidRPr="00887CFF">
              <w:lastRenderedPageBreak/>
              <w:t>W.11-12.7</w:t>
            </w:r>
          </w:p>
        </w:tc>
        <w:tc>
          <w:tcPr>
            <w:tcW w:w="3402" w:type="dxa"/>
            <w:shd w:val="clear" w:color="auto" w:fill="FFFFFF"/>
            <w:tcMar>
              <w:top w:w="100" w:type="dxa"/>
              <w:left w:w="108" w:type="dxa"/>
              <w:bottom w:w="100" w:type="dxa"/>
              <w:right w:w="108" w:type="dxa"/>
            </w:tcMar>
          </w:tcPr>
          <w:p w14:paraId="2A156F40" w14:textId="77777777" w:rsidR="00536040" w:rsidRPr="00887CFF" w:rsidRDefault="00536040" w:rsidP="00536040">
            <w:pPr>
              <w:pStyle w:val="ToolTableText"/>
            </w:pPr>
            <w:r w:rsidRPr="00887CFF">
              <w:t>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w:t>
            </w:r>
          </w:p>
        </w:tc>
        <w:tc>
          <w:tcPr>
            <w:tcW w:w="2700" w:type="dxa"/>
            <w:shd w:val="clear" w:color="auto" w:fill="FFFFFF"/>
          </w:tcPr>
          <w:p w14:paraId="1359A479" w14:textId="77777777" w:rsidR="00536040" w:rsidRPr="00383F3C" w:rsidRDefault="00536040" w:rsidP="00536040">
            <w:pPr>
              <w:pStyle w:val="ToolTableText"/>
            </w:pPr>
          </w:p>
        </w:tc>
        <w:tc>
          <w:tcPr>
            <w:tcW w:w="2700" w:type="dxa"/>
            <w:shd w:val="clear" w:color="auto" w:fill="FFFFFF"/>
          </w:tcPr>
          <w:p w14:paraId="71076E9A" w14:textId="77777777" w:rsidR="00536040" w:rsidRPr="00383F3C" w:rsidRDefault="00536040" w:rsidP="00536040">
            <w:pPr>
              <w:pStyle w:val="ToolTableText"/>
            </w:pPr>
          </w:p>
        </w:tc>
        <w:tc>
          <w:tcPr>
            <w:tcW w:w="2728" w:type="dxa"/>
            <w:shd w:val="clear" w:color="auto" w:fill="FFFFFF"/>
          </w:tcPr>
          <w:p w14:paraId="452AF013" w14:textId="77777777" w:rsidR="00536040" w:rsidRPr="00383F3C" w:rsidRDefault="00536040" w:rsidP="00536040">
            <w:pPr>
              <w:pStyle w:val="ToolTableText"/>
            </w:pPr>
          </w:p>
        </w:tc>
      </w:tr>
      <w:tr w:rsidR="00536040" w:rsidRPr="00383F3C" w14:paraId="12369337" w14:textId="77777777" w:rsidTr="00536040">
        <w:trPr>
          <w:cantSplit/>
        </w:trPr>
        <w:tc>
          <w:tcPr>
            <w:tcW w:w="1548" w:type="dxa"/>
            <w:shd w:val="clear" w:color="auto" w:fill="FFFFFF"/>
            <w:tcMar>
              <w:top w:w="100" w:type="dxa"/>
              <w:left w:w="108" w:type="dxa"/>
              <w:bottom w:w="100" w:type="dxa"/>
              <w:right w:w="108" w:type="dxa"/>
            </w:tcMar>
          </w:tcPr>
          <w:p w14:paraId="0C66C173" w14:textId="5F5BFAB8" w:rsidR="00536040" w:rsidRPr="00887CFF" w:rsidRDefault="00536040" w:rsidP="00536040">
            <w:pPr>
              <w:pStyle w:val="ToolTableText"/>
            </w:pPr>
            <w:r w:rsidRPr="00887CFF">
              <w:lastRenderedPageBreak/>
              <w:t>W.11-12.8</w:t>
            </w:r>
          </w:p>
        </w:tc>
        <w:tc>
          <w:tcPr>
            <w:tcW w:w="3402" w:type="dxa"/>
            <w:shd w:val="clear" w:color="auto" w:fill="FFFFFF"/>
            <w:tcMar>
              <w:top w:w="100" w:type="dxa"/>
              <w:left w:w="108" w:type="dxa"/>
              <w:bottom w:w="100" w:type="dxa"/>
              <w:right w:w="108" w:type="dxa"/>
            </w:tcMar>
          </w:tcPr>
          <w:p w14:paraId="5D18050F" w14:textId="2D38E7F4" w:rsidR="00536040" w:rsidRPr="00887CFF" w:rsidRDefault="00536040" w:rsidP="00536040">
            <w:pPr>
              <w:pStyle w:val="ToolTableText"/>
            </w:pPr>
            <w:r w:rsidRPr="00887CFF">
              <w:rPr>
                <w:rFonts w:eastAsia="Times New Roman"/>
              </w:rPr>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format for citation</w:t>
            </w:r>
            <w:r>
              <w:rPr>
                <w:rFonts w:eastAsia="Times New Roman"/>
              </w:rPr>
              <w:t>.</w:t>
            </w:r>
          </w:p>
        </w:tc>
        <w:tc>
          <w:tcPr>
            <w:tcW w:w="2700" w:type="dxa"/>
            <w:shd w:val="clear" w:color="auto" w:fill="FFFFFF"/>
          </w:tcPr>
          <w:p w14:paraId="7D86F7B2" w14:textId="77777777" w:rsidR="00536040" w:rsidRPr="00383F3C" w:rsidRDefault="00536040" w:rsidP="00536040">
            <w:pPr>
              <w:pStyle w:val="ToolTableText"/>
            </w:pPr>
          </w:p>
        </w:tc>
        <w:tc>
          <w:tcPr>
            <w:tcW w:w="2700" w:type="dxa"/>
            <w:shd w:val="clear" w:color="auto" w:fill="FFFFFF"/>
          </w:tcPr>
          <w:p w14:paraId="3DD97368" w14:textId="77777777" w:rsidR="00536040" w:rsidRPr="00383F3C" w:rsidRDefault="00536040" w:rsidP="00536040">
            <w:pPr>
              <w:pStyle w:val="ToolTableText"/>
            </w:pPr>
          </w:p>
        </w:tc>
        <w:tc>
          <w:tcPr>
            <w:tcW w:w="2728" w:type="dxa"/>
            <w:shd w:val="clear" w:color="auto" w:fill="FFFFFF"/>
          </w:tcPr>
          <w:p w14:paraId="5A2D2D7A" w14:textId="77777777" w:rsidR="00536040" w:rsidRPr="00383F3C" w:rsidRDefault="00536040" w:rsidP="00536040">
            <w:pPr>
              <w:pStyle w:val="ToolTableText"/>
            </w:pPr>
          </w:p>
        </w:tc>
      </w:tr>
    </w:tbl>
    <w:p w14:paraId="0CA981AE" w14:textId="77777777" w:rsidR="00536040" w:rsidRDefault="00536040" w:rsidP="00536040">
      <w:pPr>
        <w:pStyle w:val="ToolTableText"/>
        <w:rPr>
          <w:b/>
        </w:rPr>
      </w:pPr>
    </w:p>
    <w:p w14:paraId="5DE0A974" w14:textId="77777777" w:rsidR="00536040" w:rsidRDefault="00536040" w:rsidP="00536040">
      <w:pPr>
        <w:pStyle w:val="ToolTableText"/>
        <w:rPr>
          <w:b/>
        </w:rPr>
      </w:pPr>
    </w:p>
    <w:p w14:paraId="0ED1BEA8" w14:textId="77777777" w:rsidR="00536040" w:rsidRDefault="00536040" w:rsidP="00536040">
      <w:pPr>
        <w:pStyle w:val="ToolTableText"/>
        <w:rPr>
          <w:b/>
        </w:rPr>
      </w:pPr>
    </w:p>
    <w:p w14:paraId="53760DA6" w14:textId="48A70EB7" w:rsidR="00536040" w:rsidRDefault="00536040" w:rsidP="00536040">
      <w:pPr>
        <w:spacing w:before="0" w:after="160" w:line="259" w:lineRule="auto"/>
      </w:pPr>
    </w:p>
    <w:tbl>
      <w:tblPr>
        <w:tblW w:w="13078"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36040" w:rsidRPr="00383F3C" w14:paraId="7CD89E4D" w14:textId="77777777" w:rsidTr="00536040">
        <w:trPr>
          <w:cantSplit/>
          <w:tblHeader/>
        </w:trPr>
        <w:tc>
          <w:tcPr>
            <w:tcW w:w="4950" w:type="dxa"/>
            <w:gridSpan w:val="2"/>
            <w:shd w:val="clear" w:color="auto" w:fill="D9D9D9" w:themeFill="background1" w:themeFillShade="D9"/>
            <w:tcMar>
              <w:top w:w="100" w:type="dxa"/>
              <w:left w:w="108" w:type="dxa"/>
              <w:bottom w:w="100" w:type="dxa"/>
              <w:right w:w="108" w:type="dxa"/>
            </w:tcMar>
          </w:tcPr>
          <w:p w14:paraId="72F688CC" w14:textId="77777777" w:rsidR="00536040" w:rsidRPr="00645AB7" w:rsidRDefault="00536040" w:rsidP="00536040">
            <w:pPr>
              <w:spacing w:after="60"/>
              <w:rPr>
                <w:rFonts w:cs="Tahoma"/>
                <w:b/>
              </w:rPr>
            </w:pPr>
            <w:r w:rsidRPr="00645AB7">
              <w:rPr>
                <w:rFonts w:cs="Tahoma"/>
                <w:b/>
              </w:rPr>
              <w:lastRenderedPageBreak/>
              <w:t>CCS Standards: Speaking &amp; Listening</w:t>
            </w:r>
          </w:p>
        </w:tc>
        <w:tc>
          <w:tcPr>
            <w:tcW w:w="2700" w:type="dxa"/>
            <w:shd w:val="clear" w:color="auto" w:fill="D9D9D9" w:themeFill="background1" w:themeFillShade="D9"/>
          </w:tcPr>
          <w:p w14:paraId="76EADEBC" w14:textId="77777777" w:rsidR="00536040" w:rsidRPr="00645AB7" w:rsidRDefault="00536040" w:rsidP="00536040">
            <w:pPr>
              <w:spacing w:after="60"/>
              <w:ind w:left="116"/>
              <w:rPr>
                <w:rFonts w:cs="Tahoma"/>
                <w:b/>
                <w:bCs/>
              </w:rPr>
            </w:pPr>
            <w:r w:rsidRPr="00645AB7">
              <w:rPr>
                <w:rFonts w:cs="Tahoma"/>
                <w:b/>
                <w:bCs/>
              </w:rPr>
              <w:t>I know what this is asking and I can do this.</w:t>
            </w:r>
          </w:p>
        </w:tc>
        <w:tc>
          <w:tcPr>
            <w:tcW w:w="2700" w:type="dxa"/>
            <w:shd w:val="clear" w:color="auto" w:fill="D9D9D9" w:themeFill="background1" w:themeFillShade="D9"/>
          </w:tcPr>
          <w:p w14:paraId="2B6FD067" w14:textId="77777777" w:rsidR="00536040" w:rsidRPr="00645AB7" w:rsidRDefault="00536040" w:rsidP="00536040">
            <w:pPr>
              <w:spacing w:after="60"/>
              <w:ind w:left="104" w:right="-194"/>
              <w:rPr>
                <w:rFonts w:cs="Tahoma"/>
                <w:b/>
                <w:bCs/>
              </w:rPr>
            </w:pPr>
            <w:r w:rsidRPr="00645AB7">
              <w:rPr>
                <w:rFonts w:cs="Tahoma"/>
                <w:b/>
                <w:bCs/>
              </w:rPr>
              <w:t>This standard has familiar language, but I haven’t mastered it.</w:t>
            </w:r>
          </w:p>
        </w:tc>
        <w:tc>
          <w:tcPr>
            <w:tcW w:w="2728" w:type="dxa"/>
            <w:shd w:val="clear" w:color="auto" w:fill="D9D9D9" w:themeFill="background1" w:themeFillShade="D9"/>
          </w:tcPr>
          <w:p w14:paraId="7B9ACDDD" w14:textId="77777777" w:rsidR="00536040" w:rsidRPr="00645AB7" w:rsidRDefault="00536040" w:rsidP="00536040">
            <w:pPr>
              <w:spacing w:after="60"/>
              <w:ind w:left="92"/>
              <w:rPr>
                <w:rFonts w:cs="Tahoma"/>
                <w:b/>
                <w:bCs/>
              </w:rPr>
            </w:pPr>
            <w:r w:rsidRPr="00645AB7">
              <w:rPr>
                <w:rFonts w:cs="Tahoma"/>
                <w:b/>
                <w:bCs/>
              </w:rPr>
              <w:t>I am not familiar with this standard.</w:t>
            </w:r>
          </w:p>
        </w:tc>
      </w:tr>
      <w:tr w:rsidR="00536040" w:rsidRPr="00383F3C" w14:paraId="021BAA9B" w14:textId="77777777" w:rsidTr="00536040">
        <w:trPr>
          <w:cantSplit/>
        </w:trPr>
        <w:tc>
          <w:tcPr>
            <w:tcW w:w="1548" w:type="dxa"/>
            <w:shd w:val="clear" w:color="auto" w:fill="FFFFFF"/>
            <w:tcMar>
              <w:top w:w="100" w:type="dxa"/>
              <w:left w:w="108" w:type="dxa"/>
              <w:bottom w:w="100" w:type="dxa"/>
              <w:right w:w="108" w:type="dxa"/>
            </w:tcMar>
          </w:tcPr>
          <w:p w14:paraId="1D3DFC77" w14:textId="77777777" w:rsidR="00536040" w:rsidRPr="00887CFF" w:rsidRDefault="00536040" w:rsidP="00536040">
            <w:pPr>
              <w:pStyle w:val="ToolTableText"/>
            </w:pPr>
            <w:r>
              <w:t>SL.11-12.1.d</w:t>
            </w:r>
          </w:p>
        </w:tc>
        <w:tc>
          <w:tcPr>
            <w:tcW w:w="3402" w:type="dxa"/>
            <w:shd w:val="clear" w:color="auto" w:fill="FFFFFF"/>
            <w:tcMar>
              <w:top w:w="100" w:type="dxa"/>
              <w:left w:w="108" w:type="dxa"/>
              <w:bottom w:w="100" w:type="dxa"/>
              <w:right w:w="108" w:type="dxa"/>
            </w:tcMar>
          </w:tcPr>
          <w:p w14:paraId="6E0B2AE2" w14:textId="77777777" w:rsidR="00536040" w:rsidRPr="00101485" w:rsidRDefault="00536040" w:rsidP="00536040">
            <w:pPr>
              <w:spacing w:before="0" w:after="0" w:line="240" w:lineRule="auto"/>
              <w:rPr>
                <w:rFonts w:asciiTheme="minorHAnsi" w:eastAsia="Times New Roman" w:hAnsiTheme="minorHAnsi"/>
                <w:color w:val="202020"/>
              </w:rPr>
            </w:pPr>
            <w:r w:rsidRPr="00101485">
              <w:rPr>
                <w:rFonts w:asciiTheme="minorHAnsi" w:eastAsia="Times New Roman" w:hAnsiTheme="minorHAnsi"/>
                <w:color w:val="202020"/>
              </w:rPr>
              <w:t>Initiate and participate effectively in a range of collaborative discussions (one-on-one, in groups, and teacher-led) with diverse partners on grades 11-12 topics, texts, and issues, building on others' ideas and expressing their own clearly and persuasively.</w:t>
            </w:r>
          </w:p>
          <w:p w14:paraId="3D790F25" w14:textId="77777777" w:rsidR="00536040" w:rsidRPr="00101485" w:rsidRDefault="00536040" w:rsidP="00536040">
            <w:pPr>
              <w:spacing w:before="0" w:after="0" w:line="240" w:lineRule="auto"/>
              <w:rPr>
                <w:rFonts w:ascii="Times" w:eastAsia="Times New Roman" w:hAnsi="Times"/>
                <w:sz w:val="20"/>
                <w:szCs w:val="20"/>
              </w:rPr>
            </w:pPr>
          </w:p>
          <w:p w14:paraId="020386E6" w14:textId="66AE52B0" w:rsidR="00536040" w:rsidRPr="00536040" w:rsidRDefault="00536040" w:rsidP="00536040">
            <w:pPr>
              <w:spacing w:before="0" w:after="0" w:line="240" w:lineRule="auto"/>
              <w:rPr>
                <w:rFonts w:asciiTheme="minorHAnsi" w:eastAsia="Times New Roman" w:hAnsiTheme="minorHAnsi"/>
              </w:rPr>
            </w:pPr>
            <w:r w:rsidRPr="00101485">
              <w:rPr>
                <w:rFonts w:asciiTheme="minorHAnsi" w:eastAsia="Times New Roman" w:hAnsiTheme="minorHAnsi"/>
                <w:color w:val="202020"/>
              </w:rPr>
              <w:t>d. Respond thoughtfully to diverse perspectives; synthesize comments, claims, and evidence made on all sides of an issue; resolve contradictions when possible; and determine what additional information or research is required to deepen the investigation or complete the task.</w:t>
            </w:r>
          </w:p>
        </w:tc>
        <w:tc>
          <w:tcPr>
            <w:tcW w:w="2700" w:type="dxa"/>
            <w:shd w:val="clear" w:color="auto" w:fill="FFFFFF"/>
          </w:tcPr>
          <w:p w14:paraId="5C5AE278" w14:textId="77777777" w:rsidR="00536040" w:rsidRPr="00383F3C" w:rsidRDefault="00536040" w:rsidP="00536040">
            <w:pPr>
              <w:pStyle w:val="ToolTableText"/>
            </w:pPr>
          </w:p>
        </w:tc>
        <w:tc>
          <w:tcPr>
            <w:tcW w:w="2700" w:type="dxa"/>
            <w:shd w:val="clear" w:color="auto" w:fill="FFFFFF"/>
          </w:tcPr>
          <w:p w14:paraId="25AF094A" w14:textId="77777777" w:rsidR="00536040" w:rsidRPr="00383F3C" w:rsidRDefault="00536040" w:rsidP="00536040">
            <w:pPr>
              <w:pStyle w:val="ToolTableText"/>
            </w:pPr>
          </w:p>
        </w:tc>
        <w:tc>
          <w:tcPr>
            <w:tcW w:w="2728" w:type="dxa"/>
            <w:shd w:val="clear" w:color="auto" w:fill="FFFFFF"/>
          </w:tcPr>
          <w:p w14:paraId="47041162" w14:textId="77777777" w:rsidR="00536040" w:rsidRPr="00383F3C" w:rsidRDefault="00536040" w:rsidP="00536040">
            <w:pPr>
              <w:pStyle w:val="ToolTableText"/>
            </w:pPr>
          </w:p>
        </w:tc>
      </w:tr>
      <w:tr w:rsidR="00536040" w:rsidRPr="00383F3C" w14:paraId="372E3F20" w14:textId="77777777" w:rsidTr="00536040">
        <w:trPr>
          <w:cantSplit/>
        </w:trPr>
        <w:tc>
          <w:tcPr>
            <w:tcW w:w="1548" w:type="dxa"/>
            <w:shd w:val="clear" w:color="auto" w:fill="FFFFFF"/>
            <w:tcMar>
              <w:top w:w="100" w:type="dxa"/>
              <w:left w:w="108" w:type="dxa"/>
              <w:bottom w:w="100" w:type="dxa"/>
              <w:right w:w="108" w:type="dxa"/>
            </w:tcMar>
          </w:tcPr>
          <w:p w14:paraId="7A6CB327" w14:textId="77777777" w:rsidR="00536040" w:rsidRPr="00BD0A44" w:rsidRDefault="00536040" w:rsidP="00536040">
            <w:pPr>
              <w:pStyle w:val="ToolTableText"/>
              <w:rPr>
                <w:b/>
              </w:rPr>
            </w:pPr>
            <w:r w:rsidRPr="00887CFF">
              <w:lastRenderedPageBreak/>
              <w:t>SL.11-12.</w:t>
            </w:r>
            <w:r>
              <w:t>3</w:t>
            </w:r>
          </w:p>
        </w:tc>
        <w:tc>
          <w:tcPr>
            <w:tcW w:w="3402" w:type="dxa"/>
            <w:shd w:val="clear" w:color="auto" w:fill="FFFFFF"/>
            <w:tcMar>
              <w:top w:w="100" w:type="dxa"/>
              <w:left w:w="108" w:type="dxa"/>
              <w:bottom w:w="100" w:type="dxa"/>
              <w:right w:w="108" w:type="dxa"/>
            </w:tcMar>
          </w:tcPr>
          <w:p w14:paraId="3721DDE0" w14:textId="77777777" w:rsidR="00536040" w:rsidRPr="00201177" w:rsidRDefault="00536040" w:rsidP="00536040">
            <w:pPr>
              <w:pStyle w:val="ToolTableText"/>
            </w:pPr>
            <w:r w:rsidRPr="00F879BE">
              <w:rPr>
                <w:rFonts w:cs="Perpetua"/>
                <w:szCs w:val="20"/>
              </w:rPr>
              <w:t>Evaluate a speaker's point of view, reasoning, and use of evidence and rhetoric, assessing the stance, premises, links among ideas, word choice, points of emphasis, and tone used.</w:t>
            </w:r>
          </w:p>
        </w:tc>
        <w:tc>
          <w:tcPr>
            <w:tcW w:w="2700" w:type="dxa"/>
            <w:shd w:val="clear" w:color="auto" w:fill="FFFFFF"/>
          </w:tcPr>
          <w:p w14:paraId="2949AAC6" w14:textId="77777777" w:rsidR="00536040" w:rsidRPr="00383F3C" w:rsidRDefault="00536040" w:rsidP="00536040">
            <w:pPr>
              <w:pStyle w:val="ToolTableText"/>
            </w:pPr>
          </w:p>
        </w:tc>
        <w:tc>
          <w:tcPr>
            <w:tcW w:w="2700" w:type="dxa"/>
            <w:shd w:val="clear" w:color="auto" w:fill="FFFFFF"/>
          </w:tcPr>
          <w:p w14:paraId="0A2943F3" w14:textId="77777777" w:rsidR="00536040" w:rsidRPr="00383F3C" w:rsidRDefault="00536040" w:rsidP="00536040">
            <w:pPr>
              <w:pStyle w:val="ToolTableText"/>
            </w:pPr>
          </w:p>
        </w:tc>
        <w:tc>
          <w:tcPr>
            <w:tcW w:w="2728" w:type="dxa"/>
            <w:shd w:val="clear" w:color="auto" w:fill="FFFFFF"/>
          </w:tcPr>
          <w:p w14:paraId="6C2088D5" w14:textId="77777777" w:rsidR="00536040" w:rsidRPr="00383F3C" w:rsidRDefault="00536040" w:rsidP="00536040">
            <w:pPr>
              <w:pStyle w:val="ToolTableText"/>
            </w:pPr>
          </w:p>
        </w:tc>
      </w:tr>
      <w:tr w:rsidR="00536040" w:rsidRPr="00383F3C" w14:paraId="2B56DD85" w14:textId="77777777" w:rsidTr="00536040">
        <w:trPr>
          <w:cantSplit/>
        </w:trPr>
        <w:tc>
          <w:tcPr>
            <w:tcW w:w="1548" w:type="dxa"/>
            <w:shd w:val="clear" w:color="auto" w:fill="FFFFFF"/>
            <w:tcMar>
              <w:top w:w="100" w:type="dxa"/>
              <w:left w:w="108" w:type="dxa"/>
              <w:bottom w:w="100" w:type="dxa"/>
              <w:right w:w="108" w:type="dxa"/>
            </w:tcMar>
          </w:tcPr>
          <w:p w14:paraId="04389043" w14:textId="77777777" w:rsidR="00536040" w:rsidRPr="00BD0A44" w:rsidRDefault="00536040" w:rsidP="00536040">
            <w:pPr>
              <w:pStyle w:val="ToolTableText"/>
              <w:rPr>
                <w:b/>
              </w:rPr>
            </w:pPr>
            <w:r w:rsidRPr="00887CFF">
              <w:t>SL.11-12.5</w:t>
            </w:r>
          </w:p>
        </w:tc>
        <w:tc>
          <w:tcPr>
            <w:tcW w:w="3402" w:type="dxa"/>
            <w:shd w:val="clear" w:color="auto" w:fill="FFFFFF"/>
            <w:tcMar>
              <w:top w:w="100" w:type="dxa"/>
              <w:left w:w="108" w:type="dxa"/>
              <w:bottom w:w="100" w:type="dxa"/>
              <w:right w:w="108" w:type="dxa"/>
            </w:tcMar>
          </w:tcPr>
          <w:p w14:paraId="09030175" w14:textId="77777777" w:rsidR="00536040" w:rsidRPr="00201177" w:rsidRDefault="00536040" w:rsidP="00536040">
            <w:pPr>
              <w:pStyle w:val="ToolTableText"/>
            </w:pPr>
            <w:r w:rsidRPr="00887CFF">
              <w:rPr>
                <w:rFonts w:cs="Perpetua"/>
                <w:szCs w:val="20"/>
              </w:rPr>
              <w:t>Make strategic use of digital media (e.g., textual, graphical, audio, visual, and interactive elements) in presentations to enhance understanding of findings, reasoning, and evidence and to add interest.</w:t>
            </w:r>
          </w:p>
        </w:tc>
        <w:tc>
          <w:tcPr>
            <w:tcW w:w="2700" w:type="dxa"/>
            <w:shd w:val="clear" w:color="auto" w:fill="FFFFFF"/>
          </w:tcPr>
          <w:p w14:paraId="535B91EF" w14:textId="77777777" w:rsidR="00536040" w:rsidRPr="00383F3C" w:rsidRDefault="00536040" w:rsidP="00536040">
            <w:pPr>
              <w:pStyle w:val="ToolTableText"/>
            </w:pPr>
          </w:p>
        </w:tc>
        <w:tc>
          <w:tcPr>
            <w:tcW w:w="2700" w:type="dxa"/>
            <w:shd w:val="clear" w:color="auto" w:fill="FFFFFF"/>
          </w:tcPr>
          <w:p w14:paraId="7AFA7302" w14:textId="77777777" w:rsidR="00536040" w:rsidRPr="00383F3C" w:rsidRDefault="00536040" w:rsidP="00536040">
            <w:pPr>
              <w:pStyle w:val="ToolTableText"/>
            </w:pPr>
          </w:p>
        </w:tc>
        <w:tc>
          <w:tcPr>
            <w:tcW w:w="2728" w:type="dxa"/>
            <w:shd w:val="clear" w:color="auto" w:fill="FFFFFF"/>
          </w:tcPr>
          <w:p w14:paraId="751B1739" w14:textId="77777777" w:rsidR="00536040" w:rsidRPr="00383F3C" w:rsidRDefault="00536040" w:rsidP="00536040">
            <w:pPr>
              <w:pStyle w:val="ToolTableText"/>
            </w:pPr>
          </w:p>
        </w:tc>
      </w:tr>
    </w:tbl>
    <w:p w14:paraId="3E7CFBE0" w14:textId="1508748F" w:rsidR="00536040" w:rsidRDefault="00536040" w:rsidP="00536040">
      <w:pPr>
        <w:spacing w:line="240" w:lineRule="auto"/>
        <w:rPr>
          <w:sz w:val="10"/>
          <w:szCs w:val="10"/>
        </w:rPr>
      </w:pPr>
    </w:p>
    <w:p w14:paraId="006C5EFB" w14:textId="77777777" w:rsidR="00536040" w:rsidRDefault="00536040">
      <w:pPr>
        <w:spacing w:before="0" w:after="0" w:line="240" w:lineRule="auto"/>
        <w:rPr>
          <w:sz w:val="10"/>
          <w:szCs w:val="10"/>
        </w:rPr>
      </w:pPr>
      <w:r>
        <w:rPr>
          <w:sz w:val="10"/>
          <w:szCs w:val="10"/>
        </w:rPr>
        <w:br w:type="page"/>
      </w:r>
    </w:p>
    <w:tbl>
      <w:tblPr>
        <w:tblW w:w="13078" w:type="dxa"/>
        <w:tblInd w:w="1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0" w:type="dxa"/>
          <w:right w:w="0" w:type="dxa"/>
        </w:tblCellMar>
        <w:tblLook w:val="00A0" w:firstRow="1" w:lastRow="0" w:firstColumn="1" w:lastColumn="0" w:noHBand="0" w:noVBand="0"/>
      </w:tblPr>
      <w:tblGrid>
        <w:gridCol w:w="1548"/>
        <w:gridCol w:w="3402"/>
        <w:gridCol w:w="2700"/>
        <w:gridCol w:w="2700"/>
        <w:gridCol w:w="2728"/>
      </w:tblGrid>
      <w:tr w:rsidR="00536040" w:rsidRPr="00383F3C" w14:paraId="0F7BFD9C" w14:textId="77777777" w:rsidTr="00536040">
        <w:trPr>
          <w:cantSplit/>
          <w:trHeight w:val="1358"/>
          <w:tblHeader/>
        </w:trPr>
        <w:tc>
          <w:tcPr>
            <w:tcW w:w="4950" w:type="dxa"/>
            <w:gridSpan w:val="2"/>
            <w:shd w:val="clear" w:color="auto" w:fill="D9D9D9" w:themeFill="background1" w:themeFillShade="D9"/>
          </w:tcPr>
          <w:p w14:paraId="5BD7A1EE" w14:textId="77777777" w:rsidR="00536040" w:rsidRPr="00645AB7" w:rsidRDefault="00536040" w:rsidP="00536040">
            <w:pPr>
              <w:spacing w:after="60"/>
              <w:ind w:left="115"/>
              <w:rPr>
                <w:rFonts w:cs="Tahoma"/>
                <w:b/>
              </w:rPr>
            </w:pPr>
            <w:r w:rsidRPr="00645AB7">
              <w:rPr>
                <w:rFonts w:cs="Tahoma"/>
                <w:b/>
              </w:rPr>
              <w:lastRenderedPageBreak/>
              <w:t>CCS Standards: Language</w:t>
            </w:r>
          </w:p>
        </w:tc>
        <w:tc>
          <w:tcPr>
            <w:tcW w:w="2700" w:type="dxa"/>
            <w:shd w:val="clear" w:color="auto" w:fill="D9D9D9" w:themeFill="background1" w:themeFillShade="D9"/>
            <w:tcMar>
              <w:top w:w="100" w:type="dxa"/>
              <w:left w:w="115" w:type="dxa"/>
              <w:bottom w:w="100" w:type="dxa"/>
              <w:right w:w="115" w:type="dxa"/>
            </w:tcMar>
          </w:tcPr>
          <w:p w14:paraId="7A6C1454" w14:textId="77777777" w:rsidR="00536040" w:rsidRPr="00645AB7" w:rsidRDefault="00536040" w:rsidP="00536040">
            <w:pPr>
              <w:spacing w:after="60"/>
              <w:rPr>
                <w:rFonts w:cs="Tahoma"/>
              </w:rPr>
            </w:pPr>
            <w:r w:rsidRPr="00645AB7">
              <w:rPr>
                <w:rFonts w:cs="Tahoma"/>
                <w:b/>
                <w:bCs/>
              </w:rPr>
              <w:t>I know what this is asking and I can do this.</w:t>
            </w:r>
          </w:p>
        </w:tc>
        <w:tc>
          <w:tcPr>
            <w:tcW w:w="2700" w:type="dxa"/>
            <w:shd w:val="clear" w:color="auto" w:fill="D9D9D9" w:themeFill="background1" w:themeFillShade="D9"/>
            <w:tcMar>
              <w:top w:w="100" w:type="dxa"/>
              <w:left w:w="108" w:type="dxa"/>
              <w:bottom w:w="100" w:type="dxa"/>
              <w:right w:w="108" w:type="dxa"/>
            </w:tcMar>
          </w:tcPr>
          <w:p w14:paraId="1F54D7CC" w14:textId="77777777" w:rsidR="00536040" w:rsidRPr="00645AB7" w:rsidRDefault="00536040" w:rsidP="00536040">
            <w:pPr>
              <w:spacing w:after="60"/>
              <w:rPr>
                <w:rFonts w:cs="Tahoma"/>
              </w:rPr>
            </w:pPr>
            <w:r w:rsidRPr="00645AB7">
              <w:rPr>
                <w:rFonts w:cs="Tahoma"/>
                <w:b/>
                <w:bCs/>
              </w:rPr>
              <w:t>This standard has familiar language, but I haven’t mastered it.</w:t>
            </w:r>
          </w:p>
        </w:tc>
        <w:tc>
          <w:tcPr>
            <w:tcW w:w="2728" w:type="dxa"/>
            <w:shd w:val="clear" w:color="auto" w:fill="D9D9D9" w:themeFill="background1" w:themeFillShade="D9"/>
            <w:tcMar>
              <w:left w:w="108" w:type="dxa"/>
              <w:right w:w="108" w:type="dxa"/>
            </w:tcMar>
          </w:tcPr>
          <w:p w14:paraId="14E77B90" w14:textId="77777777" w:rsidR="00536040" w:rsidRPr="00645AB7" w:rsidRDefault="00536040" w:rsidP="00536040">
            <w:pPr>
              <w:spacing w:after="60"/>
              <w:rPr>
                <w:rFonts w:cs="Tahoma"/>
              </w:rPr>
            </w:pPr>
            <w:r w:rsidRPr="00645AB7">
              <w:rPr>
                <w:rFonts w:cs="Tahoma"/>
                <w:b/>
                <w:bCs/>
              </w:rPr>
              <w:t>I am not familiar with this standard.</w:t>
            </w:r>
          </w:p>
        </w:tc>
      </w:tr>
      <w:tr w:rsidR="00536040" w:rsidRPr="00383F3C" w14:paraId="4DD639FB" w14:textId="77777777" w:rsidTr="00536040">
        <w:trPr>
          <w:cantSplit/>
        </w:trPr>
        <w:tc>
          <w:tcPr>
            <w:tcW w:w="1548" w:type="dxa"/>
            <w:shd w:val="clear" w:color="auto" w:fill="FFFFFF"/>
            <w:tcMar>
              <w:top w:w="100" w:type="dxa"/>
              <w:left w:w="108" w:type="dxa"/>
              <w:bottom w:w="100" w:type="dxa"/>
              <w:right w:w="108" w:type="dxa"/>
            </w:tcMar>
          </w:tcPr>
          <w:p w14:paraId="22BD094A" w14:textId="77777777" w:rsidR="00536040" w:rsidRPr="00602135" w:rsidRDefault="00536040" w:rsidP="00536040">
            <w:pPr>
              <w:pStyle w:val="ToolTableText"/>
            </w:pPr>
            <w:r w:rsidRPr="00602135">
              <w:t>L.11-12.1.b</w:t>
            </w:r>
          </w:p>
        </w:tc>
        <w:tc>
          <w:tcPr>
            <w:tcW w:w="3402" w:type="dxa"/>
            <w:shd w:val="clear" w:color="auto" w:fill="FFFFFF"/>
            <w:tcMar>
              <w:top w:w="100" w:type="dxa"/>
              <w:left w:w="108" w:type="dxa"/>
              <w:bottom w:w="100" w:type="dxa"/>
              <w:right w:w="108" w:type="dxa"/>
            </w:tcMar>
          </w:tcPr>
          <w:p w14:paraId="491A1787" w14:textId="77777777" w:rsidR="00536040" w:rsidRPr="00887CFF" w:rsidRDefault="00536040" w:rsidP="00536040">
            <w:pPr>
              <w:autoSpaceDE w:val="0"/>
              <w:autoSpaceDN w:val="0"/>
              <w:adjustRightInd w:val="0"/>
              <w:spacing w:before="0" w:after="0"/>
              <w:rPr>
                <w:rFonts w:cs="Perpetua"/>
                <w:szCs w:val="20"/>
              </w:rPr>
            </w:pPr>
            <w:r w:rsidRPr="00887CFF">
              <w:rPr>
                <w:rFonts w:cs="Perpetua"/>
                <w:szCs w:val="20"/>
              </w:rPr>
              <w:t>Demonstrate command of the conventions of standard English grammar and usage when writing or speaking.</w:t>
            </w:r>
          </w:p>
          <w:p w14:paraId="09056000" w14:textId="77777777" w:rsidR="00536040" w:rsidRPr="00201177" w:rsidRDefault="00536040" w:rsidP="00536040">
            <w:pPr>
              <w:pStyle w:val="ToolTableText"/>
              <w:numPr>
                <w:ilvl w:val="0"/>
                <w:numId w:val="31"/>
              </w:numPr>
            </w:pPr>
            <w:r w:rsidRPr="00887CFF">
              <w:rPr>
                <w:rFonts w:cs="Perpetua"/>
                <w:szCs w:val="20"/>
              </w:rPr>
              <w:t xml:space="preserve">Resolve issues of complex or contested usage, consulting references (e.g., </w:t>
            </w:r>
            <w:r w:rsidRPr="00887CFF">
              <w:rPr>
                <w:rFonts w:cs="Perpetua-Italic"/>
                <w:i/>
                <w:iCs/>
                <w:szCs w:val="20"/>
              </w:rPr>
              <w:t>Merriam-Webster’s Dictionary of English Usage</w:t>
            </w:r>
            <w:r w:rsidRPr="00887CFF">
              <w:rPr>
                <w:rFonts w:cs="Perpetua"/>
                <w:szCs w:val="20"/>
              </w:rPr>
              <w:t xml:space="preserve">, </w:t>
            </w:r>
            <w:r w:rsidRPr="00887CFF">
              <w:rPr>
                <w:rFonts w:cs="Perpetua-Italic"/>
                <w:i/>
                <w:iCs/>
                <w:szCs w:val="20"/>
              </w:rPr>
              <w:t>Garner’s Modern American Usage</w:t>
            </w:r>
            <w:r w:rsidRPr="00887CFF">
              <w:rPr>
                <w:rFonts w:cs="Perpetua"/>
                <w:szCs w:val="20"/>
              </w:rPr>
              <w:t>) as needed.</w:t>
            </w:r>
          </w:p>
        </w:tc>
        <w:tc>
          <w:tcPr>
            <w:tcW w:w="2700" w:type="dxa"/>
            <w:shd w:val="clear" w:color="auto" w:fill="FFFFFF"/>
          </w:tcPr>
          <w:p w14:paraId="2E409E31" w14:textId="77777777" w:rsidR="00536040" w:rsidRPr="00383F3C" w:rsidRDefault="00536040" w:rsidP="00536040">
            <w:pPr>
              <w:pStyle w:val="ToolTableText"/>
            </w:pPr>
          </w:p>
        </w:tc>
        <w:tc>
          <w:tcPr>
            <w:tcW w:w="2700" w:type="dxa"/>
            <w:shd w:val="clear" w:color="auto" w:fill="FFFFFF"/>
          </w:tcPr>
          <w:p w14:paraId="00018E81" w14:textId="77777777" w:rsidR="00536040" w:rsidRPr="00383F3C" w:rsidRDefault="00536040" w:rsidP="00536040">
            <w:pPr>
              <w:pStyle w:val="ToolTableText"/>
            </w:pPr>
          </w:p>
        </w:tc>
        <w:tc>
          <w:tcPr>
            <w:tcW w:w="2728" w:type="dxa"/>
            <w:shd w:val="clear" w:color="auto" w:fill="FFFFFF"/>
          </w:tcPr>
          <w:p w14:paraId="56C49007" w14:textId="77777777" w:rsidR="00536040" w:rsidRPr="00383F3C" w:rsidRDefault="00536040" w:rsidP="00536040">
            <w:pPr>
              <w:pStyle w:val="ToolTableText"/>
            </w:pPr>
          </w:p>
        </w:tc>
      </w:tr>
      <w:tr w:rsidR="00536040" w:rsidRPr="00383F3C" w14:paraId="547C962B" w14:textId="77777777" w:rsidTr="00536040">
        <w:trPr>
          <w:cantSplit/>
        </w:trPr>
        <w:tc>
          <w:tcPr>
            <w:tcW w:w="1548" w:type="dxa"/>
            <w:shd w:val="clear" w:color="auto" w:fill="FFFFFF"/>
            <w:tcMar>
              <w:top w:w="100" w:type="dxa"/>
              <w:left w:w="108" w:type="dxa"/>
              <w:bottom w:w="100" w:type="dxa"/>
              <w:right w:w="108" w:type="dxa"/>
            </w:tcMar>
          </w:tcPr>
          <w:p w14:paraId="643C1783" w14:textId="5FAFBBFC" w:rsidR="00536040" w:rsidRPr="00602135" w:rsidRDefault="00536040" w:rsidP="00536040">
            <w:pPr>
              <w:pStyle w:val="ToolTableText"/>
            </w:pPr>
            <w:r w:rsidRPr="00602135">
              <w:lastRenderedPageBreak/>
              <w:t>L.11-12.3.a</w:t>
            </w:r>
          </w:p>
        </w:tc>
        <w:tc>
          <w:tcPr>
            <w:tcW w:w="3402" w:type="dxa"/>
            <w:shd w:val="clear" w:color="auto" w:fill="FFFFFF"/>
            <w:tcMar>
              <w:top w:w="100" w:type="dxa"/>
              <w:left w:w="108" w:type="dxa"/>
              <w:bottom w:w="100" w:type="dxa"/>
              <w:right w:w="108" w:type="dxa"/>
            </w:tcMar>
          </w:tcPr>
          <w:p w14:paraId="73CB95F9" w14:textId="77777777" w:rsidR="00536040" w:rsidRDefault="00536040" w:rsidP="00536040">
            <w:pPr>
              <w:pStyle w:val="ToolTableText"/>
            </w:pPr>
            <w:r w:rsidRPr="00F879BE">
              <w:t>Apply knowledge of language to understand how language functions in different contexts, to make effective choices for meaning or style, and to comprehend more fully when reading or listening.</w:t>
            </w:r>
          </w:p>
          <w:p w14:paraId="705EF0CD" w14:textId="64457315" w:rsidR="00536040" w:rsidRPr="00887CFF" w:rsidRDefault="00536040" w:rsidP="00536040">
            <w:pPr>
              <w:autoSpaceDE w:val="0"/>
              <w:autoSpaceDN w:val="0"/>
              <w:adjustRightInd w:val="0"/>
              <w:spacing w:before="0" w:after="0"/>
              <w:rPr>
                <w:rFonts w:cs="Perpetua"/>
                <w:szCs w:val="20"/>
              </w:rPr>
            </w:pPr>
            <w:r w:rsidRPr="00F879BE">
              <w:t xml:space="preserve">Vary syntax for effect, consulting references (e.g., </w:t>
            </w:r>
            <w:r w:rsidRPr="00F879BE">
              <w:rPr>
                <w:i/>
              </w:rPr>
              <w:t>Tufte's Artful Sentences</w:t>
            </w:r>
            <w:r w:rsidRPr="00F879BE">
              <w:t>) for guidance as needed; apply an understanding of syntax to the study of complex texts when reading.</w:t>
            </w:r>
          </w:p>
        </w:tc>
        <w:tc>
          <w:tcPr>
            <w:tcW w:w="2700" w:type="dxa"/>
            <w:shd w:val="clear" w:color="auto" w:fill="FFFFFF"/>
          </w:tcPr>
          <w:p w14:paraId="0548DE1D" w14:textId="77777777" w:rsidR="00536040" w:rsidRPr="00383F3C" w:rsidRDefault="00536040" w:rsidP="00536040">
            <w:pPr>
              <w:pStyle w:val="ToolTableText"/>
            </w:pPr>
          </w:p>
        </w:tc>
        <w:tc>
          <w:tcPr>
            <w:tcW w:w="2700" w:type="dxa"/>
            <w:shd w:val="clear" w:color="auto" w:fill="FFFFFF"/>
          </w:tcPr>
          <w:p w14:paraId="577DB8E7" w14:textId="77777777" w:rsidR="00536040" w:rsidRPr="00383F3C" w:rsidRDefault="00536040" w:rsidP="00536040">
            <w:pPr>
              <w:pStyle w:val="ToolTableText"/>
            </w:pPr>
          </w:p>
        </w:tc>
        <w:tc>
          <w:tcPr>
            <w:tcW w:w="2728" w:type="dxa"/>
            <w:shd w:val="clear" w:color="auto" w:fill="FFFFFF"/>
          </w:tcPr>
          <w:p w14:paraId="0D2B62DE" w14:textId="77777777" w:rsidR="00536040" w:rsidRPr="00383F3C" w:rsidRDefault="00536040" w:rsidP="00536040">
            <w:pPr>
              <w:pStyle w:val="ToolTableText"/>
            </w:pPr>
          </w:p>
        </w:tc>
      </w:tr>
      <w:tr w:rsidR="00536040" w:rsidRPr="00383F3C" w14:paraId="68C64898" w14:textId="77777777" w:rsidTr="00536040">
        <w:trPr>
          <w:cantSplit/>
        </w:trPr>
        <w:tc>
          <w:tcPr>
            <w:tcW w:w="1548" w:type="dxa"/>
            <w:shd w:val="clear" w:color="auto" w:fill="FFFFFF"/>
            <w:tcMar>
              <w:top w:w="100" w:type="dxa"/>
              <w:left w:w="108" w:type="dxa"/>
              <w:bottom w:w="100" w:type="dxa"/>
              <w:right w:w="108" w:type="dxa"/>
            </w:tcMar>
          </w:tcPr>
          <w:p w14:paraId="75633FB6" w14:textId="1C00B9BD" w:rsidR="00536040" w:rsidRPr="00602135" w:rsidRDefault="00536040" w:rsidP="00536040">
            <w:pPr>
              <w:pStyle w:val="ToolTableText"/>
            </w:pPr>
            <w:r w:rsidRPr="00602135">
              <w:lastRenderedPageBreak/>
              <w:t>L.11-12.6</w:t>
            </w:r>
          </w:p>
        </w:tc>
        <w:tc>
          <w:tcPr>
            <w:tcW w:w="3402" w:type="dxa"/>
            <w:shd w:val="clear" w:color="auto" w:fill="FFFFFF"/>
            <w:tcMar>
              <w:top w:w="100" w:type="dxa"/>
              <w:left w:w="108" w:type="dxa"/>
              <w:bottom w:w="100" w:type="dxa"/>
              <w:right w:w="108" w:type="dxa"/>
            </w:tcMar>
          </w:tcPr>
          <w:p w14:paraId="7B9024D2" w14:textId="62E23FDB" w:rsidR="00536040" w:rsidRPr="00F879BE" w:rsidRDefault="00536040" w:rsidP="00536040">
            <w:pPr>
              <w:pStyle w:val="ToolTableText"/>
            </w:pPr>
            <w:r w:rsidRPr="00887CFF">
              <w:t>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tc>
        <w:tc>
          <w:tcPr>
            <w:tcW w:w="2700" w:type="dxa"/>
            <w:shd w:val="clear" w:color="auto" w:fill="FFFFFF"/>
          </w:tcPr>
          <w:p w14:paraId="63E1884B" w14:textId="77777777" w:rsidR="00536040" w:rsidRPr="00383F3C" w:rsidRDefault="00536040" w:rsidP="00536040">
            <w:pPr>
              <w:pStyle w:val="ToolTableText"/>
            </w:pPr>
          </w:p>
        </w:tc>
        <w:tc>
          <w:tcPr>
            <w:tcW w:w="2700" w:type="dxa"/>
            <w:shd w:val="clear" w:color="auto" w:fill="FFFFFF"/>
          </w:tcPr>
          <w:p w14:paraId="5E3696C3" w14:textId="77777777" w:rsidR="00536040" w:rsidRPr="00383F3C" w:rsidRDefault="00536040" w:rsidP="00536040">
            <w:pPr>
              <w:pStyle w:val="ToolTableText"/>
            </w:pPr>
          </w:p>
        </w:tc>
        <w:tc>
          <w:tcPr>
            <w:tcW w:w="2728" w:type="dxa"/>
            <w:shd w:val="clear" w:color="auto" w:fill="FFFFFF"/>
          </w:tcPr>
          <w:p w14:paraId="6F4297CB" w14:textId="77777777" w:rsidR="00536040" w:rsidRPr="00383F3C" w:rsidRDefault="00536040" w:rsidP="00536040">
            <w:pPr>
              <w:pStyle w:val="ToolTableText"/>
            </w:pPr>
          </w:p>
        </w:tc>
      </w:tr>
    </w:tbl>
    <w:p w14:paraId="212B7F21" w14:textId="77777777" w:rsidR="00536040" w:rsidRDefault="00536040" w:rsidP="00536040">
      <w:pPr>
        <w:pStyle w:val="Heading1"/>
      </w:pPr>
    </w:p>
    <w:p w14:paraId="550CFA87" w14:textId="77777777" w:rsidR="00536040" w:rsidRDefault="00536040" w:rsidP="00CA0ACF">
      <w:pPr>
        <w:pStyle w:val="ToolHeader"/>
      </w:pPr>
    </w:p>
    <w:p w14:paraId="471D4532" w14:textId="48F45C7D" w:rsidR="00CA0ACF" w:rsidRDefault="00CA0ACF">
      <w:pPr>
        <w:spacing w:before="0" w:after="0" w:line="240" w:lineRule="auto"/>
        <w:rPr>
          <w:b/>
          <w:bCs/>
          <w:color w:val="365F91"/>
          <w:sz w:val="32"/>
          <w:szCs w:val="28"/>
        </w:rPr>
      </w:pPr>
      <w:r>
        <w:br w:type="page"/>
      </w:r>
    </w:p>
    <w:p w14:paraId="618D12A1" w14:textId="6ADB992E" w:rsidR="00CA0ACF" w:rsidRDefault="00CA0ACF" w:rsidP="00CA0ACF">
      <w:pPr>
        <w:pStyle w:val="ToolHeader"/>
        <w:rPr>
          <w:sz w:val="24"/>
        </w:rPr>
      </w:pPr>
      <w:r>
        <w:lastRenderedPageBreak/>
        <w:t>12.3 Speaking and Listening Rubric</w:t>
      </w:r>
      <w:r w:rsidR="00BA179F">
        <w:tab/>
      </w:r>
      <w:r w:rsidR="00BA179F">
        <w:tab/>
      </w:r>
      <w:r w:rsidR="00BA179F">
        <w:tab/>
      </w:r>
      <w:r w:rsidR="00BA179F">
        <w:tab/>
      </w:r>
      <w:r w:rsidR="00BA179F">
        <w:tab/>
      </w:r>
      <w:r w:rsidR="00BA179F">
        <w:tab/>
      </w:r>
      <w:r w:rsidR="00BA179F">
        <w:tab/>
      </w:r>
      <w:r w:rsidR="00BA179F" w:rsidRPr="00D20E7B">
        <w:rPr>
          <w:u w:val="single"/>
        </w:rPr>
        <w:tab/>
      </w:r>
      <w:r w:rsidR="00BA179F" w:rsidRPr="00AA776C">
        <w:t xml:space="preserve"> </w:t>
      </w:r>
      <w:r w:rsidR="00BA179F" w:rsidRPr="00D20E7B">
        <w:t>/</w:t>
      </w:r>
      <w:r w:rsidR="00BA179F" w:rsidRPr="00D20E7B">
        <w:rPr>
          <w:u w:val="single"/>
        </w:rPr>
        <w:t xml:space="preserve">        </w:t>
      </w:r>
      <w:r w:rsidR="00BA179F">
        <w:rPr>
          <w:u w:val="single"/>
        </w:rPr>
        <w:t xml:space="preserve"> </w:t>
      </w:r>
      <w:r w:rsidR="00BA179F" w:rsidRPr="00AA776C">
        <w:t xml:space="preserve"> </w:t>
      </w:r>
      <w:r w:rsidR="00BA179F" w:rsidRPr="002F0DE0">
        <w:rPr>
          <w:sz w:val="24"/>
        </w:rPr>
        <w:t>(Total points)</w:t>
      </w:r>
    </w:p>
    <w:tbl>
      <w:tblPr>
        <w:tblW w:w="13464" w:type="dxa"/>
        <w:tblInd w:w="115" w:type="dxa"/>
        <w:tblBorders>
          <w:top w:val="nil"/>
          <w:left w:val="nil"/>
          <w:bottom w:val="nil"/>
          <w:right w:val="nil"/>
        </w:tblBorders>
        <w:tblLayout w:type="fixed"/>
        <w:tblLook w:val="0000" w:firstRow="0" w:lastRow="0" w:firstColumn="0" w:lastColumn="0" w:noHBand="0" w:noVBand="0"/>
      </w:tblPr>
      <w:tblGrid>
        <w:gridCol w:w="2520"/>
        <w:gridCol w:w="2736"/>
        <w:gridCol w:w="2736"/>
        <w:gridCol w:w="2736"/>
        <w:gridCol w:w="2736"/>
      </w:tblGrid>
      <w:tr w:rsidR="00BA179F" w:rsidRPr="00D20E7B" w14:paraId="065F64C9" w14:textId="77777777" w:rsidTr="00536040">
        <w:trPr>
          <w:trHeight w:val="329"/>
          <w:tblHeader/>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DCFD5A" w14:textId="77777777" w:rsidR="00BA179F" w:rsidRPr="00D20E7B" w:rsidRDefault="00BA179F" w:rsidP="00536040">
            <w:pPr>
              <w:pStyle w:val="ToolTableText"/>
              <w:rPr>
                <w:b/>
                <w:sz w:val="16"/>
                <w:szCs w:val="13"/>
              </w:rPr>
            </w:pPr>
            <w:r w:rsidRPr="00D20E7B">
              <w:rPr>
                <w:b/>
                <w:sz w:val="16"/>
                <w:szCs w:val="13"/>
              </w:rPr>
              <w:t>Criteria</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F06106" w14:textId="77777777" w:rsidR="00BA179F" w:rsidRPr="00D20E7B" w:rsidRDefault="00BA179F" w:rsidP="00536040">
            <w:pPr>
              <w:pStyle w:val="ToolTableText"/>
              <w:rPr>
                <w:b/>
                <w:sz w:val="16"/>
                <w:szCs w:val="13"/>
              </w:rPr>
            </w:pPr>
            <w:r w:rsidRPr="00D20E7B">
              <w:rPr>
                <w:b/>
                <w:sz w:val="16"/>
                <w:szCs w:val="13"/>
              </w:rPr>
              <w:t>4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C722C8" w14:textId="77777777" w:rsidR="00BA179F" w:rsidRPr="00D20E7B" w:rsidRDefault="00BA179F" w:rsidP="00536040">
            <w:pPr>
              <w:pStyle w:val="ToolTableText"/>
              <w:rPr>
                <w:b/>
                <w:sz w:val="16"/>
                <w:szCs w:val="13"/>
              </w:rPr>
            </w:pPr>
            <w:r w:rsidRPr="00D20E7B">
              <w:rPr>
                <w:b/>
                <w:sz w:val="16"/>
                <w:szCs w:val="13"/>
              </w:rPr>
              <w:t>3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8E3962" w14:textId="77777777" w:rsidR="00BA179F" w:rsidRPr="00D20E7B" w:rsidRDefault="00BA179F" w:rsidP="00536040">
            <w:pPr>
              <w:pStyle w:val="ToolTableText"/>
              <w:rPr>
                <w:b/>
                <w:sz w:val="16"/>
                <w:szCs w:val="13"/>
              </w:rPr>
            </w:pPr>
            <w:r w:rsidRPr="00D20E7B">
              <w:rPr>
                <w:b/>
                <w:sz w:val="16"/>
                <w:szCs w:val="13"/>
              </w:rPr>
              <w:t>2 – Responses at this Level:</w:t>
            </w:r>
          </w:p>
        </w:tc>
        <w:tc>
          <w:tcPr>
            <w:tcW w:w="27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3C3F91" w14:textId="77777777" w:rsidR="00BA179F" w:rsidRPr="00D20E7B" w:rsidRDefault="00BA179F" w:rsidP="00536040">
            <w:pPr>
              <w:pStyle w:val="ToolTableText"/>
              <w:rPr>
                <w:b/>
                <w:sz w:val="16"/>
                <w:szCs w:val="13"/>
              </w:rPr>
            </w:pPr>
            <w:r w:rsidRPr="00D20E7B">
              <w:rPr>
                <w:b/>
                <w:sz w:val="16"/>
                <w:szCs w:val="13"/>
              </w:rPr>
              <w:t>1 – Responses at this Level:</w:t>
            </w:r>
          </w:p>
        </w:tc>
      </w:tr>
      <w:tr w:rsidR="00BA179F" w:rsidRPr="00D20E7B" w14:paraId="2C56049E"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4AA34F6" w14:textId="77777777" w:rsidR="00BA179F" w:rsidRPr="00D20E7B" w:rsidRDefault="00BA179F" w:rsidP="00536040">
            <w:pPr>
              <w:pStyle w:val="ToolTableText"/>
              <w:rPr>
                <w:b/>
                <w:sz w:val="16"/>
                <w:szCs w:val="13"/>
              </w:rPr>
            </w:pPr>
            <w:r w:rsidRPr="00D20E7B">
              <w:rPr>
                <w:b/>
                <w:sz w:val="16"/>
                <w:szCs w:val="13"/>
              </w:rPr>
              <w:t>Command of Evidence and Reasoning</w:t>
            </w:r>
          </w:p>
          <w:p w14:paraId="60BE6ED9" w14:textId="77777777" w:rsidR="00BA179F" w:rsidRPr="00D20E7B" w:rsidRDefault="00BA179F" w:rsidP="00536040">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demonstrates preparation for the discussion by explicitly drawing on evidence from texts and other research on the topic or issue to stimulate a thoughtful, well-reasoned exchange of ideas. </w:t>
            </w:r>
          </w:p>
          <w:p w14:paraId="04AF5E7E" w14:textId="77777777" w:rsidR="00BA179F" w:rsidRPr="00D20E7B" w:rsidRDefault="00BA179F" w:rsidP="00536040">
            <w:pPr>
              <w:pStyle w:val="ToolTableText"/>
              <w:rPr>
                <w:b/>
                <w:sz w:val="16"/>
                <w:szCs w:val="13"/>
              </w:rPr>
            </w:pPr>
            <w:r w:rsidRPr="00D20E7B">
              <w:rPr>
                <w:b/>
                <w:sz w:val="16"/>
                <w:szCs w:val="13"/>
              </w:rPr>
              <w:t>CCSS.ELA-Literacy.SL.11-12.1</w:t>
            </w:r>
          </w:p>
          <w:p w14:paraId="56C8AB37" w14:textId="77777777" w:rsidR="00BA179F" w:rsidRPr="00D20E7B" w:rsidRDefault="00BA179F" w:rsidP="00536040">
            <w:pPr>
              <w:pStyle w:val="ToolTableText"/>
              <w:rPr>
                <w:sz w:val="16"/>
                <w:szCs w:val="13"/>
              </w:rPr>
            </w:pPr>
            <w:r w:rsidRPr="00D20E7B">
              <w:rPr>
                <w:sz w:val="16"/>
                <w:szCs w:val="13"/>
              </w:rPr>
              <w:t xml:space="preserve">Initiate and participate effectively in a range of collaborative discussions (one-on-one, in groups, and teacher-led) with diverse partners on </w:t>
            </w:r>
            <w:r w:rsidRPr="00D20E7B">
              <w:rPr>
                <w:i/>
                <w:sz w:val="16"/>
                <w:szCs w:val="13"/>
              </w:rPr>
              <w:t>grades 11–12 topics</w:t>
            </w:r>
            <w:r w:rsidRPr="00D20E7B">
              <w:rPr>
                <w:sz w:val="16"/>
                <w:szCs w:val="13"/>
              </w:rPr>
              <w:t xml:space="preserve">, </w:t>
            </w:r>
            <w:r w:rsidRPr="00D20E7B">
              <w:rPr>
                <w:i/>
                <w:sz w:val="16"/>
                <w:szCs w:val="13"/>
              </w:rPr>
              <w:t>texts</w:t>
            </w:r>
            <w:r w:rsidRPr="00D20E7B">
              <w:rPr>
                <w:sz w:val="16"/>
                <w:szCs w:val="13"/>
              </w:rPr>
              <w:t xml:space="preserve">, </w:t>
            </w:r>
            <w:r w:rsidRPr="00D20E7B">
              <w:rPr>
                <w:i/>
                <w:sz w:val="16"/>
                <w:szCs w:val="13"/>
              </w:rPr>
              <w:t>and issues</w:t>
            </w:r>
            <w:r w:rsidRPr="00D20E7B">
              <w:rPr>
                <w:sz w:val="16"/>
                <w:szCs w:val="13"/>
              </w:rPr>
              <w:t xml:space="preserve">, building on others’ ideas and expressing their own clearly and persuasively. </w:t>
            </w:r>
          </w:p>
          <w:p w14:paraId="6B5D3398" w14:textId="77777777" w:rsidR="00BA179F" w:rsidRPr="00D20E7B" w:rsidRDefault="00BA179F" w:rsidP="00536040">
            <w:pPr>
              <w:pStyle w:val="ToolTableText"/>
              <w:rPr>
                <w:b/>
                <w:sz w:val="16"/>
                <w:szCs w:val="13"/>
              </w:rPr>
            </w:pPr>
            <w:r w:rsidRPr="00D20E7B">
              <w:rPr>
                <w:b/>
                <w:sz w:val="16"/>
                <w:szCs w:val="13"/>
              </w:rPr>
              <w:t>CCSS.ELA-Literacy.SL.11-12.1.a</w:t>
            </w:r>
          </w:p>
          <w:p w14:paraId="71914D85" w14:textId="77777777" w:rsidR="00BA179F" w:rsidRPr="00D20E7B" w:rsidRDefault="00BA179F" w:rsidP="00536040">
            <w:pPr>
              <w:pStyle w:val="ToolTableText"/>
              <w:rPr>
                <w:sz w:val="16"/>
                <w:szCs w:val="13"/>
              </w:rPr>
            </w:pPr>
            <w:r w:rsidRPr="00D20E7B">
              <w:rPr>
                <w:sz w:val="16"/>
                <w:szCs w:val="13"/>
              </w:rPr>
              <w:t>Come to discussions prepared, having read and researched material under study; explicitly draw on that preparation by referring to evidence from texts and other research on the topic or issue to stimulate a thoughtful, well-reasoned exchange of ideas.</w:t>
            </w:r>
          </w:p>
          <w:p w14:paraId="6E57D888" w14:textId="77777777" w:rsidR="00BA179F" w:rsidRPr="00D20E7B" w:rsidRDefault="00BA179F" w:rsidP="00536040">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propels conversations by posing and responding to questions that probe reasoning and evidence; ensures a hearing for a full range of positions on a topic or issue; </w:t>
            </w:r>
            <w:r w:rsidRPr="00D20E7B">
              <w:rPr>
                <w:b/>
                <w:sz w:val="16"/>
                <w:szCs w:val="13"/>
              </w:rPr>
              <w:lastRenderedPageBreak/>
              <w:t>clarifies, verifies, or challenges ideas and conclusions; and promotes divergent and creative perspectives.</w:t>
            </w:r>
          </w:p>
          <w:p w14:paraId="3B1AC4EE" w14:textId="77777777" w:rsidR="00BA179F" w:rsidRPr="00D20E7B" w:rsidRDefault="00BA179F" w:rsidP="00536040">
            <w:pPr>
              <w:pStyle w:val="ToolTableText"/>
              <w:rPr>
                <w:b/>
                <w:sz w:val="16"/>
                <w:szCs w:val="13"/>
              </w:rPr>
            </w:pPr>
            <w:r w:rsidRPr="00D20E7B">
              <w:rPr>
                <w:b/>
                <w:sz w:val="16"/>
                <w:szCs w:val="13"/>
              </w:rPr>
              <w:t>CCSS.ELA-Literacy.SL.11-12.1.c</w:t>
            </w:r>
          </w:p>
          <w:p w14:paraId="0D01AB1E" w14:textId="77777777" w:rsidR="00BA179F" w:rsidRPr="00D20E7B" w:rsidRDefault="00BA179F" w:rsidP="00536040">
            <w:pPr>
              <w:pStyle w:val="ToolTableText"/>
              <w:rPr>
                <w:sz w:val="16"/>
                <w:szCs w:val="13"/>
              </w:rPr>
            </w:pPr>
            <w:r w:rsidRPr="00D20E7B">
              <w:rPr>
                <w:sz w:val="16"/>
                <w:szCs w:val="13"/>
              </w:rPr>
              <w:t>Propel conversations by posing and responding to questions that probe reasoning and evidence; ensure a hearing for a full range of positions on a topic or issue; clarify, verify, or challenge ideas and conclusions; and promote divergent and creative perspectives.</w:t>
            </w:r>
          </w:p>
        </w:tc>
        <w:tc>
          <w:tcPr>
            <w:tcW w:w="2736" w:type="dxa"/>
            <w:tcBorders>
              <w:top w:val="single" w:sz="4" w:space="0" w:color="auto"/>
              <w:left w:val="single" w:sz="4" w:space="0" w:color="auto"/>
              <w:bottom w:val="single" w:sz="4" w:space="0" w:color="auto"/>
              <w:right w:val="single" w:sz="4" w:space="0" w:color="auto"/>
            </w:tcBorders>
          </w:tcPr>
          <w:p w14:paraId="140E4A69" w14:textId="77777777" w:rsidR="00BA179F" w:rsidRDefault="00BA179F" w:rsidP="00536040">
            <w:pPr>
              <w:pStyle w:val="ToolTableText"/>
              <w:rPr>
                <w:color w:val="000000" w:themeColor="text1"/>
                <w:sz w:val="16"/>
                <w:szCs w:val="13"/>
              </w:rPr>
            </w:pPr>
            <w:r w:rsidRPr="00D20E7B">
              <w:rPr>
                <w:color w:val="000000" w:themeColor="text1"/>
                <w:sz w:val="16"/>
                <w:szCs w:val="13"/>
              </w:rPr>
              <w:lastRenderedPageBreak/>
              <w:t>Demonstrate thorough preparation for the discussion by explicitly drawing on precise and sufficient evidence from texts and other research on the topic or issue to stimulate a thoughtful, well-reasoned exchange of ideas. (SL.11-12.1.a)</w:t>
            </w:r>
          </w:p>
          <w:p w14:paraId="03494D94" w14:textId="77777777" w:rsidR="00BA179F" w:rsidRDefault="00BA179F" w:rsidP="00536040">
            <w:pPr>
              <w:pStyle w:val="ToolTableText"/>
              <w:rPr>
                <w:color w:val="000000" w:themeColor="text1"/>
                <w:sz w:val="16"/>
                <w:szCs w:val="13"/>
              </w:rPr>
            </w:pPr>
            <w:r w:rsidRPr="00D20E7B">
              <w:rPr>
                <w:color w:val="000000" w:themeColor="text1"/>
                <w:sz w:val="16"/>
                <w:szCs w:val="16"/>
              </w:rPr>
              <w:t>Skillfully propel conversations by consistently posing and responding to questions that probe reasoning and evidence; actively ensure a hearing for a full range of positions on a topic or issue; consistently clarify, verify, or challenge ideas and conclusions; and actively promote divergent and creative perspectives. (SL.11-12.1.c)</w:t>
            </w:r>
          </w:p>
          <w:p w14:paraId="2E31D96B"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496EAF9F" w14:textId="77777777" w:rsidR="00BA179F" w:rsidRDefault="00BA179F" w:rsidP="00536040">
            <w:pPr>
              <w:spacing w:before="40" w:after="120" w:line="240" w:lineRule="auto"/>
              <w:rPr>
                <w:color w:val="000000" w:themeColor="text1"/>
                <w:sz w:val="16"/>
                <w:szCs w:val="16"/>
              </w:rPr>
            </w:pPr>
            <w:r w:rsidRPr="00D20E7B">
              <w:rPr>
                <w:color w:val="000000" w:themeColor="text1"/>
                <w:sz w:val="16"/>
                <w:szCs w:val="16"/>
              </w:rPr>
              <w:t>Demonstrate preparation for the discussion by explicitly drawing on relevant and sufficient evidence from texts and other research on the topic or issue to stimulate a thoughtful, well-reasoned exchange of ideas. (SL.11-12.1.a)</w:t>
            </w:r>
          </w:p>
          <w:p w14:paraId="365437C3" w14:textId="77777777" w:rsidR="00BA179F" w:rsidRPr="007430B6" w:rsidRDefault="00BA179F" w:rsidP="00536040">
            <w:pPr>
              <w:pStyle w:val="ToolTableText"/>
              <w:rPr>
                <w:color w:val="000000" w:themeColor="text1"/>
                <w:sz w:val="16"/>
                <w:szCs w:val="13"/>
              </w:rPr>
            </w:pPr>
            <w:r>
              <w:rPr>
                <w:color w:val="000000" w:themeColor="text1"/>
                <w:sz w:val="16"/>
                <w:szCs w:val="16"/>
              </w:rPr>
              <w:t>P</w:t>
            </w:r>
            <w:r w:rsidRPr="00D20E7B">
              <w:rPr>
                <w:color w:val="000000" w:themeColor="text1"/>
                <w:sz w:val="16"/>
                <w:szCs w:val="16"/>
              </w:rPr>
              <w:t>ropel conversations by posing and responding to questions that probe reasoning and evidence; ensure a hearing for a full range of positions on a topic or issue; clarify, verify, or challenge ideas and conclusions; and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57EBF4E0" w14:textId="77777777" w:rsidR="00BA179F" w:rsidRPr="00D20E7B" w:rsidRDefault="00BA179F" w:rsidP="00536040">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partial</w:t>
            </w:r>
            <w:r w:rsidRPr="00D20E7B">
              <w:rPr>
                <w:color w:val="000000" w:themeColor="text1"/>
                <w:sz w:val="16"/>
                <w:szCs w:val="16"/>
              </w:rPr>
              <w:t xml:space="preserve"> preparation for the discussion by inconsistently drawing on relevant or sufficient evidence from texts and other research on the topic or issue, occasionally stimulating a thoughtful, well-reasoned exchange of ideas. (SL.11-12.1.a)</w:t>
            </w:r>
          </w:p>
          <w:p w14:paraId="121E28B1" w14:textId="77777777" w:rsidR="00BA179F" w:rsidRPr="00D20E7B" w:rsidRDefault="00BA179F" w:rsidP="00536040">
            <w:pPr>
              <w:spacing w:before="40" w:after="120" w:line="240" w:lineRule="auto"/>
              <w:rPr>
                <w:color w:val="000000" w:themeColor="text1"/>
                <w:sz w:val="16"/>
                <w:szCs w:val="16"/>
              </w:rPr>
            </w:pPr>
            <w:r>
              <w:rPr>
                <w:color w:val="000000" w:themeColor="text1"/>
                <w:sz w:val="16"/>
                <w:szCs w:val="16"/>
              </w:rPr>
              <w:t>Somewhat effectively</w:t>
            </w:r>
            <w:r w:rsidRPr="00D20E7B">
              <w:rPr>
                <w:color w:val="000000" w:themeColor="text1"/>
                <w:sz w:val="16"/>
                <w:szCs w:val="16"/>
              </w:rPr>
              <w:t xml:space="preserve"> propel conversations by inconsistently posing and responding to questions that probe reasoning and evidence; occasionally ensure a hearing for a full range of positions on a topic or issue; inconsistently clarify, verify, or challenge ideas and conclusions; and occasionally promote divergent and creative perspectives. (SL.11-12.1.c)</w:t>
            </w:r>
          </w:p>
        </w:tc>
        <w:tc>
          <w:tcPr>
            <w:tcW w:w="2736" w:type="dxa"/>
            <w:tcBorders>
              <w:top w:val="single" w:sz="4" w:space="0" w:color="auto"/>
              <w:left w:val="single" w:sz="4" w:space="0" w:color="auto"/>
              <w:bottom w:val="single" w:sz="4" w:space="0" w:color="auto"/>
              <w:right w:val="single" w:sz="4" w:space="0" w:color="auto"/>
            </w:tcBorders>
          </w:tcPr>
          <w:p w14:paraId="2A0BD6AF" w14:textId="77777777" w:rsidR="00BA179F" w:rsidRPr="00D20E7B" w:rsidRDefault="00BA179F" w:rsidP="00536040">
            <w:pPr>
              <w:spacing w:before="40" w:after="120" w:line="240" w:lineRule="auto"/>
              <w:rPr>
                <w:color w:val="000000" w:themeColor="text1"/>
                <w:sz w:val="16"/>
                <w:szCs w:val="16"/>
              </w:rPr>
            </w:pPr>
            <w:r w:rsidRPr="00D20E7B">
              <w:rPr>
                <w:color w:val="000000" w:themeColor="text1"/>
                <w:sz w:val="16"/>
                <w:szCs w:val="16"/>
              </w:rPr>
              <w:t xml:space="preserve">Demonstrate </w:t>
            </w:r>
            <w:r>
              <w:rPr>
                <w:color w:val="000000" w:themeColor="text1"/>
                <w:sz w:val="16"/>
                <w:szCs w:val="16"/>
              </w:rPr>
              <w:t>a lack of</w:t>
            </w:r>
            <w:r w:rsidRPr="00D20E7B">
              <w:rPr>
                <w:color w:val="000000" w:themeColor="text1"/>
                <w:sz w:val="16"/>
                <w:szCs w:val="16"/>
              </w:rPr>
              <w:t xml:space="preserve"> preparation for the discussion by </w:t>
            </w:r>
            <w:r>
              <w:rPr>
                <w:color w:val="000000" w:themeColor="text1"/>
                <w:sz w:val="16"/>
                <w:szCs w:val="16"/>
              </w:rPr>
              <w:t>rarely</w:t>
            </w:r>
            <w:r w:rsidRPr="00D20E7B">
              <w:rPr>
                <w:color w:val="000000" w:themeColor="text1"/>
                <w:sz w:val="16"/>
                <w:szCs w:val="16"/>
              </w:rPr>
              <w:t xml:space="preserve"> draw</w:t>
            </w:r>
            <w:r>
              <w:rPr>
                <w:color w:val="000000" w:themeColor="text1"/>
                <w:sz w:val="16"/>
                <w:szCs w:val="16"/>
              </w:rPr>
              <w:t>ing</w:t>
            </w:r>
            <w:r w:rsidRPr="00D20E7B">
              <w:rPr>
                <w:color w:val="000000" w:themeColor="text1"/>
                <w:sz w:val="16"/>
                <w:szCs w:val="16"/>
              </w:rPr>
              <w:t xml:space="preserve"> on relevant or sufficient evidence from texts or other research on the topic or issue</w:t>
            </w:r>
            <w:r>
              <w:rPr>
                <w:color w:val="000000" w:themeColor="text1"/>
                <w:sz w:val="16"/>
                <w:szCs w:val="16"/>
              </w:rPr>
              <w:t>, rarely stimulating</w:t>
            </w:r>
            <w:r w:rsidRPr="00D20E7B">
              <w:rPr>
                <w:color w:val="000000" w:themeColor="text1"/>
                <w:sz w:val="16"/>
                <w:szCs w:val="16"/>
              </w:rPr>
              <w:t xml:space="preserve"> a thoughtful or well-reasoned exchange of ideas. (SL.11-12.1.a)</w:t>
            </w:r>
          </w:p>
          <w:p w14:paraId="2337BCE3" w14:textId="77777777" w:rsidR="00BA179F" w:rsidRPr="00D20E7B" w:rsidRDefault="00BA179F" w:rsidP="00536040">
            <w:pPr>
              <w:spacing w:before="40" w:after="120" w:line="240" w:lineRule="auto"/>
              <w:rPr>
                <w:color w:val="000000" w:themeColor="text1"/>
                <w:sz w:val="16"/>
                <w:szCs w:val="16"/>
              </w:rPr>
            </w:pPr>
            <w:r>
              <w:rPr>
                <w:color w:val="000000" w:themeColor="text1"/>
                <w:sz w:val="16"/>
                <w:szCs w:val="16"/>
              </w:rPr>
              <w:t>Ineffectively</w:t>
            </w:r>
            <w:r w:rsidRPr="00D20E7B">
              <w:rPr>
                <w:color w:val="000000" w:themeColor="text1"/>
                <w:sz w:val="16"/>
                <w:szCs w:val="16"/>
              </w:rPr>
              <w:t xml:space="preserve"> propel conversations by </w:t>
            </w:r>
            <w:r>
              <w:rPr>
                <w:color w:val="000000" w:themeColor="text1"/>
                <w:sz w:val="16"/>
                <w:szCs w:val="16"/>
              </w:rPr>
              <w:t>rarely posing</w:t>
            </w:r>
            <w:r w:rsidRPr="00D20E7B">
              <w:rPr>
                <w:color w:val="000000" w:themeColor="text1"/>
                <w:sz w:val="16"/>
                <w:szCs w:val="16"/>
              </w:rPr>
              <w:t xml:space="preserve"> or respond</w:t>
            </w:r>
            <w:r>
              <w:rPr>
                <w:color w:val="000000" w:themeColor="text1"/>
                <w:sz w:val="16"/>
                <w:szCs w:val="16"/>
              </w:rPr>
              <w:t>ing</w:t>
            </w:r>
            <w:r w:rsidRPr="00D20E7B">
              <w:rPr>
                <w:color w:val="000000" w:themeColor="text1"/>
                <w:sz w:val="16"/>
                <w:szCs w:val="16"/>
              </w:rPr>
              <w:t xml:space="preserve"> to questions that probe reasoning and evidence; </w:t>
            </w:r>
            <w:r>
              <w:rPr>
                <w:color w:val="000000" w:themeColor="text1"/>
                <w:sz w:val="16"/>
                <w:szCs w:val="16"/>
              </w:rPr>
              <w:t>rarely ensure</w:t>
            </w:r>
            <w:r w:rsidRPr="00D20E7B">
              <w:rPr>
                <w:color w:val="000000" w:themeColor="text1"/>
                <w:sz w:val="16"/>
                <w:szCs w:val="16"/>
              </w:rPr>
              <w:t xml:space="preserve"> a hearing for a full range of positions on a topic or issue; </w:t>
            </w:r>
            <w:r>
              <w:rPr>
                <w:color w:val="000000" w:themeColor="text1"/>
                <w:sz w:val="16"/>
                <w:szCs w:val="16"/>
              </w:rPr>
              <w:t>rarely</w:t>
            </w:r>
            <w:r w:rsidRPr="00D20E7B">
              <w:rPr>
                <w:color w:val="000000" w:themeColor="text1"/>
                <w:sz w:val="16"/>
                <w:szCs w:val="16"/>
              </w:rPr>
              <w:t xml:space="preserve"> clarify, verify, or challenge ideas and conclusions; and prevent divergent and creative perspectives. (SL.11-12.1.c)</w:t>
            </w:r>
          </w:p>
        </w:tc>
      </w:tr>
      <w:tr w:rsidR="00BA179F" w:rsidRPr="00D20E7B" w14:paraId="048B07F7"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BE50E" w14:textId="77777777" w:rsidR="00BA179F" w:rsidRDefault="00BA179F" w:rsidP="00536040">
            <w:pPr>
              <w:pStyle w:val="ToolTableText"/>
              <w:rPr>
                <w:b/>
                <w:sz w:val="16"/>
                <w:szCs w:val="13"/>
              </w:rPr>
            </w:pPr>
            <w:r>
              <w:rPr>
                <w:b/>
                <w:sz w:val="16"/>
                <w:szCs w:val="13"/>
              </w:rPr>
              <w:lastRenderedPageBreak/>
              <w:t>Collaboration and Presentation</w:t>
            </w:r>
          </w:p>
          <w:p w14:paraId="2C8F4B1D" w14:textId="77777777" w:rsidR="00BA179F" w:rsidRDefault="00BA179F" w:rsidP="00536040">
            <w:pPr>
              <w:pStyle w:val="ToolTableText"/>
              <w:rPr>
                <w:b/>
                <w:sz w:val="16"/>
                <w:szCs w:val="13"/>
              </w:rPr>
            </w:pPr>
            <w:r w:rsidRPr="00D20E7B">
              <w:rPr>
                <w:b/>
                <w:sz w:val="16"/>
                <w:szCs w:val="13"/>
              </w:rPr>
              <w:t xml:space="preserve">The extent to which the </w:t>
            </w:r>
            <w:r>
              <w:rPr>
                <w:b/>
                <w:sz w:val="16"/>
                <w:szCs w:val="13"/>
              </w:rPr>
              <w:t>speaker</w:t>
            </w:r>
            <w:r w:rsidRPr="00D20E7B">
              <w:rPr>
                <w:b/>
                <w:sz w:val="16"/>
                <w:szCs w:val="13"/>
              </w:rPr>
              <w:t xml:space="preserve"> </w:t>
            </w:r>
            <w:r>
              <w:rPr>
                <w:b/>
                <w:sz w:val="16"/>
                <w:szCs w:val="13"/>
              </w:rPr>
              <w:t>responds to</w:t>
            </w:r>
            <w:r w:rsidRPr="00D20E7B">
              <w:rPr>
                <w:b/>
                <w:sz w:val="16"/>
                <w:szCs w:val="13"/>
              </w:rPr>
              <w:t xml:space="preserve"> diverse perspectives; synthesizes comments, claims, and evidence made on all sides of an issue; resolves contradictions when possible; and determines what additional information or research is required to deepen the investigation or complete the task.</w:t>
            </w:r>
          </w:p>
          <w:p w14:paraId="10416949" w14:textId="77777777" w:rsidR="00BA179F" w:rsidRPr="00D20E7B" w:rsidRDefault="00BA179F" w:rsidP="00536040">
            <w:pPr>
              <w:pStyle w:val="ToolTableText"/>
              <w:rPr>
                <w:b/>
                <w:sz w:val="16"/>
                <w:szCs w:val="13"/>
              </w:rPr>
            </w:pPr>
            <w:r w:rsidRPr="00D20E7B">
              <w:rPr>
                <w:b/>
                <w:sz w:val="16"/>
                <w:szCs w:val="13"/>
              </w:rPr>
              <w:t>CCSS.ELA-Literacy.SL.11-12.1.d</w:t>
            </w:r>
          </w:p>
          <w:p w14:paraId="3870CF84" w14:textId="77777777" w:rsidR="00BA179F" w:rsidRDefault="00BA179F" w:rsidP="00536040">
            <w:pPr>
              <w:pStyle w:val="ToolTableText"/>
              <w:rPr>
                <w:b/>
                <w:sz w:val="16"/>
                <w:szCs w:val="13"/>
              </w:rPr>
            </w:pPr>
            <w:r w:rsidRPr="00D20E7B">
              <w:rPr>
                <w:sz w:val="16"/>
                <w:szCs w:val="13"/>
              </w:rPr>
              <w:t>Respond thoughtfully to diverse perspectives; synthesize comments, claims, and evidence made on all sides of an issue; resolve contradictions when possible; and determine what additional information or research is required to deepen the investigation or complete the task.</w:t>
            </w:r>
          </w:p>
          <w:p w14:paraId="5AD5C50E" w14:textId="77777777" w:rsidR="00BA179F" w:rsidRPr="00D20E7B" w:rsidRDefault="00BA179F" w:rsidP="00536040">
            <w:pPr>
              <w:pStyle w:val="ToolTableText"/>
              <w:rPr>
                <w:b/>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5F59C93" w14:textId="77777777" w:rsidR="00BA179F" w:rsidRDefault="00BA179F" w:rsidP="00536040">
            <w:pPr>
              <w:pStyle w:val="ToolTableText"/>
              <w:rPr>
                <w:color w:val="000000" w:themeColor="text1"/>
                <w:sz w:val="16"/>
                <w:szCs w:val="13"/>
              </w:rPr>
            </w:pPr>
            <w:r w:rsidRPr="00D20E7B">
              <w:rPr>
                <w:color w:val="000000" w:themeColor="text1"/>
                <w:sz w:val="16"/>
                <w:szCs w:val="13"/>
              </w:rPr>
              <w:lastRenderedPageBreak/>
              <w:t xml:space="preserve">Skillfully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skillfully synthesize comments, claims, and evidence made on all sides of an issue; </w:t>
            </w:r>
            <w:r>
              <w:rPr>
                <w:sz w:val="16"/>
                <w:szCs w:val="13"/>
              </w:rPr>
              <w:t>frequently</w:t>
            </w:r>
            <w:r w:rsidRPr="00D20E7B">
              <w:rPr>
                <w:sz w:val="16"/>
                <w:szCs w:val="13"/>
              </w:rPr>
              <w:t xml:space="preserve"> resolve contradictions when possible; and </w:t>
            </w:r>
            <w:r>
              <w:rPr>
                <w:sz w:val="16"/>
                <w:szCs w:val="13"/>
              </w:rPr>
              <w:t>precisely</w:t>
            </w:r>
            <w:r w:rsidRPr="00D20E7B">
              <w:rPr>
                <w:sz w:val="16"/>
                <w:szCs w:val="13"/>
              </w:rPr>
              <w:t xml:space="preserve"> determine what additional information or research is required to deepen the investigation or complete the task. (SL.11-12.1.d)</w:t>
            </w:r>
          </w:p>
          <w:p w14:paraId="4A84A239"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D5030FC" w14:textId="77777777" w:rsidR="00BA179F" w:rsidRDefault="00BA179F" w:rsidP="00536040">
            <w:pPr>
              <w:pStyle w:val="ToolTableText"/>
              <w:rPr>
                <w:color w:val="000000" w:themeColor="text1"/>
                <w:sz w:val="16"/>
                <w:szCs w:val="13"/>
              </w:rPr>
            </w:pPr>
            <w:r>
              <w:rPr>
                <w:color w:val="000000" w:themeColor="text1"/>
                <w:sz w:val="16"/>
                <w:szCs w:val="13"/>
              </w:rPr>
              <w:t>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 xml:space="preserve">accurately </w:t>
            </w:r>
            <w:r w:rsidRPr="00D20E7B">
              <w:rPr>
                <w:sz w:val="16"/>
                <w:szCs w:val="13"/>
              </w:rPr>
              <w:t>synthesize comments, claims, and evidence made on all sides of an issue; resolve contradictions when possible; and</w:t>
            </w:r>
            <w:r>
              <w:rPr>
                <w:sz w:val="16"/>
                <w:szCs w:val="13"/>
              </w:rPr>
              <w:t xml:space="preserve"> accurately</w:t>
            </w:r>
            <w:r w:rsidRPr="00D20E7B">
              <w:rPr>
                <w:sz w:val="16"/>
                <w:szCs w:val="13"/>
              </w:rPr>
              <w:t xml:space="preserve"> determine what additional information or research is required to deepen the investigation or complete the task. (SL.11-12.1.d)</w:t>
            </w:r>
          </w:p>
          <w:p w14:paraId="687409F0"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46AE2696" w14:textId="77777777" w:rsidR="00BA179F" w:rsidRDefault="00BA179F" w:rsidP="00536040">
            <w:pPr>
              <w:pStyle w:val="ToolTableText"/>
              <w:rPr>
                <w:color w:val="000000" w:themeColor="text1"/>
                <w:sz w:val="16"/>
                <w:szCs w:val="13"/>
              </w:rPr>
            </w:pPr>
            <w:r>
              <w:rPr>
                <w:color w:val="000000" w:themeColor="text1"/>
                <w:sz w:val="16"/>
                <w:szCs w:val="13"/>
              </w:rPr>
              <w:t>Somewhat effectively</w:t>
            </w:r>
            <w:r w:rsidRPr="00D20E7B">
              <w:rPr>
                <w:color w:val="000000" w:themeColor="text1"/>
                <w:sz w:val="16"/>
                <w:szCs w:val="13"/>
              </w:rPr>
              <w:t xml:space="preserve"> </w:t>
            </w:r>
            <w:r>
              <w:rPr>
                <w:color w:val="000000" w:themeColor="text1"/>
                <w:sz w:val="16"/>
                <w:szCs w:val="13"/>
              </w:rPr>
              <w:t>respond to</w:t>
            </w:r>
            <w:r w:rsidRPr="00D20E7B">
              <w:rPr>
                <w:color w:val="000000" w:themeColor="text1"/>
                <w:sz w:val="16"/>
                <w:szCs w:val="13"/>
              </w:rPr>
              <w:t xml:space="preserve"> </w:t>
            </w:r>
            <w:r w:rsidRPr="00D20E7B">
              <w:rPr>
                <w:sz w:val="16"/>
                <w:szCs w:val="13"/>
              </w:rPr>
              <w:t xml:space="preserve">diverse perspectives; </w:t>
            </w:r>
            <w:r>
              <w:rPr>
                <w:sz w:val="16"/>
                <w:szCs w:val="13"/>
              </w:rPr>
              <w:t>with partial accuracy,</w:t>
            </w:r>
            <w:r w:rsidRPr="00D20E7B">
              <w:rPr>
                <w:sz w:val="16"/>
                <w:szCs w:val="13"/>
              </w:rPr>
              <w:t xml:space="preserve"> synthesize comments, claims, and evidence made on all sides of an issue; </w:t>
            </w:r>
            <w:r>
              <w:rPr>
                <w:sz w:val="16"/>
                <w:szCs w:val="13"/>
              </w:rPr>
              <w:t xml:space="preserve">occasionally </w:t>
            </w:r>
            <w:r w:rsidRPr="00D20E7B">
              <w:rPr>
                <w:sz w:val="16"/>
                <w:szCs w:val="13"/>
              </w:rPr>
              <w:t>resolve co</w:t>
            </w:r>
            <w:r>
              <w:rPr>
                <w:sz w:val="16"/>
                <w:szCs w:val="13"/>
              </w:rPr>
              <w:t>ntradictions when possible; and</w:t>
            </w:r>
            <w:r w:rsidRPr="00D20E7B">
              <w:rPr>
                <w:sz w:val="16"/>
                <w:szCs w:val="13"/>
              </w:rPr>
              <w:t xml:space="preserve"> determine </w:t>
            </w:r>
            <w:r>
              <w:rPr>
                <w:sz w:val="16"/>
                <w:szCs w:val="13"/>
              </w:rPr>
              <w:t xml:space="preserve">with partial accuracy </w:t>
            </w:r>
            <w:r w:rsidRPr="00D20E7B">
              <w:rPr>
                <w:sz w:val="16"/>
                <w:szCs w:val="13"/>
              </w:rPr>
              <w:t>what additional information or research is required to deepen the investigation or complete the task. (SL.11-12.1.d)</w:t>
            </w:r>
          </w:p>
          <w:p w14:paraId="220B1FA3"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1FC96D35" w14:textId="77777777" w:rsidR="00BA179F" w:rsidRDefault="00BA179F" w:rsidP="00536040">
            <w:pPr>
              <w:pStyle w:val="ToolTableText"/>
              <w:rPr>
                <w:color w:val="000000" w:themeColor="text1"/>
                <w:sz w:val="16"/>
                <w:szCs w:val="13"/>
              </w:rPr>
            </w:pPr>
            <w:r>
              <w:rPr>
                <w:color w:val="000000" w:themeColor="text1"/>
                <w:sz w:val="16"/>
                <w:szCs w:val="13"/>
              </w:rPr>
              <w:t>Ineffectively respond to</w:t>
            </w:r>
            <w:r w:rsidRPr="00D20E7B">
              <w:rPr>
                <w:color w:val="000000" w:themeColor="text1"/>
                <w:sz w:val="16"/>
                <w:szCs w:val="13"/>
              </w:rPr>
              <w:t xml:space="preserve"> </w:t>
            </w:r>
            <w:r w:rsidRPr="00D20E7B">
              <w:rPr>
                <w:sz w:val="16"/>
                <w:szCs w:val="13"/>
              </w:rPr>
              <w:t xml:space="preserve">diverse perspectives; </w:t>
            </w:r>
            <w:r>
              <w:rPr>
                <w:sz w:val="16"/>
                <w:szCs w:val="13"/>
              </w:rPr>
              <w:t>inaccurately</w:t>
            </w:r>
            <w:r w:rsidRPr="00D20E7B">
              <w:rPr>
                <w:sz w:val="16"/>
                <w:szCs w:val="13"/>
              </w:rPr>
              <w:t xml:space="preserve"> synthesize comments, claims, and evidence made on all sides of an issue; </w:t>
            </w:r>
            <w:r>
              <w:rPr>
                <w:sz w:val="16"/>
                <w:szCs w:val="13"/>
              </w:rPr>
              <w:t>rarely</w:t>
            </w:r>
            <w:r w:rsidRPr="00D20E7B">
              <w:rPr>
                <w:sz w:val="16"/>
                <w:szCs w:val="13"/>
              </w:rPr>
              <w:t xml:space="preserve"> resolve contradictions when possible; and </w:t>
            </w:r>
            <w:r>
              <w:rPr>
                <w:sz w:val="16"/>
                <w:szCs w:val="13"/>
              </w:rPr>
              <w:t>inaccurately</w:t>
            </w:r>
            <w:r w:rsidRPr="00D20E7B">
              <w:rPr>
                <w:sz w:val="16"/>
                <w:szCs w:val="13"/>
              </w:rPr>
              <w:t xml:space="preserve"> determine what additional information or research is required to deepen the investigation or complete the task. (SL.11-12.1.d)</w:t>
            </w:r>
          </w:p>
          <w:p w14:paraId="0D6F5E8D" w14:textId="77777777" w:rsidR="00BA179F" w:rsidRPr="00D20E7B" w:rsidRDefault="00BA179F" w:rsidP="00536040">
            <w:pPr>
              <w:pStyle w:val="ToolTableText"/>
              <w:rPr>
                <w:color w:val="000000" w:themeColor="text1"/>
                <w:sz w:val="16"/>
                <w:szCs w:val="13"/>
              </w:rPr>
            </w:pPr>
          </w:p>
        </w:tc>
      </w:tr>
      <w:tr w:rsidR="00BA179F" w:rsidRPr="00D20E7B" w14:paraId="51C3D9DC"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4BD3FCE" w14:textId="77777777" w:rsidR="00BA179F" w:rsidRDefault="00BA179F" w:rsidP="00536040">
            <w:pPr>
              <w:pStyle w:val="ToolTableText"/>
              <w:rPr>
                <w:b/>
                <w:sz w:val="16"/>
                <w:szCs w:val="13"/>
              </w:rPr>
            </w:pPr>
            <w:r>
              <w:rPr>
                <w:b/>
                <w:sz w:val="16"/>
                <w:szCs w:val="13"/>
              </w:rPr>
              <w:lastRenderedPageBreak/>
              <w:t>Collaboration and Presentation</w:t>
            </w:r>
          </w:p>
          <w:p w14:paraId="4B45C110" w14:textId="77777777" w:rsidR="00BA179F" w:rsidRDefault="00BA179F" w:rsidP="00536040">
            <w:pPr>
              <w:pStyle w:val="ToolTableText"/>
              <w:rPr>
                <w:b/>
                <w:sz w:val="16"/>
                <w:szCs w:val="13"/>
              </w:rPr>
            </w:pPr>
            <w:r>
              <w:rPr>
                <w:b/>
                <w:sz w:val="16"/>
                <w:szCs w:val="13"/>
              </w:rPr>
              <w:t>The extent to which the response presents information, findings, and evidence, conveying a clear perspective, such that listeners can follow the line of reasoning; and address alternative or opposing perspectives. The extent to which the response demonstrates organization, development, substance, and style appropriate to the purpose, audience, and task.</w:t>
            </w:r>
          </w:p>
          <w:p w14:paraId="4E0C6CFC" w14:textId="77777777" w:rsidR="00BA179F" w:rsidRDefault="00BA179F" w:rsidP="00536040">
            <w:pPr>
              <w:pStyle w:val="ToolTableText"/>
              <w:rPr>
                <w:b/>
                <w:sz w:val="16"/>
                <w:szCs w:val="13"/>
              </w:rPr>
            </w:pPr>
            <w:r>
              <w:rPr>
                <w:b/>
                <w:sz w:val="16"/>
                <w:szCs w:val="13"/>
              </w:rPr>
              <w:t>CCSS.ELA-Literacy.SL.11-12.4</w:t>
            </w:r>
          </w:p>
          <w:p w14:paraId="4DBDE825" w14:textId="77777777" w:rsidR="00BA179F" w:rsidRPr="001105C4" w:rsidRDefault="00BA179F" w:rsidP="00536040">
            <w:pPr>
              <w:pStyle w:val="ToolTableText"/>
              <w:rPr>
                <w:sz w:val="16"/>
                <w:szCs w:val="13"/>
              </w:rPr>
            </w:pPr>
            <w:r>
              <w:rPr>
                <w:sz w:val="16"/>
                <w:szCs w:val="13"/>
              </w:rPr>
              <w:t>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tc>
        <w:tc>
          <w:tcPr>
            <w:tcW w:w="2736" w:type="dxa"/>
            <w:tcBorders>
              <w:top w:val="single" w:sz="4" w:space="0" w:color="auto"/>
              <w:left w:val="single" w:sz="4" w:space="0" w:color="auto"/>
              <w:bottom w:val="single" w:sz="4" w:space="0" w:color="auto"/>
              <w:right w:val="single" w:sz="4" w:space="0" w:color="auto"/>
            </w:tcBorders>
          </w:tcPr>
          <w:p w14:paraId="097FC32A" w14:textId="77777777" w:rsidR="00BA179F" w:rsidRDefault="00BA179F" w:rsidP="00536040">
            <w:pPr>
              <w:pStyle w:val="ToolTableText"/>
              <w:rPr>
                <w:color w:val="000000" w:themeColor="text1"/>
                <w:sz w:val="16"/>
                <w:szCs w:val="13"/>
              </w:rPr>
            </w:pPr>
            <w:r>
              <w:rPr>
                <w:color w:val="000000" w:themeColor="text1"/>
                <w:sz w:val="16"/>
                <w:szCs w:val="13"/>
              </w:rPr>
              <w:t>Skillfully present information, findings, and evidence, conveying a clear and distinct perspective, such that listeners can follow the line of reasoning; skillfully address alternative or opposing perspectives. Demonstrate skillful organization, development, substance, and style appropriate to the purpose, audience, and task.</w:t>
            </w:r>
          </w:p>
          <w:p w14:paraId="056ECF12"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070A8A7C" w14:textId="77777777" w:rsidR="00BA179F" w:rsidRDefault="00BA179F" w:rsidP="00536040">
            <w:pPr>
              <w:pStyle w:val="ToolTableText"/>
              <w:rPr>
                <w:color w:val="000000" w:themeColor="text1"/>
                <w:sz w:val="16"/>
                <w:szCs w:val="13"/>
              </w:rPr>
            </w:pPr>
            <w:r>
              <w:rPr>
                <w:color w:val="000000" w:themeColor="text1"/>
                <w:sz w:val="16"/>
                <w:szCs w:val="13"/>
              </w:rPr>
              <w:t>Present information, findings, and evidence, conveying a clear perspective, such that listeners can follow the line of reasoning; address alternative or opposing perspectives. Demonstrate organization, development, substance, and style appropriate to the purpose, audience, and task.</w:t>
            </w:r>
          </w:p>
          <w:p w14:paraId="3A6F5937" w14:textId="77777777" w:rsidR="00BA179F" w:rsidRPr="00D20E7B" w:rsidRDefault="00BA179F" w:rsidP="00536040">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CBE6639" w14:textId="77777777" w:rsidR="00BA179F" w:rsidRPr="00D20E7B" w:rsidRDefault="00BA179F" w:rsidP="00536040">
            <w:pPr>
              <w:pStyle w:val="ToolTableText"/>
              <w:rPr>
                <w:color w:val="000000" w:themeColor="text1"/>
                <w:sz w:val="16"/>
                <w:szCs w:val="13"/>
              </w:rPr>
            </w:pPr>
            <w:r>
              <w:rPr>
                <w:color w:val="000000" w:themeColor="text1"/>
                <w:sz w:val="16"/>
                <w:szCs w:val="13"/>
              </w:rPr>
              <w:t>Somewhat effectively present information, findings, and evidence, conveying an indistinct perspective, such that listeners struggle to follow the line of reasoning; insufficiently address alternative or opposing perspectives. Demonstrate organization, development, substance, and style somewhat appropriate to the purpose, audience, and task.</w:t>
            </w:r>
          </w:p>
        </w:tc>
        <w:tc>
          <w:tcPr>
            <w:tcW w:w="2736" w:type="dxa"/>
            <w:tcBorders>
              <w:top w:val="single" w:sz="4" w:space="0" w:color="auto"/>
              <w:left w:val="single" w:sz="4" w:space="0" w:color="auto"/>
              <w:bottom w:val="single" w:sz="4" w:space="0" w:color="auto"/>
              <w:right w:val="single" w:sz="4" w:space="0" w:color="auto"/>
            </w:tcBorders>
          </w:tcPr>
          <w:p w14:paraId="0F649158" w14:textId="77777777" w:rsidR="00BA179F" w:rsidRDefault="00BA179F" w:rsidP="00536040">
            <w:pPr>
              <w:pStyle w:val="ToolTableText"/>
              <w:rPr>
                <w:color w:val="000000" w:themeColor="text1"/>
                <w:sz w:val="16"/>
                <w:szCs w:val="13"/>
              </w:rPr>
            </w:pPr>
            <w:r>
              <w:rPr>
                <w:color w:val="000000" w:themeColor="text1"/>
                <w:sz w:val="16"/>
                <w:szCs w:val="13"/>
              </w:rPr>
              <w:t>Ineffectively present information, findings, and evidence with an unclear perspective, failing to establish a clear line of reasoning or address alternative or opposing perspectives. Rarely demonstrate organization, development, substance, and style appropriate to the purpose, audience, and task.</w:t>
            </w:r>
          </w:p>
          <w:p w14:paraId="2028A161" w14:textId="77777777" w:rsidR="00BA179F" w:rsidRPr="00D20E7B" w:rsidRDefault="00BA179F" w:rsidP="00536040">
            <w:pPr>
              <w:pStyle w:val="ToolTableText"/>
              <w:rPr>
                <w:color w:val="000000" w:themeColor="text1"/>
                <w:sz w:val="16"/>
                <w:szCs w:val="13"/>
              </w:rPr>
            </w:pPr>
          </w:p>
        </w:tc>
      </w:tr>
      <w:tr w:rsidR="00BA179F" w:rsidRPr="00D20E7B" w14:paraId="6C5EFAA1"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9E39A4" w14:textId="77777777" w:rsidR="00BA179F" w:rsidRDefault="00BA179F" w:rsidP="00BA179F">
            <w:pPr>
              <w:pStyle w:val="ToolTableText"/>
              <w:rPr>
                <w:b/>
                <w:sz w:val="16"/>
                <w:szCs w:val="13"/>
              </w:rPr>
            </w:pPr>
            <w:r>
              <w:rPr>
                <w:b/>
                <w:sz w:val="16"/>
                <w:szCs w:val="13"/>
              </w:rPr>
              <w:t>Collaboration and Presentation</w:t>
            </w:r>
          </w:p>
          <w:p w14:paraId="1E1628DD" w14:textId="77777777" w:rsidR="00BA179F" w:rsidRDefault="00BA179F" w:rsidP="00BA179F">
            <w:pPr>
              <w:pStyle w:val="ToolTableText"/>
              <w:rPr>
                <w:b/>
                <w:sz w:val="16"/>
                <w:szCs w:val="13"/>
              </w:rPr>
            </w:pPr>
            <w:r>
              <w:rPr>
                <w:b/>
                <w:sz w:val="16"/>
                <w:szCs w:val="13"/>
              </w:rPr>
              <w:t>The extent to which the presentation makes strategic use of digital media to enhance understanding of findings, reasoning, and evidence and to add interest.</w:t>
            </w:r>
          </w:p>
          <w:p w14:paraId="532A696C" w14:textId="77777777" w:rsidR="00BA179F" w:rsidRDefault="00BA179F" w:rsidP="00BA179F">
            <w:pPr>
              <w:pStyle w:val="ToolTableText"/>
              <w:rPr>
                <w:b/>
                <w:sz w:val="16"/>
                <w:szCs w:val="13"/>
              </w:rPr>
            </w:pPr>
            <w:r>
              <w:rPr>
                <w:b/>
                <w:sz w:val="16"/>
                <w:szCs w:val="13"/>
              </w:rPr>
              <w:lastRenderedPageBreak/>
              <w:t>CCSS.ELA-Literacy.SL.11-12.5</w:t>
            </w:r>
          </w:p>
          <w:p w14:paraId="7725EBA6" w14:textId="1D1B247C" w:rsidR="00BA179F" w:rsidRDefault="00BA179F" w:rsidP="00BA179F">
            <w:pPr>
              <w:pStyle w:val="ToolTableText"/>
              <w:rPr>
                <w:b/>
                <w:sz w:val="16"/>
                <w:szCs w:val="13"/>
              </w:rPr>
            </w:pPr>
            <w:r w:rsidRPr="0037159A">
              <w:rPr>
                <w:sz w:val="16"/>
                <w:szCs w:val="13"/>
              </w:rPr>
              <w:t>Make strategic use of digital media (e.g., textual, graphical, audio, visual, and interactive elements) in presentations to enhance understanding of findings, reasoning, and evidence and to add interest.</w:t>
            </w:r>
          </w:p>
        </w:tc>
        <w:tc>
          <w:tcPr>
            <w:tcW w:w="2736" w:type="dxa"/>
            <w:tcBorders>
              <w:top w:val="single" w:sz="4" w:space="0" w:color="auto"/>
              <w:left w:val="single" w:sz="4" w:space="0" w:color="auto"/>
              <w:bottom w:val="single" w:sz="4" w:space="0" w:color="auto"/>
              <w:right w:val="single" w:sz="4" w:space="0" w:color="auto"/>
            </w:tcBorders>
          </w:tcPr>
          <w:p w14:paraId="04CE3B2A" w14:textId="0D35957B" w:rsidR="00BA179F" w:rsidRDefault="00BA179F" w:rsidP="00BA179F">
            <w:pPr>
              <w:pStyle w:val="ToolTableText"/>
              <w:rPr>
                <w:color w:val="000000" w:themeColor="text1"/>
                <w:sz w:val="16"/>
                <w:szCs w:val="13"/>
              </w:rPr>
            </w:pPr>
            <w:r>
              <w:rPr>
                <w:color w:val="000000" w:themeColor="text1"/>
                <w:sz w:val="16"/>
                <w:szCs w:val="13"/>
              </w:rPr>
              <w:lastRenderedPageBreak/>
              <w:t>Skillfully make strategic use of digital media in presentations to enhance understanding of findings, reasoning, and evidence and to add interest.</w:t>
            </w:r>
          </w:p>
        </w:tc>
        <w:tc>
          <w:tcPr>
            <w:tcW w:w="2736" w:type="dxa"/>
            <w:tcBorders>
              <w:top w:val="single" w:sz="4" w:space="0" w:color="auto"/>
              <w:left w:val="single" w:sz="4" w:space="0" w:color="auto"/>
              <w:bottom w:val="single" w:sz="4" w:space="0" w:color="auto"/>
              <w:right w:val="single" w:sz="4" w:space="0" w:color="auto"/>
            </w:tcBorders>
          </w:tcPr>
          <w:p w14:paraId="76C07779" w14:textId="5BB44ACD" w:rsidR="00BA179F" w:rsidRDefault="00BA179F" w:rsidP="00BA179F">
            <w:pPr>
              <w:pStyle w:val="ToolTableText"/>
              <w:rPr>
                <w:color w:val="000000" w:themeColor="text1"/>
                <w:sz w:val="16"/>
                <w:szCs w:val="13"/>
              </w:rPr>
            </w:pPr>
            <w:r>
              <w:rPr>
                <w:color w:val="000000" w:themeColor="text1"/>
                <w:sz w:val="16"/>
                <w:szCs w:val="13"/>
              </w:rPr>
              <w:t>Make strategic use of digital media in presentations to enhance understanding of findings, reasoning, and evidence and to add interest.</w:t>
            </w:r>
          </w:p>
        </w:tc>
        <w:tc>
          <w:tcPr>
            <w:tcW w:w="2736" w:type="dxa"/>
            <w:tcBorders>
              <w:top w:val="single" w:sz="4" w:space="0" w:color="auto"/>
              <w:left w:val="single" w:sz="4" w:space="0" w:color="auto"/>
              <w:bottom w:val="single" w:sz="4" w:space="0" w:color="auto"/>
              <w:right w:val="single" w:sz="4" w:space="0" w:color="auto"/>
            </w:tcBorders>
          </w:tcPr>
          <w:p w14:paraId="50B44628" w14:textId="2EA68060" w:rsidR="00BA179F" w:rsidRDefault="00BA179F" w:rsidP="00BA179F">
            <w:pPr>
              <w:pStyle w:val="ToolTableText"/>
              <w:rPr>
                <w:color w:val="000000" w:themeColor="text1"/>
                <w:sz w:val="16"/>
                <w:szCs w:val="13"/>
              </w:rPr>
            </w:pPr>
            <w:r>
              <w:rPr>
                <w:color w:val="000000" w:themeColor="text1"/>
                <w:sz w:val="16"/>
                <w:szCs w:val="13"/>
              </w:rPr>
              <w:t>Somewhat effectively make use of digital media in presentations to partially enhance understanding of findings, reasoning, and evidence and to add interest.</w:t>
            </w:r>
          </w:p>
        </w:tc>
        <w:tc>
          <w:tcPr>
            <w:tcW w:w="2736" w:type="dxa"/>
            <w:tcBorders>
              <w:top w:val="single" w:sz="4" w:space="0" w:color="auto"/>
              <w:left w:val="single" w:sz="4" w:space="0" w:color="auto"/>
              <w:bottom w:val="single" w:sz="4" w:space="0" w:color="auto"/>
              <w:right w:val="single" w:sz="4" w:space="0" w:color="auto"/>
            </w:tcBorders>
          </w:tcPr>
          <w:p w14:paraId="2EF44745" w14:textId="4497BDEA" w:rsidR="00BA179F" w:rsidRDefault="00BA179F" w:rsidP="00BA179F">
            <w:pPr>
              <w:pStyle w:val="ToolTableText"/>
              <w:rPr>
                <w:color w:val="000000" w:themeColor="text1"/>
                <w:sz w:val="16"/>
                <w:szCs w:val="13"/>
              </w:rPr>
            </w:pPr>
            <w:r>
              <w:rPr>
                <w:color w:val="000000" w:themeColor="text1"/>
                <w:sz w:val="16"/>
                <w:szCs w:val="13"/>
              </w:rPr>
              <w:t>Ineffectively make use of digital media in presentations, failing to enhance understanding of findings, reasoning, and evidence and failing to add interest.</w:t>
            </w:r>
          </w:p>
        </w:tc>
      </w:tr>
      <w:tr w:rsidR="00BA179F" w:rsidRPr="00D20E7B" w14:paraId="507B5528" w14:textId="77777777" w:rsidTr="00536040">
        <w:trPr>
          <w:trHeight w:val="432"/>
        </w:trPr>
        <w:tc>
          <w:tcPr>
            <w:tcW w:w="252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1E728" w14:textId="77777777" w:rsidR="00BA179F" w:rsidRDefault="00BA179F" w:rsidP="00BA179F">
            <w:pPr>
              <w:pStyle w:val="ToolTableText"/>
              <w:rPr>
                <w:b/>
                <w:sz w:val="16"/>
                <w:szCs w:val="13"/>
              </w:rPr>
            </w:pPr>
            <w:r>
              <w:rPr>
                <w:b/>
                <w:sz w:val="16"/>
                <w:szCs w:val="13"/>
              </w:rPr>
              <w:lastRenderedPageBreak/>
              <w:t>Collaboration and Presentation</w:t>
            </w:r>
          </w:p>
          <w:p w14:paraId="33CD95F7" w14:textId="77777777" w:rsidR="00BA179F" w:rsidRDefault="00BA179F" w:rsidP="00BA179F">
            <w:pPr>
              <w:pStyle w:val="ToolTableText"/>
              <w:rPr>
                <w:b/>
                <w:sz w:val="16"/>
                <w:szCs w:val="13"/>
              </w:rPr>
            </w:pPr>
            <w:r>
              <w:rPr>
                <w:b/>
                <w:sz w:val="16"/>
                <w:szCs w:val="13"/>
              </w:rPr>
              <w:t>The extent to which the response adapts speech to the specific context and task, demonstrating a command of formal English.</w:t>
            </w:r>
          </w:p>
          <w:p w14:paraId="70FEF38D" w14:textId="77777777" w:rsidR="00BA179F" w:rsidRDefault="00BA179F" w:rsidP="00BA179F">
            <w:pPr>
              <w:pStyle w:val="ToolTableText"/>
              <w:rPr>
                <w:b/>
                <w:sz w:val="16"/>
                <w:szCs w:val="13"/>
              </w:rPr>
            </w:pPr>
            <w:r>
              <w:rPr>
                <w:b/>
                <w:sz w:val="16"/>
                <w:szCs w:val="13"/>
              </w:rPr>
              <w:t>CCSS.ELA-Literacy.SL.11-12.6</w:t>
            </w:r>
          </w:p>
          <w:p w14:paraId="7FD26BB8" w14:textId="77777777" w:rsidR="00BA179F" w:rsidRPr="00717489" w:rsidRDefault="00BA179F" w:rsidP="00BA179F">
            <w:pPr>
              <w:pStyle w:val="ToolTableText"/>
              <w:rPr>
                <w:sz w:val="16"/>
                <w:szCs w:val="13"/>
              </w:rPr>
            </w:pPr>
            <w:r>
              <w:rPr>
                <w:sz w:val="16"/>
                <w:szCs w:val="13"/>
              </w:rPr>
              <w:t xml:space="preserve">Adapt speech to a variety of contexts and tasks, demonstrating a command of formal English when indicated or appropriate. </w:t>
            </w:r>
          </w:p>
        </w:tc>
        <w:tc>
          <w:tcPr>
            <w:tcW w:w="2736" w:type="dxa"/>
            <w:tcBorders>
              <w:top w:val="single" w:sz="4" w:space="0" w:color="auto"/>
              <w:left w:val="single" w:sz="4" w:space="0" w:color="auto"/>
              <w:bottom w:val="single" w:sz="4" w:space="0" w:color="auto"/>
              <w:right w:val="single" w:sz="4" w:space="0" w:color="auto"/>
            </w:tcBorders>
          </w:tcPr>
          <w:p w14:paraId="467B69A7" w14:textId="77777777" w:rsidR="00BA179F" w:rsidRPr="00D20E7B" w:rsidRDefault="00BA179F" w:rsidP="00BA179F">
            <w:pPr>
              <w:pStyle w:val="ToolTableText"/>
              <w:rPr>
                <w:color w:val="000000" w:themeColor="text1"/>
                <w:sz w:val="16"/>
                <w:szCs w:val="13"/>
              </w:rPr>
            </w:pPr>
            <w:r>
              <w:rPr>
                <w:color w:val="000000" w:themeColor="text1"/>
                <w:sz w:val="16"/>
                <w:szCs w:val="13"/>
              </w:rPr>
              <w:t>Skillfully adapt speech to the specific context and task, demonstrating skillful command of formal English.</w:t>
            </w:r>
          </w:p>
          <w:p w14:paraId="07911698" w14:textId="77777777" w:rsidR="00BA179F" w:rsidRPr="00D20E7B" w:rsidRDefault="00BA179F" w:rsidP="00BA179F">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641C8069" w14:textId="77777777" w:rsidR="00BA179F" w:rsidRPr="00D20E7B" w:rsidRDefault="00BA179F" w:rsidP="00BA179F">
            <w:pPr>
              <w:pStyle w:val="ToolTableText"/>
              <w:rPr>
                <w:color w:val="000000" w:themeColor="text1"/>
                <w:sz w:val="16"/>
                <w:szCs w:val="13"/>
              </w:rPr>
            </w:pPr>
            <w:r>
              <w:rPr>
                <w:color w:val="000000" w:themeColor="text1"/>
                <w:sz w:val="16"/>
                <w:szCs w:val="13"/>
              </w:rPr>
              <w:t>Adapt speech to the specific context and task, demonstrating command of formal English with occasional errors.</w:t>
            </w:r>
          </w:p>
          <w:p w14:paraId="34772904" w14:textId="77777777" w:rsidR="00BA179F" w:rsidRPr="00D20E7B" w:rsidRDefault="00BA179F" w:rsidP="00BA179F">
            <w:pPr>
              <w:pStyle w:val="ToolTableText"/>
              <w:rPr>
                <w:color w:val="000000" w:themeColor="text1"/>
                <w:sz w:val="16"/>
                <w:szCs w:val="13"/>
              </w:rPr>
            </w:pPr>
          </w:p>
        </w:tc>
        <w:tc>
          <w:tcPr>
            <w:tcW w:w="2736" w:type="dxa"/>
            <w:tcBorders>
              <w:top w:val="single" w:sz="4" w:space="0" w:color="auto"/>
              <w:left w:val="single" w:sz="4" w:space="0" w:color="auto"/>
              <w:bottom w:val="single" w:sz="4" w:space="0" w:color="auto"/>
              <w:right w:val="single" w:sz="4" w:space="0" w:color="auto"/>
            </w:tcBorders>
          </w:tcPr>
          <w:p w14:paraId="5A6D555E" w14:textId="77777777" w:rsidR="00BA179F" w:rsidRPr="00D20E7B" w:rsidRDefault="00BA179F" w:rsidP="00BA179F">
            <w:pPr>
              <w:pStyle w:val="ToolTableText"/>
              <w:rPr>
                <w:color w:val="000000" w:themeColor="text1"/>
                <w:sz w:val="16"/>
                <w:szCs w:val="13"/>
              </w:rPr>
            </w:pPr>
            <w:r>
              <w:rPr>
                <w:color w:val="000000" w:themeColor="text1"/>
                <w:sz w:val="16"/>
                <w:szCs w:val="13"/>
              </w:rPr>
              <w:t>Somewhat effectively adapt speech to the specific context and task, demonstrating partial command of formal English with several errors.</w:t>
            </w:r>
          </w:p>
        </w:tc>
        <w:tc>
          <w:tcPr>
            <w:tcW w:w="2736" w:type="dxa"/>
            <w:tcBorders>
              <w:top w:val="single" w:sz="4" w:space="0" w:color="auto"/>
              <w:left w:val="single" w:sz="4" w:space="0" w:color="auto"/>
              <w:bottom w:val="single" w:sz="4" w:space="0" w:color="auto"/>
              <w:right w:val="single" w:sz="4" w:space="0" w:color="auto"/>
            </w:tcBorders>
          </w:tcPr>
          <w:p w14:paraId="2F70EBF7" w14:textId="77777777" w:rsidR="00BA179F" w:rsidRPr="00D20E7B" w:rsidRDefault="00BA179F" w:rsidP="00BA179F">
            <w:pPr>
              <w:pStyle w:val="ToolTableText"/>
              <w:rPr>
                <w:color w:val="000000" w:themeColor="text1"/>
                <w:sz w:val="16"/>
                <w:szCs w:val="13"/>
              </w:rPr>
            </w:pPr>
            <w:r>
              <w:rPr>
                <w:color w:val="000000" w:themeColor="text1"/>
                <w:sz w:val="16"/>
                <w:szCs w:val="13"/>
              </w:rPr>
              <w:t>Ineffectively adapt speech to the specific context and task, demonstrating insufficient command of formal English with frequent errors.</w:t>
            </w:r>
          </w:p>
          <w:p w14:paraId="1A191D07" w14:textId="77777777" w:rsidR="00BA179F" w:rsidRPr="00D20E7B" w:rsidRDefault="00BA179F" w:rsidP="00BA179F">
            <w:pPr>
              <w:pStyle w:val="ToolTableText"/>
              <w:rPr>
                <w:color w:val="000000" w:themeColor="text1"/>
                <w:sz w:val="16"/>
                <w:szCs w:val="13"/>
              </w:rPr>
            </w:pPr>
          </w:p>
        </w:tc>
      </w:tr>
    </w:tbl>
    <w:p w14:paraId="3C44388F" w14:textId="77777777" w:rsidR="00BA179F" w:rsidRPr="00D20E7B" w:rsidRDefault="00BA179F" w:rsidP="00BA179F">
      <w:pPr>
        <w:pStyle w:val="BulletedList"/>
        <w:spacing w:before="0" w:after="0" w:line="240" w:lineRule="auto"/>
        <w:rPr>
          <w:sz w:val="16"/>
          <w:szCs w:val="13"/>
        </w:rPr>
      </w:pPr>
      <w:r w:rsidRPr="00D20E7B">
        <w:rPr>
          <w:sz w:val="16"/>
          <w:szCs w:val="13"/>
        </w:rPr>
        <w:t xml:space="preserve">A response that is a personal response and makes little or no reference to the task or text can be scored no higher than a 1. </w:t>
      </w:r>
    </w:p>
    <w:p w14:paraId="203A917B" w14:textId="77777777" w:rsidR="00BA179F" w:rsidRPr="00D20E7B" w:rsidRDefault="00BA179F" w:rsidP="00BA179F">
      <w:pPr>
        <w:pStyle w:val="BulletedList"/>
        <w:spacing w:before="0" w:after="0" w:line="240" w:lineRule="auto"/>
        <w:rPr>
          <w:sz w:val="16"/>
          <w:szCs w:val="13"/>
        </w:rPr>
      </w:pPr>
      <w:r w:rsidRPr="00D20E7B">
        <w:rPr>
          <w:sz w:val="16"/>
          <w:szCs w:val="13"/>
        </w:rPr>
        <w:t xml:space="preserve">A response that is totally copied from the text with no original writing must be given a 0. </w:t>
      </w:r>
    </w:p>
    <w:p w14:paraId="01EBD2C3" w14:textId="77777777" w:rsidR="00BA179F" w:rsidRPr="00D20E7B" w:rsidRDefault="00BA179F" w:rsidP="00BA179F">
      <w:pPr>
        <w:pStyle w:val="BulletedList"/>
        <w:spacing w:before="0" w:after="0" w:line="240" w:lineRule="auto"/>
        <w:rPr>
          <w:sz w:val="16"/>
          <w:szCs w:val="13"/>
        </w:rPr>
      </w:pPr>
      <w:r w:rsidRPr="00D20E7B">
        <w:rPr>
          <w:sz w:val="16"/>
          <w:szCs w:val="13"/>
        </w:rPr>
        <w:t xml:space="preserve">A response that is totally unrelated to the task, illegible, incoherent, blank, or unrecognizable as English must be scored as a 0. </w:t>
      </w:r>
    </w:p>
    <w:p w14:paraId="05906EE7" w14:textId="77777777" w:rsidR="00BA179F" w:rsidRDefault="00BA179F" w:rsidP="00CA0ACF">
      <w:pPr>
        <w:pStyle w:val="ToolHeader"/>
      </w:pPr>
    </w:p>
    <w:p w14:paraId="49B9216D" w14:textId="77777777" w:rsidR="00CA0ACF" w:rsidRDefault="00CA0ACF" w:rsidP="00CA0ACF">
      <w:pPr>
        <w:pStyle w:val="ToolHeader"/>
      </w:pPr>
    </w:p>
    <w:p w14:paraId="11E0E97F" w14:textId="77777777" w:rsidR="00CA0ACF" w:rsidRDefault="00CA0ACF" w:rsidP="007C1BEB">
      <w:pPr>
        <w:sectPr w:rsidR="00CA0ACF" w:rsidSect="00CA0ACF">
          <w:headerReference w:type="default" r:id="rId11"/>
          <w:footerReference w:type="default" r:id="rId12"/>
          <w:pgSz w:w="15840" w:h="12240" w:orient="landscape"/>
          <w:pgMar w:top="1440" w:right="1440" w:bottom="1440" w:left="1440" w:header="432" w:footer="648" w:gutter="0"/>
          <w:cols w:space="720"/>
          <w:docGrid w:linePitch="299"/>
        </w:sectPr>
      </w:pPr>
    </w:p>
    <w:p w14:paraId="3E38A865" w14:textId="20F5B591" w:rsidR="00CA0ACF" w:rsidRDefault="00CA0ACF" w:rsidP="00912F62">
      <w:pPr>
        <w:pStyle w:val="ToolHeader"/>
      </w:pPr>
      <w:r>
        <w:lastRenderedPageBreak/>
        <w:t>12.3 Speaking and Listening Checklist</w:t>
      </w:r>
    </w:p>
    <w:p w14:paraId="2FD3A10D" w14:textId="77777777" w:rsidR="00BA179F" w:rsidRPr="00D20E7B" w:rsidRDefault="00BA179F" w:rsidP="00BA179F">
      <w:pPr>
        <w:pStyle w:val="ToolTableText"/>
        <w:rPr>
          <w:b/>
          <w:u w:val="single"/>
        </w:rPr>
      </w:pPr>
      <w:r w:rsidRPr="00D20E7B">
        <w:rPr>
          <w:b/>
        </w:rPr>
        <w:t xml:space="preserve">Assessed Standards: </w:t>
      </w:r>
      <w:r w:rsidRPr="00D20E7B">
        <w:rPr>
          <w:b/>
          <w:u w:val="single"/>
        </w:rPr>
        <w:tab/>
      </w:r>
      <w:r w:rsidRPr="00D20E7B">
        <w:rPr>
          <w:b/>
          <w:u w:val="single"/>
        </w:rPr>
        <w:tab/>
      </w:r>
      <w:r w:rsidRPr="00D20E7B">
        <w:rPr>
          <w:b/>
          <w:u w:val="single"/>
        </w:rPr>
        <w:tab/>
      </w:r>
      <w:r w:rsidRPr="00D20E7B">
        <w:rPr>
          <w:b/>
          <w:u w:val="single"/>
        </w:rPr>
        <w:tab/>
      </w:r>
      <w:r w:rsidRPr="00D20E7B">
        <w:rPr>
          <w:b/>
          <w:u w:val="single"/>
        </w:rPr>
        <w:tab/>
      </w:r>
      <w:r w:rsidRPr="00D20E7B">
        <w:rPr>
          <w:b/>
          <w:u w:val="single"/>
        </w:rPr>
        <w:tab/>
        <w:t xml:space="preserve">   </w:t>
      </w:r>
    </w:p>
    <w:tbl>
      <w:tblPr>
        <w:tblStyle w:val="TableGrid"/>
        <w:tblW w:w="9524" w:type="dxa"/>
        <w:tblInd w:w="115" w:type="dxa"/>
        <w:tblLook w:val="04A0" w:firstRow="1" w:lastRow="0" w:firstColumn="1" w:lastColumn="0" w:noHBand="0" w:noVBand="1"/>
      </w:tblPr>
      <w:tblGrid>
        <w:gridCol w:w="2561"/>
        <w:gridCol w:w="5647"/>
        <w:gridCol w:w="1316"/>
      </w:tblGrid>
      <w:tr w:rsidR="00BA179F" w:rsidRPr="00BA179F" w14:paraId="063BE7CF" w14:textId="77777777" w:rsidTr="00BA179F">
        <w:trPr>
          <w:trHeight w:val="368"/>
        </w:trPr>
        <w:tc>
          <w:tcPr>
            <w:tcW w:w="2561" w:type="dxa"/>
            <w:tcBorders>
              <w:bottom w:val="single" w:sz="4" w:space="0" w:color="auto"/>
            </w:tcBorders>
            <w:shd w:val="clear" w:color="auto" w:fill="D9D9D9"/>
            <w:vAlign w:val="center"/>
          </w:tcPr>
          <w:p w14:paraId="0C32A697" w14:textId="77777777" w:rsidR="00BA179F" w:rsidRPr="00BA179F" w:rsidRDefault="00BA179F" w:rsidP="00536040">
            <w:pPr>
              <w:pStyle w:val="ToolTableText"/>
              <w:jc w:val="center"/>
              <w:rPr>
                <w:b/>
              </w:rPr>
            </w:pPr>
          </w:p>
        </w:tc>
        <w:tc>
          <w:tcPr>
            <w:tcW w:w="5647" w:type="dxa"/>
            <w:shd w:val="clear" w:color="auto" w:fill="D9D9D9"/>
            <w:vAlign w:val="center"/>
          </w:tcPr>
          <w:p w14:paraId="0E2DAF39" w14:textId="77777777" w:rsidR="00BA179F" w:rsidRPr="00BA179F" w:rsidRDefault="00BA179F" w:rsidP="00536040">
            <w:pPr>
              <w:pStyle w:val="ToolTableText"/>
              <w:jc w:val="center"/>
              <w:rPr>
                <w:b/>
              </w:rPr>
            </w:pPr>
            <w:r w:rsidRPr="00BA179F">
              <w:rPr>
                <w:b/>
              </w:rPr>
              <w:t>Does my response…</w:t>
            </w:r>
          </w:p>
        </w:tc>
        <w:tc>
          <w:tcPr>
            <w:tcW w:w="1316" w:type="dxa"/>
            <w:shd w:val="clear" w:color="auto" w:fill="D9D9D9"/>
            <w:vAlign w:val="center"/>
          </w:tcPr>
          <w:p w14:paraId="09A7D24F" w14:textId="77777777" w:rsidR="00BA179F" w:rsidRPr="00BA179F" w:rsidRDefault="00BA179F" w:rsidP="00536040">
            <w:pPr>
              <w:pStyle w:val="ToolTableText"/>
              <w:jc w:val="center"/>
              <w:rPr>
                <w:b/>
              </w:rPr>
            </w:pPr>
            <w:r w:rsidRPr="00BA179F">
              <w:rPr>
                <w:rFonts w:ascii="MS Mincho" w:eastAsia="MS Mincho" w:hAnsi="MS Mincho" w:cs="MS Mincho" w:hint="eastAsia"/>
                <w:b/>
              </w:rPr>
              <w:t>✔</w:t>
            </w:r>
          </w:p>
        </w:tc>
      </w:tr>
      <w:tr w:rsidR="00BA179F" w:rsidRPr="00BA179F" w14:paraId="66470D43" w14:textId="77777777" w:rsidTr="00BA179F">
        <w:trPr>
          <w:trHeight w:val="305"/>
        </w:trPr>
        <w:tc>
          <w:tcPr>
            <w:tcW w:w="2561" w:type="dxa"/>
            <w:tcBorders>
              <w:top w:val="single" w:sz="4" w:space="0" w:color="auto"/>
              <w:bottom w:val="nil"/>
            </w:tcBorders>
            <w:shd w:val="clear" w:color="auto" w:fill="auto"/>
          </w:tcPr>
          <w:p w14:paraId="4338B223" w14:textId="77777777" w:rsidR="00BA179F" w:rsidRPr="00BA179F" w:rsidRDefault="00BA179F" w:rsidP="00536040">
            <w:pPr>
              <w:pStyle w:val="ToolTableText"/>
              <w:rPr>
                <w:b/>
              </w:rPr>
            </w:pPr>
            <w:r w:rsidRPr="00BA179F">
              <w:rPr>
                <w:b/>
              </w:rPr>
              <w:t>Command of Evidence and Reasoning</w:t>
            </w:r>
          </w:p>
        </w:tc>
        <w:tc>
          <w:tcPr>
            <w:tcW w:w="5647" w:type="dxa"/>
            <w:tcBorders>
              <w:top w:val="single" w:sz="4" w:space="0" w:color="auto"/>
            </w:tcBorders>
          </w:tcPr>
          <w:p w14:paraId="7116BC8F" w14:textId="77777777" w:rsidR="00BA179F" w:rsidRPr="00BA179F" w:rsidRDefault="00BA179F" w:rsidP="00536040">
            <w:pPr>
              <w:pStyle w:val="ToolTableText"/>
              <w:keepNext/>
              <w:rPr>
                <w:b/>
                <w:color w:val="000000" w:themeColor="text1"/>
              </w:rPr>
            </w:pPr>
            <w:r w:rsidRPr="00BA179F">
              <w:t xml:space="preserve">Explicitly draw on evidence from texts and other research on the topic or issue? </w:t>
            </w:r>
            <w:r w:rsidRPr="00BA179F">
              <w:rPr>
                <w:b/>
              </w:rPr>
              <w:t>(SL.11-12.1.a)</w:t>
            </w:r>
          </w:p>
        </w:tc>
        <w:tc>
          <w:tcPr>
            <w:tcW w:w="1316" w:type="dxa"/>
            <w:tcBorders>
              <w:top w:val="single" w:sz="4" w:space="0" w:color="auto"/>
            </w:tcBorders>
            <w:vAlign w:val="center"/>
          </w:tcPr>
          <w:p w14:paraId="104C9D9B" w14:textId="77777777" w:rsidR="00BA179F" w:rsidRPr="00BA179F" w:rsidRDefault="00BA179F" w:rsidP="00536040">
            <w:pPr>
              <w:pStyle w:val="ToolTableText"/>
              <w:spacing w:before="0" w:after="0"/>
              <w:jc w:val="center"/>
            </w:pPr>
            <w:r w:rsidRPr="00BA179F">
              <w:sym w:font="Wingdings 2" w:char="F0A3"/>
            </w:r>
          </w:p>
        </w:tc>
      </w:tr>
      <w:tr w:rsidR="00BA179F" w:rsidRPr="00BA179F" w14:paraId="07AB0A7F" w14:textId="77777777" w:rsidTr="00BA179F">
        <w:trPr>
          <w:trHeight w:val="305"/>
        </w:trPr>
        <w:tc>
          <w:tcPr>
            <w:tcW w:w="2561" w:type="dxa"/>
            <w:tcBorders>
              <w:top w:val="nil"/>
              <w:bottom w:val="nil"/>
            </w:tcBorders>
            <w:shd w:val="clear" w:color="auto" w:fill="auto"/>
          </w:tcPr>
          <w:p w14:paraId="4ED4A7E5" w14:textId="77777777" w:rsidR="00BA179F" w:rsidRPr="00BA179F" w:rsidRDefault="00BA179F" w:rsidP="00536040">
            <w:pPr>
              <w:pStyle w:val="ToolTableText"/>
              <w:rPr>
                <w:b/>
              </w:rPr>
            </w:pPr>
          </w:p>
        </w:tc>
        <w:tc>
          <w:tcPr>
            <w:tcW w:w="5647" w:type="dxa"/>
            <w:tcBorders>
              <w:top w:val="single" w:sz="4" w:space="0" w:color="auto"/>
            </w:tcBorders>
          </w:tcPr>
          <w:p w14:paraId="4F39CCE3" w14:textId="77777777" w:rsidR="00BA179F" w:rsidRPr="00BA179F" w:rsidRDefault="00BA179F" w:rsidP="00536040">
            <w:pPr>
              <w:pStyle w:val="ToolTableText"/>
              <w:keepNext/>
              <w:rPr>
                <w:b/>
              </w:rPr>
            </w:pPr>
            <w:r w:rsidRPr="00BA179F">
              <w:t xml:space="preserve">Pose and respond to questions that probe reasoning and evidence? </w:t>
            </w:r>
            <w:r w:rsidRPr="00BA179F">
              <w:rPr>
                <w:b/>
              </w:rPr>
              <w:t>(SL.11-12.1.c)</w:t>
            </w:r>
          </w:p>
        </w:tc>
        <w:tc>
          <w:tcPr>
            <w:tcW w:w="1316" w:type="dxa"/>
            <w:tcBorders>
              <w:top w:val="single" w:sz="4" w:space="0" w:color="auto"/>
            </w:tcBorders>
            <w:vAlign w:val="center"/>
          </w:tcPr>
          <w:p w14:paraId="7776125A" w14:textId="77777777" w:rsidR="00BA179F" w:rsidRPr="00BA179F" w:rsidRDefault="00BA179F" w:rsidP="00536040">
            <w:pPr>
              <w:pStyle w:val="ToolTableText"/>
              <w:spacing w:before="0" w:after="0"/>
              <w:jc w:val="center"/>
            </w:pPr>
            <w:r w:rsidRPr="00BA179F">
              <w:sym w:font="Wingdings 2" w:char="F0A3"/>
            </w:r>
          </w:p>
        </w:tc>
      </w:tr>
      <w:tr w:rsidR="00BA179F" w:rsidRPr="00BA179F" w14:paraId="53F02C76" w14:textId="77777777" w:rsidTr="00BA179F">
        <w:trPr>
          <w:trHeight w:val="305"/>
        </w:trPr>
        <w:tc>
          <w:tcPr>
            <w:tcW w:w="2561" w:type="dxa"/>
            <w:tcBorders>
              <w:top w:val="nil"/>
              <w:bottom w:val="nil"/>
            </w:tcBorders>
            <w:shd w:val="clear" w:color="auto" w:fill="auto"/>
          </w:tcPr>
          <w:p w14:paraId="47BE7118" w14:textId="77777777" w:rsidR="00BA179F" w:rsidRPr="00BA179F" w:rsidRDefault="00BA179F" w:rsidP="00536040">
            <w:pPr>
              <w:pStyle w:val="ToolTableText"/>
              <w:rPr>
                <w:b/>
              </w:rPr>
            </w:pPr>
          </w:p>
        </w:tc>
        <w:tc>
          <w:tcPr>
            <w:tcW w:w="5647" w:type="dxa"/>
            <w:tcBorders>
              <w:top w:val="single" w:sz="4" w:space="0" w:color="auto"/>
            </w:tcBorders>
          </w:tcPr>
          <w:p w14:paraId="70058014" w14:textId="77777777" w:rsidR="00BA179F" w:rsidRPr="00BA179F" w:rsidRDefault="00BA179F" w:rsidP="00536040">
            <w:pPr>
              <w:pStyle w:val="ToolTableText"/>
              <w:keepNext/>
              <w:rPr>
                <w:b/>
              </w:rPr>
            </w:pPr>
            <w:r w:rsidRPr="00BA179F">
              <w:t xml:space="preserve">Ensure a hearing for a full range of positions on a topic or issue? </w:t>
            </w:r>
            <w:r w:rsidRPr="00BA179F">
              <w:rPr>
                <w:b/>
              </w:rPr>
              <w:t>(SL.11-12.1.c)</w:t>
            </w:r>
          </w:p>
        </w:tc>
        <w:tc>
          <w:tcPr>
            <w:tcW w:w="1316" w:type="dxa"/>
            <w:tcBorders>
              <w:top w:val="single" w:sz="4" w:space="0" w:color="auto"/>
            </w:tcBorders>
            <w:vAlign w:val="center"/>
          </w:tcPr>
          <w:p w14:paraId="1E0F81B8" w14:textId="77777777" w:rsidR="00BA179F" w:rsidRPr="00BA179F" w:rsidRDefault="00BA179F" w:rsidP="00536040">
            <w:pPr>
              <w:pStyle w:val="ToolTableText"/>
              <w:spacing w:before="0" w:after="0"/>
              <w:jc w:val="center"/>
            </w:pPr>
            <w:r w:rsidRPr="00BA179F">
              <w:sym w:font="Wingdings 2" w:char="F0A3"/>
            </w:r>
          </w:p>
        </w:tc>
      </w:tr>
      <w:tr w:rsidR="00BA179F" w:rsidRPr="00BA179F" w14:paraId="317DC5A9" w14:textId="77777777" w:rsidTr="00BA179F">
        <w:trPr>
          <w:trHeight w:val="305"/>
        </w:trPr>
        <w:tc>
          <w:tcPr>
            <w:tcW w:w="2561" w:type="dxa"/>
            <w:tcBorders>
              <w:top w:val="nil"/>
              <w:bottom w:val="nil"/>
            </w:tcBorders>
            <w:shd w:val="clear" w:color="auto" w:fill="auto"/>
          </w:tcPr>
          <w:p w14:paraId="3FE682AF" w14:textId="77777777" w:rsidR="00BA179F" w:rsidRPr="00BA179F" w:rsidRDefault="00BA179F" w:rsidP="00536040">
            <w:pPr>
              <w:pStyle w:val="ToolTableText"/>
              <w:rPr>
                <w:b/>
              </w:rPr>
            </w:pPr>
          </w:p>
        </w:tc>
        <w:tc>
          <w:tcPr>
            <w:tcW w:w="5647" w:type="dxa"/>
            <w:tcBorders>
              <w:top w:val="single" w:sz="4" w:space="0" w:color="auto"/>
            </w:tcBorders>
          </w:tcPr>
          <w:p w14:paraId="093048EC" w14:textId="77777777" w:rsidR="00BA179F" w:rsidRPr="00BA179F" w:rsidRDefault="00BA179F" w:rsidP="00536040">
            <w:pPr>
              <w:pStyle w:val="ToolTableText"/>
              <w:keepNext/>
            </w:pPr>
            <w:r w:rsidRPr="00BA179F">
              <w:t xml:space="preserve">Clarify, verify, or challenge ideas and conclusions? </w:t>
            </w:r>
            <w:r w:rsidRPr="00BA179F">
              <w:rPr>
                <w:b/>
              </w:rPr>
              <w:t>(SL.11-12.1.c)</w:t>
            </w:r>
            <w:r w:rsidRPr="00BA179F">
              <w:t xml:space="preserve"> </w:t>
            </w:r>
          </w:p>
        </w:tc>
        <w:tc>
          <w:tcPr>
            <w:tcW w:w="1316" w:type="dxa"/>
            <w:tcBorders>
              <w:top w:val="single" w:sz="4" w:space="0" w:color="auto"/>
            </w:tcBorders>
            <w:vAlign w:val="center"/>
          </w:tcPr>
          <w:p w14:paraId="1C6A34F1" w14:textId="77777777" w:rsidR="00BA179F" w:rsidRPr="00BA179F" w:rsidRDefault="00BA179F" w:rsidP="00536040">
            <w:pPr>
              <w:pStyle w:val="ToolTableText"/>
              <w:spacing w:before="0" w:after="0"/>
              <w:jc w:val="center"/>
            </w:pPr>
            <w:r w:rsidRPr="00BA179F">
              <w:sym w:font="Wingdings 2" w:char="F0A3"/>
            </w:r>
          </w:p>
        </w:tc>
      </w:tr>
      <w:tr w:rsidR="00BA179F" w:rsidRPr="00BA179F" w14:paraId="27A5AE55" w14:textId="77777777" w:rsidTr="00BA179F">
        <w:trPr>
          <w:trHeight w:val="305"/>
        </w:trPr>
        <w:tc>
          <w:tcPr>
            <w:tcW w:w="2561" w:type="dxa"/>
            <w:tcBorders>
              <w:top w:val="nil"/>
              <w:bottom w:val="nil"/>
            </w:tcBorders>
            <w:shd w:val="clear" w:color="auto" w:fill="auto"/>
          </w:tcPr>
          <w:p w14:paraId="4114C281" w14:textId="77777777" w:rsidR="00BA179F" w:rsidRPr="00BA179F" w:rsidRDefault="00BA179F" w:rsidP="00536040">
            <w:pPr>
              <w:pStyle w:val="ToolTableText"/>
              <w:rPr>
                <w:b/>
              </w:rPr>
            </w:pPr>
          </w:p>
        </w:tc>
        <w:tc>
          <w:tcPr>
            <w:tcW w:w="5647" w:type="dxa"/>
            <w:tcBorders>
              <w:top w:val="single" w:sz="4" w:space="0" w:color="auto"/>
            </w:tcBorders>
          </w:tcPr>
          <w:p w14:paraId="5476AE19" w14:textId="77777777" w:rsidR="00BA179F" w:rsidRPr="00BA179F" w:rsidRDefault="00BA179F" w:rsidP="00536040">
            <w:pPr>
              <w:pStyle w:val="ToolTableText"/>
              <w:keepNext/>
            </w:pPr>
            <w:r w:rsidRPr="00BA179F">
              <w:t xml:space="preserve">Promote divergent and creative perspectives? </w:t>
            </w:r>
            <w:r w:rsidRPr="00BA179F">
              <w:rPr>
                <w:b/>
              </w:rPr>
              <w:t>(SL.11-12.1.c)</w:t>
            </w:r>
          </w:p>
        </w:tc>
        <w:tc>
          <w:tcPr>
            <w:tcW w:w="1316" w:type="dxa"/>
            <w:tcBorders>
              <w:top w:val="single" w:sz="4" w:space="0" w:color="auto"/>
            </w:tcBorders>
            <w:vAlign w:val="center"/>
          </w:tcPr>
          <w:p w14:paraId="6801C9C0" w14:textId="77777777" w:rsidR="00BA179F" w:rsidRPr="00BA179F" w:rsidRDefault="00BA179F" w:rsidP="00536040">
            <w:pPr>
              <w:pStyle w:val="ToolTableText"/>
              <w:spacing w:before="0" w:after="0"/>
              <w:jc w:val="center"/>
            </w:pPr>
            <w:r w:rsidRPr="00BA179F">
              <w:sym w:font="Wingdings 2" w:char="F0A3"/>
            </w:r>
          </w:p>
        </w:tc>
      </w:tr>
      <w:tr w:rsidR="00BA179F" w:rsidRPr="00BA179F" w14:paraId="07D5CCF3" w14:textId="77777777" w:rsidTr="00BA179F">
        <w:trPr>
          <w:trHeight w:val="305"/>
        </w:trPr>
        <w:tc>
          <w:tcPr>
            <w:tcW w:w="2561" w:type="dxa"/>
            <w:tcBorders>
              <w:top w:val="single" w:sz="4" w:space="0" w:color="auto"/>
              <w:left w:val="single" w:sz="4" w:space="0" w:color="auto"/>
              <w:bottom w:val="nil"/>
              <w:right w:val="single" w:sz="4" w:space="0" w:color="auto"/>
            </w:tcBorders>
          </w:tcPr>
          <w:p w14:paraId="1A1DB5B8" w14:textId="77777777" w:rsidR="00BA179F" w:rsidRPr="00BA179F" w:rsidRDefault="00BA179F" w:rsidP="00536040">
            <w:pPr>
              <w:pStyle w:val="ToolTableText"/>
              <w:rPr>
                <w:b/>
              </w:rPr>
            </w:pPr>
            <w:r w:rsidRPr="00BA179F">
              <w:rPr>
                <w:b/>
              </w:rPr>
              <w:t>Collaboration and Presentation</w:t>
            </w:r>
          </w:p>
        </w:tc>
        <w:tc>
          <w:tcPr>
            <w:tcW w:w="5647" w:type="dxa"/>
            <w:tcBorders>
              <w:left w:val="single" w:sz="4" w:space="0" w:color="auto"/>
            </w:tcBorders>
          </w:tcPr>
          <w:p w14:paraId="00D10839" w14:textId="77777777" w:rsidR="00BA179F" w:rsidRPr="00BA179F" w:rsidRDefault="00BA179F" w:rsidP="00536040">
            <w:pPr>
              <w:pStyle w:val="ToolTableText"/>
            </w:pPr>
            <w:r w:rsidRPr="00BA179F">
              <w:t xml:space="preserve">Respond to diverse perspectives? </w:t>
            </w:r>
            <w:r w:rsidRPr="00BA179F">
              <w:rPr>
                <w:b/>
              </w:rPr>
              <w:t>(SL.11-12.1.d)</w:t>
            </w:r>
          </w:p>
        </w:tc>
        <w:tc>
          <w:tcPr>
            <w:tcW w:w="1316" w:type="dxa"/>
            <w:vAlign w:val="center"/>
          </w:tcPr>
          <w:p w14:paraId="6E3524E8" w14:textId="77777777" w:rsidR="00BA179F" w:rsidRPr="00BA179F" w:rsidRDefault="00BA179F" w:rsidP="00536040">
            <w:pPr>
              <w:pStyle w:val="ToolTableText"/>
              <w:spacing w:before="0" w:after="0"/>
              <w:jc w:val="center"/>
            </w:pPr>
            <w:r w:rsidRPr="00BA179F">
              <w:sym w:font="Wingdings 2" w:char="F0A3"/>
            </w:r>
          </w:p>
        </w:tc>
      </w:tr>
      <w:tr w:rsidR="00BA179F" w:rsidRPr="00BA179F" w14:paraId="7FF6F09B" w14:textId="77777777" w:rsidTr="00BA179F">
        <w:trPr>
          <w:trHeight w:val="305"/>
        </w:trPr>
        <w:tc>
          <w:tcPr>
            <w:tcW w:w="2561" w:type="dxa"/>
            <w:tcBorders>
              <w:top w:val="nil"/>
              <w:left w:val="single" w:sz="4" w:space="0" w:color="auto"/>
              <w:bottom w:val="nil"/>
              <w:right w:val="single" w:sz="4" w:space="0" w:color="auto"/>
            </w:tcBorders>
          </w:tcPr>
          <w:p w14:paraId="30243E40" w14:textId="77777777" w:rsidR="00BA179F" w:rsidRPr="00BA179F" w:rsidRDefault="00BA179F" w:rsidP="00536040">
            <w:pPr>
              <w:pStyle w:val="ToolTableText"/>
              <w:rPr>
                <w:b/>
              </w:rPr>
            </w:pPr>
          </w:p>
        </w:tc>
        <w:tc>
          <w:tcPr>
            <w:tcW w:w="5647" w:type="dxa"/>
            <w:tcBorders>
              <w:left w:val="single" w:sz="4" w:space="0" w:color="auto"/>
            </w:tcBorders>
          </w:tcPr>
          <w:p w14:paraId="7974EB06" w14:textId="77777777" w:rsidR="00BA179F" w:rsidRPr="00BA179F" w:rsidRDefault="00BA179F" w:rsidP="00536040">
            <w:pPr>
              <w:pStyle w:val="ToolTableText"/>
            </w:pPr>
            <w:r w:rsidRPr="00BA179F">
              <w:t xml:space="preserve">Synthesize comments, claims, and evidence made on all sides of an issue? </w:t>
            </w:r>
            <w:r w:rsidRPr="00BA179F">
              <w:rPr>
                <w:b/>
              </w:rPr>
              <w:t>(SL.11-12.1.d)</w:t>
            </w:r>
          </w:p>
        </w:tc>
        <w:tc>
          <w:tcPr>
            <w:tcW w:w="1316" w:type="dxa"/>
            <w:vAlign w:val="center"/>
          </w:tcPr>
          <w:p w14:paraId="156933DA" w14:textId="77777777" w:rsidR="00BA179F" w:rsidRPr="00BA179F" w:rsidRDefault="00BA179F" w:rsidP="00536040">
            <w:pPr>
              <w:pStyle w:val="ToolTableText"/>
              <w:spacing w:before="0" w:after="0"/>
              <w:jc w:val="center"/>
            </w:pPr>
            <w:r w:rsidRPr="00BA179F">
              <w:sym w:font="Wingdings 2" w:char="F0A3"/>
            </w:r>
          </w:p>
        </w:tc>
      </w:tr>
      <w:tr w:rsidR="00BA179F" w:rsidRPr="00BA179F" w14:paraId="6288D7FE" w14:textId="77777777" w:rsidTr="00BA179F">
        <w:trPr>
          <w:trHeight w:val="305"/>
        </w:trPr>
        <w:tc>
          <w:tcPr>
            <w:tcW w:w="2561" w:type="dxa"/>
            <w:tcBorders>
              <w:top w:val="nil"/>
              <w:left w:val="single" w:sz="4" w:space="0" w:color="auto"/>
              <w:bottom w:val="nil"/>
              <w:right w:val="single" w:sz="4" w:space="0" w:color="auto"/>
            </w:tcBorders>
          </w:tcPr>
          <w:p w14:paraId="3F797646" w14:textId="77777777" w:rsidR="00BA179F" w:rsidRPr="00BA179F" w:rsidRDefault="00BA179F" w:rsidP="00536040">
            <w:pPr>
              <w:pStyle w:val="ToolTableText"/>
              <w:rPr>
                <w:b/>
              </w:rPr>
            </w:pPr>
          </w:p>
        </w:tc>
        <w:tc>
          <w:tcPr>
            <w:tcW w:w="5647" w:type="dxa"/>
            <w:tcBorders>
              <w:left w:val="single" w:sz="4" w:space="0" w:color="auto"/>
            </w:tcBorders>
          </w:tcPr>
          <w:p w14:paraId="31BB40F5" w14:textId="77777777" w:rsidR="00BA179F" w:rsidRPr="00BA179F" w:rsidRDefault="00BA179F" w:rsidP="00536040">
            <w:pPr>
              <w:pStyle w:val="ToolTableText"/>
            </w:pPr>
            <w:r w:rsidRPr="00BA179F">
              <w:t xml:space="preserve">Resolve contradictions when possible? </w:t>
            </w:r>
            <w:r w:rsidRPr="00BA179F">
              <w:rPr>
                <w:b/>
              </w:rPr>
              <w:t>(SL.11-12.1.d)</w:t>
            </w:r>
          </w:p>
        </w:tc>
        <w:tc>
          <w:tcPr>
            <w:tcW w:w="1316" w:type="dxa"/>
            <w:vAlign w:val="center"/>
          </w:tcPr>
          <w:p w14:paraId="77B7D58F" w14:textId="77777777" w:rsidR="00BA179F" w:rsidRPr="00BA179F" w:rsidRDefault="00BA179F" w:rsidP="00536040">
            <w:pPr>
              <w:pStyle w:val="ToolTableText"/>
              <w:spacing w:before="0" w:after="0"/>
              <w:jc w:val="center"/>
            </w:pPr>
            <w:r w:rsidRPr="00BA179F">
              <w:sym w:font="Wingdings 2" w:char="F0A3"/>
            </w:r>
          </w:p>
        </w:tc>
      </w:tr>
      <w:tr w:rsidR="00BA179F" w:rsidRPr="00BA179F" w14:paraId="4F2DB448" w14:textId="77777777" w:rsidTr="00BA179F">
        <w:trPr>
          <w:trHeight w:val="305"/>
        </w:trPr>
        <w:tc>
          <w:tcPr>
            <w:tcW w:w="2561" w:type="dxa"/>
            <w:tcBorders>
              <w:top w:val="nil"/>
              <w:left w:val="single" w:sz="4" w:space="0" w:color="auto"/>
              <w:bottom w:val="nil"/>
              <w:right w:val="single" w:sz="4" w:space="0" w:color="auto"/>
            </w:tcBorders>
          </w:tcPr>
          <w:p w14:paraId="36D30DA8" w14:textId="77777777" w:rsidR="00BA179F" w:rsidRPr="00BA179F" w:rsidRDefault="00BA179F" w:rsidP="00536040">
            <w:pPr>
              <w:pStyle w:val="ToolTableText"/>
              <w:rPr>
                <w:b/>
              </w:rPr>
            </w:pPr>
          </w:p>
        </w:tc>
        <w:tc>
          <w:tcPr>
            <w:tcW w:w="5647" w:type="dxa"/>
            <w:tcBorders>
              <w:left w:val="single" w:sz="4" w:space="0" w:color="auto"/>
            </w:tcBorders>
          </w:tcPr>
          <w:p w14:paraId="59BFAC76" w14:textId="77777777" w:rsidR="00BA179F" w:rsidRPr="00BA179F" w:rsidRDefault="00BA179F" w:rsidP="00536040">
            <w:pPr>
              <w:pStyle w:val="ToolTableText"/>
            </w:pPr>
            <w:r w:rsidRPr="00BA179F">
              <w:t xml:space="preserve">Determine what additional information or research is required to deepen the investigation or complete the task? </w:t>
            </w:r>
            <w:r w:rsidRPr="00BA179F">
              <w:rPr>
                <w:b/>
              </w:rPr>
              <w:t>(SL.11-12.1.d)</w:t>
            </w:r>
          </w:p>
        </w:tc>
        <w:tc>
          <w:tcPr>
            <w:tcW w:w="1316" w:type="dxa"/>
            <w:vAlign w:val="center"/>
          </w:tcPr>
          <w:p w14:paraId="2948212E" w14:textId="77777777" w:rsidR="00BA179F" w:rsidRPr="00BA179F" w:rsidRDefault="00BA179F" w:rsidP="00536040">
            <w:pPr>
              <w:pStyle w:val="ToolTableText"/>
              <w:spacing w:before="0" w:after="0"/>
              <w:jc w:val="center"/>
            </w:pPr>
            <w:r w:rsidRPr="00BA179F">
              <w:sym w:font="Wingdings 2" w:char="F0A3"/>
            </w:r>
          </w:p>
        </w:tc>
      </w:tr>
      <w:tr w:rsidR="00BA179F" w:rsidRPr="00BA179F" w14:paraId="184E8D05" w14:textId="77777777" w:rsidTr="00BA179F">
        <w:trPr>
          <w:trHeight w:val="305"/>
        </w:trPr>
        <w:tc>
          <w:tcPr>
            <w:tcW w:w="2561" w:type="dxa"/>
            <w:tcBorders>
              <w:top w:val="nil"/>
              <w:left w:val="single" w:sz="4" w:space="0" w:color="auto"/>
              <w:bottom w:val="nil"/>
              <w:right w:val="single" w:sz="4" w:space="0" w:color="auto"/>
            </w:tcBorders>
          </w:tcPr>
          <w:p w14:paraId="276A0E71" w14:textId="77777777" w:rsidR="00BA179F" w:rsidRPr="00BA179F" w:rsidRDefault="00BA179F" w:rsidP="00536040">
            <w:pPr>
              <w:pStyle w:val="ToolTableText"/>
              <w:rPr>
                <w:b/>
              </w:rPr>
            </w:pPr>
          </w:p>
        </w:tc>
        <w:tc>
          <w:tcPr>
            <w:tcW w:w="5647" w:type="dxa"/>
            <w:tcBorders>
              <w:left w:val="single" w:sz="4" w:space="0" w:color="auto"/>
            </w:tcBorders>
          </w:tcPr>
          <w:p w14:paraId="2AB8C830" w14:textId="77777777" w:rsidR="00BA179F" w:rsidRPr="00BA179F" w:rsidRDefault="00BA179F" w:rsidP="00536040">
            <w:pPr>
              <w:pStyle w:val="ToolTableText"/>
              <w:rPr>
                <w:b/>
              </w:rPr>
            </w:pPr>
            <w:r w:rsidRPr="00BA179F">
              <w:t xml:space="preserve">Present information, findings, and supporting evidence, conveying a clear and distinct perspective, such that listeners can follow the line of reasoning? </w:t>
            </w:r>
            <w:r w:rsidRPr="00BA179F">
              <w:rPr>
                <w:b/>
              </w:rPr>
              <w:t>(SL.11-12.4)</w:t>
            </w:r>
          </w:p>
        </w:tc>
        <w:tc>
          <w:tcPr>
            <w:tcW w:w="1316" w:type="dxa"/>
            <w:vAlign w:val="center"/>
          </w:tcPr>
          <w:p w14:paraId="0DE4A9B0" w14:textId="77777777" w:rsidR="00BA179F" w:rsidRPr="00BA179F" w:rsidRDefault="00BA179F" w:rsidP="00536040">
            <w:pPr>
              <w:pStyle w:val="ToolTableText"/>
              <w:spacing w:before="0" w:after="0"/>
              <w:jc w:val="center"/>
            </w:pPr>
            <w:r w:rsidRPr="00BA179F">
              <w:sym w:font="Wingdings 2" w:char="F0A3"/>
            </w:r>
          </w:p>
        </w:tc>
      </w:tr>
      <w:tr w:rsidR="00BA179F" w:rsidRPr="00BA179F" w14:paraId="5BDE9DB6" w14:textId="77777777" w:rsidTr="00BA179F">
        <w:trPr>
          <w:trHeight w:val="305"/>
        </w:trPr>
        <w:tc>
          <w:tcPr>
            <w:tcW w:w="2561" w:type="dxa"/>
            <w:tcBorders>
              <w:top w:val="nil"/>
              <w:left w:val="single" w:sz="4" w:space="0" w:color="auto"/>
              <w:bottom w:val="nil"/>
              <w:right w:val="single" w:sz="4" w:space="0" w:color="auto"/>
            </w:tcBorders>
          </w:tcPr>
          <w:p w14:paraId="1884C89E" w14:textId="77777777" w:rsidR="00BA179F" w:rsidRPr="00BA179F" w:rsidRDefault="00BA179F" w:rsidP="00536040">
            <w:pPr>
              <w:pStyle w:val="ToolTableText"/>
              <w:rPr>
                <w:b/>
              </w:rPr>
            </w:pPr>
          </w:p>
        </w:tc>
        <w:tc>
          <w:tcPr>
            <w:tcW w:w="5647" w:type="dxa"/>
            <w:tcBorders>
              <w:left w:val="single" w:sz="4" w:space="0" w:color="auto"/>
            </w:tcBorders>
          </w:tcPr>
          <w:p w14:paraId="39111A09" w14:textId="77777777" w:rsidR="00BA179F" w:rsidRPr="00BA179F" w:rsidRDefault="00BA179F" w:rsidP="00536040">
            <w:pPr>
              <w:pStyle w:val="ToolTableText"/>
            </w:pPr>
            <w:r w:rsidRPr="00BA179F">
              <w:t xml:space="preserve">Address alternative or opposing perspectives? </w:t>
            </w:r>
            <w:r w:rsidRPr="00BA179F">
              <w:rPr>
                <w:b/>
              </w:rPr>
              <w:t>(SL.11-12.4)</w:t>
            </w:r>
          </w:p>
        </w:tc>
        <w:tc>
          <w:tcPr>
            <w:tcW w:w="1316" w:type="dxa"/>
            <w:vAlign w:val="center"/>
          </w:tcPr>
          <w:p w14:paraId="60208D6E" w14:textId="77777777" w:rsidR="00BA179F" w:rsidRPr="00BA179F" w:rsidRDefault="00BA179F" w:rsidP="00536040">
            <w:pPr>
              <w:pStyle w:val="ToolTableText"/>
              <w:spacing w:before="0" w:after="0"/>
              <w:jc w:val="center"/>
            </w:pPr>
            <w:r w:rsidRPr="00BA179F">
              <w:sym w:font="Wingdings 2" w:char="F0A3"/>
            </w:r>
          </w:p>
        </w:tc>
      </w:tr>
      <w:tr w:rsidR="00BA179F" w:rsidRPr="00BA179F" w14:paraId="4BA2C97E" w14:textId="77777777" w:rsidTr="00BA179F">
        <w:trPr>
          <w:trHeight w:val="305"/>
        </w:trPr>
        <w:tc>
          <w:tcPr>
            <w:tcW w:w="2561" w:type="dxa"/>
            <w:tcBorders>
              <w:top w:val="nil"/>
              <w:left w:val="single" w:sz="4" w:space="0" w:color="auto"/>
              <w:bottom w:val="nil"/>
              <w:right w:val="single" w:sz="4" w:space="0" w:color="auto"/>
            </w:tcBorders>
          </w:tcPr>
          <w:p w14:paraId="0655266A" w14:textId="77777777" w:rsidR="00BA179F" w:rsidRPr="00BA179F" w:rsidRDefault="00BA179F" w:rsidP="00536040">
            <w:pPr>
              <w:pStyle w:val="ToolTableText"/>
              <w:rPr>
                <w:b/>
              </w:rPr>
            </w:pPr>
          </w:p>
        </w:tc>
        <w:tc>
          <w:tcPr>
            <w:tcW w:w="5647" w:type="dxa"/>
            <w:tcBorders>
              <w:left w:val="single" w:sz="4" w:space="0" w:color="auto"/>
            </w:tcBorders>
          </w:tcPr>
          <w:p w14:paraId="0BAF5514" w14:textId="77777777" w:rsidR="00BA179F" w:rsidRPr="00BA179F" w:rsidRDefault="00BA179F" w:rsidP="00536040">
            <w:pPr>
              <w:pStyle w:val="ToolTableText"/>
              <w:rPr>
                <w:b/>
              </w:rPr>
            </w:pPr>
            <w:r w:rsidRPr="00BA179F">
              <w:t xml:space="preserve">Demonstrate organization, development, substance, and style appropriate to the specific purpose, audience, and task? </w:t>
            </w:r>
            <w:r w:rsidRPr="00BA179F">
              <w:rPr>
                <w:b/>
              </w:rPr>
              <w:t>(SL.11-12.4)</w:t>
            </w:r>
          </w:p>
        </w:tc>
        <w:tc>
          <w:tcPr>
            <w:tcW w:w="1316" w:type="dxa"/>
            <w:vAlign w:val="center"/>
          </w:tcPr>
          <w:p w14:paraId="605F85F4" w14:textId="77777777" w:rsidR="00BA179F" w:rsidRPr="00BA179F" w:rsidRDefault="00BA179F" w:rsidP="00536040">
            <w:pPr>
              <w:pStyle w:val="ToolTableText"/>
              <w:spacing w:before="0" w:after="0"/>
              <w:jc w:val="center"/>
            </w:pPr>
            <w:r w:rsidRPr="00BA179F">
              <w:sym w:font="Wingdings 2" w:char="F0A3"/>
            </w:r>
          </w:p>
        </w:tc>
      </w:tr>
      <w:tr w:rsidR="00BA179F" w:rsidRPr="00BA179F" w14:paraId="16EA9374" w14:textId="77777777" w:rsidTr="00BA179F">
        <w:trPr>
          <w:trHeight w:val="305"/>
        </w:trPr>
        <w:tc>
          <w:tcPr>
            <w:tcW w:w="2561" w:type="dxa"/>
            <w:tcBorders>
              <w:top w:val="nil"/>
              <w:left w:val="single" w:sz="4" w:space="0" w:color="auto"/>
              <w:bottom w:val="nil"/>
              <w:right w:val="single" w:sz="4" w:space="0" w:color="auto"/>
            </w:tcBorders>
          </w:tcPr>
          <w:p w14:paraId="78A42564" w14:textId="77777777" w:rsidR="00BA179F" w:rsidRPr="00BA179F" w:rsidRDefault="00BA179F" w:rsidP="00536040">
            <w:pPr>
              <w:pStyle w:val="ToolTableText"/>
              <w:rPr>
                <w:b/>
              </w:rPr>
            </w:pPr>
          </w:p>
        </w:tc>
        <w:tc>
          <w:tcPr>
            <w:tcW w:w="5647" w:type="dxa"/>
            <w:tcBorders>
              <w:left w:val="single" w:sz="4" w:space="0" w:color="auto"/>
            </w:tcBorders>
          </w:tcPr>
          <w:p w14:paraId="4C3B52DB" w14:textId="468B4392" w:rsidR="00BA179F" w:rsidRPr="00BA179F" w:rsidRDefault="00BA179F" w:rsidP="00536040">
            <w:pPr>
              <w:pStyle w:val="ToolTableText"/>
            </w:pPr>
            <w:r w:rsidRPr="00BA179F">
              <w:t xml:space="preserve">Make strategic use of digital media in presentations to enhance understanding of findings, reasoning, and evidence and to add interest? </w:t>
            </w:r>
            <w:r w:rsidRPr="00BA179F">
              <w:rPr>
                <w:b/>
              </w:rPr>
              <w:t>(SL.11-12.5)</w:t>
            </w:r>
          </w:p>
        </w:tc>
        <w:tc>
          <w:tcPr>
            <w:tcW w:w="1316" w:type="dxa"/>
            <w:vAlign w:val="center"/>
          </w:tcPr>
          <w:p w14:paraId="1AE67A32" w14:textId="16E56918" w:rsidR="00BA179F" w:rsidRPr="00BA179F" w:rsidRDefault="00BA179F" w:rsidP="00536040">
            <w:pPr>
              <w:pStyle w:val="ToolTableText"/>
              <w:spacing w:before="0" w:after="0"/>
              <w:jc w:val="center"/>
            </w:pPr>
            <w:r w:rsidRPr="00BA179F">
              <w:sym w:font="Wingdings 2" w:char="F0A3"/>
            </w:r>
          </w:p>
        </w:tc>
      </w:tr>
      <w:tr w:rsidR="00BA179F" w:rsidRPr="00BA179F" w14:paraId="65FB2D1E" w14:textId="77777777" w:rsidTr="00BA179F">
        <w:trPr>
          <w:trHeight w:val="305"/>
        </w:trPr>
        <w:tc>
          <w:tcPr>
            <w:tcW w:w="2561" w:type="dxa"/>
            <w:tcBorders>
              <w:top w:val="nil"/>
              <w:left w:val="single" w:sz="4" w:space="0" w:color="auto"/>
              <w:bottom w:val="nil"/>
              <w:right w:val="single" w:sz="4" w:space="0" w:color="auto"/>
            </w:tcBorders>
          </w:tcPr>
          <w:p w14:paraId="3F18B72C" w14:textId="77777777" w:rsidR="00BA179F" w:rsidRPr="00BA179F" w:rsidRDefault="00BA179F" w:rsidP="00536040">
            <w:pPr>
              <w:pStyle w:val="ToolTableText"/>
              <w:rPr>
                <w:b/>
              </w:rPr>
            </w:pPr>
          </w:p>
        </w:tc>
        <w:tc>
          <w:tcPr>
            <w:tcW w:w="5647" w:type="dxa"/>
            <w:tcBorders>
              <w:left w:val="single" w:sz="4" w:space="0" w:color="auto"/>
            </w:tcBorders>
          </w:tcPr>
          <w:p w14:paraId="3237E901" w14:textId="77777777" w:rsidR="00BA179F" w:rsidRPr="00BA179F" w:rsidRDefault="00BA179F" w:rsidP="00536040">
            <w:pPr>
              <w:pStyle w:val="ToolTableText"/>
              <w:rPr>
                <w:highlight w:val="yellow"/>
              </w:rPr>
            </w:pPr>
            <w:r w:rsidRPr="00BA179F">
              <w:t xml:space="preserve">Adapt speech to the specific context and task, demonstrating command of formal English? </w:t>
            </w:r>
            <w:r w:rsidRPr="00BA179F">
              <w:rPr>
                <w:b/>
              </w:rPr>
              <w:t>(SL.11-12.6)</w:t>
            </w:r>
          </w:p>
        </w:tc>
        <w:tc>
          <w:tcPr>
            <w:tcW w:w="1316" w:type="dxa"/>
            <w:vAlign w:val="center"/>
          </w:tcPr>
          <w:p w14:paraId="25F292EC" w14:textId="77777777" w:rsidR="00BA179F" w:rsidRPr="00BA179F" w:rsidRDefault="00BA179F" w:rsidP="00536040">
            <w:pPr>
              <w:pStyle w:val="ToolTableText"/>
              <w:spacing w:before="0" w:after="0"/>
              <w:jc w:val="center"/>
            </w:pPr>
            <w:r w:rsidRPr="00BA179F">
              <w:sym w:font="Wingdings 2" w:char="F0A3"/>
            </w:r>
          </w:p>
        </w:tc>
      </w:tr>
      <w:tr w:rsidR="00BA179F" w:rsidRPr="00BA179F" w14:paraId="2C3150FA" w14:textId="77777777" w:rsidTr="00BA179F">
        <w:trPr>
          <w:trHeight w:val="305"/>
        </w:trPr>
        <w:tc>
          <w:tcPr>
            <w:tcW w:w="2561" w:type="dxa"/>
            <w:tcBorders>
              <w:top w:val="nil"/>
              <w:left w:val="single" w:sz="4" w:space="0" w:color="auto"/>
              <w:bottom w:val="single" w:sz="4" w:space="0" w:color="auto"/>
              <w:right w:val="single" w:sz="4" w:space="0" w:color="auto"/>
            </w:tcBorders>
          </w:tcPr>
          <w:p w14:paraId="6FFEB961" w14:textId="77777777" w:rsidR="00BA179F" w:rsidRPr="00BA179F" w:rsidRDefault="00BA179F" w:rsidP="00536040">
            <w:pPr>
              <w:pStyle w:val="ToolTableText"/>
              <w:rPr>
                <w:b/>
              </w:rPr>
            </w:pPr>
          </w:p>
        </w:tc>
        <w:tc>
          <w:tcPr>
            <w:tcW w:w="5647" w:type="dxa"/>
            <w:tcBorders>
              <w:left w:val="single" w:sz="4" w:space="0" w:color="auto"/>
            </w:tcBorders>
          </w:tcPr>
          <w:p w14:paraId="1A1AA425" w14:textId="77777777" w:rsidR="00BA179F" w:rsidRPr="00BA179F" w:rsidRDefault="00BA179F" w:rsidP="00536040">
            <w:pPr>
              <w:pStyle w:val="ToolTableText"/>
              <w:rPr>
                <w:b/>
              </w:rPr>
            </w:pPr>
            <w:r w:rsidRPr="00BA179F">
              <w:t xml:space="preserve">Demonstrate command of formal English? </w:t>
            </w:r>
            <w:r w:rsidRPr="00BA179F">
              <w:rPr>
                <w:b/>
              </w:rPr>
              <w:t>(SL.11-12.6)</w:t>
            </w:r>
          </w:p>
        </w:tc>
        <w:tc>
          <w:tcPr>
            <w:tcW w:w="1316" w:type="dxa"/>
            <w:vAlign w:val="center"/>
          </w:tcPr>
          <w:p w14:paraId="0B17D41F" w14:textId="77777777" w:rsidR="00BA179F" w:rsidRPr="00BA179F" w:rsidRDefault="00BA179F" w:rsidP="00536040">
            <w:pPr>
              <w:pStyle w:val="ToolTableText"/>
              <w:spacing w:before="0" w:after="0"/>
              <w:jc w:val="center"/>
            </w:pPr>
            <w:r w:rsidRPr="00BA179F">
              <w:sym w:font="Wingdings 2" w:char="F0A3"/>
            </w:r>
          </w:p>
        </w:tc>
      </w:tr>
    </w:tbl>
    <w:p w14:paraId="0C5D8816" w14:textId="77777777" w:rsidR="00BA179F" w:rsidRDefault="00BA179F" w:rsidP="00912F62">
      <w:pPr>
        <w:pStyle w:val="ToolHeader"/>
      </w:pPr>
    </w:p>
    <w:p w14:paraId="65917B8B" w14:textId="77777777" w:rsidR="00CA0ACF" w:rsidRDefault="00CA0ACF">
      <w:pPr>
        <w:spacing w:before="0" w:after="0" w:line="240" w:lineRule="auto"/>
        <w:rPr>
          <w:b/>
          <w:bCs/>
          <w:color w:val="365F91"/>
          <w:sz w:val="32"/>
          <w:szCs w:val="28"/>
        </w:rPr>
      </w:pPr>
      <w:r>
        <w:br w:type="page"/>
      </w:r>
    </w:p>
    <w:p w14:paraId="26DA7342" w14:textId="0D432FE7" w:rsidR="00912F62" w:rsidRDefault="00912F62" w:rsidP="00912F62">
      <w:pPr>
        <w:pStyle w:val="ToolHeader"/>
      </w:pPr>
      <w:r>
        <w:lastRenderedPageBreak/>
        <w:t xml:space="preserve">Model Surfacing Issues Tool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
        <w:gridCol w:w="2709"/>
        <w:gridCol w:w="732"/>
        <w:gridCol w:w="2961"/>
        <w:gridCol w:w="720"/>
        <w:gridCol w:w="1418"/>
      </w:tblGrid>
      <w:tr w:rsidR="00912F62" w:rsidRPr="00707670" w14:paraId="580B8E56" w14:textId="77777777">
        <w:trPr>
          <w:trHeight w:val="557"/>
        </w:trPr>
        <w:tc>
          <w:tcPr>
            <w:tcW w:w="910" w:type="dxa"/>
            <w:shd w:val="clear" w:color="auto" w:fill="D9D9D9"/>
            <w:vAlign w:val="center"/>
          </w:tcPr>
          <w:p w14:paraId="258483B2" w14:textId="77777777" w:rsidR="00912F62" w:rsidRPr="00441941" w:rsidRDefault="00912F62" w:rsidP="00BA4EAC">
            <w:pPr>
              <w:pStyle w:val="TableText"/>
              <w:rPr>
                <w:b/>
                <w:bCs/>
              </w:rPr>
            </w:pPr>
            <w:r w:rsidRPr="00441941">
              <w:rPr>
                <w:b/>
                <w:bCs/>
              </w:rPr>
              <w:t>Name:</w:t>
            </w:r>
          </w:p>
        </w:tc>
        <w:tc>
          <w:tcPr>
            <w:tcW w:w="2709" w:type="dxa"/>
            <w:vAlign w:val="center"/>
          </w:tcPr>
          <w:p w14:paraId="67BCF989" w14:textId="77777777" w:rsidR="00912F62" w:rsidRPr="00441941" w:rsidRDefault="00912F62" w:rsidP="00BA4EAC">
            <w:pPr>
              <w:pStyle w:val="TableText"/>
              <w:rPr>
                <w:b/>
                <w:bCs/>
              </w:rPr>
            </w:pPr>
          </w:p>
        </w:tc>
        <w:tc>
          <w:tcPr>
            <w:tcW w:w="732" w:type="dxa"/>
            <w:shd w:val="clear" w:color="auto" w:fill="D9D9D9"/>
            <w:vAlign w:val="center"/>
          </w:tcPr>
          <w:p w14:paraId="57BDED9C" w14:textId="77777777" w:rsidR="00912F62" w:rsidRPr="00441941" w:rsidRDefault="00912F62" w:rsidP="00BA4EAC">
            <w:pPr>
              <w:pStyle w:val="TableText"/>
              <w:rPr>
                <w:b/>
                <w:bCs/>
              </w:rPr>
            </w:pPr>
            <w:r w:rsidRPr="00441941">
              <w:rPr>
                <w:b/>
                <w:bCs/>
              </w:rPr>
              <w:t>Class:</w:t>
            </w:r>
          </w:p>
        </w:tc>
        <w:tc>
          <w:tcPr>
            <w:tcW w:w="2961" w:type="dxa"/>
            <w:vAlign w:val="center"/>
          </w:tcPr>
          <w:p w14:paraId="2C5168A4" w14:textId="77777777" w:rsidR="00912F62" w:rsidRPr="00441941" w:rsidRDefault="00912F62" w:rsidP="00BA4EAC">
            <w:pPr>
              <w:pStyle w:val="TableText"/>
              <w:rPr>
                <w:b/>
                <w:bCs/>
              </w:rPr>
            </w:pPr>
          </w:p>
        </w:tc>
        <w:tc>
          <w:tcPr>
            <w:tcW w:w="720" w:type="dxa"/>
            <w:shd w:val="clear" w:color="auto" w:fill="D9D9D9"/>
            <w:vAlign w:val="center"/>
          </w:tcPr>
          <w:p w14:paraId="4A2835CB" w14:textId="77777777" w:rsidR="00912F62" w:rsidRPr="00441941" w:rsidRDefault="00912F62" w:rsidP="00BA4EAC">
            <w:pPr>
              <w:pStyle w:val="TableText"/>
              <w:rPr>
                <w:b/>
                <w:bCs/>
              </w:rPr>
            </w:pPr>
            <w:r w:rsidRPr="00441941">
              <w:rPr>
                <w:b/>
                <w:bCs/>
              </w:rPr>
              <w:t>Date:</w:t>
            </w:r>
          </w:p>
        </w:tc>
        <w:tc>
          <w:tcPr>
            <w:tcW w:w="1418" w:type="dxa"/>
            <w:vAlign w:val="center"/>
          </w:tcPr>
          <w:p w14:paraId="03A47AE6" w14:textId="77777777" w:rsidR="00912F62" w:rsidRPr="00441941" w:rsidRDefault="00912F62" w:rsidP="00BA4EAC">
            <w:pPr>
              <w:pStyle w:val="TableText"/>
              <w:rPr>
                <w:b/>
                <w:bCs/>
              </w:rPr>
            </w:pPr>
          </w:p>
        </w:tc>
      </w:tr>
    </w:tbl>
    <w:p w14:paraId="4E606FB4" w14:textId="77777777" w:rsidR="00912F62" w:rsidRPr="00AF4B8D" w:rsidRDefault="00912F62" w:rsidP="00912F62">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912F62" w:rsidRPr="00707670" w14:paraId="6F894B98" w14:textId="77777777">
        <w:trPr>
          <w:trHeight w:val="562"/>
        </w:trPr>
        <w:tc>
          <w:tcPr>
            <w:tcW w:w="9450" w:type="dxa"/>
            <w:shd w:val="clear" w:color="auto" w:fill="D9D9D9"/>
            <w:vAlign w:val="center"/>
          </w:tcPr>
          <w:p w14:paraId="64AA2CE5" w14:textId="77777777" w:rsidR="00912F62" w:rsidRPr="00441941" w:rsidRDefault="00912F62" w:rsidP="0066693A">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w:t>
            </w:r>
            <w:r w:rsidR="006458A0">
              <w:t>ge</w:t>
            </w:r>
            <w:r w:rsidRPr="00C604EF">
              <w:t xml:space="preserve"> number and what the text says about the issue in the correct columns.</w:t>
            </w:r>
          </w:p>
        </w:tc>
      </w:tr>
    </w:tbl>
    <w:p w14:paraId="0125F079" w14:textId="77777777" w:rsidR="00912F62" w:rsidRPr="00646088" w:rsidRDefault="00912F62" w:rsidP="00912F62">
      <w:pPr>
        <w:spacing w:before="0" w:after="0"/>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6"/>
        <w:gridCol w:w="3192"/>
        <w:gridCol w:w="3172"/>
      </w:tblGrid>
      <w:tr w:rsidR="00912F62" w:rsidRPr="00646088" w14:paraId="72B05E6B" w14:textId="77777777">
        <w:tc>
          <w:tcPr>
            <w:tcW w:w="3086" w:type="dxa"/>
            <w:shd w:val="clear" w:color="auto" w:fill="D9D9D9"/>
          </w:tcPr>
          <w:p w14:paraId="2786F4F3" w14:textId="77777777" w:rsidR="00912F62" w:rsidRPr="00441941" w:rsidRDefault="00912F62" w:rsidP="00BA4EAC">
            <w:pPr>
              <w:pStyle w:val="ToolTableText"/>
              <w:rPr>
                <w:b/>
                <w:bCs/>
              </w:rPr>
            </w:pPr>
            <w:r w:rsidRPr="00441941">
              <w:rPr>
                <w:b/>
                <w:bCs/>
              </w:rPr>
              <w:t>Issue</w:t>
            </w:r>
          </w:p>
        </w:tc>
        <w:tc>
          <w:tcPr>
            <w:tcW w:w="3192" w:type="dxa"/>
            <w:shd w:val="clear" w:color="auto" w:fill="D9D9D9"/>
          </w:tcPr>
          <w:p w14:paraId="7F6FE172" w14:textId="77777777" w:rsidR="00912F62" w:rsidRPr="00441941" w:rsidRDefault="00912F62" w:rsidP="00BA4EAC">
            <w:pPr>
              <w:pStyle w:val="ToolTableText"/>
              <w:rPr>
                <w:b/>
                <w:bCs/>
              </w:rPr>
            </w:pPr>
            <w:r>
              <w:rPr>
                <w:b/>
                <w:bCs/>
              </w:rPr>
              <w:t>Page</w:t>
            </w:r>
            <w:r w:rsidRPr="00441941">
              <w:rPr>
                <w:b/>
                <w:bCs/>
              </w:rPr>
              <w:t>(s)</w:t>
            </w:r>
          </w:p>
        </w:tc>
        <w:tc>
          <w:tcPr>
            <w:tcW w:w="3172" w:type="dxa"/>
            <w:shd w:val="clear" w:color="auto" w:fill="D9D9D9"/>
          </w:tcPr>
          <w:p w14:paraId="0228CF96" w14:textId="77777777" w:rsidR="00912F62" w:rsidRPr="00441941" w:rsidRDefault="00912F62" w:rsidP="00231A91">
            <w:pPr>
              <w:pStyle w:val="ToolTableText"/>
              <w:rPr>
                <w:b/>
                <w:bCs/>
              </w:rPr>
            </w:pPr>
            <w:r w:rsidRPr="00441941">
              <w:rPr>
                <w:b/>
                <w:bCs/>
              </w:rPr>
              <w:t xml:space="preserve">Key </w:t>
            </w:r>
            <w:r w:rsidR="00231A91">
              <w:rPr>
                <w:b/>
                <w:bCs/>
              </w:rPr>
              <w:t>i</w:t>
            </w:r>
            <w:r w:rsidRPr="00441941">
              <w:rPr>
                <w:b/>
                <w:bCs/>
              </w:rPr>
              <w:t xml:space="preserve">nformation about the </w:t>
            </w:r>
            <w:r w:rsidR="00231A91">
              <w:rPr>
                <w:b/>
                <w:bCs/>
              </w:rPr>
              <w:t>i</w:t>
            </w:r>
            <w:r w:rsidRPr="00441941">
              <w:rPr>
                <w:b/>
                <w:bCs/>
              </w:rPr>
              <w:t xml:space="preserve">ssue from the </w:t>
            </w:r>
            <w:r w:rsidR="00231A91">
              <w:rPr>
                <w:b/>
                <w:bCs/>
              </w:rPr>
              <w:t>t</w:t>
            </w:r>
            <w:r w:rsidRPr="00441941">
              <w:rPr>
                <w:b/>
                <w:bCs/>
              </w:rPr>
              <w:t>ext</w:t>
            </w:r>
          </w:p>
        </w:tc>
      </w:tr>
      <w:tr w:rsidR="00912F62" w14:paraId="5FB4ECD0" w14:textId="77777777">
        <w:trPr>
          <w:trHeight w:val="1440"/>
        </w:trPr>
        <w:tc>
          <w:tcPr>
            <w:tcW w:w="3086" w:type="dxa"/>
          </w:tcPr>
          <w:p w14:paraId="7323202A" w14:textId="77777777" w:rsidR="00912F62" w:rsidRPr="00DF5111" w:rsidRDefault="00DB56A4" w:rsidP="00DB56A4">
            <w:pPr>
              <w:pStyle w:val="ToolTableText"/>
            </w:pPr>
            <w:r>
              <w:t>The effect of climate</w:t>
            </w:r>
            <w:r w:rsidR="002526B3">
              <w:t xml:space="preserve"> on human development</w:t>
            </w:r>
          </w:p>
        </w:tc>
        <w:tc>
          <w:tcPr>
            <w:tcW w:w="3192" w:type="dxa"/>
          </w:tcPr>
          <w:p w14:paraId="2595CE64" w14:textId="77777777" w:rsidR="00912F62" w:rsidRDefault="00BB5CA4" w:rsidP="00B240C0">
            <w:pPr>
              <w:pStyle w:val="ToolTableText"/>
            </w:pPr>
            <w:r>
              <w:t>22</w:t>
            </w:r>
          </w:p>
        </w:tc>
        <w:tc>
          <w:tcPr>
            <w:tcW w:w="3172" w:type="dxa"/>
          </w:tcPr>
          <w:p w14:paraId="7F1B91CA" w14:textId="77777777" w:rsidR="00912F62" w:rsidRDefault="00BB5CA4" w:rsidP="00B240C0">
            <w:pPr>
              <w:pStyle w:val="ToolTableText"/>
            </w:pPr>
            <w:r>
              <w:t>Diamond explains that the “stimulatory effects” of a “cold climate” or the “inhibitory effects of a hot, humid, tropical climate</w:t>
            </w:r>
            <w:r w:rsidR="0018336F">
              <w:t>[]</w:t>
            </w:r>
            <w:r>
              <w:t xml:space="preserve">” </w:t>
            </w:r>
            <w:r w:rsidR="0057776E">
              <w:t>are</w:t>
            </w:r>
            <w:r w:rsidR="00231A91">
              <w:t xml:space="preserve"> </w:t>
            </w:r>
            <w:r>
              <w:t>used to explain differences in “human creativity and energy” (p. 22).</w:t>
            </w:r>
          </w:p>
        </w:tc>
      </w:tr>
      <w:tr w:rsidR="00912F62" w14:paraId="46A08E27" w14:textId="77777777">
        <w:trPr>
          <w:trHeight w:val="1440"/>
        </w:trPr>
        <w:tc>
          <w:tcPr>
            <w:tcW w:w="3086" w:type="dxa"/>
          </w:tcPr>
          <w:p w14:paraId="3AEDE046" w14:textId="77777777" w:rsidR="00912F62" w:rsidRDefault="00BB5CA4" w:rsidP="00B240C0">
            <w:pPr>
              <w:pStyle w:val="ToolTableText"/>
            </w:pPr>
            <w:r>
              <w:t xml:space="preserve">Irrigation and centralized </w:t>
            </w:r>
            <w:r w:rsidR="002526B3">
              <w:t>bureaucracies</w:t>
            </w:r>
          </w:p>
        </w:tc>
        <w:tc>
          <w:tcPr>
            <w:tcW w:w="3192" w:type="dxa"/>
          </w:tcPr>
          <w:p w14:paraId="52C1A8CF" w14:textId="77777777" w:rsidR="00912F62" w:rsidRDefault="00BB5CA4" w:rsidP="00B240C0">
            <w:pPr>
              <w:pStyle w:val="ToolTableText"/>
            </w:pPr>
            <w:r>
              <w:t>22</w:t>
            </w:r>
          </w:p>
        </w:tc>
        <w:tc>
          <w:tcPr>
            <w:tcW w:w="3172" w:type="dxa"/>
          </w:tcPr>
          <w:p w14:paraId="6A75DCB2" w14:textId="77777777" w:rsidR="00912F62" w:rsidRDefault="002526B3" w:rsidP="00231A91">
            <w:pPr>
              <w:pStyle w:val="ToolTableText"/>
            </w:pPr>
            <w:r>
              <w:t xml:space="preserve">Diamond </w:t>
            </w:r>
            <w:r w:rsidR="0057776E">
              <w:t>suggests that</w:t>
            </w:r>
            <w:r>
              <w:t xml:space="preserve"> the need for water in </w:t>
            </w:r>
            <w:r w:rsidR="006A616E">
              <w:t>“</w:t>
            </w:r>
            <w:r>
              <w:t>l</w:t>
            </w:r>
            <w:r w:rsidR="00BB5CA4">
              <w:t>owland river valleys</w:t>
            </w:r>
            <w:r w:rsidR="006A616E">
              <w:t>”</w:t>
            </w:r>
            <w:r w:rsidR="00BB5CA4">
              <w:t xml:space="preserve"> in dry climates </w:t>
            </w:r>
            <w:r w:rsidR="00231A91">
              <w:t>i</w:t>
            </w:r>
            <w:r w:rsidR="00BB5CA4">
              <w:t xml:space="preserve">s an </w:t>
            </w:r>
            <w:r>
              <w:t xml:space="preserve">incorrect </w:t>
            </w:r>
            <w:r w:rsidR="00BB5CA4">
              <w:t xml:space="preserve">explanation for the development of </w:t>
            </w:r>
            <w:r>
              <w:t>“</w:t>
            </w:r>
            <w:r w:rsidR="00BB5CA4">
              <w:t>irrigation</w:t>
            </w:r>
            <w:r>
              <w:t>” and “centralized bureaucracies” (p. 22), and thus an incorrect explanation for human development differences.</w:t>
            </w:r>
          </w:p>
        </w:tc>
      </w:tr>
      <w:tr w:rsidR="00912F62" w14:paraId="0DDA202D" w14:textId="77777777">
        <w:trPr>
          <w:trHeight w:val="1440"/>
        </w:trPr>
        <w:tc>
          <w:tcPr>
            <w:tcW w:w="3086" w:type="dxa"/>
          </w:tcPr>
          <w:p w14:paraId="187A40D1" w14:textId="77777777" w:rsidR="00912F62" w:rsidRDefault="002443F3" w:rsidP="00B240C0">
            <w:pPr>
              <w:pStyle w:val="ToolTableText"/>
            </w:pPr>
            <w:r>
              <w:t>Immediate, proximate (first stage) explanations</w:t>
            </w:r>
            <w:r w:rsidR="00AB5048">
              <w:t xml:space="preserve"> vs. ultimate causes</w:t>
            </w:r>
          </w:p>
        </w:tc>
        <w:tc>
          <w:tcPr>
            <w:tcW w:w="3192" w:type="dxa"/>
          </w:tcPr>
          <w:p w14:paraId="251552D1" w14:textId="56F01F87" w:rsidR="00912F62" w:rsidRDefault="00114572" w:rsidP="00B240C0">
            <w:pPr>
              <w:pStyle w:val="ToolTableText"/>
            </w:pPr>
            <w:r>
              <w:t xml:space="preserve"> </w:t>
            </w:r>
            <w:r w:rsidR="0030659C">
              <w:t>23, 24</w:t>
            </w:r>
          </w:p>
        </w:tc>
        <w:tc>
          <w:tcPr>
            <w:tcW w:w="3172" w:type="dxa"/>
          </w:tcPr>
          <w:p w14:paraId="3E16DAF1" w14:textId="77777777" w:rsidR="00912F62" w:rsidRDefault="00AB5048" w:rsidP="00B240C0">
            <w:pPr>
              <w:pStyle w:val="ToolTableText"/>
            </w:pPr>
            <w:r>
              <w:t>Although some “historians and geographers” have investigated “worldwide comparisons of human societies” (p. 23), this research has provided only “proximate explanations” (p. 2</w:t>
            </w:r>
            <w:r w:rsidR="00144238">
              <w:t>4</w:t>
            </w:r>
            <w:r>
              <w:t>). There is “no generally accepted answer to Yali’s question” (p. 24)</w:t>
            </w:r>
            <w:r w:rsidR="00BA41C1">
              <w:t xml:space="preserve"> because ultimate causation has yet to be researched.</w:t>
            </w:r>
          </w:p>
        </w:tc>
      </w:tr>
    </w:tbl>
    <w:p w14:paraId="041122E9" w14:textId="77777777" w:rsidR="00790BCC" w:rsidRPr="00790BCC" w:rsidRDefault="00790BCC" w:rsidP="003B747C">
      <w:pPr>
        <w:pStyle w:val="ToolHeader"/>
      </w:pPr>
    </w:p>
    <w:sectPr w:rsidR="00790BCC" w:rsidRPr="00790BCC" w:rsidSect="00BA4EAC">
      <w:headerReference w:type="default" r:id="rId13"/>
      <w:footerReference w:type="default" r:id="rId14"/>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0003F7" w14:textId="77777777" w:rsidR="00EB2365" w:rsidRDefault="00EB2365">
      <w:pPr>
        <w:spacing w:before="0" w:after="0" w:line="240" w:lineRule="auto"/>
      </w:pPr>
      <w:r>
        <w:separator/>
      </w:r>
    </w:p>
  </w:endnote>
  <w:endnote w:type="continuationSeparator" w:id="0">
    <w:p w14:paraId="2FEB865C" w14:textId="77777777" w:rsidR="00EB2365" w:rsidRDefault="00EB236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Perpetua">
    <w:panose1 w:val="02020502060401020303"/>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Perpetua-Italic">
    <w:altName w:val="Perpetua"/>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366027" w14:textId="77777777" w:rsidR="00536040" w:rsidRDefault="00536040" w:rsidP="00BA4EAC">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6F13674C" w14:textId="77777777" w:rsidR="00536040" w:rsidRDefault="00536040" w:rsidP="00BA4EAC">
    <w:pPr>
      <w:pStyle w:val="Footer"/>
    </w:pPr>
  </w:p>
  <w:p w14:paraId="566EB21D" w14:textId="77777777" w:rsidR="00536040" w:rsidRDefault="00536040" w:rsidP="00BA4EAC"/>
  <w:p w14:paraId="6FB3E4C3" w14:textId="77777777" w:rsidR="00536040" w:rsidRDefault="00536040" w:rsidP="00BA4EA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DC827" w14:textId="77777777" w:rsidR="00536040" w:rsidRPr="00563CB8" w:rsidRDefault="00536040"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36040" w14:paraId="6A32BEB7" w14:textId="77777777">
      <w:trPr>
        <w:trHeight w:val="705"/>
      </w:trPr>
      <w:tc>
        <w:tcPr>
          <w:tcW w:w="4484" w:type="dxa"/>
          <w:shd w:val="clear" w:color="auto" w:fill="auto"/>
          <w:vAlign w:val="center"/>
        </w:tcPr>
        <w:p w14:paraId="1D645FEE" w14:textId="3CEA4DF0" w:rsidR="00536040" w:rsidRPr="002E4C92" w:rsidRDefault="00536040" w:rsidP="00B06049">
          <w:pPr>
            <w:pStyle w:val="FooterText"/>
          </w:pPr>
          <w:r w:rsidRPr="002E4C92">
            <w:t>File:</w:t>
          </w:r>
          <w:r w:rsidRPr="0039525B">
            <w:rPr>
              <w:b w:val="0"/>
            </w:rPr>
            <w:t xml:space="preserve"> </w:t>
          </w:r>
          <w:r>
            <w:rPr>
              <w:b w:val="0"/>
            </w:rPr>
            <w:t>12.3.1</w:t>
          </w:r>
          <w:r w:rsidRPr="0039525B">
            <w:rPr>
              <w:b w:val="0"/>
            </w:rPr>
            <w:t xml:space="preserve"> Lesson </w:t>
          </w:r>
          <w:r>
            <w:rPr>
              <w:b w:val="0"/>
            </w:rPr>
            <w:t>3</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2EC0E62F" w14:textId="77777777" w:rsidR="00536040" w:rsidRPr="0039525B" w:rsidRDefault="00536040"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394B5FCF" w14:textId="77777777" w:rsidR="00536040" w:rsidRPr="0039525B" w:rsidRDefault="00536040" w:rsidP="00B06049">
          <w:pPr>
            <w:pStyle w:val="FooterText"/>
            <w:rPr>
              <w:b w:val="0"/>
              <w:i/>
            </w:rPr>
          </w:pPr>
          <w:r w:rsidRPr="0039525B">
            <w:rPr>
              <w:b w:val="0"/>
              <w:i/>
              <w:sz w:val="12"/>
            </w:rPr>
            <w:t>Creative Commons Attribution-NonCommercial-ShareAlike 3.0 Unported License</w:t>
          </w:r>
        </w:p>
        <w:p w14:paraId="1BA74DA9" w14:textId="77777777" w:rsidR="00536040" w:rsidRPr="002E4C92" w:rsidRDefault="00EB2365" w:rsidP="00B06049">
          <w:pPr>
            <w:pStyle w:val="FooterText"/>
          </w:pPr>
          <w:hyperlink r:id="rId1" w:history="1">
            <w:r w:rsidR="00536040" w:rsidRPr="0043460D">
              <w:rPr>
                <w:rStyle w:val="Hyperlink"/>
                <w:sz w:val="12"/>
                <w:szCs w:val="12"/>
              </w:rPr>
              <w:t>http://creativecommons.org/licenses/by-nc-sa/3.0/</w:t>
            </w:r>
          </w:hyperlink>
        </w:p>
      </w:tc>
      <w:tc>
        <w:tcPr>
          <w:tcW w:w="614" w:type="dxa"/>
          <w:shd w:val="clear" w:color="auto" w:fill="auto"/>
          <w:vAlign w:val="center"/>
        </w:tcPr>
        <w:p w14:paraId="7C5B0E7A" w14:textId="77777777" w:rsidR="00536040" w:rsidRPr="002E4C92" w:rsidRDefault="00536040"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F1DA3">
            <w:rPr>
              <w:rFonts w:ascii="Calibri" w:hAnsi="Calibri" w:cs="Calibri"/>
              <w:b/>
              <w:noProof/>
              <w:color w:val="1F4E79"/>
              <w:sz w:val="28"/>
            </w:rPr>
            <w:t>1</w:t>
          </w:r>
          <w:r w:rsidRPr="002E4C92">
            <w:rPr>
              <w:rFonts w:ascii="Calibri" w:hAnsi="Calibri" w:cs="Calibri"/>
              <w:b/>
              <w:color w:val="1F4E79"/>
              <w:sz w:val="28"/>
            </w:rPr>
            <w:fldChar w:fldCharType="end"/>
          </w:r>
        </w:p>
      </w:tc>
      <w:tc>
        <w:tcPr>
          <w:tcW w:w="4442" w:type="dxa"/>
          <w:shd w:val="clear" w:color="auto" w:fill="auto"/>
          <w:vAlign w:val="bottom"/>
        </w:tcPr>
        <w:p w14:paraId="4C476677" w14:textId="77777777" w:rsidR="00536040" w:rsidRPr="002E4C92" w:rsidRDefault="00536040"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2AE56A83" wp14:editId="3E33F69D">
                <wp:extent cx="1714500" cy="647700"/>
                <wp:effectExtent l="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r>
  </w:tbl>
  <w:p w14:paraId="37CB6A5E" w14:textId="77777777" w:rsidR="00536040" w:rsidRPr="00B06049" w:rsidRDefault="00536040" w:rsidP="00B060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6B74D" w14:textId="77777777" w:rsidR="00536040" w:rsidRPr="00563CB8" w:rsidRDefault="00536040"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6169"/>
      <w:gridCol w:w="845"/>
      <w:gridCol w:w="6112"/>
    </w:tblGrid>
    <w:tr w:rsidR="00536040" w14:paraId="7FA20B05" w14:textId="77777777">
      <w:trPr>
        <w:trHeight w:val="705"/>
      </w:trPr>
      <w:tc>
        <w:tcPr>
          <w:tcW w:w="4484" w:type="dxa"/>
          <w:shd w:val="clear" w:color="auto" w:fill="auto"/>
          <w:vAlign w:val="center"/>
        </w:tcPr>
        <w:p w14:paraId="0AB2DF0A" w14:textId="77777777" w:rsidR="00536040" w:rsidRPr="002E4C92" w:rsidRDefault="00536040" w:rsidP="00B06049">
          <w:pPr>
            <w:pStyle w:val="FooterText"/>
          </w:pPr>
          <w:r w:rsidRPr="002E4C92">
            <w:t>File:</w:t>
          </w:r>
          <w:r w:rsidRPr="0039525B">
            <w:rPr>
              <w:b w:val="0"/>
            </w:rPr>
            <w:t xml:space="preserve"> </w:t>
          </w:r>
          <w:r>
            <w:rPr>
              <w:b w:val="0"/>
            </w:rPr>
            <w:t>12.3.1</w:t>
          </w:r>
          <w:r w:rsidRPr="0039525B">
            <w:rPr>
              <w:b w:val="0"/>
            </w:rPr>
            <w:t xml:space="preserve"> Lesson </w:t>
          </w:r>
          <w:r>
            <w:rPr>
              <w:b w:val="0"/>
            </w:rPr>
            <w:t>3</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0B2342DA" w14:textId="77777777" w:rsidR="00536040" w:rsidRPr="0039525B" w:rsidRDefault="00536040"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2C84BDB" w14:textId="77777777" w:rsidR="00536040" w:rsidRPr="0039525B" w:rsidRDefault="00536040" w:rsidP="00B06049">
          <w:pPr>
            <w:pStyle w:val="FooterText"/>
            <w:rPr>
              <w:b w:val="0"/>
              <w:i/>
            </w:rPr>
          </w:pPr>
          <w:r w:rsidRPr="0039525B">
            <w:rPr>
              <w:b w:val="0"/>
              <w:i/>
              <w:sz w:val="12"/>
            </w:rPr>
            <w:t>Creative Commons Attribution-NonCommercial-ShareAlike 3.0 Unported License</w:t>
          </w:r>
        </w:p>
        <w:p w14:paraId="39130646" w14:textId="77777777" w:rsidR="00536040" w:rsidRPr="002E4C92" w:rsidRDefault="00EB2365" w:rsidP="00B06049">
          <w:pPr>
            <w:pStyle w:val="FooterText"/>
          </w:pPr>
          <w:hyperlink r:id="rId1" w:history="1">
            <w:r w:rsidR="00536040" w:rsidRPr="0043460D">
              <w:rPr>
                <w:rStyle w:val="Hyperlink"/>
                <w:sz w:val="12"/>
                <w:szCs w:val="12"/>
              </w:rPr>
              <w:t>http://creativecommons.org/licenses/by-nc-sa/3.0/</w:t>
            </w:r>
          </w:hyperlink>
        </w:p>
      </w:tc>
      <w:tc>
        <w:tcPr>
          <w:tcW w:w="614" w:type="dxa"/>
          <w:shd w:val="clear" w:color="auto" w:fill="auto"/>
          <w:vAlign w:val="center"/>
        </w:tcPr>
        <w:p w14:paraId="29E46C9E" w14:textId="77777777" w:rsidR="00536040" w:rsidRPr="002E4C92" w:rsidRDefault="00536040"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F1DA3">
            <w:rPr>
              <w:rFonts w:ascii="Calibri" w:hAnsi="Calibri" w:cs="Calibri"/>
              <w:b/>
              <w:noProof/>
              <w:color w:val="1F4E79"/>
              <w:sz w:val="28"/>
            </w:rPr>
            <w:t>20</w:t>
          </w:r>
          <w:r w:rsidRPr="002E4C92">
            <w:rPr>
              <w:rFonts w:ascii="Calibri" w:hAnsi="Calibri" w:cs="Calibri"/>
              <w:b/>
              <w:color w:val="1F4E79"/>
              <w:sz w:val="28"/>
            </w:rPr>
            <w:fldChar w:fldCharType="end"/>
          </w:r>
        </w:p>
      </w:tc>
      <w:tc>
        <w:tcPr>
          <w:tcW w:w="4442" w:type="dxa"/>
          <w:shd w:val="clear" w:color="auto" w:fill="auto"/>
          <w:vAlign w:val="bottom"/>
        </w:tcPr>
        <w:p w14:paraId="3B27C449" w14:textId="77777777" w:rsidR="00536040" w:rsidRPr="002E4C92" w:rsidRDefault="00536040"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3EF16B6" wp14:editId="0646E58A">
                <wp:extent cx="1714500" cy="647700"/>
                <wp:effectExtent l="0" t="0" r="0" b="0"/>
                <wp:docPr id="2"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r>
  </w:tbl>
  <w:p w14:paraId="068DAB3E" w14:textId="77777777" w:rsidR="00536040" w:rsidRPr="00B06049" w:rsidRDefault="00536040" w:rsidP="00B0604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6F13D" w14:textId="77777777" w:rsidR="00536040" w:rsidRPr="00563CB8" w:rsidRDefault="00536040" w:rsidP="00B06049">
    <w:pPr>
      <w:spacing w:before="0" w:after="0" w:line="240" w:lineRule="auto"/>
      <w:rPr>
        <w:sz w:val="14"/>
      </w:rPr>
    </w:pPr>
  </w:p>
  <w:tbl>
    <w:tblPr>
      <w:tblW w:w="4981" w:type="pct"/>
      <w:tblInd w:w="18" w:type="dxa"/>
      <w:tblBorders>
        <w:top w:val="single" w:sz="8" w:space="0" w:color="244061"/>
      </w:tblBorders>
      <w:tblLook w:val="04A0" w:firstRow="1" w:lastRow="0" w:firstColumn="1" w:lastColumn="0" w:noHBand="0" w:noVBand="1"/>
    </w:tblPr>
    <w:tblGrid>
      <w:gridCol w:w="4484"/>
      <w:gridCol w:w="614"/>
      <w:gridCol w:w="4442"/>
    </w:tblGrid>
    <w:tr w:rsidR="00536040" w14:paraId="0B95925D" w14:textId="77777777">
      <w:trPr>
        <w:trHeight w:val="705"/>
      </w:trPr>
      <w:tc>
        <w:tcPr>
          <w:tcW w:w="4484" w:type="dxa"/>
          <w:shd w:val="clear" w:color="auto" w:fill="auto"/>
          <w:vAlign w:val="center"/>
        </w:tcPr>
        <w:p w14:paraId="48E1A453" w14:textId="77777777" w:rsidR="00536040" w:rsidRPr="002E4C92" w:rsidRDefault="00536040" w:rsidP="00B06049">
          <w:pPr>
            <w:pStyle w:val="FooterText"/>
          </w:pPr>
          <w:r w:rsidRPr="002E4C92">
            <w:t>File:</w:t>
          </w:r>
          <w:r w:rsidRPr="0039525B">
            <w:rPr>
              <w:b w:val="0"/>
            </w:rPr>
            <w:t xml:space="preserve"> </w:t>
          </w:r>
          <w:r>
            <w:rPr>
              <w:b w:val="0"/>
            </w:rPr>
            <w:t>12.3.1</w:t>
          </w:r>
          <w:r w:rsidRPr="0039525B">
            <w:rPr>
              <w:b w:val="0"/>
            </w:rPr>
            <w:t xml:space="preserve"> Lesson </w:t>
          </w:r>
          <w:r>
            <w:rPr>
              <w:b w:val="0"/>
            </w:rPr>
            <w:t>3</w:t>
          </w:r>
          <w:r w:rsidRPr="002E4C92">
            <w:t xml:space="preserve"> Date:</w:t>
          </w:r>
          <w:r>
            <w:rPr>
              <w:b w:val="0"/>
            </w:rPr>
            <w:t xml:space="preserve"> 4/3</w:t>
          </w:r>
          <w:r w:rsidRPr="0039525B">
            <w:rPr>
              <w:b w:val="0"/>
            </w:rPr>
            <w:t>/1</w:t>
          </w:r>
          <w:r>
            <w:rPr>
              <w:b w:val="0"/>
            </w:rPr>
            <w:t>5</w:t>
          </w:r>
          <w:r w:rsidRPr="0039525B">
            <w:rPr>
              <w:b w:val="0"/>
            </w:rPr>
            <w:t xml:space="preserve"> </w:t>
          </w:r>
          <w:r w:rsidRPr="002E4C92">
            <w:t>Classroom Use:</w:t>
          </w:r>
          <w:r>
            <w:rPr>
              <w:b w:val="0"/>
            </w:rPr>
            <w:t xml:space="preserve"> Starting 4</w:t>
          </w:r>
          <w:r w:rsidRPr="0039525B">
            <w:rPr>
              <w:b w:val="0"/>
            </w:rPr>
            <w:t>/201</w:t>
          </w:r>
          <w:r>
            <w:rPr>
              <w:b w:val="0"/>
            </w:rPr>
            <w:t>5</w:t>
          </w:r>
          <w:r w:rsidRPr="0039525B">
            <w:rPr>
              <w:b w:val="0"/>
            </w:rPr>
            <w:t xml:space="preserve"> </w:t>
          </w:r>
        </w:p>
        <w:p w14:paraId="1369E50A" w14:textId="77777777" w:rsidR="00536040" w:rsidRPr="0039525B" w:rsidRDefault="00536040" w:rsidP="00B06049">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0845EC9" w14:textId="77777777" w:rsidR="00536040" w:rsidRPr="0039525B" w:rsidRDefault="00536040" w:rsidP="00B06049">
          <w:pPr>
            <w:pStyle w:val="FooterText"/>
            <w:rPr>
              <w:b w:val="0"/>
              <w:i/>
            </w:rPr>
          </w:pPr>
          <w:r w:rsidRPr="0039525B">
            <w:rPr>
              <w:b w:val="0"/>
              <w:i/>
              <w:sz w:val="12"/>
            </w:rPr>
            <w:t>Creative Commons Attribution-NonCommercial-ShareAlike 3.0 Unported License</w:t>
          </w:r>
        </w:p>
        <w:p w14:paraId="51354106" w14:textId="77777777" w:rsidR="00536040" w:rsidRPr="002E4C92" w:rsidRDefault="00EB2365" w:rsidP="00B06049">
          <w:pPr>
            <w:pStyle w:val="FooterText"/>
          </w:pPr>
          <w:hyperlink r:id="rId1" w:history="1">
            <w:r w:rsidR="00536040" w:rsidRPr="0043460D">
              <w:rPr>
                <w:rStyle w:val="Hyperlink"/>
                <w:sz w:val="12"/>
                <w:szCs w:val="12"/>
              </w:rPr>
              <w:t>http://creativecommons.org/licenses/by-nc-sa/3.0/</w:t>
            </w:r>
          </w:hyperlink>
        </w:p>
      </w:tc>
      <w:tc>
        <w:tcPr>
          <w:tcW w:w="614" w:type="dxa"/>
          <w:shd w:val="clear" w:color="auto" w:fill="auto"/>
          <w:vAlign w:val="center"/>
        </w:tcPr>
        <w:p w14:paraId="030C74A0" w14:textId="77777777" w:rsidR="00536040" w:rsidRPr="002E4C92" w:rsidRDefault="00536040" w:rsidP="00B0604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F1DA3">
            <w:rPr>
              <w:rFonts w:ascii="Calibri" w:hAnsi="Calibri" w:cs="Calibri"/>
              <w:b/>
              <w:noProof/>
              <w:color w:val="1F4E79"/>
              <w:sz w:val="28"/>
            </w:rPr>
            <w:t>28</w:t>
          </w:r>
          <w:r w:rsidRPr="002E4C92">
            <w:rPr>
              <w:rFonts w:ascii="Calibri" w:hAnsi="Calibri" w:cs="Calibri"/>
              <w:b/>
              <w:color w:val="1F4E79"/>
              <w:sz w:val="28"/>
            </w:rPr>
            <w:fldChar w:fldCharType="end"/>
          </w:r>
        </w:p>
      </w:tc>
      <w:tc>
        <w:tcPr>
          <w:tcW w:w="4442" w:type="dxa"/>
          <w:shd w:val="clear" w:color="auto" w:fill="auto"/>
          <w:vAlign w:val="bottom"/>
        </w:tcPr>
        <w:p w14:paraId="0FE2D1C1" w14:textId="77777777" w:rsidR="00536040" w:rsidRPr="002E4C92" w:rsidRDefault="00536040" w:rsidP="00B06049">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D54BC4F" wp14:editId="16C90E99">
                <wp:extent cx="1714500" cy="647700"/>
                <wp:effectExtent l="0" t="0" r="0" b="0"/>
                <wp:docPr id="3"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p>
      </w:tc>
    </w:tr>
  </w:tbl>
  <w:p w14:paraId="041CBB94" w14:textId="77777777" w:rsidR="00536040" w:rsidRPr="00B06049" w:rsidRDefault="00536040" w:rsidP="00B060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4A02B" w14:textId="77777777" w:rsidR="00EB2365" w:rsidRDefault="00EB2365">
      <w:pPr>
        <w:spacing w:before="0" w:after="0" w:line="240" w:lineRule="auto"/>
      </w:pPr>
      <w:r>
        <w:separator/>
      </w:r>
    </w:p>
  </w:footnote>
  <w:footnote w:type="continuationSeparator" w:id="0">
    <w:p w14:paraId="15E34794" w14:textId="77777777" w:rsidR="00EB2365" w:rsidRDefault="00EB236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536040" w:rsidRPr="00563CB8" w14:paraId="03D80632" w14:textId="77777777">
      <w:tc>
        <w:tcPr>
          <w:tcW w:w="3713" w:type="dxa"/>
          <w:shd w:val="clear" w:color="auto" w:fill="auto"/>
        </w:tcPr>
        <w:p w14:paraId="3685A266" w14:textId="77777777" w:rsidR="00536040" w:rsidRPr="00563CB8" w:rsidRDefault="0053604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FB3E3DE" w14:textId="551CA9F4" w:rsidR="00536040" w:rsidRPr="00563CB8" w:rsidRDefault="00536040" w:rsidP="007017EB">
          <w:pPr>
            <w:jc w:val="center"/>
          </w:pPr>
        </w:p>
      </w:tc>
      <w:tc>
        <w:tcPr>
          <w:tcW w:w="3493" w:type="dxa"/>
          <w:shd w:val="clear" w:color="auto" w:fill="auto"/>
        </w:tcPr>
        <w:p w14:paraId="73399A0E" w14:textId="77777777" w:rsidR="00536040" w:rsidRPr="00E946A0" w:rsidRDefault="00536040" w:rsidP="007017EB">
          <w:pPr>
            <w:pStyle w:val="PageHeader"/>
            <w:jc w:val="right"/>
            <w:rPr>
              <w:b w:val="0"/>
            </w:rPr>
          </w:pPr>
          <w:r>
            <w:rPr>
              <w:b w:val="0"/>
            </w:rPr>
            <w:t>Grade 12 • Module 3 • Unit 1 • Lesson 3</w:t>
          </w:r>
        </w:p>
      </w:tc>
    </w:tr>
  </w:tbl>
  <w:p w14:paraId="1172706D" w14:textId="77777777" w:rsidR="00536040" w:rsidRPr="007017EB" w:rsidRDefault="00536040" w:rsidP="007017EB">
    <w:pPr>
      <w:pStyle w:val="Header"/>
      <w:rPr>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5109"/>
      <w:gridCol w:w="3335"/>
      <w:gridCol w:w="4806"/>
    </w:tblGrid>
    <w:tr w:rsidR="00536040" w:rsidRPr="00563CB8" w14:paraId="2079DB84" w14:textId="77777777">
      <w:tc>
        <w:tcPr>
          <w:tcW w:w="3713" w:type="dxa"/>
          <w:shd w:val="clear" w:color="auto" w:fill="auto"/>
        </w:tcPr>
        <w:p w14:paraId="1AF56E31" w14:textId="77777777" w:rsidR="00536040" w:rsidRPr="00563CB8" w:rsidRDefault="0053604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54910625" w14:textId="77777777" w:rsidR="00536040" w:rsidRPr="00563CB8" w:rsidRDefault="00536040" w:rsidP="007017EB">
          <w:pPr>
            <w:jc w:val="center"/>
          </w:pPr>
        </w:p>
      </w:tc>
      <w:tc>
        <w:tcPr>
          <w:tcW w:w="3493" w:type="dxa"/>
          <w:shd w:val="clear" w:color="auto" w:fill="auto"/>
        </w:tcPr>
        <w:p w14:paraId="5AA5AA0F" w14:textId="77777777" w:rsidR="00536040" w:rsidRPr="00E946A0" w:rsidRDefault="00536040" w:rsidP="007017EB">
          <w:pPr>
            <w:pStyle w:val="PageHeader"/>
            <w:jc w:val="right"/>
            <w:rPr>
              <w:b w:val="0"/>
            </w:rPr>
          </w:pPr>
          <w:r>
            <w:rPr>
              <w:b w:val="0"/>
            </w:rPr>
            <w:t>Grade 12 • Module 3 • Unit 1 • Lesson 3</w:t>
          </w:r>
        </w:p>
      </w:tc>
    </w:tr>
  </w:tbl>
  <w:p w14:paraId="7DE7172A" w14:textId="77777777" w:rsidR="00536040" w:rsidRPr="007017EB" w:rsidRDefault="00536040" w:rsidP="007017EB">
    <w:pPr>
      <w:pStyle w:val="Header"/>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tblInd w:w="18" w:type="dxa"/>
      <w:tblLook w:val="04A0" w:firstRow="1" w:lastRow="0" w:firstColumn="1" w:lastColumn="0" w:noHBand="0" w:noVBand="1"/>
    </w:tblPr>
    <w:tblGrid>
      <w:gridCol w:w="3713"/>
      <w:gridCol w:w="2424"/>
      <w:gridCol w:w="3493"/>
    </w:tblGrid>
    <w:tr w:rsidR="00536040" w:rsidRPr="00563CB8" w14:paraId="20DF974F" w14:textId="77777777">
      <w:tc>
        <w:tcPr>
          <w:tcW w:w="3713" w:type="dxa"/>
          <w:shd w:val="clear" w:color="auto" w:fill="auto"/>
        </w:tcPr>
        <w:p w14:paraId="2E1D6FC4" w14:textId="77777777" w:rsidR="00536040" w:rsidRPr="00563CB8" w:rsidRDefault="00536040" w:rsidP="007017EB">
          <w:pPr>
            <w:pStyle w:val="PageHeader"/>
          </w:pPr>
          <w:r w:rsidRPr="00563CB8">
            <w:t xml:space="preserve">NYS </w:t>
          </w:r>
          <w:r w:rsidRPr="00E946A0">
            <w:t>Common</w:t>
          </w:r>
          <w:r w:rsidRPr="00563CB8">
            <w:t xml:space="preserve"> Core ELA &amp; Literacy Curriculum</w:t>
          </w:r>
        </w:p>
      </w:tc>
      <w:tc>
        <w:tcPr>
          <w:tcW w:w="2424" w:type="dxa"/>
          <w:shd w:val="clear" w:color="auto" w:fill="auto"/>
          <w:vAlign w:val="center"/>
        </w:tcPr>
        <w:p w14:paraId="3A556BF9" w14:textId="77777777" w:rsidR="00536040" w:rsidRPr="00563CB8" w:rsidRDefault="00536040" w:rsidP="007017EB">
          <w:pPr>
            <w:jc w:val="center"/>
          </w:pPr>
        </w:p>
      </w:tc>
      <w:tc>
        <w:tcPr>
          <w:tcW w:w="3493" w:type="dxa"/>
          <w:shd w:val="clear" w:color="auto" w:fill="auto"/>
        </w:tcPr>
        <w:p w14:paraId="7A1C0B04" w14:textId="77777777" w:rsidR="00536040" w:rsidRPr="00E946A0" w:rsidRDefault="00536040" w:rsidP="007017EB">
          <w:pPr>
            <w:pStyle w:val="PageHeader"/>
            <w:jc w:val="right"/>
            <w:rPr>
              <w:b w:val="0"/>
            </w:rPr>
          </w:pPr>
          <w:r>
            <w:rPr>
              <w:b w:val="0"/>
            </w:rPr>
            <w:t>Grade 12 • Module 3 • Unit 1 • Lesson 3</w:t>
          </w:r>
        </w:p>
      </w:tc>
    </w:tr>
  </w:tbl>
  <w:p w14:paraId="3CBC791B" w14:textId="77777777" w:rsidR="00536040" w:rsidRPr="007017EB" w:rsidRDefault="00536040"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B5871"/>
    <w:multiLevelType w:val="hybridMultilevel"/>
    <w:tmpl w:val="6DE41BB4"/>
    <w:lvl w:ilvl="0" w:tplc="BD48EB60">
      <w:start w:val="5"/>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A45EA0"/>
    <w:multiLevelType w:val="hybridMultilevel"/>
    <w:tmpl w:val="C5165D56"/>
    <w:lvl w:ilvl="0" w:tplc="B8426094">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3A71B18"/>
    <w:multiLevelType w:val="hybridMultilevel"/>
    <w:tmpl w:val="21D2E66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1C952C4A"/>
    <w:multiLevelType w:val="hybridMultilevel"/>
    <w:tmpl w:val="770A18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90723C9"/>
    <w:multiLevelType w:val="hybridMultilevel"/>
    <w:tmpl w:val="0C9276E8"/>
    <w:lvl w:ilvl="0" w:tplc="857EC24A">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CF61EF1"/>
    <w:multiLevelType w:val="hybridMultilevel"/>
    <w:tmpl w:val="8B16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FC21CB5"/>
    <w:multiLevelType w:val="hybridMultilevel"/>
    <w:tmpl w:val="DF566B6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B74376"/>
    <w:multiLevelType w:val="hybridMultilevel"/>
    <w:tmpl w:val="901635F2"/>
    <w:lvl w:ilvl="0" w:tplc="90C44BD4">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64B4FB1"/>
    <w:multiLevelType w:val="hybridMultilevel"/>
    <w:tmpl w:val="04B4ACA0"/>
    <w:lvl w:ilvl="0" w:tplc="C87AA2EC">
      <w:start w:val="4"/>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B1732A"/>
    <w:multiLevelType w:val="hybridMultilevel"/>
    <w:tmpl w:val="2CD8C274"/>
    <w:lvl w:ilvl="0" w:tplc="892E0C7A">
      <w:start w:val="2"/>
      <w:numFmt w:val="lowerLetter"/>
      <w:pStyle w:val="SubStandard"/>
      <w:lvlText w:val="%1."/>
      <w:lvlJc w:val="left"/>
      <w:pPr>
        <w:ind w:left="360" w:hanging="360"/>
      </w:pPr>
      <w:rPr>
        <w:rFonts w:hint="default"/>
        <w:b w:val="0"/>
        <w:i w:val="0"/>
        <w:color w:val="000000" w:themeColor="text1"/>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761317BE"/>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0"/>
    <w:lvlOverride w:ilvl="0">
      <w:startOverride w:val="1"/>
    </w:lvlOverride>
  </w:num>
  <w:num w:numId="2">
    <w:abstractNumId w:val="10"/>
    <w:lvlOverride w:ilvl="0">
      <w:startOverride w:val="1"/>
    </w:lvlOverride>
  </w:num>
  <w:num w:numId="3">
    <w:abstractNumId w:val="13"/>
  </w:num>
  <w:num w:numId="4">
    <w:abstractNumId w:val="17"/>
  </w:num>
  <w:num w:numId="5">
    <w:abstractNumId w:val="2"/>
  </w:num>
  <w:num w:numId="6">
    <w:abstractNumId w:val="19"/>
  </w:num>
  <w:num w:numId="7">
    <w:abstractNumId w:val="10"/>
    <w:lvlOverride w:ilvl="0">
      <w:startOverride w:val="1"/>
    </w:lvlOverride>
  </w:num>
  <w:num w:numId="8">
    <w:abstractNumId w:val="21"/>
  </w:num>
  <w:num w:numId="9">
    <w:abstractNumId w:val="3"/>
  </w:num>
  <w:num w:numId="10">
    <w:abstractNumId w:val="18"/>
  </w:num>
  <w:num w:numId="11">
    <w:abstractNumId w:val="22"/>
  </w:num>
  <w:num w:numId="12">
    <w:abstractNumId w:val="10"/>
  </w:num>
  <w:num w:numId="13">
    <w:abstractNumId w:val="10"/>
    <w:lvlOverride w:ilvl="0">
      <w:startOverride w:val="1"/>
    </w:lvlOverride>
  </w:num>
  <w:num w:numId="14">
    <w:abstractNumId w:val="8"/>
    <w:lvlOverride w:ilvl="0">
      <w:startOverride w:val="1"/>
    </w:lvlOverride>
  </w:num>
  <w:num w:numId="15">
    <w:abstractNumId w:val="21"/>
  </w:num>
  <w:num w:numId="16">
    <w:abstractNumId w:val="5"/>
  </w:num>
  <w:num w:numId="17">
    <w:abstractNumId w:val="1"/>
  </w:num>
  <w:num w:numId="18">
    <w:abstractNumId w:val="4"/>
  </w:num>
  <w:num w:numId="19">
    <w:abstractNumId w:val="20"/>
  </w:num>
  <w:num w:numId="20">
    <w:abstractNumId w:val="22"/>
    <w:lvlOverride w:ilvl="0">
      <w:startOverride w:val="3"/>
    </w:lvlOverride>
  </w:num>
  <w:num w:numId="21">
    <w:abstractNumId w:val="22"/>
    <w:lvlOverride w:ilvl="0">
      <w:startOverride w:val="1"/>
    </w:lvlOverride>
  </w:num>
  <w:num w:numId="22">
    <w:abstractNumId w:val="12"/>
  </w:num>
  <w:num w:numId="23">
    <w:abstractNumId w:val="23"/>
  </w:num>
  <w:num w:numId="24">
    <w:abstractNumId w:val="22"/>
    <w:lvlOverride w:ilvl="0">
      <w:startOverride w:val="3"/>
    </w:lvlOverride>
  </w:num>
  <w:num w:numId="25">
    <w:abstractNumId w:val="7"/>
  </w:num>
  <w:num w:numId="26">
    <w:abstractNumId w:val="14"/>
  </w:num>
  <w:num w:numId="27">
    <w:abstractNumId w:val="15"/>
  </w:num>
  <w:num w:numId="28">
    <w:abstractNumId w:val="6"/>
  </w:num>
  <w:num w:numId="29">
    <w:abstractNumId w:val="16"/>
  </w:num>
  <w:num w:numId="30">
    <w:abstractNumId w:val="0"/>
  </w:num>
  <w:num w:numId="31">
    <w:abstractNumId w:val="1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D8D"/>
    <w:rsid w:val="0000222B"/>
    <w:rsid w:val="000047D0"/>
    <w:rsid w:val="00007B84"/>
    <w:rsid w:val="0001051A"/>
    <w:rsid w:val="00010B2B"/>
    <w:rsid w:val="000302AA"/>
    <w:rsid w:val="00032B05"/>
    <w:rsid w:val="00035444"/>
    <w:rsid w:val="00044E13"/>
    <w:rsid w:val="0004796E"/>
    <w:rsid w:val="000526FC"/>
    <w:rsid w:val="00054262"/>
    <w:rsid w:val="0005756F"/>
    <w:rsid w:val="00065687"/>
    <w:rsid w:val="000700C6"/>
    <w:rsid w:val="00073B7F"/>
    <w:rsid w:val="00076216"/>
    <w:rsid w:val="00076AE8"/>
    <w:rsid w:val="00092B03"/>
    <w:rsid w:val="000A3699"/>
    <w:rsid w:val="000A36CC"/>
    <w:rsid w:val="000B2910"/>
    <w:rsid w:val="000B3273"/>
    <w:rsid w:val="000B3A6F"/>
    <w:rsid w:val="000B4276"/>
    <w:rsid w:val="000C038E"/>
    <w:rsid w:val="000C0F3C"/>
    <w:rsid w:val="000C1047"/>
    <w:rsid w:val="000C7F7E"/>
    <w:rsid w:val="000D04F3"/>
    <w:rsid w:val="000D28A3"/>
    <w:rsid w:val="000D7FDB"/>
    <w:rsid w:val="000F1B6D"/>
    <w:rsid w:val="000F311B"/>
    <w:rsid w:val="000F61DD"/>
    <w:rsid w:val="001037A3"/>
    <w:rsid w:val="00105026"/>
    <w:rsid w:val="00113C34"/>
    <w:rsid w:val="00114432"/>
    <w:rsid w:val="00114572"/>
    <w:rsid w:val="0011500B"/>
    <w:rsid w:val="00117E4B"/>
    <w:rsid w:val="001270F4"/>
    <w:rsid w:val="00137C21"/>
    <w:rsid w:val="00144238"/>
    <w:rsid w:val="00144B97"/>
    <w:rsid w:val="00152B04"/>
    <w:rsid w:val="001558B2"/>
    <w:rsid w:val="00160651"/>
    <w:rsid w:val="00167D8D"/>
    <w:rsid w:val="00171386"/>
    <w:rsid w:val="001735F1"/>
    <w:rsid w:val="0017415D"/>
    <w:rsid w:val="001816E6"/>
    <w:rsid w:val="0018336F"/>
    <w:rsid w:val="001846B3"/>
    <w:rsid w:val="00184721"/>
    <w:rsid w:val="00187FE2"/>
    <w:rsid w:val="001948C7"/>
    <w:rsid w:val="0019661A"/>
    <w:rsid w:val="00196988"/>
    <w:rsid w:val="00197205"/>
    <w:rsid w:val="001A13D5"/>
    <w:rsid w:val="001A5E64"/>
    <w:rsid w:val="001B056D"/>
    <w:rsid w:val="001B1809"/>
    <w:rsid w:val="001C1C6C"/>
    <w:rsid w:val="001D63E9"/>
    <w:rsid w:val="001E4CFF"/>
    <w:rsid w:val="001E7361"/>
    <w:rsid w:val="001F2786"/>
    <w:rsid w:val="00203D04"/>
    <w:rsid w:val="00206161"/>
    <w:rsid w:val="00206472"/>
    <w:rsid w:val="002067D2"/>
    <w:rsid w:val="00210071"/>
    <w:rsid w:val="0021275E"/>
    <w:rsid w:val="0021588F"/>
    <w:rsid w:val="002177D6"/>
    <w:rsid w:val="00222AAE"/>
    <w:rsid w:val="00223E10"/>
    <w:rsid w:val="00224812"/>
    <w:rsid w:val="00224E1C"/>
    <w:rsid w:val="00224F7F"/>
    <w:rsid w:val="002259F2"/>
    <w:rsid w:val="002262CB"/>
    <w:rsid w:val="0022657A"/>
    <w:rsid w:val="00231532"/>
    <w:rsid w:val="00231A91"/>
    <w:rsid w:val="00232126"/>
    <w:rsid w:val="00242DC3"/>
    <w:rsid w:val="002443F3"/>
    <w:rsid w:val="00247EB4"/>
    <w:rsid w:val="002526B3"/>
    <w:rsid w:val="00255536"/>
    <w:rsid w:val="00257E7C"/>
    <w:rsid w:val="00271E62"/>
    <w:rsid w:val="002752C6"/>
    <w:rsid w:val="00276652"/>
    <w:rsid w:val="00282D07"/>
    <w:rsid w:val="00282F46"/>
    <w:rsid w:val="00283FDA"/>
    <w:rsid w:val="002922E0"/>
    <w:rsid w:val="00292E99"/>
    <w:rsid w:val="002953D8"/>
    <w:rsid w:val="0029633D"/>
    <w:rsid w:val="002A2E14"/>
    <w:rsid w:val="002A30D6"/>
    <w:rsid w:val="002B3DFF"/>
    <w:rsid w:val="002B6804"/>
    <w:rsid w:val="002C13BD"/>
    <w:rsid w:val="002C6219"/>
    <w:rsid w:val="002E7DE5"/>
    <w:rsid w:val="002F046F"/>
    <w:rsid w:val="002F435F"/>
    <w:rsid w:val="002F53FF"/>
    <w:rsid w:val="0030106C"/>
    <w:rsid w:val="0030659C"/>
    <w:rsid w:val="003146AE"/>
    <w:rsid w:val="00314ECF"/>
    <w:rsid w:val="00316999"/>
    <w:rsid w:val="00317353"/>
    <w:rsid w:val="00320D56"/>
    <w:rsid w:val="00324058"/>
    <w:rsid w:val="0032459E"/>
    <w:rsid w:val="00325EDA"/>
    <w:rsid w:val="003266EF"/>
    <w:rsid w:val="00326CC7"/>
    <w:rsid w:val="00341F48"/>
    <w:rsid w:val="00343008"/>
    <w:rsid w:val="00345DA0"/>
    <w:rsid w:val="003503BC"/>
    <w:rsid w:val="00350753"/>
    <w:rsid w:val="00356D14"/>
    <w:rsid w:val="00362D26"/>
    <w:rsid w:val="00372064"/>
    <w:rsid w:val="00381E8B"/>
    <w:rsid w:val="00384B40"/>
    <w:rsid w:val="003863E5"/>
    <w:rsid w:val="00386910"/>
    <w:rsid w:val="003870A1"/>
    <w:rsid w:val="003974D7"/>
    <w:rsid w:val="003A0C90"/>
    <w:rsid w:val="003B17EF"/>
    <w:rsid w:val="003B68ED"/>
    <w:rsid w:val="003B7325"/>
    <w:rsid w:val="003B7390"/>
    <w:rsid w:val="003B747C"/>
    <w:rsid w:val="003D40DA"/>
    <w:rsid w:val="003D46ED"/>
    <w:rsid w:val="003D6DE9"/>
    <w:rsid w:val="003E0E75"/>
    <w:rsid w:val="003E2442"/>
    <w:rsid w:val="003E5D0F"/>
    <w:rsid w:val="0040558B"/>
    <w:rsid w:val="0040761D"/>
    <w:rsid w:val="00414D6D"/>
    <w:rsid w:val="004213D1"/>
    <w:rsid w:val="00426317"/>
    <w:rsid w:val="0043248C"/>
    <w:rsid w:val="0043379D"/>
    <w:rsid w:val="0043460D"/>
    <w:rsid w:val="00434689"/>
    <w:rsid w:val="00445E70"/>
    <w:rsid w:val="004468EC"/>
    <w:rsid w:val="004475D1"/>
    <w:rsid w:val="00450311"/>
    <w:rsid w:val="00452620"/>
    <w:rsid w:val="0045682C"/>
    <w:rsid w:val="004575B7"/>
    <w:rsid w:val="0046176D"/>
    <w:rsid w:val="004656E5"/>
    <w:rsid w:val="00474AC1"/>
    <w:rsid w:val="00480607"/>
    <w:rsid w:val="00485F66"/>
    <w:rsid w:val="004864DA"/>
    <w:rsid w:val="00487D48"/>
    <w:rsid w:val="004921B4"/>
    <w:rsid w:val="004925B9"/>
    <w:rsid w:val="00495373"/>
    <w:rsid w:val="00497DFC"/>
    <w:rsid w:val="004A6BBB"/>
    <w:rsid w:val="004B08A9"/>
    <w:rsid w:val="004B3EF9"/>
    <w:rsid w:val="004C5B1B"/>
    <w:rsid w:val="004D3424"/>
    <w:rsid w:val="004D6AE9"/>
    <w:rsid w:val="004E2AE9"/>
    <w:rsid w:val="004E6071"/>
    <w:rsid w:val="004E6767"/>
    <w:rsid w:val="004F12EF"/>
    <w:rsid w:val="004F19F3"/>
    <w:rsid w:val="005000BC"/>
    <w:rsid w:val="0050373B"/>
    <w:rsid w:val="0051317E"/>
    <w:rsid w:val="005201A9"/>
    <w:rsid w:val="005201DF"/>
    <w:rsid w:val="00520C31"/>
    <w:rsid w:val="00530380"/>
    <w:rsid w:val="005331FE"/>
    <w:rsid w:val="0053541D"/>
    <w:rsid w:val="0053566B"/>
    <w:rsid w:val="00536040"/>
    <w:rsid w:val="00545C0B"/>
    <w:rsid w:val="005474BA"/>
    <w:rsid w:val="0054786E"/>
    <w:rsid w:val="00552A91"/>
    <w:rsid w:val="005618DB"/>
    <w:rsid w:val="00574DD3"/>
    <w:rsid w:val="0057776E"/>
    <w:rsid w:val="00581233"/>
    <w:rsid w:val="00583098"/>
    <w:rsid w:val="005909CE"/>
    <w:rsid w:val="0059213E"/>
    <w:rsid w:val="00592869"/>
    <w:rsid w:val="00594A97"/>
    <w:rsid w:val="005A06B9"/>
    <w:rsid w:val="005B0E65"/>
    <w:rsid w:val="005B38C6"/>
    <w:rsid w:val="005B441B"/>
    <w:rsid w:val="005B795F"/>
    <w:rsid w:val="005C1B8F"/>
    <w:rsid w:val="005C3523"/>
    <w:rsid w:val="005C4608"/>
    <w:rsid w:val="005D01A3"/>
    <w:rsid w:val="005D0673"/>
    <w:rsid w:val="005E5E79"/>
    <w:rsid w:val="005F4866"/>
    <w:rsid w:val="00603227"/>
    <w:rsid w:val="006130E2"/>
    <w:rsid w:val="00613C2F"/>
    <w:rsid w:val="00621758"/>
    <w:rsid w:val="00622392"/>
    <w:rsid w:val="006264B4"/>
    <w:rsid w:val="00627969"/>
    <w:rsid w:val="00632281"/>
    <w:rsid w:val="00635AAC"/>
    <w:rsid w:val="00635CCF"/>
    <w:rsid w:val="00637878"/>
    <w:rsid w:val="006419BD"/>
    <w:rsid w:val="006458A0"/>
    <w:rsid w:val="00650E7F"/>
    <w:rsid w:val="00652036"/>
    <w:rsid w:val="00657B1C"/>
    <w:rsid w:val="0066693A"/>
    <w:rsid w:val="00667F4C"/>
    <w:rsid w:val="006711DE"/>
    <w:rsid w:val="006770CE"/>
    <w:rsid w:val="00690DE9"/>
    <w:rsid w:val="006912B1"/>
    <w:rsid w:val="0069711A"/>
    <w:rsid w:val="006A19DA"/>
    <w:rsid w:val="006A5CB3"/>
    <w:rsid w:val="006A616E"/>
    <w:rsid w:val="006C139A"/>
    <w:rsid w:val="006C3BB0"/>
    <w:rsid w:val="006C5F80"/>
    <w:rsid w:val="006E06E9"/>
    <w:rsid w:val="006E3C89"/>
    <w:rsid w:val="006F3643"/>
    <w:rsid w:val="006F4251"/>
    <w:rsid w:val="006F65A7"/>
    <w:rsid w:val="007017EB"/>
    <w:rsid w:val="007053A6"/>
    <w:rsid w:val="0070683D"/>
    <w:rsid w:val="00725DF2"/>
    <w:rsid w:val="00730546"/>
    <w:rsid w:val="007306F4"/>
    <w:rsid w:val="00733A52"/>
    <w:rsid w:val="00734940"/>
    <w:rsid w:val="00734FC2"/>
    <w:rsid w:val="00734FC6"/>
    <w:rsid w:val="00737440"/>
    <w:rsid w:val="00742569"/>
    <w:rsid w:val="007434B2"/>
    <w:rsid w:val="007542A8"/>
    <w:rsid w:val="00754576"/>
    <w:rsid w:val="00763D41"/>
    <w:rsid w:val="00767D8E"/>
    <w:rsid w:val="00770B88"/>
    <w:rsid w:val="00771427"/>
    <w:rsid w:val="0078144A"/>
    <w:rsid w:val="00790B63"/>
    <w:rsid w:val="00790BCC"/>
    <w:rsid w:val="007A27E0"/>
    <w:rsid w:val="007A4385"/>
    <w:rsid w:val="007A5A4C"/>
    <w:rsid w:val="007A78BE"/>
    <w:rsid w:val="007B0CC6"/>
    <w:rsid w:val="007C0D2B"/>
    <w:rsid w:val="007C1BEB"/>
    <w:rsid w:val="007D2598"/>
    <w:rsid w:val="007D560F"/>
    <w:rsid w:val="007E484F"/>
    <w:rsid w:val="00801288"/>
    <w:rsid w:val="00816C6B"/>
    <w:rsid w:val="00816F39"/>
    <w:rsid w:val="00821F56"/>
    <w:rsid w:val="00823163"/>
    <w:rsid w:val="008233E3"/>
    <w:rsid w:val="0082699C"/>
    <w:rsid w:val="00827049"/>
    <w:rsid w:val="00840EFD"/>
    <w:rsid w:val="0084281A"/>
    <w:rsid w:val="008472AB"/>
    <w:rsid w:val="00855E55"/>
    <w:rsid w:val="0086535C"/>
    <w:rsid w:val="008733D7"/>
    <w:rsid w:val="008907F0"/>
    <w:rsid w:val="008929F5"/>
    <w:rsid w:val="00897F26"/>
    <w:rsid w:val="008A3EA7"/>
    <w:rsid w:val="008A5D16"/>
    <w:rsid w:val="008A7109"/>
    <w:rsid w:val="008B0596"/>
    <w:rsid w:val="008C0C77"/>
    <w:rsid w:val="008D6C20"/>
    <w:rsid w:val="008D7C8B"/>
    <w:rsid w:val="008E0122"/>
    <w:rsid w:val="008E4083"/>
    <w:rsid w:val="008E7852"/>
    <w:rsid w:val="008F3C4F"/>
    <w:rsid w:val="00902CF8"/>
    <w:rsid w:val="00903E76"/>
    <w:rsid w:val="009059D2"/>
    <w:rsid w:val="00912F62"/>
    <w:rsid w:val="0091619E"/>
    <w:rsid w:val="009162F7"/>
    <w:rsid w:val="00917380"/>
    <w:rsid w:val="00920B6A"/>
    <w:rsid w:val="00920C2F"/>
    <w:rsid w:val="00921674"/>
    <w:rsid w:val="009372CC"/>
    <w:rsid w:val="00937C99"/>
    <w:rsid w:val="009404BC"/>
    <w:rsid w:val="0094128B"/>
    <w:rsid w:val="009450B7"/>
    <w:rsid w:val="009450F1"/>
    <w:rsid w:val="009540E2"/>
    <w:rsid w:val="0095793B"/>
    <w:rsid w:val="009603C5"/>
    <w:rsid w:val="00967D14"/>
    <w:rsid w:val="00970A58"/>
    <w:rsid w:val="00972403"/>
    <w:rsid w:val="00973651"/>
    <w:rsid w:val="00974381"/>
    <w:rsid w:val="0098069E"/>
    <w:rsid w:val="00980E8C"/>
    <w:rsid w:val="00983093"/>
    <w:rsid w:val="00990E05"/>
    <w:rsid w:val="009948E6"/>
    <w:rsid w:val="00995BE0"/>
    <w:rsid w:val="009A2592"/>
    <w:rsid w:val="009A2C73"/>
    <w:rsid w:val="009B079B"/>
    <w:rsid w:val="009B204B"/>
    <w:rsid w:val="009D793E"/>
    <w:rsid w:val="009E3EAD"/>
    <w:rsid w:val="00A2256B"/>
    <w:rsid w:val="00A24DD2"/>
    <w:rsid w:val="00A2591E"/>
    <w:rsid w:val="00A27090"/>
    <w:rsid w:val="00A33DF3"/>
    <w:rsid w:val="00A35EA1"/>
    <w:rsid w:val="00A55DF4"/>
    <w:rsid w:val="00A57227"/>
    <w:rsid w:val="00A6365E"/>
    <w:rsid w:val="00A66B14"/>
    <w:rsid w:val="00A742AE"/>
    <w:rsid w:val="00A77B7D"/>
    <w:rsid w:val="00A77BFF"/>
    <w:rsid w:val="00A9051C"/>
    <w:rsid w:val="00A91816"/>
    <w:rsid w:val="00AA2A5C"/>
    <w:rsid w:val="00AA6112"/>
    <w:rsid w:val="00AA6B67"/>
    <w:rsid w:val="00AB0E7D"/>
    <w:rsid w:val="00AB5048"/>
    <w:rsid w:val="00AB758D"/>
    <w:rsid w:val="00AC4C58"/>
    <w:rsid w:val="00AD6933"/>
    <w:rsid w:val="00AE185E"/>
    <w:rsid w:val="00AE4383"/>
    <w:rsid w:val="00AF32FD"/>
    <w:rsid w:val="00AF4B8D"/>
    <w:rsid w:val="00B034F7"/>
    <w:rsid w:val="00B06049"/>
    <w:rsid w:val="00B07784"/>
    <w:rsid w:val="00B12BD4"/>
    <w:rsid w:val="00B148E2"/>
    <w:rsid w:val="00B1782A"/>
    <w:rsid w:val="00B23221"/>
    <w:rsid w:val="00B240C0"/>
    <w:rsid w:val="00B249DE"/>
    <w:rsid w:val="00B31DD2"/>
    <w:rsid w:val="00B346D8"/>
    <w:rsid w:val="00B34FFA"/>
    <w:rsid w:val="00B3726C"/>
    <w:rsid w:val="00B469A7"/>
    <w:rsid w:val="00B470F6"/>
    <w:rsid w:val="00B60FC3"/>
    <w:rsid w:val="00B65124"/>
    <w:rsid w:val="00B82311"/>
    <w:rsid w:val="00B9201D"/>
    <w:rsid w:val="00B97A50"/>
    <w:rsid w:val="00BA13BE"/>
    <w:rsid w:val="00BA16E4"/>
    <w:rsid w:val="00BA179F"/>
    <w:rsid w:val="00BA287C"/>
    <w:rsid w:val="00BA2B24"/>
    <w:rsid w:val="00BA41C1"/>
    <w:rsid w:val="00BA4EAC"/>
    <w:rsid w:val="00BA5F98"/>
    <w:rsid w:val="00BA6719"/>
    <w:rsid w:val="00BB0385"/>
    <w:rsid w:val="00BB0C43"/>
    <w:rsid w:val="00BB5CA4"/>
    <w:rsid w:val="00BC22FA"/>
    <w:rsid w:val="00BC27C0"/>
    <w:rsid w:val="00BD1B01"/>
    <w:rsid w:val="00BD41D7"/>
    <w:rsid w:val="00BD55E8"/>
    <w:rsid w:val="00BE47CC"/>
    <w:rsid w:val="00BE4AE1"/>
    <w:rsid w:val="00BE5B1D"/>
    <w:rsid w:val="00BE7F7C"/>
    <w:rsid w:val="00BF1DA3"/>
    <w:rsid w:val="00BF3596"/>
    <w:rsid w:val="00BF368B"/>
    <w:rsid w:val="00C129FA"/>
    <w:rsid w:val="00C131B4"/>
    <w:rsid w:val="00C13CD7"/>
    <w:rsid w:val="00C15D66"/>
    <w:rsid w:val="00C16B8B"/>
    <w:rsid w:val="00C178B5"/>
    <w:rsid w:val="00C206E8"/>
    <w:rsid w:val="00C2288A"/>
    <w:rsid w:val="00C27655"/>
    <w:rsid w:val="00C35DA8"/>
    <w:rsid w:val="00C36006"/>
    <w:rsid w:val="00C370F3"/>
    <w:rsid w:val="00C5268D"/>
    <w:rsid w:val="00C606DA"/>
    <w:rsid w:val="00C70A8F"/>
    <w:rsid w:val="00C77F6B"/>
    <w:rsid w:val="00C8172E"/>
    <w:rsid w:val="00C91887"/>
    <w:rsid w:val="00CA0ACF"/>
    <w:rsid w:val="00CB5AAB"/>
    <w:rsid w:val="00CB5B05"/>
    <w:rsid w:val="00CB6C7E"/>
    <w:rsid w:val="00CC55CB"/>
    <w:rsid w:val="00CD0616"/>
    <w:rsid w:val="00CD7FBB"/>
    <w:rsid w:val="00CE3C64"/>
    <w:rsid w:val="00CE54F4"/>
    <w:rsid w:val="00CE6775"/>
    <w:rsid w:val="00D02523"/>
    <w:rsid w:val="00D069F1"/>
    <w:rsid w:val="00D134FE"/>
    <w:rsid w:val="00D152A0"/>
    <w:rsid w:val="00D15AA3"/>
    <w:rsid w:val="00D15B22"/>
    <w:rsid w:val="00D16385"/>
    <w:rsid w:val="00D201D7"/>
    <w:rsid w:val="00D31F4D"/>
    <w:rsid w:val="00D3360A"/>
    <w:rsid w:val="00D33664"/>
    <w:rsid w:val="00D43571"/>
    <w:rsid w:val="00D45057"/>
    <w:rsid w:val="00D4790B"/>
    <w:rsid w:val="00D47E9A"/>
    <w:rsid w:val="00D511CB"/>
    <w:rsid w:val="00D532E3"/>
    <w:rsid w:val="00D62665"/>
    <w:rsid w:val="00D63532"/>
    <w:rsid w:val="00D66C04"/>
    <w:rsid w:val="00D705FC"/>
    <w:rsid w:val="00D71CD9"/>
    <w:rsid w:val="00D81F46"/>
    <w:rsid w:val="00D81F63"/>
    <w:rsid w:val="00D84F72"/>
    <w:rsid w:val="00D925AC"/>
    <w:rsid w:val="00D953FD"/>
    <w:rsid w:val="00D96456"/>
    <w:rsid w:val="00DB06C4"/>
    <w:rsid w:val="00DB22E8"/>
    <w:rsid w:val="00DB5220"/>
    <w:rsid w:val="00DB56A4"/>
    <w:rsid w:val="00DC2957"/>
    <w:rsid w:val="00DC660E"/>
    <w:rsid w:val="00DD2475"/>
    <w:rsid w:val="00DD7A80"/>
    <w:rsid w:val="00DE43AD"/>
    <w:rsid w:val="00DF38D3"/>
    <w:rsid w:val="00DF54DC"/>
    <w:rsid w:val="00E01EEB"/>
    <w:rsid w:val="00E03FCB"/>
    <w:rsid w:val="00E04477"/>
    <w:rsid w:val="00E21653"/>
    <w:rsid w:val="00E30603"/>
    <w:rsid w:val="00E32420"/>
    <w:rsid w:val="00E37344"/>
    <w:rsid w:val="00E41C57"/>
    <w:rsid w:val="00E45D9A"/>
    <w:rsid w:val="00E528E7"/>
    <w:rsid w:val="00E56E7C"/>
    <w:rsid w:val="00E606E0"/>
    <w:rsid w:val="00E71B2E"/>
    <w:rsid w:val="00E72A0A"/>
    <w:rsid w:val="00E75BE4"/>
    <w:rsid w:val="00E7712B"/>
    <w:rsid w:val="00E905AB"/>
    <w:rsid w:val="00E933B4"/>
    <w:rsid w:val="00E95B47"/>
    <w:rsid w:val="00EA2B33"/>
    <w:rsid w:val="00EA44D0"/>
    <w:rsid w:val="00EA5069"/>
    <w:rsid w:val="00EA74B5"/>
    <w:rsid w:val="00EB1A72"/>
    <w:rsid w:val="00EB2365"/>
    <w:rsid w:val="00EB49E1"/>
    <w:rsid w:val="00EB5D4D"/>
    <w:rsid w:val="00EC719F"/>
    <w:rsid w:val="00EE1833"/>
    <w:rsid w:val="00EE1F03"/>
    <w:rsid w:val="00EE2EAA"/>
    <w:rsid w:val="00EE4AEC"/>
    <w:rsid w:val="00EE621A"/>
    <w:rsid w:val="00EE6D60"/>
    <w:rsid w:val="00EF3369"/>
    <w:rsid w:val="00EF3A51"/>
    <w:rsid w:val="00F05159"/>
    <w:rsid w:val="00F2354A"/>
    <w:rsid w:val="00F2366E"/>
    <w:rsid w:val="00F30521"/>
    <w:rsid w:val="00F42978"/>
    <w:rsid w:val="00F47DAA"/>
    <w:rsid w:val="00F522F5"/>
    <w:rsid w:val="00F5354E"/>
    <w:rsid w:val="00F65472"/>
    <w:rsid w:val="00F833C1"/>
    <w:rsid w:val="00F838CC"/>
    <w:rsid w:val="00F846DF"/>
    <w:rsid w:val="00F877D8"/>
    <w:rsid w:val="00F87FED"/>
    <w:rsid w:val="00F92590"/>
    <w:rsid w:val="00F927E2"/>
    <w:rsid w:val="00F92AA4"/>
    <w:rsid w:val="00FA01BA"/>
    <w:rsid w:val="00FA4546"/>
    <w:rsid w:val="00FB23D8"/>
    <w:rsid w:val="00FB5F05"/>
    <w:rsid w:val="00FC11F4"/>
    <w:rsid w:val="00FC19A3"/>
    <w:rsid w:val="00FC75B0"/>
    <w:rsid w:val="00FD2376"/>
    <w:rsid w:val="00FD4EFA"/>
    <w:rsid w:val="00FD5A37"/>
    <w:rsid w:val="00FE1BE2"/>
    <w:rsid w:val="00FF3ACC"/>
    <w:rsid w:val="00FF638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3D927E"/>
  <w15:docId w15:val="{2116E413-9F63-4972-8F7B-FF0921A3D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pPr>
    <w:rPr>
      <w:sz w:val="22"/>
      <w:szCs w:val="22"/>
    </w:rPr>
  </w:style>
  <w:style w:type="paragraph" w:customStyle="1" w:styleId="PageHeader">
    <w:name w:val="*PageHeader"/>
    <w:link w:val="PageHeaderChar"/>
    <w:qFormat/>
    <w:rsid w:val="00C5268D"/>
    <w:pPr>
      <w:spacing w:before="120"/>
    </w:pPr>
    <w:rPr>
      <w:b/>
      <w:sz w:val="18"/>
      <w:szCs w:val="22"/>
    </w:rPr>
  </w:style>
  <w:style w:type="character" w:customStyle="1" w:styleId="PageHeaderChar">
    <w:name w:val="*PageHeader Char"/>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line="200" w:lineRule="exact"/>
    </w:pPr>
    <w:rPr>
      <w:rFonts w:eastAsia="Verdana" w:cs="Calibri"/>
      <w:b/>
      <w:color w:val="595959"/>
      <w:sz w:val="14"/>
      <w:szCs w:val="22"/>
    </w:rPr>
  </w:style>
  <w:style w:type="character" w:customStyle="1" w:styleId="folioChar">
    <w:name w:val="folio Char"/>
    <w:link w:val="folio"/>
    <w:rsid w:val="00C5268D"/>
    <w:rPr>
      <w:rFonts w:ascii="Verdana" w:eastAsia="Verdana" w:hAnsi="Verdana" w:cs="Verdana"/>
      <w:color w:val="595959"/>
      <w:sz w:val="16"/>
    </w:rPr>
  </w:style>
  <w:style w:type="character" w:customStyle="1" w:styleId="FooterTextChar">
    <w:name w:val="FooterText 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pBdr>
      <w:spacing w:after="360"/>
      <w:ind w:left="2880" w:right="2880"/>
    </w:pPr>
    <w:rPr>
      <w:sz w:val="18"/>
      <w:szCs w:val="22"/>
    </w:rPr>
  </w:style>
  <w:style w:type="character" w:customStyle="1" w:styleId="BRChar">
    <w:name w:val="*BR* Char"/>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sz w:val="22"/>
      <w:szCs w:val="22"/>
    </w:rPr>
  </w:style>
  <w:style w:type="character" w:customStyle="1" w:styleId="BulletedListChar">
    <w:name w:val="*Bulleted List Char"/>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Calibri Light" w:hAnsi="Calibri Light"/>
      <w:b/>
    </w:rPr>
  </w:style>
  <w:style w:type="character" w:customStyle="1" w:styleId="ExcerptAuthorChar">
    <w:name w:val="*ExcerptAuthor Char"/>
    <w:link w:val="ExcerptAuthor"/>
    <w:rsid w:val="00C5268D"/>
    <w:rPr>
      <w:rFonts w:ascii="Calibri Light" w:eastAsia="Calibri" w:hAnsi="Calibri Light"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Calibri Light" w:hAnsi="Calibri Light"/>
      <w:b/>
      <w:smallCaps/>
      <w:sz w:val="32"/>
    </w:rPr>
  </w:style>
  <w:style w:type="character" w:customStyle="1" w:styleId="ExcerptTitleChar">
    <w:name w:val="*ExcerptTitle Char"/>
    <w:link w:val="ExcerptTitle"/>
    <w:rsid w:val="00C5268D"/>
    <w:rPr>
      <w:rFonts w:ascii="Calibri Light" w:eastAsia="Calibri" w:hAnsi="Calibri Light" w:cs="Times New Roman"/>
      <w:b/>
      <w:smallCaps/>
      <w:sz w:val="32"/>
    </w:rPr>
  </w:style>
  <w:style w:type="paragraph" w:customStyle="1" w:styleId="IN">
    <w:name w:val="*IN*"/>
    <w:link w:val="INChar"/>
    <w:qFormat/>
    <w:rsid w:val="00B06049"/>
    <w:pPr>
      <w:numPr>
        <w:numId w:val="5"/>
      </w:numPr>
      <w:spacing w:before="120" w:after="60" w:line="276" w:lineRule="auto"/>
      <w:ind w:left="360"/>
    </w:pPr>
    <w:rPr>
      <w:color w:val="4F81BD"/>
      <w:sz w:val="22"/>
      <w:szCs w:val="22"/>
    </w:rPr>
  </w:style>
  <w:style w:type="character" w:customStyle="1" w:styleId="INChar">
    <w:name w:val="*IN* Char"/>
    <w:link w:val="IN"/>
    <w:rsid w:val="00B06049"/>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color w:val="4F81BD"/>
      <w:sz w:val="22"/>
      <w:szCs w:val="22"/>
    </w:rPr>
  </w:style>
  <w:style w:type="character" w:customStyle="1" w:styleId="INBulletChar">
    <w:name w:val="*IN* Bullet 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C5268D"/>
    <w:rPr>
      <w:rFonts w:eastAsia="Calibri" w:cs="Times New Roman"/>
      <w:b/>
      <w:bCs/>
      <w:color w:val="4F81BD"/>
      <w:sz w:val="28"/>
      <w:szCs w:val="26"/>
    </w:rPr>
  </w:style>
  <w:style w:type="character" w:customStyle="1" w:styleId="NumberedListChar">
    <w:name w:val="*Numbered List Char"/>
    <w:link w:val="NumberedList"/>
    <w:rsid w:val="00C5268D"/>
    <w:rPr>
      <w:rFonts w:ascii="Calibri" w:eastAsia="Calibri" w:hAnsi="Calibri" w:cs="Times New Roman"/>
    </w:rPr>
  </w:style>
  <w:style w:type="paragraph" w:customStyle="1" w:styleId="Q">
    <w:name w:val="*Q*"/>
    <w:link w:val="QChar"/>
    <w:qFormat/>
    <w:rsid w:val="00C5268D"/>
    <w:pPr>
      <w:spacing w:before="240" w:line="276" w:lineRule="auto"/>
    </w:pPr>
    <w:rPr>
      <w:b/>
      <w:sz w:val="22"/>
      <w:szCs w:val="22"/>
    </w:rPr>
  </w:style>
  <w:style w:type="character" w:customStyle="1" w:styleId="QChar">
    <w:name w:val="*Q* Char"/>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line="276" w:lineRule="auto"/>
    </w:pPr>
    <w:rPr>
      <w:sz w:val="22"/>
      <w:szCs w:val="22"/>
    </w:rPr>
  </w:style>
  <w:style w:type="character" w:customStyle="1" w:styleId="SAChar">
    <w:name w:val="*SA* Char"/>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line="276" w:lineRule="auto"/>
      <w:ind w:left="720"/>
    </w:pPr>
    <w:rPr>
      <w:sz w:val="22"/>
      <w:szCs w:val="22"/>
    </w:rPr>
  </w:style>
  <w:style w:type="character" w:customStyle="1" w:styleId="SRChar">
    <w:name w:val="*SR* Char"/>
    <w:link w:val="SR"/>
    <w:rsid w:val="00D43571"/>
    <w:rPr>
      <w:rFonts w:ascii="Calibri" w:eastAsia="Calibri" w:hAnsi="Calibri" w:cs="Times New Roman"/>
    </w:rPr>
  </w:style>
  <w:style w:type="paragraph" w:customStyle="1" w:styleId="TableText">
    <w:name w:val="*TableText"/>
    <w:link w:val="TableTextChar"/>
    <w:uiPriority w:val="99"/>
    <w:qFormat/>
    <w:rsid w:val="00C5268D"/>
    <w:pPr>
      <w:spacing w:before="40" w:after="40" w:line="276" w:lineRule="auto"/>
    </w:pPr>
    <w:rPr>
      <w:sz w:val="22"/>
      <w:szCs w:val="22"/>
    </w:rPr>
  </w:style>
  <w:style w:type="character" w:customStyle="1" w:styleId="TableTextChar">
    <w:name w:val="*TableText Char"/>
    <w:link w:val="TableText"/>
    <w:uiPriority w:val="99"/>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link w:val="SubStandard"/>
    <w:rsid w:val="00C5268D"/>
    <w:rPr>
      <w:sz w:val="22"/>
      <w:szCs w:val="22"/>
    </w:rPr>
  </w:style>
  <w:style w:type="paragraph" w:customStyle="1" w:styleId="TA">
    <w:name w:val="*TA*"/>
    <w:link w:val="TAChar"/>
    <w:qFormat/>
    <w:rsid w:val="00C5268D"/>
    <w:pPr>
      <w:spacing w:before="180" w:after="180"/>
    </w:pPr>
    <w:rPr>
      <w:sz w:val="22"/>
      <w:szCs w:val="22"/>
    </w:rPr>
  </w:style>
  <w:style w:type="character" w:customStyle="1" w:styleId="TAChar">
    <w:name w:val="*TA* Char"/>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rPr>
  </w:style>
  <w:style w:type="character" w:customStyle="1" w:styleId="TableHeadersChar">
    <w:name w:val="*TableHeaders Char"/>
    <w:link w:val="TableHeaders"/>
    <w:rsid w:val="00C5268D"/>
    <w:rPr>
      <w:rFonts w:ascii="Calibri" w:eastAsia="Calibri" w:hAnsi="Calibri" w:cs="Times New Roman"/>
      <w:b/>
      <w:color w:val="FFFFFF"/>
    </w:rPr>
  </w:style>
  <w:style w:type="paragraph" w:customStyle="1" w:styleId="ToolHeader">
    <w:name w:val="*ToolHeader"/>
    <w:qFormat/>
    <w:rsid w:val="00C5268D"/>
    <w:pPr>
      <w:spacing w:after="120"/>
    </w:pPr>
    <w:rPr>
      <w:b/>
      <w:bCs/>
      <w:color w:val="365F91"/>
      <w:sz w:val="32"/>
      <w:szCs w:val="28"/>
    </w:rPr>
  </w:style>
  <w:style w:type="paragraph" w:customStyle="1" w:styleId="ToolTableText">
    <w:name w:val="*ToolTableText"/>
    <w:link w:val="ToolTableTextChar"/>
    <w:qFormat/>
    <w:rsid w:val="00C5268D"/>
    <w:pPr>
      <w:spacing w:before="40" w:after="120"/>
    </w:pPr>
    <w:rPr>
      <w:sz w:val="22"/>
      <w:szCs w:val="22"/>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link w:val="FootnoteText"/>
    <w:uiPriority w:val="99"/>
    <w:semiHidden/>
    <w:rsid w:val="00C5268D"/>
    <w:rPr>
      <w:rFonts w:ascii="Calibri" w:eastAsia="Calibri" w:hAnsi="Calibri" w:cs="Times New Roman"/>
      <w:sz w:val="20"/>
    </w:rPr>
  </w:style>
  <w:style w:type="paragraph" w:customStyle="1" w:styleId="Header-banner">
    <w:name w:val="Header-banner"/>
    <w:rsid w:val="00D31F4D"/>
    <w:pPr>
      <w:ind w:left="43" w:right="43"/>
      <w:jc w:val="center"/>
    </w:pPr>
    <w:rPr>
      <w:rFonts w:cs="Calibri"/>
      <w:b/>
      <w:bCs/>
      <w:caps/>
      <w:color w:val="FFFFFF"/>
      <w:sz w:val="44"/>
      <w:szCs w:val="22"/>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link w:val="MediumList2-Accent41"/>
    <w:uiPriority w:val="34"/>
    <w:rsid w:val="00C5268D"/>
    <w:rPr>
      <w:rFonts w:ascii="Calibri" w:eastAsia="Calibri" w:hAnsi="Calibri" w:cs="Times New Roman"/>
    </w:rPr>
  </w:style>
  <w:style w:type="paragraph" w:customStyle="1" w:styleId="NoSpacing1">
    <w:name w:val="No Spacing1"/>
    <w:link w:val="NoSpacingChar"/>
    <w:rsid w:val="00C5268D"/>
    <w:rPr>
      <w:rFonts w:ascii="Tahoma" w:hAnsi="Tahoma"/>
      <w:sz w:val="19"/>
      <w:szCs w:val="22"/>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rPr>
  </w:style>
  <w:style w:type="paragraph" w:customStyle="1" w:styleId="DCwithSA">
    <w:name w:val="*DC* with *SA*"/>
    <w:basedOn w:val="SA"/>
    <w:qFormat/>
    <w:rsid w:val="00FD4EFA"/>
    <w:rPr>
      <w:color w:val="4F81BD"/>
    </w:rPr>
  </w:style>
  <w:style w:type="paragraph" w:customStyle="1" w:styleId="DCwithSR">
    <w:name w:val="*DC* with *SR*"/>
    <w:basedOn w:val="SR"/>
    <w:qFormat/>
    <w:rsid w:val="001735F1"/>
    <w:pPr>
      <w:numPr>
        <w:numId w:val="16"/>
      </w:numPr>
      <w:ind w:left="720"/>
    </w:pPr>
    <w:rPr>
      <w:color w:val="4F81BD"/>
    </w:rPr>
  </w:style>
  <w:style w:type="character" w:styleId="Emphasis">
    <w:name w:val="Emphasis"/>
    <w:uiPriority w:val="20"/>
    <w:qFormat/>
    <w:rsid w:val="00FC75B0"/>
    <w:rPr>
      <w:i/>
      <w:iCs/>
    </w:rPr>
  </w:style>
  <w:style w:type="paragraph" w:styleId="Revision">
    <w:name w:val="Revision"/>
    <w:hidden/>
    <w:uiPriority w:val="99"/>
    <w:semiHidden/>
    <w:rsid w:val="00D02523"/>
    <w:rPr>
      <w:sz w:val="22"/>
      <w:szCs w:val="22"/>
    </w:rPr>
  </w:style>
  <w:style w:type="paragraph" w:customStyle="1" w:styleId="PageHeader0">
    <w:name w:val="Page Header"/>
    <w:basedOn w:val="BodyText"/>
    <w:link w:val="PageHeaderChar0"/>
    <w:qFormat/>
    <w:rsid w:val="007C1BEB"/>
    <w:rPr>
      <w:b/>
      <w:sz w:val="18"/>
    </w:rPr>
  </w:style>
  <w:style w:type="character" w:customStyle="1" w:styleId="PageHeaderChar0">
    <w:name w:val="Page Header Char"/>
    <w:link w:val="PageHeader0"/>
    <w:rsid w:val="007C1BEB"/>
    <w:rPr>
      <w:b/>
      <w:sz w:val="18"/>
      <w:szCs w:val="22"/>
    </w:rPr>
  </w:style>
  <w:style w:type="character" w:customStyle="1" w:styleId="ToolTableTextChar">
    <w:name w:val="*ToolTableText Char"/>
    <w:basedOn w:val="DefaultParagraphFont"/>
    <w:link w:val="ToolTableText"/>
    <w:rsid w:val="00BA179F"/>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882773">
      <w:bodyDiv w:val="1"/>
      <w:marLeft w:val="0"/>
      <w:marRight w:val="0"/>
      <w:marTop w:val="0"/>
      <w:marBottom w:val="0"/>
      <w:divBdr>
        <w:top w:val="none" w:sz="0" w:space="0" w:color="auto"/>
        <w:left w:val="none" w:sz="0" w:space="0" w:color="auto"/>
        <w:bottom w:val="none" w:sz="0" w:space="0" w:color="auto"/>
        <w:right w:val="none" w:sz="0" w:space="0" w:color="auto"/>
      </w:divBdr>
      <w:divsChild>
        <w:div w:id="1079868240">
          <w:marLeft w:val="0"/>
          <w:marRight w:val="0"/>
          <w:marTop w:val="0"/>
          <w:marBottom w:val="0"/>
          <w:divBdr>
            <w:top w:val="none" w:sz="0" w:space="0" w:color="auto"/>
            <w:left w:val="none" w:sz="0" w:space="0" w:color="auto"/>
            <w:bottom w:val="none" w:sz="0" w:space="0" w:color="auto"/>
            <w:right w:val="none" w:sz="0" w:space="0" w:color="auto"/>
          </w:divBdr>
        </w:div>
        <w:div w:id="1338070817">
          <w:marLeft w:val="0"/>
          <w:marRight w:val="0"/>
          <w:marTop w:val="0"/>
          <w:marBottom w:val="0"/>
          <w:divBdr>
            <w:top w:val="none" w:sz="0" w:space="0" w:color="auto"/>
            <w:left w:val="none" w:sz="0" w:space="0" w:color="auto"/>
            <w:bottom w:val="none" w:sz="0" w:space="0" w:color="auto"/>
            <w:right w:val="none" w:sz="0" w:space="0" w:color="auto"/>
          </w:divBdr>
        </w:div>
      </w:divsChild>
    </w:div>
    <w:div w:id="1122923631">
      <w:bodyDiv w:val="1"/>
      <w:marLeft w:val="0"/>
      <w:marRight w:val="0"/>
      <w:marTop w:val="0"/>
      <w:marBottom w:val="0"/>
      <w:divBdr>
        <w:top w:val="none" w:sz="0" w:space="0" w:color="auto"/>
        <w:left w:val="none" w:sz="0" w:space="0" w:color="auto"/>
        <w:bottom w:val="none" w:sz="0" w:space="0" w:color="auto"/>
        <w:right w:val="none" w:sz="0" w:space="0" w:color="auto"/>
      </w:divBdr>
    </w:div>
    <w:div w:id="1561400660">
      <w:bodyDiv w:val="1"/>
      <w:marLeft w:val="0"/>
      <w:marRight w:val="0"/>
      <w:marTop w:val="0"/>
      <w:marBottom w:val="0"/>
      <w:divBdr>
        <w:top w:val="none" w:sz="0" w:space="0" w:color="auto"/>
        <w:left w:val="none" w:sz="0" w:space="0" w:color="auto"/>
        <w:bottom w:val="none" w:sz="0" w:space="0" w:color="auto"/>
        <w:right w:val="none" w:sz="0" w:space="0" w:color="auto"/>
      </w:divBdr>
      <w:divsChild>
        <w:div w:id="990013676">
          <w:marLeft w:val="0"/>
          <w:marRight w:val="0"/>
          <w:marTop w:val="0"/>
          <w:marBottom w:val="0"/>
          <w:divBdr>
            <w:top w:val="none" w:sz="0" w:space="0" w:color="auto"/>
            <w:left w:val="none" w:sz="0" w:space="0" w:color="auto"/>
            <w:bottom w:val="none" w:sz="0" w:space="0" w:color="auto"/>
            <w:right w:val="none" w:sz="0" w:space="0" w:color="auto"/>
          </w:divBdr>
          <w:divsChild>
            <w:div w:id="1150636496">
              <w:marLeft w:val="0"/>
              <w:marRight w:val="0"/>
              <w:marTop w:val="0"/>
              <w:marBottom w:val="0"/>
              <w:divBdr>
                <w:top w:val="none" w:sz="0" w:space="0" w:color="auto"/>
                <w:left w:val="none" w:sz="0" w:space="0" w:color="auto"/>
                <w:bottom w:val="none" w:sz="0" w:space="0" w:color="auto"/>
                <w:right w:val="none" w:sz="0" w:space="0" w:color="auto"/>
              </w:divBdr>
              <w:divsChild>
                <w:div w:id="1787506773">
                  <w:marLeft w:val="0"/>
                  <w:marRight w:val="0"/>
                  <w:marTop w:val="0"/>
                  <w:marBottom w:val="0"/>
                  <w:divBdr>
                    <w:top w:val="none" w:sz="0" w:space="0" w:color="auto"/>
                    <w:left w:val="none" w:sz="0" w:space="0" w:color="auto"/>
                    <w:bottom w:val="none" w:sz="0" w:space="0" w:color="auto"/>
                    <w:right w:val="none" w:sz="0" w:space="0" w:color="auto"/>
                  </w:divBdr>
                  <w:divsChild>
                    <w:div w:id="522479746">
                      <w:marLeft w:val="0"/>
                      <w:marRight w:val="0"/>
                      <w:marTop w:val="0"/>
                      <w:marBottom w:val="0"/>
                      <w:divBdr>
                        <w:top w:val="none" w:sz="0" w:space="0" w:color="auto"/>
                        <w:left w:val="none" w:sz="0" w:space="0" w:color="auto"/>
                        <w:bottom w:val="none" w:sz="0" w:space="0" w:color="auto"/>
                        <w:right w:val="none" w:sz="0" w:space="0" w:color="auto"/>
                      </w:divBdr>
                      <w:divsChild>
                        <w:div w:id="1022171218">
                          <w:marLeft w:val="0"/>
                          <w:marRight w:val="0"/>
                          <w:marTop w:val="15"/>
                          <w:marBottom w:val="0"/>
                          <w:divBdr>
                            <w:top w:val="none" w:sz="0" w:space="0" w:color="auto"/>
                            <w:left w:val="none" w:sz="0" w:space="0" w:color="auto"/>
                            <w:bottom w:val="none" w:sz="0" w:space="0" w:color="auto"/>
                            <w:right w:val="none" w:sz="0" w:space="0" w:color="auto"/>
                          </w:divBdr>
                          <w:divsChild>
                            <w:div w:id="2045404559">
                              <w:marLeft w:val="0"/>
                              <w:marRight w:val="0"/>
                              <w:marTop w:val="0"/>
                              <w:marBottom w:val="0"/>
                              <w:divBdr>
                                <w:top w:val="none" w:sz="0" w:space="0" w:color="auto"/>
                                <w:left w:val="none" w:sz="0" w:space="0" w:color="auto"/>
                                <w:bottom w:val="none" w:sz="0" w:space="0" w:color="auto"/>
                                <w:right w:val="none" w:sz="0" w:space="0" w:color="auto"/>
                              </w:divBdr>
                              <w:divsChild>
                                <w:div w:id="8069774">
                                  <w:marLeft w:val="0"/>
                                  <w:marRight w:val="0"/>
                                  <w:marTop w:val="0"/>
                                  <w:marBottom w:val="0"/>
                                  <w:divBdr>
                                    <w:top w:val="none" w:sz="0" w:space="0" w:color="auto"/>
                                    <w:left w:val="none" w:sz="0" w:space="0" w:color="auto"/>
                                    <w:bottom w:val="none" w:sz="0" w:space="0" w:color="auto"/>
                                    <w:right w:val="none" w:sz="0" w:space="0" w:color="auto"/>
                                  </w:divBdr>
                                </w:div>
                                <w:div w:id="923105294">
                                  <w:marLeft w:val="0"/>
                                  <w:marRight w:val="0"/>
                                  <w:marTop w:val="0"/>
                                  <w:marBottom w:val="0"/>
                                  <w:divBdr>
                                    <w:top w:val="none" w:sz="0" w:space="0" w:color="auto"/>
                                    <w:left w:val="none" w:sz="0" w:space="0" w:color="auto"/>
                                    <w:bottom w:val="none" w:sz="0" w:space="0" w:color="auto"/>
                                    <w:right w:val="none" w:sz="0" w:space="0" w:color="auto"/>
                                  </w:divBdr>
                                </w:div>
                                <w:div w:id="1744451294">
                                  <w:marLeft w:val="0"/>
                                  <w:marRight w:val="0"/>
                                  <w:marTop w:val="0"/>
                                  <w:marBottom w:val="0"/>
                                  <w:divBdr>
                                    <w:top w:val="none" w:sz="0" w:space="0" w:color="auto"/>
                                    <w:left w:val="none" w:sz="0" w:space="0" w:color="auto"/>
                                    <w:bottom w:val="none" w:sz="0" w:space="0" w:color="auto"/>
                                    <w:right w:val="none" w:sz="0" w:space="0" w:color="auto"/>
                                  </w:divBdr>
                                </w:div>
                                <w:div w:id="1922176631">
                                  <w:marLeft w:val="0"/>
                                  <w:marRight w:val="0"/>
                                  <w:marTop w:val="0"/>
                                  <w:marBottom w:val="0"/>
                                  <w:divBdr>
                                    <w:top w:val="none" w:sz="0" w:space="0" w:color="auto"/>
                                    <w:left w:val="none" w:sz="0" w:space="0" w:color="auto"/>
                                    <w:bottom w:val="none" w:sz="0" w:space="0" w:color="auto"/>
                                    <w:right w:val="none" w:sz="0" w:space="0" w:color="auto"/>
                                  </w:divBdr>
                                </w:div>
                                <w:div w:id="1478231021">
                                  <w:marLeft w:val="0"/>
                                  <w:marRight w:val="0"/>
                                  <w:marTop w:val="0"/>
                                  <w:marBottom w:val="0"/>
                                  <w:divBdr>
                                    <w:top w:val="none" w:sz="0" w:space="0" w:color="auto"/>
                                    <w:left w:val="none" w:sz="0" w:space="0" w:color="auto"/>
                                    <w:bottom w:val="none" w:sz="0" w:space="0" w:color="auto"/>
                                    <w:right w:val="none" w:sz="0" w:space="0" w:color="auto"/>
                                  </w:divBdr>
                                </w:div>
                                <w:div w:id="774061236">
                                  <w:marLeft w:val="0"/>
                                  <w:marRight w:val="0"/>
                                  <w:marTop w:val="0"/>
                                  <w:marBottom w:val="0"/>
                                  <w:divBdr>
                                    <w:top w:val="none" w:sz="0" w:space="0" w:color="auto"/>
                                    <w:left w:val="none" w:sz="0" w:space="0" w:color="auto"/>
                                    <w:bottom w:val="none" w:sz="0" w:space="0" w:color="auto"/>
                                    <w:right w:val="none" w:sz="0" w:space="0" w:color="auto"/>
                                  </w:divBdr>
                                </w:div>
                                <w:div w:id="1365401731">
                                  <w:marLeft w:val="0"/>
                                  <w:marRight w:val="0"/>
                                  <w:marTop w:val="0"/>
                                  <w:marBottom w:val="0"/>
                                  <w:divBdr>
                                    <w:top w:val="none" w:sz="0" w:space="0" w:color="auto"/>
                                    <w:left w:val="none" w:sz="0" w:space="0" w:color="auto"/>
                                    <w:bottom w:val="none" w:sz="0" w:space="0" w:color="auto"/>
                                    <w:right w:val="none" w:sz="0" w:space="0" w:color="auto"/>
                                  </w:divBdr>
                                </w:div>
                                <w:div w:id="63271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16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4B2F2-460B-469A-8EEC-3961AE90A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6210</Words>
  <Characters>35403</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41530</CharactersWithSpaces>
  <SharedDoc>false</SharedDoc>
  <HyperlinkBase/>
  <HLinks>
    <vt:vector size="6" baseType="variant">
      <vt:variant>
        <vt:i4>4587611</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2</cp:revision>
  <dcterms:created xsi:type="dcterms:W3CDTF">2015-04-02T22:32:00Z</dcterms:created>
  <dcterms:modified xsi:type="dcterms:W3CDTF">2015-04-02T22:32:00Z</dcterms:modified>
</cp:coreProperties>
</file>