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4B0167AA" w14:textId="77777777" w:rsidTr="00282F46">
        <w:trPr>
          <w:trHeight w:val="1008"/>
        </w:trPr>
        <w:tc>
          <w:tcPr>
            <w:tcW w:w="1980" w:type="dxa"/>
            <w:shd w:val="clear" w:color="auto" w:fill="385623"/>
            <w:vAlign w:val="center"/>
          </w:tcPr>
          <w:p w14:paraId="785B25E0" w14:textId="77777777" w:rsidR="00790BCC" w:rsidRPr="0043460D" w:rsidRDefault="00180693" w:rsidP="00D31F4D">
            <w:pPr>
              <w:pStyle w:val="Header-banner"/>
            </w:pPr>
            <w:r>
              <w:t>12.3.1</w:t>
            </w:r>
          </w:p>
        </w:tc>
        <w:tc>
          <w:tcPr>
            <w:tcW w:w="7470" w:type="dxa"/>
            <w:shd w:val="clear" w:color="auto" w:fill="76923C"/>
            <w:vAlign w:val="center"/>
          </w:tcPr>
          <w:p w14:paraId="5BC90CEB" w14:textId="77777777" w:rsidR="00790BCC" w:rsidRPr="0043460D" w:rsidRDefault="00180693" w:rsidP="00D31F4D">
            <w:pPr>
              <w:pStyle w:val="Header2banner"/>
            </w:pPr>
            <w:r>
              <w:t>Lesson 18</w:t>
            </w:r>
          </w:p>
        </w:tc>
      </w:tr>
    </w:tbl>
    <w:p w14:paraId="0FF2CBDD" w14:textId="77777777" w:rsidR="00790BCC" w:rsidRPr="00790BCC" w:rsidRDefault="00790BCC" w:rsidP="00D31F4D">
      <w:pPr>
        <w:pStyle w:val="Heading1"/>
      </w:pPr>
      <w:r w:rsidRPr="00790BCC">
        <w:t>Introduction</w:t>
      </w:r>
    </w:p>
    <w:p w14:paraId="70838E5C" w14:textId="69C78EBF" w:rsidR="001B42DD" w:rsidRPr="002C656F" w:rsidRDefault="001B42DD" w:rsidP="007F4A94">
      <w:r w:rsidRPr="002C656F">
        <w:t xml:space="preserve">In this lesson, students learn how to evaluate an evidence-based argument. </w:t>
      </w:r>
      <w:r w:rsidR="00305080" w:rsidRPr="002C656F">
        <w:t>Students learn to identify</w:t>
      </w:r>
      <w:r w:rsidR="00AC026B" w:rsidRPr="002C656F">
        <w:t xml:space="preserve"> and assess</w:t>
      </w:r>
      <w:r w:rsidR="00305080" w:rsidRPr="002C656F">
        <w:t xml:space="preserve"> the necessary components of a</w:t>
      </w:r>
      <w:r w:rsidR="00EC3749" w:rsidRPr="002C656F">
        <w:t xml:space="preserve">n effective </w:t>
      </w:r>
      <w:r w:rsidR="00305080" w:rsidRPr="002C656F">
        <w:t>argument</w:t>
      </w:r>
      <w:r w:rsidRPr="002C656F">
        <w:t xml:space="preserve">. This work prepares students to begin forming their own evidence-based arguments in 12.3.2. </w:t>
      </w:r>
    </w:p>
    <w:p w14:paraId="01F95EA7" w14:textId="4BCB15CD" w:rsidR="001B42DD" w:rsidRPr="002C656F" w:rsidRDefault="001B42DD" w:rsidP="001B42DD">
      <w:r w:rsidRPr="002C656F">
        <w:t xml:space="preserve">Students begin the lesson </w:t>
      </w:r>
      <w:r w:rsidR="00345F60" w:rsidRPr="002C656F">
        <w:t xml:space="preserve">with a brief discussion </w:t>
      </w:r>
      <w:r w:rsidR="00AE6FEE" w:rsidRPr="002C656F">
        <w:t xml:space="preserve">about the components of </w:t>
      </w:r>
      <w:r w:rsidR="00EC3749" w:rsidRPr="002C656F">
        <w:t>an effective</w:t>
      </w:r>
      <w:r w:rsidR="00345F60" w:rsidRPr="002C656F">
        <w:t xml:space="preserve"> argument</w:t>
      </w:r>
      <w:r w:rsidR="00AE6FEE" w:rsidRPr="002C656F">
        <w:t>.</w:t>
      </w:r>
      <w:r w:rsidR="005C1C5F" w:rsidRPr="002C656F">
        <w:t xml:space="preserve"> </w:t>
      </w:r>
      <w:r w:rsidR="00CE7F7A" w:rsidRPr="002C656F">
        <w:t>Small groups of s</w:t>
      </w:r>
      <w:r w:rsidRPr="002C656F">
        <w:t>tudents then examine</w:t>
      </w:r>
      <w:r w:rsidR="0045138E" w:rsidRPr="002C656F">
        <w:t xml:space="preserve"> two </w:t>
      </w:r>
      <w:r w:rsidRPr="002C656F">
        <w:t>evidence-based arguments</w:t>
      </w:r>
      <w:r w:rsidR="00E169C3" w:rsidRPr="002C656F">
        <w:t>,</w:t>
      </w:r>
      <w:r w:rsidRPr="002C656F">
        <w:t xml:space="preserve"> assessing the quality of each argument using the Evidence-Based Arguments Checklist. Student learning is assessed via completion of the Evidence-Based Arguments Checklist, which students submit with their evaluation notes at the end of the lesson.</w:t>
      </w:r>
    </w:p>
    <w:p w14:paraId="0B6C4C59" w14:textId="6AD153D0" w:rsidR="001A6F92" w:rsidRPr="002C656F" w:rsidRDefault="001B42DD" w:rsidP="001B42DD">
      <w:r w:rsidRPr="002C656F">
        <w:t xml:space="preserve">For homework, students </w:t>
      </w:r>
      <w:r w:rsidR="001A6F92" w:rsidRPr="001A6F92">
        <w:t>find two potential sources and evaluate the arguments in the sources using the Evide</w:t>
      </w:r>
      <w:r w:rsidR="001A6F92">
        <w:t>nce-Based Arguments Checklist. S</w:t>
      </w:r>
      <w:r w:rsidR="001A6F92" w:rsidRPr="001A6F92">
        <w:t xml:space="preserve">tudents include detailed comments and textual evidence to support their choices in the </w:t>
      </w:r>
      <w:r w:rsidR="001A6F92">
        <w:t>“</w:t>
      </w:r>
      <w:r w:rsidR="001A6F92" w:rsidRPr="001A6F92">
        <w:t>Comments</w:t>
      </w:r>
      <w:r w:rsidR="001A6F92">
        <w:t>”</w:t>
      </w:r>
      <w:r w:rsidR="001A6F92" w:rsidRPr="001A6F92">
        <w:t xml:space="preserve"> section of the Evidence-Based Arguments Checklist for each potential source.</w:t>
      </w:r>
    </w:p>
    <w:p w14:paraId="5D0C20AA" w14:textId="7B8945B9" w:rsidR="00790BCC" w:rsidRPr="00790BCC" w:rsidRDefault="00790BCC" w:rsidP="00D31F4D">
      <w:pPr>
        <w:pStyle w:val="Heading1"/>
      </w:pPr>
      <w:r w:rsidRPr="002C656F">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790BCC" w14:paraId="0A44E93B" w14:textId="77777777" w:rsidTr="00282F46">
        <w:tc>
          <w:tcPr>
            <w:tcW w:w="9450" w:type="dxa"/>
            <w:gridSpan w:val="2"/>
            <w:shd w:val="clear" w:color="auto" w:fill="76923C"/>
          </w:tcPr>
          <w:p w14:paraId="354DF1E0" w14:textId="77777777" w:rsidR="00790BCC" w:rsidRPr="0043460D" w:rsidRDefault="00790BCC" w:rsidP="007017EB">
            <w:pPr>
              <w:pStyle w:val="TableHeaders"/>
            </w:pPr>
            <w:r w:rsidRPr="0043460D">
              <w:t>Assessed Standard(s)</w:t>
            </w:r>
          </w:p>
        </w:tc>
      </w:tr>
      <w:tr w:rsidR="00761980" w:rsidRPr="00790BCC" w14:paraId="01276420" w14:textId="77777777" w:rsidTr="00221D38">
        <w:tc>
          <w:tcPr>
            <w:tcW w:w="1329" w:type="dxa"/>
          </w:tcPr>
          <w:p w14:paraId="10B44185" w14:textId="77777777" w:rsidR="00761980" w:rsidRPr="00761980" w:rsidRDefault="00761980" w:rsidP="00836043">
            <w:pPr>
              <w:pStyle w:val="TableText"/>
              <w:rPr>
                <w:rFonts w:ascii="Times New Roman" w:hAnsi="Times New Roman"/>
                <w:sz w:val="24"/>
                <w:szCs w:val="24"/>
              </w:rPr>
            </w:pPr>
            <w:r w:rsidRPr="00180693">
              <w:t>CCRA.</w:t>
            </w:r>
            <w:r>
              <w:t>R.</w:t>
            </w:r>
            <w:r w:rsidRPr="00180693">
              <w:t>8</w:t>
            </w:r>
          </w:p>
        </w:tc>
        <w:tc>
          <w:tcPr>
            <w:tcW w:w="8121" w:type="dxa"/>
          </w:tcPr>
          <w:p w14:paraId="6E4250EC" w14:textId="77777777" w:rsidR="00761980" w:rsidRPr="00564620" w:rsidRDefault="00761980" w:rsidP="00540662">
            <w:pPr>
              <w:pStyle w:val="TableText"/>
            </w:pPr>
            <w:r w:rsidRPr="00564620">
              <w:t>Delineate and evaluate the argument and specific claims in a text, including the validity of the reasoning as well as the relevance and sufficiency of the evidence.</w:t>
            </w:r>
          </w:p>
        </w:tc>
      </w:tr>
      <w:tr w:rsidR="00761980" w:rsidRPr="00790BCC" w14:paraId="5698E230" w14:textId="77777777" w:rsidTr="00282F46">
        <w:tc>
          <w:tcPr>
            <w:tcW w:w="1329" w:type="dxa"/>
          </w:tcPr>
          <w:p w14:paraId="5F38D2CD" w14:textId="77777777" w:rsidR="00761980" w:rsidRPr="00180693" w:rsidRDefault="00761980" w:rsidP="00836043">
            <w:pPr>
              <w:pStyle w:val="TableText"/>
            </w:pPr>
            <w:r>
              <w:t>W.11-12.8</w:t>
            </w:r>
          </w:p>
        </w:tc>
        <w:tc>
          <w:tcPr>
            <w:tcW w:w="8121" w:type="dxa"/>
          </w:tcPr>
          <w:p w14:paraId="21FBDEA3" w14:textId="77777777" w:rsidR="00761980" w:rsidRPr="00564620" w:rsidRDefault="00761980" w:rsidP="00540662">
            <w:pPr>
              <w:pStyle w:val="TableText"/>
            </w:pPr>
            <w:r w:rsidRPr="00564620">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r>
      <w:tr w:rsidR="00790BCC" w:rsidRPr="00790BCC" w14:paraId="687A08B8" w14:textId="77777777" w:rsidTr="00282F46">
        <w:tc>
          <w:tcPr>
            <w:tcW w:w="9450" w:type="dxa"/>
            <w:gridSpan w:val="2"/>
            <w:shd w:val="clear" w:color="auto" w:fill="76923C"/>
          </w:tcPr>
          <w:p w14:paraId="422A3683" w14:textId="77777777" w:rsidR="00790BCC" w:rsidRPr="0043460D" w:rsidRDefault="00790BCC" w:rsidP="007017EB">
            <w:pPr>
              <w:pStyle w:val="TableHeaders"/>
            </w:pPr>
            <w:r w:rsidRPr="0043460D">
              <w:t>Addressed Standard(s)</w:t>
            </w:r>
          </w:p>
        </w:tc>
      </w:tr>
      <w:tr w:rsidR="00790BCC" w:rsidRPr="00790BCC" w14:paraId="029DCD89" w14:textId="77777777" w:rsidTr="00282F46">
        <w:tc>
          <w:tcPr>
            <w:tcW w:w="1329" w:type="dxa"/>
          </w:tcPr>
          <w:p w14:paraId="2CAD5F79" w14:textId="77777777" w:rsidR="00790BCC" w:rsidRPr="00790BCC" w:rsidRDefault="00180693" w:rsidP="007017EB">
            <w:pPr>
              <w:pStyle w:val="TableText"/>
            </w:pPr>
            <w:r>
              <w:t>W.11-12.7</w:t>
            </w:r>
          </w:p>
        </w:tc>
        <w:tc>
          <w:tcPr>
            <w:tcW w:w="8121" w:type="dxa"/>
          </w:tcPr>
          <w:p w14:paraId="12347CA0" w14:textId="77777777" w:rsidR="00790BCC" w:rsidRPr="00790BCC" w:rsidRDefault="008F5A57" w:rsidP="00D31F4D">
            <w:pPr>
              <w:pStyle w:val="TableText"/>
            </w:pPr>
            <w:r w:rsidRPr="00564620">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B053DE" w:rsidRPr="00790BCC" w14:paraId="3B7B988C" w14:textId="77777777" w:rsidTr="00282F46">
        <w:tc>
          <w:tcPr>
            <w:tcW w:w="1329" w:type="dxa"/>
          </w:tcPr>
          <w:p w14:paraId="7AE2B837" w14:textId="77777777" w:rsidR="00B053DE" w:rsidRPr="00564620" w:rsidRDefault="00B053DE" w:rsidP="00540662">
            <w:pPr>
              <w:pStyle w:val="TableText"/>
            </w:pPr>
            <w:r w:rsidRPr="00564620">
              <w:lastRenderedPageBreak/>
              <w:t>SL.11-12.1</w:t>
            </w:r>
          </w:p>
        </w:tc>
        <w:tc>
          <w:tcPr>
            <w:tcW w:w="8121" w:type="dxa"/>
          </w:tcPr>
          <w:p w14:paraId="66C1FFB4" w14:textId="77777777" w:rsidR="00B053DE" w:rsidRPr="00564620" w:rsidRDefault="00B053DE" w:rsidP="00540662">
            <w:pPr>
              <w:pStyle w:val="TableText"/>
            </w:pPr>
            <w:r w:rsidRPr="00564620">
              <w:t xml:space="preserve">Initiate and participate effectively in a range of collaborative discussions (one-on-one, in groups, and teacher-led) with diverse partners on </w:t>
            </w:r>
            <w:r w:rsidRPr="00EE58F3">
              <w:rPr>
                <w:i/>
                <w:iCs/>
              </w:rPr>
              <w:t>grades 11–12 topics</w:t>
            </w:r>
            <w:r w:rsidRPr="005512A0">
              <w:t xml:space="preserve">, </w:t>
            </w:r>
            <w:r w:rsidRPr="00EE58F3">
              <w:rPr>
                <w:i/>
                <w:iCs/>
              </w:rPr>
              <w:t>texts</w:t>
            </w:r>
            <w:r w:rsidRPr="005512A0">
              <w:t xml:space="preserve">, </w:t>
            </w:r>
            <w:r w:rsidRPr="00EE58F3">
              <w:rPr>
                <w:i/>
                <w:iCs/>
              </w:rPr>
              <w:t>and issues</w:t>
            </w:r>
            <w:r w:rsidRPr="005512A0">
              <w:t>,</w:t>
            </w:r>
            <w:r w:rsidRPr="00564620">
              <w:t xml:space="preserve"> building on others’ ideas and expressing their own clearly and persuasively.</w:t>
            </w:r>
          </w:p>
        </w:tc>
      </w:tr>
    </w:tbl>
    <w:p w14:paraId="0F980BE1"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AC00C5" w14:paraId="111D1F9F" w14:textId="77777777" w:rsidTr="00282F46">
        <w:tc>
          <w:tcPr>
            <w:tcW w:w="9450" w:type="dxa"/>
            <w:shd w:val="clear" w:color="auto" w:fill="76923C"/>
          </w:tcPr>
          <w:p w14:paraId="570C621F" w14:textId="77777777" w:rsidR="00790BCC" w:rsidRPr="00AC00C5" w:rsidRDefault="00790BCC" w:rsidP="007017EB">
            <w:pPr>
              <w:pStyle w:val="TableHeaders"/>
            </w:pPr>
            <w:r w:rsidRPr="00AC00C5">
              <w:t>Assessment(s)</w:t>
            </w:r>
          </w:p>
        </w:tc>
      </w:tr>
      <w:tr w:rsidR="00790BCC" w:rsidRPr="00AC00C5" w14:paraId="6EB84ABF" w14:textId="77777777" w:rsidTr="00282F46">
        <w:tc>
          <w:tcPr>
            <w:tcW w:w="9450" w:type="dxa"/>
            <w:tcBorders>
              <w:top w:val="single" w:sz="4" w:space="0" w:color="auto"/>
              <w:left w:val="single" w:sz="4" w:space="0" w:color="auto"/>
              <w:bottom w:val="single" w:sz="4" w:space="0" w:color="auto"/>
              <w:right w:val="single" w:sz="4" w:space="0" w:color="auto"/>
            </w:tcBorders>
          </w:tcPr>
          <w:p w14:paraId="2552E0DE" w14:textId="429CEFF6" w:rsidR="00790BCC" w:rsidRPr="00AC00C5" w:rsidRDefault="00180693" w:rsidP="00D31F4D">
            <w:pPr>
              <w:pStyle w:val="TableText"/>
            </w:pPr>
            <w:r w:rsidRPr="00AC00C5">
              <w:rPr>
                <w:bCs/>
                <w:color w:val="000000"/>
              </w:rPr>
              <w:t>Student learning is assessed via completion of the Evidence-Based Arguments Checklist, which students submit with their evaluation notes at the end of the lesson</w:t>
            </w:r>
            <w:r w:rsidR="00072BC1" w:rsidRPr="00AC00C5">
              <w:rPr>
                <w:bCs/>
                <w:color w:val="000000"/>
              </w:rPr>
              <w:t>.</w:t>
            </w:r>
          </w:p>
          <w:p w14:paraId="778970C6" w14:textId="77777777" w:rsidR="00790BCC" w:rsidRPr="00AC00C5" w:rsidRDefault="001B42DD" w:rsidP="00413CB7">
            <w:pPr>
              <w:pStyle w:val="IN"/>
            </w:pPr>
            <w:r w:rsidRPr="00AC00C5">
              <w:t>The Evidence-Based Arguments Checklist serves as the assessment for this lesson.</w:t>
            </w:r>
          </w:p>
        </w:tc>
      </w:tr>
      <w:tr w:rsidR="00790BCC" w:rsidRPr="00AC00C5" w14:paraId="582AE6E1" w14:textId="77777777" w:rsidTr="00282F46">
        <w:tc>
          <w:tcPr>
            <w:tcW w:w="9450" w:type="dxa"/>
            <w:shd w:val="clear" w:color="auto" w:fill="76923C"/>
          </w:tcPr>
          <w:p w14:paraId="2F18741A" w14:textId="77777777" w:rsidR="00790BCC" w:rsidRPr="00AC00C5" w:rsidRDefault="00790BCC" w:rsidP="007017EB">
            <w:pPr>
              <w:pStyle w:val="TableHeaders"/>
            </w:pPr>
            <w:r w:rsidRPr="00AC00C5">
              <w:t>High Performance Response(s)</w:t>
            </w:r>
          </w:p>
        </w:tc>
      </w:tr>
      <w:tr w:rsidR="00790BCC" w:rsidRPr="00790BCC" w14:paraId="700EBDC2" w14:textId="77777777" w:rsidTr="00282F46">
        <w:tc>
          <w:tcPr>
            <w:tcW w:w="9450" w:type="dxa"/>
          </w:tcPr>
          <w:p w14:paraId="00E832FD" w14:textId="77777777" w:rsidR="00790BCC" w:rsidRPr="00AC00C5" w:rsidRDefault="00790BCC" w:rsidP="00D31F4D">
            <w:pPr>
              <w:pStyle w:val="TableText"/>
            </w:pPr>
            <w:r w:rsidRPr="00AC00C5">
              <w:t>A High Performance Response should:</w:t>
            </w:r>
          </w:p>
          <w:p w14:paraId="66F8C0F1" w14:textId="77777777" w:rsidR="00790BCC" w:rsidRPr="00AC00C5" w:rsidRDefault="00413CB7" w:rsidP="008903B1">
            <w:pPr>
              <w:pStyle w:val="IN"/>
            </w:pPr>
            <w:r w:rsidRPr="00AC00C5">
              <w:t>See the Model Evidence-Based Arguments Checklist.</w:t>
            </w:r>
          </w:p>
        </w:tc>
      </w:tr>
    </w:tbl>
    <w:p w14:paraId="0092A97A" w14:textId="77777777" w:rsidR="00790BCC" w:rsidRPr="00790BCC" w:rsidRDefault="00790BCC" w:rsidP="00D31F4D">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5D94DB0F" w14:textId="77777777" w:rsidTr="00282F46">
        <w:tc>
          <w:tcPr>
            <w:tcW w:w="9450" w:type="dxa"/>
            <w:shd w:val="clear" w:color="auto" w:fill="76923C"/>
          </w:tcPr>
          <w:p w14:paraId="157C5350" w14:textId="77777777" w:rsidR="00790BCC" w:rsidRPr="0043460D" w:rsidRDefault="00790BCC" w:rsidP="00D31F4D">
            <w:pPr>
              <w:pStyle w:val="TableHeaders"/>
            </w:pPr>
            <w:r w:rsidRPr="0043460D">
              <w:t>Vocabulary to provide directly (will not include extended instruction)</w:t>
            </w:r>
          </w:p>
        </w:tc>
      </w:tr>
      <w:tr w:rsidR="00790BCC" w:rsidRPr="00790BCC" w14:paraId="756F5745" w14:textId="77777777" w:rsidTr="00282F46">
        <w:tc>
          <w:tcPr>
            <w:tcW w:w="9450" w:type="dxa"/>
          </w:tcPr>
          <w:p w14:paraId="32A4C03B" w14:textId="16EC1801" w:rsidR="00790BCC" w:rsidRPr="00790BCC" w:rsidRDefault="00413CB7" w:rsidP="00413CB7">
            <w:pPr>
              <w:pStyle w:val="BulletedList"/>
            </w:pPr>
            <w:r>
              <w:t>None</w:t>
            </w:r>
            <w:r w:rsidR="00EF7F90">
              <w:t>.</w:t>
            </w:r>
            <w:r>
              <w:t>*</w:t>
            </w:r>
          </w:p>
        </w:tc>
      </w:tr>
      <w:tr w:rsidR="00790BCC" w:rsidRPr="00790BCC" w14:paraId="38BDA2DA" w14:textId="77777777" w:rsidTr="00282F46">
        <w:tc>
          <w:tcPr>
            <w:tcW w:w="9450" w:type="dxa"/>
            <w:shd w:val="clear" w:color="auto" w:fill="76923C"/>
          </w:tcPr>
          <w:p w14:paraId="4B73E8FA" w14:textId="77777777" w:rsidR="00790BCC" w:rsidRPr="0043460D" w:rsidRDefault="00790BCC" w:rsidP="00D31F4D">
            <w:pPr>
              <w:pStyle w:val="TableHeaders"/>
            </w:pPr>
            <w:r w:rsidRPr="0043460D">
              <w:t>Vocabulary to teach (may include direct word work and/or questions)</w:t>
            </w:r>
          </w:p>
        </w:tc>
      </w:tr>
      <w:tr w:rsidR="00790BCC" w:rsidRPr="00790BCC" w14:paraId="24E56FB3" w14:textId="77777777" w:rsidTr="00282F46">
        <w:tc>
          <w:tcPr>
            <w:tcW w:w="9450" w:type="dxa"/>
          </w:tcPr>
          <w:p w14:paraId="5E1D4B7A" w14:textId="4BEBA8F0" w:rsidR="00790BCC" w:rsidRPr="00790BCC" w:rsidRDefault="00413CB7" w:rsidP="00D31F4D">
            <w:pPr>
              <w:pStyle w:val="BulletedList"/>
            </w:pPr>
            <w:r>
              <w:t>None</w:t>
            </w:r>
            <w:r w:rsidR="00EF7F90">
              <w:t>.</w:t>
            </w:r>
            <w:r>
              <w:t>*</w:t>
            </w:r>
          </w:p>
        </w:tc>
      </w:tr>
      <w:tr w:rsidR="00790BCC" w:rsidRPr="00790BCC" w14:paraId="029C59DC" w14:textId="77777777" w:rsidTr="00282F46">
        <w:tc>
          <w:tcPr>
            <w:tcW w:w="9450" w:type="dxa"/>
            <w:tcBorders>
              <w:top w:val="single" w:sz="4" w:space="0" w:color="auto"/>
              <w:left w:val="single" w:sz="4" w:space="0" w:color="auto"/>
              <w:bottom w:val="single" w:sz="4" w:space="0" w:color="auto"/>
              <w:right w:val="single" w:sz="4" w:space="0" w:color="auto"/>
            </w:tcBorders>
            <w:shd w:val="clear" w:color="auto" w:fill="76923C"/>
          </w:tcPr>
          <w:p w14:paraId="10FADA7B" w14:textId="77777777" w:rsidR="00790BCC" w:rsidRPr="0043460D" w:rsidRDefault="00790BCC" w:rsidP="009540E2">
            <w:pPr>
              <w:pStyle w:val="TableHeaders"/>
              <w:keepNext/>
            </w:pPr>
            <w:r w:rsidRPr="0043460D">
              <w:t>Additional vocabulary to support English Language Learners (to provide directly)</w:t>
            </w:r>
          </w:p>
        </w:tc>
      </w:tr>
      <w:tr w:rsidR="00790BCC" w:rsidRPr="00790BCC" w14:paraId="213355C3" w14:textId="77777777" w:rsidTr="00282F46">
        <w:tc>
          <w:tcPr>
            <w:tcW w:w="9450" w:type="dxa"/>
            <w:tcBorders>
              <w:top w:val="single" w:sz="4" w:space="0" w:color="auto"/>
              <w:left w:val="single" w:sz="4" w:space="0" w:color="auto"/>
              <w:bottom w:val="single" w:sz="4" w:space="0" w:color="auto"/>
              <w:right w:val="single" w:sz="4" w:space="0" w:color="auto"/>
            </w:tcBorders>
          </w:tcPr>
          <w:p w14:paraId="432FF0BD" w14:textId="2ABCD428" w:rsidR="00790BCC" w:rsidRPr="00790BCC" w:rsidRDefault="00413CB7" w:rsidP="00D31F4D">
            <w:pPr>
              <w:pStyle w:val="BulletedList"/>
            </w:pPr>
            <w:r>
              <w:t>None</w:t>
            </w:r>
            <w:r w:rsidR="00EF7F90">
              <w:t>.</w:t>
            </w:r>
            <w:r>
              <w:t>*</w:t>
            </w:r>
          </w:p>
        </w:tc>
      </w:tr>
    </w:tbl>
    <w:p w14:paraId="496DCED0" w14:textId="5FAD3B7A" w:rsidR="00440A98" w:rsidRPr="00BC32F5" w:rsidRDefault="00440A98" w:rsidP="008903B1">
      <w:pPr>
        <w:pStyle w:val="TA"/>
        <w:spacing w:before="60"/>
        <w:rPr>
          <w:sz w:val="18"/>
          <w:szCs w:val="18"/>
          <w:shd w:val="clear" w:color="auto" w:fill="FFFFFF"/>
        </w:rPr>
      </w:pPr>
      <w:r w:rsidRPr="00BC32F5">
        <w:rPr>
          <w:sz w:val="18"/>
          <w:szCs w:val="18"/>
          <w:shd w:val="clear" w:color="auto" w:fill="FFFFFF"/>
        </w:rPr>
        <w:t>*In their rese</w:t>
      </w:r>
      <w:r w:rsidR="00EF7F90">
        <w:rPr>
          <w:sz w:val="18"/>
          <w:szCs w:val="18"/>
          <w:shd w:val="clear" w:color="auto" w:fill="FFFFFF"/>
        </w:rPr>
        <w:t xml:space="preserve">arch and reading, students </w:t>
      </w:r>
      <w:r w:rsidRPr="00BC32F5">
        <w:rPr>
          <w:sz w:val="18"/>
          <w:szCs w:val="18"/>
          <w:shd w:val="clear" w:color="auto" w:fill="FFFFFF"/>
        </w:rPr>
        <w:t>encounter domain-specific vocabulary related to their individu</w:t>
      </w:r>
      <w:r w:rsidR="00034D58">
        <w:rPr>
          <w:sz w:val="18"/>
          <w:szCs w:val="18"/>
          <w:shd w:val="clear" w:color="auto" w:fill="FFFFFF"/>
        </w:rPr>
        <w:t xml:space="preserve">al </w:t>
      </w:r>
      <w:r w:rsidR="00DC2739">
        <w:rPr>
          <w:sz w:val="18"/>
          <w:szCs w:val="18"/>
          <w:shd w:val="clear" w:color="auto" w:fill="FFFFFF"/>
        </w:rPr>
        <w:t>areas of investigation/problem-based</w:t>
      </w:r>
      <w:r w:rsidR="00034D58">
        <w:rPr>
          <w:sz w:val="18"/>
          <w:szCs w:val="18"/>
          <w:shd w:val="clear" w:color="auto" w:fill="FFFFFF"/>
        </w:rPr>
        <w:t xml:space="preserve"> questions. </w:t>
      </w:r>
      <w:r w:rsidRPr="00BC32F5">
        <w:rPr>
          <w:sz w:val="18"/>
          <w:szCs w:val="18"/>
          <w:shd w:val="clear" w:color="auto" w:fill="FFFFFF"/>
        </w:rPr>
        <w:t>Consider instructing students to use a vocabulary journal to track this</w:t>
      </w:r>
      <w:r w:rsidR="00034D58">
        <w:rPr>
          <w:sz w:val="18"/>
          <w:szCs w:val="18"/>
          <w:shd w:val="clear" w:color="auto" w:fill="FFFFFF"/>
        </w:rPr>
        <w:t xml:space="preserve"> vocabulary </w:t>
      </w:r>
      <w:r w:rsidRPr="00BC32F5">
        <w:rPr>
          <w:sz w:val="18"/>
          <w:szCs w:val="18"/>
          <w:shd w:val="clear" w:color="auto" w:fill="FFFFFF"/>
        </w:rPr>
        <w:t>when conducting independent searches during class and for homework.</w:t>
      </w:r>
    </w:p>
    <w:p w14:paraId="14A3EB84" w14:textId="77777777" w:rsidR="00790BCC" w:rsidRPr="00790BCC" w:rsidRDefault="00790BCC" w:rsidP="00C07E59">
      <w:pPr>
        <w:pStyle w:val="Heading1"/>
        <w:pageBreakBefore/>
      </w:pPr>
      <w:r w:rsidRPr="00790BCC">
        <w:lastRenderedPageBreak/>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2FC55835" w14:textId="77777777" w:rsidTr="008903B1">
        <w:tc>
          <w:tcPr>
            <w:tcW w:w="7650" w:type="dxa"/>
            <w:tcBorders>
              <w:bottom w:val="single" w:sz="4" w:space="0" w:color="auto"/>
            </w:tcBorders>
            <w:shd w:val="clear" w:color="auto" w:fill="76923C"/>
          </w:tcPr>
          <w:p w14:paraId="6F8ED448" w14:textId="77777777" w:rsidR="00790BCC" w:rsidRPr="0043460D" w:rsidRDefault="00790BCC" w:rsidP="00D31F4D">
            <w:pPr>
              <w:pStyle w:val="TableHeaders"/>
            </w:pPr>
            <w:r w:rsidRPr="0043460D">
              <w:t>Student-Facing Agenda</w:t>
            </w:r>
          </w:p>
        </w:tc>
        <w:tc>
          <w:tcPr>
            <w:tcW w:w="1800" w:type="dxa"/>
            <w:tcBorders>
              <w:bottom w:val="single" w:sz="4" w:space="0" w:color="auto"/>
            </w:tcBorders>
            <w:shd w:val="clear" w:color="auto" w:fill="76923C"/>
          </w:tcPr>
          <w:p w14:paraId="5572CA3D" w14:textId="77777777" w:rsidR="00790BCC" w:rsidRPr="0043460D" w:rsidRDefault="00790BCC" w:rsidP="00D31F4D">
            <w:pPr>
              <w:pStyle w:val="TableHeaders"/>
            </w:pPr>
            <w:r w:rsidRPr="0043460D">
              <w:t>% of Lesson</w:t>
            </w:r>
          </w:p>
        </w:tc>
      </w:tr>
      <w:tr w:rsidR="00221D38" w:rsidRPr="00790BCC" w14:paraId="13AB582F" w14:textId="77777777" w:rsidTr="008903B1">
        <w:trPr>
          <w:trHeight w:val="1414"/>
        </w:trPr>
        <w:tc>
          <w:tcPr>
            <w:tcW w:w="7650" w:type="dxa"/>
            <w:tcBorders>
              <w:bottom w:val="nil"/>
            </w:tcBorders>
          </w:tcPr>
          <w:p w14:paraId="40D5BF1F" w14:textId="77777777" w:rsidR="00221D38" w:rsidRPr="00D31F4D" w:rsidRDefault="00221D38" w:rsidP="00D31F4D">
            <w:pPr>
              <w:pStyle w:val="TableText"/>
              <w:rPr>
                <w:b/>
              </w:rPr>
            </w:pPr>
            <w:r w:rsidRPr="00D31F4D">
              <w:rPr>
                <w:b/>
              </w:rPr>
              <w:t>Standards &amp; Text:</w:t>
            </w:r>
          </w:p>
          <w:p w14:paraId="6311E83E" w14:textId="75224FEB" w:rsidR="00221D38" w:rsidRPr="00790BCC" w:rsidRDefault="00221D38" w:rsidP="00D31F4D">
            <w:pPr>
              <w:pStyle w:val="BulletedList"/>
            </w:pPr>
            <w:r>
              <w:t xml:space="preserve">Standards: </w:t>
            </w:r>
            <w:r w:rsidRPr="00564620">
              <w:t>CCRA.</w:t>
            </w:r>
            <w:r>
              <w:t>R.</w:t>
            </w:r>
            <w:r w:rsidRPr="00564620">
              <w:t>8, W.11-12.</w:t>
            </w:r>
            <w:r>
              <w:t xml:space="preserve">8, </w:t>
            </w:r>
            <w:r w:rsidRPr="00564620">
              <w:t>W.11-12.</w:t>
            </w:r>
            <w:r>
              <w:t>7, SL.11-12.1</w:t>
            </w:r>
          </w:p>
          <w:p w14:paraId="41078683" w14:textId="1750A6C3" w:rsidR="00221D38" w:rsidRPr="00790BCC" w:rsidRDefault="00221D38" w:rsidP="002C37C4">
            <w:pPr>
              <w:pStyle w:val="BulletedList"/>
            </w:pPr>
            <w:r>
              <w:t xml:space="preserve">Model Source </w:t>
            </w:r>
            <w:r w:rsidRPr="00790BCC">
              <w:t>Text</w:t>
            </w:r>
            <w:r w:rsidR="002C37C4">
              <w:t xml:space="preserve"> #1</w:t>
            </w:r>
            <w:r>
              <w:t>: “Empowering Women Is Smart Economics” by Ana Revenga and Sudhir Shetty</w:t>
            </w:r>
          </w:p>
        </w:tc>
        <w:tc>
          <w:tcPr>
            <w:tcW w:w="1800" w:type="dxa"/>
            <w:tcBorders>
              <w:bottom w:val="nil"/>
            </w:tcBorders>
          </w:tcPr>
          <w:p w14:paraId="58C03052" w14:textId="77777777" w:rsidR="00221D38" w:rsidRPr="00790BCC" w:rsidRDefault="00221D38" w:rsidP="00790BCC"/>
          <w:p w14:paraId="600AA6BC" w14:textId="77777777" w:rsidR="00221D38" w:rsidRPr="00790BCC" w:rsidRDefault="00221D38" w:rsidP="00790BCC">
            <w:pPr>
              <w:spacing w:after="60" w:line="240" w:lineRule="auto"/>
            </w:pPr>
          </w:p>
        </w:tc>
      </w:tr>
      <w:tr w:rsidR="00790BCC" w:rsidRPr="00790BCC" w14:paraId="46908BA3" w14:textId="77777777" w:rsidTr="008903B1">
        <w:tc>
          <w:tcPr>
            <w:tcW w:w="7650" w:type="dxa"/>
            <w:tcBorders>
              <w:top w:val="nil"/>
            </w:tcBorders>
          </w:tcPr>
          <w:p w14:paraId="2F62CD68" w14:textId="77777777" w:rsidR="00790BCC" w:rsidRPr="00D31F4D" w:rsidRDefault="00790BCC" w:rsidP="00D31F4D">
            <w:pPr>
              <w:pStyle w:val="TableText"/>
              <w:rPr>
                <w:b/>
              </w:rPr>
            </w:pPr>
            <w:r w:rsidRPr="00D31F4D">
              <w:rPr>
                <w:b/>
              </w:rPr>
              <w:t>Learning Sequence:</w:t>
            </w:r>
          </w:p>
          <w:p w14:paraId="7C6EC972" w14:textId="77777777" w:rsidR="00790BCC" w:rsidRPr="00790BCC" w:rsidRDefault="00790BCC" w:rsidP="00D31F4D">
            <w:pPr>
              <w:pStyle w:val="NumberedList"/>
            </w:pPr>
            <w:r w:rsidRPr="00790BCC">
              <w:t>Introduction of Lesson Agenda</w:t>
            </w:r>
          </w:p>
          <w:p w14:paraId="4133233C" w14:textId="77777777" w:rsidR="00790BCC" w:rsidRPr="00790BCC" w:rsidRDefault="00790BCC" w:rsidP="00D31F4D">
            <w:pPr>
              <w:pStyle w:val="NumberedList"/>
            </w:pPr>
            <w:r w:rsidRPr="00790BCC">
              <w:t>Homework Accountability</w:t>
            </w:r>
          </w:p>
          <w:p w14:paraId="61DB8259" w14:textId="4060F07E" w:rsidR="00790BCC" w:rsidRPr="00790BCC" w:rsidRDefault="00EC3749" w:rsidP="00D31F4D">
            <w:pPr>
              <w:pStyle w:val="NumberedList"/>
            </w:pPr>
            <w:r>
              <w:t xml:space="preserve">Effective </w:t>
            </w:r>
            <w:r w:rsidR="00F67730">
              <w:t>Arguments Discussion</w:t>
            </w:r>
          </w:p>
          <w:p w14:paraId="3D246A19" w14:textId="77777777" w:rsidR="00790BCC" w:rsidRPr="00386FB5" w:rsidRDefault="00F67730" w:rsidP="00D31F4D">
            <w:pPr>
              <w:pStyle w:val="NumberedList"/>
            </w:pPr>
            <w:r>
              <w:t>Evidence-</w:t>
            </w:r>
            <w:r w:rsidRPr="00AC1360">
              <w:t>Based Arguments Checklist</w:t>
            </w:r>
          </w:p>
          <w:p w14:paraId="39070BC9" w14:textId="77777777" w:rsidR="00790BCC" w:rsidRPr="00386FB5" w:rsidRDefault="00F67730" w:rsidP="00D31F4D">
            <w:pPr>
              <w:pStyle w:val="NumberedList"/>
            </w:pPr>
            <w:r w:rsidRPr="00386FB5">
              <w:t xml:space="preserve">Argument </w:t>
            </w:r>
            <w:r w:rsidRPr="002C656F">
              <w:t>Evaluation</w:t>
            </w:r>
            <w:r w:rsidRPr="00AC1360">
              <w:t xml:space="preserve"> Activity and Assessment</w:t>
            </w:r>
          </w:p>
          <w:p w14:paraId="5E5BFB87" w14:textId="77777777" w:rsidR="00790BCC" w:rsidRPr="00790BCC" w:rsidRDefault="00790BCC" w:rsidP="00D31F4D">
            <w:pPr>
              <w:pStyle w:val="NumberedList"/>
            </w:pPr>
            <w:r w:rsidRPr="00763D8A">
              <w:t>Closing</w:t>
            </w:r>
          </w:p>
        </w:tc>
        <w:tc>
          <w:tcPr>
            <w:tcW w:w="1800" w:type="dxa"/>
            <w:tcBorders>
              <w:top w:val="nil"/>
            </w:tcBorders>
          </w:tcPr>
          <w:p w14:paraId="09CD5E43" w14:textId="77777777" w:rsidR="00790BCC" w:rsidRPr="00790BCC" w:rsidRDefault="00790BCC" w:rsidP="00790BCC">
            <w:pPr>
              <w:spacing w:before="40" w:after="40"/>
            </w:pPr>
          </w:p>
          <w:p w14:paraId="26A5D941" w14:textId="77777777" w:rsidR="00790BCC" w:rsidRPr="00790BCC" w:rsidRDefault="00790BCC" w:rsidP="00D31F4D">
            <w:pPr>
              <w:pStyle w:val="NumberedList"/>
              <w:numPr>
                <w:ilvl w:val="0"/>
                <w:numId w:val="13"/>
              </w:numPr>
            </w:pPr>
            <w:r w:rsidRPr="00790BCC">
              <w:t>5%</w:t>
            </w:r>
          </w:p>
          <w:p w14:paraId="438C4CD5" w14:textId="77777777" w:rsidR="00790BCC" w:rsidRPr="00790BCC" w:rsidRDefault="00790BCC" w:rsidP="00D31F4D">
            <w:pPr>
              <w:pStyle w:val="NumberedList"/>
              <w:numPr>
                <w:ilvl w:val="0"/>
                <w:numId w:val="13"/>
              </w:numPr>
            </w:pPr>
            <w:r w:rsidRPr="00790BCC">
              <w:t>10%</w:t>
            </w:r>
          </w:p>
          <w:p w14:paraId="786C6663" w14:textId="77777777" w:rsidR="00790BCC" w:rsidRPr="00790BCC" w:rsidRDefault="00F67730" w:rsidP="00D31F4D">
            <w:pPr>
              <w:pStyle w:val="NumberedList"/>
              <w:numPr>
                <w:ilvl w:val="0"/>
                <w:numId w:val="13"/>
              </w:numPr>
            </w:pPr>
            <w:r>
              <w:t>20</w:t>
            </w:r>
            <w:r w:rsidR="00790BCC" w:rsidRPr="00790BCC">
              <w:t>%</w:t>
            </w:r>
          </w:p>
          <w:p w14:paraId="71A0CA17" w14:textId="77777777" w:rsidR="00790BCC" w:rsidRPr="00790BCC" w:rsidRDefault="00F67730" w:rsidP="00D31F4D">
            <w:pPr>
              <w:pStyle w:val="NumberedList"/>
              <w:numPr>
                <w:ilvl w:val="0"/>
                <w:numId w:val="13"/>
              </w:numPr>
            </w:pPr>
            <w:r>
              <w:t>30</w:t>
            </w:r>
            <w:r w:rsidR="00790BCC" w:rsidRPr="00790BCC">
              <w:t>%</w:t>
            </w:r>
          </w:p>
          <w:p w14:paraId="4075C460" w14:textId="77777777" w:rsidR="00790BCC" w:rsidRPr="00790BCC" w:rsidRDefault="00F67730" w:rsidP="00D31F4D">
            <w:pPr>
              <w:pStyle w:val="NumberedList"/>
              <w:numPr>
                <w:ilvl w:val="0"/>
                <w:numId w:val="13"/>
              </w:numPr>
            </w:pPr>
            <w:r>
              <w:t>30</w:t>
            </w:r>
            <w:r w:rsidR="00790BCC" w:rsidRPr="00790BCC">
              <w:t>%</w:t>
            </w:r>
          </w:p>
          <w:p w14:paraId="00FB5FA2" w14:textId="77777777" w:rsidR="00790BCC" w:rsidRPr="00790BCC" w:rsidRDefault="00790BCC" w:rsidP="00D31F4D">
            <w:pPr>
              <w:pStyle w:val="NumberedList"/>
              <w:numPr>
                <w:ilvl w:val="0"/>
                <w:numId w:val="13"/>
              </w:numPr>
            </w:pPr>
            <w:r w:rsidRPr="00790BCC">
              <w:t>5%</w:t>
            </w:r>
          </w:p>
        </w:tc>
      </w:tr>
    </w:tbl>
    <w:p w14:paraId="3249D87D" w14:textId="77777777" w:rsidR="00790BCC" w:rsidRPr="00790BCC" w:rsidRDefault="00790BCC" w:rsidP="00D31F4D">
      <w:pPr>
        <w:pStyle w:val="Heading1"/>
      </w:pPr>
      <w:r w:rsidRPr="00790BCC">
        <w:t>Materials</w:t>
      </w:r>
    </w:p>
    <w:p w14:paraId="56030468" w14:textId="77777777" w:rsidR="00F67730" w:rsidRDefault="00F67730" w:rsidP="00F67730">
      <w:pPr>
        <w:pStyle w:val="BulletedList"/>
      </w:pPr>
      <w:r w:rsidRPr="00626E7E">
        <w:t>Copies of the Evidence-Based Arguments Checklist for each student (at least four copies each)</w:t>
      </w:r>
    </w:p>
    <w:p w14:paraId="754525C2" w14:textId="78C684BA" w:rsidR="00934072" w:rsidRPr="00626E7E" w:rsidRDefault="00934072" w:rsidP="00F67730">
      <w:pPr>
        <w:pStyle w:val="BulletedList"/>
      </w:pPr>
      <w:r>
        <w:t>Chart paper</w:t>
      </w:r>
    </w:p>
    <w:p w14:paraId="4CCCF12F"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4D2985EC" w14:textId="77777777" w:rsidTr="00282F46">
        <w:tc>
          <w:tcPr>
            <w:tcW w:w="9450" w:type="dxa"/>
            <w:gridSpan w:val="2"/>
            <w:shd w:val="clear" w:color="auto" w:fill="76923C"/>
          </w:tcPr>
          <w:p w14:paraId="6D4D6506" w14:textId="77777777" w:rsidR="00D31F4D" w:rsidRPr="0043460D" w:rsidRDefault="00D31F4D" w:rsidP="009450B7">
            <w:pPr>
              <w:pStyle w:val="TableHeaders"/>
              <w:rPr>
                <w:sz w:val="20"/>
                <w:szCs w:val="20"/>
              </w:rPr>
            </w:pPr>
            <w:r w:rsidRPr="0043460D">
              <w:rPr>
                <w:szCs w:val="20"/>
              </w:rPr>
              <w:t>How to Use the Learning Sequence</w:t>
            </w:r>
          </w:p>
        </w:tc>
      </w:tr>
      <w:tr w:rsidR="00D31F4D" w:rsidRPr="00D31F4D" w14:paraId="101F950E" w14:textId="77777777" w:rsidTr="00282F46">
        <w:tc>
          <w:tcPr>
            <w:tcW w:w="894" w:type="dxa"/>
            <w:shd w:val="clear" w:color="auto" w:fill="76923C"/>
          </w:tcPr>
          <w:p w14:paraId="4D039A8E" w14:textId="77777777" w:rsidR="00D31F4D" w:rsidRPr="0043460D" w:rsidRDefault="00D31F4D" w:rsidP="00D31F4D">
            <w:pPr>
              <w:pStyle w:val="TableHeaders"/>
              <w:rPr>
                <w:szCs w:val="20"/>
              </w:rPr>
            </w:pPr>
            <w:r w:rsidRPr="0043460D">
              <w:rPr>
                <w:szCs w:val="20"/>
              </w:rPr>
              <w:t>Symbol</w:t>
            </w:r>
          </w:p>
        </w:tc>
        <w:tc>
          <w:tcPr>
            <w:tcW w:w="8556" w:type="dxa"/>
            <w:shd w:val="clear" w:color="auto" w:fill="76923C"/>
          </w:tcPr>
          <w:p w14:paraId="1E4D220A" w14:textId="77777777" w:rsidR="00D31F4D" w:rsidRPr="0043460D" w:rsidRDefault="00D31F4D" w:rsidP="00D31F4D">
            <w:pPr>
              <w:pStyle w:val="TableHeaders"/>
              <w:rPr>
                <w:szCs w:val="20"/>
              </w:rPr>
            </w:pPr>
            <w:r w:rsidRPr="0043460D">
              <w:rPr>
                <w:szCs w:val="20"/>
              </w:rPr>
              <w:t>Type of Text &amp; Interpretation of the Symbol</w:t>
            </w:r>
          </w:p>
        </w:tc>
      </w:tr>
      <w:tr w:rsidR="00D31F4D" w:rsidRPr="00D31F4D" w14:paraId="48B612A4" w14:textId="77777777" w:rsidTr="00282F46">
        <w:tc>
          <w:tcPr>
            <w:tcW w:w="894" w:type="dxa"/>
            <w:shd w:val="clear" w:color="auto" w:fill="auto"/>
          </w:tcPr>
          <w:p w14:paraId="26A5EF23" w14:textId="77777777" w:rsidR="00D31F4D" w:rsidRPr="0043460D" w:rsidRDefault="00D31F4D" w:rsidP="0043460D">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46D3DC45" w14:textId="77777777" w:rsidR="00D31F4D" w:rsidRPr="0043460D" w:rsidRDefault="00D31F4D" w:rsidP="0043460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D31F4D" w:rsidRPr="00D31F4D" w14:paraId="77B22059" w14:textId="77777777" w:rsidTr="00282F46">
        <w:tc>
          <w:tcPr>
            <w:tcW w:w="894" w:type="dxa"/>
            <w:vMerge w:val="restart"/>
            <w:shd w:val="clear" w:color="auto" w:fill="auto"/>
            <w:vAlign w:val="center"/>
          </w:tcPr>
          <w:p w14:paraId="0BF5F3AD" w14:textId="77777777" w:rsidR="00D31F4D" w:rsidRPr="0043460D" w:rsidRDefault="00D31F4D" w:rsidP="0043460D">
            <w:pPr>
              <w:spacing w:before="20" w:after="20" w:line="240" w:lineRule="auto"/>
              <w:jc w:val="center"/>
              <w:rPr>
                <w:sz w:val="18"/>
                <w:szCs w:val="20"/>
              </w:rPr>
            </w:pPr>
            <w:r w:rsidRPr="0043460D">
              <w:rPr>
                <w:sz w:val="18"/>
                <w:szCs w:val="20"/>
              </w:rPr>
              <w:t>no symbol</w:t>
            </w:r>
          </w:p>
        </w:tc>
        <w:tc>
          <w:tcPr>
            <w:tcW w:w="8556" w:type="dxa"/>
            <w:shd w:val="clear" w:color="auto" w:fill="auto"/>
          </w:tcPr>
          <w:p w14:paraId="7591DC02" w14:textId="77777777" w:rsidR="00D31F4D" w:rsidRPr="0043460D" w:rsidRDefault="00D31F4D" w:rsidP="0043460D">
            <w:pPr>
              <w:spacing w:before="20" w:after="20" w:line="240" w:lineRule="auto"/>
              <w:rPr>
                <w:sz w:val="20"/>
                <w:szCs w:val="20"/>
              </w:rPr>
            </w:pPr>
            <w:r w:rsidRPr="0043460D">
              <w:rPr>
                <w:sz w:val="20"/>
                <w:szCs w:val="20"/>
              </w:rPr>
              <w:t>Plain text indicates teacher action.</w:t>
            </w:r>
          </w:p>
        </w:tc>
      </w:tr>
      <w:tr w:rsidR="00D31F4D" w:rsidRPr="00D31F4D" w14:paraId="31CECF81" w14:textId="77777777" w:rsidTr="00282F46">
        <w:tc>
          <w:tcPr>
            <w:tcW w:w="894" w:type="dxa"/>
            <w:vMerge/>
            <w:shd w:val="clear" w:color="auto" w:fill="auto"/>
          </w:tcPr>
          <w:p w14:paraId="078FFEA1" w14:textId="77777777" w:rsidR="00D31F4D" w:rsidRPr="0043460D" w:rsidRDefault="00D31F4D" w:rsidP="0043460D">
            <w:pPr>
              <w:spacing w:before="20" w:after="20" w:line="240" w:lineRule="auto"/>
              <w:jc w:val="center"/>
              <w:rPr>
                <w:b/>
                <w:color w:val="000000"/>
                <w:sz w:val="20"/>
                <w:szCs w:val="20"/>
              </w:rPr>
            </w:pPr>
          </w:p>
        </w:tc>
        <w:tc>
          <w:tcPr>
            <w:tcW w:w="8556" w:type="dxa"/>
            <w:shd w:val="clear" w:color="auto" w:fill="auto"/>
          </w:tcPr>
          <w:p w14:paraId="3A28298D" w14:textId="77777777" w:rsidR="00D31F4D" w:rsidRPr="0043460D" w:rsidRDefault="00D31F4D" w:rsidP="0043460D">
            <w:pPr>
              <w:spacing w:before="20" w:after="20" w:line="240" w:lineRule="auto"/>
              <w:rPr>
                <w:color w:val="4F81BD"/>
                <w:sz w:val="20"/>
                <w:szCs w:val="20"/>
              </w:rPr>
            </w:pPr>
            <w:r w:rsidRPr="0043460D">
              <w:rPr>
                <w:b/>
                <w:sz w:val="20"/>
                <w:szCs w:val="20"/>
              </w:rPr>
              <w:t>Bold text indicates questions for the teacher to ask students.</w:t>
            </w:r>
          </w:p>
        </w:tc>
      </w:tr>
      <w:tr w:rsidR="00D31F4D" w:rsidRPr="00D31F4D" w14:paraId="0292DF1B" w14:textId="77777777" w:rsidTr="00282F46">
        <w:tc>
          <w:tcPr>
            <w:tcW w:w="894" w:type="dxa"/>
            <w:vMerge/>
            <w:shd w:val="clear" w:color="auto" w:fill="auto"/>
          </w:tcPr>
          <w:p w14:paraId="65FB5410" w14:textId="77777777" w:rsidR="00D31F4D" w:rsidRPr="0043460D" w:rsidRDefault="00D31F4D" w:rsidP="0043460D">
            <w:pPr>
              <w:spacing w:before="20" w:after="20" w:line="240" w:lineRule="auto"/>
              <w:jc w:val="center"/>
              <w:rPr>
                <w:b/>
                <w:color w:val="000000"/>
                <w:sz w:val="20"/>
                <w:szCs w:val="20"/>
              </w:rPr>
            </w:pPr>
          </w:p>
        </w:tc>
        <w:tc>
          <w:tcPr>
            <w:tcW w:w="8556" w:type="dxa"/>
            <w:shd w:val="clear" w:color="auto" w:fill="auto"/>
          </w:tcPr>
          <w:p w14:paraId="75D4DF99" w14:textId="77777777" w:rsidR="00D31F4D" w:rsidRPr="0043460D" w:rsidRDefault="00D31F4D" w:rsidP="0043460D">
            <w:pPr>
              <w:spacing w:before="20" w:after="20" w:line="240" w:lineRule="auto"/>
              <w:rPr>
                <w:i/>
                <w:sz w:val="20"/>
                <w:szCs w:val="20"/>
              </w:rPr>
            </w:pPr>
            <w:r w:rsidRPr="0043460D">
              <w:rPr>
                <w:i/>
                <w:sz w:val="20"/>
                <w:szCs w:val="20"/>
              </w:rPr>
              <w:t>Italicized text indicates a vocabulary word.</w:t>
            </w:r>
          </w:p>
        </w:tc>
      </w:tr>
      <w:tr w:rsidR="00D31F4D" w:rsidRPr="00D31F4D" w14:paraId="74C08890" w14:textId="77777777" w:rsidTr="0028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5785BF49" w14:textId="77777777" w:rsidR="00D31F4D" w:rsidRPr="0043460D" w:rsidRDefault="00D31F4D" w:rsidP="0043460D">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4108415E" w14:textId="77777777" w:rsidR="00D31F4D" w:rsidRPr="0043460D" w:rsidRDefault="00D31F4D" w:rsidP="0043460D">
            <w:pPr>
              <w:spacing w:before="20" w:after="20" w:line="240" w:lineRule="auto"/>
              <w:rPr>
                <w:sz w:val="20"/>
                <w:szCs w:val="20"/>
              </w:rPr>
            </w:pPr>
            <w:r w:rsidRPr="0043460D">
              <w:rPr>
                <w:sz w:val="20"/>
                <w:szCs w:val="20"/>
              </w:rPr>
              <w:t>Indicates student action(s).</w:t>
            </w:r>
          </w:p>
        </w:tc>
      </w:tr>
      <w:tr w:rsidR="00D31F4D" w:rsidRPr="00D31F4D" w14:paraId="5A090873" w14:textId="77777777" w:rsidTr="0028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1943FF37" w14:textId="77777777" w:rsidR="00D31F4D" w:rsidRPr="0043460D" w:rsidRDefault="00D31F4D" w:rsidP="0043460D">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60A2A10B" w14:textId="77777777" w:rsidR="00D31F4D" w:rsidRPr="0043460D" w:rsidRDefault="00D31F4D" w:rsidP="0043460D">
            <w:pPr>
              <w:spacing w:before="20" w:after="20" w:line="240" w:lineRule="auto"/>
              <w:rPr>
                <w:sz w:val="20"/>
                <w:szCs w:val="20"/>
              </w:rPr>
            </w:pPr>
            <w:r w:rsidRPr="0043460D">
              <w:rPr>
                <w:sz w:val="20"/>
                <w:szCs w:val="20"/>
              </w:rPr>
              <w:t>Indicates possible student response(s) to teacher questions.</w:t>
            </w:r>
          </w:p>
        </w:tc>
      </w:tr>
      <w:tr w:rsidR="00D31F4D" w:rsidRPr="00D31F4D" w14:paraId="0977EB36" w14:textId="77777777" w:rsidTr="00282F46">
        <w:tc>
          <w:tcPr>
            <w:tcW w:w="894" w:type="dxa"/>
            <w:shd w:val="clear" w:color="auto" w:fill="auto"/>
            <w:vAlign w:val="bottom"/>
          </w:tcPr>
          <w:p w14:paraId="2795FB5F" w14:textId="77777777" w:rsidR="00D31F4D" w:rsidRPr="0043460D" w:rsidRDefault="00D31F4D" w:rsidP="0043460D">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3FD92BF3" w14:textId="77777777" w:rsidR="00D31F4D" w:rsidRPr="0043460D" w:rsidRDefault="00D31F4D" w:rsidP="0043460D">
            <w:pPr>
              <w:spacing w:before="20" w:after="20" w:line="240" w:lineRule="auto"/>
              <w:rPr>
                <w:color w:val="4F81BD"/>
                <w:sz w:val="20"/>
                <w:szCs w:val="20"/>
              </w:rPr>
            </w:pPr>
            <w:r w:rsidRPr="0043460D">
              <w:rPr>
                <w:color w:val="4F81BD"/>
                <w:sz w:val="20"/>
                <w:szCs w:val="20"/>
              </w:rPr>
              <w:t>Indicates instructional notes for the teacher.</w:t>
            </w:r>
          </w:p>
        </w:tc>
      </w:tr>
    </w:tbl>
    <w:p w14:paraId="5887399A" w14:textId="77777777" w:rsidR="00790BCC" w:rsidRPr="00790BCC" w:rsidRDefault="00790BCC" w:rsidP="005805FE">
      <w:pPr>
        <w:pStyle w:val="LearningSequenceHeader"/>
        <w:keepNext/>
      </w:pPr>
      <w:r w:rsidRPr="00790BCC">
        <w:lastRenderedPageBreak/>
        <w:t>Activity 1: Introduction of Lesson Agenda</w:t>
      </w:r>
      <w:r w:rsidRPr="00790BCC">
        <w:tab/>
        <w:t>5%</w:t>
      </w:r>
    </w:p>
    <w:p w14:paraId="56B9B19E" w14:textId="5AF45E4C" w:rsidR="00F147B3" w:rsidRPr="00386FB5" w:rsidRDefault="00F147B3" w:rsidP="00F147B3">
      <w:pPr>
        <w:pStyle w:val="TA"/>
      </w:pPr>
      <w:r w:rsidRPr="00995EAC">
        <w:t xml:space="preserve">Begin by reviewing the agenda and </w:t>
      </w:r>
      <w:r w:rsidR="00AD6965">
        <w:t xml:space="preserve">the </w:t>
      </w:r>
      <w:r w:rsidRPr="00995EAC">
        <w:t xml:space="preserve">assessed standards for this lesson: CCRA.R.8 and W.11-12.8. In this lesson, </w:t>
      </w:r>
      <w:r w:rsidRPr="00386FB5">
        <w:t>students</w:t>
      </w:r>
      <w:r w:rsidR="006341B3" w:rsidRPr="007777E1">
        <w:t xml:space="preserve"> discuss and</w:t>
      </w:r>
      <w:r w:rsidRPr="00763D8A">
        <w:t xml:space="preserve"> </w:t>
      </w:r>
      <w:r w:rsidR="00B0354B" w:rsidRPr="002C656F">
        <w:t>evaluate</w:t>
      </w:r>
      <w:r w:rsidR="00B0354B" w:rsidRPr="00386FB5">
        <w:t xml:space="preserve"> </w:t>
      </w:r>
      <w:r w:rsidRPr="007777E1">
        <w:t>evidence-based arguments</w:t>
      </w:r>
      <w:r w:rsidR="00B72131" w:rsidRPr="00763D8A">
        <w:t xml:space="preserve"> by </w:t>
      </w:r>
      <w:r w:rsidRPr="00EB1092">
        <w:t>complet</w:t>
      </w:r>
      <w:r w:rsidR="00B72131" w:rsidRPr="00386FB5">
        <w:t>ing</w:t>
      </w:r>
      <w:r w:rsidRPr="00386FB5">
        <w:t xml:space="preserve"> an Evidence-Based Arguments Checklist. </w:t>
      </w:r>
    </w:p>
    <w:p w14:paraId="2CDFF116" w14:textId="77777777" w:rsidR="00F147B3" w:rsidRPr="002C656F" w:rsidRDefault="00F147B3" w:rsidP="00F147B3">
      <w:pPr>
        <w:pStyle w:val="SA"/>
      </w:pPr>
      <w:r w:rsidRPr="002C656F">
        <w:t>Students look at the agenda.</w:t>
      </w:r>
    </w:p>
    <w:p w14:paraId="2630A80B" w14:textId="77777777" w:rsidR="00790BCC" w:rsidRPr="00790BCC" w:rsidRDefault="00790BCC" w:rsidP="00836043">
      <w:pPr>
        <w:pStyle w:val="LearningSequenceHeader"/>
        <w:keepNext/>
      </w:pPr>
      <w:r w:rsidRPr="00790BCC">
        <w:t>Activity 2: Homework Accountability</w:t>
      </w:r>
      <w:r w:rsidRPr="00790BCC">
        <w:tab/>
        <w:t>10%</w:t>
      </w:r>
    </w:p>
    <w:p w14:paraId="7AB58377" w14:textId="698615B1" w:rsidR="00E7606A" w:rsidRDefault="00F147B3">
      <w:pPr>
        <w:pStyle w:val="TA"/>
      </w:pPr>
      <w:r w:rsidRPr="002C656F">
        <w:t>Instruct students to tak</w:t>
      </w:r>
      <w:r w:rsidR="001A6F92">
        <w:t xml:space="preserve">e out their responses to the previous lesson’s </w:t>
      </w:r>
      <w:r w:rsidRPr="002C656F">
        <w:t xml:space="preserve">homework </w:t>
      </w:r>
      <w:r w:rsidR="001A6F92">
        <w:t>assignment</w:t>
      </w:r>
      <w:r w:rsidRPr="002C656F">
        <w:t>. (</w:t>
      </w:r>
      <w:r w:rsidR="001137C1" w:rsidRPr="007777E1">
        <w:t>A</w:t>
      </w:r>
      <w:r w:rsidR="001137C1" w:rsidRPr="009F7513">
        <w:t>nnot</w:t>
      </w:r>
      <w:r w:rsidR="001137C1" w:rsidRPr="00763D8A">
        <w:t xml:space="preserve">ate and take notes </w:t>
      </w:r>
      <w:r w:rsidR="001137C1" w:rsidRPr="007777E1">
        <w:t>for two more sources found in 12.3.1 Lesson 16. Be prepared to discuss at least two notes that address a selected inquiry question.)</w:t>
      </w:r>
      <w:r w:rsidR="00D2707E" w:rsidRPr="007777E1">
        <w:t xml:space="preserve"> </w:t>
      </w:r>
      <w:r w:rsidRPr="007777E1">
        <w:t xml:space="preserve">Instruct student pairs to discuss two </w:t>
      </w:r>
      <w:r w:rsidR="00AC026B" w:rsidRPr="007777E1">
        <w:t xml:space="preserve">notes that </w:t>
      </w:r>
      <w:r w:rsidR="009B4910" w:rsidRPr="007777E1">
        <w:t>addre</w:t>
      </w:r>
      <w:r w:rsidRPr="007777E1">
        <w:t xml:space="preserve">ss a selected inquiry question. </w:t>
      </w:r>
    </w:p>
    <w:p w14:paraId="21D31CEF" w14:textId="2164C96B" w:rsidR="00E7606A" w:rsidRDefault="004644FF" w:rsidP="002C37C4">
      <w:pPr>
        <w:pStyle w:val="SR"/>
      </w:pPr>
      <w:r w:rsidRPr="00712F5D">
        <w:t xml:space="preserve">Student responses vary depending on individual research questions/problems and research. </w:t>
      </w:r>
    </w:p>
    <w:p w14:paraId="4EA49939" w14:textId="7DD5E0C8" w:rsidR="00E50E73" w:rsidRDefault="00F147B3" w:rsidP="00104F82">
      <w:pPr>
        <w:pStyle w:val="TA"/>
        <w:rPr>
          <w:highlight w:val="cyan"/>
        </w:rPr>
      </w:pPr>
      <w:r w:rsidRPr="004F302F">
        <w:t xml:space="preserve"> </w:t>
      </w:r>
      <w:r w:rsidR="00E50E73" w:rsidRPr="002C656F">
        <w:t>Lea</w:t>
      </w:r>
      <w:r w:rsidR="00EF7F90">
        <w:t>d a brief share out of student</w:t>
      </w:r>
      <w:r w:rsidR="00E50E73" w:rsidRPr="002C656F">
        <w:t xml:space="preserve"> discussions.</w:t>
      </w:r>
    </w:p>
    <w:p w14:paraId="47350F2E" w14:textId="5F7E5A55" w:rsidR="00E50E73" w:rsidRPr="008903B1" w:rsidRDefault="00E50E73" w:rsidP="008903B1">
      <w:pPr>
        <w:pStyle w:val="IN"/>
      </w:pPr>
      <w:r w:rsidRPr="00E50E73">
        <w:t>Consider collecting homework to monitor students’ research progress.</w:t>
      </w:r>
    </w:p>
    <w:p w14:paraId="4E581A38" w14:textId="2B2AC720" w:rsidR="00790BCC" w:rsidRPr="00790BCC" w:rsidRDefault="008E20EF" w:rsidP="007017EB">
      <w:pPr>
        <w:pStyle w:val="LearningSequenceHeader"/>
      </w:pPr>
      <w:r>
        <w:t xml:space="preserve">Activity 3: </w:t>
      </w:r>
      <w:r w:rsidR="00EC3749">
        <w:t>Effective</w:t>
      </w:r>
      <w:r w:rsidR="00EC3749" w:rsidRPr="00564620">
        <w:t xml:space="preserve"> </w:t>
      </w:r>
      <w:r w:rsidRPr="00564620">
        <w:t>Arguments</w:t>
      </w:r>
      <w:r>
        <w:t xml:space="preserve"> Discussion</w:t>
      </w:r>
      <w:r>
        <w:tab/>
        <w:t>20</w:t>
      </w:r>
      <w:r w:rsidR="00790BCC" w:rsidRPr="00790BCC">
        <w:t>%</w:t>
      </w:r>
    </w:p>
    <w:p w14:paraId="24F2C251" w14:textId="59CEBBEE" w:rsidR="008E20EF" w:rsidRPr="004F302F" w:rsidRDefault="004C7503" w:rsidP="008E20EF">
      <w:pPr>
        <w:pStyle w:val="TA"/>
      </w:pPr>
      <w:r w:rsidRPr="004F302F">
        <w:t xml:space="preserve">Remind students that an </w:t>
      </w:r>
      <w:r w:rsidRPr="004F302F">
        <w:rPr>
          <w:i/>
        </w:rPr>
        <w:t>argument</w:t>
      </w:r>
      <w:r w:rsidRPr="004F302F">
        <w:t xml:space="preserve"> is a composition of precise claims about an issue, including relevant and sufficient evidence and valid reasoning. </w:t>
      </w:r>
      <w:r w:rsidR="00702E53" w:rsidRPr="004F302F">
        <w:t xml:space="preserve">Inform students that as they </w:t>
      </w:r>
      <w:r w:rsidR="00CE7F7A" w:rsidRPr="004F302F">
        <w:t xml:space="preserve">continue in </w:t>
      </w:r>
      <w:r w:rsidR="0095184F" w:rsidRPr="004F302F">
        <w:t xml:space="preserve">their research, they should look for </w:t>
      </w:r>
      <w:r w:rsidR="00EC3749" w:rsidRPr="004F302F">
        <w:t xml:space="preserve">effective </w:t>
      </w:r>
      <w:r w:rsidR="0095184F" w:rsidRPr="004F302F">
        <w:t>arguments</w:t>
      </w:r>
      <w:r w:rsidR="001F4868" w:rsidRPr="004F302F">
        <w:t xml:space="preserve"> </w:t>
      </w:r>
      <w:r w:rsidRPr="004F302F">
        <w:t xml:space="preserve">related to </w:t>
      </w:r>
      <w:r w:rsidR="001A72DF" w:rsidRPr="004F302F">
        <w:t>their area</w:t>
      </w:r>
      <w:r w:rsidRPr="004F302F">
        <w:t>s</w:t>
      </w:r>
      <w:r w:rsidR="001A72DF" w:rsidRPr="004F302F">
        <w:t xml:space="preserve"> of investigation</w:t>
      </w:r>
      <w:r w:rsidR="0095184F" w:rsidRPr="004F302F">
        <w:t xml:space="preserve">. </w:t>
      </w:r>
      <w:r w:rsidR="008E20EF" w:rsidRPr="004F302F">
        <w:t xml:space="preserve">Lead a discussion to develop </w:t>
      </w:r>
      <w:r w:rsidR="0095184F" w:rsidRPr="004F302F">
        <w:t>students’ understanding of what a</w:t>
      </w:r>
      <w:r w:rsidRPr="004F302F">
        <w:t>n</w:t>
      </w:r>
      <w:r w:rsidR="0095184F" w:rsidRPr="004F302F">
        <w:t xml:space="preserve"> </w:t>
      </w:r>
      <w:r w:rsidR="00EC3749" w:rsidRPr="004F302F">
        <w:t xml:space="preserve">effective </w:t>
      </w:r>
      <w:r w:rsidR="0095184F" w:rsidRPr="004F302F">
        <w:t>argument is</w:t>
      </w:r>
      <w:r w:rsidR="008E20EF" w:rsidRPr="004F302F">
        <w:t xml:space="preserve">. </w:t>
      </w:r>
      <w:r w:rsidR="00034D58" w:rsidRPr="004F302F">
        <w:t xml:space="preserve">To </w:t>
      </w:r>
      <w:r w:rsidR="008E20EF" w:rsidRPr="004F302F">
        <w:t>thorough</w:t>
      </w:r>
      <w:r w:rsidR="00034D58" w:rsidRPr="004F302F">
        <w:t>ly evaluate</w:t>
      </w:r>
      <w:r w:rsidR="008E20EF" w:rsidRPr="004F302F">
        <w:t xml:space="preserve"> an argument</w:t>
      </w:r>
      <w:r w:rsidR="00CE7F7A" w:rsidRPr="004F302F">
        <w:t>,</w:t>
      </w:r>
      <w:r w:rsidR="0095184F" w:rsidRPr="004F302F">
        <w:t xml:space="preserve"> determine </w:t>
      </w:r>
      <w:r w:rsidRPr="004F302F">
        <w:t>whether</w:t>
      </w:r>
      <w:r w:rsidR="0095184F" w:rsidRPr="004F302F">
        <w:t xml:space="preserve"> it is </w:t>
      </w:r>
      <w:r w:rsidR="00EC3749" w:rsidRPr="004F302F">
        <w:t>effective</w:t>
      </w:r>
      <w:r w:rsidR="008E20EF" w:rsidRPr="004F302F">
        <w:t>,</w:t>
      </w:r>
      <w:r w:rsidR="00CE7F7A" w:rsidRPr="004F302F">
        <w:t xml:space="preserve"> and develop their own perspective on the issue,</w:t>
      </w:r>
      <w:r w:rsidR="008E20EF" w:rsidRPr="004F302F">
        <w:t xml:space="preserve"> students must consider the strengths and weaknesses of the</w:t>
      </w:r>
      <w:r w:rsidR="00CE7F7A" w:rsidRPr="004F302F">
        <w:t xml:space="preserve"> argument. </w:t>
      </w:r>
    </w:p>
    <w:p w14:paraId="38C4A55E" w14:textId="09706DA8" w:rsidR="00AE118A" w:rsidRPr="004F302F" w:rsidRDefault="00AE118A" w:rsidP="00AE118A">
      <w:pPr>
        <w:pStyle w:val="TA"/>
      </w:pPr>
      <w:r w:rsidRPr="004F302F">
        <w:t>Use the following questions to</w:t>
      </w:r>
      <w:r w:rsidR="006971E6" w:rsidRPr="004F302F">
        <w:t xml:space="preserve"> review the work</w:t>
      </w:r>
      <w:r w:rsidR="001A3247" w:rsidRPr="004F302F">
        <w:t xml:space="preserve"> previously</w:t>
      </w:r>
      <w:r w:rsidR="006971E6" w:rsidRPr="004F302F">
        <w:t xml:space="preserve"> completed</w:t>
      </w:r>
      <w:r w:rsidR="004A77B1" w:rsidRPr="004F302F">
        <w:t xml:space="preserve"> in 12.3.1</w:t>
      </w:r>
      <w:r w:rsidRPr="004F302F">
        <w:t xml:space="preserve"> on argument, central claims, and perspective.</w:t>
      </w:r>
    </w:p>
    <w:p w14:paraId="6B08D3DF" w14:textId="77777777" w:rsidR="00AE118A" w:rsidRPr="004F302F" w:rsidRDefault="00AE118A" w:rsidP="00AE118A">
      <w:pPr>
        <w:pStyle w:val="Q"/>
      </w:pPr>
      <w:r w:rsidRPr="004F302F">
        <w:t xml:space="preserve">What is </w:t>
      </w:r>
      <w:r w:rsidRPr="004F302F">
        <w:rPr>
          <w:i/>
        </w:rPr>
        <w:t>perspective</w:t>
      </w:r>
      <w:r w:rsidRPr="004F302F">
        <w:t>?</w:t>
      </w:r>
    </w:p>
    <w:p w14:paraId="4CB51237" w14:textId="77777777" w:rsidR="00AE118A" w:rsidRPr="004F302F" w:rsidRDefault="00AE118A" w:rsidP="00AE118A">
      <w:pPr>
        <w:pStyle w:val="SR"/>
      </w:pPr>
      <w:r w:rsidRPr="004F302F">
        <w:t>How one understands an issue, including his/her relationship to and analysis of the issue.</w:t>
      </w:r>
    </w:p>
    <w:p w14:paraId="598899BA" w14:textId="77777777" w:rsidR="00AE118A" w:rsidRPr="004F302F" w:rsidRDefault="00AE118A" w:rsidP="00AE118A">
      <w:pPr>
        <w:pStyle w:val="Q"/>
      </w:pPr>
      <w:r w:rsidRPr="004F302F">
        <w:t xml:space="preserve">What is a </w:t>
      </w:r>
      <w:r w:rsidRPr="004F302F">
        <w:rPr>
          <w:i/>
        </w:rPr>
        <w:t>central claim</w:t>
      </w:r>
      <w:r w:rsidRPr="004F302F">
        <w:t>?</w:t>
      </w:r>
    </w:p>
    <w:p w14:paraId="687E54ED" w14:textId="77777777" w:rsidR="00AE118A" w:rsidRPr="004F302F" w:rsidRDefault="00AE118A" w:rsidP="00AE118A">
      <w:pPr>
        <w:pStyle w:val="SR"/>
        <w:rPr>
          <w:rFonts w:ascii="Times New Roman" w:hAnsi="Times New Roman"/>
        </w:rPr>
      </w:pPr>
      <w:r w:rsidRPr="004F302F">
        <w:t>An author or speaker’s main point about an issue in an argument.</w:t>
      </w:r>
    </w:p>
    <w:p w14:paraId="518CF890" w14:textId="77777777" w:rsidR="00AE118A" w:rsidRPr="00183C1B" w:rsidRDefault="00AE118A" w:rsidP="00AE118A">
      <w:pPr>
        <w:pStyle w:val="IN"/>
      </w:pPr>
      <w:r w:rsidRPr="00183C1B">
        <w:lastRenderedPageBreak/>
        <w:t>The central claim of an argument</w:t>
      </w:r>
      <w:r w:rsidRPr="00183C1B" w:rsidDel="00854970">
        <w:t xml:space="preserve"> </w:t>
      </w:r>
      <w:r w:rsidRPr="00183C1B">
        <w:t>also may be called a thesis or a position (the author or speaker’s stance). The central claim also may imply the author or speaker’s point of view or purpose (RI.11-12.6).</w:t>
      </w:r>
    </w:p>
    <w:p w14:paraId="28289ECE" w14:textId="77777777" w:rsidR="00AE118A" w:rsidRPr="00183C1B" w:rsidRDefault="00AE118A" w:rsidP="00AE118A">
      <w:pPr>
        <w:pStyle w:val="Q"/>
      </w:pPr>
      <w:r w:rsidRPr="00183C1B">
        <w:t xml:space="preserve">How is an </w:t>
      </w:r>
      <w:r w:rsidRPr="00183C1B">
        <w:rPr>
          <w:i/>
        </w:rPr>
        <w:t>argument</w:t>
      </w:r>
      <w:r w:rsidRPr="00183C1B">
        <w:t xml:space="preserve"> related to a </w:t>
      </w:r>
      <w:r w:rsidRPr="00183C1B">
        <w:rPr>
          <w:i/>
        </w:rPr>
        <w:t>central claim</w:t>
      </w:r>
      <w:r w:rsidRPr="00183C1B">
        <w:t xml:space="preserve">? </w:t>
      </w:r>
    </w:p>
    <w:p w14:paraId="39610D4B" w14:textId="77777777" w:rsidR="00AE118A" w:rsidRPr="00183C1B" w:rsidRDefault="00AE118A" w:rsidP="00AE118A">
      <w:pPr>
        <w:pStyle w:val="SR"/>
      </w:pPr>
      <w:r w:rsidRPr="00183C1B">
        <w:t>Student responses should include:</w:t>
      </w:r>
    </w:p>
    <w:p w14:paraId="5B47C286" w14:textId="77777777" w:rsidR="00AE118A" w:rsidRPr="00183C1B" w:rsidRDefault="00AE118A" w:rsidP="00AE118A">
      <w:pPr>
        <w:pStyle w:val="SASRBullet"/>
      </w:pPr>
      <w:r w:rsidRPr="00183C1B">
        <w:t xml:space="preserve">A </w:t>
      </w:r>
      <w:r w:rsidRPr="00183C1B">
        <w:rPr>
          <w:i/>
        </w:rPr>
        <w:t>central claim</w:t>
      </w:r>
      <w:r w:rsidRPr="00183C1B">
        <w:t xml:space="preserve"> is an author’s main point or statement about an issue.</w:t>
      </w:r>
    </w:p>
    <w:p w14:paraId="6AFE6512" w14:textId="77777777" w:rsidR="00AE118A" w:rsidRPr="00183C1B" w:rsidRDefault="00AE118A" w:rsidP="00AE118A">
      <w:pPr>
        <w:pStyle w:val="SASRBullet"/>
      </w:pPr>
      <w:r w:rsidRPr="00183C1B">
        <w:t xml:space="preserve">An </w:t>
      </w:r>
      <w:r w:rsidRPr="00183C1B">
        <w:rPr>
          <w:i/>
        </w:rPr>
        <w:t>argument</w:t>
      </w:r>
      <w:r w:rsidRPr="00183C1B">
        <w:t xml:space="preserve"> is the text as a whole and it is composed of a series of precise claims supported by relevant and sufficient evidence and valid reasoning. </w:t>
      </w:r>
    </w:p>
    <w:p w14:paraId="3C784DF0" w14:textId="77777777" w:rsidR="00AE118A" w:rsidRPr="00183C1B" w:rsidRDefault="00AE118A" w:rsidP="00AE118A">
      <w:pPr>
        <w:pStyle w:val="SASRBullet"/>
      </w:pPr>
      <w:r w:rsidRPr="00183C1B">
        <w:t xml:space="preserve">A person might use several supporting claims to defend his/her central claim. </w:t>
      </w:r>
    </w:p>
    <w:p w14:paraId="704E7374" w14:textId="0BE941F5" w:rsidR="00AE118A" w:rsidRPr="00183C1B" w:rsidRDefault="00270E2B" w:rsidP="00AE118A">
      <w:pPr>
        <w:pStyle w:val="IN"/>
      </w:pPr>
      <w:r w:rsidRPr="00183C1B">
        <w:rPr>
          <w:b/>
        </w:rPr>
        <w:t>Differentiation Consideration:</w:t>
      </w:r>
      <w:r w:rsidRPr="00183C1B">
        <w:t xml:space="preserve"> If students struggle, consider providing definitions of each of the terms and leading</w:t>
      </w:r>
      <w:r w:rsidR="007F530F" w:rsidRPr="00183C1B">
        <w:t xml:space="preserve"> a</w:t>
      </w:r>
      <w:r w:rsidRPr="00183C1B">
        <w:t xml:space="preserve"> discussion on the differences apparent in the terms.</w:t>
      </w:r>
      <w:r w:rsidR="00C10119" w:rsidRPr="00183C1B">
        <w:t xml:space="preserve"> Remind students that they did not identify Diamond’s central claim in </w:t>
      </w:r>
      <w:r w:rsidR="00C10119" w:rsidRPr="00183C1B">
        <w:rPr>
          <w:i/>
        </w:rPr>
        <w:t>Guns, Germs, and Steel</w:t>
      </w:r>
      <w:r w:rsidR="00C10119" w:rsidRPr="00183C1B">
        <w:t xml:space="preserve"> because they did not read and analyze the entire </w:t>
      </w:r>
      <w:r w:rsidR="00EF7F90">
        <w:t>book.</w:t>
      </w:r>
    </w:p>
    <w:p w14:paraId="0CB01E42" w14:textId="5DFE81BA" w:rsidR="002859E3" w:rsidRPr="00183C1B" w:rsidRDefault="002859E3" w:rsidP="002859E3">
      <w:pPr>
        <w:pStyle w:val="TA"/>
      </w:pPr>
      <w:r w:rsidRPr="00183C1B">
        <w:t>Explain to students that some of the sources</w:t>
      </w:r>
      <w:r w:rsidR="004734A9" w:rsidRPr="00183C1B">
        <w:t xml:space="preserve"> </w:t>
      </w:r>
      <w:r w:rsidRPr="00183C1B">
        <w:t xml:space="preserve">identified in preliminary searches </w:t>
      </w:r>
      <w:r w:rsidR="004734A9" w:rsidRPr="00183C1B">
        <w:t xml:space="preserve">may </w:t>
      </w:r>
      <w:r w:rsidRPr="00183C1B">
        <w:t>contain one or more central claims</w:t>
      </w:r>
      <w:r w:rsidR="004734A9" w:rsidRPr="00183C1B">
        <w:t>.</w:t>
      </w:r>
      <w:r w:rsidR="004814EC" w:rsidRPr="00183C1B">
        <w:t xml:space="preserve"> </w:t>
      </w:r>
      <w:r w:rsidR="004734A9" w:rsidRPr="00183C1B">
        <w:t xml:space="preserve">Explain </w:t>
      </w:r>
      <w:r w:rsidRPr="00183C1B">
        <w:t xml:space="preserve">that thorough evaluation of these central claims is important in determining the merit of </w:t>
      </w:r>
      <w:r w:rsidR="004734A9" w:rsidRPr="00183C1B">
        <w:t xml:space="preserve">a </w:t>
      </w:r>
      <w:r w:rsidRPr="00183C1B">
        <w:t xml:space="preserve">source and whether or not it can contribute to an understanding of </w:t>
      </w:r>
      <w:r w:rsidR="00F24653" w:rsidRPr="00183C1B">
        <w:t xml:space="preserve">an </w:t>
      </w:r>
      <w:r w:rsidRPr="00183C1B">
        <w:t>area of investigation. Guide students through the following questions to strengthen their understanding of argu</w:t>
      </w:r>
      <w:r w:rsidR="00EF7F90">
        <w:t>ments and how to evaluate them.</w:t>
      </w:r>
    </w:p>
    <w:p w14:paraId="5B8579DB" w14:textId="77777777" w:rsidR="009B4910" w:rsidRPr="00183C1B" w:rsidRDefault="009B4910" w:rsidP="009B4910">
      <w:pPr>
        <w:pStyle w:val="Q"/>
        <w:keepNext/>
      </w:pPr>
      <w:r w:rsidRPr="00183C1B">
        <w:t>What makes an argument effective?</w:t>
      </w:r>
    </w:p>
    <w:p w14:paraId="2AA0A306" w14:textId="77777777" w:rsidR="009B4910" w:rsidRPr="00183C1B" w:rsidRDefault="009B4910" w:rsidP="009B4910">
      <w:pPr>
        <w:pStyle w:val="SR"/>
      </w:pPr>
      <w:r w:rsidRPr="00183C1B">
        <w:t>Student responses should include:</w:t>
      </w:r>
    </w:p>
    <w:p w14:paraId="1A545119" w14:textId="0314238A" w:rsidR="00ED62F3" w:rsidRPr="00183C1B" w:rsidRDefault="003E70DE" w:rsidP="00ED62F3">
      <w:pPr>
        <w:pStyle w:val="SASRBullet"/>
      </w:pPr>
      <w:r w:rsidRPr="00183C1B">
        <w:t>An effective argument c</w:t>
      </w:r>
      <w:r w:rsidR="00ED62F3" w:rsidRPr="00183C1B">
        <w:t>learly state</w:t>
      </w:r>
      <w:r w:rsidRPr="00183C1B">
        <w:t>s</w:t>
      </w:r>
      <w:r w:rsidR="00ED62F3" w:rsidRPr="00183C1B">
        <w:t xml:space="preserve"> claims</w:t>
      </w:r>
      <w:r w:rsidRPr="00183C1B">
        <w:t>.</w:t>
      </w:r>
    </w:p>
    <w:p w14:paraId="2FB7ED1F" w14:textId="42048F6D" w:rsidR="00ED62F3" w:rsidRPr="00183C1B" w:rsidRDefault="003E70DE" w:rsidP="00ED62F3">
      <w:pPr>
        <w:pStyle w:val="SASRBullet"/>
      </w:pPr>
      <w:r w:rsidRPr="00183C1B">
        <w:t>It contains s</w:t>
      </w:r>
      <w:r w:rsidR="00ED62F3" w:rsidRPr="00183C1B">
        <w:t>ignificant evidence that is relevant and sufficient to the argument’s claims</w:t>
      </w:r>
      <w:r w:rsidR="003E350B" w:rsidRPr="00183C1B">
        <w:t>.</w:t>
      </w:r>
    </w:p>
    <w:p w14:paraId="182104B1" w14:textId="62C881C4" w:rsidR="009B4910" w:rsidRPr="00183C1B" w:rsidRDefault="00ED62F3" w:rsidP="009B4910">
      <w:pPr>
        <w:pStyle w:val="SASRBullet"/>
      </w:pPr>
      <w:r w:rsidRPr="00183C1B">
        <w:t>A strong line of reasoning</w:t>
      </w:r>
      <w:r w:rsidR="003E70DE" w:rsidRPr="00183C1B">
        <w:t xml:space="preserve"> </w:t>
      </w:r>
      <w:r w:rsidR="004A0873" w:rsidRPr="00183C1B">
        <w:t>makes an argument effective</w:t>
      </w:r>
      <w:r w:rsidR="003E70DE" w:rsidRPr="00183C1B">
        <w:t xml:space="preserve">. </w:t>
      </w:r>
    </w:p>
    <w:p w14:paraId="45BDBDE3" w14:textId="77777777" w:rsidR="009B4910" w:rsidRPr="00183C1B" w:rsidRDefault="009B4910" w:rsidP="009B4910">
      <w:pPr>
        <w:pStyle w:val="Q"/>
      </w:pPr>
      <w:r w:rsidRPr="00183C1B">
        <w:t>What might make an argument ineffective?</w:t>
      </w:r>
    </w:p>
    <w:p w14:paraId="1B2A812A" w14:textId="77777777" w:rsidR="009B4910" w:rsidRPr="00183C1B" w:rsidRDefault="009B4910" w:rsidP="009B4910">
      <w:pPr>
        <w:pStyle w:val="SR"/>
      </w:pPr>
      <w:r w:rsidRPr="00183C1B">
        <w:t>Student responses should include:</w:t>
      </w:r>
    </w:p>
    <w:p w14:paraId="614A2D9E" w14:textId="77777777" w:rsidR="00ED62F3" w:rsidRPr="00183C1B" w:rsidRDefault="00ED62F3" w:rsidP="00534DE3">
      <w:pPr>
        <w:pStyle w:val="SASRBullet"/>
      </w:pPr>
      <w:r w:rsidRPr="00183C1B">
        <w:t>It uses a confusing structure.</w:t>
      </w:r>
    </w:p>
    <w:p w14:paraId="75C4F18B" w14:textId="77777777" w:rsidR="00ED62F3" w:rsidRPr="00F20BE3" w:rsidRDefault="00ED62F3" w:rsidP="00534DE3">
      <w:pPr>
        <w:pStyle w:val="SASRBullet"/>
      </w:pPr>
      <w:r w:rsidRPr="00F20BE3">
        <w:t>The evidence is unrelated and does not support the argument.</w:t>
      </w:r>
    </w:p>
    <w:p w14:paraId="1F7357F6" w14:textId="77777777" w:rsidR="00ED62F3" w:rsidRPr="00F20BE3" w:rsidRDefault="00ED62F3" w:rsidP="00534DE3">
      <w:pPr>
        <w:pStyle w:val="SASRBullet"/>
      </w:pPr>
      <w:r w:rsidRPr="00F20BE3">
        <w:t xml:space="preserve">The argument ignores other perspectives. </w:t>
      </w:r>
    </w:p>
    <w:p w14:paraId="27023297" w14:textId="77777777" w:rsidR="00ED62F3" w:rsidRDefault="00ED62F3" w:rsidP="00534DE3">
      <w:pPr>
        <w:pStyle w:val="SASRBullet"/>
      </w:pPr>
      <w:r w:rsidRPr="00F20BE3">
        <w:t>The argument does not include effective reasoning, so relationships are missing among the evidence, supporting claims, and central claim.</w:t>
      </w:r>
    </w:p>
    <w:p w14:paraId="0AB43B99" w14:textId="33845577" w:rsidR="00744C05" w:rsidRPr="00F20BE3" w:rsidRDefault="00744C05" w:rsidP="00534DE3">
      <w:pPr>
        <w:pStyle w:val="IN"/>
      </w:pPr>
      <w:r w:rsidRPr="00534DE3">
        <w:rPr>
          <w:b/>
        </w:rPr>
        <w:t>Differentiation Consideration</w:t>
      </w:r>
      <w:r w:rsidRPr="008903B1">
        <w:rPr>
          <w:b/>
        </w:rPr>
        <w:t>:</w:t>
      </w:r>
      <w:r>
        <w:t xml:space="preserve"> Consider reviewing </w:t>
      </w:r>
      <w:r w:rsidR="00B6152E">
        <w:t xml:space="preserve">what constitutes </w:t>
      </w:r>
      <w:r>
        <w:t>relevant and sufficient evidence and valid reasoning</w:t>
      </w:r>
      <w:r w:rsidR="00B6152E">
        <w:t>, to which s</w:t>
      </w:r>
      <w:r>
        <w:t xml:space="preserve">tudents were introduced in 12.3.1 Lessons 6, </w:t>
      </w:r>
      <w:r w:rsidR="00733D0F">
        <w:t xml:space="preserve">8, </w:t>
      </w:r>
      <w:r>
        <w:t>11, and 12.</w:t>
      </w:r>
    </w:p>
    <w:p w14:paraId="535B11E3" w14:textId="77777777" w:rsidR="006971E6" w:rsidRPr="00564620" w:rsidRDefault="006971E6" w:rsidP="006971E6">
      <w:pPr>
        <w:pStyle w:val="TA"/>
      </w:pPr>
      <w:r>
        <w:lastRenderedPageBreak/>
        <w:t>Lead a brief whole-class discussion of student responses.</w:t>
      </w:r>
    </w:p>
    <w:p w14:paraId="67CA1232" w14:textId="77777777" w:rsidR="00790BCC" w:rsidRPr="00790BCC" w:rsidRDefault="008E20EF" w:rsidP="007017EB">
      <w:pPr>
        <w:pStyle w:val="LearningSequenceHeader"/>
      </w:pPr>
      <w:r>
        <w:t xml:space="preserve">Activity 4: </w:t>
      </w:r>
      <w:r w:rsidRPr="00564620">
        <w:t>Evidence-Based Arguments Checklist</w:t>
      </w:r>
      <w:r>
        <w:tab/>
        <w:t>30</w:t>
      </w:r>
      <w:r w:rsidR="00790BCC" w:rsidRPr="00790BCC">
        <w:t>%</w:t>
      </w:r>
    </w:p>
    <w:p w14:paraId="4E28F51C" w14:textId="6B0C6EBA" w:rsidR="008E20EF" w:rsidRPr="00995EAC" w:rsidRDefault="002F61CA" w:rsidP="008E20EF">
      <w:pPr>
        <w:pStyle w:val="TA"/>
      </w:pPr>
      <w:r w:rsidRPr="00995EAC">
        <w:t xml:space="preserve">Distribute </w:t>
      </w:r>
      <w:r w:rsidR="008E20EF" w:rsidRPr="00995EAC">
        <w:t>the Evidence-Based Arguments Checklist</w:t>
      </w:r>
      <w:r w:rsidRPr="00995EAC">
        <w:t xml:space="preserve"> to students</w:t>
      </w:r>
      <w:r w:rsidR="008E20EF" w:rsidRPr="00995EAC">
        <w:t xml:space="preserve">. Explain that students use this </w:t>
      </w:r>
      <w:r w:rsidR="008E20EF" w:rsidRPr="00733D0F">
        <w:t xml:space="preserve">checklist to </w:t>
      </w:r>
      <w:r w:rsidR="008E20EF" w:rsidRPr="002C656F">
        <w:t>evaluate</w:t>
      </w:r>
      <w:r w:rsidR="008E20EF" w:rsidRPr="00733D0F">
        <w:t xml:space="preserve"> central</w:t>
      </w:r>
      <w:r w:rsidR="008E20EF" w:rsidRPr="00995EAC">
        <w:t xml:space="preserve"> claims, supporting claims, </w:t>
      </w:r>
      <w:r w:rsidR="00D819D9">
        <w:t xml:space="preserve">evidence, and </w:t>
      </w:r>
      <w:r w:rsidR="008E20EF" w:rsidRPr="00995EAC">
        <w:t>rea</w:t>
      </w:r>
      <w:r w:rsidR="006971E6" w:rsidRPr="00995EAC">
        <w:t xml:space="preserve">soning in sources as they build their understanding of </w:t>
      </w:r>
      <w:r w:rsidR="008E20EF" w:rsidRPr="00995EAC">
        <w:t>a</w:t>
      </w:r>
      <w:r w:rsidR="00EC3749">
        <w:t>n effective</w:t>
      </w:r>
      <w:r w:rsidR="008E20EF" w:rsidRPr="00995EAC">
        <w:t xml:space="preserve"> argument</w:t>
      </w:r>
      <w:r w:rsidR="003F0AA9" w:rsidRPr="00995EAC">
        <w:t>’s components</w:t>
      </w:r>
      <w:r w:rsidR="008E20EF" w:rsidRPr="00995EAC">
        <w:t>.</w:t>
      </w:r>
    </w:p>
    <w:p w14:paraId="1450110F" w14:textId="77777777" w:rsidR="008E20EF" w:rsidRPr="005805FE" w:rsidRDefault="008E20EF" w:rsidP="008E20EF">
      <w:pPr>
        <w:pStyle w:val="SA"/>
        <w:numPr>
          <w:ilvl w:val="0"/>
          <w:numId w:val="8"/>
        </w:numPr>
      </w:pPr>
      <w:r w:rsidRPr="005805FE">
        <w:t>Students listen.</w:t>
      </w:r>
    </w:p>
    <w:p w14:paraId="5EAB36C7" w14:textId="0CE82DFD" w:rsidR="008E20EF" w:rsidRPr="005805FE" w:rsidRDefault="008E20EF" w:rsidP="008E20EF">
      <w:pPr>
        <w:pStyle w:val="TA"/>
      </w:pPr>
      <w:r w:rsidRPr="005805FE">
        <w:t xml:space="preserve">Lead students through an examination of the Evidence-Based Arguments Checklist, focusing on the various criteria present on the checklist. Explain to students that the Evidence-Based Arguments Checklist is composed of </w:t>
      </w:r>
      <w:r w:rsidR="00834A4E" w:rsidRPr="005805FE">
        <w:t>4</w:t>
      </w:r>
      <w:r w:rsidRPr="005805FE">
        <w:t xml:space="preserve"> major </w:t>
      </w:r>
      <w:r w:rsidR="00B6152E" w:rsidRPr="005805FE">
        <w:t>sections</w:t>
      </w:r>
      <w:r w:rsidR="009C107C" w:rsidRPr="005805FE">
        <w:t>:</w:t>
      </w:r>
      <w:r w:rsidR="00B6152E" w:rsidRPr="005805FE">
        <w:t xml:space="preserve"> </w:t>
      </w:r>
    </w:p>
    <w:p w14:paraId="69615153" w14:textId="77777777" w:rsidR="008E20EF" w:rsidRPr="005805FE" w:rsidRDefault="008E20EF" w:rsidP="008E20EF">
      <w:pPr>
        <w:pStyle w:val="BulletedList"/>
      </w:pPr>
      <w:r w:rsidRPr="005805FE">
        <w:t>Content and Analysis</w:t>
      </w:r>
    </w:p>
    <w:p w14:paraId="5579BF9B" w14:textId="77777777" w:rsidR="008E20EF" w:rsidRPr="005805FE" w:rsidRDefault="008E20EF" w:rsidP="008E20EF">
      <w:pPr>
        <w:pStyle w:val="BulletedList"/>
      </w:pPr>
      <w:r w:rsidRPr="005805FE">
        <w:t>Command of Evidence</w:t>
      </w:r>
    </w:p>
    <w:p w14:paraId="3AB89113" w14:textId="77777777" w:rsidR="008E20EF" w:rsidRPr="005805FE" w:rsidRDefault="008E20EF" w:rsidP="008E20EF">
      <w:pPr>
        <w:pStyle w:val="BulletedList"/>
      </w:pPr>
      <w:r w:rsidRPr="005805FE">
        <w:t>Coherence and Organization</w:t>
      </w:r>
    </w:p>
    <w:p w14:paraId="55A251BB" w14:textId="77777777" w:rsidR="008E20EF" w:rsidRPr="005805FE" w:rsidRDefault="008E20EF" w:rsidP="008E20EF">
      <w:pPr>
        <w:pStyle w:val="BulletedList"/>
      </w:pPr>
      <w:r w:rsidRPr="005805FE">
        <w:t>Control of Language and Conventions</w:t>
      </w:r>
    </w:p>
    <w:p w14:paraId="4F2645E1" w14:textId="1C851A55" w:rsidR="008E20EF" w:rsidRPr="005805FE" w:rsidRDefault="008E20EF" w:rsidP="008E20EF">
      <w:pPr>
        <w:pStyle w:val="TA"/>
      </w:pPr>
      <w:r w:rsidRPr="005805FE">
        <w:t xml:space="preserve">Explain that these </w:t>
      </w:r>
      <w:r w:rsidR="00834A4E" w:rsidRPr="005805FE">
        <w:t>4</w:t>
      </w:r>
      <w:r w:rsidRPr="005805FE">
        <w:t xml:space="preserve"> sections </w:t>
      </w:r>
      <w:r w:rsidR="00B06DA9" w:rsidRPr="005805FE">
        <w:t>comprise</w:t>
      </w:r>
      <w:r w:rsidRPr="005805FE">
        <w:t xml:space="preserve"> the </w:t>
      </w:r>
      <w:r w:rsidR="009267EA" w:rsidRPr="005805FE">
        <w:t xml:space="preserve">support structure </w:t>
      </w:r>
      <w:r w:rsidRPr="005805FE">
        <w:t>of the argument. As a strong central claim is supported by strong supporting claims, a strong argument</w:t>
      </w:r>
      <w:r w:rsidR="009267EA" w:rsidRPr="005805FE">
        <w:t xml:space="preserve"> is</w:t>
      </w:r>
      <w:r w:rsidRPr="005805FE">
        <w:t xml:space="preserve"> supported by strong content and analysis, command of evidence, coherence and organization, and control of language and conventions.</w:t>
      </w:r>
      <w:r w:rsidR="006B037B" w:rsidRPr="005805FE">
        <w:t xml:space="preserve"> Explain that the purpose of completing the Evidence-Based Arguments Checklist is to identify the sections in which the source provides strong or weak examples of an evidence-based argument. </w:t>
      </w:r>
      <w:r w:rsidR="007A5AD1" w:rsidRPr="005805FE">
        <w:t>L</w:t>
      </w:r>
      <w:r w:rsidR="006B037B" w:rsidRPr="005805FE">
        <w:t>earning to identify effective components of an argument</w:t>
      </w:r>
      <w:r w:rsidR="007A5AD1" w:rsidRPr="005805FE">
        <w:t xml:space="preserve"> enables </w:t>
      </w:r>
      <w:r w:rsidR="006B037B" w:rsidRPr="005805FE">
        <w:t xml:space="preserve">students to strengthen their own work by searching for strong arguments in </w:t>
      </w:r>
      <w:r w:rsidR="0091502F" w:rsidRPr="005805FE">
        <w:t>12.3.1</w:t>
      </w:r>
      <w:r w:rsidR="006B037B" w:rsidRPr="005805FE">
        <w:t xml:space="preserve"> and writing strong arguments in 12.3.2. </w:t>
      </w:r>
    </w:p>
    <w:p w14:paraId="0A53A581" w14:textId="77777777" w:rsidR="008E20EF" w:rsidRPr="005805FE" w:rsidRDefault="008E20EF" w:rsidP="008E20EF">
      <w:pPr>
        <w:pStyle w:val="SA"/>
        <w:numPr>
          <w:ilvl w:val="0"/>
          <w:numId w:val="8"/>
        </w:numPr>
      </w:pPr>
      <w:r w:rsidRPr="005805FE">
        <w:t>Students listen and follow along.</w:t>
      </w:r>
    </w:p>
    <w:p w14:paraId="4600F465" w14:textId="77777777" w:rsidR="008E20EF" w:rsidRPr="005805FE" w:rsidRDefault="008E20EF" w:rsidP="008E20EF">
      <w:pPr>
        <w:pStyle w:val="BR"/>
      </w:pPr>
    </w:p>
    <w:p w14:paraId="7BEC1532" w14:textId="02CA679C" w:rsidR="000E229C" w:rsidRPr="005805FE" w:rsidRDefault="00EB67BB" w:rsidP="008E20EF">
      <w:pPr>
        <w:pStyle w:val="TA"/>
      </w:pPr>
      <w:r w:rsidRPr="005805FE">
        <w:t>E</w:t>
      </w:r>
      <w:r w:rsidR="00FD021F" w:rsidRPr="005805FE">
        <w:t>xplain that students work in pairs to</w:t>
      </w:r>
      <w:r w:rsidR="008E20EF" w:rsidRPr="005805FE">
        <w:t xml:space="preserve"> examine </w:t>
      </w:r>
      <w:r w:rsidR="006B681B" w:rsidRPr="005805FE">
        <w:t xml:space="preserve">a </w:t>
      </w:r>
      <w:r w:rsidR="008E20EF" w:rsidRPr="005805FE">
        <w:t>model argument and</w:t>
      </w:r>
      <w:r w:rsidR="00FD5F55" w:rsidRPr="005805FE">
        <w:t xml:space="preserve"> practice</w:t>
      </w:r>
      <w:r w:rsidR="008E20EF" w:rsidRPr="005805FE">
        <w:t xml:space="preserve"> complet</w:t>
      </w:r>
      <w:r w:rsidR="00FD5F55" w:rsidRPr="005805FE">
        <w:t>ing</w:t>
      </w:r>
      <w:r w:rsidR="008E20EF" w:rsidRPr="005805FE">
        <w:t xml:space="preserve"> the</w:t>
      </w:r>
      <w:r w:rsidR="00A1013F" w:rsidRPr="005805FE">
        <w:t xml:space="preserve"> first section of the</w:t>
      </w:r>
      <w:r w:rsidR="008E20EF" w:rsidRPr="005805FE">
        <w:t xml:space="preserve"> </w:t>
      </w:r>
      <w:r w:rsidRPr="005805FE">
        <w:t xml:space="preserve">Evidence-Based Arguments Checklist. </w:t>
      </w:r>
      <w:r w:rsidR="008E20EF" w:rsidRPr="005805FE">
        <w:t xml:space="preserve">Display the model source, </w:t>
      </w:r>
      <w:r w:rsidR="0025672C" w:rsidRPr="005805FE">
        <w:t>“Empowering Women Is Smart Economics” by Ana Revenga and Sudhir Shetty</w:t>
      </w:r>
      <w:r w:rsidR="009C107C" w:rsidRPr="005805FE">
        <w:t>,</w:t>
      </w:r>
      <w:r w:rsidR="008E20EF" w:rsidRPr="005805FE">
        <w:t xml:space="preserve"> from 1</w:t>
      </w:r>
      <w:r w:rsidR="00BE0EA5" w:rsidRPr="005805FE">
        <w:t>2</w:t>
      </w:r>
      <w:r w:rsidR="008E20EF" w:rsidRPr="005805FE">
        <w:t>.3.</w:t>
      </w:r>
      <w:r w:rsidR="00BE0EA5" w:rsidRPr="005805FE">
        <w:t>1</w:t>
      </w:r>
      <w:r w:rsidR="008E20EF" w:rsidRPr="005805FE">
        <w:t xml:space="preserve"> Lesson </w:t>
      </w:r>
      <w:r w:rsidR="005A3795" w:rsidRPr="005805FE">
        <w:t>17.</w:t>
      </w:r>
      <w:r w:rsidR="008E20EF" w:rsidRPr="005805FE">
        <w:t xml:space="preserve"> </w:t>
      </w:r>
    </w:p>
    <w:p w14:paraId="340664EB" w14:textId="5F6F2AFC" w:rsidR="008E20EF" w:rsidRPr="005805FE" w:rsidRDefault="000E229C" w:rsidP="002C656F">
      <w:pPr>
        <w:pStyle w:val="SA"/>
      </w:pPr>
      <w:r w:rsidRPr="005805FE">
        <w:t>Students listen.</w:t>
      </w:r>
    </w:p>
    <w:p w14:paraId="6F5B878C" w14:textId="5B68F1A0" w:rsidR="008E20EF" w:rsidRPr="005805FE" w:rsidRDefault="008E20EF" w:rsidP="008E20EF">
      <w:pPr>
        <w:pStyle w:val="TA"/>
      </w:pPr>
      <w:r w:rsidRPr="005805FE">
        <w:t xml:space="preserve">Explain to students that each section of the Evidence-Based Arguments Checklist consists of several smaller </w:t>
      </w:r>
      <w:r w:rsidR="006971E6" w:rsidRPr="005805FE">
        <w:t>components</w:t>
      </w:r>
      <w:r w:rsidR="00B26A45" w:rsidRPr="005805FE">
        <w:t xml:space="preserve"> or subsections</w:t>
      </w:r>
      <w:r w:rsidR="006971E6" w:rsidRPr="005805FE">
        <w:t xml:space="preserve">. </w:t>
      </w:r>
      <w:r w:rsidRPr="005805FE">
        <w:t xml:space="preserve">Instruct students to examine the first section of the Evidence-Based Arguments Checklist: </w:t>
      </w:r>
      <w:r w:rsidR="0091502F" w:rsidRPr="005805FE">
        <w:t>“</w:t>
      </w:r>
      <w:r w:rsidRPr="005805FE">
        <w:t>Content and Analysis.</w:t>
      </w:r>
      <w:r w:rsidR="0091502F" w:rsidRPr="005805FE">
        <w:t>”</w:t>
      </w:r>
      <w:r w:rsidRPr="005805FE">
        <w:t xml:space="preserve"> Explain to students that this section is further broken down into </w:t>
      </w:r>
      <w:r w:rsidR="00834A4E" w:rsidRPr="005805FE">
        <w:t>4</w:t>
      </w:r>
      <w:r w:rsidRPr="005805FE">
        <w:t xml:space="preserve"> </w:t>
      </w:r>
      <w:r w:rsidR="00B74257" w:rsidRPr="005805FE">
        <w:t xml:space="preserve">components or </w:t>
      </w:r>
      <w:r w:rsidRPr="005805FE">
        <w:t xml:space="preserve">subsections: </w:t>
      </w:r>
      <w:r w:rsidR="0091502F" w:rsidRPr="005805FE">
        <w:t>“</w:t>
      </w:r>
      <w:r w:rsidRPr="005805FE">
        <w:t>Clarity and Relevance,</w:t>
      </w:r>
      <w:r w:rsidR="0091502F" w:rsidRPr="005805FE">
        <w:t>”</w:t>
      </w:r>
      <w:r w:rsidRPr="005805FE">
        <w:t xml:space="preserve"> </w:t>
      </w:r>
      <w:r w:rsidR="0091502F" w:rsidRPr="005805FE">
        <w:t>“</w:t>
      </w:r>
      <w:r w:rsidRPr="005805FE">
        <w:t>Conformity to Sources,</w:t>
      </w:r>
      <w:r w:rsidR="0091502F" w:rsidRPr="005805FE">
        <w:t>”</w:t>
      </w:r>
      <w:r w:rsidRPr="005805FE">
        <w:t xml:space="preserve"> </w:t>
      </w:r>
      <w:r w:rsidR="0091502F" w:rsidRPr="005805FE">
        <w:t>“</w:t>
      </w:r>
      <w:r w:rsidRPr="005805FE">
        <w:t>Understanding of the Issue,</w:t>
      </w:r>
      <w:r w:rsidR="0091502F" w:rsidRPr="005805FE">
        <w:t>”</w:t>
      </w:r>
      <w:r w:rsidRPr="005805FE">
        <w:t xml:space="preserve"> and </w:t>
      </w:r>
      <w:r w:rsidR="0091502F" w:rsidRPr="005805FE">
        <w:t>“</w:t>
      </w:r>
      <w:r w:rsidRPr="005805FE">
        <w:t>Acknowledgement of Other Perspectives.</w:t>
      </w:r>
      <w:r w:rsidR="0091502F" w:rsidRPr="005805FE">
        <w:t>”</w:t>
      </w:r>
      <w:r w:rsidRPr="005805FE">
        <w:t xml:space="preserve"> The goal of these </w:t>
      </w:r>
      <w:r w:rsidR="00834A4E" w:rsidRPr="005805FE">
        <w:t>4</w:t>
      </w:r>
      <w:r w:rsidRPr="005805FE">
        <w:t xml:space="preserve"> subsections is to identify the strength of the aut</w:t>
      </w:r>
      <w:r w:rsidR="00CF2493" w:rsidRPr="005805FE">
        <w:t>hor’s content by examining the</w:t>
      </w:r>
      <w:r w:rsidR="00B74257" w:rsidRPr="005805FE">
        <w:t xml:space="preserve"> </w:t>
      </w:r>
      <w:r w:rsidRPr="005805FE">
        <w:t xml:space="preserve">use of varied sources </w:t>
      </w:r>
      <w:r w:rsidRPr="005805FE">
        <w:lastRenderedPageBreak/>
        <w:t>and clear</w:t>
      </w:r>
      <w:r w:rsidR="00B74257" w:rsidRPr="005805FE">
        <w:t xml:space="preserve"> claims, and identifying if the author</w:t>
      </w:r>
      <w:r w:rsidRPr="005805FE">
        <w:t xml:space="preserve"> possess</w:t>
      </w:r>
      <w:r w:rsidR="00B74257" w:rsidRPr="005805FE">
        <w:t>es</w:t>
      </w:r>
      <w:r w:rsidRPr="005805FE">
        <w:t xml:space="preserve"> a deep and thor</w:t>
      </w:r>
      <w:r w:rsidR="00EF7F90" w:rsidRPr="005805FE">
        <w:t xml:space="preserve">ough understanding of the issue, </w:t>
      </w:r>
      <w:r w:rsidRPr="005805FE">
        <w:t xml:space="preserve">supported by broad research. Instruct students to follow along on their Evidence-Based </w:t>
      </w:r>
      <w:r w:rsidR="00AA6B7F" w:rsidRPr="005805FE">
        <w:t xml:space="preserve">Arguments </w:t>
      </w:r>
      <w:r w:rsidRPr="005805FE">
        <w:t>Checklist.</w:t>
      </w:r>
    </w:p>
    <w:p w14:paraId="07E6A1CB" w14:textId="1798BEE8" w:rsidR="00A60F9E" w:rsidRPr="005805FE" w:rsidRDefault="00A60F9E" w:rsidP="002C656F">
      <w:pPr>
        <w:pStyle w:val="SA"/>
        <w:numPr>
          <w:ilvl w:val="0"/>
          <w:numId w:val="8"/>
        </w:numPr>
      </w:pPr>
      <w:r w:rsidRPr="005805FE">
        <w:t>Students follow along on their Evidence-Based Arguments Checklist.</w:t>
      </w:r>
    </w:p>
    <w:p w14:paraId="2A9AC09D" w14:textId="29F583F2" w:rsidR="0025672C" w:rsidRPr="005805FE" w:rsidRDefault="0025672C" w:rsidP="007F4A94">
      <w:pPr>
        <w:pStyle w:val="TA"/>
        <w:rPr>
          <w:rFonts w:ascii="Times" w:hAnsi="Times" w:cs="Times"/>
        </w:rPr>
      </w:pPr>
      <w:r w:rsidRPr="005805FE">
        <w:t xml:space="preserve">Explain that each subsection has a sentence that explains what an ideal example of this technique would look like. For example, a well-executed example of </w:t>
      </w:r>
      <w:r w:rsidR="0091502F" w:rsidRPr="005805FE">
        <w:t>“</w:t>
      </w:r>
      <w:r w:rsidRPr="005805FE">
        <w:t>Clarity and Relevance</w:t>
      </w:r>
      <w:r w:rsidR="0091502F" w:rsidRPr="005805FE">
        <w:t xml:space="preserve">” </w:t>
      </w:r>
      <w:r w:rsidRPr="005805FE">
        <w:t>“purposefully states a central claim that is linked to a clearly identified context (topic, problem, issue) that establishes its relevance.” Instruct students that they can use this as a guideline and reference for examining a text.</w:t>
      </w:r>
      <w:r w:rsidR="006B681B" w:rsidRPr="005805FE">
        <w:t xml:space="preserve"> Students should use the box beside each of these components or subsections to indicate with a check mark whether they find this component present in the argument. </w:t>
      </w:r>
    </w:p>
    <w:p w14:paraId="15AEF379" w14:textId="640A6F33" w:rsidR="00763D8A" w:rsidRPr="005805FE" w:rsidRDefault="0025672C" w:rsidP="00763D8A">
      <w:pPr>
        <w:pStyle w:val="TA"/>
      </w:pPr>
      <w:r w:rsidRPr="005805FE">
        <w:t xml:space="preserve">Examine the </w:t>
      </w:r>
      <w:r w:rsidR="0091502F" w:rsidRPr="005805FE">
        <w:t>“</w:t>
      </w:r>
      <w:r w:rsidRPr="005805FE">
        <w:t>Comments</w:t>
      </w:r>
      <w:r w:rsidR="0091502F" w:rsidRPr="005805FE">
        <w:t>”</w:t>
      </w:r>
      <w:r w:rsidRPr="005805FE">
        <w:t xml:space="preserve"> section with students. Inform students that this </w:t>
      </w:r>
      <w:r w:rsidR="0064720A" w:rsidRPr="005805FE">
        <w:t xml:space="preserve">column </w:t>
      </w:r>
      <w:r w:rsidRPr="005805FE">
        <w:t>is where they need to explain their reasoning for their observations and provide evidence when necessary. Some arguments might require careful close</w:t>
      </w:r>
      <w:r w:rsidR="00EF7F90" w:rsidRPr="005805FE">
        <w:t xml:space="preserve"> </w:t>
      </w:r>
      <w:r w:rsidRPr="005805FE">
        <w:t xml:space="preserve">reading to evaluate whether or not they fulfill a category, so it is essential that students justify their evaluation in this section. </w:t>
      </w:r>
      <w:r w:rsidR="00A60F9E" w:rsidRPr="005805FE">
        <w:t xml:space="preserve">In the </w:t>
      </w:r>
      <w:r w:rsidR="0091502F" w:rsidRPr="005805FE">
        <w:t>“</w:t>
      </w:r>
      <w:r w:rsidR="00CB20F2" w:rsidRPr="005805FE">
        <w:t>C</w:t>
      </w:r>
      <w:r w:rsidR="00A60F9E" w:rsidRPr="005805FE">
        <w:t>omments</w:t>
      </w:r>
      <w:r w:rsidR="0091502F" w:rsidRPr="005805FE">
        <w:t>”</w:t>
      </w:r>
      <w:r w:rsidR="00CB20F2" w:rsidRPr="005805FE">
        <w:t xml:space="preserve"> section</w:t>
      </w:r>
      <w:r w:rsidR="00A60F9E" w:rsidRPr="005805FE">
        <w:t xml:space="preserve">, students should write additional notes about where they found the information in the text and how the author fulfills this section of the checklist. </w:t>
      </w:r>
      <w:r w:rsidRPr="005805FE">
        <w:t>Th</w:t>
      </w:r>
      <w:r w:rsidR="0091502F" w:rsidRPr="005805FE">
        <w:t xml:space="preserve">is </w:t>
      </w:r>
      <w:r w:rsidR="00CB20F2" w:rsidRPr="005805FE">
        <w:t>section</w:t>
      </w:r>
      <w:r w:rsidRPr="005805FE">
        <w:t xml:space="preserve"> provides students the opportunity to defend their decisions</w:t>
      </w:r>
      <w:r w:rsidR="006B681B" w:rsidRPr="005805FE">
        <w:t xml:space="preserve">. </w:t>
      </w:r>
    </w:p>
    <w:p w14:paraId="16BC20FC" w14:textId="77777777" w:rsidR="00F6281E" w:rsidRPr="005805FE" w:rsidRDefault="008E20EF" w:rsidP="002C656F">
      <w:pPr>
        <w:pStyle w:val="SA"/>
      </w:pPr>
      <w:r w:rsidRPr="005805FE">
        <w:t>Students follow along.</w:t>
      </w:r>
    </w:p>
    <w:p w14:paraId="256BE59F" w14:textId="4A4A184C" w:rsidR="008E20EF" w:rsidRPr="005805FE" w:rsidRDefault="008E20EF" w:rsidP="00995EAC">
      <w:pPr>
        <w:pStyle w:val="BR"/>
      </w:pPr>
      <w:r w:rsidRPr="005805FE">
        <w:t xml:space="preserve"> </w:t>
      </w:r>
    </w:p>
    <w:p w14:paraId="4E47495D" w14:textId="111D4442" w:rsidR="00FD021F" w:rsidRPr="005805FE" w:rsidRDefault="00FD021F" w:rsidP="007F4A94">
      <w:pPr>
        <w:pStyle w:val="TA"/>
      </w:pPr>
      <w:r w:rsidRPr="005805FE">
        <w:t xml:space="preserve">Instruct students to transition </w:t>
      </w:r>
      <w:r w:rsidR="00DA2A0B" w:rsidRPr="005805FE">
        <w:t>in</w:t>
      </w:r>
      <w:r w:rsidRPr="005805FE">
        <w:t>to pairs and complete the</w:t>
      </w:r>
      <w:r w:rsidR="00772995" w:rsidRPr="005805FE">
        <w:t xml:space="preserve"> </w:t>
      </w:r>
      <w:r w:rsidR="000001CF" w:rsidRPr="005805FE">
        <w:t>“</w:t>
      </w:r>
      <w:r w:rsidR="00772995" w:rsidRPr="005805FE">
        <w:t>Content and Analysis Section</w:t>
      </w:r>
      <w:r w:rsidR="000001CF" w:rsidRPr="005805FE">
        <w:t>”</w:t>
      </w:r>
      <w:r w:rsidR="00772995" w:rsidRPr="005805FE">
        <w:t xml:space="preserve"> of</w:t>
      </w:r>
      <w:r w:rsidR="00C6504E" w:rsidRPr="005805FE">
        <w:t xml:space="preserve"> the</w:t>
      </w:r>
      <w:r w:rsidRPr="005805FE">
        <w:t xml:space="preserve"> Evidence-Based Arguments Checklist </w:t>
      </w:r>
      <w:r w:rsidR="00C6504E" w:rsidRPr="005805FE">
        <w:t>for model source</w:t>
      </w:r>
      <w:r w:rsidR="00317D76">
        <w:t xml:space="preserve"> #1</w:t>
      </w:r>
      <w:r w:rsidR="00DA2A0B" w:rsidRPr="005805FE">
        <w:t xml:space="preserve"> (“Empowering Women is Smart Economics”)</w:t>
      </w:r>
      <w:r w:rsidR="00C6504E" w:rsidRPr="005805FE">
        <w:t>.</w:t>
      </w:r>
      <w:r w:rsidRPr="005805FE">
        <w:t xml:space="preserve"> Remind students to check boxes (when applicable) and write comments next to each</w:t>
      </w:r>
      <w:r w:rsidR="00237D67" w:rsidRPr="005805FE">
        <w:t xml:space="preserve"> component or subsection</w:t>
      </w:r>
      <w:r w:rsidRPr="005805FE">
        <w:t>.</w:t>
      </w:r>
    </w:p>
    <w:p w14:paraId="6D76C808" w14:textId="08413C81" w:rsidR="00FD021F" w:rsidRPr="005805FE" w:rsidRDefault="00AA6134" w:rsidP="00995EAC">
      <w:pPr>
        <w:pStyle w:val="SR"/>
        <w:rPr>
          <w:b/>
        </w:rPr>
      </w:pPr>
      <w:r w:rsidRPr="005805FE">
        <w:t xml:space="preserve">Student responses may include: </w:t>
      </w:r>
    </w:p>
    <w:p w14:paraId="001BBC3C" w14:textId="48B89E77" w:rsidR="0096041F" w:rsidRPr="009C7BD0" w:rsidRDefault="00FD021F" w:rsidP="002B66EC">
      <w:pPr>
        <w:pStyle w:val="SASRBullet"/>
      </w:pPr>
      <w:r w:rsidRPr="009C7BD0">
        <w:rPr>
          <w:b/>
        </w:rPr>
        <w:t>Clarity and Relevance</w:t>
      </w:r>
      <w:r w:rsidR="00C02F93" w:rsidRPr="008903B1">
        <w:rPr>
          <w:b/>
        </w:rPr>
        <w:t>:</w:t>
      </w:r>
      <w:r w:rsidRPr="009C7BD0">
        <w:t xml:space="preserve"> </w:t>
      </w:r>
      <w:r w:rsidR="0025672C" w:rsidRPr="009C7BD0">
        <w:t>Revenga and Shetty present the claim that “[g]reater gender equality can enhance economic productivity, improve development outcomes for the next generation, and make institutions and policies more representative</w:t>
      </w:r>
      <w:r w:rsidR="007A445C" w:rsidRPr="009C7BD0">
        <w:t>”</w:t>
      </w:r>
      <w:r w:rsidR="00745344">
        <w:t xml:space="preserve"> (par. 3).</w:t>
      </w:r>
      <w:r w:rsidR="00DF0598" w:rsidRPr="009C7BD0">
        <w:t xml:space="preserve"> </w:t>
      </w:r>
      <w:r w:rsidR="002433BF" w:rsidRPr="009C7BD0">
        <w:t>The authors establish the relevance of this claim</w:t>
      </w:r>
      <w:r w:rsidR="0025672C" w:rsidRPr="009C7BD0">
        <w:t xml:space="preserve"> </w:t>
      </w:r>
      <w:r w:rsidR="002433BF" w:rsidRPr="009C7BD0">
        <w:t xml:space="preserve">by </w:t>
      </w:r>
      <w:r w:rsidR="00DF0598" w:rsidRPr="009C7BD0">
        <w:t>showing</w:t>
      </w:r>
      <w:r w:rsidR="008B502D" w:rsidRPr="009C7BD0">
        <w:t xml:space="preserve"> how the claim is rooted in the</w:t>
      </w:r>
      <w:r w:rsidR="00DF0598" w:rsidRPr="009C7BD0">
        <w:t xml:space="preserve"> gender gap that remains in low-</w:t>
      </w:r>
      <w:r w:rsidR="009C107C">
        <w:t xml:space="preserve"> </w:t>
      </w:r>
      <w:r w:rsidR="00DF0598" w:rsidRPr="009C7BD0">
        <w:t xml:space="preserve">and middle-income countries. They explain </w:t>
      </w:r>
      <w:r w:rsidR="002433BF" w:rsidRPr="009C7BD0">
        <w:t>that 40 percent of the world’s workforce is comprised of women and thus “overall productivity will increase if their skills and talents are used more fully</w:t>
      </w:r>
      <w:r w:rsidR="00812867">
        <w:t>”</w:t>
      </w:r>
      <w:r w:rsidR="002433BF" w:rsidRPr="009C7BD0">
        <w:t xml:space="preserve"> (par. 11). They explain further that when women have “greater control over household resources” </w:t>
      </w:r>
      <w:r w:rsidR="005A6A09" w:rsidRPr="009C7BD0">
        <w:t xml:space="preserve">(par. 12), </w:t>
      </w:r>
      <w:r w:rsidR="002433BF" w:rsidRPr="009C7BD0">
        <w:t xml:space="preserve">children benefit by receiving better food and education and that when women play </w:t>
      </w:r>
      <w:r w:rsidR="00A51E05" w:rsidRPr="009C7BD0">
        <w:t>larger</w:t>
      </w:r>
      <w:r w:rsidR="002433BF" w:rsidRPr="009C7BD0">
        <w:t xml:space="preserve"> roles in policymaking </w:t>
      </w:r>
      <w:r w:rsidR="00A51E05" w:rsidRPr="009C7BD0">
        <w:t>there is “</w:t>
      </w:r>
      <w:r w:rsidR="002433BF" w:rsidRPr="009C7BD0">
        <w:t>greater provision of public goods” (par. 13)</w:t>
      </w:r>
      <w:r w:rsidR="00A51E05" w:rsidRPr="009C7BD0">
        <w:t>. Since both the claim and its rel</w:t>
      </w:r>
      <w:r w:rsidR="00C32F49" w:rsidRPr="009C7BD0">
        <w:t>e</w:t>
      </w:r>
      <w:r w:rsidR="00A51E05" w:rsidRPr="009C7BD0">
        <w:t>vance</w:t>
      </w:r>
      <w:r w:rsidR="002433BF" w:rsidRPr="009C7BD0">
        <w:t xml:space="preserve"> </w:t>
      </w:r>
      <w:r w:rsidR="00A51E05" w:rsidRPr="009C7BD0">
        <w:t>are clearly presented, this model source</w:t>
      </w:r>
      <w:r w:rsidR="00C32F49" w:rsidRPr="009C7BD0">
        <w:t xml:space="preserve"> addresses the component of clarity and relevance</w:t>
      </w:r>
      <w:r w:rsidR="004C034B" w:rsidRPr="009C7BD0">
        <w:t>.</w:t>
      </w:r>
    </w:p>
    <w:p w14:paraId="2EC3EA52" w14:textId="4BB7BA7A" w:rsidR="00155C64" w:rsidRPr="00836043" w:rsidRDefault="008E20EF" w:rsidP="00836043">
      <w:pPr>
        <w:pStyle w:val="SASRBullet"/>
      </w:pPr>
      <w:r w:rsidRPr="009C7BD0">
        <w:rPr>
          <w:b/>
        </w:rPr>
        <w:t>Conformity to Sources</w:t>
      </w:r>
      <w:r w:rsidR="004955AC" w:rsidRPr="008903B1">
        <w:rPr>
          <w:b/>
        </w:rPr>
        <w:t>:</w:t>
      </w:r>
      <w:r w:rsidR="004955AC" w:rsidRPr="009C7BD0">
        <w:t xml:space="preserve"> </w:t>
      </w:r>
      <w:r w:rsidR="000E7749" w:rsidRPr="009C7BD0">
        <w:t xml:space="preserve">Revenga and Shetty present a perspective that arises from </w:t>
      </w:r>
      <w:r w:rsidR="005A6A09">
        <w:t xml:space="preserve">a </w:t>
      </w:r>
      <w:r w:rsidR="000E7749" w:rsidRPr="009C7BD0">
        <w:t xml:space="preserve">range of </w:t>
      </w:r>
      <w:r w:rsidR="00F23E46" w:rsidRPr="009C7BD0">
        <w:t>diverse, credible</w:t>
      </w:r>
      <w:r w:rsidR="00F20BE3">
        <w:t>,</w:t>
      </w:r>
      <w:r w:rsidR="00F23E46" w:rsidRPr="009C7BD0">
        <w:t xml:space="preserve"> and significant </w:t>
      </w:r>
      <w:r w:rsidR="000E7749" w:rsidRPr="009C7BD0">
        <w:t>sources</w:t>
      </w:r>
      <w:r w:rsidR="00F23E46" w:rsidRPr="009C7BD0">
        <w:t xml:space="preserve">, </w:t>
      </w:r>
      <w:r w:rsidR="00DF0598" w:rsidRPr="009C7BD0">
        <w:t xml:space="preserve">including articles from the World Bank, the </w:t>
      </w:r>
      <w:r w:rsidR="00DF0598" w:rsidRPr="009C7BD0">
        <w:lastRenderedPageBreak/>
        <w:t xml:space="preserve">Food and Agriculture Organization of the United Nations, and a </w:t>
      </w:r>
      <w:r w:rsidR="005A6A09">
        <w:t>b</w:t>
      </w:r>
      <w:r w:rsidR="00DF0598" w:rsidRPr="009C7BD0">
        <w:t xml:space="preserve">ackground </w:t>
      </w:r>
      <w:r w:rsidR="005A6A09">
        <w:t>p</w:t>
      </w:r>
      <w:r w:rsidR="00DF0598" w:rsidRPr="009C7BD0">
        <w:t>aper for the World Development Report</w:t>
      </w:r>
      <w:r w:rsidR="001001FA" w:rsidRPr="009C7BD0">
        <w:t xml:space="preserve"> 2012. Because </w:t>
      </w:r>
      <w:r w:rsidR="00F20BE3">
        <w:t>the</w:t>
      </w:r>
      <w:r w:rsidR="006B2133">
        <w:t xml:space="preserve"> model source</w:t>
      </w:r>
      <w:r w:rsidR="00F20BE3">
        <w:t xml:space="preserve"> use</w:t>
      </w:r>
      <w:r w:rsidR="006B2133">
        <w:t>s</w:t>
      </w:r>
      <w:r w:rsidR="00F20BE3">
        <w:t xml:space="preserve"> such</w:t>
      </w:r>
      <w:r w:rsidR="006B2133">
        <w:t xml:space="preserve"> diverse resources for support</w:t>
      </w:r>
      <w:r w:rsidR="001001FA" w:rsidRPr="009C7BD0">
        <w:t xml:space="preserve">, </w:t>
      </w:r>
      <w:r w:rsidR="006B2133">
        <w:t>it</w:t>
      </w:r>
      <w:r w:rsidR="008B502D" w:rsidRPr="009C7BD0">
        <w:t xml:space="preserve"> achieves the component of</w:t>
      </w:r>
      <w:r w:rsidR="00F23E46" w:rsidRPr="009C7BD0">
        <w:t xml:space="preserve"> conform</w:t>
      </w:r>
      <w:r w:rsidR="00124C8E">
        <w:t>ity</w:t>
      </w:r>
      <w:r w:rsidR="00F23E46" w:rsidRPr="009C7BD0">
        <w:t xml:space="preserve"> to sources.</w:t>
      </w:r>
    </w:p>
    <w:p w14:paraId="1A123408" w14:textId="355459E0" w:rsidR="00D54555" w:rsidRPr="005805FE" w:rsidRDefault="004955AC" w:rsidP="00242E6F">
      <w:pPr>
        <w:pStyle w:val="IN"/>
        <w:rPr>
          <w:b/>
        </w:rPr>
      </w:pPr>
      <w:r w:rsidRPr="005805FE">
        <w:rPr>
          <w:b/>
        </w:rPr>
        <w:t>Differentiation Consideration</w:t>
      </w:r>
      <w:r w:rsidRPr="005805FE">
        <w:t xml:space="preserve">: </w:t>
      </w:r>
      <w:r w:rsidR="00C01DC0" w:rsidRPr="005805FE">
        <w:t xml:space="preserve">Remind students of the word </w:t>
      </w:r>
      <w:r w:rsidR="00C01DC0" w:rsidRPr="005805FE">
        <w:rPr>
          <w:i/>
        </w:rPr>
        <w:t>credible</w:t>
      </w:r>
      <w:r w:rsidR="00C01DC0" w:rsidRPr="005805FE">
        <w:t xml:space="preserve"> from 12.3.1 Lesson 16 (“worthy of belief or confidence; trustworthy”). </w:t>
      </w:r>
    </w:p>
    <w:p w14:paraId="6AE6F1AF" w14:textId="34D2EBAD" w:rsidR="0096041F" w:rsidRPr="009C7BD0" w:rsidRDefault="008E20EF" w:rsidP="009A0138">
      <w:pPr>
        <w:pStyle w:val="SASRBullet"/>
      </w:pPr>
      <w:r w:rsidRPr="009C7BD0">
        <w:rPr>
          <w:b/>
        </w:rPr>
        <w:t xml:space="preserve">Understanding of the </w:t>
      </w:r>
      <w:r w:rsidR="002F0EC5">
        <w:rPr>
          <w:b/>
        </w:rPr>
        <w:t>i</w:t>
      </w:r>
      <w:r w:rsidRPr="009C7BD0">
        <w:rPr>
          <w:b/>
        </w:rPr>
        <w:t>ssue</w:t>
      </w:r>
      <w:r w:rsidR="004955AC" w:rsidRPr="008903B1">
        <w:rPr>
          <w:b/>
        </w:rPr>
        <w:t>:</w:t>
      </w:r>
      <w:r w:rsidR="004955AC" w:rsidRPr="009C7BD0">
        <w:t xml:space="preserve"> In the model text, </w:t>
      </w:r>
      <w:r w:rsidR="00F23E46" w:rsidRPr="009C7BD0">
        <w:t>Revenga and Shetty</w:t>
      </w:r>
      <w:r w:rsidR="004955AC" w:rsidRPr="009C7BD0">
        <w:t xml:space="preserve"> build a series of valid claims that support one another and contribute to </w:t>
      </w:r>
      <w:r w:rsidR="00292640" w:rsidRPr="009C7BD0">
        <w:t xml:space="preserve">their </w:t>
      </w:r>
      <w:r w:rsidR="004955AC" w:rsidRPr="009C7BD0">
        <w:t xml:space="preserve">central claim. </w:t>
      </w:r>
      <w:r w:rsidR="00292640" w:rsidRPr="009C7BD0">
        <w:t>They</w:t>
      </w:r>
      <w:r w:rsidR="004955AC" w:rsidRPr="009C7BD0">
        <w:t xml:space="preserve"> begin</w:t>
      </w:r>
      <w:r w:rsidR="00292640" w:rsidRPr="009C7BD0">
        <w:t xml:space="preserve"> by acknowledging that</w:t>
      </w:r>
      <w:r w:rsidR="00AD018D" w:rsidRPr="009C7BD0">
        <w:t xml:space="preserve"> although the gender gap has improved, gender inequity is still prevalent. </w:t>
      </w:r>
      <w:r w:rsidR="00014765" w:rsidRPr="009C7BD0">
        <w:t xml:space="preserve">The authors then discuss </w:t>
      </w:r>
      <w:r w:rsidR="00BC7AD7" w:rsidRPr="009C7BD0">
        <w:t>the current state of global gender issues</w:t>
      </w:r>
      <w:r w:rsidR="00EA2D1B" w:rsidRPr="009C7BD0">
        <w:t xml:space="preserve"> with facts and statistics for support,</w:t>
      </w:r>
      <w:r w:rsidR="00BC7AD7" w:rsidRPr="009C7BD0">
        <w:t xml:space="preserve"> before addressing </w:t>
      </w:r>
      <w:r w:rsidR="00CE52CC">
        <w:t>5</w:t>
      </w:r>
      <w:r w:rsidR="00BC7AD7" w:rsidRPr="009C7BD0">
        <w:t xml:space="preserve"> specific</w:t>
      </w:r>
      <w:r w:rsidR="00014765" w:rsidRPr="009C7BD0">
        <w:t xml:space="preserve"> priorities</w:t>
      </w:r>
      <w:r w:rsidR="00BC7AD7" w:rsidRPr="009C7BD0">
        <w:t xml:space="preserve"> for consideration. </w:t>
      </w:r>
      <w:r w:rsidR="004955AC" w:rsidRPr="009C7BD0">
        <w:t xml:space="preserve">The </w:t>
      </w:r>
      <w:r w:rsidR="00BC7AD7" w:rsidRPr="009C7BD0">
        <w:t xml:space="preserve">series </w:t>
      </w:r>
      <w:r w:rsidR="004955AC" w:rsidRPr="009C7BD0">
        <w:t xml:space="preserve">of claims </w:t>
      </w:r>
      <w:r w:rsidR="00BC7AD7" w:rsidRPr="009C7BD0">
        <w:t xml:space="preserve">and analysis show </w:t>
      </w:r>
      <w:r w:rsidR="004955AC" w:rsidRPr="009C7BD0">
        <w:t xml:space="preserve">that </w:t>
      </w:r>
      <w:r w:rsidR="00BC7AD7" w:rsidRPr="009C7BD0">
        <w:t xml:space="preserve">Revenga and Shetty </w:t>
      </w:r>
      <w:r w:rsidR="004955AC" w:rsidRPr="009C7BD0">
        <w:t>ha</w:t>
      </w:r>
      <w:r w:rsidR="00BC7AD7" w:rsidRPr="009C7BD0">
        <w:t>ve</w:t>
      </w:r>
      <w:r w:rsidR="004955AC" w:rsidRPr="009C7BD0">
        <w:t xml:space="preserve"> a </w:t>
      </w:r>
      <w:r w:rsidR="00757663">
        <w:t>broad knowledge</w:t>
      </w:r>
      <w:r w:rsidR="00757663" w:rsidRPr="009C7BD0">
        <w:t xml:space="preserve"> </w:t>
      </w:r>
      <w:r w:rsidR="00757663">
        <w:t>and</w:t>
      </w:r>
      <w:r w:rsidR="00757663" w:rsidRPr="009C7BD0">
        <w:t xml:space="preserve"> </w:t>
      </w:r>
      <w:r w:rsidR="004955AC" w:rsidRPr="009C7BD0">
        <w:t>comprehensive understanding</w:t>
      </w:r>
      <w:r w:rsidR="00BA3775">
        <w:t xml:space="preserve"> </w:t>
      </w:r>
      <w:r w:rsidR="004955AC" w:rsidRPr="009C7BD0">
        <w:t xml:space="preserve">of the issue. </w:t>
      </w:r>
      <w:r w:rsidR="00BC7AD7" w:rsidRPr="009C7BD0">
        <w:t xml:space="preserve">Revenga and Shetty </w:t>
      </w:r>
      <w:r w:rsidR="00BA3775">
        <w:t>present</w:t>
      </w:r>
      <w:r w:rsidR="004955AC" w:rsidRPr="009C7BD0">
        <w:t xml:space="preserve"> a perspective based on a comprehensive understanding of the issue</w:t>
      </w:r>
      <w:r w:rsidR="000001CF">
        <w:t>,</w:t>
      </w:r>
      <w:r w:rsidR="00641527" w:rsidRPr="009C7BD0">
        <w:t xml:space="preserve"> past and present,</w:t>
      </w:r>
      <w:r w:rsidR="004955AC" w:rsidRPr="009C7BD0">
        <w:t xml:space="preserve"> and establish valid claims that emerge from reasoned </w:t>
      </w:r>
      <w:r w:rsidR="00CA513F" w:rsidRPr="009C7BD0">
        <w:t>analysis</w:t>
      </w:r>
      <w:r w:rsidR="00757663">
        <w:t>,</w:t>
      </w:r>
      <w:r w:rsidR="00CA513F" w:rsidRPr="009C7BD0">
        <w:t xml:space="preserve"> and therefore demonstrate</w:t>
      </w:r>
      <w:r w:rsidR="00641527" w:rsidRPr="009C7BD0">
        <w:t xml:space="preserve"> the component of</w:t>
      </w:r>
      <w:r w:rsidR="00CA513F" w:rsidRPr="009C7BD0">
        <w:t xml:space="preserve"> understanding the issue. </w:t>
      </w:r>
    </w:p>
    <w:p w14:paraId="42B6D632" w14:textId="0601992A" w:rsidR="00B47FF9" w:rsidRDefault="008E20EF" w:rsidP="00995EAC">
      <w:pPr>
        <w:pStyle w:val="SASRBullet"/>
      </w:pPr>
      <w:r w:rsidRPr="009C7BD0">
        <w:rPr>
          <w:b/>
        </w:rPr>
        <w:t xml:space="preserve">Acknowledgement of </w:t>
      </w:r>
      <w:r w:rsidR="002F0EC5">
        <w:rPr>
          <w:b/>
        </w:rPr>
        <w:t>o</w:t>
      </w:r>
      <w:r w:rsidRPr="009C7BD0">
        <w:rPr>
          <w:b/>
        </w:rPr>
        <w:t xml:space="preserve">ther </w:t>
      </w:r>
      <w:r w:rsidR="002F0EC5">
        <w:rPr>
          <w:b/>
        </w:rPr>
        <w:t>p</w:t>
      </w:r>
      <w:r w:rsidRPr="009C7BD0">
        <w:rPr>
          <w:b/>
        </w:rPr>
        <w:t>erspectives</w:t>
      </w:r>
      <w:r w:rsidR="004955AC" w:rsidRPr="009C7BD0">
        <w:rPr>
          <w:b/>
        </w:rPr>
        <w:t xml:space="preserve">: </w:t>
      </w:r>
      <w:r w:rsidR="004955AC" w:rsidRPr="009C7BD0">
        <w:t>In the model text,</w:t>
      </w:r>
      <w:r w:rsidR="006F543E" w:rsidRPr="009C7BD0">
        <w:t xml:space="preserve"> Revenga</w:t>
      </w:r>
      <w:r w:rsidR="006F543E" w:rsidRPr="00232F9D">
        <w:t xml:space="preserve"> and Shetty</w:t>
      </w:r>
      <w:r w:rsidR="004955AC" w:rsidRPr="00995EAC">
        <w:t xml:space="preserve"> do not clearly establish or acknowledge any opposing claims. Because of this lack of a significant counterclaim</w:t>
      </w:r>
      <w:r w:rsidR="007A0624">
        <w:t>,</w:t>
      </w:r>
      <w:r w:rsidR="004955AC" w:rsidRPr="00995EAC">
        <w:t xml:space="preserve"> the source does not meet the criteria for </w:t>
      </w:r>
      <w:r w:rsidR="004955AC" w:rsidRPr="009C7BD0">
        <w:t xml:space="preserve">acknowledging other </w:t>
      </w:r>
      <w:r w:rsidR="000E683C">
        <w:t>perspectives</w:t>
      </w:r>
      <w:r w:rsidR="004955AC" w:rsidRPr="009C7BD0">
        <w:t>.</w:t>
      </w:r>
    </w:p>
    <w:p w14:paraId="3A686E4E" w14:textId="72DC318D" w:rsidR="009E1E38" w:rsidRDefault="009E1E38" w:rsidP="002C656F">
      <w:pPr>
        <w:pStyle w:val="TA"/>
      </w:pPr>
      <w:r>
        <w:t>Lead a brief whole-class discussion of student responses.</w:t>
      </w:r>
    </w:p>
    <w:p w14:paraId="2DD04248" w14:textId="1B85B024" w:rsidR="00E00EB3" w:rsidRDefault="00F26C37" w:rsidP="00E00EB3">
      <w:pPr>
        <w:pStyle w:val="IN"/>
      </w:pPr>
      <w:r w:rsidRPr="00E00EB3">
        <w:rPr>
          <w:b/>
        </w:rPr>
        <w:t>Differentiation Consideration</w:t>
      </w:r>
      <w:r w:rsidRPr="00995EAC">
        <w:rPr>
          <w:b/>
        </w:rPr>
        <w:t>:</w:t>
      </w:r>
      <w:r>
        <w:t xml:space="preserve"> </w:t>
      </w:r>
      <w:r w:rsidR="009E1E38">
        <w:t>If students need additional support in preparation for independent use of the Evidence-Based Arguments Checklist, c</w:t>
      </w:r>
      <w:r>
        <w:t xml:space="preserve">onsider modeling </w:t>
      </w:r>
      <w:r w:rsidR="0020021E">
        <w:t xml:space="preserve">how to complete </w:t>
      </w:r>
      <w:r w:rsidR="00DF761B">
        <w:t>the</w:t>
      </w:r>
      <w:r w:rsidR="0020021E">
        <w:t xml:space="preserve"> Content and Analysis</w:t>
      </w:r>
      <w:r>
        <w:t xml:space="preserve"> </w:t>
      </w:r>
      <w:r w:rsidR="00DF761B">
        <w:t>sub</w:t>
      </w:r>
      <w:r>
        <w:t>section</w:t>
      </w:r>
      <w:r w:rsidR="00DF761B">
        <w:t>s</w:t>
      </w:r>
      <w:r w:rsidR="009E1E38">
        <w:t xml:space="preserve"> or </w:t>
      </w:r>
      <w:r w:rsidR="009E1E38" w:rsidRPr="00995EAC">
        <w:t>instruct</w:t>
      </w:r>
      <w:r w:rsidR="009E1E38">
        <w:t>ing</w:t>
      </w:r>
      <w:r w:rsidR="009E1E38" w:rsidRPr="00995EAC">
        <w:t xml:space="preserve"> student pairs to </w:t>
      </w:r>
      <w:r w:rsidR="009E1E38">
        <w:t>complete th</w:t>
      </w:r>
      <w:r w:rsidR="00292461">
        <w:t>e rest of the checklist’s</w:t>
      </w:r>
      <w:r w:rsidR="009E1E38">
        <w:t xml:space="preserve"> sections</w:t>
      </w:r>
      <w:r w:rsidR="009E1E38" w:rsidRPr="00995EAC">
        <w:t>.</w:t>
      </w:r>
      <w:r w:rsidR="009E1E38">
        <w:t xml:space="preserve"> </w:t>
      </w:r>
    </w:p>
    <w:p w14:paraId="58ABADFD" w14:textId="298BA1D1" w:rsidR="00790BCC" w:rsidRPr="00790BCC" w:rsidRDefault="00D54555" w:rsidP="009E1E38">
      <w:pPr>
        <w:pStyle w:val="LearningSequenceHeader"/>
      </w:pPr>
      <w:r>
        <w:t xml:space="preserve">Activity 5: Argument </w:t>
      </w:r>
      <w:r w:rsidRPr="002C656F">
        <w:t>Evaluation</w:t>
      </w:r>
      <w:r w:rsidRPr="008F521F">
        <w:t xml:space="preserve"> Activity</w:t>
      </w:r>
      <w:r w:rsidRPr="00564620">
        <w:t xml:space="preserve"> and Assessment</w:t>
      </w:r>
      <w:r>
        <w:tab/>
        <w:t>30</w:t>
      </w:r>
      <w:r w:rsidR="00790BCC" w:rsidRPr="00790BCC">
        <w:t>%</w:t>
      </w:r>
    </w:p>
    <w:p w14:paraId="4D3EACA2" w14:textId="4CF91E37" w:rsidR="00D54555" w:rsidRPr="00564620" w:rsidRDefault="00DE2672" w:rsidP="00D54555">
      <w:pPr>
        <w:pStyle w:val="TA"/>
      </w:pPr>
      <w:r w:rsidRPr="00995EAC">
        <w:t>Explain to students that they</w:t>
      </w:r>
      <w:r w:rsidR="009B7DA3">
        <w:t xml:space="preserve"> are going to </w:t>
      </w:r>
      <w:r w:rsidRPr="00995EAC">
        <w:t xml:space="preserve">work in </w:t>
      </w:r>
      <w:r w:rsidRPr="005B036F">
        <w:t xml:space="preserve">groups to </w:t>
      </w:r>
      <w:r w:rsidR="00D54555" w:rsidRPr="002C656F">
        <w:t>evaluate</w:t>
      </w:r>
      <w:r w:rsidR="00D54555" w:rsidRPr="005B036F">
        <w:t xml:space="preserve"> at</w:t>
      </w:r>
      <w:r w:rsidR="00D54555" w:rsidRPr="00995EAC">
        <w:t xml:space="preserve"> least two arguments by completing an Evidence-Based Arguments Checklist.</w:t>
      </w:r>
      <w:r w:rsidR="00D54555" w:rsidRPr="00564620">
        <w:t xml:space="preserve"> </w:t>
      </w:r>
    </w:p>
    <w:p w14:paraId="7871A800" w14:textId="0C090970" w:rsidR="00D54555" w:rsidRPr="00242E6F" w:rsidRDefault="0095184F" w:rsidP="00D54555">
      <w:pPr>
        <w:pStyle w:val="TA"/>
      </w:pPr>
      <w:r w:rsidRPr="00900089">
        <w:t>Similar to the model text from the previous activity, p</w:t>
      </w:r>
      <w:r w:rsidR="00D54555" w:rsidRPr="00995EAC">
        <w:t xml:space="preserve">ost </w:t>
      </w:r>
      <w:r w:rsidR="009B7DA3">
        <w:t>3–4</w:t>
      </w:r>
      <w:r w:rsidR="00D54555" w:rsidRPr="00995EAC">
        <w:t xml:space="preserve"> model arguments around the classroom </w:t>
      </w:r>
      <w:r w:rsidR="00D54555" w:rsidRPr="00242E6F">
        <w:t>for students to examine.</w:t>
      </w:r>
    </w:p>
    <w:p w14:paraId="304EB66A" w14:textId="77777777" w:rsidR="00D54555" w:rsidRPr="005805FE" w:rsidRDefault="00D54555" w:rsidP="00D54555">
      <w:pPr>
        <w:pStyle w:val="IN"/>
      </w:pPr>
      <w:r w:rsidRPr="005805FE">
        <w:t xml:space="preserve">Consider posting arguments that contain varying levels of sophistication with regard to the Evidence-Based Arguments Checklist; consider including some arguments that fail to provide a command of evidence or sufficient analysis. </w:t>
      </w:r>
    </w:p>
    <w:p w14:paraId="56B8C18B" w14:textId="747FDE14" w:rsidR="00D54555" w:rsidRPr="005805FE" w:rsidRDefault="00D54555" w:rsidP="00D54555">
      <w:pPr>
        <w:pStyle w:val="TA"/>
      </w:pPr>
      <w:r w:rsidRPr="005805FE">
        <w:t>Explain that</w:t>
      </w:r>
      <w:r w:rsidR="00564829" w:rsidRPr="005805FE">
        <w:t xml:space="preserve"> in</w:t>
      </w:r>
      <w:r w:rsidRPr="005805FE">
        <w:t xml:space="preserve"> this activity</w:t>
      </w:r>
      <w:r w:rsidR="007D5C10" w:rsidRPr="005805FE">
        <w:t>,</w:t>
      </w:r>
      <w:r w:rsidR="00564829" w:rsidRPr="005805FE">
        <w:t xml:space="preserve"> s</w:t>
      </w:r>
      <w:r w:rsidRPr="005805FE">
        <w:t xml:space="preserve">tudents examine the posted arguments and use the Evidence-Based Arguments Checklist to evaluate </w:t>
      </w:r>
      <w:r w:rsidR="00567BC6" w:rsidRPr="005805FE">
        <w:t>each</w:t>
      </w:r>
      <w:r w:rsidR="007D5C10" w:rsidRPr="005805FE">
        <w:t xml:space="preserve"> argument</w:t>
      </w:r>
      <w:r w:rsidRPr="005805FE">
        <w:t xml:space="preserve">. In addition, students provide textual evidence for their </w:t>
      </w:r>
      <w:r w:rsidR="007D5C10" w:rsidRPr="005805FE">
        <w:lastRenderedPageBreak/>
        <w:t xml:space="preserve">evaluation </w:t>
      </w:r>
      <w:r w:rsidR="00567BC6" w:rsidRPr="005805FE">
        <w:t>by including where they find</w:t>
      </w:r>
      <w:r w:rsidRPr="005805FE">
        <w:t xml:space="preserve"> evidence of the arguments’ strengths/weaknesses in the </w:t>
      </w:r>
      <w:r w:rsidR="009B7DA3" w:rsidRPr="005805FE">
        <w:t>“</w:t>
      </w:r>
      <w:r w:rsidRPr="005805FE">
        <w:t>Comments</w:t>
      </w:r>
      <w:r w:rsidR="009B7DA3" w:rsidRPr="005805FE">
        <w:t>”</w:t>
      </w:r>
      <w:r w:rsidRPr="005805FE">
        <w:t xml:space="preserve"> section of the Evidence-Based Arguments Checklist</w:t>
      </w:r>
      <w:r w:rsidR="00B560DA" w:rsidRPr="005805FE">
        <w:t xml:space="preserve"> </w:t>
      </w:r>
      <w:r w:rsidR="00B560DA" w:rsidRPr="005805FE">
        <w:rPr>
          <w:color w:val="4F81BD" w:themeColor="accent1"/>
        </w:rPr>
        <w:t>(W.11-12.7)</w:t>
      </w:r>
      <w:r w:rsidR="00B560DA" w:rsidRPr="005805FE">
        <w:t>.</w:t>
      </w:r>
    </w:p>
    <w:p w14:paraId="08E5E4D0" w14:textId="77777777" w:rsidR="00D54555" w:rsidRPr="005805FE" w:rsidRDefault="00D54555" w:rsidP="00D54555">
      <w:pPr>
        <w:pStyle w:val="SA"/>
        <w:numPr>
          <w:ilvl w:val="0"/>
          <w:numId w:val="8"/>
        </w:numPr>
      </w:pPr>
      <w:r w:rsidRPr="005805FE">
        <w:t>Students listen.</w:t>
      </w:r>
    </w:p>
    <w:p w14:paraId="7687C7F1" w14:textId="23F0D022" w:rsidR="00D54555" w:rsidRPr="005805FE" w:rsidRDefault="00D54555" w:rsidP="00D54555">
      <w:pPr>
        <w:pStyle w:val="TA"/>
      </w:pPr>
      <w:r w:rsidRPr="005805FE">
        <w:t xml:space="preserve">Create groups of </w:t>
      </w:r>
      <w:r w:rsidR="009B7DA3" w:rsidRPr="005805FE">
        <w:t>4–5</w:t>
      </w:r>
      <w:r w:rsidRPr="005805FE">
        <w:t xml:space="preserve"> students. Each group evaluate</w:t>
      </w:r>
      <w:r w:rsidR="00D03B23" w:rsidRPr="005805FE">
        <w:t>s</w:t>
      </w:r>
      <w:r w:rsidRPr="005805FE">
        <w:t xml:space="preserve"> two posted arguments using the Evidence-Based Arguments Checklist. Each group should discuss the arguments and collaborate to </w:t>
      </w:r>
      <w:r w:rsidR="009E1E38" w:rsidRPr="005805FE">
        <w:t xml:space="preserve">determine </w:t>
      </w:r>
      <w:r w:rsidRPr="005805FE">
        <w:t>the strengths and weaknesses of each argument.</w:t>
      </w:r>
    </w:p>
    <w:p w14:paraId="520E5439" w14:textId="38E9CB33" w:rsidR="00D54555" w:rsidRPr="005805FE" w:rsidRDefault="00D54555" w:rsidP="00D54555">
      <w:pPr>
        <w:pStyle w:val="TA"/>
      </w:pPr>
      <w:r w:rsidRPr="005805FE">
        <w:t xml:space="preserve">Assign each group a posted argument </w:t>
      </w:r>
      <w:r w:rsidR="009E1E38" w:rsidRPr="005805FE">
        <w:t xml:space="preserve">with which </w:t>
      </w:r>
      <w:r w:rsidRPr="005805FE">
        <w:t xml:space="preserve">to start, and then instruct each group to move clockwise after the first half of this activity to examine the next model argument. </w:t>
      </w:r>
    </w:p>
    <w:p w14:paraId="0AC1E94D" w14:textId="77777777" w:rsidR="00D54555" w:rsidRPr="005805FE" w:rsidRDefault="00D54555" w:rsidP="00D54555">
      <w:pPr>
        <w:pStyle w:val="SA"/>
        <w:numPr>
          <w:ilvl w:val="0"/>
          <w:numId w:val="8"/>
        </w:numPr>
      </w:pPr>
      <w:r w:rsidRPr="005805FE">
        <w:t xml:space="preserve">Student groups complete the Evidence-Based Arguments Checklist for two posted arguments. </w:t>
      </w:r>
    </w:p>
    <w:p w14:paraId="6603485C" w14:textId="77777777" w:rsidR="00D54555" w:rsidRPr="005805FE" w:rsidRDefault="00D54555" w:rsidP="00D54555">
      <w:pPr>
        <w:pStyle w:val="IN"/>
      </w:pPr>
      <w:r w:rsidRPr="005805FE">
        <w:t>Consider reminding students of their previous work with standard SL.11-12.1, which requires that students participate in collaborative discussions, building on each other’s ideas and expressing their own clearly and persuasively.</w:t>
      </w:r>
    </w:p>
    <w:p w14:paraId="26FBE6D6" w14:textId="77777777" w:rsidR="00D54555" w:rsidRPr="00564620" w:rsidRDefault="00D54555" w:rsidP="00D54555">
      <w:pPr>
        <w:pStyle w:val="BR"/>
      </w:pPr>
    </w:p>
    <w:p w14:paraId="28D36B6C" w14:textId="3AFB31AE" w:rsidR="00D54555" w:rsidRPr="005805FE" w:rsidRDefault="00D54555" w:rsidP="00D54555">
      <w:pPr>
        <w:pStyle w:val="TA"/>
      </w:pPr>
      <w:r w:rsidRPr="005805FE">
        <w:t>Each individual student should complete two Evidence-Based Argument</w:t>
      </w:r>
      <w:r w:rsidR="00AA6B7F" w:rsidRPr="005805FE">
        <w:t>s</w:t>
      </w:r>
      <w:r w:rsidRPr="005805FE">
        <w:t xml:space="preserve"> Checklists</w:t>
      </w:r>
      <w:r w:rsidR="009E1E38" w:rsidRPr="005805FE">
        <w:t xml:space="preserve">, </w:t>
      </w:r>
      <w:r w:rsidRPr="005805FE">
        <w:t>one for each of the two assigned arguments. Instruct students to turn in</w:t>
      </w:r>
      <w:r w:rsidR="00EB1D6C" w:rsidRPr="005805FE">
        <w:t xml:space="preserve"> </w:t>
      </w:r>
      <w:r w:rsidR="009B7DA3" w:rsidRPr="005805FE">
        <w:t xml:space="preserve">their </w:t>
      </w:r>
      <w:r w:rsidR="00EB1D6C" w:rsidRPr="005805FE">
        <w:t>completed checklists</w:t>
      </w:r>
      <w:r w:rsidRPr="005805FE">
        <w:t xml:space="preserve"> at the end of the lesson. </w:t>
      </w:r>
    </w:p>
    <w:p w14:paraId="51CCD33E" w14:textId="36E2F1A7" w:rsidR="00D54555" w:rsidRPr="005805FE" w:rsidRDefault="00D54555" w:rsidP="00D54555">
      <w:pPr>
        <w:pStyle w:val="IN"/>
      </w:pPr>
      <w:r w:rsidRPr="005805FE">
        <w:rPr>
          <w:b/>
        </w:rPr>
        <w:t>Differentiation Consideration:</w:t>
      </w:r>
      <w:r w:rsidRPr="005805FE">
        <w:t xml:space="preserve"> Depending on student</w:t>
      </w:r>
      <w:r w:rsidR="009E1E38" w:rsidRPr="005805FE">
        <w:t xml:space="preserve"> needs</w:t>
      </w:r>
      <w:r w:rsidRPr="005805FE">
        <w:t xml:space="preserve">, consider adjusting the number of argument evaluations required for this lesson assessment or assigning specific model arguments to specific groups. </w:t>
      </w:r>
    </w:p>
    <w:p w14:paraId="39D0D687" w14:textId="77777777" w:rsidR="00790BCC" w:rsidRPr="005805FE" w:rsidRDefault="00790BCC" w:rsidP="007017EB">
      <w:pPr>
        <w:pStyle w:val="LearningSequenceHeader"/>
      </w:pPr>
      <w:r w:rsidRPr="005805FE">
        <w:t>Activity 6: Closing</w:t>
      </w:r>
      <w:r w:rsidRPr="005805FE">
        <w:tab/>
        <w:t>5%</w:t>
      </w:r>
    </w:p>
    <w:p w14:paraId="1BC2CD31" w14:textId="1E2B86AE" w:rsidR="00D80BDA" w:rsidRPr="005805FE" w:rsidRDefault="00D80BDA" w:rsidP="00D80BDA">
      <w:pPr>
        <w:pStyle w:val="TA"/>
      </w:pPr>
      <w:bookmarkStart w:id="0" w:name="OLE_LINK21"/>
      <w:bookmarkStart w:id="1" w:name="OLE_LINK22"/>
      <w:bookmarkEnd w:id="0"/>
      <w:bookmarkEnd w:id="1"/>
      <w:r w:rsidRPr="005805FE">
        <w:t xml:space="preserve">Display and distribute the homework assignment. For homework, instruct students to find two potential sources and evaluate the arguments in the sources using the Evidence-Based Arguments Checklist. Ask students to include detailed comments and textual evidence to support their choices in the </w:t>
      </w:r>
      <w:r w:rsidR="002F0EC5" w:rsidRPr="005805FE">
        <w:t>“</w:t>
      </w:r>
      <w:r w:rsidRPr="005805FE">
        <w:t>Comments</w:t>
      </w:r>
      <w:r w:rsidR="002F0EC5" w:rsidRPr="005805FE">
        <w:t>”</w:t>
      </w:r>
      <w:r w:rsidRPr="005805FE">
        <w:t xml:space="preserve"> section of the Evidence-Based Arguments Checklist for each potential source.</w:t>
      </w:r>
    </w:p>
    <w:p w14:paraId="7B338AA0" w14:textId="42AC4907" w:rsidR="00D80BDA" w:rsidRPr="005805FE" w:rsidRDefault="00D80BDA" w:rsidP="00D80BDA">
      <w:pPr>
        <w:pStyle w:val="IN"/>
      </w:pPr>
      <w:r w:rsidRPr="005805FE">
        <w:rPr>
          <w:b/>
        </w:rPr>
        <w:t>Differentiation Consideration:</w:t>
      </w:r>
      <w:r w:rsidRPr="005805FE">
        <w:t xml:space="preserve"> Some of the </w:t>
      </w:r>
      <w:r w:rsidR="00AC40CF" w:rsidRPr="005805FE">
        <w:t xml:space="preserve">issues </w:t>
      </w:r>
      <w:r w:rsidRPr="005805FE">
        <w:t xml:space="preserve">students are researching may yield complex or inaccessible texts. To address this concern, consider recommending that students make use of free databases accessible through </w:t>
      </w:r>
      <w:hyperlink r:id="rId8" w:tgtFrame="_blank" w:history="1">
        <w:r w:rsidRPr="005805FE">
          <w:rPr>
            <w:rStyle w:val="Hyperlink"/>
          </w:rPr>
          <w:t>http://novelnewyork.org/</w:t>
        </w:r>
      </w:hyperlink>
      <w:r w:rsidR="00757663" w:rsidRPr="005805FE">
        <w:rPr>
          <w:rStyle w:val="Hyperlink"/>
        </w:rPr>
        <w:t>,</w:t>
      </w:r>
      <w:r w:rsidRPr="005805FE">
        <w:t xml:space="preserve"> such as Grolier, Gale, and ProQuest; these databases allow searches by subject/keyword</w:t>
      </w:r>
      <w:r w:rsidR="00757663" w:rsidRPr="005805FE">
        <w:t>,</w:t>
      </w:r>
      <w:r w:rsidRPr="005805FE">
        <w:t xml:space="preserve"> and students may filter the searches so that only texts within certain Lexile</w:t>
      </w:r>
      <w:r w:rsidR="002D6E00" w:rsidRPr="005805FE">
        <w:t>®</w:t>
      </w:r>
      <w:r w:rsidRPr="005805FE">
        <w:t xml:space="preserve"> ranges are returned. Consider collaborating with a librarian or media specialist to access these databases and create filtered searches that support students’ reading levels.</w:t>
      </w:r>
    </w:p>
    <w:p w14:paraId="355CBA54" w14:textId="3571AF57" w:rsidR="002D6E00" w:rsidRPr="002C37C4" w:rsidRDefault="002D6E00" w:rsidP="008903B1">
      <w:pPr>
        <w:pStyle w:val="SA"/>
        <w:numPr>
          <w:ilvl w:val="0"/>
          <w:numId w:val="8"/>
        </w:numPr>
      </w:pPr>
      <w:r w:rsidRPr="002C37C4">
        <w:t>Students follow along.</w:t>
      </w:r>
    </w:p>
    <w:p w14:paraId="035A1A9C" w14:textId="77777777" w:rsidR="00790BCC" w:rsidRPr="00950076" w:rsidRDefault="00790BCC" w:rsidP="007017EB">
      <w:pPr>
        <w:pStyle w:val="Heading1"/>
      </w:pPr>
      <w:r w:rsidRPr="00950076">
        <w:lastRenderedPageBreak/>
        <w:t>Homework</w:t>
      </w:r>
    </w:p>
    <w:p w14:paraId="7104BFB9" w14:textId="6850FAF3" w:rsidR="00221D38" w:rsidRDefault="00D80BDA" w:rsidP="00D80BDA">
      <w:pPr>
        <w:sectPr w:rsidR="00221D38" w:rsidSect="00540662">
          <w:headerReference w:type="default" r:id="rId9"/>
          <w:footerReference w:type="even" r:id="rId10"/>
          <w:footerReference w:type="default" r:id="rId11"/>
          <w:pgSz w:w="12240" w:h="15840"/>
          <w:pgMar w:top="1440" w:right="1440" w:bottom="1440" w:left="1440" w:header="432" w:footer="648" w:gutter="0"/>
          <w:cols w:space="720"/>
          <w:docGrid w:linePitch="299"/>
        </w:sectPr>
      </w:pPr>
      <w:r w:rsidRPr="005805FE">
        <w:t xml:space="preserve">Find two potential sources and </w:t>
      </w:r>
      <w:bookmarkStart w:id="2" w:name="_GoBack"/>
      <w:r w:rsidRPr="005805FE">
        <w:t>evaluate</w:t>
      </w:r>
      <w:bookmarkEnd w:id="2"/>
      <w:r w:rsidRPr="005805FE">
        <w:t xml:space="preserve"> the arguments in the sources using the Evidence-Based Arguments Checklist. Include detailed comments and textual evidence to support your choices in the </w:t>
      </w:r>
      <w:r w:rsidR="002F0EC5" w:rsidRPr="005805FE">
        <w:t>“</w:t>
      </w:r>
      <w:r w:rsidRPr="005805FE">
        <w:t>Comments</w:t>
      </w:r>
      <w:r w:rsidR="002F0EC5" w:rsidRPr="005805FE">
        <w:t>”</w:t>
      </w:r>
      <w:r w:rsidRPr="005805FE">
        <w:t xml:space="preserve"> section of the Evidence-Based Arguments Checklist for each potential source.</w:t>
      </w:r>
    </w:p>
    <w:p w14:paraId="48571FDB" w14:textId="77777777" w:rsidR="007F4A94" w:rsidRPr="00564620" w:rsidRDefault="007F4A94" w:rsidP="007F4A94">
      <w:pPr>
        <w:pStyle w:val="ToolHeader"/>
      </w:pPr>
      <w:r w:rsidRPr="00564620">
        <w:lastRenderedPageBreak/>
        <w:t xml:space="preserve">Evidence-Based Arguments Checklist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835"/>
        <w:gridCol w:w="1013"/>
        <w:gridCol w:w="4191"/>
        <w:gridCol w:w="996"/>
        <w:gridCol w:w="1891"/>
      </w:tblGrid>
      <w:tr w:rsidR="007F4A94" w:rsidRPr="00564620" w14:paraId="5D814764" w14:textId="77777777" w:rsidTr="00347ED4">
        <w:trPr>
          <w:trHeight w:val="516"/>
        </w:trPr>
        <w:tc>
          <w:tcPr>
            <w:tcW w:w="1135" w:type="dxa"/>
            <w:shd w:val="clear" w:color="auto" w:fill="D9D9D9"/>
            <w:vAlign w:val="center"/>
          </w:tcPr>
          <w:p w14:paraId="516DDD77" w14:textId="77777777" w:rsidR="007F4A94" w:rsidRPr="00C835E3" w:rsidRDefault="007F4A94" w:rsidP="00EE58F3">
            <w:pPr>
              <w:pStyle w:val="TableText"/>
              <w:rPr>
                <w:b/>
              </w:rPr>
            </w:pPr>
            <w:r w:rsidRPr="00C835E3">
              <w:rPr>
                <w:b/>
              </w:rPr>
              <w:t>Name:</w:t>
            </w:r>
          </w:p>
        </w:tc>
        <w:tc>
          <w:tcPr>
            <w:tcW w:w="3835" w:type="dxa"/>
            <w:shd w:val="clear" w:color="auto" w:fill="auto"/>
            <w:vAlign w:val="center"/>
          </w:tcPr>
          <w:p w14:paraId="7ED5EDF3" w14:textId="77777777" w:rsidR="007F4A94" w:rsidRPr="00C835E3" w:rsidRDefault="007F4A94" w:rsidP="00EE58F3">
            <w:pPr>
              <w:pStyle w:val="TableText"/>
              <w:rPr>
                <w:b/>
              </w:rPr>
            </w:pPr>
          </w:p>
        </w:tc>
        <w:tc>
          <w:tcPr>
            <w:tcW w:w="1013" w:type="dxa"/>
            <w:shd w:val="clear" w:color="auto" w:fill="D9D9D9"/>
            <w:vAlign w:val="center"/>
          </w:tcPr>
          <w:p w14:paraId="70168DAB" w14:textId="77777777" w:rsidR="007F4A94" w:rsidRPr="00C835E3" w:rsidRDefault="007F4A94" w:rsidP="00EE58F3">
            <w:pPr>
              <w:pStyle w:val="TableText"/>
              <w:rPr>
                <w:b/>
              </w:rPr>
            </w:pPr>
            <w:r w:rsidRPr="00C835E3">
              <w:rPr>
                <w:b/>
              </w:rPr>
              <w:t>Class:</w:t>
            </w:r>
          </w:p>
        </w:tc>
        <w:tc>
          <w:tcPr>
            <w:tcW w:w="4191" w:type="dxa"/>
            <w:shd w:val="clear" w:color="auto" w:fill="auto"/>
            <w:vAlign w:val="center"/>
          </w:tcPr>
          <w:p w14:paraId="2C45C5D8" w14:textId="77777777" w:rsidR="007F4A94" w:rsidRPr="00C835E3" w:rsidRDefault="007F4A94" w:rsidP="00EE58F3">
            <w:pPr>
              <w:pStyle w:val="TableText"/>
              <w:rPr>
                <w:b/>
              </w:rPr>
            </w:pPr>
          </w:p>
        </w:tc>
        <w:tc>
          <w:tcPr>
            <w:tcW w:w="996" w:type="dxa"/>
            <w:shd w:val="clear" w:color="auto" w:fill="D9D9D9"/>
            <w:vAlign w:val="center"/>
          </w:tcPr>
          <w:p w14:paraId="0BC3B887" w14:textId="77777777" w:rsidR="007F4A94" w:rsidRPr="00C835E3" w:rsidRDefault="007F4A94" w:rsidP="00EE58F3">
            <w:pPr>
              <w:pStyle w:val="TableText"/>
              <w:rPr>
                <w:b/>
              </w:rPr>
            </w:pPr>
            <w:r w:rsidRPr="00C835E3">
              <w:rPr>
                <w:b/>
              </w:rPr>
              <w:t>Date:</w:t>
            </w:r>
          </w:p>
        </w:tc>
        <w:tc>
          <w:tcPr>
            <w:tcW w:w="1891" w:type="dxa"/>
            <w:shd w:val="clear" w:color="auto" w:fill="auto"/>
            <w:vAlign w:val="center"/>
          </w:tcPr>
          <w:p w14:paraId="6E8ACA56" w14:textId="77777777" w:rsidR="007F4A94" w:rsidRPr="00C835E3" w:rsidRDefault="007F4A94" w:rsidP="00EE58F3">
            <w:pPr>
              <w:pStyle w:val="TableText"/>
              <w:rPr>
                <w:b/>
              </w:rPr>
            </w:pPr>
          </w:p>
        </w:tc>
      </w:tr>
    </w:tbl>
    <w:p w14:paraId="3D387842" w14:textId="77777777" w:rsidR="00AC00C5" w:rsidRPr="00AC00C5" w:rsidRDefault="00AC00C5" w:rsidP="00AC00C5">
      <w:pPr>
        <w:spacing w:before="0" w:after="0"/>
        <w:rPr>
          <w:sz w:val="10"/>
          <w:szCs w:val="1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1"/>
      </w:tblGrid>
      <w:tr w:rsidR="00347ED4" w:rsidRPr="00564620" w14:paraId="0F8648FA" w14:textId="77777777" w:rsidTr="004D1D31">
        <w:trPr>
          <w:trHeight w:val="516"/>
        </w:trPr>
        <w:tc>
          <w:tcPr>
            <w:tcW w:w="13061" w:type="dxa"/>
            <w:shd w:val="clear" w:color="auto" w:fill="D9D9D9"/>
            <w:vAlign w:val="center"/>
          </w:tcPr>
          <w:p w14:paraId="2B55A421" w14:textId="686D6B56" w:rsidR="00347ED4" w:rsidRPr="00C835E3" w:rsidRDefault="00347ED4" w:rsidP="004D1D31">
            <w:pPr>
              <w:pStyle w:val="TableText"/>
              <w:rPr>
                <w:b/>
              </w:rPr>
            </w:pPr>
            <w:r w:rsidRPr="001A2162">
              <w:rPr>
                <w:b/>
              </w:rPr>
              <w:t xml:space="preserve">Directions: </w:t>
            </w:r>
            <w:r>
              <w:t xml:space="preserve">Evaluate Evidence-Based Arguments by examining the components designated on the checklist. Identify whether or not the argument contains the appropriate section components and make a check mark if the component is present. Provide your evidence and the location where the component appears in the </w:t>
            </w:r>
            <w:r w:rsidR="00CE52CC">
              <w:t>“</w:t>
            </w:r>
            <w:r w:rsidR="00AE57CA">
              <w:t>C</w:t>
            </w:r>
            <w:r>
              <w:t>omments</w:t>
            </w:r>
            <w:r w:rsidR="00CE52CC">
              <w:t>”</w:t>
            </w:r>
            <w:r>
              <w:t xml:space="preserve"> section.</w:t>
            </w:r>
          </w:p>
        </w:tc>
      </w:tr>
    </w:tbl>
    <w:p w14:paraId="439CB4CC" w14:textId="77777777" w:rsidR="007F4A94" w:rsidRDefault="007F4A94" w:rsidP="007F4A94">
      <w:pPr>
        <w:spacing w:before="0" w:after="0"/>
        <w:rPr>
          <w:sz w:val="1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1926"/>
      </w:tblGrid>
      <w:tr w:rsidR="00AC00C5" w:rsidRPr="00564620" w14:paraId="1A30363C" w14:textId="77777777" w:rsidTr="00A97CEB">
        <w:trPr>
          <w:trHeight w:val="516"/>
        </w:trPr>
        <w:tc>
          <w:tcPr>
            <w:tcW w:w="1135" w:type="dxa"/>
            <w:shd w:val="clear" w:color="auto" w:fill="D9D9D9"/>
            <w:vAlign w:val="center"/>
          </w:tcPr>
          <w:p w14:paraId="23E93258" w14:textId="7F93D4BA" w:rsidR="00AC00C5" w:rsidRPr="00C835E3" w:rsidRDefault="00AC00C5" w:rsidP="00081534">
            <w:pPr>
              <w:pStyle w:val="TableText"/>
              <w:rPr>
                <w:b/>
              </w:rPr>
            </w:pPr>
            <w:r>
              <w:rPr>
                <w:b/>
              </w:rPr>
              <w:t>Text:</w:t>
            </w:r>
          </w:p>
        </w:tc>
        <w:tc>
          <w:tcPr>
            <w:tcW w:w="11926" w:type="dxa"/>
            <w:shd w:val="clear" w:color="auto" w:fill="auto"/>
            <w:vAlign w:val="center"/>
          </w:tcPr>
          <w:p w14:paraId="047BBDE2" w14:textId="77777777" w:rsidR="00AC00C5" w:rsidRPr="00C835E3" w:rsidRDefault="00AC00C5" w:rsidP="00081534">
            <w:pPr>
              <w:pStyle w:val="TableText"/>
              <w:rPr>
                <w:b/>
              </w:rPr>
            </w:pPr>
          </w:p>
        </w:tc>
      </w:tr>
    </w:tbl>
    <w:p w14:paraId="4FA50C97" w14:textId="77777777" w:rsidR="00AC00C5" w:rsidRPr="00AC00C5" w:rsidRDefault="00AC00C5" w:rsidP="007F4A94">
      <w:pPr>
        <w:spacing w:before="0" w:after="0"/>
        <w:rPr>
          <w:b/>
          <w:sz w:val="10"/>
          <w:szCs w:val="10"/>
        </w:rPr>
      </w:pPr>
    </w:p>
    <w:tbl>
      <w:tblPr>
        <w:tblW w:w="1304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3534"/>
        <w:gridCol w:w="443"/>
        <w:gridCol w:w="6815"/>
      </w:tblGrid>
      <w:tr w:rsidR="007F4A94" w:rsidRPr="00564620" w14:paraId="04A97A55" w14:textId="77777777" w:rsidTr="00EE58F3">
        <w:trPr>
          <w:trHeight w:val="144"/>
          <w:tblHeader/>
        </w:trPr>
        <w:tc>
          <w:tcPr>
            <w:tcW w:w="2251" w:type="dxa"/>
            <w:shd w:val="clear" w:color="auto" w:fill="D9D9D9"/>
          </w:tcPr>
          <w:p w14:paraId="00F135FE" w14:textId="48BBAAEB" w:rsidR="007F4A94" w:rsidRPr="00C835E3" w:rsidRDefault="007F4A94" w:rsidP="00CE52CC">
            <w:pPr>
              <w:pStyle w:val="ToolTableText"/>
              <w:rPr>
                <w:b/>
              </w:rPr>
            </w:pPr>
            <w:r w:rsidRPr="00C835E3">
              <w:rPr>
                <w:b/>
              </w:rPr>
              <w:t xml:space="preserve">Argument </w:t>
            </w:r>
            <w:r w:rsidR="00CE52CC">
              <w:rPr>
                <w:b/>
              </w:rPr>
              <w:t>s</w:t>
            </w:r>
            <w:r w:rsidRPr="00C835E3">
              <w:rPr>
                <w:b/>
              </w:rPr>
              <w:t>ections</w:t>
            </w:r>
          </w:p>
        </w:tc>
        <w:tc>
          <w:tcPr>
            <w:tcW w:w="3534" w:type="dxa"/>
            <w:shd w:val="clear" w:color="auto" w:fill="D9D9D9"/>
          </w:tcPr>
          <w:p w14:paraId="40B10EA4" w14:textId="6298C9B1" w:rsidR="007F4A94" w:rsidRPr="00C835E3" w:rsidRDefault="007F4A94" w:rsidP="00EE58F3">
            <w:pPr>
              <w:pStyle w:val="ToolTableText"/>
              <w:rPr>
                <w:b/>
              </w:rPr>
            </w:pPr>
            <w:r w:rsidRPr="00C835E3">
              <w:rPr>
                <w:b/>
              </w:rPr>
              <w:t xml:space="preserve">Section </w:t>
            </w:r>
            <w:r w:rsidR="00CE52CC">
              <w:rPr>
                <w:b/>
              </w:rPr>
              <w:t>c</w:t>
            </w:r>
            <w:r w:rsidRPr="00C835E3">
              <w:rPr>
                <w:b/>
              </w:rPr>
              <w:t>omponents</w:t>
            </w:r>
          </w:p>
        </w:tc>
        <w:tc>
          <w:tcPr>
            <w:tcW w:w="443" w:type="dxa"/>
            <w:shd w:val="clear" w:color="auto" w:fill="D9D9D9"/>
          </w:tcPr>
          <w:p w14:paraId="638B7A5A" w14:textId="77777777" w:rsidR="007F4A94" w:rsidRPr="00C835E3" w:rsidRDefault="007F4A94" w:rsidP="00EE58F3">
            <w:pPr>
              <w:pStyle w:val="ToolTableText"/>
              <w:rPr>
                <w:b/>
              </w:rPr>
            </w:pPr>
            <w:r w:rsidRPr="00C835E3">
              <w:rPr>
                <w:rFonts w:ascii="MS Gothic" w:eastAsia="MS Gothic" w:hAnsi="MS Gothic" w:hint="eastAsia"/>
                <w:b/>
              </w:rPr>
              <w:t>☐</w:t>
            </w:r>
          </w:p>
        </w:tc>
        <w:tc>
          <w:tcPr>
            <w:tcW w:w="6815" w:type="dxa"/>
            <w:shd w:val="clear" w:color="auto" w:fill="D9D9D9"/>
          </w:tcPr>
          <w:p w14:paraId="78E1ACA7" w14:textId="77777777" w:rsidR="007F4A94" w:rsidRPr="00C835E3" w:rsidRDefault="007F4A94" w:rsidP="00EE58F3">
            <w:pPr>
              <w:pStyle w:val="ToolTableText"/>
              <w:rPr>
                <w:b/>
              </w:rPr>
            </w:pPr>
            <w:r w:rsidRPr="00C835E3">
              <w:rPr>
                <w:b/>
              </w:rPr>
              <w:t>Comments</w:t>
            </w:r>
          </w:p>
        </w:tc>
      </w:tr>
      <w:tr w:rsidR="007F4A94" w:rsidRPr="00564620" w14:paraId="060EED7E" w14:textId="77777777" w:rsidTr="00EE58F3">
        <w:trPr>
          <w:trHeight w:val="144"/>
        </w:trPr>
        <w:tc>
          <w:tcPr>
            <w:tcW w:w="2251" w:type="dxa"/>
            <w:vMerge w:val="restart"/>
            <w:shd w:val="clear" w:color="auto" w:fill="auto"/>
          </w:tcPr>
          <w:p w14:paraId="74C6C580" w14:textId="77777777" w:rsidR="007F4A94" w:rsidRPr="00C835E3" w:rsidRDefault="007F4A94" w:rsidP="00EE58F3">
            <w:pPr>
              <w:pStyle w:val="ToolTableText"/>
              <w:rPr>
                <w:b/>
              </w:rPr>
            </w:pPr>
            <w:r w:rsidRPr="00C835E3">
              <w:rPr>
                <w:b/>
              </w:rPr>
              <w:t>Content and Analysis</w:t>
            </w:r>
          </w:p>
        </w:tc>
        <w:tc>
          <w:tcPr>
            <w:tcW w:w="3534" w:type="dxa"/>
            <w:shd w:val="clear" w:color="auto" w:fill="auto"/>
          </w:tcPr>
          <w:p w14:paraId="0893A94D" w14:textId="6782B776" w:rsidR="007F4A94" w:rsidRPr="00C835E3" w:rsidRDefault="007F4A94" w:rsidP="004A1320">
            <w:pPr>
              <w:pStyle w:val="ToolTableText"/>
              <w:rPr>
                <w:b/>
              </w:rPr>
            </w:pPr>
            <w:r w:rsidRPr="00C835E3">
              <w:rPr>
                <w:b/>
              </w:rPr>
              <w:t xml:space="preserve">Clarity and </w:t>
            </w:r>
            <w:r w:rsidR="004A1320">
              <w:rPr>
                <w:b/>
              </w:rPr>
              <w:t>r</w:t>
            </w:r>
            <w:r w:rsidRPr="00C835E3">
              <w:rPr>
                <w:b/>
              </w:rPr>
              <w:t xml:space="preserve">elevance: </w:t>
            </w:r>
            <w:r w:rsidRPr="00564620">
              <w:t>Purposefully states a central claim that is linked to a clearly identified context (topic, problem, issue)</w:t>
            </w:r>
            <w:r w:rsidR="002F0EC5">
              <w:t xml:space="preserve"> that establishes its relevance</w:t>
            </w:r>
          </w:p>
        </w:tc>
        <w:tc>
          <w:tcPr>
            <w:tcW w:w="443" w:type="dxa"/>
            <w:shd w:val="clear" w:color="auto" w:fill="auto"/>
          </w:tcPr>
          <w:p w14:paraId="23D2B4BC" w14:textId="77777777" w:rsidR="007F4A94" w:rsidRPr="00564620" w:rsidRDefault="007F4A94" w:rsidP="00EE58F3">
            <w:r w:rsidRPr="00C835E3">
              <w:rPr>
                <w:rFonts w:ascii="MS Gothic" w:eastAsia="MS Gothic" w:hAnsi="MS Gothic" w:hint="eastAsia"/>
              </w:rPr>
              <w:t>☐</w:t>
            </w:r>
          </w:p>
        </w:tc>
        <w:tc>
          <w:tcPr>
            <w:tcW w:w="6815" w:type="dxa"/>
            <w:shd w:val="clear" w:color="auto" w:fill="auto"/>
          </w:tcPr>
          <w:p w14:paraId="656C47E4" w14:textId="77777777" w:rsidR="007F4A94" w:rsidRPr="00564620" w:rsidRDefault="007F4A94" w:rsidP="00EE58F3">
            <w:pPr>
              <w:pStyle w:val="ToolTableText"/>
            </w:pPr>
          </w:p>
        </w:tc>
      </w:tr>
      <w:tr w:rsidR="007F4A94" w:rsidRPr="00564620" w14:paraId="79C9CF13" w14:textId="77777777" w:rsidTr="00EE58F3">
        <w:trPr>
          <w:trHeight w:val="144"/>
        </w:trPr>
        <w:tc>
          <w:tcPr>
            <w:tcW w:w="2251" w:type="dxa"/>
            <w:vMerge/>
            <w:shd w:val="clear" w:color="auto" w:fill="auto"/>
          </w:tcPr>
          <w:p w14:paraId="05B9B153" w14:textId="77777777" w:rsidR="007F4A94" w:rsidRPr="00564620" w:rsidRDefault="007F4A94" w:rsidP="00EE58F3">
            <w:pPr>
              <w:pStyle w:val="ToolTableText"/>
            </w:pPr>
          </w:p>
        </w:tc>
        <w:tc>
          <w:tcPr>
            <w:tcW w:w="3534" w:type="dxa"/>
            <w:shd w:val="clear" w:color="auto" w:fill="auto"/>
          </w:tcPr>
          <w:p w14:paraId="3FD4799F" w14:textId="4E7C594B" w:rsidR="007F4A94" w:rsidRPr="00C835E3" w:rsidRDefault="007F4A94" w:rsidP="004A1320">
            <w:pPr>
              <w:pStyle w:val="ToolTableText"/>
              <w:rPr>
                <w:b/>
              </w:rPr>
            </w:pPr>
            <w:r w:rsidRPr="00C835E3">
              <w:rPr>
                <w:b/>
              </w:rPr>
              <w:t xml:space="preserve">Conformity to </w:t>
            </w:r>
            <w:r w:rsidR="004A1320">
              <w:rPr>
                <w:b/>
              </w:rPr>
              <w:t>s</w:t>
            </w:r>
            <w:r w:rsidRPr="00C835E3">
              <w:rPr>
                <w:b/>
              </w:rPr>
              <w:t xml:space="preserve">ources: </w:t>
            </w:r>
            <w:r w:rsidRPr="00564620">
              <w:t>Presents a perspective that arises from ideas and evidence found in a range of diverse, cr</w:t>
            </w:r>
            <w:r w:rsidR="002F0EC5">
              <w:t>edible, and significant sources</w:t>
            </w:r>
          </w:p>
        </w:tc>
        <w:tc>
          <w:tcPr>
            <w:tcW w:w="443" w:type="dxa"/>
            <w:shd w:val="clear" w:color="auto" w:fill="auto"/>
          </w:tcPr>
          <w:p w14:paraId="554A92A4" w14:textId="77777777" w:rsidR="007F4A94" w:rsidRPr="00564620" w:rsidRDefault="007F4A94" w:rsidP="00EE58F3">
            <w:r w:rsidRPr="00C835E3">
              <w:rPr>
                <w:rFonts w:ascii="MS Gothic" w:eastAsia="MS Gothic" w:hAnsi="MS Gothic" w:hint="eastAsia"/>
              </w:rPr>
              <w:t>☐</w:t>
            </w:r>
          </w:p>
        </w:tc>
        <w:tc>
          <w:tcPr>
            <w:tcW w:w="6815" w:type="dxa"/>
            <w:shd w:val="clear" w:color="auto" w:fill="auto"/>
          </w:tcPr>
          <w:p w14:paraId="28E87B2A" w14:textId="77777777" w:rsidR="007F4A94" w:rsidRPr="00564620" w:rsidRDefault="007F4A94" w:rsidP="00EE58F3">
            <w:pPr>
              <w:pStyle w:val="ToolTableText"/>
            </w:pPr>
          </w:p>
        </w:tc>
      </w:tr>
      <w:tr w:rsidR="007F4A94" w:rsidRPr="00564620" w14:paraId="677E799E" w14:textId="77777777" w:rsidTr="00EE58F3">
        <w:trPr>
          <w:trHeight w:val="144"/>
        </w:trPr>
        <w:tc>
          <w:tcPr>
            <w:tcW w:w="2251" w:type="dxa"/>
            <w:vMerge/>
            <w:shd w:val="clear" w:color="auto" w:fill="auto"/>
          </w:tcPr>
          <w:p w14:paraId="4E19FD6B" w14:textId="77777777" w:rsidR="007F4A94" w:rsidRPr="00564620" w:rsidRDefault="007F4A94" w:rsidP="00EE58F3">
            <w:pPr>
              <w:pStyle w:val="ToolTableText"/>
            </w:pPr>
          </w:p>
        </w:tc>
        <w:tc>
          <w:tcPr>
            <w:tcW w:w="3534" w:type="dxa"/>
            <w:shd w:val="clear" w:color="auto" w:fill="auto"/>
          </w:tcPr>
          <w:p w14:paraId="561BD2E7" w14:textId="5CFB5DDC" w:rsidR="007F4A94" w:rsidRPr="00C835E3" w:rsidRDefault="007F4A94" w:rsidP="004A1320">
            <w:pPr>
              <w:pStyle w:val="ToolTableText"/>
              <w:rPr>
                <w:b/>
              </w:rPr>
            </w:pPr>
            <w:r w:rsidRPr="00C835E3">
              <w:rPr>
                <w:b/>
              </w:rPr>
              <w:t xml:space="preserve">Understanding of the </w:t>
            </w:r>
            <w:r w:rsidR="004A1320">
              <w:rPr>
                <w:b/>
              </w:rPr>
              <w:t>i</w:t>
            </w:r>
            <w:r w:rsidRPr="00C835E3">
              <w:rPr>
                <w:b/>
              </w:rPr>
              <w:t xml:space="preserve">ssue: </w:t>
            </w:r>
            <w:r w:rsidRPr="00564620">
              <w:t>Presents a perspective based on a comprehensive understanding of the issue, and establishes a series of valid claims tha</w:t>
            </w:r>
            <w:r w:rsidR="002F0EC5">
              <w:t xml:space="preserve">t emerge from </w:t>
            </w:r>
            <w:r w:rsidR="002F0EC5">
              <w:lastRenderedPageBreak/>
              <w:t>reasoned analysis</w:t>
            </w:r>
          </w:p>
        </w:tc>
        <w:tc>
          <w:tcPr>
            <w:tcW w:w="443" w:type="dxa"/>
            <w:shd w:val="clear" w:color="auto" w:fill="auto"/>
          </w:tcPr>
          <w:p w14:paraId="0476CA61" w14:textId="77777777" w:rsidR="007F4A94" w:rsidRPr="00564620" w:rsidRDefault="007F4A94" w:rsidP="00EE58F3">
            <w:r w:rsidRPr="00C835E3">
              <w:rPr>
                <w:rFonts w:ascii="MS Gothic" w:eastAsia="MS Gothic" w:hAnsi="MS Gothic" w:hint="eastAsia"/>
              </w:rPr>
              <w:lastRenderedPageBreak/>
              <w:t>☐</w:t>
            </w:r>
          </w:p>
        </w:tc>
        <w:tc>
          <w:tcPr>
            <w:tcW w:w="6815" w:type="dxa"/>
            <w:shd w:val="clear" w:color="auto" w:fill="auto"/>
          </w:tcPr>
          <w:p w14:paraId="5C3E9246" w14:textId="77777777" w:rsidR="007F4A94" w:rsidRPr="00564620" w:rsidRDefault="007F4A94" w:rsidP="00EE58F3">
            <w:pPr>
              <w:pStyle w:val="ToolTableText"/>
            </w:pPr>
          </w:p>
        </w:tc>
      </w:tr>
      <w:tr w:rsidR="007F4A94" w:rsidRPr="00564620" w14:paraId="65107242" w14:textId="77777777" w:rsidTr="00EE58F3">
        <w:trPr>
          <w:trHeight w:val="144"/>
        </w:trPr>
        <w:tc>
          <w:tcPr>
            <w:tcW w:w="2251" w:type="dxa"/>
            <w:vMerge/>
            <w:shd w:val="clear" w:color="auto" w:fill="auto"/>
          </w:tcPr>
          <w:p w14:paraId="7A0C9BB4" w14:textId="77777777" w:rsidR="007F4A94" w:rsidRPr="00564620" w:rsidRDefault="007F4A94" w:rsidP="00EE58F3">
            <w:pPr>
              <w:pStyle w:val="ToolTableText"/>
            </w:pPr>
          </w:p>
        </w:tc>
        <w:tc>
          <w:tcPr>
            <w:tcW w:w="3534" w:type="dxa"/>
            <w:shd w:val="clear" w:color="auto" w:fill="auto"/>
          </w:tcPr>
          <w:p w14:paraId="50BE4B84" w14:textId="27E85E42" w:rsidR="007F4A94" w:rsidRPr="00C835E3" w:rsidRDefault="007F4A94" w:rsidP="004A1320">
            <w:pPr>
              <w:pStyle w:val="ToolTableText"/>
              <w:rPr>
                <w:b/>
              </w:rPr>
            </w:pPr>
            <w:r w:rsidRPr="00C835E3">
              <w:rPr>
                <w:b/>
              </w:rPr>
              <w:t xml:space="preserve">Acknowledgement of </w:t>
            </w:r>
            <w:r w:rsidR="004A1320">
              <w:rPr>
                <w:b/>
              </w:rPr>
              <w:t>o</w:t>
            </w:r>
            <w:r w:rsidRPr="00C835E3">
              <w:rPr>
                <w:b/>
              </w:rPr>
              <w:t xml:space="preserve">ther </w:t>
            </w:r>
            <w:r w:rsidR="004A1320">
              <w:rPr>
                <w:b/>
              </w:rPr>
              <w:t>p</w:t>
            </w:r>
            <w:r w:rsidRPr="00C835E3">
              <w:rPr>
                <w:b/>
              </w:rPr>
              <w:t>erspectives:</w:t>
            </w:r>
            <w:r w:rsidRPr="00564620">
              <w:t xml:space="preserve"> Recognizes opposing or alternate claims and distinguishes these claims from the st</w:t>
            </w:r>
            <w:r w:rsidR="002F0EC5">
              <w:t>ated perspective</w:t>
            </w:r>
          </w:p>
        </w:tc>
        <w:tc>
          <w:tcPr>
            <w:tcW w:w="443" w:type="dxa"/>
            <w:shd w:val="clear" w:color="auto" w:fill="auto"/>
          </w:tcPr>
          <w:p w14:paraId="2F63DC00" w14:textId="77777777" w:rsidR="007F4A94" w:rsidRPr="00564620" w:rsidRDefault="007F4A94" w:rsidP="00EE58F3">
            <w:r w:rsidRPr="00C835E3">
              <w:rPr>
                <w:rFonts w:ascii="MS Gothic" w:eastAsia="MS Gothic" w:hAnsi="MS Gothic" w:hint="eastAsia"/>
              </w:rPr>
              <w:t>☐</w:t>
            </w:r>
          </w:p>
        </w:tc>
        <w:tc>
          <w:tcPr>
            <w:tcW w:w="6815" w:type="dxa"/>
            <w:shd w:val="clear" w:color="auto" w:fill="auto"/>
          </w:tcPr>
          <w:p w14:paraId="24FBA5B2" w14:textId="77777777" w:rsidR="007F4A94" w:rsidRPr="00564620" w:rsidRDefault="007F4A94" w:rsidP="00EE58F3">
            <w:pPr>
              <w:pStyle w:val="ToolTableText"/>
            </w:pPr>
          </w:p>
        </w:tc>
      </w:tr>
      <w:tr w:rsidR="007F4A94" w:rsidRPr="00564620" w14:paraId="341507FB" w14:textId="77777777" w:rsidTr="00EE58F3">
        <w:trPr>
          <w:trHeight w:val="144"/>
        </w:trPr>
        <w:tc>
          <w:tcPr>
            <w:tcW w:w="2251" w:type="dxa"/>
            <w:vMerge w:val="restart"/>
            <w:shd w:val="clear" w:color="auto" w:fill="auto"/>
          </w:tcPr>
          <w:p w14:paraId="42FC2A97" w14:textId="77777777" w:rsidR="007F4A94" w:rsidRPr="00C835E3" w:rsidRDefault="007F4A94" w:rsidP="00EE58F3">
            <w:pPr>
              <w:pStyle w:val="ToolTableText"/>
              <w:rPr>
                <w:b/>
              </w:rPr>
            </w:pPr>
            <w:r w:rsidRPr="00C835E3">
              <w:rPr>
                <w:b/>
              </w:rPr>
              <w:t>Command of Evidence</w:t>
            </w:r>
          </w:p>
        </w:tc>
        <w:tc>
          <w:tcPr>
            <w:tcW w:w="3534" w:type="dxa"/>
            <w:shd w:val="clear" w:color="auto" w:fill="auto"/>
          </w:tcPr>
          <w:p w14:paraId="5EFAA9D0" w14:textId="5BF5779B" w:rsidR="007F4A94" w:rsidRPr="00C835E3" w:rsidRDefault="007F4A94" w:rsidP="00EE58F3">
            <w:pPr>
              <w:pStyle w:val="ToolTableText"/>
              <w:rPr>
                <w:b/>
              </w:rPr>
            </w:pPr>
            <w:r w:rsidRPr="00C835E3">
              <w:rPr>
                <w:b/>
              </w:rPr>
              <w:t xml:space="preserve">Reasoning: </w:t>
            </w:r>
            <w:r w:rsidRPr="00564620">
              <w:t>Links evidence and claims together logically in ways that lead to the conclusions</w:t>
            </w:r>
            <w:r w:rsidR="002F0EC5">
              <w:t xml:space="preserve"> expressed in the central claim</w:t>
            </w:r>
          </w:p>
        </w:tc>
        <w:tc>
          <w:tcPr>
            <w:tcW w:w="443" w:type="dxa"/>
            <w:shd w:val="clear" w:color="auto" w:fill="auto"/>
          </w:tcPr>
          <w:p w14:paraId="51516AED" w14:textId="77777777" w:rsidR="007F4A94" w:rsidRPr="00564620" w:rsidRDefault="007F4A94" w:rsidP="00EE58F3">
            <w:r w:rsidRPr="00C835E3">
              <w:rPr>
                <w:rFonts w:ascii="MS Gothic" w:eastAsia="MS Gothic" w:hAnsi="MS Gothic" w:hint="eastAsia"/>
              </w:rPr>
              <w:t>☐</w:t>
            </w:r>
          </w:p>
        </w:tc>
        <w:tc>
          <w:tcPr>
            <w:tcW w:w="6815" w:type="dxa"/>
            <w:shd w:val="clear" w:color="auto" w:fill="auto"/>
          </w:tcPr>
          <w:p w14:paraId="3B7FE22F" w14:textId="77777777" w:rsidR="007F4A94" w:rsidRPr="00564620" w:rsidRDefault="007F4A94" w:rsidP="00EE58F3"/>
        </w:tc>
      </w:tr>
      <w:tr w:rsidR="007F4A94" w:rsidRPr="00564620" w14:paraId="65616B51" w14:textId="77777777" w:rsidTr="00EE58F3">
        <w:trPr>
          <w:trHeight w:val="144"/>
        </w:trPr>
        <w:tc>
          <w:tcPr>
            <w:tcW w:w="2251" w:type="dxa"/>
            <w:vMerge/>
            <w:shd w:val="clear" w:color="auto" w:fill="auto"/>
          </w:tcPr>
          <w:p w14:paraId="25DFF908" w14:textId="77777777" w:rsidR="007F4A94" w:rsidRPr="00564620" w:rsidRDefault="007F4A94" w:rsidP="00EE58F3">
            <w:pPr>
              <w:pStyle w:val="ToolTableText"/>
            </w:pPr>
          </w:p>
        </w:tc>
        <w:tc>
          <w:tcPr>
            <w:tcW w:w="3534" w:type="dxa"/>
            <w:shd w:val="clear" w:color="auto" w:fill="auto"/>
          </w:tcPr>
          <w:p w14:paraId="1C618160" w14:textId="5582EF8C" w:rsidR="007F4A94" w:rsidRPr="00C835E3" w:rsidRDefault="007F4A94" w:rsidP="004A1320">
            <w:pPr>
              <w:pStyle w:val="ToolTableText"/>
              <w:rPr>
                <w:b/>
              </w:rPr>
            </w:pPr>
            <w:r w:rsidRPr="00C835E3">
              <w:rPr>
                <w:b/>
              </w:rPr>
              <w:t xml:space="preserve">Use of </w:t>
            </w:r>
            <w:r w:rsidR="004A1320">
              <w:rPr>
                <w:b/>
              </w:rPr>
              <w:t>e</w:t>
            </w:r>
            <w:r w:rsidRPr="00C835E3">
              <w:rPr>
                <w:b/>
              </w:rPr>
              <w:t xml:space="preserve">vidence: </w:t>
            </w:r>
            <w:r w:rsidRPr="00564620">
              <w:t>Supports the central claim and each supporting claim with valid infere</w:t>
            </w:r>
            <w:r w:rsidR="002F0EC5">
              <w:t>nces based on credible evidence</w:t>
            </w:r>
          </w:p>
        </w:tc>
        <w:tc>
          <w:tcPr>
            <w:tcW w:w="443" w:type="dxa"/>
            <w:shd w:val="clear" w:color="auto" w:fill="auto"/>
          </w:tcPr>
          <w:p w14:paraId="63ACEEB4" w14:textId="77777777" w:rsidR="007F4A94" w:rsidRPr="00564620" w:rsidRDefault="007F4A94" w:rsidP="00EE58F3">
            <w:r w:rsidRPr="00C835E3">
              <w:rPr>
                <w:rFonts w:ascii="MS Gothic" w:eastAsia="MS Gothic" w:hAnsi="MS Gothic" w:hint="eastAsia"/>
              </w:rPr>
              <w:t>☐</w:t>
            </w:r>
          </w:p>
        </w:tc>
        <w:tc>
          <w:tcPr>
            <w:tcW w:w="6815" w:type="dxa"/>
            <w:shd w:val="clear" w:color="auto" w:fill="auto"/>
          </w:tcPr>
          <w:p w14:paraId="7C4E5D62" w14:textId="77777777" w:rsidR="007F4A94" w:rsidRPr="00564620" w:rsidRDefault="007F4A94" w:rsidP="00EE58F3"/>
        </w:tc>
      </w:tr>
      <w:tr w:rsidR="007F4A94" w:rsidRPr="00564620" w14:paraId="560DDFED" w14:textId="77777777" w:rsidTr="00EE58F3">
        <w:trPr>
          <w:trHeight w:val="144"/>
        </w:trPr>
        <w:tc>
          <w:tcPr>
            <w:tcW w:w="2251" w:type="dxa"/>
            <w:vMerge/>
            <w:shd w:val="clear" w:color="auto" w:fill="auto"/>
          </w:tcPr>
          <w:p w14:paraId="655EDFDC" w14:textId="77777777" w:rsidR="007F4A94" w:rsidRPr="00564620" w:rsidRDefault="007F4A94" w:rsidP="00EE58F3">
            <w:pPr>
              <w:pStyle w:val="ToolTableText"/>
            </w:pPr>
          </w:p>
        </w:tc>
        <w:tc>
          <w:tcPr>
            <w:tcW w:w="3534" w:type="dxa"/>
            <w:shd w:val="clear" w:color="auto" w:fill="auto"/>
          </w:tcPr>
          <w:p w14:paraId="03BEE82C" w14:textId="1D6935D6" w:rsidR="007F4A94" w:rsidRPr="00C835E3" w:rsidRDefault="007F4A94" w:rsidP="004A1320">
            <w:pPr>
              <w:pStyle w:val="ToolTableText"/>
              <w:rPr>
                <w:b/>
              </w:rPr>
            </w:pPr>
            <w:r w:rsidRPr="00C835E3">
              <w:rPr>
                <w:b/>
              </w:rPr>
              <w:t xml:space="preserve">Thoroughness and </w:t>
            </w:r>
            <w:r w:rsidR="004A1320">
              <w:rPr>
                <w:b/>
              </w:rPr>
              <w:t>o</w:t>
            </w:r>
            <w:r w:rsidRPr="00C835E3">
              <w:rPr>
                <w:b/>
              </w:rPr>
              <w:t xml:space="preserve">bjectivity: </w:t>
            </w:r>
            <w:r w:rsidRPr="00564620">
              <w:t>Represents a comprehensive understanding of the issue where the argument’s claims and supporting evidence fairly addresses relevant counterclaims and</w:t>
            </w:r>
            <w:r w:rsidR="002F0EC5">
              <w:t xml:space="preserve"> discusses conflicting evidence</w:t>
            </w:r>
          </w:p>
        </w:tc>
        <w:tc>
          <w:tcPr>
            <w:tcW w:w="443" w:type="dxa"/>
            <w:shd w:val="clear" w:color="auto" w:fill="auto"/>
          </w:tcPr>
          <w:p w14:paraId="4DDD8D04" w14:textId="77777777" w:rsidR="007F4A94" w:rsidRPr="00564620" w:rsidRDefault="007F4A94" w:rsidP="00EE58F3">
            <w:r w:rsidRPr="00C835E3">
              <w:rPr>
                <w:rFonts w:ascii="MS Gothic" w:eastAsia="MS Gothic" w:hAnsi="MS Gothic" w:hint="eastAsia"/>
              </w:rPr>
              <w:t>☐</w:t>
            </w:r>
          </w:p>
        </w:tc>
        <w:tc>
          <w:tcPr>
            <w:tcW w:w="6815" w:type="dxa"/>
            <w:shd w:val="clear" w:color="auto" w:fill="auto"/>
          </w:tcPr>
          <w:p w14:paraId="4777B2A9" w14:textId="77777777" w:rsidR="007F4A94" w:rsidRPr="00564620" w:rsidRDefault="007F4A94" w:rsidP="00EE58F3"/>
        </w:tc>
      </w:tr>
      <w:tr w:rsidR="007F4A94" w:rsidRPr="00564620" w14:paraId="75A10296" w14:textId="77777777" w:rsidTr="00EE58F3">
        <w:trPr>
          <w:trHeight w:val="144"/>
        </w:trPr>
        <w:tc>
          <w:tcPr>
            <w:tcW w:w="2251" w:type="dxa"/>
            <w:vMerge w:val="restart"/>
            <w:shd w:val="clear" w:color="auto" w:fill="auto"/>
          </w:tcPr>
          <w:p w14:paraId="6D545B77" w14:textId="77777777" w:rsidR="007F4A94" w:rsidRPr="00C835E3" w:rsidRDefault="007F4A94" w:rsidP="00EE58F3">
            <w:pPr>
              <w:pStyle w:val="ToolTableText"/>
              <w:rPr>
                <w:b/>
              </w:rPr>
            </w:pPr>
            <w:r w:rsidRPr="00C835E3">
              <w:rPr>
                <w:b/>
              </w:rPr>
              <w:t>Coherence and Organization</w:t>
            </w:r>
          </w:p>
        </w:tc>
        <w:tc>
          <w:tcPr>
            <w:tcW w:w="3534" w:type="dxa"/>
            <w:shd w:val="clear" w:color="auto" w:fill="auto"/>
          </w:tcPr>
          <w:p w14:paraId="5845D24D" w14:textId="07A8D77E" w:rsidR="007F4A94" w:rsidRPr="00564620" w:rsidRDefault="007F4A94" w:rsidP="004A1320">
            <w:pPr>
              <w:pStyle w:val="ToolTableText"/>
            </w:pPr>
            <w:r w:rsidRPr="00C835E3">
              <w:rPr>
                <w:b/>
              </w:rPr>
              <w:t>Relationship</w:t>
            </w:r>
            <w:r w:rsidR="004A1320">
              <w:rPr>
                <w:b/>
              </w:rPr>
              <w:t xml:space="preserve"> among p</w:t>
            </w:r>
            <w:r w:rsidRPr="00C835E3">
              <w:rPr>
                <w:b/>
              </w:rPr>
              <w:t xml:space="preserve">arts: </w:t>
            </w:r>
            <w:r w:rsidRPr="00564620">
              <w:t>Establishes clear and logical relationships between support</w:t>
            </w:r>
            <w:r w:rsidR="002F0EC5">
              <w:t xml:space="preserve">ing </w:t>
            </w:r>
            <w:r w:rsidR="002F0EC5">
              <w:lastRenderedPageBreak/>
              <w:t>claims and a central claim</w:t>
            </w:r>
          </w:p>
        </w:tc>
        <w:tc>
          <w:tcPr>
            <w:tcW w:w="443" w:type="dxa"/>
            <w:shd w:val="clear" w:color="auto" w:fill="auto"/>
          </w:tcPr>
          <w:p w14:paraId="09A1A75F" w14:textId="77777777" w:rsidR="007F4A94" w:rsidRPr="00564620" w:rsidRDefault="007F4A94" w:rsidP="00EE58F3">
            <w:r w:rsidRPr="00C835E3">
              <w:rPr>
                <w:rFonts w:ascii="MS Gothic" w:eastAsia="MS Gothic" w:hAnsi="MS Gothic" w:hint="eastAsia"/>
              </w:rPr>
              <w:lastRenderedPageBreak/>
              <w:t>☐</w:t>
            </w:r>
          </w:p>
        </w:tc>
        <w:tc>
          <w:tcPr>
            <w:tcW w:w="6815" w:type="dxa"/>
            <w:shd w:val="clear" w:color="auto" w:fill="auto"/>
          </w:tcPr>
          <w:p w14:paraId="199EA15C" w14:textId="77777777" w:rsidR="007F4A94" w:rsidRPr="00564620" w:rsidRDefault="007F4A94" w:rsidP="00EE58F3"/>
        </w:tc>
      </w:tr>
      <w:tr w:rsidR="007F4A94" w:rsidRPr="00564620" w14:paraId="1030E83B" w14:textId="77777777" w:rsidTr="00EE58F3">
        <w:trPr>
          <w:trHeight w:val="144"/>
        </w:trPr>
        <w:tc>
          <w:tcPr>
            <w:tcW w:w="2251" w:type="dxa"/>
            <w:vMerge/>
            <w:tcBorders>
              <w:bottom w:val="single" w:sz="4" w:space="0" w:color="auto"/>
            </w:tcBorders>
            <w:shd w:val="clear" w:color="auto" w:fill="auto"/>
          </w:tcPr>
          <w:p w14:paraId="3CED2F3A" w14:textId="77777777" w:rsidR="007F4A94" w:rsidRPr="00564620" w:rsidRDefault="007F4A94" w:rsidP="00EE58F3">
            <w:pPr>
              <w:pStyle w:val="ToolTableText"/>
            </w:pPr>
          </w:p>
        </w:tc>
        <w:tc>
          <w:tcPr>
            <w:tcW w:w="3534" w:type="dxa"/>
            <w:shd w:val="clear" w:color="auto" w:fill="auto"/>
          </w:tcPr>
          <w:p w14:paraId="72398BEC" w14:textId="2DCE3808" w:rsidR="007F4A94" w:rsidRPr="00C16D0B" w:rsidRDefault="007F4A94" w:rsidP="004A1320">
            <w:pPr>
              <w:pStyle w:val="ToolTableText"/>
            </w:pPr>
            <w:r w:rsidRPr="00C16D0B">
              <w:rPr>
                <w:b/>
              </w:rPr>
              <w:t xml:space="preserve">Effectiveness of </w:t>
            </w:r>
            <w:r w:rsidR="004A1320">
              <w:rPr>
                <w:b/>
              </w:rPr>
              <w:t>s</w:t>
            </w:r>
            <w:r w:rsidRPr="00C16D0B">
              <w:rPr>
                <w:b/>
              </w:rPr>
              <w:t xml:space="preserve">tructure: </w:t>
            </w:r>
            <w:r w:rsidRPr="00C16D0B">
              <w:t xml:space="preserve">Adopts an organizational strategy, including an introduction and conclusion, which clearly </w:t>
            </w:r>
            <w:r w:rsidRPr="002C656F">
              <w:t>and effectively</w:t>
            </w:r>
            <w:r w:rsidR="002F0EC5">
              <w:t xml:space="preserve"> communicates the argument</w:t>
            </w:r>
          </w:p>
        </w:tc>
        <w:tc>
          <w:tcPr>
            <w:tcW w:w="443" w:type="dxa"/>
            <w:shd w:val="clear" w:color="auto" w:fill="auto"/>
          </w:tcPr>
          <w:p w14:paraId="24B9E45B" w14:textId="77777777" w:rsidR="007F4A94" w:rsidRPr="00564620" w:rsidRDefault="007F4A94" w:rsidP="00EE58F3">
            <w:r w:rsidRPr="00C835E3">
              <w:rPr>
                <w:rFonts w:ascii="MS Gothic" w:eastAsia="MS Gothic" w:hAnsi="MS Gothic" w:hint="eastAsia"/>
              </w:rPr>
              <w:t>☐</w:t>
            </w:r>
          </w:p>
        </w:tc>
        <w:tc>
          <w:tcPr>
            <w:tcW w:w="6815" w:type="dxa"/>
            <w:shd w:val="clear" w:color="auto" w:fill="auto"/>
          </w:tcPr>
          <w:p w14:paraId="0A7A4836" w14:textId="77777777" w:rsidR="007F4A94" w:rsidRPr="00564620" w:rsidRDefault="007F4A94" w:rsidP="00EE58F3"/>
        </w:tc>
      </w:tr>
      <w:tr w:rsidR="007F4A94" w:rsidRPr="00564620" w14:paraId="1D96BCCB" w14:textId="77777777" w:rsidTr="00EE58F3">
        <w:trPr>
          <w:trHeight w:val="1520"/>
        </w:trPr>
        <w:tc>
          <w:tcPr>
            <w:tcW w:w="2251" w:type="dxa"/>
            <w:vMerge w:val="restart"/>
            <w:tcBorders>
              <w:top w:val="single" w:sz="4" w:space="0" w:color="auto"/>
              <w:left w:val="single" w:sz="4" w:space="0" w:color="auto"/>
              <w:bottom w:val="single" w:sz="4" w:space="0" w:color="auto"/>
              <w:right w:val="single" w:sz="4" w:space="0" w:color="auto"/>
            </w:tcBorders>
            <w:shd w:val="clear" w:color="auto" w:fill="auto"/>
          </w:tcPr>
          <w:p w14:paraId="3F49E425" w14:textId="77777777" w:rsidR="007F4A94" w:rsidRPr="00C835E3" w:rsidRDefault="007F4A94" w:rsidP="00EE58F3">
            <w:pPr>
              <w:pStyle w:val="ToolTableText"/>
              <w:rPr>
                <w:b/>
              </w:rPr>
            </w:pPr>
            <w:r w:rsidRPr="00C835E3">
              <w:rPr>
                <w:b/>
              </w:rPr>
              <w:t>Control of Language and Conventions</w:t>
            </w:r>
          </w:p>
        </w:tc>
        <w:tc>
          <w:tcPr>
            <w:tcW w:w="3534" w:type="dxa"/>
            <w:tcBorders>
              <w:left w:val="single" w:sz="4" w:space="0" w:color="auto"/>
            </w:tcBorders>
            <w:shd w:val="clear" w:color="auto" w:fill="auto"/>
          </w:tcPr>
          <w:p w14:paraId="10C22893" w14:textId="2705453C" w:rsidR="007F4A94" w:rsidRPr="00C16D0B" w:rsidRDefault="004A1320" w:rsidP="002F0EC5">
            <w:pPr>
              <w:pStyle w:val="ToolTableText"/>
            </w:pPr>
            <w:r>
              <w:rPr>
                <w:b/>
              </w:rPr>
              <w:t>Clarity of c</w:t>
            </w:r>
            <w:r w:rsidR="007F4A94" w:rsidRPr="00C16D0B">
              <w:rPr>
                <w:b/>
              </w:rPr>
              <w:t xml:space="preserve">ommunication: </w:t>
            </w:r>
            <w:r w:rsidR="007F4A94" w:rsidRPr="00C16D0B">
              <w:t>Is communicated clearly and coherently</w:t>
            </w:r>
            <w:r w:rsidR="002F0EC5">
              <w:t>; t</w:t>
            </w:r>
            <w:r w:rsidR="007F4A94" w:rsidRPr="00C16D0B">
              <w:t>he writer’s opinions are clearly distinguished from obje</w:t>
            </w:r>
            <w:r w:rsidR="002F0EC5">
              <w:t>ctive summaries and statements</w:t>
            </w:r>
          </w:p>
        </w:tc>
        <w:tc>
          <w:tcPr>
            <w:tcW w:w="443" w:type="dxa"/>
            <w:shd w:val="clear" w:color="auto" w:fill="auto"/>
          </w:tcPr>
          <w:p w14:paraId="039B4DAC" w14:textId="77777777" w:rsidR="007F4A94" w:rsidRPr="00564620" w:rsidRDefault="007F4A94" w:rsidP="00EE58F3">
            <w:r w:rsidRPr="00C835E3">
              <w:rPr>
                <w:rFonts w:ascii="MS Gothic" w:eastAsia="MS Gothic" w:hAnsi="MS Gothic" w:hint="eastAsia"/>
              </w:rPr>
              <w:t>☐</w:t>
            </w:r>
          </w:p>
        </w:tc>
        <w:tc>
          <w:tcPr>
            <w:tcW w:w="6815" w:type="dxa"/>
            <w:shd w:val="clear" w:color="auto" w:fill="auto"/>
          </w:tcPr>
          <w:p w14:paraId="77FF70C9" w14:textId="77777777" w:rsidR="007F4A94" w:rsidRPr="00564620" w:rsidRDefault="007F4A94" w:rsidP="00EE58F3"/>
        </w:tc>
      </w:tr>
      <w:tr w:rsidR="007F4A94" w:rsidRPr="00564620" w14:paraId="4842354F" w14:textId="77777777" w:rsidTr="00EE58F3">
        <w:trPr>
          <w:trHeight w:val="1205"/>
        </w:trPr>
        <w:tc>
          <w:tcPr>
            <w:tcW w:w="2251" w:type="dxa"/>
            <w:vMerge/>
            <w:tcBorders>
              <w:top w:val="single" w:sz="4" w:space="0" w:color="auto"/>
              <w:left w:val="single" w:sz="4" w:space="0" w:color="auto"/>
              <w:bottom w:val="single" w:sz="4" w:space="0" w:color="auto"/>
              <w:right w:val="single" w:sz="4" w:space="0" w:color="auto"/>
            </w:tcBorders>
            <w:shd w:val="clear" w:color="auto" w:fill="auto"/>
          </w:tcPr>
          <w:p w14:paraId="3AD56F45" w14:textId="77777777" w:rsidR="007F4A94" w:rsidRPr="00564620" w:rsidRDefault="007F4A94" w:rsidP="00EE58F3">
            <w:pPr>
              <w:pStyle w:val="ToolTableText"/>
            </w:pPr>
          </w:p>
        </w:tc>
        <w:tc>
          <w:tcPr>
            <w:tcW w:w="3534" w:type="dxa"/>
            <w:tcBorders>
              <w:left w:val="single" w:sz="4" w:space="0" w:color="auto"/>
              <w:bottom w:val="single" w:sz="4" w:space="0" w:color="auto"/>
            </w:tcBorders>
            <w:shd w:val="clear" w:color="auto" w:fill="auto"/>
          </w:tcPr>
          <w:p w14:paraId="291A7466" w14:textId="17D49E91" w:rsidR="007F4A94" w:rsidRPr="00C16D0B" w:rsidRDefault="007F4A94" w:rsidP="004A1320">
            <w:pPr>
              <w:pStyle w:val="ToolTableText"/>
            </w:pPr>
            <w:r w:rsidRPr="00C16D0B">
              <w:rPr>
                <w:b/>
              </w:rPr>
              <w:t xml:space="preserve">Word </w:t>
            </w:r>
            <w:r w:rsidR="004A1320">
              <w:rPr>
                <w:b/>
              </w:rPr>
              <w:t>choice/v</w:t>
            </w:r>
            <w:r w:rsidRPr="00C16D0B">
              <w:rPr>
                <w:b/>
              </w:rPr>
              <w:t xml:space="preserve">ocabulary: </w:t>
            </w:r>
            <w:r w:rsidRPr="00C16D0B">
              <w:t xml:space="preserve">Uses </w:t>
            </w:r>
            <w:r w:rsidRPr="002C656F">
              <w:t>domain-specific</w:t>
            </w:r>
            <w:r w:rsidRPr="00C16D0B">
              <w:t xml:space="preserve"> terminolo</w:t>
            </w:r>
            <w:r w:rsidR="002F0EC5">
              <w:t>gy appropriately and precisely</w:t>
            </w:r>
          </w:p>
        </w:tc>
        <w:tc>
          <w:tcPr>
            <w:tcW w:w="443" w:type="dxa"/>
            <w:shd w:val="clear" w:color="auto" w:fill="auto"/>
          </w:tcPr>
          <w:p w14:paraId="76F027B8" w14:textId="77777777" w:rsidR="007F4A94" w:rsidRPr="00564620" w:rsidRDefault="007F4A94" w:rsidP="00EE58F3">
            <w:r w:rsidRPr="00C835E3">
              <w:rPr>
                <w:rFonts w:ascii="MS Gothic" w:eastAsia="MS Gothic" w:hAnsi="MS Gothic" w:hint="eastAsia"/>
              </w:rPr>
              <w:t>☐</w:t>
            </w:r>
          </w:p>
        </w:tc>
        <w:tc>
          <w:tcPr>
            <w:tcW w:w="6815" w:type="dxa"/>
            <w:shd w:val="clear" w:color="auto" w:fill="auto"/>
          </w:tcPr>
          <w:p w14:paraId="7630C6A9" w14:textId="77777777" w:rsidR="007F4A94" w:rsidRPr="00564620" w:rsidRDefault="007F4A94" w:rsidP="00EE58F3"/>
        </w:tc>
      </w:tr>
      <w:tr w:rsidR="007F4A94" w:rsidRPr="00564620" w14:paraId="7EFB065C" w14:textId="77777777" w:rsidTr="00EE58F3">
        <w:trPr>
          <w:trHeight w:val="1880"/>
        </w:trPr>
        <w:tc>
          <w:tcPr>
            <w:tcW w:w="2251" w:type="dxa"/>
            <w:vMerge/>
            <w:tcBorders>
              <w:top w:val="single" w:sz="4" w:space="0" w:color="auto"/>
              <w:left w:val="single" w:sz="4" w:space="0" w:color="auto"/>
              <w:bottom w:val="single" w:sz="4" w:space="0" w:color="auto"/>
              <w:right w:val="single" w:sz="4" w:space="0" w:color="auto"/>
            </w:tcBorders>
            <w:shd w:val="clear" w:color="auto" w:fill="auto"/>
          </w:tcPr>
          <w:p w14:paraId="2F03F18A" w14:textId="77777777" w:rsidR="007F4A94" w:rsidRPr="00564620" w:rsidRDefault="007F4A94" w:rsidP="00EE58F3">
            <w:pPr>
              <w:pStyle w:val="ToolTableText"/>
            </w:pPr>
          </w:p>
        </w:tc>
        <w:tc>
          <w:tcPr>
            <w:tcW w:w="3534" w:type="dxa"/>
            <w:tcBorders>
              <w:top w:val="single" w:sz="4" w:space="0" w:color="auto"/>
              <w:left w:val="single" w:sz="4" w:space="0" w:color="auto"/>
              <w:bottom w:val="single" w:sz="4" w:space="0" w:color="auto"/>
            </w:tcBorders>
            <w:shd w:val="clear" w:color="auto" w:fill="auto"/>
          </w:tcPr>
          <w:p w14:paraId="45560CCE" w14:textId="023411BD" w:rsidR="007F4A94" w:rsidRPr="00564620" w:rsidRDefault="007F4A94" w:rsidP="004A1320">
            <w:pPr>
              <w:pStyle w:val="ToolTableText"/>
            </w:pPr>
            <w:r w:rsidRPr="00C835E3">
              <w:rPr>
                <w:b/>
              </w:rPr>
              <w:t>Style/</w:t>
            </w:r>
            <w:r w:rsidR="004A1320">
              <w:rPr>
                <w:b/>
              </w:rPr>
              <w:t>v</w:t>
            </w:r>
            <w:r w:rsidRPr="00C835E3">
              <w:rPr>
                <w:b/>
              </w:rPr>
              <w:t xml:space="preserve">oice: </w:t>
            </w:r>
            <w:r w:rsidRPr="00564620">
              <w:t>Maintains a formal and objective tone appropriate to the intended audience</w:t>
            </w:r>
            <w:r w:rsidR="002F0EC5">
              <w:t>; t</w:t>
            </w:r>
            <w:r w:rsidRPr="00564620">
              <w:t>he use of words, phrases, clauses, and varied syntax draws attention to key ideas and reinfo</w:t>
            </w:r>
            <w:r w:rsidR="002F0EC5">
              <w:t>rces relationships among ideas</w:t>
            </w:r>
          </w:p>
        </w:tc>
        <w:tc>
          <w:tcPr>
            <w:tcW w:w="443" w:type="dxa"/>
            <w:shd w:val="clear" w:color="auto" w:fill="auto"/>
          </w:tcPr>
          <w:p w14:paraId="1136143B" w14:textId="77777777" w:rsidR="007F4A94" w:rsidRPr="00564620" w:rsidRDefault="007F4A94" w:rsidP="00EE58F3">
            <w:r w:rsidRPr="00C835E3">
              <w:rPr>
                <w:rFonts w:ascii="MS Gothic" w:eastAsia="MS Gothic" w:hAnsi="MS Gothic" w:hint="eastAsia"/>
              </w:rPr>
              <w:t>☐</w:t>
            </w:r>
          </w:p>
        </w:tc>
        <w:tc>
          <w:tcPr>
            <w:tcW w:w="6815" w:type="dxa"/>
            <w:shd w:val="clear" w:color="auto" w:fill="auto"/>
          </w:tcPr>
          <w:p w14:paraId="62B2C34B" w14:textId="77777777" w:rsidR="007F4A94" w:rsidRPr="00564620" w:rsidRDefault="007F4A94" w:rsidP="00EE58F3"/>
        </w:tc>
      </w:tr>
      <w:tr w:rsidR="007F4A94" w:rsidRPr="00564620" w14:paraId="31C51F3A" w14:textId="77777777" w:rsidTr="00EE58F3">
        <w:trPr>
          <w:trHeight w:val="2103"/>
        </w:trPr>
        <w:tc>
          <w:tcPr>
            <w:tcW w:w="2251" w:type="dxa"/>
            <w:vMerge/>
            <w:tcBorders>
              <w:top w:val="single" w:sz="4" w:space="0" w:color="auto"/>
              <w:left w:val="single" w:sz="4" w:space="0" w:color="auto"/>
              <w:bottom w:val="single" w:sz="4" w:space="0" w:color="auto"/>
              <w:right w:val="single" w:sz="4" w:space="0" w:color="auto"/>
            </w:tcBorders>
            <w:shd w:val="clear" w:color="auto" w:fill="auto"/>
          </w:tcPr>
          <w:p w14:paraId="7F2FE9C2" w14:textId="77777777" w:rsidR="007F4A94" w:rsidRPr="00564620" w:rsidRDefault="007F4A94" w:rsidP="00EE58F3">
            <w:pPr>
              <w:pStyle w:val="ToolTableText"/>
            </w:pPr>
          </w:p>
        </w:tc>
        <w:tc>
          <w:tcPr>
            <w:tcW w:w="3534" w:type="dxa"/>
            <w:tcBorders>
              <w:top w:val="single" w:sz="4" w:space="0" w:color="auto"/>
              <w:left w:val="single" w:sz="4" w:space="0" w:color="auto"/>
              <w:bottom w:val="single" w:sz="4" w:space="0" w:color="auto"/>
            </w:tcBorders>
            <w:shd w:val="clear" w:color="auto" w:fill="auto"/>
          </w:tcPr>
          <w:p w14:paraId="6C27BEDF" w14:textId="54EEC863" w:rsidR="007F4A94" w:rsidRPr="00C835E3" w:rsidRDefault="004A1320" w:rsidP="002F0EC5">
            <w:pPr>
              <w:pStyle w:val="ToolTableText"/>
              <w:rPr>
                <w:b/>
              </w:rPr>
            </w:pPr>
            <w:r>
              <w:rPr>
                <w:b/>
              </w:rPr>
              <w:t>Responsible use of e</w:t>
            </w:r>
            <w:r w:rsidR="007F4A94" w:rsidRPr="00C835E3">
              <w:rPr>
                <w:b/>
              </w:rPr>
              <w:t xml:space="preserve">vidence: </w:t>
            </w:r>
            <w:r w:rsidR="007F4A94" w:rsidRPr="00564620">
              <w:t>Cites evidence in a responsible manner that anticipates the audience’s knowledge level, concerns, values, and possible biases</w:t>
            </w:r>
            <w:r w:rsidR="002F0EC5">
              <w:t>; q</w:t>
            </w:r>
            <w:r w:rsidR="007F4A94" w:rsidRPr="00564620">
              <w:t xml:space="preserve">uotes sufficient evidence exactly, or paraphrases accurately, referencing precisely </w:t>
            </w:r>
            <w:r w:rsidR="002F0EC5">
              <w:t>where the evidence can be found</w:t>
            </w:r>
          </w:p>
        </w:tc>
        <w:tc>
          <w:tcPr>
            <w:tcW w:w="443" w:type="dxa"/>
            <w:shd w:val="clear" w:color="auto" w:fill="auto"/>
          </w:tcPr>
          <w:p w14:paraId="4BD2538B" w14:textId="77777777" w:rsidR="007F4A94" w:rsidRPr="00564620" w:rsidRDefault="007F4A94" w:rsidP="00EE58F3">
            <w:r w:rsidRPr="00C835E3">
              <w:rPr>
                <w:rFonts w:ascii="MS Gothic" w:eastAsia="MS Gothic" w:hAnsi="MS Gothic" w:hint="eastAsia"/>
              </w:rPr>
              <w:t>☐</w:t>
            </w:r>
          </w:p>
        </w:tc>
        <w:tc>
          <w:tcPr>
            <w:tcW w:w="6815" w:type="dxa"/>
            <w:shd w:val="clear" w:color="auto" w:fill="auto"/>
          </w:tcPr>
          <w:p w14:paraId="5EDBCFF0" w14:textId="77777777" w:rsidR="007F4A94" w:rsidRPr="00564620" w:rsidRDefault="007F4A94" w:rsidP="00EE58F3"/>
        </w:tc>
      </w:tr>
      <w:tr w:rsidR="007F4A94" w:rsidRPr="00564620" w14:paraId="4C78B286" w14:textId="77777777" w:rsidTr="00EE58F3">
        <w:trPr>
          <w:trHeight w:val="1340"/>
        </w:trPr>
        <w:tc>
          <w:tcPr>
            <w:tcW w:w="2251" w:type="dxa"/>
            <w:vMerge/>
            <w:tcBorders>
              <w:top w:val="single" w:sz="4" w:space="0" w:color="auto"/>
              <w:left w:val="single" w:sz="4" w:space="0" w:color="auto"/>
              <w:bottom w:val="single" w:sz="4" w:space="0" w:color="auto"/>
              <w:right w:val="single" w:sz="4" w:space="0" w:color="auto"/>
            </w:tcBorders>
            <w:shd w:val="clear" w:color="auto" w:fill="auto"/>
          </w:tcPr>
          <w:p w14:paraId="724BC344" w14:textId="77777777" w:rsidR="007F4A94" w:rsidRPr="00564620" w:rsidRDefault="007F4A94" w:rsidP="00EE58F3">
            <w:pPr>
              <w:pStyle w:val="ToolTableText"/>
            </w:pPr>
          </w:p>
        </w:tc>
        <w:tc>
          <w:tcPr>
            <w:tcW w:w="3534" w:type="dxa"/>
            <w:tcBorders>
              <w:left w:val="single" w:sz="4" w:space="0" w:color="auto"/>
            </w:tcBorders>
            <w:shd w:val="clear" w:color="auto" w:fill="auto"/>
          </w:tcPr>
          <w:p w14:paraId="5F8F07AE" w14:textId="45176050" w:rsidR="007F4A94" w:rsidRPr="00C835E3" w:rsidRDefault="007F4A94" w:rsidP="004A1320">
            <w:pPr>
              <w:pStyle w:val="ToolTableText"/>
              <w:rPr>
                <w:b/>
              </w:rPr>
            </w:pPr>
            <w:r w:rsidRPr="00C835E3">
              <w:rPr>
                <w:b/>
              </w:rPr>
              <w:t xml:space="preserve">Conventions of </w:t>
            </w:r>
            <w:r w:rsidR="004A1320">
              <w:rPr>
                <w:b/>
              </w:rPr>
              <w:t>w</w:t>
            </w:r>
            <w:r w:rsidRPr="00C835E3">
              <w:rPr>
                <w:b/>
              </w:rPr>
              <w:t>riting:</w:t>
            </w:r>
            <w:r w:rsidRPr="00564620">
              <w:t xml:space="preserve"> Illustrates consistent command of standard, grade</w:t>
            </w:r>
            <w:r w:rsidR="002E7E7A">
              <w:t xml:space="preserve"> </w:t>
            </w:r>
            <w:r w:rsidRPr="00564620">
              <w:t>level</w:t>
            </w:r>
            <w:r w:rsidR="002E7E7A">
              <w:t>–</w:t>
            </w:r>
            <w:r w:rsidR="002F0EC5">
              <w:t>appropriate writing conventions</w:t>
            </w:r>
          </w:p>
        </w:tc>
        <w:tc>
          <w:tcPr>
            <w:tcW w:w="443" w:type="dxa"/>
            <w:shd w:val="clear" w:color="auto" w:fill="auto"/>
          </w:tcPr>
          <w:p w14:paraId="0D268158" w14:textId="77777777" w:rsidR="007F4A94" w:rsidRPr="00564620" w:rsidRDefault="007F4A94" w:rsidP="00EE58F3">
            <w:r w:rsidRPr="00C835E3">
              <w:rPr>
                <w:rFonts w:ascii="MS Gothic" w:eastAsia="MS Gothic" w:hAnsi="MS Gothic" w:hint="eastAsia"/>
              </w:rPr>
              <w:t>☐</w:t>
            </w:r>
          </w:p>
        </w:tc>
        <w:tc>
          <w:tcPr>
            <w:tcW w:w="6815" w:type="dxa"/>
            <w:shd w:val="clear" w:color="auto" w:fill="auto"/>
          </w:tcPr>
          <w:p w14:paraId="193CCC5C" w14:textId="77777777" w:rsidR="007F4A94" w:rsidRPr="00564620" w:rsidRDefault="007F4A94" w:rsidP="00EE58F3"/>
        </w:tc>
      </w:tr>
    </w:tbl>
    <w:p w14:paraId="66F4B5F9" w14:textId="39EC0BE2" w:rsidR="007F4A94" w:rsidRDefault="007F4A94" w:rsidP="008903B1">
      <w:pPr>
        <w:pStyle w:val="ToolHeader"/>
        <w:spacing w:before="60" w:after="180" w:line="276" w:lineRule="auto"/>
        <w:sectPr w:rsidR="007F4A94" w:rsidSect="00221D38">
          <w:headerReference w:type="default" r:id="rId12"/>
          <w:footerReference w:type="default" r:id="rId13"/>
          <w:pgSz w:w="15840" w:h="12240" w:orient="landscape"/>
          <w:pgMar w:top="1440" w:right="1440" w:bottom="1440" w:left="1440" w:header="432" w:footer="648" w:gutter="0"/>
          <w:cols w:space="720"/>
          <w:docGrid w:linePitch="299"/>
        </w:sectPr>
      </w:pPr>
      <w:r w:rsidRPr="00CE52CC">
        <w:rPr>
          <w:b w:val="0"/>
          <w:color w:val="auto"/>
          <w:sz w:val="18"/>
          <w:szCs w:val="18"/>
        </w:rPr>
        <w:t xml:space="preserve">From Evidence-Based Arguments Criteria Checklist by Odell Education, www.odelleducation.com. Copyright (2012–2013) Odell Education. Modified in partnership with permission under an Attribution-NonCommercial 3.0 Unported license: </w:t>
      </w:r>
      <w:hyperlink r:id="rId14" w:history="1">
        <w:r w:rsidRPr="00CE52CC">
          <w:rPr>
            <w:rStyle w:val="Hyperlink"/>
            <w:b w:val="0"/>
            <w:sz w:val="18"/>
            <w:szCs w:val="18"/>
          </w:rPr>
          <w:t>http://creativecommons.org/licenses/by-nc/3.0/</w:t>
        </w:r>
      </w:hyperlink>
    </w:p>
    <w:p w14:paraId="4A723494" w14:textId="7E23B306" w:rsidR="0017499F" w:rsidRPr="00564620" w:rsidRDefault="00680E1D" w:rsidP="0017499F">
      <w:pPr>
        <w:pStyle w:val="ToolHeader"/>
      </w:pPr>
      <w:r>
        <w:lastRenderedPageBreak/>
        <w:t xml:space="preserve">Model </w:t>
      </w:r>
      <w:r w:rsidR="0017499F" w:rsidRPr="00564620">
        <w:t xml:space="preserve">Evidence-Based Arguments Checklist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835"/>
        <w:gridCol w:w="1013"/>
        <w:gridCol w:w="4191"/>
        <w:gridCol w:w="996"/>
        <w:gridCol w:w="1891"/>
      </w:tblGrid>
      <w:tr w:rsidR="00C835E3" w:rsidRPr="00564620" w14:paraId="1DBFA627" w14:textId="77777777" w:rsidTr="00347ED4">
        <w:trPr>
          <w:trHeight w:val="516"/>
        </w:trPr>
        <w:tc>
          <w:tcPr>
            <w:tcW w:w="1135" w:type="dxa"/>
            <w:shd w:val="clear" w:color="auto" w:fill="D9D9D9"/>
            <w:vAlign w:val="center"/>
          </w:tcPr>
          <w:p w14:paraId="1A57E1CB" w14:textId="77777777" w:rsidR="0017499F" w:rsidRPr="00C835E3" w:rsidRDefault="0017499F" w:rsidP="00540662">
            <w:pPr>
              <w:pStyle w:val="TableText"/>
              <w:rPr>
                <w:b/>
              </w:rPr>
            </w:pPr>
            <w:r w:rsidRPr="00C835E3">
              <w:rPr>
                <w:b/>
              </w:rPr>
              <w:t>Name:</w:t>
            </w:r>
          </w:p>
        </w:tc>
        <w:tc>
          <w:tcPr>
            <w:tcW w:w="3835" w:type="dxa"/>
            <w:shd w:val="clear" w:color="auto" w:fill="auto"/>
            <w:vAlign w:val="center"/>
          </w:tcPr>
          <w:p w14:paraId="387DDBEC" w14:textId="77777777" w:rsidR="0017499F" w:rsidRPr="00C835E3" w:rsidRDefault="0017499F" w:rsidP="00540662">
            <w:pPr>
              <w:pStyle w:val="TableText"/>
              <w:rPr>
                <w:b/>
              </w:rPr>
            </w:pPr>
          </w:p>
        </w:tc>
        <w:tc>
          <w:tcPr>
            <w:tcW w:w="1013" w:type="dxa"/>
            <w:shd w:val="clear" w:color="auto" w:fill="D9D9D9"/>
            <w:vAlign w:val="center"/>
          </w:tcPr>
          <w:p w14:paraId="4F6AC8E5" w14:textId="77777777" w:rsidR="0017499F" w:rsidRPr="00C835E3" w:rsidRDefault="0017499F" w:rsidP="00540662">
            <w:pPr>
              <w:pStyle w:val="TableText"/>
              <w:rPr>
                <w:b/>
              </w:rPr>
            </w:pPr>
            <w:r w:rsidRPr="00C835E3">
              <w:rPr>
                <w:b/>
              </w:rPr>
              <w:t>Class:</w:t>
            </w:r>
          </w:p>
        </w:tc>
        <w:tc>
          <w:tcPr>
            <w:tcW w:w="4191" w:type="dxa"/>
            <w:shd w:val="clear" w:color="auto" w:fill="auto"/>
            <w:vAlign w:val="center"/>
          </w:tcPr>
          <w:p w14:paraId="4EA9E311" w14:textId="77777777" w:rsidR="0017499F" w:rsidRPr="00C835E3" w:rsidRDefault="0017499F" w:rsidP="00540662">
            <w:pPr>
              <w:pStyle w:val="TableText"/>
              <w:rPr>
                <w:b/>
              </w:rPr>
            </w:pPr>
          </w:p>
        </w:tc>
        <w:tc>
          <w:tcPr>
            <w:tcW w:w="996" w:type="dxa"/>
            <w:shd w:val="clear" w:color="auto" w:fill="D9D9D9"/>
            <w:vAlign w:val="center"/>
          </w:tcPr>
          <w:p w14:paraId="6678CFE6" w14:textId="77777777" w:rsidR="0017499F" w:rsidRPr="00C835E3" w:rsidRDefault="0017499F" w:rsidP="00540662">
            <w:pPr>
              <w:pStyle w:val="TableText"/>
              <w:rPr>
                <w:b/>
              </w:rPr>
            </w:pPr>
            <w:r w:rsidRPr="00C835E3">
              <w:rPr>
                <w:b/>
              </w:rPr>
              <w:t>Date:</w:t>
            </w:r>
          </w:p>
        </w:tc>
        <w:tc>
          <w:tcPr>
            <w:tcW w:w="1891" w:type="dxa"/>
            <w:shd w:val="clear" w:color="auto" w:fill="auto"/>
            <w:vAlign w:val="center"/>
          </w:tcPr>
          <w:p w14:paraId="43CCAAC2" w14:textId="77777777" w:rsidR="0017499F" w:rsidRPr="00C835E3" w:rsidRDefault="0017499F" w:rsidP="00540662">
            <w:pPr>
              <w:pStyle w:val="TableText"/>
              <w:rPr>
                <w:b/>
              </w:rPr>
            </w:pPr>
          </w:p>
        </w:tc>
      </w:tr>
    </w:tbl>
    <w:p w14:paraId="13CB413F" w14:textId="77777777" w:rsidR="00AC00C5" w:rsidRPr="00AC00C5" w:rsidRDefault="00AC00C5" w:rsidP="00AC00C5">
      <w:pPr>
        <w:spacing w:before="0" w:after="0"/>
        <w:rPr>
          <w:sz w:val="10"/>
          <w:szCs w:val="1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1"/>
      </w:tblGrid>
      <w:tr w:rsidR="00347ED4" w:rsidRPr="00564620" w14:paraId="6775FB70" w14:textId="77777777" w:rsidTr="004D1D31">
        <w:trPr>
          <w:trHeight w:val="516"/>
        </w:trPr>
        <w:tc>
          <w:tcPr>
            <w:tcW w:w="13061" w:type="dxa"/>
            <w:shd w:val="clear" w:color="auto" w:fill="D9D9D9"/>
            <w:vAlign w:val="center"/>
          </w:tcPr>
          <w:p w14:paraId="0FEF394D" w14:textId="2F90AD34" w:rsidR="00347ED4" w:rsidRPr="00C835E3" w:rsidRDefault="00347ED4" w:rsidP="00540662">
            <w:pPr>
              <w:pStyle w:val="TableText"/>
              <w:rPr>
                <w:b/>
              </w:rPr>
            </w:pPr>
            <w:r w:rsidRPr="001A2162">
              <w:rPr>
                <w:b/>
              </w:rPr>
              <w:t xml:space="preserve">Directions: </w:t>
            </w:r>
            <w:r>
              <w:t xml:space="preserve">Evaluate Evidence-Based Arguments by examining the components designated on the checklist. Identify whether or not the argument contains the appropriate section components and make a check mark if the component is present. Provide your evidence and the location where the component appears in the </w:t>
            </w:r>
            <w:r w:rsidR="00CE52CC">
              <w:t>“</w:t>
            </w:r>
            <w:r w:rsidR="00AE57CA">
              <w:t>C</w:t>
            </w:r>
            <w:r>
              <w:t>omments</w:t>
            </w:r>
            <w:r w:rsidR="00CE52CC">
              <w:t>”</w:t>
            </w:r>
            <w:r>
              <w:t xml:space="preserve"> section.</w:t>
            </w:r>
          </w:p>
        </w:tc>
      </w:tr>
    </w:tbl>
    <w:p w14:paraId="5C55D931" w14:textId="77777777" w:rsidR="0017499F" w:rsidRDefault="0017499F" w:rsidP="0017499F">
      <w:pPr>
        <w:spacing w:before="0" w:after="0"/>
        <w:rPr>
          <w:sz w:val="1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1926"/>
      </w:tblGrid>
      <w:tr w:rsidR="00AC00C5" w:rsidRPr="00564620" w14:paraId="4198062A" w14:textId="77777777" w:rsidTr="00081534">
        <w:trPr>
          <w:trHeight w:val="516"/>
        </w:trPr>
        <w:tc>
          <w:tcPr>
            <w:tcW w:w="1135" w:type="dxa"/>
            <w:shd w:val="clear" w:color="auto" w:fill="D9D9D9"/>
            <w:vAlign w:val="center"/>
          </w:tcPr>
          <w:p w14:paraId="139BE98A" w14:textId="77777777" w:rsidR="00AC00C5" w:rsidRPr="00C835E3" w:rsidRDefault="00AC00C5" w:rsidP="00081534">
            <w:pPr>
              <w:pStyle w:val="TableText"/>
              <w:rPr>
                <w:b/>
              </w:rPr>
            </w:pPr>
            <w:r>
              <w:rPr>
                <w:b/>
              </w:rPr>
              <w:t>Text:</w:t>
            </w:r>
          </w:p>
        </w:tc>
        <w:tc>
          <w:tcPr>
            <w:tcW w:w="11926" w:type="dxa"/>
            <w:shd w:val="clear" w:color="auto" w:fill="auto"/>
            <w:vAlign w:val="center"/>
          </w:tcPr>
          <w:p w14:paraId="5F5B033C" w14:textId="40D8F6BA" w:rsidR="00AC00C5" w:rsidRPr="002C37C4" w:rsidRDefault="00F411AC" w:rsidP="00081534">
            <w:pPr>
              <w:pStyle w:val="TableText"/>
            </w:pPr>
            <w:r w:rsidRPr="002C37C4">
              <w:t>“Empowering Women is Smart Economics” by Ana Revenga and Sudhir Shetty (Model Source #1)</w:t>
            </w:r>
          </w:p>
        </w:tc>
      </w:tr>
    </w:tbl>
    <w:p w14:paraId="357B4129" w14:textId="77777777" w:rsidR="00AC00C5" w:rsidRPr="00AC00C5" w:rsidRDefault="00AC00C5" w:rsidP="0017499F">
      <w:pPr>
        <w:spacing w:before="0" w:after="0"/>
        <w:rPr>
          <w:b/>
          <w:sz w:val="10"/>
          <w:szCs w:val="10"/>
        </w:rPr>
      </w:pPr>
    </w:p>
    <w:tbl>
      <w:tblPr>
        <w:tblW w:w="1304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3534"/>
        <w:gridCol w:w="443"/>
        <w:gridCol w:w="6815"/>
      </w:tblGrid>
      <w:tr w:rsidR="00C835E3" w:rsidRPr="00564620" w14:paraId="1D47D86F" w14:textId="77777777" w:rsidTr="00C835E3">
        <w:trPr>
          <w:trHeight w:val="144"/>
          <w:tblHeader/>
        </w:trPr>
        <w:tc>
          <w:tcPr>
            <w:tcW w:w="2251" w:type="dxa"/>
            <w:shd w:val="clear" w:color="auto" w:fill="D9D9D9"/>
          </w:tcPr>
          <w:p w14:paraId="3C5FC515" w14:textId="5C515E09" w:rsidR="0017499F" w:rsidRPr="00C835E3" w:rsidRDefault="0017499F" w:rsidP="002E7E7A">
            <w:pPr>
              <w:pStyle w:val="ToolTableText"/>
              <w:rPr>
                <w:b/>
              </w:rPr>
            </w:pPr>
            <w:r w:rsidRPr="00C835E3">
              <w:rPr>
                <w:b/>
              </w:rPr>
              <w:t xml:space="preserve">Argument </w:t>
            </w:r>
            <w:r w:rsidR="002E7E7A">
              <w:rPr>
                <w:b/>
              </w:rPr>
              <w:t>s</w:t>
            </w:r>
            <w:r w:rsidRPr="00C835E3">
              <w:rPr>
                <w:b/>
              </w:rPr>
              <w:t>ections</w:t>
            </w:r>
          </w:p>
        </w:tc>
        <w:tc>
          <w:tcPr>
            <w:tcW w:w="3534" w:type="dxa"/>
            <w:shd w:val="clear" w:color="auto" w:fill="D9D9D9"/>
          </w:tcPr>
          <w:p w14:paraId="4118829B" w14:textId="38915750" w:rsidR="0017499F" w:rsidRPr="00C835E3" w:rsidRDefault="0017499F" w:rsidP="002E7E7A">
            <w:pPr>
              <w:pStyle w:val="ToolTableText"/>
              <w:rPr>
                <w:b/>
              </w:rPr>
            </w:pPr>
            <w:r w:rsidRPr="00C835E3">
              <w:rPr>
                <w:b/>
              </w:rPr>
              <w:t xml:space="preserve">Section </w:t>
            </w:r>
            <w:r w:rsidR="002E7E7A">
              <w:rPr>
                <w:b/>
              </w:rPr>
              <w:t>c</w:t>
            </w:r>
            <w:r w:rsidRPr="00C835E3">
              <w:rPr>
                <w:b/>
              </w:rPr>
              <w:t>omponents</w:t>
            </w:r>
          </w:p>
        </w:tc>
        <w:tc>
          <w:tcPr>
            <w:tcW w:w="443" w:type="dxa"/>
            <w:shd w:val="clear" w:color="auto" w:fill="D9D9D9"/>
          </w:tcPr>
          <w:p w14:paraId="64575530" w14:textId="77777777" w:rsidR="0017499F" w:rsidRPr="00C835E3" w:rsidRDefault="0017499F" w:rsidP="00540662">
            <w:pPr>
              <w:pStyle w:val="ToolTableText"/>
              <w:rPr>
                <w:b/>
              </w:rPr>
            </w:pPr>
            <w:r w:rsidRPr="00C835E3">
              <w:rPr>
                <w:rFonts w:ascii="MS Gothic" w:eastAsia="MS Gothic" w:hAnsi="MS Gothic" w:hint="eastAsia"/>
                <w:b/>
              </w:rPr>
              <w:t>☐</w:t>
            </w:r>
          </w:p>
        </w:tc>
        <w:tc>
          <w:tcPr>
            <w:tcW w:w="6815" w:type="dxa"/>
            <w:shd w:val="clear" w:color="auto" w:fill="D9D9D9"/>
          </w:tcPr>
          <w:p w14:paraId="056C0D53" w14:textId="77777777" w:rsidR="0017499F" w:rsidRPr="00C835E3" w:rsidRDefault="0017499F" w:rsidP="00540662">
            <w:pPr>
              <w:pStyle w:val="ToolTableText"/>
              <w:rPr>
                <w:b/>
              </w:rPr>
            </w:pPr>
            <w:r w:rsidRPr="00C835E3">
              <w:rPr>
                <w:b/>
              </w:rPr>
              <w:t>Comments</w:t>
            </w:r>
          </w:p>
        </w:tc>
      </w:tr>
      <w:tr w:rsidR="00C835E3" w:rsidRPr="00564620" w14:paraId="3EF8E64C" w14:textId="77777777" w:rsidTr="005A6A09">
        <w:trPr>
          <w:trHeight w:val="4409"/>
        </w:trPr>
        <w:tc>
          <w:tcPr>
            <w:tcW w:w="2251" w:type="dxa"/>
            <w:vMerge w:val="restart"/>
            <w:shd w:val="clear" w:color="auto" w:fill="auto"/>
          </w:tcPr>
          <w:p w14:paraId="6846E566" w14:textId="77777777" w:rsidR="0017499F" w:rsidRPr="00C835E3" w:rsidRDefault="0017499F" w:rsidP="00540662">
            <w:pPr>
              <w:pStyle w:val="ToolTableText"/>
              <w:rPr>
                <w:b/>
              </w:rPr>
            </w:pPr>
            <w:r w:rsidRPr="00C835E3">
              <w:rPr>
                <w:b/>
              </w:rPr>
              <w:t>Content and Analysis</w:t>
            </w:r>
          </w:p>
        </w:tc>
        <w:tc>
          <w:tcPr>
            <w:tcW w:w="3534" w:type="dxa"/>
            <w:shd w:val="clear" w:color="auto" w:fill="auto"/>
          </w:tcPr>
          <w:p w14:paraId="02DB7A69" w14:textId="2832DD20" w:rsidR="0017499F" w:rsidRPr="00C835E3" w:rsidRDefault="004A1320" w:rsidP="00540662">
            <w:pPr>
              <w:pStyle w:val="ToolTableText"/>
              <w:rPr>
                <w:b/>
              </w:rPr>
            </w:pPr>
            <w:r>
              <w:rPr>
                <w:b/>
              </w:rPr>
              <w:t>Clarity and r</w:t>
            </w:r>
            <w:r w:rsidR="0017499F" w:rsidRPr="00C835E3">
              <w:rPr>
                <w:b/>
              </w:rPr>
              <w:t xml:space="preserve">elevance: </w:t>
            </w:r>
            <w:r w:rsidR="0017499F" w:rsidRPr="00564620">
              <w:t>Purposefully states a central claim that is linked to a clearly identified context (topic, problem, issue)</w:t>
            </w:r>
            <w:r w:rsidR="002F0EC5">
              <w:t xml:space="preserve"> that establishes its relevance</w:t>
            </w:r>
          </w:p>
        </w:tc>
        <w:tc>
          <w:tcPr>
            <w:tcW w:w="443" w:type="dxa"/>
            <w:shd w:val="clear" w:color="auto" w:fill="auto"/>
          </w:tcPr>
          <w:p w14:paraId="38F3C764" w14:textId="3DFA3000" w:rsidR="0017499F" w:rsidRPr="00564620" w:rsidRDefault="00C07E59" w:rsidP="00C07E59">
            <w:r>
              <w:rPr>
                <w:rFonts w:ascii="MS Gothic" w:eastAsia="MS Gothic" w:hAnsi="MS Gothic" w:hint="eastAsia"/>
              </w:rPr>
              <w:t>☒</w:t>
            </w:r>
          </w:p>
        </w:tc>
        <w:tc>
          <w:tcPr>
            <w:tcW w:w="6815" w:type="dxa"/>
            <w:shd w:val="clear" w:color="auto" w:fill="auto"/>
          </w:tcPr>
          <w:p w14:paraId="7B351879" w14:textId="3ACF5BF3" w:rsidR="0017499F" w:rsidRPr="00564620" w:rsidRDefault="005A6A09" w:rsidP="005A6A09">
            <w:r w:rsidRPr="009C7BD0">
              <w:t>Revenga and Shetty present the claim that “[g]reater gender equality can enhance economic productivity, improve development outcomes for the next generation, and make institutions and policies more representat</w:t>
            </w:r>
            <w:r>
              <w:t>ive</w:t>
            </w:r>
            <w:r w:rsidRPr="009C7BD0">
              <w:t>”</w:t>
            </w:r>
            <w:r>
              <w:t xml:space="preserve"> (par. 3).</w:t>
            </w:r>
            <w:r w:rsidRPr="009C7BD0">
              <w:t xml:space="preserve"> The authors establish the relevance of this claim by showing how the claim is rooted in the gender gap that remains in low-</w:t>
            </w:r>
            <w:r>
              <w:t xml:space="preserve"> </w:t>
            </w:r>
            <w:r w:rsidRPr="009C7BD0">
              <w:t>and middle-income countries. They explain that 40</w:t>
            </w:r>
            <w:r>
              <w:t xml:space="preserve"> </w:t>
            </w:r>
            <w:r w:rsidRPr="009C7BD0">
              <w:t xml:space="preserve">percent of the world’s workforce is comprised of women and thus “overall productivity will increase if their skills </w:t>
            </w:r>
            <w:r>
              <w:t>and talents are used more fully”</w:t>
            </w:r>
            <w:r w:rsidRPr="009C7BD0">
              <w:t xml:space="preserve"> (par. 11). They explain further that when women have “greater control over household resources”</w:t>
            </w:r>
            <w:r w:rsidRPr="00052777">
              <w:t xml:space="preserve"> </w:t>
            </w:r>
            <w:r w:rsidRPr="009C7BD0">
              <w:t>(par. 12), children benefit by receiving better food and education and that when women play larger roles in policymaking there is “greater provision of public goods” (par. 13). Since both the claim and its relevance are clearly presented, this model source addresses the component of clarity and relevance.</w:t>
            </w:r>
          </w:p>
        </w:tc>
      </w:tr>
      <w:tr w:rsidR="00C835E3" w:rsidRPr="00564620" w14:paraId="7229372C" w14:textId="77777777" w:rsidTr="00C835E3">
        <w:trPr>
          <w:trHeight w:val="144"/>
        </w:trPr>
        <w:tc>
          <w:tcPr>
            <w:tcW w:w="2251" w:type="dxa"/>
            <w:vMerge/>
            <w:shd w:val="clear" w:color="auto" w:fill="auto"/>
          </w:tcPr>
          <w:p w14:paraId="6DA7D3B0" w14:textId="77777777" w:rsidR="0017499F" w:rsidRPr="00564620" w:rsidRDefault="0017499F" w:rsidP="00540662">
            <w:pPr>
              <w:pStyle w:val="ToolTableText"/>
            </w:pPr>
          </w:p>
        </w:tc>
        <w:tc>
          <w:tcPr>
            <w:tcW w:w="3534" w:type="dxa"/>
            <w:shd w:val="clear" w:color="auto" w:fill="auto"/>
          </w:tcPr>
          <w:p w14:paraId="5A70FE39" w14:textId="0AC5AEF4" w:rsidR="0017499F" w:rsidRPr="00C835E3" w:rsidRDefault="0017499F" w:rsidP="004A1320">
            <w:pPr>
              <w:pStyle w:val="ToolTableText"/>
              <w:rPr>
                <w:b/>
              </w:rPr>
            </w:pPr>
            <w:r w:rsidRPr="00C835E3">
              <w:rPr>
                <w:b/>
              </w:rPr>
              <w:t xml:space="preserve">Conformity to </w:t>
            </w:r>
            <w:r w:rsidR="004A1320">
              <w:rPr>
                <w:b/>
              </w:rPr>
              <w:t>s</w:t>
            </w:r>
            <w:r w:rsidRPr="00C835E3">
              <w:rPr>
                <w:b/>
              </w:rPr>
              <w:t xml:space="preserve">ources: </w:t>
            </w:r>
            <w:r w:rsidRPr="00564620">
              <w:t>Presents a perspective that arises from ideas and evidence found in a range of diverse, cr</w:t>
            </w:r>
            <w:r w:rsidR="002F0EC5">
              <w:t>edible, and significant sources</w:t>
            </w:r>
          </w:p>
        </w:tc>
        <w:tc>
          <w:tcPr>
            <w:tcW w:w="443" w:type="dxa"/>
            <w:shd w:val="clear" w:color="auto" w:fill="auto"/>
          </w:tcPr>
          <w:p w14:paraId="3BD5B124" w14:textId="54E8CD51" w:rsidR="00C07E59" w:rsidRPr="00564620" w:rsidRDefault="00C07E59" w:rsidP="00540662">
            <w:r>
              <w:rPr>
                <w:rFonts w:ascii="MS Gothic" w:eastAsia="MS Gothic" w:hAnsi="MS Gothic" w:hint="eastAsia"/>
              </w:rPr>
              <w:t>☒</w:t>
            </w:r>
          </w:p>
        </w:tc>
        <w:tc>
          <w:tcPr>
            <w:tcW w:w="6815" w:type="dxa"/>
            <w:shd w:val="clear" w:color="auto" w:fill="auto"/>
          </w:tcPr>
          <w:p w14:paraId="0FF98327" w14:textId="2AF92042" w:rsidR="0017499F" w:rsidRPr="00C32400" w:rsidRDefault="005A6A09" w:rsidP="007F4A94">
            <w:pPr>
              <w:pStyle w:val="ToolTableText"/>
              <w:rPr>
                <w:rFonts w:ascii="Calibri Light" w:eastAsia="MS Gothic" w:hAnsi="Calibri Light"/>
              </w:rPr>
            </w:pPr>
            <w:r w:rsidRPr="009C7BD0">
              <w:t xml:space="preserve">Revenga and Shetty present a perspective that arises from </w:t>
            </w:r>
            <w:r>
              <w:t xml:space="preserve">a </w:t>
            </w:r>
            <w:r w:rsidRPr="009C7BD0">
              <w:t>range of diverse, credible</w:t>
            </w:r>
            <w:r>
              <w:t>,</w:t>
            </w:r>
            <w:r w:rsidRPr="009C7BD0">
              <w:t xml:space="preserve"> and significant sources, including articles from the World Bank, the Food and Agriculture Organization of the United Nations, and a </w:t>
            </w:r>
            <w:r>
              <w:t>b</w:t>
            </w:r>
            <w:r w:rsidRPr="009C7BD0">
              <w:t xml:space="preserve">ackground </w:t>
            </w:r>
            <w:r>
              <w:t>p</w:t>
            </w:r>
            <w:r w:rsidRPr="009C7BD0">
              <w:t xml:space="preserve">aper for the World Development Report 2012. Because </w:t>
            </w:r>
            <w:r>
              <w:t>the model source uses such diverse resources for support</w:t>
            </w:r>
            <w:r w:rsidRPr="009C7BD0">
              <w:t xml:space="preserve">, </w:t>
            </w:r>
            <w:r>
              <w:t>it</w:t>
            </w:r>
            <w:r w:rsidRPr="009C7BD0">
              <w:t xml:space="preserve"> achieves the component of conform</w:t>
            </w:r>
            <w:r>
              <w:t>ity</w:t>
            </w:r>
            <w:r w:rsidRPr="009C7BD0">
              <w:t xml:space="preserve"> to sources.</w:t>
            </w:r>
          </w:p>
        </w:tc>
      </w:tr>
      <w:tr w:rsidR="00C835E3" w:rsidRPr="00564620" w14:paraId="31818FDE" w14:textId="77777777" w:rsidTr="00C835E3">
        <w:trPr>
          <w:trHeight w:val="144"/>
        </w:trPr>
        <w:tc>
          <w:tcPr>
            <w:tcW w:w="2251" w:type="dxa"/>
            <w:vMerge/>
            <w:shd w:val="clear" w:color="auto" w:fill="auto"/>
          </w:tcPr>
          <w:p w14:paraId="3236822E" w14:textId="77777777" w:rsidR="0017499F" w:rsidRPr="00564620" w:rsidRDefault="0017499F" w:rsidP="00540662">
            <w:pPr>
              <w:pStyle w:val="ToolTableText"/>
            </w:pPr>
          </w:p>
        </w:tc>
        <w:tc>
          <w:tcPr>
            <w:tcW w:w="3534" w:type="dxa"/>
            <w:shd w:val="clear" w:color="auto" w:fill="auto"/>
          </w:tcPr>
          <w:p w14:paraId="702CE777" w14:textId="07F39D75" w:rsidR="0017499F" w:rsidRPr="00C835E3" w:rsidRDefault="0017499F" w:rsidP="004A1320">
            <w:pPr>
              <w:pStyle w:val="ToolTableText"/>
              <w:rPr>
                <w:b/>
              </w:rPr>
            </w:pPr>
            <w:r w:rsidRPr="00C835E3">
              <w:rPr>
                <w:b/>
              </w:rPr>
              <w:t xml:space="preserve">Understanding of the </w:t>
            </w:r>
            <w:r w:rsidR="004A1320">
              <w:rPr>
                <w:b/>
              </w:rPr>
              <w:t>i</w:t>
            </w:r>
            <w:r w:rsidRPr="00C835E3">
              <w:rPr>
                <w:b/>
              </w:rPr>
              <w:t xml:space="preserve">ssue: </w:t>
            </w:r>
            <w:r w:rsidRPr="00564620">
              <w:t xml:space="preserve">Presents a perspective based on a comprehensive understanding of the issue, and establishes a series of valid claims that emerge from </w:t>
            </w:r>
            <w:r w:rsidR="002F0EC5">
              <w:t>reasoned analysis</w:t>
            </w:r>
          </w:p>
        </w:tc>
        <w:tc>
          <w:tcPr>
            <w:tcW w:w="443" w:type="dxa"/>
            <w:shd w:val="clear" w:color="auto" w:fill="auto"/>
          </w:tcPr>
          <w:p w14:paraId="05B8A862" w14:textId="77220AD0" w:rsidR="0017499F" w:rsidRPr="00564620" w:rsidRDefault="00C07E59" w:rsidP="00540662">
            <w:r>
              <w:rPr>
                <w:rFonts w:ascii="MS Gothic" w:eastAsia="MS Gothic" w:hAnsi="MS Gothic" w:hint="eastAsia"/>
              </w:rPr>
              <w:t>☒</w:t>
            </w:r>
          </w:p>
        </w:tc>
        <w:tc>
          <w:tcPr>
            <w:tcW w:w="6815" w:type="dxa"/>
            <w:shd w:val="clear" w:color="auto" w:fill="auto"/>
          </w:tcPr>
          <w:p w14:paraId="18207DAA" w14:textId="4007427C" w:rsidR="0017499F" w:rsidRPr="00564620" w:rsidRDefault="00757663" w:rsidP="00CE52CC">
            <w:pPr>
              <w:pStyle w:val="ToolTableText"/>
            </w:pPr>
            <w:r w:rsidRPr="009C7BD0">
              <w:t xml:space="preserve">In the model text, Revenga and Shetty build a series of valid claims that support one another and contribute to their central claim. They begin by acknowledging that although the gender gap has improved, gender inequity is still prevalent. The authors then discuss the current state of global gender issues with facts and statistics for support, before addressing </w:t>
            </w:r>
            <w:r w:rsidR="00CE52CC">
              <w:t>5</w:t>
            </w:r>
            <w:r w:rsidRPr="009C7BD0">
              <w:t xml:space="preserve"> specific priorities for consideration. </w:t>
            </w:r>
            <w:r w:rsidR="00CE52CC" w:rsidRPr="009C7BD0">
              <w:t xml:space="preserve">The series of claims and analysis show that Revenga and Shetty have a </w:t>
            </w:r>
            <w:r w:rsidR="00CE52CC">
              <w:t>broad knowledge</w:t>
            </w:r>
            <w:r w:rsidR="00CE52CC" w:rsidRPr="009C7BD0">
              <w:t xml:space="preserve"> </w:t>
            </w:r>
            <w:r w:rsidR="00CE52CC">
              <w:t>and</w:t>
            </w:r>
            <w:r w:rsidR="00CE52CC" w:rsidRPr="009C7BD0">
              <w:t xml:space="preserve"> comprehensive understanding</w:t>
            </w:r>
            <w:r w:rsidR="00CE52CC">
              <w:t xml:space="preserve"> </w:t>
            </w:r>
            <w:r w:rsidR="00CE52CC" w:rsidRPr="009C7BD0">
              <w:t xml:space="preserve">of the issue. Revenga and Shetty </w:t>
            </w:r>
            <w:r w:rsidR="00CE52CC">
              <w:t>present</w:t>
            </w:r>
            <w:r w:rsidR="00CE52CC" w:rsidRPr="009C7BD0">
              <w:t xml:space="preserve"> a perspective based on a comprehensive understanding of the issue</w:t>
            </w:r>
            <w:r w:rsidR="00CE52CC">
              <w:t>,</w:t>
            </w:r>
            <w:r w:rsidR="00CE52CC" w:rsidRPr="009C7BD0">
              <w:t xml:space="preserve"> past and present, and establish valid claims that emerge from reasoned analysis</w:t>
            </w:r>
            <w:r w:rsidR="00CE52CC">
              <w:t>,</w:t>
            </w:r>
            <w:r w:rsidR="00CE52CC" w:rsidRPr="009C7BD0">
              <w:t xml:space="preserve"> and therefore demonstrate the component of understanding the issue</w:t>
            </w:r>
            <w:r w:rsidRPr="009C7BD0">
              <w:t>.</w:t>
            </w:r>
          </w:p>
        </w:tc>
      </w:tr>
      <w:tr w:rsidR="00C835E3" w:rsidRPr="00564620" w14:paraId="2B7BE381" w14:textId="77777777" w:rsidTr="00C835E3">
        <w:trPr>
          <w:trHeight w:val="144"/>
        </w:trPr>
        <w:tc>
          <w:tcPr>
            <w:tcW w:w="2251" w:type="dxa"/>
            <w:vMerge/>
            <w:shd w:val="clear" w:color="auto" w:fill="auto"/>
          </w:tcPr>
          <w:p w14:paraId="5278F876" w14:textId="77777777" w:rsidR="0017499F" w:rsidRPr="00564620" w:rsidRDefault="0017499F" w:rsidP="00540662">
            <w:pPr>
              <w:pStyle w:val="ToolTableText"/>
            </w:pPr>
          </w:p>
        </w:tc>
        <w:tc>
          <w:tcPr>
            <w:tcW w:w="3534" w:type="dxa"/>
            <w:shd w:val="clear" w:color="auto" w:fill="auto"/>
          </w:tcPr>
          <w:p w14:paraId="05E0A548" w14:textId="5DB50CED" w:rsidR="0017499F" w:rsidRPr="00C835E3" w:rsidRDefault="0017499F" w:rsidP="004A1320">
            <w:pPr>
              <w:pStyle w:val="ToolTableText"/>
              <w:rPr>
                <w:b/>
              </w:rPr>
            </w:pPr>
            <w:r w:rsidRPr="00C835E3">
              <w:rPr>
                <w:b/>
              </w:rPr>
              <w:t xml:space="preserve">Acknowledgement of </w:t>
            </w:r>
            <w:r w:rsidR="004A1320">
              <w:rPr>
                <w:b/>
              </w:rPr>
              <w:t>o</w:t>
            </w:r>
            <w:r w:rsidRPr="00C835E3">
              <w:rPr>
                <w:b/>
              </w:rPr>
              <w:t xml:space="preserve">ther </w:t>
            </w:r>
            <w:r w:rsidR="004A1320">
              <w:rPr>
                <w:b/>
              </w:rPr>
              <w:t>p</w:t>
            </w:r>
            <w:r w:rsidRPr="00C835E3">
              <w:rPr>
                <w:b/>
              </w:rPr>
              <w:t>erspectives:</w:t>
            </w:r>
            <w:r w:rsidRPr="00564620">
              <w:t xml:space="preserve"> Recognizes opposing or alternate claims and distinguishes these cla</w:t>
            </w:r>
            <w:r w:rsidR="002F0EC5">
              <w:t>ims from the stated perspective</w:t>
            </w:r>
          </w:p>
        </w:tc>
        <w:tc>
          <w:tcPr>
            <w:tcW w:w="443" w:type="dxa"/>
            <w:shd w:val="clear" w:color="auto" w:fill="auto"/>
          </w:tcPr>
          <w:p w14:paraId="1631698A" w14:textId="77B0D38F" w:rsidR="0017499F" w:rsidRPr="00564620" w:rsidRDefault="0017499F" w:rsidP="00540662">
            <w:r w:rsidRPr="00C835E3">
              <w:rPr>
                <w:rFonts w:ascii="MS Gothic" w:eastAsia="MS Gothic" w:hAnsi="MS Gothic" w:hint="eastAsia"/>
              </w:rPr>
              <w:t>☐</w:t>
            </w:r>
          </w:p>
        </w:tc>
        <w:tc>
          <w:tcPr>
            <w:tcW w:w="6815" w:type="dxa"/>
            <w:shd w:val="clear" w:color="auto" w:fill="auto"/>
          </w:tcPr>
          <w:p w14:paraId="00AA9752" w14:textId="5D8F34D8" w:rsidR="0017499F" w:rsidRPr="00564620" w:rsidRDefault="008A4DC9" w:rsidP="00032A01">
            <w:pPr>
              <w:pStyle w:val="ToolTableText"/>
            </w:pPr>
            <w:r w:rsidRPr="009C7BD0">
              <w:t>In the model text, Revenga</w:t>
            </w:r>
            <w:r w:rsidRPr="00232F9D">
              <w:t xml:space="preserve"> and Shetty</w:t>
            </w:r>
            <w:r w:rsidRPr="00995EAC">
              <w:t xml:space="preserve"> do not clearly establish or acknowledge any opposing claims. Because of this lack of a significant counterclaim</w:t>
            </w:r>
            <w:r>
              <w:t>,</w:t>
            </w:r>
            <w:r w:rsidRPr="00995EAC">
              <w:t xml:space="preserve"> the source does not meet the criteria for </w:t>
            </w:r>
            <w:r w:rsidRPr="009C7BD0">
              <w:t xml:space="preserve">acknowledging other </w:t>
            </w:r>
            <w:r w:rsidR="00032A01">
              <w:t>perspectives</w:t>
            </w:r>
            <w:r w:rsidRPr="009C7BD0">
              <w:t>.</w:t>
            </w:r>
          </w:p>
        </w:tc>
      </w:tr>
      <w:tr w:rsidR="00C835E3" w:rsidRPr="00564620" w14:paraId="315D9BFF" w14:textId="77777777" w:rsidTr="00C835E3">
        <w:trPr>
          <w:trHeight w:val="144"/>
        </w:trPr>
        <w:tc>
          <w:tcPr>
            <w:tcW w:w="2251" w:type="dxa"/>
            <w:vMerge w:val="restart"/>
            <w:shd w:val="clear" w:color="auto" w:fill="auto"/>
          </w:tcPr>
          <w:p w14:paraId="4AD3A6FA" w14:textId="77777777" w:rsidR="0017499F" w:rsidRPr="00C835E3" w:rsidRDefault="0017499F" w:rsidP="00540662">
            <w:pPr>
              <w:pStyle w:val="ToolTableText"/>
              <w:rPr>
                <w:b/>
              </w:rPr>
            </w:pPr>
            <w:r w:rsidRPr="00C835E3">
              <w:rPr>
                <w:b/>
              </w:rPr>
              <w:t>Command of Evidence</w:t>
            </w:r>
          </w:p>
        </w:tc>
        <w:tc>
          <w:tcPr>
            <w:tcW w:w="3534" w:type="dxa"/>
            <w:shd w:val="clear" w:color="auto" w:fill="auto"/>
          </w:tcPr>
          <w:p w14:paraId="34B9A55E" w14:textId="0812D29E" w:rsidR="0017499F" w:rsidRPr="00C835E3" w:rsidRDefault="0017499F" w:rsidP="00540662">
            <w:pPr>
              <w:pStyle w:val="ToolTableText"/>
              <w:rPr>
                <w:b/>
              </w:rPr>
            </w:pPr>
            <w:r w:rsidRPr="00C835E3">
              <w:rPr>
                <w:b/>
              </w:rPr>
              <w:t xml:space="preserve">Reasoning: </w:t>
            </w:r>
            <w:r w:rsidRPr="00564620">
              <w:t>Links evidence and claims together logically in ways that lead to the conclusions</w:t>
            </w:r>
            <w:r w:rsidR="002F0EC5">
              <w:t xml:space="preserve"> expressed in </w:t>
            </w:r>
            <w:r w:rsidR="002F0EC5">
              <w:lastRenderedPageBreak/>
              <w:t>the central claim</w:t>
            </w:r>
          </w:p>
        </w:tc>
        <w:tc>
          <w:tcPr>
            <w:tcW w:w="443" w:type="dxa"/>
            <w:shd w:val="clear" w:color="auto" w:fill="auto"/>
          </w:tcPr>
          <w:p w14:paraId="5109CF87" w14:textId="63FF2560" w:rsidR="0017499F" w:rsidRPr="00564620" w:rsidRDefault="00C07E59" w:rsidP="00540662">
            <w:r>
              <w:rPr>
                <w:rFonts w:ascii="MS Gothic" w:eastAsia="MS Gothic" w:hAnsi="MS Gothic" w:hint="eastAsia"/>
              </w:rPr>
              <w:lastRenderedPageBreak/>
              <w:t>☒</w:t>
            </w:r>
          </w:p>
        </w:tc>
        <w:tc>
          <w:tcPr>
            <w:tcW w:w="6815" w:type="dxa"/>
            <w:shd w:val="clear" w:color="auto" w:fill="auto"/>
          </w:tcPr>
          <w:p w14:paraId="006B59B8" w14:textId="369298B1" w:rsidR="0017499F" w:rsidRPr="00B37E74" w:rsidRDefault="004B65DE">
            <w:pPr>
              <w:pStyle w:val="ToolTableText"/>
            </w:pPr>
            <w:r w:rsidRPr="00AC00C5">
              <w:t>Revenga and Shetty provide clear and coherent reasoning to link their evidence and claims, and clearly explain how the evidence and claims relate to the central claim.</w:t>
            </w:r>
            <w:r w:rsidR="0084105F" w:rsidRPr="00AC00C5">
              <w:t xml:space="preserve"> </w:t>
            </w:r>
            <w:r w:rsidR="00275F7E" w:rsidRPr="00AC00C5">
              <w:t>The authors</w:t>
            </w:r>
            <w:r w:rsidR="00275F7E" w:rsidRPr="001B2422">
              <w:t xml:space="preserve"> provide reasoning such as</w:t>
            </w:r>
            <w:r w:rsidR="00275F7E" w:rsidRPr="009476D0">
              <w:rPr>
                <w:rFonts w:asciiTheme="minorHAnsi" w:hAnsiTheme="minorHAnsi"/>
              </w:rPr>
              <w:t>,</w:t>
            </w:r>
            <w:r w:rsidR="00275F7E" w:rsidRPr="001B2422">
              <w:rPr>
                <w:rFonts w:asciiTheme="minorHAnsi" w:hAnsiTheme="minorHAnsi"/>
                <w:shd w:val="clear" w:color="auto" w:fill="FFFFFF"/>
              </w:rPr>
              <w:t xml:space="preserve"> “Many </w:t>
            </w:r>
            <w:r w:rsidR="00275F7E" w:rsidRPr="001B2422">
              <w:rPr>
                <w:rFonts w:asciiTheme="minorHAnsi" w:hAnsiTheme="minorHAnsi"/>
                <w:shd w:val="clear" w:color="auto" w:fill="FFFFFF"/>
              </w:rPr>
              <w:lastRenderedPageBreak/>
              <w:t>gender disparities remain even as countries</w:t>
            </w:r>
            <w:r w:rsidR="00275F7E" w:rsidRPr="008903B1">
              <w:rPr>
                <w:rFonts w:asciiTheme="minorHAnsi" w:hAnsiTheme="minorHAnsi"/>
                <w:shd w:val="clear" w:color="auto" w:fill="FFFFFF"/>
              </w:rPr>
              <w:t xml:space="preserve"> develop, which calls for sustained and focused public action” (par. 4)</w:t>
            </w:r>
            <w:r w:rsidR="00482A28">
              <w:rPr>
                <w:rFonts w:asciiTheme="minorHAnsi" w:hAnsiTheme="minorHAnsi"/>
                <w:shd w:val="clear" w:color="auto" w:fill="FFFFFF"/>
              </w:rPr>
              <w:t>,</w:t>
            </w:r>
            <w:r w:rsidR="00275F7E" w:rsidRPr="008903B1">
              <w:rPr>
                <w:rFonts w:asciiTheme="minorHAnsi" w:hAnsiTheme="minorHAnsi"/>
                <w:shd w:val="clear" w:color="auto" w:fill="FFFFFF"/>
              </w:rPr>
              <w:t xml:space="preserve"> and </w:t>
            </w:r>
            <w:r w:rsidR="0084105F" w:rsidRPr="008903B1">
              <w:rPr>
                <w:rFonts w:asciiTheme="minorHAnsi" w:hAnsiTheme="minorHAnsi"/>
                <w:shd w:val="clear" w:color="auto" w:fill="FFFFFF"/>
              </w:rPr>
              <w:t>“Corrective policies will yield substantial development payoffs if they focus on persistent gender inequalities that matter most for welfare. To be effective, these measures must target the root causes of inequality without ignoring the domestic political economy” (par. 4).</w:t>
            </w:r>
          </w:p>
        </w:tc>
      </w:tr>
      <w:tr w:rsidR="00C835E3" w:rsidRPr="00564620" w14:paraId="2FCE9E26" w14:textId="77777777" w:rsidTr="00C835E3">
        <w:trPr>
          <w:trHeight w:val="144"/>
        </w:trPr>
        <w:tc>
          <w:tcPr>
            <w:tcW w:w="2251" w:type="dxa"/>
            <w:vMerge/>
            <w:shd w:val="clear" w:color="auto" w:fill="auto"/>
          </w:tcPr>
          <w:p w14:paraId="6F36494C" w14:textId="77777777" w:rsidR="0017499F" w:rsidRPr="00564620" w:rsidRDefault="0017499F" w:rsidP="00540662">
            <w:pPr>
              <w:pStyle w:val="ToolTableText"/>
            </w:pPr>
          </w:p>
        </w:tc>
        <w:tc>
          <w:tcPr>
            <w:tcW w:w="3534" w:type="dxa"/>
            <w:shd w:val="clear" w:color="auto" w:fill="auto"/>
          </w:tcPr>
          <w:p w14:paraId="10A6CEC7" w14:textId="5BB550CC" w:rsidR="0017499F" w:rsidRPr="00C835E3" w:rsidRDefault="0017499F" w:rsidP="004A1320">
            <w:pPr>
              <w:pStyle w:val="ToolTableText"/>
              <w:rPr>
                <w:b/>
              </w:rPr>
            </w:pPr>
            <w:r w:rsidRPr="00C835E3">
              <w:rPr>
                <w:b/>
              </w:rPr>
              <w:t xml:space="preserve">Use of </w:t>
            </w:r>
            <w:r w:rsidR="004A1320">
              <w:rPr>
                <w:b/>
              </w:rPr>
              <w:t>e</w:t>
            </w:r>
            <w:r w:rsidRPr="00C835E3">
              <w:rPr>
                <w:b/>
              </w:rPr>
              <w:t xml:space="preserve">vidence: </w:t>
            </w:r>
            <w:r w:rsidRPr="00564620">
              <w:t>Supports the central claim and each supporting claim with valid infere</w:t>
            </w:r>
            <w:r w:rsidR="002F0EC5">
              <w:t>nces based on credible evidence</w:t>
            </w:r>
          </w:p>
        </w:tc>
        <w:tc>
          <w:tcPr>
            <w:tcW w:w="443" w:type="dxa"/>
            <w:shd w:val="clear" w:color="auto" w:fill="auto"/>
          </w:tcPr>
          <w:p w14:paraId="6A576236" w14:textId="37564B4B" w:rsidR="0017499F" w:rsidRPr="00564620" w:rsidRDefault="00C07E59" w:rsidP="00540662">
            <w:r>
              <w:rPr>
                <w:rFonts w:ascii="MS Gothic" w:eastAsia="MS Gothic" w:hAnsi="MS Gothic" w:hint="eastAsia"/>
              </w:rPr>
              <w:t>☒</w:t>
            </w:r>
          </w:p>
        </w:tc>
        <w:tc>
          <w:tcPr>
            <w:tcW w:w="6815" w:type="dxa"/>
            <w:shd w:val="clear" w:color="auto" w:fill="auto"/>
          </w:tcPr>
          <w:p w14:paraId="355F9B1E" w14:textId="718E5447" w:rsidR="0017499F" w:rsidRPr="00564620" w:rsidRDefault="003B4DB6" w:rsidP="007F4A94">
            <w:pPr>
              <w:pStyle w:val="ToolTableText"/>
            </w:pPr>
            <w:r w:rsidRPr="004B65DE">
              <w:t>Revenga and Shetty</w:t>
            </w:r>
            <w:r>
              <w:t xml:space="preserve"> provide</w:t>
            </w:r>
            <w:r w:rsidRPr="00564620">
              <w:t xml:space="preserve"> valid inferences </w:t>
            </w:r>
            <w:r>
              <w:t xml:space="preserve">about credible evidence </w:t>
            </w:r>
            <w:r w:rsidRPr="00564620">
              <w:t>to support the central claim and supporting claim</w:t>
            </w:r>
            <w:r>
              <w:t>s</w:t>
            </w:r>
            <w:r w:rsidRPr="00564620">
              <w:t>.</w:t>
            </w:r>
            <w:r w:rsidR="008C719A">
              <w:t xml:space="preserve"> For example, the authors provide many examples of why investing in women generates economic growth</w:t>
            </w:r>
            <w:r w:rsidR="00B37E74">
              <w:t>,</w:t>
            </w:r>
            <w:r w:rsidR="008C719A">
              <w:t xml:space="preserve"> including “Elimination of barriers against women working in certain sectors or occupations could increase output by raising women’s participation and labor productivity by as much as 25 percent” (par. 11).</w:t>
            </w:r>
          </w:p>
        </w:tc>
      </w:tr>
      <w:tr w:rsidR="00C835E3" w:rsidRPr="00564620" w14:paraId="2F3096F4" w14:textId="77777777" w:rsidTr="00C835E3">
        <w:trPr>
          <w:trHeight w:val="144"/>
        </w:trPr>
        <w:tc>
          <w:tcPr>
            <w:tcW w:w="2251" w:type="dxa"/>
            <w:vMerge/>
            <w:shd w:val="clear" w:color="auto" w:fill="auto"/>
          </w:tcPr>
          <w:p w14:paraId="2495DFE3" w14:textId="77777777" w:rsidR="0017499F" w:rsidRPr="00564620" w:rsidRDefault="0017499F" w:rsidP="00540662">
            <w:pPr>
              <w:pStyle w:val="ToolTableText"/>
            </w:pPr>
          </w:p>
        </w:tc>
        <w:tc>
          <w:tcPr>
            <w:tcW w:w="3534" w:type="dxa"/>
            <w:shd w:val="clear" w:color="auto" w:fill="auto"/>
          </w:tcPr>
          <w:p w14:paraId="24BAD744" w14:textId="7A1101C4" w:rsidR="0017499F" w:rsidRPr="00C835E3" w:rsidRDefault="0017499F" w:rsidP="004A1320">
            <w:pPr>
              <w:pStyle w:val="ToolTableText"/>
              <w:rPr>
                <w:b/>
              </w:rPr>
            </w:pPr>
            <w:r w:rsidRPr="00C835E3">
              <w:rPr>
                <w:b/>
              </w:rPr>
              <w:t xml:space="preserve">Thoroughness and </w:t>
            </w:r>
            <w:r w:rsidR="004A1320">
              <w:rPr>
                <w:b/>
              </w:rPr>
              <w:t>o</w:t>
            </w:r>
            <w:r w:rsidRPr="00C835E3">
              <w:rPr>
                <w:b/>
              </w:rPr>
              <w:t xml:space="preserve">bjectivity: </w:t>
            </w:r>
            <w:r w:rsidRPr="00564620">
              <w:t>Represents a comprehensive understanding of the issue where the argument’s claims and supporting evidence fairly addresses relevant counterclaims and</w:t>
            </w:r>
            <w:r w:rsidR="002F0EC5">
              <w:t xml:space="preserve"> discusses conflicting evidence</w:t>
            </w:r>
          </w:p>
        </w:tc>
        <w:tc>
          <w:tcPr>
            <w:tcW w:w="443" w:type="dxa"/>
            <w:shd w:val="clear" w:color="auto" w:fill="auto"/>
          </w:tcPr>
          <w:p w14:paraId="2EE11057" w14:textId="77777777" w:rsidR="0017499F" w:rsidRPr="00564620" w:rsidRDefault="0017499F" w:rsidP="00540662">
            <w:r w:rsidRPr="00C835E3">
              <w:rPr>
                <w:rFonts w:ascii="MS Gothic" w:eastAsia="MS Gothic" w:hAnsi="MS Gothic" w:hint="eastAsia"/>
              </w:rPr>
              <w:t>☐</w:t>
            </w:r>
          </w:p>
        </w:tc>
        <w:tc>
          <w:tcPr>
            <w:tcW w:w="6815" w:type="dxa"/>
            <w:shd w:val="clear" w:color="auto" w:fill="auto"/>
          </w:tcPr>
          <w:p w14:paraId="0B3C9BC5" w14:textId="4CFA3732" w:rsidR="0017499F" w:rsidRPr="00564620" w:rsidRDefault="00A44741" w:rsidP="00392CF0">
            <w:pPr>
              <w:pStyle w:val="ToolTableText"/>
            </w:pPr>
            <w:r w:rsidRPr="00AC00C5">
              <w:t xml:space="preserve">Because Revenga and Shetty do not address relevant counterclaims and conflicting evidence, the article cannot be considered thorough </w:t>
            </w:r>
            <w:r w:rsidR="00392CF0" w:rsidRPr="00AC00C5">
              <w:t xml:space="preserve">or </w:t>
            </w:r>
            <w:r w:rsidRPr="00AC00C5">
              <w:t>objective.</w:t>
            </w:r>
            <w:r w:rsidRPr="00564620">
              <w:t xml:space="preserve"> </w:t>
            </w:r>
          </w:p>
        </w:tc>
      </w:tr>
      <w:tr w:rsidR="00C835E3" w:rsidRPr="00564620" w14:paraId="3B29FD92" w14:textId="77777777" w:rsidTr="00C835E3">
        <w:trPr>
          <w:trHeight w:val="144"/>
        </w:trPr>
        <w:tc>
          <w:tcPr>
            <w:tcW w:w="2251" w:type="dxa"/>
            <w:vMerge w:val="restart"/>
            <w:shd w:val="clear" w:color="auto" w:fill="auto"/>
          </w:tcPr>
          <w:p w14:paraId="761BE5EE" w14:textId="77777777" w:rsidR="0017499F" w:rsidRPr="00C835E3" w:rsidRDefault="0017499F" w:rsidP="00540662">
            <w:pPr>
              <w:pStyle w:val="ToolTableText"/>
              <w:rPr>
                <w:b/>
              </w:rPr>
            </w:pPr>
            <w:r w:rsidRPr="00C835E3">
              <w:rPr>
                <w:b/>
              </w:rPr>
              <w:t>Coherence and Organization</w:t>
            </w:r>
          </w:p>
        </w:tc>
        <w:tc>
          <w:tcPr>
            <w:tcW w:w="3534" w:type="dxa"/>
            <w:shd w:val="clear" w:color="auto" w:fill="auto"/>
          </w:tcPr>
          <w:p w14:paraId="2750CCC1" w14:textId="64139732" w:rsidR="0017499F" w:rsidRPr="00564620" w:rsidRDefault="0017499F" w:rsidP="004A1320">
            <w:pPr>
              <w:pStyle w:val="ToolTableText"/>
            </w:pPr>
            <w:r w:rsidRPr="00C835E3">
              <w:rPr>
                <w:b/>
              </w:rPr>
              <w:t xml:space="preserve">Relationship </w:t>
            </w:r>
            <w:r w:rsidR="004A1320">
              <w:rPr>
                <w:b/>
              </w:rPr>
              <w:t>a</w:t>
            </w:r>
            <w:r w:rsidRPr="00C835E3">
              <w:rPr>
                <w:b/>
              </w:rPr>
              <w:t xml:space="preserve">mong </w:t>
            </w:r>
            <w:r w:rsidR="004A1320">
              <w:rPr>
                <w:b/>
              </w:rPr>
              <w:t>p</w:t>
            </w:r>
            <w:r w:rsidRPr="00C835E3">
              <w:rPr>
                <w:b/>
              </w:rPr>
              <w:t xml:space="preserve">arts: </w:t>
            </w:r>
            <w:r w:rsidRPr="00564620">
              <w:t>Establishes clear and logical relationships between support</w:t>
            </w:r>
            <w:r w:rsidR="002F0EC5">
              <w:t>ing claims and a central claim</w:t>
            </w:r>
          </w:p>
        </w:tc>
        <w:tc>
          <w:tcPr>
            <w:tcW w:w="443" w:type="dxa"/>
            <w:shd w:val="clear" w:color="auto" w:fill="auto"/>
          </w:tcPr>
          <w:p w14:paraId="61CBD42A" w14:textId="140E45DD" w:rsidR="0017499F" w:rsidRPr="00564620" w:rsidRDefault="00C07E59" w:rsidP="00540662">
            <w:r>
              <w:rPr>
                <w:rFonts w:ascii="MS Gothic" w:eastAsia="MS Gothic" w:hAnsi="MS Gothic" w:hint="eastAsia"/>
              </w:rPr>
              <w:t>☒</w:t>
            </w:r>
          </w:p>
        </w:tc>
        <w:tc>
          <w:tcPr>
            <w:tcW w:w="6815" w:type="dxa"/>
            <w:shd w:val="clear" w:color="auto" w:fill="auto"/>
          </w:tcPr>
          <w:p w14:paraId="6397371B" w14:textId="2957C818" w:rsidR="0017499F" w:rsidRPr="00564620" w:rsidRDefault="00DC7657" w:rsidP="007F4A94">
            <w:pPr>
              <w:pStyle w:val="ToolTableText"/>
            </w:pPr>
            <w:r w:rsidRPr="004B65DE">
              <w:t>Revenga and Shetty</w:t>
            </w:r>
            <w:r>
              <w:t xml:space="preserve"> </w:t>
            </w:r>
            <w:r w:rsidR="000F20CD">
              <w:t>draw</w:t>
            </w:r>
            <w:r w:rsidRPr="00564620">
              <w:t xml:space="preserve"> a clear and logical progression of ideas throughout the article. </w:t>
            </w:r>
            <w:r w:rsidR="000F20CD">
              <w:t>They</w:t>
            </w:r>
            <w:r w:rsidRPr="00564620">
              <w:t xml:space="preserve"> start by describing </w:t>
            </w:r>
            <w:r w:rsidR="000F20CD">
              <w:t xml:space="preserve">the current state of the global gender gap, reinforcing their claim with statistics about the “[m]ixed progress” </w:t>
            </w:r>
            <w:r w:rsidR="00DB28DE">
              <w:t>of gender equality, and move to a discussion of gender and development before providing related policy recommendations</w:t>
            </w:r>
            <w:r w:rsidRPr="00564620">
              <w:t>.</w:t>
            </w:r>
          </w:p>
        </w:tc>
      </w:tr>
      <w:tr w:rsidR="00C835E3" w:rsidRPr="00564620" w14:paraId="651FB892" w14:textId="77777777" w:rsidTr="00C835E3">
        <w:trPr>
          <w:trHeight w:val="144"/>
        </w:trPr>
        <w:tc>
          <w:tcPr>
            <w:tcW w:w="2251" w:type="dxa"/>
            <w:vMerge/>
            <w:tcBorders>
              <w:bottom w:val="single" w:sz="4" w:space="0" w:color="auto"/>
            </w:tcBorders>
            <w:shd w:val="clear" w:color="auto" w:fill="auto"/>
          </w:tcPr>
          <w:p w14:paraId="54F1A00E" w14:textId="77777777" w:rsidR="0017499F" w:rsidRPr="00564620" w:rsidRDefault="0017499F" w:rsidP="00540662">
            <w:pPr>
              <w:pStyle w:val="ToolTableText"/>
            </w:pPr>
          </w:p>
        </w:tc>
        <w:tc>
          <w:tcPr>
            <w:tcW w:w="3534" w:type="dxa"/>
            <w:shd w:val="clear" w:color="auto" w:fill="auto"/>
          </w:tcPr>
          <w:p w14:paraId="54962701" w14:textId="2C7C9B16" w:rsidR="0017499F" w:rsidRPr="00564620" w:rsidRDefault="0017499F" w:rsidP="004A1320">
            <w:pPr>
              <w:pStyle w:val="ToolTableText"/>
            </w:pPr>
            <w:r w:rsidRPr="00C835E3">
              <w:rPr>
                <w:b/>
              </w:rPr>
              <w:t xml:space="preserve">Effectiveness of </w:t>
            </w:r>
            <w:r w:rsidR="004A1320">
              <w:rPr>
                <w:b/>
              </w:rPr>
              <w:t>s</w:t>
            </w:r>
            <w:r w:rsidRPr="00C835E3">
              <w:rPr>
                <w:b/>
              </w:rPr>
              <w:t xml:space="preserve">tructure: </w:t>
            </w:r>
            <w:r w:rsidRPr="00564620">
              <w:t xml:space="preserve">Adopts an organizational strategy, including an introduction and conclusion, which clearly and </w:t>
            </w:r>
            <w:r w:rsidR="00EC3749">
              <w:t xml:space="preserve">effectively </w:t>
            </w:r>
            <w:r w:rsidR="002F0EC5">
              <w:t>communicates the argument</w:t>
            </w:r>
          </w:p>
        </w:tc>
        <w:tc>
          <w:tcPr>
            <w:tcW w:w="443" w:type="dxa"/>
            <w:shd w:val="clear" w:color="auto" w:fill="auto"/>
          </w:tcPr>
          <w:p w14:paraId="1F633D1D" w14:textId="416F93AA" w:rsidR="0017499F" w:rsidRPr="00564620" w:rsidRDefault="00C07E59" w:rsidP="00540662">
            <w:r>
              <w:rPr>
                <w:rFonts w:ascii="MS Gothic" w:eastAsia="MS Gothic" w:hAnsi="MS Gothic" w:hint="eastAsia"/>
              </w:rPr>
              <w:t>☒</w:t>
            </w:r>
          </w:p>
        </w:tc>
        <w:tc>
          <w:tcPr>
            <w:tcW w:w="6815" w:type="dxa"/>
            <w:shd w:val="clear" w:color="auto" w:fill="auto"/>
          </w:tcPr>
          <w:p w14:paraId="3D2C3CA7" w14:textId="472D344F" w:rsidR="0017499F" w:rsidRPr="00564620" w:rsidRDefault="00D66120" w:rsidP="00482A28">
            <w:pPr>
              <w:pStyle w:val="ToolTableText"/>
            </w:pPr>
            <w:r w:rsidRPr="004B65DE">
              <w:t xml:space="preserve">Revenga and </w:t>
            </w:r>
            <w:r w:rsidRPr="001B2422">
              <w:t>Shetty</w:t>
            </w:r>
            <w:r w:rsidRPr="009476D0">
              <w:t xml:space="preserve"> </w:t>
            </w:r>
            <w:r w:rsidRPr="00AC00C5">
              <w:t>use</w:t>
            </w:r>
            <w:r w:rsidR="00DB28DE" w:rsidRPr="00AC00C5">
              <w:t xml:space="preserve"> an effecti</w:t>
            </w:r>
            <w:r w:rsidR="006C42E7" w:rsidRPr="00AC00C5">
              <w:t>ve organizational structure</w:t>
            </w:r>
            <w:r w:rsidR="00B76FD7" w:rsidRPr="00AC00C5">
              <w:t>. B</w:t>
            </w:r>
            <w:r w:rsidR="006C42E7" w:rsidRPr="00AC00C5">
              <w:t>eginning</w:t>
            </w:r>
            <w:r w:rsidR="00DB28DE" w:rsidRPr="00AC00C5">
              <w:t xml:space="preserve"> with a strong opening that draws the reader in</w:t>
            </w:r>
            <w:r w:rsidR="006C42E7" w:rsidRPr="00AC00C5">
              <w:t>,</w:t>
            </w:r>
            <w:r w:rsidR="00DB28DE" w:rsidRPr="00AC00C5">
              <w:t xml:space="preserve"> </w:t>
            </w:r>
            <w:r w:rsidR="007E66FA" w:rsidRPr="00AC00C5">
              <w:t>the article acknowledges that progress has been made in gender</w:t>
            </w:r>
            <w:r w:rsidR="00482A28" w:rsidRPr="00AC00C5">
              <w:t>-</w:t>
            </w:r>
            <w:r w:rsidR="007E66FA" w:rsidRPr="00AC00C5">
              <w:t xml:space="preserve">equity issues, but goes on quickly to explain the reason why “large gender gaps remain” and the ramifications of those gaps for women </w:t>
            </w:r>
            <w:r w:rsidR="00255F44" w:rsidRPr="00AC00C5">
              <w:t>and</w:t>
            </w:r>
            <w:r w:rsidR="007E66FA" w:rsidRPr="00AC00C5">
              <w:t xml:space="preserve"> girls in the developing world</w:t>
            </w:r>
            <w:r w:rsidR="00482A28" w:rsidRPr="00AC00C5">
              <w:t xml:space="preserve"> (par. 2)</w:t>
            </w:r>
            <w:r w:rsidR="007E66FA" w:rsidRPr="00AC00C5">
              <w:t xml:space="preserve">. The article concludes </w:t>
            </w:r>
            <w:r w:rsidR="00DB28DE" w:rsidRPr="00AC00C5">
              <w:t xml:space="preserve">with a </w:t>
            </w:r>
            <w:r w:rsidR="007E66FA" w:rsidRPr="00AC00C5">
              <w:t xml:space="preserve">quote from a Hanoi man </w:t>
            </w:r>
            <w:r w:rsidR="00DB28DE" w:rsidRPr="00AC00C5">
              <w:t xml:space="preserve">that </w:t>
            </w:r>
            <w:r w:rsidR="007E66FA" w:rsidRPr="00AC00C5">
              <w:t xml:space="preserve">simply </w:t>
            </w:r>
            <w:r w:rsidR="00DB28DE" w:rsidRPr="00AC00C5">
              <w:t xml:space="preserve">and </w:t>
            </w:r>
            <w:r w:rsidR="00EC3749" w:rsidRPr="00AC00C5">
              <w:t xml:space="preserve">effectively </w:t>
            </w:r>
            <w:r w:rsidR="00DB28DE" w:rsidRPr="00AC00C5">
              <w:t xml:space="preserve">communicates </w:t>
            </w:r>
            <w:r w:rsidR="006C42E7" w:rsidRPr="00AC00C5">
              <w:t>the</w:t>
            </w:r>
            <w:r w:rsidR="007E66FA" w:rsidRPr="00AC00C5">
              <w:t xml:space="preserve"> authors’ </w:t>
            </w:r>
            <w:r w:rsidR="00DB28DE" w:rsidRPr="00AC00C5">
              <w:t>argument</w:t>
            </w:r>
            <w:r w:rsidR="002A0316" w:rsidRPr="00AC00C5">
              <w:t xml:space="preserve"> about the benefits of “closing gender gaps” (par.</w:t>
            </w:r>
            <w:r w:rsidR="00B76FD7" w:rsidRPr="00AC00C5">
              <w:t xml:space="preserve"> </w:t>
            </w:r>
            <w:r w:rsidR="002A0316" w:rsidRPr="00AC00C5">
              <w:t>25)</w:t>
            </w:r>
            <w:r w:rsidR="00DB28DE" w:rsidRPr="00AC00C5">
              <w:t>.</w:t>
            </w:r>
          </w:p>
        </w:tc>
      </w:tr>
      <w:tr w:rsidR="00C835E3" w:rsidRPr="00564620" w14:paraId="090A354C" w14:textId="77777777" w:rsidTr="00C835E3">
        <w:trPr>
          <w:trHeight w:val="1520"/>
        </w:trPr>
        <w:tc>
          <w:tcPr>
            <w:tcW w:w="2251" w:type="dxa"/>
            <w:vMerge w:val="restart"/>
            <w:tcBorders>
              <w:top w:val="single" w:sz="4" w:space="0" w:color="auto"/>
              <w:left w:val="single" w:sz="4" w:space="0" w:color="auto"/>
              <w:bottom w:val="single" w:sz="4" w:space="0" w:color="auto"/>
              <w:right w:val="single" w:sz="4" w:space="0" w:color="auto"/>
            </w:tcBorders>
            <w:shd w:val="clear" w:color="auto" w:fill="auto"/>
          </w:tcPr>
          <w:p w14:paraId="0CF89415" w14:textId="77777777" w:rsidR="0017499F" w:rsidRPr="00C835E3" w:rsidRDefault="0017499F" w:rsidP="00540662">
            <w:pPr>
              <w:pStyle w:val="ToolTableText"/>
              <w:rPr>
                <w:b/>
              </w:rPr>
            </w:pPr>
            <w:r w:rsidRPr="00C835E3">
              <w:rPr>
                <w:b/>
              </w:rPr>
              <w:t>Control of Language and Conventions</w:t>
            </w:r>
          </w:p>
        </w:tc>
        <w:tc>
          <w:tcPr>
            <w:tcW w:w="3534" w:type="dxa"/>
            <w:tcBorders>
              <w:left w:val="single" w:sz="4" w:space="0" w:color="auto"/>
            </w:tcBorders>
            <w:shd w:val="clear" w:color="auto" w:fill="auto"/>
          </w:tcPr>
          <w:p w14:paraId="37559157" w14:textId="61C51AFD" w:rsidR="0017499F" w:rsidRPr="00564620" w:rsidRDefault="0017499F" w:rsidP="004A1320">
            <w:pPr>
              <w:pStyle w:val="ToolTableText"/>
            </w:pPr>
            <w:r w:rsidRPr="00C835E3">
              <w:rPr>
                <w:b/>
              </w:rPr>
              <w:t xml:space="preserve">Clarity of </w:t>
            </w:r>
            <w:r w:rsidR="004A1320">
              <w:rPr>
                <w:b/>
              </w:rPr>
              <w:t>c</w:t>
            </w:r>
            <w:r w:rsidRPr="00C835E3">
              <w:rPr>
                <w:b/>
              </w:rPr>
              <w:t xml:space="preserve">ommunication: </w:t>
            </w:r>
            <w:r w:rsidRPr="00564620">
              <w:t>Is communicated clearly and coherently</w:t>
            </w:r>
            <w:r w:rsidR="002F0EC5">
              <w:t>; t</w:t>
            </w:r>
            <w:r w:rsidRPr="00564620">
              <w:t>he writer’s opinions are clearly distinguished from obje</w:t>
            </w:r>
            <w:r w:rsidR="002F0EC5">
              <w:t>ctive summaries and statements</w:t>
            </w:r>
          </w:p>
        </w:tc>
        <w:tc>
          <w:tcPr>
            <w:tcW w:w="443" w:type="dxa"/>
            <w:shd w:val="clear" w:color="auto" w:fill="auto"/>
          </w:tcPr>
          <w:p w14:paraId="68B59AC8" w14:textId="77777777" w:rsidR="0017499F" w:rsidRPr="00564620" w:rsidRDefault="0017499F" w:rsidP="00540662">
            <w:r w:rsidRPr="00C835E3">
              <w:rPr>
                <w:rFonts w:ascii="MS Gothic" w:eastAsia="MS Gothic" w:hAnsi="MS Gothic" w:hint="eastAsia"/>
              </w:rPr>
              <w:t>☐</w:t>
            </w:r>
          </w:p>
        </w:tc>
        <w:tc>
          <w:tcPr>
            <w:tcW w:w="6815" w:type="dxa"/>
            <w:shd w:val="clear" w:color="auto" w:fill="auto"/>
          </w:tcPr>
          <w:p w14:paraId="19FFE53E" w14:textId="16AD2D74" w:rsidR="0017499F" w:rsidRPr="00564620" w:rsidRDefault="002A0316" w:rsidP="00482A28">
            <w:pPr>
              <w:pStyle w:val="ToolTableText"/>
            </w:pPr>
            <w:r>
              <w:t xml:space="preserve">Although this </w:t>
            </w:r>
            <w:r w:rsidR="006C42E7" w:rsidRPr="00564620">
              <w:t>article communicates clearly and coherently</w:t>
            </w:r>
            <w:r>
              <w:t xml:space="preserve">, the writers’ opinions are not easy to distinguish from summaries and </w:t>
            </w:r>
            <w:r w:rsidRPr="002C656F">
              <w:rPr>
                <w:rFonts w:asciiTheme="minorHAnsi" w:hAnsiTheme="minorHAnsi"/>
              </w:rPr>
              <w:t>statements</w:t>
            </w:r>
            <w:r w:rsidR="002F5B82">
              <w:rPr>
                <w:rFonts w:asciiTheme="minorHAnsi" w:hAnsiTheme="minorHAnsi"/>
              </w:rPr>
              <w:t xml:space="preserve">. For example, the following sentences seem like they could be a reflection of the authors’ opinions, but </w:t>
            </w:r>
            <w:r w:rsidR="00B75370">
              <w:rPr>
                <w:rFonts w:asciiTheme="minorHAnsi" w:hAnsiTheme="minorHAnsi"/>
              </w:rPr>
              <w:t xml:space="preserve">the sentences could also be rooted in fact, </w:t>
            </w:r>
            <w:r w:rsidR="00482A28">
              <w:rPr>
                <w:rFonts w:asciiTheme="minorHAnsi" w:hAnsiTheme="minorHAnsi"/>
              </w:rPr>
              <w:t xml:space="preserve">so </w:t>
            </w:r>
            <w:r w:rsidR="00B75370">
              <w:rPr>
                <w:rFonts w:asciiTheme="minorHAnsi" w:hAnsiTheme="minorHAnsi"/>
              </w:rPr>
              <w:t>it</w:t>
            </w:r>
            <w:r w:rsidR="002F5B82">
              <w:rPr>
                <w:rFonts w:asciiTheme="minorHAnsi" w:hAnsiTheme="minorHAnsi"/>
              </w:rPr>
              <w:t xml:space="preserve"> is difficult to know for certain:</w:t>
            </w:r>
            <w:r w:rsidR="002F5B82" w:rsidRPr="002C656F">
              <w:rPr>
                <w:rFonts w:asciiTheme="minorHAnsi" w:hAnsiTheme="minorHAnsi"/>
              </w:rPr>
              <w:t xml:space="preserve"> </w:t>
            </w:r>
            <w:r w:rsidR="002F5B82">
              <w:rPr>
                <w:rFonts w:asciiTheme="minorHAnsi" w:hAnsiTheme="minorHAnsi"/>
              </w:rPr>
              <w:t>“</w:t>
            </w:r>
            <w:r w:rsidR="002F5B82" w:rsidRPr="008903B1">
              <w:rPr>
                <w:rFonts w:asciiTheme="minorHAnsi" w:hAnsiTheme="minorHAnsi"/>
                <w:shd w:val="clear" w:color="auto" w:fill="FFFFFF"/>
              </w:rPr>
              <w:t>Closing the gap in well-being between males and females is as much a part of development as is reducing income poverty. Greater gender equality also enhances economic efficiency and improves other development outcomes” (par. 10). Because of such ambiguity,</w:t>
            </w:r>
            <w:r w:rsidR="002F5B82">
              <w:rPr>
                <w:rFonts w:asciiTheme="minorHAnsi" w:hAnsiTheme="minorHAnsi"/>
                <w:color w:val="505050"/>
                <w:shd w:val="clear" w:color="auto" w:fill="FFFFFF"/>
              </w:rPr>
              <w:t xml:space="preserve"> </w:t>
            </w:r>
            <w:r w:rsidR="002F5B82" w:rsidRPr="00FD456E">
              <w:rPr>
                <w:rFonts w:asciiTheme="minorHAnsi" w:hAnsiTheme="minorHAnsi"/>
              </w:rPr>
              <w:t>this article does not reflect clarity of communication</w:t>
            </w:r>
            <w:r w:rsidR="00B76FD7" w:rsidRPr="00B76FD7">
              <w:rPr>
                <w:rFonts w:asciiTheme="minorHAnsi" w:hAnsiTheme="minorHAnsi"/>
              </w:rPr>
              <w:t>.</w:t>
            </w:r>
          </w:p>
        </w:tc>
      </w:tr>
      <w:tr w:rsidR="00C835E3" w:rsidRPr="00564620" w14:paraId="69DB6C25" w14:textId="77777777" w:rsidTr="00C835E3">
        <w:trPr>
          <w:trHeight w:val="1205"/>
        </w:trPr>
        <w:tc>
          <w:tcPr>
            <w:tcW w:w="2251" w:type="dxa"/>
            <w:vMerge/>
            <w:tcBorders>
              <w:top w:val="single" w:sz="4" w:space="0" w:color="auto"/>
              <w:left w:val="single" w:sz="4" w:space="0" w:color="auto"/>
              <w:bottom w:val="single" w:sz="4" w:space="0" w:color="auto"/>
              <w:right w:val="single" w:sz="4" w:space="0" w:color="auto"/>
            </w:tcBorders>
            <w:shd w:val="clear" w:color="auto" w:fill="auto"/>
          </w:tcPr>
          <w:p w14:paraId="67AB59CE" w14:textId="77777777" w:rsidR="0017499F" w:rsidRPr="00564620" w:rsidRDefault="0017499F" w:rsidP="00540662">
            <w:pPr>
              <w:pStyle w:val="ToolTableText"/>
            </w:pPr>
          </w:p>
        </w:tc>
        <w:tc>
          <w:tcPr>
            <w:tcW w:w="3534" w:type="dxa"/>
            <w:tcBorders>
              <w:left w:val="single" w:sz="4" w:space="0" w:color="auto"/>
              <w:bottom w:val="single" w:sz="4" w:space="0" w:color="auto"/>
            </w:tcBorders>
            <w:shd w:val="clear" w:color="auto" w:fill="auto"/>
          </w:tcPr>
          <w:p w14:paraId="33A132B1" w14:textId="7D03741B" w:rsidR="0017499F" w:rsidRPr="00564620" w:rsidRDefault="0017499F" w:rsidP="004A1320">
            <w:pPr>
              <w:pStyle w:val="ToolTableText"/>
            </w:pPr>
            <w:r w:rsidRPr="00C835E3">
              <w:rPr>
                <w:b/>
              </w:rPr>
              <w:t xml:space="preserve">Word </w:t>
            </w:r>
            <w:r w:rsidR="004A1320">
              <w:rPr>
                <w:b/>
              </w:rPr>
              <w:t>c</w:t>
            </w:r>
            <w:r w:rsidRPr="00C835E3">
              <w:rPr>
                <w:b/>
              </w:rPr>
              <w:t>hoice/</w:t>
            </w:r>
            <w:r w:rsidR="004A1320">
              <w:rPr>
                <w:b/>
              </w:rPr>
              <w:t>v</w:t>
            </w:r>
            <w:r w:rsidRPr="00C835E3">
              <w:rPr>
                <w:b/>
              </w:rPr>
              <w:t xml:space="preserve">ocabulary: </w:t>
            </w:r>
            <w:r w:rsidRPr="00564620">
              <w:t xml:space="preserve">Uses </w:t>
            </w:r>
            <w:r w:rsidR="001059CE">
              <w:t>domain-</w:t>
            </w:r>
            <w:r w:rsidRPr="00564620">
              <w:t>specific terminolo</w:t>
            </w:r>
            <w:r w:rsidR="002F0EC5">
              <w:t>gy appropriately and precisely</w:t>
            </w:r>
          </w:p>
        </w:tc>
        <w:tc>
          <w:tcPr>
            <w:tcW w:w="443" w:type="dxa"/>
            <w:shd w:val="clear" w:color="auto" w:fill="auto"/>
          </w:tcPr>
          <w:p w14:paraId="4A2277A2" w14:textId="0B21E1C9" w:rsidR="0017499F" w:rsidRPr="00564620" w:rsidRDefault="00C07E59" w:rsidP="00540662">
            <w:r>
              <w:rPr>
                <w:rFonts w:ascii="MS Gothic" w:eastAsia="MS Gothic" w:hAnsi="MS Gothic" w:hint="eastAsia"/>
              </w:rPr>
              <w:t>☒</w:t>
            </w:r>
          </w:p>
        </w:tc>
        <w:tc>
          <w:tcPr>
            <w:tcW w:w="6815" w:type="dxa"/>
            <w:shd w:val="clear" w:color="auto" w:fill="auto"/>
          </w:tcPr>
          <w:p w14:paraId="275458B2" w14:textId="68B7CCE0" w:rsidR="0017499F" w:rsidRPr="00564620" w:rsidRDefault="002A0316" w:rsidP="007F4A94">
            <w:pPr>
              <w:pStyle w:val="ToolTableText"/>
            </w:pPr>
            <w:r>
              <w:t xml:space="preserve">The authors use a variety of </w:t>
            </w:r>
            <w:r w:rsidR="001059CE">
              <w:t>domain-</w:t>
            </w:r>
            <w:r>
              <w:t>specific terminology (e.g.</w:t>
            </w:r>
            <w:r w:rsidR="00B76FD7">
              <w:t>,</w:t>
            </w:r>
            <w:r>
              <w:t xml:space="preserve"> “gender gaps</w:t>
            </w:r>
            <w:r w:rsidR="009476D0">
              <w:t>” (par. 2),</w:t>
            </w:r>
            <w:r>
              <w:t>,” “gender disparities,”</w:t>
            </w:r>
            <w:r w:rsidR="009476D0">
              <w:t xml:space="preserve"> (par. 4),</w:t>
            </w:r>
            <w:r>
              <w:t xml:space="preserve"> </w:t>
            </w:r>
            <w:r w:rsidR="009879CA">
              <w:t xml:space="preserve">and </w:t>
            </w:r>
            <w:r>
              <w:t>“gender equality</w:t>
            </w:r>
            <w:r w:rsidR="009476D0">
              <w:t>” (par. 3)</w:t>
            </w:r>
            <w:r>
              <w:t>”</w:t>
            </w:r>
            <w:r w:rsidR="009879CA">
              <w:t>) appropriately and precisely to provide context and detail.</w:t>
            </w:r>
          </w:p>
        </w:tc>
      </w:tr>
      <w:tr w:rsidR="00C835E3" w:rsidRPr="00564620" w14:paraId="0146C65B" w14:textId="77777777" w:rsidTr="00C835E3">
        <w:trPr>
          <w:trHeight w:val="1880"/>
        </w:trPr>
        <w:tc>
          <w:tcPr>
            <w:tcW w:w="2251" w:type="dxa"/>
            <w:vMerge/>
            <w:tcBorders>
              <w:top w:val="single" w:sz="4" w:space="0" w:color="auto"/>
              <w:left w:val="single" w:sz="4" w:space="0" w:color="auto"/>
              <w:bottom w:val="single" w:sz="4" w:space="0" w:color="auto"/>
              <w:right w:val="single" w:sz="4" w:space="0" w:color="auto"/>
            </w:tcBorders>
            <w:shd w:val="clear" w:color="auto" w:fill="auto"/>
          </w:tcPr>
          <w:p w14:paraId="21D0AC39" w14:textId="77777777" w:rsidR="0017499F" w:rsidRPr="00564620" w:rsidRDefault="0017499F" w:rsidP="00540662">
            <w:pPr>
              <w:pStyle w:val="ToolTableText"/>
            </w:pPr>
          </w:p>
        </w:tc>
        <w:tc>
          <w:tcPr>
            <w:tcW w:w="3534" w:type="dxa"/>
            <w:tcBorders>
              <w:top w:val="single" w:sz="4" w:space="0" w:color="auto"/>
              <w:left w:val="single" w:sz="4" w:space="0" w:color="auto"/>
              <w:bottom w:val="single" w:sz="4" w:space="0" w:color="auto"/>
            </w:tcBorders>
            <w:shd w:val="clear" w:color="auto" w:fill="auto"/>
          </w:tcPr>
          <w:p w14:paraId="5D6BC5F2" w14:textId="3A26E067" w:rsidR="0017499F" w:rsidRPr="00564620" w:rsidRDefault="0017499F" w:rsidP="004A1320">
            <w:pPr>
              <w:pStyle w:val="ToolTableText"/>
            </w:pPr>
            <w:r w:rsidRPr="00C835E3">
              <w:rPr>
                <w:b/>
              </w:rPr>
              <w:t>Style/</w:t>
            </w:r>
            <w:r w:rsidR="004A1320">
              <w:rPr>
                <w:b/>
              </w:rPr>
              <w:t>v</w:t>
            </w:r>
            <w:r w:rsidRPr="00C835E3">
              <w:rPr>
                <w:b/>
              </w:rPr>
              <w:t xml:space="preserve">oice: </w:t>
            </w:r>
            <w:r w:rsidRPr="00564620">
              <w:t>Maintains a formal and objective tone appropriate to the intended audience</w:t>
            </w:r>
            <w:r w:rsidR="002F0EC5">
              <w:t>; t</w:t>
            </w:r>
            <w:r w:rsidRPr="00564620">
              <w:t>he use of words, phrases, clauses, and varied syntax draws attention to key ideas and reinfo</w:t>
            </w:r>
            <w:r w:rsidR="002F0EC5">
              <w:t>rces relationships among ideas</w:t>
            </w:r>
          </w:p>
        </w:tc>
        <w:tc>
          <w:tcPr>
            <w:tcW w:w="443" w:type="dxa"/>
            <w:shd w:val="clear" w:color="auto" w:fill="auto"/>
          </w:tcPr>
          <w:p w14:paraId="0A95BA72" w14:textId="372C8C12" w:rsidR="0017499F" w:rsidRPr="00564620" w:rsidRDefault="00C07E59" w:rsidP="00540662">
            <w:r>
              <w:rPr>
                <w:rFonts w:ascii="MS Gothic" w:eastAsia="MS Gothic" w:hAnsi="MS Gothic" w:hint="eastAsia"/>
              </w:rPr>
              <w:t>☒</w:t>
            </w:r>
          </w:p>
        </w:tc>
        <w:tc>
          <w:tcPr>
            <w:tcW w:w="6815" w:type="dxa"/>
            <w:shd w:val="clear" w:color="auto" w:fill="auto"/>
          </w:tcPr>
          <w:p w14:paraId="2D1E5F9D" w14:textId="26F719DB" w:rsidR="0017499F" w:rsidRPr="00564620" w:rsidRDefault="009879CA" w:rsidP="007F4A94">
            <w:pPr>
              <w:pStyle w:val="ToolTableText"/>
            </w:pPr>
            <w:r w:rsidRPr="004B65DE">
              <w:t xml:space="preserve">Revenga and </w:t>
            </w:r>
            <w:r w:rsidRPr="009476D0">
              <w:t>Shetty maintain a consistent formal tone throughout the entirety of the article. In addition</w:t>
            </w:r>
            <w:r w:rsidR="00482A28" w:rsidRPr="009476D0">
              <w:t>,</w:t>
            </w:r>
            <w:r w:rsidRPr="009476D0">
              <w:t xml:space="preserve"> they </w:t>
            </w:r>
            <w:r w:rsidR="00A33F56" w:rsidRPr="009476D0">
              <w:t>vary</w:t>
            </w:r>
            <w:r w:rsidRPr="009476D0">
              <w:t xml:space="preserve"> their syntax </w:t>
            </w:r>
            <w:r w:rsidR="00A33F56" w:rsidRPr="009476D0">
              <w:t xml:space="preserve">and use </w:t>
            </w:r>
            <w:r w:rsidRPr="009476D0">
              <w:t>word</w:t>
            </w:r>
            <w:r w:rsidR="00A33F56" w:rsidRPr="009476D0">
              <w:t>s</w:t>
            </w:r>
            <w:r w:rsidRPr="009476D0">
              <w:t>,</w:t>
            </w:r>
            <w:r w:rsidR="00A33F56" w:rsidRPr="009476D0">
              <w:t xml:space="preserve"> phrases, </w:t>
            </w:r>
            <w:r w:rsidR="00B76FD7" w:rsidRPr="009476D0">
              <w:t xml:space="preserve">and </w:t>
            </w:r>
            <w:r w:rsidR="00A33F56" w:rsidRPr="009476D0">
              <w:t xml:space="preserve">clauses to </w:t>
            </w:r>
            <w:r w:rsidRPr="009476D0">
              <w:t>effectively keep readers engaged</w:t>
            </w:r>
            <w:r w:rsidR="00482A28" w:rsidRPr="009476D0">
              <w:t xml:space="preserve">, </w:t>
            </w:r>
            <w:r w:rsidRPr="009476D0">
              <w:t>draw</w:t>
            </w:r>
            <w:r w:rsidR="00482A28" w:rsidRPr="009476D0">
              <w:t>ing</w:t>
            </w:r>
            <w:r w:rsidRPr="009476D0">
              <w:t xml:space="preserve"> attention to key ideas and points</w:t>
            </w:r>
            <w:r w:rsidR="00A33F56" w:rsidRPr="009476D0">
              <w:t xml:space="preserve"> about the importance of working to close the global gender gap.</w:t>
            </w:r>
            <w:r w:rsidR="00275F7E" w:rsidRPr="009476D0">
              <w:t xml:space="preserve"> The</w:t>
            </w:r>
            <w:r w:rsidR="00275F7E">
              <w:t xml:space="preserve"> following sentence demonstrates the authors’ attention</w:t>
            </w:r>
            <w:r w:rsidR="002C656F">
              <w:t xml:space="preserve"> to</w:t>
            </w:r>
            <w:r w:rsidR="00275F7E">
              <w:t xml:space="preserve"> tone, varied syntax, and phrasing</w:t>
            </w:r>
            <w:r w:rsidR="00275F7E" w:rsidRPr="002C656F">
              <w:rPr>
                <w:rStyle w:val="TableTextChar"/>
              </w:rPr>
              <w:t xml:space="preserve">: </w:t>
            </w:r>
            <w:r w:rsidR="00B75370">
              <w:rPr>
                <w:rStyle w:val="TableTextChar"/>
              </w:rPr>
              <w:t>“</w:t>
            </w:r>
            <w:r w:rsidR="00275F7E" w:rsidRPr="002C656F">
              <w:rPr>
                <w:rStyle w:val="TableTextChar"/>
              </w:rPr>
              <w:t>Every aspect of gender equality—access to education and health, economic opportunities, and voice within households and society—has experienced a mixed pattern of change over the past quarter century</w:t>
            </w:r>
            <w:r w:rsidR="00B75370">
              <w:rPr>
                <w:rStyle w:val="TableTextChar"/>
              </w:rPr>
              <w:t>” (par. 5)</w:t>
            </w:r>
            <w:r w:rsidR="00275F7E" w:rsidRPr="002C656F">
              <w:rPr>
                <w:rStyle w:val="TableTextChar"/>
              </w:rPr>
              <w:t>.</w:t>
            </w:r>
          </w:p>
        </w:tc>
      </w:tr>
      <w:tr w:rsidR="00C835E3" w:rsidRPr="00564620" w14:paraId="0F698087" w14:textId="77777777" w:rsidTr="00C835E3">
        <w:trPr>
          <w:trHeight w:val="2103"/>
        </w:trPr>
        <w:tc>
          <w:tcPr>
            <w:tcW w:w="2251" w:type="dxa"/>
            <w:vMerge/>
            <w:tcBorders>
              <w:top w:val="single" w:sz="4" w:space="0" w:color="auto"/>
              <w:left w:val="single" w:sz="4" w:space="0" w:color="auto"/>
              <w:bottom w:val="single" w:sz="4" w:space="0" w:color="auto"/>
              <w:right w:val="single" w:sz="4" w:space="0" w:color="auto"/>
            </w:tcBorders>
            <w:shd w:val="clear" w:color="auto" w:fill="auto"/>
          </w:tcPr>
          <w:p w14:paraId="13344D01" w14:textId="77777777" w:rsidR="0017499F" w:rsidRPr="00564620" w:rsidRDefault="0017499F" w:rsidP="00540662">
            <w:pPr>
              <w:pStyle w:val="ToolTableText"/>
            </w:pPr>
          </w:p>
        </w:tc>
        <w:tc>
          <w:tcPr>
            <w:tcW w:w="3534" w:type="dxa"/>
            <w:tcBorders>
              <w:top w:val="single" w:sz="4" w:space="0" w:color="auto"/>
              <w:left w:val="single" w:sz="4" w:space="0" w:color="auto"/>
              <w:bottom w:val="single" w:sz="4" w:space="0" w:color="auto"/>
            </w:tcBorders>
            <w:shd w:val="clear" w:color="auto" w:fill="auto"/>
          </w:tcPr>
          <w:p w14:paraId="587ADED4" w14:textId="5B54C9DE" w:rsidR="0017499F" w:rsidRPr="00C835E3" w:rsidRDefault="0017499F" w:rsidP="004A1320">
            <w:pPr>
              <w:pStyle w:val="ToolTableText"/>
              <w:rPr>
                <w:b/>
              </w:rPr>
            </w:pPr>
            <w:r w:rsidRPr="00C835E3">
              <w:rPr>
                <w:b/>
              </w:rPr>
              <w:t xml:space="preserve">Responsible </w:t>
            </w:r>
            <w:r w:rsidR="004A1320">
              <w:rPr>
                <w:b/>
              </w:rPr>
              <w:t>u</w:t>
            </w:r>
            <w:r w:rsidRPr="00C835E3">
              <w:rPr>
                <w:b/>
              </w:rPr>
              <w:t xml:space="preserve">se of </w:t>
            </w:r>
            <w:r w:rsidR="004A1320">
              <w:rPr>
                <w:b/>
              </w:rPr>
              <w:t>e</w:t>
            </w:r>
            <w:r w:rsidRPr="00C835E3">
              <w:rPr>
                <w:b/>
              </w:rPr>
              <w:t xml:space="preserve">vidence: </w:t>
            </w:r>
            <w:r w:rsidRPr="00564620">
              <w:t>Cites evidence in a responsible manner that anticipates the audience’s knowledge level, concerns, values, and possible biases</w:t>
            </w:r>
            <w:r w:rsidR="002F0EC5">
              <w:t>; q</w:t>
            </w:r>
            <w:r w:rsidRPr="00564620">
              <w:t xml:space="preserve">uotes sufficient evidence exactly, or paraphrases accurately, referencing precisely </w:t>
            </w:r>
            <w:r w:rsidR="002F0EC5">
              <w:t>where the evidence can be found</w:t>
            </w:r>
          </w:p>
        </w:tc>
        <w:tc>
          <w:tcPr>
            <w:tcW w:w="443" w:type="dxa"/>
            <w:shd w:val="clear" w:color="auto" w:fill="auto"/>
          </w:tcPr>
          <w:p w14:paraId="7CC34A95" w14:textId="1815A068" w:rsidR="0017499F" w:rsidRPr="00564620" w:rsidRDefault="00C07E59" w:rsidP="00C07E59">
            <w:r>
              <w:rPr>
                <w:rFonts w:ascii="MS Gothic" w:eastAsia="MS Gothic" w:hAnsi="MS Gothic" w:hint="eastAsia"/>
              </w:rPr>
              <w:t>☒</w:t>
            </w:r>
          </w:p>
        </w:tc>
        <w:tc>
          <w:tcPr>
            <w:tcW w:w="6815" w:type="dxa"/>
            <w:shd w:val="clear" w:color="auto" w:fill="auto"/>
          </w:tcPr>
          <w:p w14:paraId="6B113D4C" w14:textId="0B52BFEF" w:rsidR="0017499F" w:rsidRPr="00564620" w:rsidRDefault="00A33F56" w:rsidP="007F4A94">
            <w:pPr>
              <w:pStyle w:val="ToolTableText"/>
            </w:pPr>
            <w:r>
              <w:t xml:space="preserve">The article cites evidence, including relevant quotes, </w:t>
            </w:r>
            <w:r w:rsidR="00007B82">
              <w:t xml:space="preserve">paraphrases, </w:t>
            </w:r>
            <w:r>
              <w:t xml:space="preserve">graphics, and a table, that further develop and explain the authors’ ideas. The evidence </w:t>
            </w:r>
            <w:r w:rsidRPr="00564620">
              <w:t>anticipates the audience’s knowle</w:t>
            </w:r>
            <w:r>
              <w:t>dge level, concerns, and values</w:t>
            </w:r>
            <w:r w:rsidRPr="00564620">
              <w:t>.</w:t>
            </w:r>
          </w:p>
        </w:tc>
      </w:tr>
      <w:tr w:rsidR="00C835E3" w:rsidRPr="00564620" w14:paraId="4FFA0C47" w14:textId="77777777" w:rsidTr="00471DD4">
        <w:trPr>
          <w:trHeight w:val="1250"/>
        </w:trPr>
        <w:tc>
          <w:tcPr>
            <w:tcW w:w="2251" w:type="dxa"/>
            <w:vMerge/>
            <w:tcBorders>
              <w:top w:val="single" w:sz="4" w:space="0" w:color="auto"/>
              <w:left w:val="single" w:sz="4" w:space="0" w:color="auto"/>
              <w:bottom w:val="single" w:sz="4" w:space="0" w:color="auto"/>
              <w:right w:val="single" w:sz="4" w:space="0" w:color="auto"/>
            </w:tcBorders>
            <w:shd w:val="clear" w:color="auto" w:fill="auto"/>
          </w:tcPr>
          <w:p w14:paraId="5D746E84" w14:textId="77777777" w:rsidR="0017499F" w:rsidRPr="00564620" w:rsidRDefault="0017499F" w:rsidP="00540662">
            <w:pPr>
              <w:pStyle w:val="ToolTableText"/>
            </w:pPr>
          </w:p>
        </w:tc>
        <w:tc>
          <w:tcPr>
            <w:tcW w:w="3534" w:type="dxa"/>
            <w:tcBorders>
              <w:left w:val="single" w:sz="4" w:space="0" w:color="auto"/>
            </w:tcBorders>
            <w:shd w:val="clear" w:color="auto" w:fill="auto"/>
          </w:tcPr>
          <w:p w14:paraId="56C0B5FD" w14:textId="1C9102D7" w:rsidR="0017499F" w:rsidRPr="00C835E3" w:rsidRDefault="0017499F" w:rsidP="004A1320">
            <w:pPr>
              <w:pStyle w:val="ToolTableText"/>
              <w:rPr>
                <w:b/>
              </w:rPr>
            </w:pPr>
            <w:r w:rsidRPr="00C835E3">
              <w:rPr>
                <w:b/>
              </w:rPr>
              <w:t xml:space="preserve">Conventions of </w:t>
            </w:r>
            <w:r w:rsidR="004A1320">
              <w:rPr>
                <w:b/>
              </w:rPr>
              <w:t>w</w:t>
            </w:r>
            <w:r w:rsidRPr="00C835E3">
              <w:rPr>
                <w:b/>
              </w:rPr>
              <w:t>riting:</w:t>
            </w:r>
            <w:r w:rsidRPr="00564620">
              <w:t xml:space="preserve"> Illustrates consistent command of standard, grade</w:t>
            </w:r>
            <w:r w:rsidR="002E7E7A">
              <w:t xml:space="preserve"> </w:t>
            </w:r>
            <w:r w:rsidRPr="00564620">
              <w:t>level</w:t>
            </w:r>
            <w:r w:rsidR="002E7E7A">
              <w:t>–</w:t>
            </w:r>
            <w:r w:rsidR="002F0EC5">
              <w:t>appropriate writing conventions</w:t>
            </w:r>
          </w:p>
        </w:tc>
        <w:tc>
          <w:tcPr>
            <w:tcW w:w="443" w:type="dxa"/>
            <w:shd w:val="clear" w:color="auto" w:fill="auto"/>
          </w:tcPr>
          <w:p w14:paraId="3A12844D" w14:textId="2EC3EA86" w:rsidR="0017499F" w:rsidRPr="00564620" w:rsidRDefault="00C07E59" w:rsidP="00540662">
            <w:r>
              <w:rPr>
                <w:rFonts w:ascii="MS Gothic" w:eastAsia="MS Gothic" w:hAnsi="MS Gothic" w:hint="eastAsia"/>
              </w:rPr>
              <w:t>☒</w:t>
            </w:r>
          </w:p>
        </w:tc>
        <w:tc>
          <w:tcPr>
            <w:tcW w:w="6815" w:type="dxa"/>
            <w:shd w:val="clear" w:color="auto" w:fill="auto"/>
          </w:tcPr>
          <w:p w14:paraId="736A4C32" w14:textId="6994A2BA" w:rsidR="0017499F" w:rsidRPr="00564620" w:rsidRDefault="00007B82" w:rsidP="007F4A94">
            <w:pPr>
              <w:pStyle w:val="ToolTableText"/>
            </w:pPr>
            <w:r w:rsidRPr="00564620">
              <w:t>The writing in the article consistently adheres to the appropriate conventions.</w:t>
            </w:r>
          </w:p>
        </w:tc>
      </w:tr>
    </w:tbl>
    <w:p w14:paraId="47652CC6" w14:textId="57CAB9CC" w:rsidR="00E776E0" w:rsidRPr="002E7E7A" w:rsidRDefault="00471DD4" w:rsidP="00471DD4">
      <w:pPr>
        <w:pStyle w:val="ToolHeader"/>
        <w:spacing w:before="60" w:after="180" w:line="276" w:lineRule="auto"/>
        <w:rPr>
          <w:b w:val="0"/>
          <w:color w:val="auto"/>
          <w:sz w:val="18"/>
          <w:szCs w:val="18"/>
        </w:rPr>
      </w:pPr>
      <w:r w:rsidRPr="002E7E7A">
        <w:rPr>
          <w:b w:val="0"/>
          <w:color w:val="auto"/>
          <w:sz w:val="18"/>
          <w:szCs w:val="18"/>
        </w:rPr>
        <w:t xml:space="preserve">From Evidence-Based Arguments Criteria Checklist by Odell Education, www.odelleducation.com. Copyright (2012–2013) Odell Education. Modified in partnership with permission under an Attribution-NonCommercial 3.0 Unported license: </w:t>
      </w:r>
      <w:hyperlink r:id="rId15" w:history="1">
        <w:r w:rsidRPr="002E7E7A">
          <w:rPr>
            <w:rStyle w:val="Hyperlink"/>
            <w:b w:val="0"/>
            <w:sz w:val="18"/>
            <w:szCs w:val="18"/>
          </w:rPr>
          <w:t>http://creativecommons.org/licenses/by-nc/3.0/</w:t>
        </w:r>
      </w:hyperlink>
    </w:p>
    <w:sectPr w:rsidR="00E776E0" w:rsidRPr="002E7E7A" w:rsidSect="00221D38">
      <w:pgSz w:w="15840" w:h="12240" w:orient="landscape"/>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13BC2" w14:textId="77777777" w:rsidR="00AA4EB6" w:rsidRDefault="00AA4EB6">
      <w:pPr>
        <w:spacing w:before="0" w:after="0" w:line="240" w:lineRule="auto"/>
      </w:pPr>
      <w:r>
        <w:separator/>
      </w:r>
    </w:p>
  </w:endnote>
  <w:endnote w:type="continuationSeparator" w:id="0">
    <w:p w14:paraId="0059A08E" w14:textId="77777777" w:rsidR="00AA4EB6" w:rsidRDefault="00AA4E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0FF15" w14:textId="77777777" w:rsidR="001B2422" w:rsidRDefault="001B2422" w:rsidP="0054066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BE67E5B" w14:textId="77777777" w:rsidR="001B2422" w:rsidRDefault="001B2422" w:rsidP="00540662">
    <w:pPr>
      <w:pStyle w:val="Footer"/>
    </w:pPr>
  </w:p>
  <w:p w14:paraId="248A259A" w14:textId="77777777" w:rsidR="001B2422" w:rsidRDefault="001B2422" w:rsidP="00540662"/>
  <w:p w14:paraId="62D155CB" w14:textId="77777777" w:rsidR="001B2422" w:rsidRDefault="001B2422" w:rsidP="005406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7BACF" w14:textId="77777777" w:rsidR="001B2422" w:rsidRPr="00563CB8" w:rsidRDefault="001B2422" w:rsidP="00B0604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1B2422" w14:paraId="59FC1BD8" w14:textId="77777777" w:rsidTr="00282F46">
      <w:trPr>
        <w:trHeight w:val="705"/>
      </w:trPr>
      <w:tc>
        <w:tcPr>
          <w:tcW w:w="4484" w:type="dxa"/>
          <w:shd w:val="clear" w:color="auto" w:fill="auto"/>
          <w:vAlign w:val="center"/>
        </w:tcPr>
        <w:p w14:paraId="56368531" w14:textId="76582834" w:rsidR="001B2422" w:rsidRPr="002E4C92" w:rsidRDefault="001B2422" w:rsidP="00B06049">
          <w:pPr>
            <w:pStyle w:val="FooterText"/>
          </w:pPr>
          <w:r w:rsidRPr="002E4C92">
            <w:t>File:</w:t>
          </w:r>
          <w:r w:rsidRPr="0039525B">
            <w:rPr>
              <w:b w:val="0"/>
            </w:rPr>
            <w:t xml:space="preserve"> </w:t>
          </w:r>
          <w:r>
            <w:rPr>
              <w:b w:val="0"/>
            </w:rPr>
            <w:t>12.3.1</w:t>
          </w:r>
          <w:r w:rsidRPr="0039525B">
            <w:rPr>
              <w:b w:val="0"/>
            </w:rPr>
            <w:t xml:space="preserve"> Lesson </w:t>
          </w:r>
          <w:r>
            <w:rPr>
              <w:b w:val="0"/>
            </w:rPr>
            <w:t>18</w:t>
          </w:r>
          <w:r w:rsidRPr="002E4C92">
            <w:t xml:space="preserve"> Date:</w:t>
          </w:r>
          <w:r w:rsidR="00C07E59">
            <w:rPr>
              <w:b w:val="0"/>
            </w:rPr>
            <w:t xml:space="preserve"> 4</w:t>
          </w:r>
          <w:r>
            <w:rPr>
              <w:b w:val="0"/>
            </w:rPr>
            <w:t>/</w:t>
          </w:r>
          <w:r w:rsidR="00C07E59">
            <w:rPr>
              <w:b w:val="0"/>
            </w:rPr>
            <w:t>3</w:t>
          </w:r>
          <w:r w:rsidRPr="0039525B">
            <w:rPr>
              <w:b w:val="0"/>
            </w:rPr>
            <w:t>/1</w:t>
          </w:r>
          <w:r>
            <w:rPr>
              <w:b w:val="0"/>
            </w:rPr>
            <w:t>5</w:t>
          </w:r>
          <w:r w:rsidRPr="0039525B">
            <w:rPr>
              <w:b w:val="0"/>
            </w:rPr>
            <w:t xml:space="preserve"> </w:t>
          </w:r>
          <w:r w:rsidRPr="002E4C92">
            <w:t>Classroom Use:</w:t>
          </w:r>
          <w:r w:rsidR="00C07E59">
            <w:rPr>
              <w:b w:val="0"/>
            </w:rPr>
            <w:t xml:space="preserve"> Starting 4</w:t>
          </w:r>
          <w:r w:rsidRPr="0039525B">
            <w:rPr>
              <w:b w:val="0"/>
            </w:rPr>
            <w:t>/201</w:t>
          </w:r>
          <w:r>
            <w:rPr>
              <w:b w:val="0"/>
            </w:rPr>
            <w:t>5</w:t>
          </w:r>
          <w:r w:rsidRPr="0039525B">
            <w:rPr>
              <w:b w:val="0"/>
            </w:rPr>
            <w:t xml:space="preserve"> </w:t>
          </w:r>
        </w:p>
        <w:p w14:paraId="04A09B85" w14:textId="4ADF09FD" w:rsidR="001B2422" w:rsidRPr="0039525B" w:rsidRDefault="001B2422" w:rsidP="00B0604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207AF451" w14:textId="77777777" w:rsidR="001B2422" w:rsidRPr="0039525B" w:rsidRDefault="001B2422" w:rsidP="00B06049">
          <w:pPr>
            <w:pStyle w:val="FooterText"/>
            <w:rPr>
              <w:b w:val="0"/>
              <w:i/>
            </w:rPr>
          </w:pPr>
          <w:r w:rsidRPr="0039525B">
            <w:rPr>
              <w:b w:val="0"/>
              <w:i/>
              <w:sz w:val="12"/>
            </w:rPr>
            <w:t>Creative Commons Attribution-NonCommercial-ShareAlike 3.0 Unported License</w:t>
          </w:r>
        </w:p>
        <w:p w14:paraId="27FB8757" w14:textId="77777777" w:rsidR="001B2422" w:rsidRPr="002E4C92" w:rsidRDefault="00AA4EB6" w:rsidP="00B06049">
          <w:pPr>
            <w:pStyle w:val="FooterText"/>
          </w:pPr>
          <w:hyperlink r:id="rId1" w:history="1">
            <w:r w:rsidR="001B2422" w:rsidRPr="0043460D">
              <w:rPr>
                <w:rStyle w:val="Hyperlink"/>
                <w:sz w:val="12"/>
                <w:szCs w:val="12"/>
              </w:rPr>
              <w:t>http://creativecommons.org/licenses/by-nc-sa/3.0/</w:t>
            </w:r>
          </w:hyperlink>
        </w:p>
      </w:tc>
      <w:tc>
        <w:tcPr>
          <w:tcW w:w="614" w:type="dxa"/>
          <w:shd w:val="clear" w:color="auto" w:fill="auto"/>
          <w:vAlign w:val="center"/>
        </w:tcPr>
        <w:p w14:paraId="7783EC1E" w14:textId="77777777" w:rsidR="001B2422" w:rsidRPr="002E4C92" w:rsidRDefault="001B2422" w:rsidP="00B0604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C37C4">
            <w:rPr>
              <w:rFonts w:ascii="Calibri" w:hAnsi="Calibri" w:cs="Calibri"/>
              <w:b/>
              <w:noProof/>
              <w:color w:val="1F4E79"/>
              <w:sz w:val="28"/>
            </w:rPr>
            <w:t>9</w:t>
          </w:r>
          <w:r w:rsidRPr="002E4C92">
            <w:rPr>
              <w:rFonts w:ascii="Calibri" w:hAnsi="Calibri" w:cs="Calibri"/>
              <w:b/>
              <w:color w:val="1F4E79"/>
              <w:sz w:val="28"/>
            </w:rPr>
            <w:fldChar w:fldCharType="end"/>
          </w:r>
        </w:p>
      </w:tc>
      <w:tc>
        <w:tcPr>
          <w:tcW w:w="4442" w:type="dxa"/>
          <w:shd w:val="clear" w:color="auto" w:fill="auto"/>
          <w:vAlign w:val="bottom"/>
        </w:tcPr>
        <w:p w14:paraId="1B064119" w14:textId="65A4F78F" w:rsidR="001B2422" w:rsidRPr="002E4C92" w:rsidRDefault="001B2422" w:rsidP="00B0604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61C983F5" wp14:editId="5F79FB27">
                <wp:extent cx="1721485" cy="650875"/>
                <wp:effectExtent l="0" t="0" r="0" b="0"/>
                <wp:docPr id="1" name="Picture 1"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1485" cy="650875"/>
                        </a:xfrm>
                        <a:prstGeom prst="rect">
                          <a:avLst/>
                        </a:prstGeom>
                        <a:noFill/>
                        <a:ln>
                          <a:noFill/>
                        </a:ln>
                      </pic:spPr>
                    </pic:pic>
                  </a:graphicData>
                </a:graphic>
              </wp:inline>
            </w:drawing>
          </w:r>
        </w:p>
      </w:tc>
    </w:tr>
  </w:tbl>
  <w:p w14:paraId="37C51D6A" w14:textId="77777777" w:rsidR="001B2422" w:rsidRPr="00B06049" w:rsidRDefault="001B2422" w:rsidP="00B060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F3876" w14:textId="77777777" w:rsidR="00AC00C5" w:rsidRPr="00563CB8" w:rsidRDefault="00AC00C5" w:rsidP="00B0604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6169"/>
      <w:gridCol w:w="845"/>
      <w:gridCol w:w="6112"/>
    </w:tblGrid>
    <w:tr w:rsidR="00AC00C5" w14:paraId="37467DAD" w14:textId="77777777" w:rsidTr="00282F46">
      <w:trPr>
        <w:trHeight w:val="705"/>
      </w:trPr>
      <w:tc>
        <w:tcPr>
          <w:tcW w:w="4484" w:type="dxa"/>
          <w:shd w:val="clear" w:color="auto" w:fill="auto"/>
          <w:vAlign w:val="center"/>
        </w:tcPr>
        <w:p w14:paraId="12C5D52C" w14:textId="77777777" w:rsidR="00AC00C5" w:rsidRPr="002E4C92" w:rsidRDefault="00AC00C5" w:rsidP="00B06049">
          <w:pPr>
            <w:pStyle w:val="FooterText"/>
          </w:pPr>
          <w:r w:rsidRPr="002E4C92">
            <w:t>File:</w:t>
          </w:r>
          <w:r w:rsidRPr="0039525B">
            <w:rPr>
              <w:b w:val="0"/>
            </w:rPr>
            <w:t xml:space="preserve"> </w:t>
          </w:r>
          <w:r>
            <w:rPr>
              <w:b w:val="0"/>
            </w:rPr>
            <w:t>12.3.1</w:t>
          </w:r>
          <w:r w:rsidRPr="0039525B">
            <w:rPr>
              <w:b w:val="0"/>
            </w:rPr>
            <w:t xml:space="preserve"> Lesson </w:t>
          </w:r>
          <w:r>
            <w:rPr>
              <w:b w:val="0"/>
            </w:rPr>
            <w:t>18</w:t>
          </w:r>
          <w:r w:rsidRPr="002E4C92">
            <w:t xml:space="preserve"> Date:</w:t>
          </w:r>
          <w:r>
            <w:rPr>
              <w:b w:val="0"/>
            </w:rPr>
            <w:t xml:space="preserve"> 4/3</w:t>
          </w:r>
          <w:r w:rsidRPr="0039525B">
            <w:rPr>
              <w:b w:val="0"/>
            </w:rPr>
            <w:t>/1</w:t>
          </w:r>
          <w:r>
            <w:rPr>
              <w:b w:val="0"/>
            </w:rPr>
            <w:t>5</w:t>
          </w:r>
          <w:r w:rsidRPr="0039525B">
            <w:rPr>
              <w:b w:val="0"/>
            </w:rPr>
            <w:t xml:space="preserve"> </w:t>
          </w:r>
          <w:r w:rsidRPr="002E4C92">
            <w:t>Classroom Use:</w:t>
          </w:r>
          <w:r>
            <w:rPr>
              <w:b w:val="0"/>
            </w:rPr>
            <w:t xml:space="preserve"> Starting 4</w:t>
          </w:r>
          <w:r w:rsidRPr="0039525B">
            <w:rPr>
              <w:b w:val="0"/>
            </w:rPr>
            <w:t>/201</w:t>
          </w:r>
          <w:r>
            <w:rPr>
              <w:b w:val="0"/>
            </w:rPr>
            <w:t>5</w:t>
          </w:r>
          <w:r w:rsidRPr="0039525B">
            <w:rPr>
              <w:b w:val="0"/>
            </w:rPr>
            <w:t xml:space="preserve"> </w:t>
          </w:r>
        </w:p>
        <w:p w14:paraId="4A8FA557" w14:textId="77777777" w:rsidR="00AC00C5" w:rsidRPr="0039525B" w:rsidRDefault="00AC00C5" w:rsidP="00B0604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03C6E8D4" w14:textId="77777777" w:rsidR="00AC00C5" w:rsidRPr="0039525B" w:rsidRDefault="00AC00C5" w:rsidP="00B06049">
          <w:pPr>
            <w:pStyle w:val="FooterText"/>
            <w:rPr>
              <w:b w:val="0"/>
              <w:i/>
            </w:rPr>
          </w:pPr>
          <w:r w:rsidRPr="0039525B">
            <w:rPr>
              <w:b w:val="0"/>
              <w:i/>
              <w:sz w:val="12"/>
            </w:rPr>
            <w:t>Creative Commons Attribution-NonCommercial-ShareAlike 3.0 Unported License</w:t>
          </w:r>
        </w:p>
        <w:p w14:paraId="00DEC7EA" w14:textId="77777777" w:rsidR="00AC00C5" w:rsidRPr="002E4C92" w:rsidRDefault="00AA4EB6" w:rsidP="00B06049">
          <w:pPr>
            <w:pStyle w:val="FooterText"/>
          </w:pPr>
          <w:hyperlink r:id="rId1" w:history="1">
            <w:r w:rsidR="00AC00C5" w:rsidRPr="0043460D">
              <w:rPr>
                <w:rStyle w:val="Hyperlink"/>
                <w:sz w:val="12"/>
                <w:szCs w:val="12"/>
              </w:rPr>
              <w:t>http://creativecommons.org/licenses/by-nc-sa/3.0/</w:t>
            </w:r>
          </w:hyperlink>
        </w:p>
      </w:tc>
      <w:tc>
        <w:tcPr>
          <w:tcW w:w="614" w:type="dxa"/>
          <w:shd w:val="clear" w:color="auto" w:fill="auto"/>
          <w:vAlign w:val="center"/>
        </w:tcPr>
        <w:p w14:paraId="7DA806A3" w14:textId="77777777" w:rsidR="00AC00C5" w:rsidRPr="002E4C92" w:rsidRDefault="00AC00C5" w:rsidP="00B0604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C37C4">
            <w:rPr>
              <w:rFonts w:ascii="Calibri" w:hAnsi="Calibri" w:cs="Calibri"/>
              <w:b/>
              <w:noProof/>
              <w:color w:val="1F4E79"/>
              <w:sz w:val="28"/>
            </w:rPr>
            <w:t>11</w:t>
          </w:r>
          <w:r w:rsidRPr="002E4C92">
            <w:rPr>
              <w:rFonts w:ascii="Calibri" w:hAnsi="Calibri" w:cs="Calibri"/>
              <w:b/>
              <w:color w:val="1F4E79"/>
              <w:sz w:val="28"/>
            </w:rPr>
            <w:fldChar w:fldCharType="end"/>
          </w:r>
        </w:p>
      </w:tc>
      <w:tc>
        <w:tcPr>
          <w:tcW w:w="4442" w:type="dxa"/>
          <w:shd w:val="clear" w:color="auto" w:fill="auto"/>
          <w:vAlign w:val="bottom"/>
        </w:tcPr>
        <w:p w14:paraId="3213A8FB" w14:textId="77777777" w:rsidR="00AC00C5" w:rsidRPr="002E4C92" w:rsidRDefault="00AC00C5" w:rsidP="00B0604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6A7C448D" wp14:editId="3C5EC311">
                <wp:extent cx="1721485" cy="650875"/>
                <wp:effectExtent l="0" t="0" r="0" b="0"/>
                <wp:docPr id="2" name="Picture 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1485" cy="650875"/>
                        </a:xfrm>
                        <a:prstGeom prst="rect">
                          <a:avLst/>
                        </a:prstGeom>
                        <a:noFill/>
                        <a:ln>
                          <a:noFill/>
                        </a:ln>
                      </pic:spPr>
                    </pic:pic>
                  </a:graphicData>
                </a:graphic>
              </wp:inline>
            </w:drawing>
          </w:r>
        </w:p>
      </w:tc>
    </w:tr>
  </w:tbl>
  <w:p w14:paraId="26501D2E" w14:textId="77777777" w:rsidR="00AC00C5" w:rsidRPr="00B06049" w:rsidRDefault="00AC00C5"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2D75B" w14:textId="77777777" w:rsidR="00AA4EB6" w:rsidRDefault="00AA4EB6">
      <w:pPr>
        <w:spacing w:before="0" w:after="0" w:line="240" w:lineRule="auto"/>
      </w:pPr>
      <w:r>
        <w:separator/>
      </w:r>
    </w:p>
  </w:footnote>
  <w:footnote w:type="continuationSeparator" w:id="0">
    <w:p w14:paraId="0EF415CD" w14:textId="77777777" w:rsidR="00AA4EB6" w:rsidRDefault="00AA4EB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3713"/>
      <w:gridCol w:w="2424"/>
      <w:gridCol w:w="3493"/>
    </w:tblGrid>
    <w:tr w:rsidR="001B2422" w:rsidRPr="00563CB8" w14:paraId="3F9EF17D" w14:textId="77777777" w:rsidTr="00282F46">
      <w:tc>
        <w:tcPr>
          <w:tcW w:w="3713" w:type="dxa"/>
          <w:shd w:val="clear" w:color="auto" w:fill="auto"/>
        </w:tcPr>
        <w:p w14:paraId="57DACC4C" w14:textId="77777777" w:rsidR="001B2422" w:rsidRPr="00563CB8" w:rsidRDefault="001B2422"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7FDC71F2" w14:textId="578820A0" w:rsidR="001B2422" w:rsidRPr="00563CB8" w:rsidRDefault="001B2422" w:rsidP="007017EB">
          <w:pPr>
            <w:jc w:val="center"/>
          </w:pPr>
        </w:p>
      </w:tc>
      <w:tc>
        <w:tcPr>
          <w:tcW w:w="3493" w:type="dxa"/>
          <w:shd w:val="clear" w:color="auto" w:fill="auto"/>
        </w:tcPr>
        <w:p w14:paraId="470C5829" w14:textId="77777777" w:rsidR="001B2422" w:rsidRPr="00E946A0" w:rsidRDefault="001B2422" w:rsidP="007017EB">
          <w:pPr>
            <w:pStyle w:val="PageHeader"/>
            <w:jc w:val="right"/>
            <w:rPr>
              <w:b w:val="0"/>
            </w:rPr>
          </w:pPr>
          <w:r>
            <w:rPr>
              <w:b w:val="0"/>
            </w:rPr>
            <w:t>Grade 12 • Module 3 • Unit 1 • Lesson 18</w:t>
          </w:r>
        </w:p>
      </w:tc>
    </w:tr>
  </w:tbl>
  <w:p w14:paraId="4FA32505" w14:textId="77777777" w:rsidR="001B2422" w:rsidRPr="007017EB" w:rsidRDefault="001B2422"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5109"/>
      <w:gridCol w:w="3335"/>
      <w:gridCol w:w="4806"/>
    </w:tblGrid>
    <w:tr w:rsidR="001B2422" w:rsidRPr="00563CB8" w14:paraId="51CC2C93" w14:textId="77777777" w:rsidTr="00282F46">
      <w:tc>
        <w:tcPr>
          <w:tcW w:w="3713" w:type="dxa"/>
          <w:shd w:val="clear" w:color="auto" w:fill="auto"/>
        </w:tcPr>
        <w:p w14:paraId="2DDF3BA1" w14:textId="77777777" w:rsidR="001B2422" w:rsidRPr="00563CB8" w:rsidRDefault="001B2422"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67FF6355" w14:textId="1A6E47F5" w:rsidR="001B2422" w:rsidRPr="00563CB8" w:rsidRDefault="001B2422" w:rsidP="007017EB">
          <w:pPr>
            <w:jc w:val="center"/>
          </w:pPr>
        </w:p>
      </w:tc>
      <w:tc>
        <w:tcPr>
          <w:tcW w:w="3493" w:type="dxa"/>
          <w:shd w:val="clear" w:color="auto" w:fill="auto"/>
        </w:tcPr>
        <w:p w14:paraId="4B929788" w14:textId="77777777" w:rsidR="001B2422" w:rsidRPr="00E946A0" w:rsidRDefault="001B2422" w:rsidP="007017EB">
          <w:pPr>
            <w:pStyle w:val="PageHeader"/>
            <w:jc w:val="right"/>
            <w:rPr>
              <w:b w:val="0"/>
            </w:rPr>
          </w:pPr>
          <w:r>
            <w:rPr>
              <w:b w:val="0"/>
            </w:rPr>
            <w:t>Grade 12 • Module 3 • Unit 1 • Lesson 18</w:t>
          </w:r>
        </w:p>
      </w:tc>
    </w:tr>
  </w:tbl>
  <w:p w14:paraId="20D6DA06" w14:textId="77777777" w:rsidR="001B2422" w:rsidRPr="007017EB" w:rsidRDefault="001B2422"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DA9AF08A"/>
    <w:lvl w:ilvl="0" w:tplc="7D524D36">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0B21EC"/>
    <w:multiLevelType w:val="hybridMultilevel"/>
    <w:tmpl w:val="453A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A11E67"/>
    <w:multiLevelType w:val="multilevel"/>
    <w:tmpl w:val="25A8162E"/>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nsid w:val="3FB262B8"/>
    <w:multiLevelType w:val="multilevel"/>
    <w:tmpl w:val="25A8162E"/>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nsid w:val="43B24B9E"/>
    <w:multiLevelType w:val="hybridMultilevel"/>
    <w:tmpl w:val="4C0E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BE12B28"/>
    <w:multiLevelType w:val="hybridMultilevel"/>
    <w:tmpl w:val="D6CC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D74F8C"/>
    <w:multiLevelType w:val="multilevel"/>
    <w:tmpl w:val="2CEA737A"/>
    <w:lvl w:ilvl="0">
      <w:start w:val="1"/>
      <w:numFmt w:val="bullet"/>
      <w:lvlText w:val=""/>
      <w:lvlJc w:val="left"/>
      <w:pPr>
        <w:ind w:left="1080" w:hanging="360"/>
      </w:pPr>
      <w:rPr>
        <w:rFonts w:ascii="Webdings" w:hAnsi="Web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4E0A67"/>
    <w:multiLevelType w:val="hybridMultilevel"/>
    <w:tmpl w:val="1AA0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num>
  <w:num w:numId="2">
    <w:abstractNumId w:val="7"/>
    <w:lvlOverride w:ilvl="0">
      <w:startOverride w:val="1"/>
    </w:lvlOverride>
  </w:num>
  <w:num w:numId="3">
    <w:abstractNumId w:val="11"/>
  </w:num>
  <w:num w:numId="4">
    <w:abstractNumId w:val="14"/>
  </w:num>
  <w:num w:numId="5">
    <w:abstractNumId w:val="1"/>
  </w:num>
  <w:num w:numId="6">
    <w:abstractNumId w:val="17"/>
  </w:num>
  <w:num w:numId="7">
    <w:abstractNumId w:val="7"/>
    <w:lvlOverride w:ilvl="0">
      <w:startOverride w:val="1"/>
    </w:lvlOverride>
  </w:num>
  <w:num w:numId="8">
    <w:abstractNumId w:val="19"/>
  </w:num>
  <w:num w:numId="9">
    <w:abstractNumId w:val="2"/>
  </w:num>
  <w:num w:numId="10">
    <w:abstractNumId w:val="15"/>
  </w:num>
  <w:num w:numId="11">
    <w:abstractNumId w:val="20"/>
  </w:num>
  <w:num w:numId="12">
    <w:abstractNumId w:val="7"/>
  </w:num>
  <w:num w:numId="13">
    <w:abstractNumId w:val="7"/>
    <w:lvlOverride w:ilvl="0">
      <w:startOverride w:val="1"/>
    </w:lvlOverride>
  </w:num>
  <w:num w:numId="14">
    <w:abstractNumId w:val="6"/>
    <w:lvlOverride w:ilvl="0">
      <w:startOverride w:val="1"/>
    </w:lvlOverride>
  </w:num>
  <w:num w:numId="15">
    <w:abstractNumId w:val="19"/>
  </w:num>
  <w:num w:numId="16">
    <w:abstractNumId w:val="5"/>
  </w:num>
  <w:num w:numId="17">
    <w:abstractNumId w:val="0"/>
  </w:num>
  <w:num w:numId="18">
    <w:abstractNumId w:val="4"/>
  </w:num>
  <w:num w:numId="19">
    <w:abstractNumId w:val="18"/>
  </w:num>
  <w:num w:numId="20">
    <w:abstractNumId w:val="10"/>
  </w:num>
  <w:num w:numId="21">
    <w:abstractNumId w:val="16"/>
  </w:num>
  <w:num w:numId="22">
    <w:abstractNumId w:val="3"/>
  </w:num>
  <w:num w:numId="23">
    <w:abstractNumId w:val="12"/>
  </w:num>
  <w:num w:numId="24">
    <w:abstractNumId w:val="8"/>
  </w:num>
  <w:num w:numId="25">
    <w:abstractNumId w:val="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01CF"/>
    <w:rsid w:val="000047D0"/>
    <w:rsid w:val="00007B82"/>
    <w:rsid w:val="00014765"/>
    <w:rsid w:val="0001619B"/>
    <w:rsid w:val="00016729"/>
    <w:rsid w:val="000168A1"/>
    <w:rsid w:val="000244A1"/>
    <w:rsid w:val="00032A01"/>
    <w:rsid w:val="00034D58"/>
    <w:rsid w:val="0003520F"/>
    <w:rsid w:val="00036235"/>
    <w:rsid w:val="000455BD"/>
    <w:rsid w:val="000533FA"/>
    <w:rsid w:val="00053D89"/>
    <w:rsid w:val="00055F7D"/>
    <w:rsid w:val="00072BC1"/>
    <w:rsid w:val="000828AB"/>
    <w:rsid w:val="00086B64"/>
    <w:rsid w:val="000B3273"/>
    <w:rsid w:val="000B3A6F"/>
    <w:rsid w:val="000C2A62"/>
    <w:rsid w:val="000D4FD6"/>
    <w:rsid w:val="000E229C"/>
    <w:rsid w:val="000E45AF"/>
    <w:rsid w:val="000E683C"/>
    <w:rsid w:val="000E7749"/>
    <w:rsid w:val="000F05BD"/>
    <w:rsid w:val="000F20CD"/>
    <w:rsid w:val="001001FA"/>
    <w:rsid w:val="00104F82"/>
    <w:rsid w:val="001053C1"/>
    <w:rsid w:val="001059CE"/>
    <w:rsid w:val="00110AD9"/>
    <w:rsid w:val="001136B0"/>
    <w:rsid w:val="001137C1"/>
    <w:rsid w:val="00124C8E"/>
    <w:rsid w:val="00131765"/>
    <w:rsid w:val="00144B97"/>
    <w:rsid w:val="001514E3"/>
    <w:rsid w:val="00155C64"/>
    <w:rsid w:val="00157D57"/>
    <w:rsid w:val="00157E85"/>
    <w:rsid w:val="001657B6"/>
    <w:rsid w:val="001735F1"/>
    <w:rsid w:val="0017499F"/>
    <w:rsid w:val="0017562D"/>
    <w:rsid w:val="00180693"/>
    <w:rsid w:val="001816F5"/>
    <w:rsid w:val="00183C1B"/>
    <w:rsid w:val="00185016"/>
    <w:rsid w:val="001A2134"/>
    <w:rsid w:val="001A3247"/>
    <w:rsid w:val="001A6F92"/>
    <w:rsid w:val="001A72DF"/>
    <w:rsid w:val="001B2422"/>
    <w:rsid w:val="001B3421"/>
    <w:rsid w:val="001B42DD"/>
    <w:rsid w:val="001C2DD6"/>
    <w:rsid w:val="001D2D56"/>
    <w:rsid w:val="001D3867"/>
    <w:rsid w:val="001E412A"/>
    <w:rsid w:val="001F4868"/>
    <w:rsid w:val="001F4C72"/>
    <w:rsid w:val="0020021E"/>
    <w:rsid w:val="00203329"/>
    <w:rsid w:val="0020639D"/>
    <w:rsid w:val="00207A39"/>
    <w:rsid w:val="00210684"/>
    <w:rsid w:val="00214CDB"/>
    <w:rsid w:val="0021508D"/>
    <w:rsid w:val="00220DAC"/>
    <w:rsid w:val="00221D38"/>
    <w:rsid w:val="00232F9D"/>
    <w:rsid w:val="00233BA2"/>
    <w:rsid w:val="00237D67"/>
    <w:rsid w:val="00237F71"/>
    <w:rsid w:val="00240EC4"/>
    <w:rsid w:val="00242E6F"/>
    <w:rsid w:val="002433BF"/>
    <w:rsid w:val="00247DBF"/>
    <w:rsid w:val="002557DF"/>
    <w:rsid w:val="00255F44"/>
    <w:rsid w:val="0025672C"/>
    <w:rsid w:val="00270E2B"/>
    <w:rsid w:val="002718C9"/>
    <w:rsid w:val="002745A7"/>
    <w:rsid w:val="00275F7E"/>
    <w:rsid w:val="002826AF"/>
    <w:rsid w:val="00282F46"/>
    <w:rsid w:val="002859E3"/>
    <w:rsid w:val="00292461"/>
    <w:rsid w:val="00292640"/>
    <w:rsid w:val="002A0316"/>
    <w:rsid w:val="002A4DD5"/>
    <w:rsid w:val="002B66EC"/>
    <w:rsid w:val="002C05FE"/>
    <w:rsid w:val="002C13EC"/>
    <w:rsid w:val="002C37C4"/>
    <w:rsid w:val="002C656F"/>
    <w:rsid w:val="002D05A6"/>
    <w:rsid w:val="002D1212"/>
    <w:rsid w:val="002D18C2"/>
    <w:rsid w:val="002D3013"/>
    <w:rsid w:val="002D6E00"/>
    <w:rsid w:val="002E15FA"/>
    <w:rsid w:val="002E7E7A"/>
    <w:rsid w:val="002F0EC5"/>
    <w:rsid w:val="002F121F"/>
    <w:rsid w:val="002F58CE"/>
    <w:rsid w:val="002F5B82"/>
    <w:rsid w:val="002F61CA"/>
    <w:rsid w:val="00302F7F"/>
    <w:rsid w:val="00304DCA"/>
    <w:rsid w:val="00305080"/>
    <w:rsid w:val="00316280"/>
    <w:rsid w:val="00317D76"/>
    <w:rsid w:val="0032237C"/>
    <w:rsid w:val="003325B1"/>
    <w:rsid w:val="00334B54"/>
    <w:rsid w:val="00341F48"/>
    <w:rsid w:val="00345F60"/>
    <w:rsid w:val="00347ED4"/>
    <w:rsid w:val="00354FF4"/>
    <w:rsid w:val="00366A81"/>
    <w:rsid w:val="00382C84"/>
    <w:rsid w:val="003866B3"/>
    <w:rsid w:val="00386FB5"/>
    <w:rsid w:val="00391DFE"/>
    <w:rsid w:val="00392CF0"/>
    <w:rsid w:val="003936DD"/>
    <w:rsid w:val="003A03E2"/>
    <w:rsid w:val="003A335F"/>
    <w:rsid w:val="003A420E"/>
    <w:rsid w:val="003A6F18"/>
    <w:rsid w:val="003B20FA"/>
    <w:rsid w:val="003B4DB6"/>
    <w:rsid w:val="003B78BD"/>
    <w:rsid w:val="003D2936"/>
    <w:rsid w:val="003D40FC"/>
    <w:rsid w:val="003E0222"/>
    <w:rsid w:val="003E14FE"/>
    <w:rsid w:val="003E350B"/>
    <w:rsid w:val="003E42FB"/>
    <w:rsid w:val="003E70DE"/>
    <w:rsid w:val="003F0AA9"/>
    <w:rsid w:val="003F1DCC"/>
    <w:rsid w:val="003F2ABD"/>
    <w:rsid w:val="003F6BA3"/>
    <w:rsid w:val="00413CB7"/>
    <w:rsid w:val="00424761"/>
    <w:rsid w:val="00431AEA"/>
    <w:rsid w:val="00433753"/>
    <w:rsid w:val="0043460D"/>
    <w:rsid w:val="00440A98"/>
    <w:rsid w:val="0045044F"/>
    <w:rsid w:val="0045138E"/>
    <w:rsid w:val="004527ED"/>
    <w:rsid w:val="004600B8"/>
    <w:rsid w:val="004644FF"/>
    <w:rsid w:val="0047180B"/>
    <w:rsid w:val="00471DD4"/>
    <w:rsid w:val="004734A9"/>
    <w:rsid w:val="00480E89"/>
    <w:rsid w:val="004814EC"/>
    <w:rsid w:val="00482A28"/>
    <w:rsid w:val="0049194F"/>
    <w:rsid w:val="004925B9"/>
    <w:rsid w:val="004955AC"/>
    <w:rsid w:val="004A0873"/>
    <w:rsid w:val="004A1320"/>
    <w:rsid w:val="004A77B1"/>
    <w:rsid w:val="004B2476"/>
    <w:rsid w:val="004B4860"/>
    <w:rsid w:val="004B65DE"/>
    <w:rsid w:val="004C01C7"/>
    <w:rsid w:val="004C034B"/>
    <w:rsid w:val="004C5287"/>
    <w:rsid w:val="004C65C0"/>
    <w:rsid w:val="004C6CAD"/>
    <w:rsid w:val="004C7503"/>
    <w:rsid w:val="004C7ED1"/>
    <w:rsid w:val="004D1D31"/>
    <w:rsid w:val="004D66E8"/>
    <w:rsid w:val="004F099E"/>
    <w:rsid w:val="004F302F"/>
    <w:rsid w:val="004F59CF"/>
    <w:rsid w:val="0050137B"/>
    <w:rsid w:val="00501980"/>
    <w:rsid w:val="00505C07"/>
    <w:rsid w:val="005067AF"/>
    <w:rsid w:val="0051121B"/>
    <w:rsid w:val="00514E10"/>
    <w:rsid w:val="00532F2A"/>
    <w:rsid w:val="0053374F"/>
    <w:rsid w:val="00534DE3"/>
    <w:rsid w:val="0053566B"/>
    <w:rsid w:val="00540662"/>
    <w:rsid w:val="00541D3B"/>
    <w:rsid w:val="005512A0"/>
    <w:rsid w:val="00564829"/>
    <w:rsid w:val="00567BC6"/>
    <w:rsid w:val="00570C56"/>
    <w:rsid w:val="00572DAF"/>
    <w:rsid w:val="005805FE"/>
    <w:rsid w:val="00581233"/>
    <w:rsid w:val="00581571"/>
    <w:rsid w:val="005A3795"/>
    <w:rsid w:val="005A6A09"/>
    <w:rsid w:val="005B036F"/>
    <w:rsid w:val="005B4DAA"/>
    <w:rsid w:val="005B4E32"/>
    <w:rsid w:val="005B795F"/>
    <w:rsid w:val="005C1C5F"/>
    <w:rsid w:val="005D6B78"/>
    <w:rsid w:val="00604F40"/>
    <w:rsid w:val="00607AA4"/>
    <w:rsid w:val="006177EB"/>
    <w:rsid w:val="006341B3"/>
    <w:rsid w:val="0064059B"/>
    <w:rsid w:val="00640D4F"/>
    <w:rsid w:val="00641527"/>
    <w:rsid w:val="0064464E"/>
    <w:rsid w:val="0064720A"/>
    <w:rsid w:val="00651269"/>
    <w:rsid w:val="00655F10"/>
    <w:rsid w:val="00672781"/>
    <w:rsid w:val="00675E8F"/>
    <w:rsid w:val="00680E1D"/>
    <w:rsid w:val="006826FA"/>
    <w:rsid w:val="00683049"/>
    <w:rsid w:val="00692B70"/>
    <w:rsid w:val="006971E6"/>
    <w:rsid w:val="006A5CB3"/>
    <w:rsid w:val="006B037B"/>
    <w:rsid w:val="006B2133"/>
    <w:rsid w:val="006B5825"/>
    <w:rsid w:val="006B681B"/>
    <w:rsid w:val="006C42E7"/>
    <w:rsid w:val="006C6AD7"/>
    <w:rsid w:val="006D3E51"/>
    <w:rsid w:val="006D5B1D"/>
    <w:rsid w:val="006E5F9F"/>
    <w:rsid w:val="006F23F6"/>
    <w:rsid w:val="006F320C"/>
    <w:rsid w:val="006F543E"/>
    <w:rsid w:val="007017EB"/>
    <w:rsid w:val="00702E53"/>
    <w:rsid w:val="00706B8B"/>
    <w:rsid w:val="00722270"/>
    <w:rsid w:val="0073199A"/>
    <w:rsid w:val="00733D0F"/>
    <w:rsid w:val="00740A07"/>
    <w:rsid w:val="00744C05"/>
    <w:rsid w:val="00745344"/>
    <w:rsid w:val="00750B9B"/>
    <w:rsid w:val="00757223"/>
    <w:rsid w:val="00757663"/>
    <w:rsid w:val="00761980"/>
    <w:rsid w:val="00763D8A"/>
    <w:rsid w:val="00772995"/>
    <w:rsid w:val="007753ED"/>
    <w:rsid w:val="00776326"/>
    <w:rsid w:val="007777E1"/>
    <w:rsid w:val="0078049C"/>
    <w:rsid w:val="00780D00"/>
    <w:rsid w:val="00782BDC"/>
    <w:rsid w:val="0078454E"/>
    <w:rsid w:val="00787131"/>
    <w:rsid w:val="00790BCC"/>
    <w:rsid w:val="00791BF7"/>
    <w:rsid w:val="007A0624"/>
    <w:rsid w:val="007A4385"/>
    <w:rsid w:val="007A445C"/>
    <w:rsid w:val="007A5AD1"/>
    <w:rsid w:val="007C03CF"/>
    <w:rsid w:val="007D205D"/>
    <w:rsid w:val="007D2598"/>
    <w:rsid w:val="007D5C10"/>
    <w:rsid w:val="007E0AF4"/>
    <w:rsid w:val="007E2346"/>
    <w:rsid w:val="007E484F"/>
    <w:rsid w:val="007E53F4"/>
    <w:rsid w:val="007E554F"/>
    <w:rsid w:val="007E66FA"/>
    <w:rsid w:val="007F4A94"/>
    <w:rsid w:val="007F530F"/>
    <w:rsid w:val="00807FA2"/>
    <w:rsid w:val="00810423"/>
    <w:rsid w:val="00812867"/>
    <w:rsid w:val="008205DD"/>
    <w:rsid w:val="00830A60"/>
    <w:rsid w:val="0083262B"/>
    <w:rsid w:val="008342EB"/>
    <w:rsid w:val="00834A4E"/>
    <w:rsid w:val="00836043"/>
    <w:rsid w:val="0084105F"/>
    <w:rsid w:val="00874218"/>
    <w:rsid w:val="008754C5"/>
    <w:rsid w:val="0088465B"/>
    <w:rsid w:val="00887C60"/>
    <w:rsid w:val="008903B1"/>
    <w:rsid w:val="00894421"/>
    <w:rsid w:val="008A4DC9"/>
    <w:rsid w:val="008B0180"/>
    <w:rsid w:val="008B1D61"/>
    <w:rsid w:val="008B502D"/>
    <w:rsid w:val="008B77B2"/>
    <w:rsid w:val="008C0C77"/>
    <w:rsid w:val="008C719A"/>
    <w:rsid w:val="008D5455"/>
    <w:rsid w:val="008D64E4"/>
    <w:rsid w:val="008E0122"/>
    <w:rsid w:val="008E20EF"/>
    <w:rsid w:val="008E7982"/>
    <w:rsid w:val="008F521F"/>
    <w:rsid w:val="008F5A57"/>
    <w:rsid w:val="008F7A25"/>
    <w:rsid w:val="00900089"/>
    <w:rsid w:val="00902CF8"/>
    <w:rsid w:val="00903F9E"/>
    <w:rsid w:val="0090619C"/>
    <w:rsid w:val="0091353C"/>
    <w:rsid w:val="0091502F"/>
    <w:rsid w:val="009267EA"/>
    <w:rsid w:val="00930FEA"/>
    <w:rsid w:val="00934072"/>
    <w:rsid w:val="009365C7"/>
    <w:rsid w:val="00943750"/>
    <w:rsid w:val="009450B7"/>
    <w:rsid w:val="009450F1"/>
    <w:rsid w:val="009476D0"/>
    <w:rsid w:val="00950076"/>
    <w:rsid w:val="0095184F"/>
    <w:rsid w:val="009540E2"/>
    <w:rsid w:val="00954F83"/>
    <w:rsid w:val="0096041F"/>
    <w:rsid w:val="00963CBE"/>
    <w:rsid w:val="00965F6B"/>
    <w:rsid w:val="00973E76"/>
    <w:rsid w:val="00974A30"/>
    <w:rsid w:val="00987289"/>
    <w:rsid w:val="009879CA"/>
    <w:rsid w:val="00990255"/>
    <w:rsid w:val="00995EAC"/>
    <w:rsid w:val="009A0138"/>
    <w:rsid w:val="009A5C0C"/>
    <w:rsid w:val="009B4910"/>
    <w:rsid w:val="009B7DA3"/>
    <w:rsid w:val="009C107C"/>
    <w:rsid w:val="009C465C"/>
    <w:rsid w:val="009C7BD0"/>
    <w:rsid w:val="009E1583"/>
    <w:rsid w:val="009E1E38"/>
    <w:rsid w:val="009E2D92"/>
    <w:rsid w:val="009E5453"/>
    <w:rsid w:val="009F56D2"/>
    <w:rsid w:val="009F7513"/>
    <w:rsid w:val="00A00698"/>
    <w:rsid w:val="00A1013F"/>
    <w:rsid w:val="00A10588"/>
    <w:rsid w:val="00A1797E"/>
    <w:rsid w:val="00A22F0B"/>
    <w:rsid w:val="00A27A3E"/>
    <w:rsid w:val="00A32E3C"/>
    <w:rsid w:val="00A33F56"/>
    <w:rsid w:val="00A44741"/>
    <w:rsid w:val="00A50D75"/>
    <w:rsid w:val="00A51E05"/>
    <w:rsid w:val="00A5764E"/>
    <w:rsid w:val="00A60F9E"/>
    <w:rsid w:val="00A64960"/>
    <w:rsid w:val="00A65D40"/>
    <w:rsid w:val="00A66FC4"/>
    <w:rsid w:val="00A71209"/>
    <w:rsid w:val="00A837EB"/>
    <w:rsid w:val="00A9051C"/>
    <w:rsid w:val="00A95B61"/>
    <w:rsid w:val="00AA4EB6"/>
    <w:rsid w:val="00AA6134"/>
    <w:rsid w:val="00AA6B7F"/>
    <w:rsid w:val="00AA7E50"/>
    <w:rsid w:val="00AB2AB9"/>
    <w:rsid w:val="00AB758D"/>
    <w:rsid w:val="00AC00C5"/>
    <w:rsid w:val="00AC026B"/>
    <w:rsid w:val="00AC1360"/>
    <w:rsid w:val="00AC40CF"/>
    <w:rsid w:val="00AC72BE"/>
    <w:rsid w:val="00AD018D"/>
    <w:rsid w:val="00AD07C4"/>
    <w:rsid w:val="00AD6965"/>
    <w:rsid w:val="00AE118A"/>
    <w:rsid w:val="00AE57CA"/>
    <w:rsid w:val="00AE6FEE"/>
    <w:rsid w:val="00AF01DC"/>
    <w:rsid w:val="00AF34E6"/>
    <w:rsid w:val="00AF5AEB"/>
    <w:rsid w:val="00AF7309"/>
    <w:rsid w:val="00AF7E38"/>
    <w:rsid w:val="00B01952"/>
    <w:rsid w:val="00B0354B"/>
    <w:rsid w:val="00B053DE"/>
    <w:rsid w:val="00B06049"/>
    <w:rsid w:val="00B06DA9"/>
    <w:rsid w:val="00B12652"/>
    <w:rsid w:val="00B242C9"/>
    <w:rsid w:val="00B24E94"/>
    <w:rsid w:val="00B26A45"/>
    <w:rsid w:val="00B311BC"/>
    <w:rsid w:val="00B31225"/>
    <w:rsid w:val="00B37E74"/>
    <w:rsid w:val="00B47FF9"/>
    <w:rsid w:val="00B560DA"/>
    <w:rsid w:val="00B6152E"/>
    <w:rsid w:val="00B72131"/>
    <w:rsid w:val="00B72329"/>
    <w:rsid w:val="00B7314C"/>
    <w:rsid w:val="00B74257"/>
    <w:rsid w:val="00B75028"/>
    <w:rsid w:val="00B75370"/>
    <w:rsid w:val="00B76FD7"/>
    <w:rsid w:val="00B86803"/>
    <w:rsid w:val="00B900C1"/>
    <w:rsid w:val="00BA14D7"/>
    <w:rsid w:val="00BA310A"/>
    <w:rsid w:val="00BA325A"/>
    <w:rsid w:val="00BA3775"/>
    <w:rsid w:val="00BA46DC"/>
    <w:rsid w:val="00BA73C1"/>
    <w:rsid w:val="00BB78B9"/>
    <w:rsid w:val="00BC7AD7"/>
    <w:rsid w:val="00BE0EA5"/>
    <w:rsid w:val="00BE1802"/>
    <w:rsid w:val="00BF36E9"/>
    <w:rsid w:val="00BF460A"/>
    <w:rsid w:val="00C0122A"/>
    <w:rsid w:val="00C01DC0"/>
    <w:rsid w:val="00C02F93"/>
    <w:rsid w:val="00C057CE"/>
    <w:rsid w:val="00C060A1"/>
    <w:rsid w:val="00C07E59"/>
    <w:rsid w:val="00C10119"/>
    <w:rsid w:val="00C10E6E"/>
    <w:rsid w:val="00C158F3"/>
    <w:rsid w:val="00C15BC8"/>
    <w:rsid w:val="00C16D0B"/>
    <w:rsid w:val="00C178B5"/>
    <w:rsid w:val="00C21856"/>
    <w:rsid w:val="00C220E1"/>
    <w:rsid w:val="00C26F50"/>
    <w:rsid w:val="00C2736C"/>
    <w:rsid w:val="00C304A6"/>
    <w:rsid w:val="00C32400"/>
    <w:rsid w:val="00C328D2"/>
    <w:rsid w:val="00C32F49"/>
    <w:rsid w:val="00C33A46"/>
    <w:rsid w:val="00C356B9"/>
    <w:rsid w:val="00C42D56"/>
    <w:rsid w:val="00C43F25"/>
    <w:rsid w:val="00C5268D"/>
    <w:rsid w:val="00C54AF6"/>
    <w:rsid w:val="00C57AFE"/>
    <w:rsid w:val="00C632BA"/>
    <w:rsid w:val="00C6504E"/>
    <w:rsid w:val="00C67FE5"/>
    <w:rsid w:val="00C701B8"/>
    <w:rsid w:val="00C74468"/>
    <w:rsid w:val="00C835E3"/>
    <w:rsid w:val="00C8365E"/>
    <w:rsid w:val="00C94565"/>
    <w:rsid w:val="00CA0C63"/>
    <w:rsid w:val="00CA513F"/>
    <w:rsid w:val="00CB20F2"/>
    <w:rsid w:val="00CB2A70"/>
    <w:rsid w:val="00CB6E5D"/>
    <w:rsid w:val="00CD7FBB"/>
    <w:rsid w:val="00CE52CC"/>
    <w:rsid w:val="00CE6D19"/>
    <w:rsid w:val="00CE7F7A"/>
    <w:rsid w:val="00CF2493"/>
    <w:rsid w:val="00D03449"/>
    <w:rsid w:val="00D03B23"/>
    <w:rsid w:val="00D26837"/>
    <w:rsid w:val="00D2707E"/>
    <w:rsid w:val="00D31347"/>
    <w:rsid w:val="00D31F4D"/>
    <w:rsid w:val="00D335F8"/>
    <w:rsid w:val="00D36BB9"/>
    <w:rsid w:val="00D40888"/>
    <w:rsid w:val="00D41DD9"/>
    <w:rsid w:val="00D43571"/>
    <w:rsid w:val="00D45251"/>
    <w:rsid w:val="00D54555"/>
    <w:rsid w:val="00D5468F"/>
    <w:rsid w:val="00D55E98"/>
    <w:rsid w:val="00D66120"/>
    <w:rsid w:val="00D701EB"/>
    <w:rsid w:val="00D71CD9"/>
    <w:rsid w:val="00D74F07"/>
    <w:rsid w:val="00D80546"/>
    <w:rsid w:val="00D80BDA"/>
    <w:rsid w:val="00D819D9"/>
    <w:rsid w:val="00D83588"/>
    <w:rsid w:val="00D845B8"/>
    <w:rsid w:val="00D8783C"/>
    <w:rsid w:val="00D9631B"/>
    <w:rsid w:val="00D96456"/>
    <w:rsid w:val="00DA2A0B"/>
    <w:rsid w:val="00DA4DD6"/>
    <w:rsid w:val="00DA57CC"/>
    <w:rsid w:val="00DA6DEB"/>
    <w:rsid w:val="00DB28DE"/>
    <w:rsid w:val="00DC2739"/>
    <w:rsid w:val="00DC7657"/>
    <w:rsid w:val="00DD1687"/>
    <w:rsid w:val="00DD23DB"/>
    <w:rsid w:val="00DD3ADD"/>
    <w:rsid w:val="00DE078C"/>
    <w:rsid w:val="00DE2672"/>
    <w:rsid w:val="00DE558D"/>
    <w:rsid w:val="00DF0598"/>
    <w:rsid w:val="00DF4FC9"/>
    <w:rsid w:val="00DF761B"/>
    <w:rsid w:val="00E00EB3"/>
    <w:rsid w:val="00E12805"/>
    <w:rsid w:val="00E16257"/>
    <w:rsid w:val="00E169C3"/>
    <w:rsid w:val="00E16DB1"/>
    <w:rsid w:val="00E3553B"/>
    <w:rsid w:val="00E3695D"/>
    <w:rsid w:val="00E443DB"/>
    <w:rsid w:val="00E50E73"/>
    <w:rsid w:val="00E66C86"/>
    <w:rsid w:val="00E7606A"/>
    <w:rsid w:val="00E776E0"/>
    <w:rsid w:val="00E86EFA"/>
    <w:rsid w:val="00E933B4"/>
    <w:rsid w:val="00EA2D1B"/>
    <w:rsid w:val="00EA44D0"/>
    <w:rsid w:val="00EA5069"/>
    <w:rsid w:val="00EA6F68"/>
    <w:rsid w:val="00EA73C0"/>
    <w:rsid w:val="00EB1092"/>
    <w:rsid w:val="00EB1D6C"/>
    <w:rsid w:val="00EB67AE"/>
    <w:rsid w:val="00EB67BB"/>
    <w:rsid w:val="00EC3749"/>
    <w:rsid w:val="00ED08CB"/>
    <w:rsid w:val="00ED25EB"/>
    <w:rsid w:val="00ED35B8"/>
    <w:rsid w:val="00ED40FC"/>
    <w:rsid w:val="00ED62F3"/>
    <w:rsid w:val="00EE58F3"/>
    <w:rsid w:val="00EF37E6"/>
    <w:rsid w:val="00EF7F90"/>
    <w:rsid w:val="00F02C2F"/>
    <w:rsid w:val="00F038CE"/>
    <w:rsid w:val="00F059BA"/>
    <w:rsid w:val="00F1161C"/>
    <w:rsid w:val="00F147B3"/>
    <w:rsid w:val="00F20BE3"/>
    <w:rsid w:val="00F210E6"/>
    <w:rsid w:val="00F23E46"/>
    <w:rsid w:val="00F24653"/>
    <w:rsid w:val="00F268ED"/>
    <w:rsid w:val="00F26C37"/>
    <w:rsid w:val="00F411AC"/>
    <w:rsid w:val="00F52997"/>
    <w:rsid w:val="00F54397"/>
    <w:rsid w:val="00F54F3C"/>
    <w:rsid w:val="00F6281E"/>
    <w:rsid w:val="00F67730"/>
    <w:rsid w:val="00F71E11"/>
    <w:rsid w:val="00F725A1"/>
    <w:rsid w:val="00F727D1"/>
    <w:rsid w:val="00F7592A"/>
    <w:rsid w:val="00F966D8"/>
    <w:rsid w:val="00FA2287"/>
    <w:rsid w:val="00FA2745"/>
    <w:rsid w:val="00FA2F4E"/>
    <w:rsid w:val="00FA4546"/>
    <w:rsid w:val="00FB15BE"/>
    <w:rsid w:val="00FB5841"/>
    <w:rsid w:val="00FC1E63"/>
    <w:rsid w:val="00FC4CD6"/>
    <w:rsid w:val="00FC6BE5"/>
    <w:rsid w:val="00FC77E9"/>
    <w:rsid w:val="00FD021F"/>
    <w:rsid w:val="00FD4D07"/>
    <w:rsid w:val="00FD4EFA"/>
    <w:rsid w:val="00FD5F55"/>
    <w:rsid w:val="00FF3ACC"/>
    <w:rsid w:val="00FF45A0"/>
    <w:rsid w:val="00FF5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AAD68B"/>
  <w15:docId w15:val="{0CBF208D-BF75-4144-9B76-F4A654B4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B06049"/>
    <w:pPr>
      <w:numPr>
        <w:numId w:val="5"/>
      </w:numPr>
      <w:spacing w:before="120" w:after="60" w:line="276" w:lineRule="auto"/>
      <w:ind w:left="360"/>
    </w:pPr>
    <w:rPr>
      <w:color w:val="4F81BD"/>
      <w:sz w:val="22"/>
      <w:szCs w:val="22"/>
    </w:rPr>
  </w:style>
  <w:style w:type="character" w:customStyle="1" w:styleId="INChar">
    <w:name w:val="*IN* Char"/>
    <w:link w:val="IN"/>
    <w:rsid w:val="00B06049"/>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paragraph" w:styleId="Revision">
    <w:name w:val="Revision"/>
    <w:hidden/>
    <w:uiPriority w:val="99"/>
    <w:semiHidden/>
    <w:rsid w:val="00FF45A0"/>
    <w:rPr>
      <w:sz w:val="22"/>
      <w:szCs w:val="22"/>
    </w:rPr>
  </w:style>
  <w:style w:type="paragraph" w:customStyle="1" w:styleId="PageHeader0">
    <w:name w:val="Page Header"/>
    <w:basedOn w:val="BodyText"/>
    <w:link w:val="PageHeaderChar0"/>
    <w:qFormat/>
    <w:rsid w:val="00221D38"/>
    <w:rPr>
      <w:b/>
      <w:sz w:val="18"/>
    </w:rPr>
  </w:style>
  <w:style w:type="character" w:customStyle="1" w:styleId="PageHeaderChar0">
    <w:name w:val="Page Header Char"/>
    <w:link w:val="PageHeader0"/>
    <w:rsid w:val="00221D38"/>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54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elnewyork.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reativecommons.org/licenses/by-nc/3.0/"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creativecommons.org/licenses/by-nc/3.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E38BB-7415-4FEE-894B-C2F7E7DA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4674</Words>
  <Characters>26645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31257</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cp:lastPrinted>2015-01-28T17:35:00Z</cp:lastPrinted>
  <dcterms:created xsi:type="dcterms:W3CDTF">2015-04-02T18:33:00Z</dcterms:created>
  <dcterms:modified xsi:type="dcterms:W3CDTF">2015-04-02T18:33:00Z</dcterms:modified>
</cp:coreProperties>
</file>