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683CC" w14:textId="0D8C82C3" w:rsidR="00CA0ACF" w:rsidRDefault="00CA0ACF" w:rsidP="00CA0ACF">
      <w:pPr>
        <w:pStyle w:val="ToolHeader"/>
      </w:pPr>
      <w:bookmarkStart w:id="0" w:name="_GoBack"/>
      <w:bookmarkEnd w:id="0"/>
      <w:r>
        <w:t>12.3 Common Core Learning Standards Tool</w:t>
      </w:r>
    </w:p>
    <w:tbl>
      <w:tblPr>
        <w:tblW w:w="13078"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36040" w:rsidRPr="00383F3C" w14:paraId="04F9E59F" w14:textId="77777777" w:rsidTr="00632281">
        <w:trPr>
          <w:cantSplit/>
          <w:tblHeader/>
        </w:trPr>
        <w:tc>
          <w:tcPr>
            <w:tcW w:w="4950" w:type="dxa"/>
            <w:gridSpan w:val="2"/>
            <w:shd w:val="clear" w:color="auto" w:fill="D9D9D9" w:themeFill="background1" w:themeFillShade="D9"/>
          </w:tcPr>
          <w:p w14:paraId="004DA8D6" w14:textId="77777777" w:rsidR="00536040" w:rsidRPr="006C4FA7" w:rsidRDefault="00536040" w:rsidP="00536040">
            <w:pPr>
              <w:pStyle w:val="ToolTableText"/>
              <w:ind w:left="72"/>
              <w:rPr>
                <w:rFonts w:cs="Perpetua"/>
                <w:b/>
              </w:rPr>
            </w:pPr>
            <w:r>
              <w:rPr>
                <w:rFonts w:cs="Perpetua"/>
                <w:b/>
              </w:rPr>
              <w:t>CCS Standards: Reading</w:t>
            </w:r>
            <w:r w:rsidRPr="00645AB7">
              <w:rPr>
                <w:rFonts w:cs="Tahoma"/>
                <w:b/>
                <w:bCs/>
              </w:rPr>
              <w:t>—</w:t>
            </w:r>
            <w:r>
              <w:rPr>
                <w:rFonts w:cs="Perpetua"/>
                <w:b/>
              </w:rPr>
              <w:t>Informational Text</w:t>
            </w:r>
          </w:p>
        </w:tc>
        <w:tc>
          <w:tcPr>
            <w:tcW w:w="2700" w:type="dxa"/>
            <w:shd w:val="clear" w:color="auto" w:fill="D9D9D9" w:themeFill="background1" w:themeFillShade="D9"/>
          </w:tcPr>
          <w:p w14:paraId="3E52BBC3" w14:textId="77777777" w:rsidR="00536040" w:rsidRPr="00383F3C" w:rsidRDefault="00536040" w:rsidP="00536040">
            <w:pPr>
              <w:ind w:left="115"/>
              <w:rPr>
                <w:rFonts w:cs="Tahoma"/>
                <w:b/>
                <w:bCs/>
                <w:color w:val="2D2D2C"/>
              </w:rPr>
            </w:pPr>
            <w:r w:rsidRPr="00645AB7">
              <w:rPr>
                <w:rFonts w:cs="Tahoma"/>
                <w:b/>
                <w:bCs/>
              </w:rPr>
              <w:t>I know what this is asking and I can do this.</w:t>
            </w:r>
          </w:p>
        </w:tc>
        <w:tc>
          <w:tcPr>
            <w:tcW w:w="2700" w:type="dxa"/>
            <w:shd w:val="clear" w:color="auto" w:fill="D9D9D9" w:themeFill="background1" w:themeFillShade="D9"/>
            <w:tcMar>
              <w:top w:w="100" w:type="dxa"/>
              <w:left w:w="115" w:type="dxa"/>
              <w:bottom w:w="100" w:type="dxa"/>
              <w:right w:w="115" w:type="dxa"/>
            </w:tcMar>
          </w:tcPr>
          <w:p w14:paraId="06F9ED27" w14:textId="77777777" w:rsidR="00536040" w:rsidRPr="00383F3C" w:rsidRDefault="00536040" w:rsidP="00536040">
            <w:pPr>
              <w:ind w:right="-194"/>
              <w:rPr>
                <w:rFonts w:cs="Tahoma"/>
                <w:b/>
                <w:bCs/>
                <w:color w:val="2D2D2C"/>
              </w:rPr>
            </w:pPr>
            <w:r w:rsidRPr="00645AB7">
              <w:rPr>
                <w:rFonts w:cs="Tahoma"/>
                <w:b/>
                <w:bCs/>
              </w:rPr>
              <w:t>This standard has familiar language, but I haven’t mastered it.</w:t>
            </w:r>
          </w:p>
        </w:tc>
        <w:tc>
          <w:tcPr>
            <w:tcW w:w="2728" w:type="dxa"/>
            <w:shd w:val="clear" w:color="auto" w:fill="D9D9D9" w:themeFill="background1" w:themeFillShade="D9"/>
            <w:tcMar>
              <w:left w:w="115" w:type="dxa"/>
              <w:right w:w="115" w:type="dxa"/>
            </w:tcMar>
          </w:tcPr>
          <w:p w14:paraId="3D0BB3B4" w14:textId="77777777" w:rsidR="00536040" w:rsidRPr="00383F3C" w:rsidRDefault="00536040" w:rsidP="00536040">
            <w:pPr>
              <w:rPr>
                <w:rFonts w:cs="Tahoma"/>
                <w:b/>
                <w:bCs/>
                <w:color w:val="2D2D2C"/>
              </w:rPr>
            </w:pPr>
            <w:r w:rsidRPr="00645AB7">
              <w:rPr>
                <w:rFonts w:cs="Tahoma"/>
                <w:b/>
                <w:bCs/>
              </w:rPr>
              <w:t>I am not familiar with this standard.</w:t>
            </w:r>
          </w:p>
        </w:tc>
      </w:tr>
      <w:tr w:rsidR="00536040" w:rsidRPr="00383F3C" w14:paraId="731A23CE" w14:textId="77777777" w:rsidTr="00632281">
        <w:trPr>
          <w:cantSplit/>
        </w:trPr>
        <w:tc>
          <w:tcPr>
            <w:tcW w:w="1548" w:type="dxa"/>
            <w:shd w:val="clear" w:color="auto" w:fill="FFFFFF" w:themeFill="background1"/>
            <w:tcMar>
              <w:top w:w="100" w:type="dxa"/>
              <w:left w:w="108" w:type="dxa"/>
              <w:bottom w:w="100" w:type="dxa"/>
              <w:right w:w="108" w:type="dxa"/>
            </w:tcMar>
          </w:tcPr>
          <w:p w14:paraId="01EAC774" w14:textId="77777777" w:rsidR="00536040" w:rsidRPr="00602135" w:rsidRDefault="00536040" w:rsidP="00536040">
            <w:pPr>
              <w:pStyle w:val="ToolTableText"/>
            </w:pPr>
            <w:r w:rsidRPr="00602135">
              <w:t>RI.11-12.1.a</w:t>
            </w:r>
          </w:p>
        </w:tc>
        <w:tc>
          <w:tcPr>
            <w:tcW w:w="3402" w:type="dxa"/>
            <w:shd w:val="clear" w:color="auto" w:fill="FFFFFF" w:themeFill="background1"/>
            <w:tcMar>
              <w:top w:w="100" w:type="dxa"/>
              <w:left w:w="108" w:type="dxa"/>
              <w:bottom w:w="100" w:type="dxa"/>
              <w:right w:w="108" w:type="dxa"/>
            </w:tcMar>
          </w:tcPr>
          <w:p w14:paraId="26F25395" w14:textId="77777777" w:rsidR="00536040" w:rsidRPr="00887CFF" w:rsidRDefault="00536040" w:rsidP="00536040">
            <w:pPr>
              <w:autoSpaceDE w:val="0"/>
              <w:autoSpaceDN w:val="0"/>
              <w:adjustRightInd w:val="0"/>
              <w:spacing w:before="0" w:after="0"/>
              <w:rPr>
                <w:rFonts w:cs="Perpetua"/>
              </w:rPr>
            </w:pPr>
            <w:r w:rsidRPr="00887CFF">
              <w:t xml:space="preserve">Cite strong and thorough textual evidence to support analysis of what the text says explicitly as well as inferences drawn from the text, </w:t>
            </w:r>
            <w:r w:rsidRPr="00887CFF">
              <w:rPr>
                <w:rFonts w:cs="Perpetua"/>
              </w:rPr>
              <w:t>including determining where the text leaves matters uncertain.</w:t>
            </w:r>
          </w:p>
          <w:p w14:paraId="397D3593" w14:textId="77777777" w:rsidR="00536040" w:rsidRDefault="00536040" w:rsidP="00536040">
            <w:pPr>
              <w:pStyle w:val="ToolTableText"/>
              <w:numPr>
                <w:ilvl w:val="0"/>
                <w:numId w:val="25"/>
              </w:numPr>
              <w:rPr>
                <w:rFonts w:cs="Perpetua"/>
              </w:rPr>
            </w:pPr>
            <w:r w:rsidRPr="00887CFF">
              <w:t>Develop factual, interpretive, and evaluative questions for further exploration of the topic(s).</w:t>
            </w:r>
          </w:p>
        </w:tc>
        <w:tc>
          <w:tcPr>
            <w:tcW w:w="2700" w:type="dxa"/>
            <w:shd w:val="clear" w:color="auto" w:fill="FFFFFF" w:themeFill="background1"/>
          </w:tcPr>
          <w:p w14:paraId="137D2CF6" w14:textId="77777777" w:rsidR="00536040" w:rsidRPr="00383F3C" w:rsidRDefault="00536040" w:rsidP="00536040">
            <w:pPr>
              <w:rPr>
                <w:rFonts w:cs="Tahoma"/>
                <w:b/>
                <w:bCs/>
                <w:color w:val="2D2D2C"/>
              </w:rPr>
            </w:pPr>
          </w:p>
        </w:tc>
        <w:tc>
          <w:tcPr>
            <w:tcW w:w="2700" w:type="dxa"/>
            <w:shd w:val="clear" w:color="auto" w:fill="FFFFFF" w:themeFill="background1"/>
          </w:tcPr>
          <w:p w14:paraId="443283B4" w14:textId="77777777" w:rsidR="00536040" w:rsidRPr="00383F3C" w:rsidRDefault="00536040" w:rsidP="00536040">
            <w:pPr>
              <w:ind w:right="-194"/>
              <w:rPr>
                <w:rFonts w:cs="Tahoma"/>
                <w:b/>
                <w:bCs/>
                <w:color w:val="2D2D2C"/>
              </w:rPr>
            </w:pPr>
          </w:p>
        </w:tc>
        <w:tc>
          <w:tcPr>
            <w:tcW w:w="2728" w:type="dxa"/>
            <w:shd w:val="clear" w:color="auto" w:fill="FFFFFF" w:themeFill="background1"/>
          </w:tcPr>
          <w:p w14:paraId="60F35BEB" w14:textId="77777777" w:rsidR="00536040" w:rsidRPr="00383F3C" w:rsidRDefault="00536040" w:rsidP="00536040">
            <w:pPr>
              <w:rPr>
                <w:rFonts w:cs="Tahoma"/>
                <w:b/>
                <w:bCs/>
                <w:color w:val="2D2D2C"/>
              </w:rPr>
            </w:pPr>
          </w:p>
        </w:tc>
      </w:tr>
    </w:tbl>
    <w:p w14:paraId="75E64046" w14:textId="77777777" w:rsidR="00536040" w:rsidRDefault="00536040">
      <w:r>
        <w:br w:type="page"/>
      </w:r>
    </w:p>
    <w:tbl>
      <w:tblPr>
        <w:tblW w:w="13078"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36040" w:rsidRPr="00383F3C" w14:paraId="21012CFE" w14:textId="77777777" w:rsidTr="00536040">
        <w:trPr>
          <w:cantSplit/>
          <w:trHeight w:val="1178"/>
          <w:tblHeader/>
        </w:trPr>
        <w:tc>
          <w:tcPr>
            <w:tcW w:w="4950" w:type="dxa"/>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Mar>
              <w:top w:w="100" w:type="dxa"/>
              <w:left w:w="108" w:type="dxa"/>
              <w:bottom w:w="100" w:type="dxa"/>
              <w:right w:w="108" w:type="dxa"/>
            </w:tcMar>
          </w:tcPr>
          <w:p w14:paraId="68138A46" w14:textId="70C94EF0" w:rsidR="00536040" w:rsidRPr="00540BAC" w:rsidRDefault="00536040" w:rsidP="00536040">
            <w:pPr>
              <w:tabs>
                <w:tab w:val="left" w:pos="2067"/>
              </w:tabs>
              <w:spacing w:after="60"/>
              <w:ind w:left="72" w:hanging="72"/>
              <w:rPr>
                <w:rFonts w:cs="Tahoma"/>
                <w:b/>
                <w:bCs/>
              </w:rPr>
            </w:pPr>
            <w:r w:rsidRPr="00540BAC">
              <w:rPr>
                <w:rFonts w:cs="Tahoma"/>
                <w:b/>
                <w:bCs/>
              </w:rPr>
              <w:lastRenderedPageBreak/>
              <w:t xml:space="preserve">CCS Standards: </w:t>
            </w:r>
            <w:r>
              <w:rPr>
                <w:rFonts w:cs="Tahoma"/>
                <w:b/>
                <w:bCs/>
              </w:rPr>
              <w:t>Writing</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0AC9AE9" w14:textId="77777777" w:rsidR="00536040" w:rsidRPr="00540BAC" w:rsidRDefault="00536040" w:rsidP="00536040">
            <w:pPr>
              <w:spacing w:after="60"/>
              <w:ind w:left="116"/>
              <w:rPr>
                <w:rFonts w:cs="Tahoma"/>
                <w:b/>
                <w:bCs/>
              </w:rPr>
            </w:pPr>
            <w:r w:rsidRPr="00645AB7">
              <w:rPr>
                <w:rFonts w:cs="Tahoma"/>
                <w:b/>
                <w:bCs/>
              </w:rPr>
              <w:t>I know what this is asking and I can do this.</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8BFC3AD" w14:textId="77777777" w:rsidR="00536040" w:rsidRPr="00540BAC" w:rsidRDefault="00536040" w:rsidP="00536040">
            <w:pPr>
              <w:spacing w:after="60"/>
              <w:ind w:left="104" w:right="-194"/>
              <w:rPr>
                <w:rFonts w:cs="Tahoma"/>
                <w:b/>
                <w:bCs/>
              </w:rPr>
            </w:pPr>
            <w:r w:rsidRPr="00645AB7">
              <w:rPr>
                <w:rFonts w:cs="Tahoma"/>
                <w:b/>
                <w:bCs/>
              </w:rPr>
              <w:t>This standard has familiar language, but I haven’t mastered it.</w:t>
            </w:r>
          </w:p>
        </w:tc>
        <w:tc>
          <w:tcPr>
            <w:tcW w:w="2728"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3FC26DF5" w14:textId="77777777" w:rsidR="00536040" w:rsidRPr="00540BAC" w:rsidRDefault="00536040" w:rsidP="00536040">
            <w:pPr>
              <w:spacing w:after="60"/>
              <w:ind w:left="92"/>
              <w:rPr>
                <w:rFonts w:cs="Tahoma"/>
                <w:b/>
                <w:bCs/>
              </w:rPr>
            </w:pPr>
            <w:r w:rsidRPr="00645AB7">
              <w:rPr>
                <w:rFonts w:cs="Tahoma"/>
                <w:b/>
                <w:bCs/>
              </w:rPr>
              <w:t>I am not familiar with this standard.</w:t>
            </w:r>
          </w:p>
        </w:tc>
      </w:tr>
      <w:tr w:rsidR="00536040" w:rsidRPr="00383F3C" w14:paraId="658F24D3" w14:textId="77777777" w:rsidTr="00536040">
        <w:trPr>
          <w:cantSplit/>
        </w:trPr>
        <w:tc>
          <w:tcPr>
            <w:tcW w:w="1548" w:type="dxa"/>
            <w:shd w:val="clear" w:color="auto" w:fill="FFFFFF"/>
            <w:tcMar>
              <w:top w:w="100" w:type="dxa"/>
              <w:left w:w="108" w:type="dxa"/>
              <w:bottom w:w="100" w:type="dxa"/>
              <w:right w:w="108" w:type="dxa"/>
            </w:tcMar>
          </w:tcPr>
          <w:p w14:paraId="4527CFB5" w14:textId="77777777" w:rsidR="00536040" w:rsidRPr="00602135" w:rsidRDefault="00536040" w:rsidP="00536040">
            <w:pPr>
              <w:pStyle w:val="ToolTableText"/>
            </w:pPr>
            <w:r w:rsidRPr="00602135">
              <w:t>W.11-12.1</w:t>
            </w:r>
          </w:p>
        </w:tc>
        <w:tc>
          <w:tcPr>
            <w:tcW w:w="3402" w:type="dxa"/>
            <w:shd w:val="clear" w:color="auto" w:fill="FFFFFF"/>
            <w:tcMar>
              <w:top w:w="100" w:type="dxa"/>
              <w:left w:w="108" w:type="dxa"/>
              <w:bottom w:w="100" w:type="dxa"/>
              <w:right w:w="108" w:type="dxa"/>
            </w:tcMar>
          </w:tcPr>
          <w:p w14:paraId="23583EE1" w14:textId="77777777" w:rsidR="00536040" w:rsidRPr="00696E6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tc>
        <w:tc>
          <w:tcPr>
            <w:tcW w:w="2700" w:type="dxa"/>
            <w:shd w:val="clear" w:color="auto" w:fill="FFFFFF"/>
          </w:tcPr>
          <w:p w14:paraId="0B70F557" w14:textId="77777777" w:rsidR="00536040" w:rsidRPr="00383F3C" w:rsidRDefault="00536040" w:rsidP="00536040">
            <w:pPr>
              <w:pStyle w:val="ToolTableText"/>
            </w:pPr>
          </w:p>
        </w:tc>
        <w:tc>
          <w:tcPr>
            <w:tcW w:w="2700" w:type="dxa"/>
            <w:shd w:val="clear" w:color="auto" w:fill="FFFFFF"/>
          </w:tcPr>
          <w:p w14:paraId="0780B58B" w14:textId="77777777" w:rsidR="00536040" w:rsidRPr="00383F3C" w:rsidRDefault="00536040" w:rsidP="00536040">
            <w:pPr>
              <w:pStyle w:val="ToolTableText"/>
            </w:pPr>
          </w:p>
        </w:tc>
        <w:tc>
          <w:tcPr>
            <w:tcW w:w="2728" w:type="dxa"/>
            <w:shd w:val="clear" w:color="auto" w:fill="FFFFFF"/>
          </w:tcPr>
          <w:p w14:paraId="6FC14C0B" w14:textId="77777777" w:rsidR="00536040" w:rsidRPr="00383F3C" w:rsidRDefault="00536040" w:rsidP="00536040">
            <w:pPr>
              <w:pStyle w:val="ToolTableText"/>
            </w:pPr>
          </w:p>
        </w:tc>
      </w:tr>
      <w:tr w:rsidR="00536040" w:rsidRPr="00383F3C" w14:paraId="0C99A4C3" w14:textId="77777777" w:rsidTr="00536040">
        <w:trPr>
          <w:cantSplit/>
        </w:trPr>
        <w:tc>
          <w:tcPr>
            <w:tcW w:w="1548" w:type="dxa"/>
            <w:shd w:val="clear" w:color="auto" w:fill="FFFFFF"/>
            <w:tcMar>
              <w:top w:w="100" w:type="dxa"/>
              <w:left w:w="108" w:type="dxa"/>
              <w:bottom w:w="100" w:type="dxa"/>
              <w:right w:w="108" w:type="dxa"/>
            </w:tcMar>
          </w:tcPr>
          <w:p w14:paraId="1697535A" w14:textId="05B9F57C" w:rsidR="00536040" w:rsidRPr="00602135" w:rsidRDefault="00536040" w:rsidP="00536040">
            <w:pPr>
              <w:pStyle w:val="ToolTableText"/>
            </w:pPr>
            <w:r w:rsidRPr="00602135">
              <w:t>W.11-12.1.a</w:t>
            </w:r>
          </w:p>
        </w:tc>
        <w:tc>
          <w:tcPr>
            <w:tcW w:w="3402" w:type="dxa"/>
            <w:shd w:val="clear" w:color="auto" w:fill="FFFFFF"/>
            <w:tcMar>
              <w:top w:w="100" w:type="dxa"/>
              <w:left w:w="108" w:type="dxa"/>
              <w:bottom w:w="100" w:type="dxa"/>
              <w:right w:w="108" w:type="dxa"/>
            </w:tcMar>
          </w:tcPr>
          <w:p w14:paraId="4A0B42DB" w14:textId="77777777" w:rsidR="0053604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p w14:paraId="46656FF9" w14:textId="2D1096DD" w:rsidR="00536040" w:rsidRPr="00887CFF" w:rsidRDefault="00536040" w:rsidP="00536040">
            <w:pPr>
              <w:pStyle w:val="ToolTableText"/>
            </w:pPr>
            <w:r w:rsidRPr="00BC6543">
              <w:t>Introduce precise, knowledgeable claim(s), establish the significance of the claim(s), distinguish the claim(s) from alternate or opposing claims, and create an organization that logically sequences claim(s), counterclaims, reasons, and evidence.</w:t>
            </w:r>
          </w:p>
        </w:tc>
        <w:tc>
          <w:tcPr>
            <w:tcW w:w="2700" w:type="dxa"/>
            <w:shd w:val="clear" w:color="auto" w:fill="FFFFFF"/>
          </w:tcPr>
          <w:p w14:paraId="3C8579DA" w14:textId="77777777" w:rsidR="00536040" w:rsidRPr="00383F3C" w:rsidRDefault="00536040" w:rsidP="00536040">
            <w:pPr>
              <w:pStyle w:val="ToolTableText"/>
            </w:pPr>
          </w:p>
        </w:tc>
        <w:tc>
          <w:tcPr>
            <w:tcW w:w="2700" w:type="dxa"/>
            <w:shd w:val="clear" w:color="auto" w:fill="FFFFFF"/>
          </w:tcPr>
          <w:p w14:paraId="67A0643A" w14:textId="77777777" w:rsidR="00536040" w:rsidRPr="00383F3C" w:rsidRDefault="00536040" w:rsidP="00536040">
            <w:pPr>
              <w:pStyle w:val="ToolTableText"/>
            </w:pPr>
          </w:p>
        </w:tc>
        <w:tc>
          <w:tcPr>
            <w:tcW w:w="2728" w:type="dxa"/>
            <w:shd w:val="clear" w:color="auto" w:fill="FFFFFF"/>
          </w:tcPr>
          <w:p w14:paraId="0F320294" w14:textId="77777777" w:rsidR="00536040" w:rsidRPr="00383F3C" w:rsidRDefault="00536040" w:rsidP="00536040">
            <w:pPr>
              <w:pStyle w:val="ToolTableText"/>
            </w:pPr>
          </w:p>
        </w:tc>
      </w:tr>
      <w:tr w:rsidR="00536040" w:rsidRPr="00383F3C" w14:paraId="30225111" w14:textId="77777777" w:rsidTr="00536040">
        <w:trPr>
          <w:cantSplit/>
        </w:trPr>
        <w:tc>
          <w:tcPr>
            <w:tcW w:w="1548" w:type="dxa"/>
            <w:shd w:val="clear" w:color="auto" w:fill="FFFFFF"/>
            <w:tcMar>
              <w:top w:w="100" w:type="dxa"/>
              <w:left w:w="108" w:type="dxa"/>
              <w:bottom w:w="100" w:type="dxa"/>
              <w:right w:w="108" w:type="dxa"/>
            </w:tcMar>
          </w:tcPr>
          <w:p w14:paraId="5A893AAC" w14:textId="77777777" w:rsidR="00536040" w:rsidRPr="00602135" w:rsidRDefault="00536040" w:rsidP="00536040">
            <w:pPr>
              <w:pStyle w:val="ToolTableText"/>
            </w:pPr>
            <w:r w:rsidRPr="00602135">
              <w:lastRenderedPageBreak/>
              <w:t>W.11-12.1.b</w:t>
            </w:r>
          </w:p>
        </w:tc>
        <w:tc>
          <w:tcPr>
            <w:tcW w:w="3402" w:type="dxa"/>
            <w:shd w:val="clear" w:color="auto" w:fill="FFFFFF"/>
            <w:tcMar>
              <w:top w:w="100" w:type="dxa"/>
              <w:left w:w="108" w:type="dxa"/>
              <w:bottom w:w="100" w:type="dxa"/>
              <w:right w:w="108" w:type="dxa"/>
            </w:tcMar>
          </w:tcPr>
          <w:p w14:paraId="5D9CBB03" w14:textId="77777777" w:rsidR="0053604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p w14:paraId="60BF5CD2" w14:textId="77777777" w:rsidR="00536040" w:rsidRPr="00696E60" w:rsidRDefault="00536040" w:rsidP="00536040">
            <w:pPr>
              <w:pStyle w:val="ToolTableText"/>
              <w:numPr>
                <w:ilvl w:val="0"/>
                <w:numId w:val="27"/>
              </w:numPr>
            </w:pPr>
            <w:r>
              <w:t xml:space="preserve"> </w:t>
            </w:r>
            <w:r w:rsidRPr="00887CFF">
              <w:t>Develop claim(s) and counterclaims fairly and thoroughly, supplying the most relevant evidence for each while pointing out the strengths and limitations of both in a manner that anticipates the audience’s knowledge level, concerns, values and possible biases.</w:t>
            </w:r>
          </w:p>
        </w:tc>
        <w:tc>
          <w:tcPr>
            <w:tcW w:w="2700" w:type="dxa"/>
            <w:shd w:val="clear" w:color="auto" w:fill="FFFFFF"/>
          </w:tcPr>
          <w:p w14:paraId="2858D25C" w14:textId="77777777" w:rsidR="00536040" w:rsidRPr="00383F3C" w:rsidRDefault="00536040" w:rsidP="00536040">
            <w:pPr>
              <w:pStyle w:val="ToolTableText"/>
            </w:pPr>
          </w:p>
        </w:tc>
        <w:tc>
          <w:tcPr>
            <w:tcW w:w="2700" w:type="dxa"/>
            <w:shd w:val="clear" w:color="auto" w:fill="FFFFFF"/>
          </w:tcPr>
          <w:p w14:paraId="728AE6BD" w14:textId="77777777" w:rsidR="00536040" w:rsidRPr="00383F3C" w:rsidRDefault="00536040" w:rsidP="00536040">
            <w:pPr>
              <w:pStyle w:val="ToolTableText"/>
            </w:pPr>
          </w:p>
        </w:tc>
        <w:tc>
          <w:tcPr>
            <w:tcW w:w="2728" w:type="dxa"/>
            <w:shd w:val="clear" w:color="auto" w:fill="FFFFFF"/>
          </w:tcPr>
          <w:p w14:paraId="55C2E043" w14:textId="77777777" w:rsidR="00536040" w:rsidRPr="00383F3C" w:rsidRDefault="00536040" w:rsidP="00536040">
            <w:pPr>
              <w:pStyle w:val="ToolTableText"/>
            </w:pPr>
          </w:p>
        </w:tc>
      </w:tr>
      <w:tr w:rsidR="00536040" w:rsidRPr="00383F3C" w14:paraId="435225F4" w14:textId="77777777" w:rsidTr="00536040">
        <w:trPr>
          <w:cantSplit/>
        </w:trPr>
        <w:tc>
          <w:tcPr>
            <w:tcW w:w="1548" w:type="dxa"/>
            <w:shd w:val="clear" w:color="auto" w:fill="FFFFFF"/>
            <w:tcMar>
              <w:top w:w="100" w:type="dxa"/>
              <w:left w:w="108" w:type="dxa"/>
              <w:bottom w:w="100" w:type="dxa"/>
              <w:right w:w="108" w:type="dxa"/>
            </w:tcMar>
          </w:tcPr>
          <w:p w14:paraId="2F8CD424" w14:textId="77777777" w:rsidR="00536040" w:rsidRPr="00602135" w:rsidRDefault="00536040" w:rsidP="00536040">
            <w:pPr>
              <w:pStyle w:val="ToolTableText"/>
            </w:pPr>
            <w:r w:rsidRPr="00602135">
              <w:lastRenderedPageBreak/>
              <w:t>W.11-12.1.c</w:t>
            </w:r>
          </w:p>
        </w:tc>
        <w:tc>
          <w:tcPr>
            <w:tcW w:w="3402" w:type="dxa"/>
            <w:shd w:val="clear" w:color="auto" w:fill="FFFFFF"/>
            <w:tcMar>
              <w:top w:w="100" w:type="dxa"/>
              <w:left w:w="108" w:type="dxa"/>
              <w:bottom w:w="100" w:type="dxa"/>
              <w:right w:w="108" w:type="dxa"/>
            </w:tcMar>
          </w:tcPr>
          <w:p w14:paraId="48B3302F" w14:textId="77777777" w:rsidR="0053604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p w14:paraId="1D4C6360" w14:textId="77777777" w:rsidR="00536040" w:rsidRPr="00696E60" w:rsidRDefault="00536040" w:rsidP="00536040">
            <w:pPr>
              <w:pStyle w:val="ToolTableText"/>
              <w:numPr>
                <w:ilvl w:val="0"/>
                <w:numId w:val="28"/>
              </w:numPr>
            </w:pPr>
            <w:r w:rsidRPr="00887CFF">
              <w:t>Use words, phrases, and clauses as well as varied syntax to link the major sections of the text, create cohesion and clarify the relationships between claim(s) and reasons, between reasons and evidence, and between claim(s) and counterclaims.</w:t>
            </w:r>
          </w:p>
        </w:tc>
        <w:tc>
          <w:tcPr>
            <w:tcW w:w="2700" w:type="dxa"/>
            <w:shd w:val="clear" w:color="auto" w:fill="FFFFFF"/>
          </w:tcPr>
          <w:p w14:paraId="168D2DB9" w14:textId="77777777" w:rsidR="00536040" w:rsidRPr="00383F3C" w:rsidRDefault="00536040" w:rsidP="00536040">
            <w:pPr>
              <w:pStyle w:val="ToolTableText"/>
            </w:pPr>
          </w:p>
        </w:tc>
        <w:tc>
          <w:tcPr>
            <w:tcW w:w="2700" w:type="dxa"/>
            <w:shd w:val="clear" w:color="auto" w:fill="FFFFFF"/>
          </w:tcPr>
          <w:p w14:paraId="411FCF80" w14:textId="77777777" w:rsidR="00536040" w:rsidRPr="00383F3C" w:rsidRDefault="00536040" w:rsidP="00536040">
            <w:pPr>
              <w:pStyle w:val="ToolTableText"/>
            </w:pPr>
          </w:p>
        </w:tc>
        <w:tc>
          <w:tcPr>
            <w:tcW w:w="2728" w:type="dxa"/>
            <w:shd w:val="clear" w:color="auto" w:fill="FFFFFF"/>
          </w:tcPr>
          <w:p w14:paraId="7C682B4D" w14:textId="77777777" w:rsidR="00536040" w:rsidRPr="00383F3C" w:rsidRDefault="00536040" w:rsidP="00536040">
            <w:pPr>
              <w:pStyle w:val="ToolTableText"/>
            </w:pPr>
          </w:p>
        </w:tc>
      </w:tr>
      <w:tr w:rsidR="00536040" w:rsidRPr="00383F3C" w14:paraId="6D8CB59B" w14:textId="77777777" w:rsidTr="00536040">
        <w:trPr>
          <w:cantSplit/>
        </w:trPr>
        <w:tc>
          <w:tcPr>
            <w:tcW w:w="1548" w:type="dxa"/>
            <w:shd w:val="clear" w:color="auto" w:fill="FFFFFF"/>
            <w:tcMar>
              <w:top w:w="100" w:type="dxa"/>
              <w:left w:w="108" w:type="dxa"/>
              <w:bottom w:w="100" w:type="dxa"/>
              <w:right w:w="108" w:type="dxa"/>
            </w:tcMar>
          </w:tcPr>
          <w:p w14:paraId="4186DA95" w14:textId="77777777" w:rsidR="00536040" w:rsidRPr="00602135" w:rsidRDefault="00536040" w:rsidP="00536040">
            <w:pPr>
              <w:pStyle w:val="ToolTableText"/>
            </w:pPr>
            <w:r w:rsidRPr="00602135">
              <w:lastRenderedPageBreak/>
              <w:t>W.11-12.1.d</w:t>
            </w:r>
          </w:p>
        </w:tc>
        <w:tc>
          <w:tcPr>
            <w:tcW w:w="3402" w:type="dxa"/>
            <w:shd w:val="clear" w:color="auto" w:fill="FFFFFF"/>
            <w:tcMar>
              <w:top w:w="100" w:type="dxa"/>
              <w:left w:w="108" w:type="dxa"/>
              <w:bottom w:w="100" w:type="dxa"/>
              <w:right w:w="108" w:type="dxa"/>
            </w:tcMar>
          </w:tcPr>
          <w:p w14:paraId="6D7C50E8" w14:textId="77777777" w:rsidR="0053604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p w14:paraId="5538B8C2" w14:textId="77777777" w:rsidR="00536040" w:rsidRPr="00696E60" w:rsidRDefault="00536040" w:rsidP="00536040">
            <w:pPr>
              <w:pStyle w:val="ToolTableText"/>
              <w:numPr>
                <w:ilvl w:val="0"/>
                <w:numId w:val="29"/>
              </w:numPr>
            </w:pPr>
            <w:r w:rsidRPr="00887CFF">
              <w:t>Establish and maintain a formal style and objective tone while attending to the norms and conventions of the discipline in which they are writing.</w:t>
            </w:r>
          </w:p>
        </w:tc>
        <w:tc>
          <w:tcPr>
            <w:tcW w:w="2700" w:type="dxa"/>
            <w:shd w:val="clear" w:color="auto" w:fill="FFFFFF"/>
          </w:tcPr>
          <w:p w14:paraId="7C14DAA4" w14:textId="77777777" w:rsidR="00536040" w:rsidRPr="00383F3C" w:rsidRDefault="00536040" w:rsidP="00536040">
            <w:pPr>
              <w:pStyle w:val="ToolTableText"/>
            </w:pPr>
          </w:p>
        </w:tc>
        <w:tc>
          <w:tcPr>
            <w:tcW w:w="2700" w:type="dxa"/>
            <w:shd w:val="clear" w:color="auto" w:fill="FFFFFF"/>
          </w:tcPr>
          <w:p w14:paraId="4714C28F" w14:textId="77777777" w:rsidR="00536040" w:rsidRPr="00383F3C" w:rsidRDefault="00536040" w:rsidP="00536040">
            <w:pPr>
              <w:pStyle w:val="ToolTableText"/>
            </w:pPr>
          </w:p>
        </w:tc>
        <w:tc>
          <w:tcPr>
            <w:tcW w:w="2728" w:type="dxa"/>
            <w:shd w:val="clear" w:color="auto" w:fill="FFFFFF"/>
          </w:tcPr>
          <w:p w14:paraId="0278C0E5" w14:textId="77777777" w:rsidR="00536040" w:rsidRPr="00383F3C" w:rsidRDefault="00536040" w:rsidP="00536040">
            <w:pPr>
              <w:pStyle w:val="ToolTableText"/>
            </w:pPr>
          </w:p>
        </w:tc>
      </w:tr>
      <w:tr w:rsidR="00536040" w:rsidRPr="00383F3C" w14:paraId="5146F50F" w14:textId="77777777" w:rsidTr="00536040">
        <w:trPr>
          <w:cantSplit/>
        </w:trPr>
        <w:tc>
          <w:tcPr>
            <w:tcW w:w="1548" w:type="dxa"/>
            <w:shd w:val="clear" w:color="auto" w:fill="FFFFFF"/>
            <w:tcMar>
              <w:top w:w="100" w:type="dxa"/>
              <w:left w:w="108" w:type="dxa"/>
              <w:bottom w:w="100" w:type="dxa"/>
              <w:right w:w="108" w:type="dxa"/>
            </w:tcMar>
          </w:tcPr>
          <w:p w14:paraId="4A1FDFCA" w14:textId="77777777" w:rsidR="00536040" w:rsidRPr="00602135" w:rsidRDefault="00536040" w:rsidP="00536040">
            <w:pPr>
              <w:pStyle w:val="ToolTableText"/>
            </w:pPr>
            <w:r w:rsidRPr="00602135">
              <w:t>W.11-12.1.e</w:t>
            </w:r>
          </w:p>
        </w:tc>
        <w:tc>
          <w:tcPr>
            <w:tcW w:w="3402" w:type="dxa"/>
            <w:shd w:val="clear" w:color="auto" w:fill="FFFFFF"/>
            <w:tcMar>
              <w:top w:w="100" w:type="dxa"/>
              <w:left w:w="108" w:type="dxa"/>
              <w:bottom w:w="100" w:type="dxa"/>
              <w:right w:w="108" w:type="dxa"/>
            </w:tcMar>
          </w:tcPr>
          <w:p w14:paraId="43D9291E" w14:textId="77777777" w:rsidR="0053604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p w14:paraId="7D0B2A7A" w14:textId="77777777" w:rsidR="00536040" w:rsidRPr="00696E60" w:rsidRDefault="00536040" w:rsidP="00536040">
            <w:pPr>
              <w:pStyle w:val="ToolTableText"/>
              <w:numPr>
                <w:ilvl w:val="0"/>
                <w:numId w:val="30"/>
              </w:numPr>
            </w:pPr>
            <w:r w:rsidRPr="00887CFF">
              <w:t>Provide a concluding statement or section that follows from and supports the argument presented.</w:t>
            </w:r>
          </w:p>
        </w:tc>
        <w:tc>
          <w:tcPr>
            <w:tcW w:w="2700" w:type="dxa"/>
            <w:shd w:val="clear" w:color="auto" w:fill="FFFFFF"/>
          </w:tcPr>
          <w:p w14:paraId="30698E92" w14:textId="77777777" w:rsidR="00536040" w:rsidRPr="00383F3C" w:rsidRDefault="00536040" w:rsidP="00536040">
            <w:pPr>
              <w:pStyle w:val="ToolTableText"/>
            </w:pPr>
          </w:p>
        </w:tc>
        <w:tc>
          <w:tcPr>
            <w:tcW w:w="2700" w:type="dxa"/>
            <w:shd w:val="clear" w:color="auto" w:fill="FFFFFF"/>
          </w:tcPr>
          <w:p w14:paraId="5C8F4171" w14:textId="77777777" w:rsidR="00536040" w:rsidRPr="00383F3C" w:rsidRDefault="00536040" w:rsidP="00536040">
            <w:pPr>
              <w:pStyle w:val="ToolTableText"/>
            </w:pPr>
          </w:p>
        </w:tc>
        <w:tc>
          <w:tcPr>
            <w:tcW w:w="2728" w:type="dxa"/>
            <w:shd w:val="clear" w:color="auto" w:fill="FFFFFF"/>
          </w:tcPr>
          <w:p w14:paraId="7ECE740C" w14:textId="77777777" w:rsidR="00536040" w:rsidRPr="00383F3C" w:rsidRDefault="00536040" w:rsidP="00536040">
            <w:pPr>
              <w:pStyle w:val="ToolTableText"/>
            </w:pPr>
          </w:p>
        </w:tc>
      </w:tr>
      <w:tr w:rsidR="00536040" w:rsidRPr="00383F3C" w14:paraId="1B48D28F" w14:textId="77777777" w:rsidTr="00536040">
        <w:trPr>
          <w:cantSplit/>
        </w:trPr>
        <w:tc>
          <w:tcPr>
            <w:tcW w:w="1548" w:type="dxa"/>
            <w:shd w:val="clear" w:color="auto" w:fill="FFFFFF"/>
            <w:tcMar>
              <w:top w:w="100" w:type="dxa"/>
              <w:left w:w="108" w:type="dxa"/>
              <w:bottom w:w="100" w:type="dxa"/>
              <w:right w:w="108" w:type="dxa"/>
            </w:tcMar>
          </w:tcPr>
          <w:p w14:paraId="2A340E4D" w14:textId="77777777" w:rsidR="00536040" w:rsidRDefault="00536040" w:rsidP="00536040">
            <w:pPr>
              <w:pStyle w:val="ToolTableText"/>
              <w:rPr>
                <w:b/>
              </w:rPr>
            </w:pPr>
            <w:r w:rsidRPr="00887CFF">
              <w:lastRenderedPageBreak/>
              <w:t>W.11-12.7</w:t>
            </w:r>
          </w:p>
        </w:tc>
        <w:tc>
          <w:tcPr>
            <w:tcW w:w="3402" w:type="dxa"/>
            <w:shd w:val="clear" w:color="auto" w:fill="FFFFFF"/>
            <w:tcMar>
              <w:top w:w="100" w:type="dxa"/>
              <w:left w:w="108" w:type="dxa"/>
              <w:bottom w:w="100" w:type="dxa"/>
              <w:right w:w="108" w:type="dxa"/>
            </w:tcMar>
          </w:tcPr>
          <w:p w14:paraId="2A156F40" w14:textId="77777777" w:rsidR="00536040" w:rsidRPr="00887CFF" w:rsidRDefault="00536040" w:rsidP="00536040">
            <w:pPr>
              <w:pStyle w:val="ToolTableText"/>
            </w:pPr>
            <w:r w:rsidRPr="00887CFF">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2700" w:type="dxa"/>
            <w:shd w:val="clear" w:color="auto" w:fill="FFFFFF"/>
          </w:tcPr>
          <w:p w14:paraId="1359A479" w14:textId="77777777" w:rsidR="00536040" w:rsidRPr="00383F3C" w:rsidRDefault="00536040" w:rsidP="00536040">
            <w:pPr>
              <w:pStyle w:val="ToolTableText"/>
            </w:pPr>
          </w:p>
        </w:tc>
        <w:tc>
          <w:tcPr>
            <w:tcW w:w="2700" w:type="dxa"/>
            <w:shd w:val="clear" w:color="auto" w:fill="FFFFFF"/>
          </w:tcPr>
          <w:p w14:paraId="71076E9A" w14:textId="77777777" w:rsidR="00536040" w:rsidRPr="00383F3C" w:rsidRDefault="00536040" w:rsidP="00536040">
            <w:pPr>
              <w:pStyle w:val="ToolTableText"/>
            </w:pPr>
          </w:p>
        </w:tc>
        <w:tc>
          <w:tcPr>
            <w:tcW w:w="2728" w:type="dxa"/>
            <w:shd w:val="clear" w:color="auto" w:fill="FFFFFF"/>
          </w:tcPr>
          <w:p w14:paraId="452AF013" w14:textId="77777777" w:rsidR="00536040" w:rsidRPr="00383F3C" w:rsidRDefault="00536040" w:rsidP="00536040">
            <w:pPr>
              <w:pStyle w:val="ToolTableText"/>
            </w:pPr>
          </w:p>
        </w:tc>
      </w:tr>
      <w:tr w:rsidR="00536040" w:rsidRPr="00383F3C" w14:paraId="12369337" w14:textId="77777777" w:rsidTr="00536040">
        <w:trPr>
          <w:cantSplit/>
        </w:trPr>
        <w:tc>
          <w:tcPr>
            <w:tcW w:w="1548" w:type="dxa"/>
            <w:shd w:val="clear" w:color="auto" w:fill="FFFFFF"/>
            <w:tcMar>
              <w:top w:w="100" w:type="dxa"/>
              <w:left w:w="108" w:type="dxa"/>
              <w:bottom w:w="100" w:type="dxa"/>
              <w:right w:w="108" w:type="dxa"/>
            </w:tcMar>
          </w:tcPr>
          <w:p w14:paraId="0C66C173" w14:textId="5F5BFAB8" w:rsidR="00536040" w:rsidRPr="00887CFF" w:rsidRDefault="00536040" w:rsidP="00536040">
            <w:pPr>
              <w:pStyle w:val="ToolTableText"/>
            </w:pPr>
            <w:r w:rsidRPr="00887CFF">
              <w:lastRenderedPageBreak/>
              <w:t>W.11-12.8</w:t>
            </w:r>
          </w:p>
        </w:tc>
        <w:tc>
          <w:tcPr>
            <w:tcW w:w="3402" w:type="dxa"/>
            <w:shd w:val="clear" w:color="auto" w:fill="FFFFFF"/>
            <w:tcMar>
              <w:top w:w="100" w:type="dxa"/>
              <w:left w:w="108" w:type="dxa"/>
              <w:bottom w:w="100" w:type="dxa"/>
              <w:right w:w="108" w:type="dxa"/>
            </w:tcMar>
          </w:tcPr>
          <w:p w14:paraId="5D18050F" w14:textId="2D38E7F4" w:rsidR="00536040" w:rsidRPr="00887CFF" w:rsidRDefault="00536040" w:rsidP="00536040">
            <w:pPr>
              <w:pStyle w:val="ToolTableText"/>
            </w:pPr>
            <w:r w:rsidRPr="00887CFF">
              <w:rPr>
                <w:rFonts w:eastAsia="Times New Roman"/>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r>
              <w:rPr>
                <w:rFonts w:eastAsia="Times New Roman"/>
              </w:rPr>
              <w:t>.</w:t>
            </w:r>
          </w:p>
        </w:tc>
        <w:tc>
          <w:tcPr>
            <w:tcW w:w="2700" w:type="dxa"/>
            <w:shd w:val="clear" w:color="auto" w:fill="FFFFFF"/>
          </w:tcPr>
          <w:p w14:paraId="7D86F7B2" w14:textId="77777777" w:rsidR="00536040" w:rsidRPr="00383F3C" w:rsidRDefault="00536040" w:rsidP="00536040">
            <w:pPr>
              <w:pStyle w:val="ToolTableText"/>
            </w:pPr>
          </w:p>
        </w:tc>
        <w:tc>
          <w:tcPr>
            <w:tcW w:w="2700" w:type="dxa"/>
            <w:shd w:val="clear" w:color="auto" w:fill="FFFFFF"/>
          </w:tcPr>
          <w:p w14:paraId="3DD97368" w14:textId="77777777" w:rsidR="00536040" w:rsidRPr="00383F3C" w:rsidRDefault="00536040" w:rsidP="00536040">
            <w:pPr>
              <w:pStyle w:val="ToolTableText"/>
            </w:pPr>
          </w:p>
        </w:tc>
        <w:tc>
          <w:tcPr>
            <w:tcW w:w="2728" w:type="dxa"/>
            <w:shd w:val="clear" w:color="auto" w:fill="FFFFFF"/>
          </w:tcPr>
          <w:p w14:paraId="5A2D2D7A" w14:textId="77777777" w:rsidR="00536040" w:rsidRPr="00383F3C" w:rsidRDefault="00536040" w:rsidP="00536040">
            <w:pPr>
              <w:pStyle w:val="ToolTableText"/>
            </w:pPr>
          </w:p>
        </w:tc>
      </w:tr>
    </w:tbl>
    <w:p w14:paraId="0CA981AE" w14:textId="77777777" w:rsidR="00536040" w:rsidRDefault="00536040" w:rsidP="00536040">
      <w:pPr>
        <w:pStyle w:val="ToolTableText"/>
        <w:rPr>
          <w:b/>
        </w:rPr>
      </w:pPr>
    </w:p>
    <w:p w14:paraId="5DE0A974" w14:textId="77777777" w:rsidR="00536040" w:rsidRDefault="00536040" w:rsidP="00536040">
      <w:pPr>
        <w:pStyle w:val="ToolTableText"/>
        <w:rPr>
          <w:b/>
        </w:rPr>
      </w:pPr>
    </w:p>
    <w:p w14:paraId="0ED1BEA8" w14:textId="77777777" w:rsidR="00536040" w:rsidRDefault="00536040" w:rsidP="00536040">
      <w:pPr>
        <w:pStyle w:val="ToolTableText"/>
        <w:rPr>
          <w:b/>
        </w:rPr>
      </w:pPr>
    </w:p>
    <w:p w14:paraId="53760DA6" w14:textId="48A70EB7" w:rsidR="00536040" w:rsidRDefault="00536040" w:rsidP="00536040">
      <w:pPr>
        <w:spacing w:before="0" w:after="160" w:line="259" w:lineRule="auto"/>
      </w:pPr>
    </w:p>
    <w:tbl>
      <w:tblPr>
        <w:tblW w:w="1307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36040" w:rsidRPr="00383F3C" w14:paraId="7CD89E4D" w14:textId="77777777" w:rsidTr="00536040">
        <w:trPr>
          <w:cantSplit/>
          <w:tblHeader/>
        </w:trPr>
        <w:tc>
          <w:tcPr>
            <w:tcW w:w="4950" w:type="dxa"/>
            <w:gridSpan w:val="2"/>
            <w:shd w:val="clear" w:color="auto" w:fill="D9D9D9" w:themeFill="background1" w:themeFillShade="D9"/>
            <w:tcMar>
              <w:top w:w="100" w:type="dxa"/>
              <w:left w:w="108" w:type="dxa"/>
              <w:bottom w:w="100" w:type="dxa"/>
              <w:right w:w="108" w:type="dxa"/>
            </w:tcMar>
          </w:tcPr>
          <w:p w14:paraId="72F688CC" w14:textId="77777777" w:rsidR="00536040" w:rsidRPr="00645AB7" w:rsidRDefault="00536040" w:rsidP="00536040">
            <w:pPr>
              <w:spacing w:after="60"/>
              <w:rPr>
                <w:rFonts w:cs="Tahoma"/>
                <w:b/>
              </w:rPr>
            </w:pPr>
            <w:r w:rsidRPr="00645AB7">
              <w:rPr>
                <w:rFonts w:cs="Tahoma"/>
                <w:b/>
              </w:rPr>
              <w:lastRenderedPageBreak/>
              <w:t>CCS Standards: Speaking &amp; Listening</w:t>
            </w:r>
          </w:p>
        </w:tc>
        <w:tc>
          <w:tcPr>
            <w:tcW w:w="2700" w:type="dxa"/>
            <w:shd w:val="clear" w:color="auto" w:fill="D9D9D9" w:themeFill="background1" w:themeFillShade="D9"/>
          </w:tcPr>
          <w:p w14:paraId="76EADEBC" w14:textId="77777777" w:rsidR="00536040" w:rsidRPr="00645AB7" w:rsidRDefault="00536040" w:rsidP="00536040">
            <w:pPr>
              <w:spacing w:after="60"/>
              <w:ind w:left="116"/>
              <w:rPr>
                <w:rFonts w:cs="Tahoma"/>
                <w:b/>
                <w:bCs/>
              </w:rPr>
            </w:pPr>
            <w:r w:rsidRPr="00645AB7">
              <w:rPr>
                <w:rFonts w:cs="Tahoma"/>
                <w:b/>
                <w:bCs/>
              </w:rPr>
              <w:t>I know what this is asking and I can do this.</w:t>
            </w:r>
          </w:p>
        </w:tc>
        <w:tc>
          <w:tcPr>
            <w:tcW w:w="2700" w:type="dxa"/>
            <w:shd w:val="clear" w:color="auto" w:fill="D9D9D9" w:themeFill="background1" w:themeFillShade="D9"/>
          </w:tcPr>
          <w:p w14:paraId="2B6FD067" w14:textId="77777777" w:rsidR="00536040" w:rsidRPr="00645AB7" w:rsidRDefault="00536040" w:rsidP="00536040">
            <w:pPr>
              <w:spacing w:after="60"/>
              <w:ind w:left="104" w:right="-194"/>
              <w:rPr>
                <w:rFonts w:cs="Tahoma"/>
                <w:b/>
                <w:bCs/>
              </w:rPr>
            </w:pPr>
            <w:r w:rsidRPr="00645AB7">
              <w:rPr>
                <w:rFonts w:cs="Tahoma"/>
                <w:b/>
                <w:bCs/>
              </w:rPr>
              <w:t>This standard has familiar language, but I haven’t mastered it.</w:t>
            </w:r>
          </w:p>
        </w:tc>
        <w:tc>
          <w:tcPr>
            <w:tcW w:w="2728" w:type="dxa"/>
            <w:shd w:val="clear" w:color="auto" w:fill="D9D9D9" w:themeFill="background1" w:themeFillShade="D9"/>
          </w:tcPr>
          <w:p w14:paraId="7B9ACDDD" w14:textId="77777777" w:rsidR="00536040" w:rsidRPr="00645AB7" w:rsidRDefault="00536040" w:rsidP="00536040">
            <w:pPr>
              <w:spacing w:after="60"/>
              <w:ind w:left="92"/>
              <w:rPr>
                <w:rFonts w:cs="Tahoma"/>
                <w:b/>
                <w:bCs/>
              </w:rPr>
            </w:pPr>
            <w:r w:rsidRPr="00645AB7">
              <w:rPr>
                <w:rFonts w:cs="Tahoma"/>
                <w:b/>
                <w:bCs/>
              </w:rPr>
              <w:t>I am not familiar with this standard.</w:t>
            </w:r>
          </w:p>
        </w:tc>
      </w:tr>
      <w:tr w:rsidR="00536040" w:rsidRPr="00383F3C" w14:paraId="021BAA9B" w14:textId="77777777" w:rsidTr="00536040">
        <w:trPr>
          <w:cantSplit/>
        </w:trPr>
        <w:tc>
          <w:tcPr>
            <w:tcW w:w="1548" w:type="dxa"/>
            <w:shd w:val="clear" w:color="auto" w:fill="FFFFFF"/>
            <w:tcMar>
              <w:top w:w="100" w:type="dxa"/>
              <w:left w:w="108" w:type="dxa"/>
              <w:bottom w:w="100" w:type="dxa"/>
              <w:right w:w="108" w:type="dxa"/>
            </w:tcMar>
          </w:tcPr>
          <w:p w14:paraId="1D3DFC77" w14:textId="77777777" w:rsidR="00536040" w:rsidRPr="00887CFF" w:rsidRDefault="00536040" w:rsidP="00536040">
            <w:pPr>
              <w:pStyle w:val="ToolTableText"/>
            </w:pPr>
            <w:r>
              <w:t>SL.11-12.1.d</w:t>
            </w:r>
          </w:p>
        </w:tc>
        <w:tc>
          <w:tcPr>
            <w:tcW w:w="3402" w:type="dxa"/>
            <w:shd w:val="clear" w:color="auto" w:fill="FFFFFF"/>
            <w:tcMar>
              <w:top w:w="100" w:type="dxa"/>
              <w:left w:w="108" w:type="dxa"/>
              <w:bottom w:w="100" w:type="dxa"/>
              <w:right w:w="108" w:type="dxa"/>
            </w:tcMar>
          </w:tcPr>
          <w:p w14:paraId="6E0B2AE2" w14:textId="77777777" w:rsidR="00536040" w:rsidRPr="00101485" w:rsidRDefault="00536040" w:rsidP="00536040">
            <w:pPr>
              <w:spacing w:before="0" w:after="0" w:line="240" w:lineRule="auto"/>
              <w:rPr>
                <w:rFonts w:asciiTheme="minorHAnsi" w:eastAsia="Times New Roman" w:hAnsiTheme="minorHAnsi"/>
                <w:color w:val="202020"/>
              </w:rPr>
            </w:pPr>
            <w:r w:rsidRPr="00101485">
              <w:rPr>
                <w:rFonts w:asciiTheme="minorHAnsi" w:eastAsia="Times New Roman" w:hAnsiTheme="minorHAnsi"/>
                <w:color w:val="202020"/>
              </w:rPr>
              <w:t>Initiate and participate effectively in a range of collaborative discussions (one-on-one, in groups, and teacher-led) with diverse partners on grades 11-12 topics, texts, and issues, building on others' ideas and expressing their own clearly and persuasively.</w:t>
            </w:r>
          </w:p>
          <w:p w14:paraId="3D790F25" w14:textId="77777777" w:rsidR="00536040" w:rsidRPr="00101485" w:rsidRDefault="00536040" w:rsidP="00536040">
            <w:pPr>
              <w:spacing w:before="0" w:after="0" w:line="240" w:lineRule="auto"/>
              <w:rPr>
                <w:rFonts w:ascii="Times" w:eastAsia="Times New Roman" w:hAnsi="Times"/>
                <w:sz w:val="20"/>
                <w:szCs w:val="20"/>
              </w:rPr>
            </w:pPr>
          </w:p>
          <w:p w14:paraId="020386E6" w14:textId="66AE52B0" w:rsidR="00536040" w:rsidRPr="00536040" w:rsidRDefault="00536040" w:rsidP="00536040">
            <w:pPr>
              <w:spacing w:before="0" w:after="0" w:line="240" w:lineRule="auto"/>
              <w:rPr>
                <w:rFonts w:asciiTheme="minorHAnsi" w:eastAsia="Times New Roman" w:hAnsiTheme="minorHAnsi"/>
              </w:rPr>
            </w:pPr>
            <w:r w:rsidRPr="00101485">
              <w:rPr>
                <w:rFonts w:asciiTheme="minorHAnsi" w:eastAsia="Times New Roman" w:hAnsiTheme="minorHAnsi"/>
                <w:color w:val="202020"/>
              </w:rPr>
              <w:t>d. 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2700" w:type="dxa"/>
            <w:shd w:val="clear" w:color="auto" w:fill="FFFFFF"/>
          </w:tcPr>
          <w:p w14:paraId="5C5AE278" w14:textId="77777777" w:rsidR="00536040" w:rsidRPr="00383F3C" w:rsidRDefault="00536040" w:rsidP="00536040">
            <w:pPr>
              <w:pStyle w:val="ToolTableText"/>
            </w:pPr>
          </w:p>
        </w:tc>
        <w:tc>
          <w:tcPr>
            <w:tcW w:w="2700" w:type="dxa"/>
            <w:shd w:val="clear" w:color="auto" w:fill="FFFFFF"/>
          </w:tcPr>
          <w:p w14:paraId="25AF094A" w14:textId="77777777" w:rsidR="00536040" w:rsidRPr="00383F3C" w:rsidRDefault="00536040" w:rsidP="00536040">
            <w:pPr>
              <w:pStyle w:val="ToolTableText"/>
            </w:pPr>
          </w:p>
        </w:tc>
        <w:tc>
          <w:tcPr>
            <w:tcW w:w="2728" w:type="dxa"/>
            <w:shd w:val="clear" w:color="auto" w:fill="FFFFFF"/>
          </w:tcPr>
          <w:p w14:paraId="47041162" w14:textId="77777777" w:rsidR="00536040" w:rsidRPr="00383F3C" w:rsidRDefault="00536040" w:rsidP="00536040">
            <w:pPr>
              <w:pStyle w:val="ToolTableText"/>
            </w:pPr>
          </w:p>
        </w:tc>
      </w:tr>
      <w:tr w:rsidR="00536040" w:rsidRPr="00383F3C" w14:paraId="372E3F20" w14:textId="77777777" w:rsidTr="00536040">
        <w:trPr>
          <w:cantSplit/>
        </w:trPr>
        <w:tc>
          <w:tcPr>
            <w:tcW w:w="1548" w:type="dxa"/>
            <w:shd w:val="clear" w:color="auto" w:fill="FFFFFF"/>
            <w:tcMar>
              <w:top w:w="100" w:type="dxa"/>
              <w:left w:w="108" w:type="dxa"/>
              <w:bottom w:w="100" w:type="dxa"/>
              <w:right w:w="108" w:type="dxa"/>
            </w:tcMar>
          </w:tcPr>
          <w:p w14:paraId="7A6CB327" w14:textId="77777777" w:rsidR="00536040" w:rsidRPr="00BD0A44" w:rsidRDefault="00536040" w:rsidP="00536040">
            <w:pPr>
              <w:pStyle w:val="ToolTableText"/>
              <w:rPr>
                <w:b/>
              </w:rPr>
            </w:pPr>
            <w:r w:rsidRPr="00887CFF">
              <w:lastRenderedPageBreak/>
              <w:t>SL.11-12.</w:t>
            </w:r>
            <w:r>
              <w:t>3</w:t>
            </w:r>
          </w:p>
        </w:tc>
        <w:tc>
          <w:tcPr>
            <w:tcW w:w="3402" w:type="dxa"/>
            <w:shd w:val="clear" w:color="auto" w:fill="FFFFFF"/>
            <w:tcMar>
              <w:top w:w="100" w:type="dxa"/>
              <w:left w:w="108" w:type="dxa"/>
              <w:bottom w:w="100" w:type="dxa"/>
              <w:right w:w="108" w:type="dxa"/>
            </w:tcMar>
          </w:tcPr>
          <w:p w14:paraId="3721DDE0" w14:textId="77777777" w:rsidR="00536040" w:rsidRPr="00201177" w:rsidRDefault="00536040" w:rsidP="00536040">
            <w:pPr>
              <w:pStyle w:val="ToolTableText"/>
            </w:pPr>
            <w:r w:rsidRPr="00F879BE">
              <w:rPr>
                <w:rFonts w:cs="Perpetua"/>
                <w:szCs w:val="20"/>
              </w:rPr>
              <w:t>Evaluate a speaker's point of view, reasoning, and use of evidence and rhetoric, assessing the stance, premises, links among ideas, word choice, points of emphasis, and tone used.</w:t>
            </w:r>
          </w:p>
        </w:tc>
        <w:tc>
          <w:tcPr>
            <w:tcW w:w="2700" w:type="dxa"/>
            <w:shd w:val="clear" w:color="auto" w:fill="FFFFFF"/>
          </w:tcPr>
          <w:p w14:paraId="2949AAC6" w14:textId="77777777" w:rsidR="00536040" w:rsidRPr="00383F3C" w:rsidRDefault="00536040" w:rsidP="00536040">
            <w:pPr>
              <w:pStyle w:val="ToolTableText"/>
            </w:pPr>
          </w:p>
        </w:tc>
        <w:tc>
          <w:tcPr>
            <w:tcW w:w="2700" w:type="dxa"/>
            <w:shd w:val="clear" w:color="auto" w:fill="FFFFFF"/>
          </w:tcPr>
          <w:p w14:paraId="0A2943F3" w14:textId="77777777" w:rsidR="00536040" w:rsidRPr="00383F3C" w:rsidRDefault="00536040" w:rsidP="00536040">
            <w:pPr>
              <w:pStyle w:val="ToolTableText"/>
            </w:pPr>
          </w:p>
        </w:tc>
        <w:tc>
          <w:tcPr>
            <w:tcW w:w="2728" w:type="dxa"/>
            <w:shd w:val="clear" w:color="auto" w:fill="FFFFFF"/>
          </w:tcPr>
          <w:p w14:paraId="6C2088D5" w14:textId="77777777" w:rsidR="00536040" w:rsidRPr="00383F3C" w:rsidRDefault="00536040" w:rsidP="00536040">
            <w:pPr>
              <w:pStyle w:val="ToolTableText"/>
            </w:pPr>
          </w:p>
        </w:tc>
      </w:tr>
      <w:tr w:rsidR="00536040" w:rsidRPr="00383F3C" w14:paraId="2B56DD85" w14:textId="77777777" w:rsidTr="00536040">
        <w:trPr>
          <w:cantSplit/>
        </w:trPr>
        <w:tc>
          <w:tcPr>
            <w:tcW w:w="1548" w:type="dxa"/>
            <w:shd w:val="clear" w:color="auto" w:fill="FFFFFF"/>
            <w:tcMar>
              <w:top w:w="100" w:type="dxa"/>
              <w:left w:w="108" w:type="dxa"/>
              <w:bottom w:w="100" w:type="dxa"/>
              <w:right w:w="108" w:type="dxa"/>
            </w:tcMar>
          </w:tcPr>
          <w:p w14:paraId="04389043" w14:textId="77777777" w:rsidR="00536040" w:rsidRPr="00BD0A44" w:rsidRDefault="00536040" w:rsidP="00536040">
            <w:pPr>
              <w:pStyle w:val="ToolTableText"/>
              <w:rPr>
                <w:b/>
              </w:rPr>
            </w:pPr>
            <w:r w:rsidRPr="00887CFF">
              <w:t>SL.11-12.5</w:t>
            </w:r>
          </w:p>
        </w:tc>
        <w:tc>
          <w:tcPr>
            <w:tcW w:w="3402" w:type="dxa"/>
            <w:shd w:val="clear" w:color="auto" w:fill="FFFFFF"/>
            <w:tcMar>
              <w:top w:w="100" w:type="dxa"/>
              <w:left w:w="108" w:type="dxa"/>
              <w:bottom w:w="100" w:type="dxa"/>
              <w:right w:w="108" w:type="dxa"/>
            </w:tcMar>
          </w:tcPr>
          <w:p w14:paraId="09030175" w14:textId="77777777" w:rsidR="00536040" w:rsidRPr="00201177" w:rsidRDefault="00536040" w:rsidP="00536040">
            <w:pPr>
              <w:pStyle w:val="ToolTableText"/>
            </w:pPr>
            <w:r w:rsidRPr="00887CFF">
              <w:rPr>
                <w:rFonts w:cs="Perpetua"/>
                <w:szCs w:val="20"/>
              </w:rPr>
              <w:t>Make strategic use of digital media (e.g., textual, graphical, audio, visual, and interactive elements) in presentations to enhance understanding of findings, reasoning, and evidence and to add interest.</w:t>
            </w:r>
          </w:p>
        </w:tc>
        <w:tc>
          <w:tcPr>
            <w:tcW w:w="2700" w:type="dxa"/>
            <w:shd w:val="clear" w:color="auto" w:fill="FFFFFF"/>
          </w:tcPr>
          <w:p w14:paraId="535B91EF" w14:textId="77777777" w:rsidR="00536040" w:rsidRPr="00383F3C" w:rsidRDefault="00536040" w:rsidP="00536040">
            <w:pPr>
              <w:pStyle w:val="ToolTableText"/>
            </w:pPr>
          </w:p>
        </w:tc>
        <w:tc>
          <w:tcPr>
            <w:tcW w:w="2700" w:type="dxa"/>
            <w:shd w:val="clear" w:color="auto" w:fill="FFFFFF"/>
          </w:tcPr>
          <w:p w14:paraId="7AFA7302" w14:textId="77777777" w:rsidR="00536040" w:rsidRPr="00383F3C" w:rsidRDefault="00536040" w:rsidP="00536040">
            <w:pPr>
              <w:pStyle w:val="ToolTableText"/>
            </w:pPr>
          </w:p>
        </w:tc>
        <w:tc>
          <w:tcPr>
            <w:tcW w:w="2728" w:type="dxa"/>
            <w:shd w:val="clear" w:color="auto" w:fill="FFFFFF"/>
          </w:tcPr>
          <w:p w14:paraId="751B1739" w14:textId="77777777" w:rsidR="00536040" w:rsidRPr="00383F3C" w:rsidRDefault="00536040" w:rsidP="00536040">
            <w:pPr>
              <w:pStyle w:val="ToolTableText"/>
            </w:pPr>
          </w:p>
        </w:tc>
      </w:tr>
    </w:tbl>
    <w:p w14:paraId="3E7CFBE0" w14:textId="1508748F" w:rsidR="00536040" w:rsidRDefault="00536040" w:rsidP="00536040">
      <w:pPr>
        <w:spacing w:line="240" w:lineRule="auto"/>
        <w:rPr>
          <w:sz w:val="10"/>
          <w:szCs w:val="10"/>
        </w:rPr>
      </w:pPr>
    </w:p>
    <w:p w14:paraId="006C5EFB" w14:textId="77777777" w:rsidR="00536040" w:rsidRDefault="00536040">
      <w:pPr>
        <w:spacing w:before="0" w:after="0" w:line="240" w:lineRule="auto"/>
        <w:rPr>
          <w:sz w:val="10"/>
          <w:szCs w:val="10"/>
        </w:rPr>
      </w:pPr>
      <w:r>
        <w:rPr>
          <w:sz w:val="10"/>
          <w:szCs w:val="10"/>
        </w:rPr>
        <w:br w:type="page"/>
      </w:r>
    </w:p>
    <w:tbl>
      <w:tblPr>
        <w:tblW w:w="13078"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36040" w:rsidRPr="00383F3C" w14:paraId="0F7BFD9C" w14:textId="77777777" w:rsidTr="00536040">
        <w:trPr>
          <w:cantSplit/>
          <w:trHeight w:val="1358"/>
          <w:tblHeader/>
        </w:trPr>
        <w:tc>
          <w:tcPr>
            <w:tcW w:w="4950" w:type="dxa"/>
            <w:gridSpan w:val="2"/>
            <w:shd w:val="clear" w:color="auto" w:fill="D9D9D9" w:themeFill="background1" w:themeFillShade="D9"/>
          </w:tcPr>
          <w:p w14:paraId="5BD7A1EE" w14:textId="77777777" w:rsidR="00536040" w:rsidRPr="00645AB7" w:rsidRDefault="00536040" w:rsidP="00536040">
            <w:pPr>
              <w:spacing w:after="60"/>
              <w:ind w:left="115"/>
              <w:rPr>
                <w:rFonts w:cs="Tahoma"/>
                <w:b/>
              </w:rPr>
            </w:pPr>
            <w:r w:rsidRPr="00645AB7">
              <w:rPr>
                <w:rFonts w:cs="Tahoma"/>
                <w:b/>
              </w:rPr>
              <w:lastRenderedPageBreak/>
              <w:t>CCS Standards: Language</w:t>
            </w:r>
          </w:p>
        </w:tc>
        <w:tc>
          <w:tcPr>
            <w:tcW w:w="2700" w:type="dxa"/>
            <w:shd w:val="clear" w:color="auto" w:fill="D9D9D9" w:themeFill="background1" w:themeFillShade="D9"/>
            <w:tcMar>
              <w:top w:w="100" w:type="dxa"/>
              <w:left w:w="115" w:type="dxa"/>
              <w:bottom w:w="100" w:type="dxa"/>
              <w:right w:w="115" w:type="dxa"/>
            </w:tcMar>
          </w:tcPr>
          <w:p w14:paraId="7A6C1454" w14:textId="77777777" w:rsidR="00536040" w:rsidRPr="00645AB7" w:rsidRDefault="00536040" w:rsidP="00536040">
            <w:pPr>
              <w:spacing w:after="60"/>
              <w:rPr>
                <w:rFonts w:cs="Tahoma"/>
              </w:rPr>
            </w:pPr>
            <w:r w:rsidRPr="00645AB7">
              <w:rPr>
                <w:rFonts w:cs="Tahoma"/>
                <w:b/>
                <w:bCs/>
              </w:rPr>
              <w:t>I know what this is asking and I can do this.</w:t>
            </w:r>
          </w:p>
        </w:tc>
        <w:tc>
          <w:tcPr>
            <w:tcW w:w="2700" w:type="dxa"/>
            <w:shd w:val="clear" w:color="auto" w:fill="D9D9D9" w:themeFill="background1" w:themeFillShade="D9"/>
            <w:tcMar>
              <w:top w:w="100" w:type="dxa"/>
              <w:left w:w="108" w:type="dxa"/>
              <w:bottom w:w="100" w:type="dxa"/>
              <w:right w:w="108" w:type="dxa"/>
            </w:tcMar>
          </w:tcPr>
          <w:p w14:paraId="1F54D7CC" w14:textId="77777777" w:rsidR="00536040" w:rsidRPr="00645AB7" w:rsidRDefault="00536040" w:rsidP="00536040">
            <w:pPr>
              <w:spacing w:after="60"/>
              <w:rPr>
                <w:rFonts w:cs="Tahoma"/>
              </w:rPr>
            </w:pPr>
            <w:r w:rsidRPr="00645AB7">
              <w:rPr>
                <w:rFonts w:cs="Tahoma"/>
                <w:b/>
                <w:bCs/>
              </w:rPr>
              <w:t>This standard has familiar language, but I haven’t mastered it.</w:t>
            </w:r>
          </w:p>
        </w:tc>
        <w:tc>
          <w:tcPr>
            <w:tcW w:w="2728" w:type="dxa"/>
            <w:shd w:val="clear" w:color="auto" w:fill="D9D9D9" w:themeFill="background1" w:themeFillShade="D9"/>
            <w:tcMar>
              <w:left w:w="108" w:type="dxa"/>
              <w:right w:w="108" w:type="dxa"/>
            </w:tcMar>
          </w:tcPr>
          <w:p w14:paraId="14E77B90" w14:textId="77777777" w:rsidR="00536040" w:rsidRPr="00645AB7" w:rsidRDefault="00536040" w:rsidP="00536040">
            <w:pPr>
              <w:spacing w:after="60"/>
              <w:rPr>
                <w:rFonts w:cs="Tahoma"/>
              </w:rPr>
            </w:pPr>
            <w:r w:rsidRPr="00645AB7">
              <w:rPr>
                <w:rFonts w:cs="Tahoma"/>
                <w:b/>
                <w:bCs/>
              </w:rPr>
              <w:t>I am not familiar with this standard.</w:t>
            </w:r>
          </w:p>
        </w:tc>
      </w:tr>
      <w:tr w:rsidR="00536040" w:rsidRPr="00383F3C" w14:paraId="4DD639FB" w14:textId="77777777" w:rsidTr="00536040">
        <w:trPr>
          <w:cantSplit/>
        </w:trPr>
        <w:tc>
          <w:tcPr>
            <w:tcW w:w="1548" w:type="dxa"/>
            <w:shd w:val="clear" w:color="auto" w:fill="FFFFFF"/>
            <w:tcMar>
              <w:top w:w="100" w:type="dxa"/>
              <w:left w:w="108" w:type="dxa"/>
              <w:bottom w:w="100" w:type="dxa"/>
              <w:right w:w="108" w:type="dxa"/>
            </w:tcMar>
          </w:tcPr>
          <w:p w14:paraId="22BD094A" w14:textId="77777777" w:rsidR="00536040" w:rsidRPr="00602135" w:rsidRDefault="00536040" w:rsidP="00536040">
            <w:pPr>
              <w:pStyle w:val="ToolTableText"/>
            </w:pPr>
            <w:r w:rsidRPr="00602135">
              <w:t>L.11-12.1.b</w:t>
            </w:r>
          </w:p>
        </w:tc>
        <w:tc>
          <w:tcPr>
            <w:tcW w:w="3402" w:type="dxa"/>
            <w:shd w:val="clear" w:color="auto" w:fill="FFFFFF"/>
            <w:tcMar>
              <w:top w:w="100" w:type="dxa"/>
              <w:left w:w="108" w:type="dxa"/>
              <w:bottom w:w="100" w:type="dxa"/>
              <w:right w:w="108" w:type="dxa"/>
            </w:tcMar>
          </w:tcPr>
          <w:p w14:paraId="491A1787" w14:textId="77777777" w:rsidR="00536040" w:rsidRPr="00887CFF" w:rsidRDefault="00536040" w:rsidP="00536040">
            <w:pPr>
              <w:autoSpaceDE w:val="0"/>
              <w:autoSpaceDN w:val="0"/>
              <w:adjustRightInd w:val="0"/>
              <w:spacing w:before="0" w:after="0"/>
              <w:rPr>
                <w:rFonts w:cs="Perpetua"/>
                <w:szCs w:val="20"/>
              </w:rPr>
            </w:pPr>
            <w:r w:rsidRPr="00887CFF">
              <w:rPr>
                <w:rFonts w:cs="Perpetua"/>
                <w:szCs w:val="20"/>
              </w:rPr>
              <w:t>Demonstrate command of the conventions of standard English grammar and usage when writing or speaking.</w:t>
            </w:r>
          </w:p>
          <w:p w14:paraId="09056000" w14:textId="77777777" w:rsidR="00536040" w:rsidRPr="00201177" w:rsidRDefault="00536040" w:rsidP="00536040">
            <w:pPr>
              <w:pStyle w:val="ToolTableText"/>
              <w:numPr>
                <w:ilvl w:val="0"/>
                <w:numId w:val="31"/>
              </w:numPr>
            </w:pPr>
            <w:r w:rsidRPr="00887CFF">
              <w:rPr>
                <w:rFonts w:cs="Perpetua"/>
                <w:szCs w:val="20"/>
              </w:rPr>
              <w:t xml:space="preserve">Resolve issues of complex or contested usage, consulting references (e.g., </w:t>
            </w:r>
            <w:r w:rsidRPr="00887CFF">
              <w:rPr>
                <w:rFonts w:cs="Perpetua-Italic"/>
                <w:i/>
                <w:iCs/>
                <w:szCs w:val="20"/>
              </w:rPr>
              <w:t>Merriam-Webster’s Dictionary of English Usage</w:t>
            </w:r>
            <w:r w:rsidRPr="00887CFF">
              <w:rPr>
                <w:rFonts w:cs="Perpetua"/>
                <w:szCs w:val="20"/>
              </w:rPr>
              <w:t xml:space="preserve">, </w:t>
            </w:r>
            <w:r w:rsidRPr="00887CFF">
              <w:rPr>
                <w:rFonts w:cs="Perpetua-Italic"/>
                <w:i/>
                <w:iCs/>
                <w:szCs w:val="20"/>
              </w:rPr>
              <w:t>Garner’s Modern American Usage</w:t>
            </w:r>
            <w:r w:rsidRPr="00887CFF">
              <w:rPr>
                <w:rFonts w:cs="Perpetua"/>
                <w:szCs w:val="20"/>
              </w:rPr>
              <w:t>) as needed.</w:t>
            </w:r>
          </w:p>
        </w:tc>
        <w:tc>
          <w:tcPr>
            <w:tcW w:w="2700" w:type="dxa"/>
            <w:shd w:val="clear" w:color="auto" w:fill="FFFFFF"/>
          </w:tcPr>
          <w:p w14:paraId="2E409E31" w14:textId="77777777" w:rsidR="00536040" w:rsidRPr="00383F3C" w:rsidRDefault="00536040" w:rsidP="00536040">
            <w:pPr>
              <w:pStyle w:val="ToolTableText"/>
            </w:pPr>
          </w:p>
        </w:tc>
        <w:tc>
          <w:tcPr>
            <w:tcW w:w="2700" w:type="dxa"/>
            <w:shd w:val="clear" w:color="auto" w:fill="FFFFFF"/>
          </w:tcPr>
          <w:p w14:paraId="00018E81" w14:textId="77777777" w:rsidR="00536040" w:rsidRPr="00383F3C" w:rsidRDefault="00536040" w:rsidP="00536040">
            <w:pPr>
              <w:pStyle w:val="ToolTableText"/>
            </w:pPr>
          </w:p>
        </w:tc>
        <w:tc>
          <w:tcPr>
            <w:tcW w:w="2728" w:type="dxa"/>
            <w:shd w:val="clear" w:color="auto" w:fill="FFFFFF"/>
          </w:tcPr>
          <w:p w14:paraId="56C49007" w14:textId="77777777" w:rsidR="00536040" w:rsidRPr="00383F3C" w:rsidRDefault="00536040" w:rsidP="00536040">
            <w:pPr>
              <w:pStyle w:val="ToolTableText"/>
            </w:pPr>
          </w:p>
        </w:tc>
      </w:tr>
      <w:tr w:rsidR="00536040" w:rsidRPr="00383F3C" w14:paraId="547C962B" w14:textId="77777777" w:rsidTr="00536040">
        <w:trPr>
          <w:cantSplit/>
        </w:trPr>
        <w:tc>
          <w:tcPr>
            <w:tcW w:w="1548" w:type="dxa"/>
            <w:shd w:val="clear" w:color="auto" w:fill="FFFFFF"/>
            <w:tcMar>
              <w:top w:w="100" w:type="dxa"/>
              <w:left w:w="108" w:type="dxa"/>
              <w:bottom w:w="100" w:type="dxa"/>
              <w:right w:w="108" w:type="dxa"/>
            </w:tcMar>
          </w:tcPr>
          <w:p w14:paraId="643C1783" w14:textId="5FAFBBFC" w:rsidR="00536040" w:rsidRPr="00602135" w:rsidRDefault="00536040" w:rsidP="00536040">
            <w:pPr>
              <w:pStyle w:val="ToolTableText"/>
            </w:pPr>
            <w:r w:rsidRPr="00602135">
              <w:lastRenderedPageBreak/>
              <w:t>L.11-12.3.a</w:t>
            </w:r>
          </w:p>
        </w:tc>
        <w:tc>
          <w:tcPr>
            <w:tcW w:w="3402" w:type="dxa"/>
            <w:shd w:val="clear" w:color="auto" w:fill="FFFFFF"/>
            <w:tcMar>
              <w:top w:w="100" w:type="dxa"/>
              <w:left w:w="108" w:type="dxa"/>
              <w:bottom w:w="100" w:type="dxa"/>
              <w:right w:w="108" w:type="dxa"/>
            </w:tcMar>
          </w:tcPr>
          <w:p w14:paraId="73CB95F9" w14:textId="77777777" w:rsidR="00536040" w:rsidRDefault="00536040" w:rsidP="00536040">
            <w:pPr>
              <w:pStyle w:val="ToolTableText"/>
            </w:pPr>
            <w:r w:rsidRPr="00F879BE">
              <w:t>Apply knowledge of language to understand how language functions in different contexts, to make effective choices for meaning or style, and to comprehend more fully when reading or listening.</w:t>
            </w:r>
          </w:p>
          <w:p w14:paraId="705EF0CD" w14:textId="64457315" w:rsidR="00536040" w:rsidRPr="00887CFF" w:rsidRDefault="00536040" w:rsidP="00536040">
            <w:pPr>
              <w:autoSpaceDE w:val="0"/>
              <w:autoSpaceDN w:val="0"/>
              <w:adjustRightInd w:val="0"/>
              <w:spacing w:before="0" w:after="0"/>
              <w:rPr>
                <w:rFonts w:cs="Perpetua"/>
                <w:szCs w:val="20"/>
              </w:rPr>
            </w:pPr>
            <w:r w:rsidRPr="00F879BE">
              <w:t xml:space="preserve">Vary syntax for effect, consulting references (e.g., </w:t>
            </w:r>
            <w:proofErr w:type="spellStart"/>
            <w:r w:rsidRPr="00F879BE">
              <w:rPr>
                <w:i/>
              </w:rPr>
              <w:t>Tufte's</w:t>
            </w:r>
            <w:proofErr w:type="spellEnd"/>
            <w:r w:rsidRPr="00F879BE">
              <w:rPr>
                <w:i/>
              </w:rPr>
              <w:t xml:space="preserve"> Artful Sentences</w:t>
            </w:r>
            <w:r w:rsidRPr="00F879BE">
              <w:t>) for guidance as needed; apply an understanding of syntax to the study of complex texts when reading.</w:t>
            </w:r>
          </w:p>
        </w:tc>
        <w:tc>
          <w:tcPr>
            <w:tcW w:w="2700" w:type="dxa"/>
            <w:shd w:val="clear" w:color="auto" w:fill="FFFFFF"/>
          </w:tcPr>
          <w:p w14:paraId="0548DE1D" w14:textId="77777777" w:rsidR="00536040" w:rsidRPr="00383F3C" w:rsidRDefault="00536040" w:rsidP="00536040">
            <w:pPr>
              <w:pStyle w:val="ToolTableText"/>
            </w:pPr>
          </w:p>
        </w:tc>
        <w:tc>
          <w:tcPr>
            <w:tcW w:w="2700" w:type="dxa"/>
            <w:shd w:val="clear" w:color="auto" w:fill="FFFFFF"/>
          </w:tcPr>
          <w:p w14:paraId="577DB8E7" w14:textId="77777777" w:rsidR="00536040" w:rsidRPr="00383F3C" w:rsidRDefault="00536040" w:rsidP="00536040">
            <w:pPr>
              <w:pStyle w:val="ToolTableText"/>
            </w:pPr>
          </w:p>
        </w:tc>
        <w:tc>
          <w:tcPr>
            <w:tcW w:w="2728" w:type="dxa"/>
            <w:shd w:val="clear" w:color="auto" w:fill="FFFFFF"/>
          </w:tcPr>
          <w:p w14:paraId="0D2B62DE" w14:textId="77777777" w:rsidR="00536040" w:rsidRPr="00383F3C" w:rsidRDefault="00536040" w:rsidP="00536040">
            <w:pPr>
              <w:pStyle w:val="ToolTableText"/>
            </w:pPr>
          </w:p>
        </w:tc>
      </w:tr>
      <w:tr w:rsidR="00536040" w:rsidRPr="00383F3C" w14:paraId="68C64898" w14:textId="77777777" w:rsidTr="00536040">
        <w:trPr>
          <w:cantSplit/>
        </w:trPr>
        <w:tc>
          <w:tcPr>
            <w:tcW w:w="1548" w:type="dxa"/>
            <w:shd w:val="clear" w:color="auto" w:fill="FFFFFF"/>
            <w:tcMar>
              <w:top w:w="100" w:type="dxa"/>
              <w:left w:w="108" w:type="dxa"/>
              <w:bottom w:w="100" w:type="dxa"/>
              <w:right w:w="108" w:type="dxa"/>
            </w:tcMar>
          </w:tcPr>
          <w:p w14:paraId="75633FB6" w14:textId="1C00B9BD" w:rsidR="00536040" w:rsidRPr="00602135" w:rsidRDefault="00536040" w:rsidP="00536040">
            <w:pPr>
              <w:pStyle w:val="ToolTableText"/>
            </w:pPr>
            <w:r w:rsidRPr="00602135">
              <w:lastRenderedPageBreak/>
              <w:t>L.11-12.6</w:t>
            </w:r>
          </w:p>
        </w:tc>
        <w:tc>
          <w:tcPr>
            <w:tcW w:w="3402" w:type="dxa"/>
            <w:shd w:val="clear" w:color="auto" w:fill="FFFFFF"/>
            <w:tcMar>
              <w:top w:w="100" w:type="dxa"/>
              <w:left w:w="108" w:type="dxa"/>
              <w:bottom w:w="100" w:type="dxa"/>
              <w:right w:w="108" w:type="dxa"/>
            </w:tcMar>
          </w:tcPr>
          <w:p w14:paraId="7B9024D2" w14:textId="62E23FDB" w:rsidR="00536040" w:rsidRPr="00F879BE" w:rsidRDefault="00536040" w:rsidP="00536040">
            <w:pPr>
              <w:pStyle w:val="ToolTableText"/>
            </w:pPr>
            <w:r w:rsidRPr="00887CFF">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2700" w:type="dxa"/>
            <w:shd w:val="clear" w:color="auto" w:fill="FFFFFF"/>
          </w:tcPr>
          <w:p w14:paraId="63E1884B" w14:textId="77777777" w:rsidR="00536040" w:rsidRPr="00383F3C" w:rsidRDefault="00536040" w:rsidP="00536040">
            <w:pPr>
              <w:pStyle w:val="ToolTableText"/>
            </w:pPr>
          </w:p>
        </w:tc>
        <w:tc>
          <w:tcPr>
            <w:tcW w:w="2700" w:type="dxa"/>
            <w:shd w:val="clear" w:color="auto" w:fill="FFFFFF"/>
          </w:tcPr>
          <w:p w14:paraId="5E3696C3" w14:textId="77777777" w:rsidR="00536040" w:rsidRPr="00383F3C" w:rsidRDefault="00536040" w:rsidP="00536040">
            <w:pPr>
              <w:pStyle w:val="ToolTableText"/>
            </w:pPr>
          </w:p>
        </w:tc>
        <w:tc>
          <w:tcPr>
            <w:tcW w:w="2728" w:type="dxa"/>
            <w:shd w:val="clear" w:color="auto" w:fill="FFFFFF"/>
          </w:tcPr>
          <w:p w14:paraId="6F4297CB" w14:textId="77777777" w:rsidR="00536040" w:rsidRPr="00383F3C" w:rsidRDefault="00536040" w:rsidP="00536040">
            <w:pPr>
              <w:pStyle w:val="ToolTableText"/>
            </w:pPr>
          </w:p>
        </w:tc>
      </w:tr>
    </w:tbl>
    <w:p w14:paraId="212B7F21" w14:textId="77777777" w:rsidR="00536040" w:rsidRDefault="00536040" w:rsidP="00536040">
      <w:pPr>
        <w:pStyle w:val="Heading1"/>
      </w:pPr>
    </w:p>
    <w:p w14:paraId="550CFA87" w14:textId="77777777" w:rsidR="00536040" w:rsidRDefault="00536040" w:rsidP="00CA0ACF">
      <w:pPr>
        <w:pStyle w:val="ToolHeader"/>
      </w:pPr>
    </w:p>
    <w:p w14:paraId="471D4532" w14:textId="5148302F" w:rsidR="00CA0ACF" w:rsidRDefault="00CA0ACF">
      <w:pPr>
        <w:spacing w:before="0" w:after="0" w:line="240" w:lineRule="auto"/>
        <w:rPr>
          <w:b/>
          <w:bCs/>
          <w:color w:val="365F91"/>
          <w:sz w:val="32"/>
          <w:szCs w:val="28"/>
        </w:rPr>
      </w:pPr>
    </w:p>
    <w:sectPr w:rsidR="00CA0ACF" w:rsidSect="00711FED">
      <w:headerReference w:type="default" r:id="rId8"/>
      <w:footerReference w:type="default" r:id="rId9"/>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CAEC4" w14:textId="77777777" w:rsidR="004311AE" w:rsidRDefault="004311AE">
      <w:pPr>
        <w:spacing w:before="0" w:after="0" w:line="240" w:lineRule="auto"/>
      </w:pPr>
      <w:r>
        <w:separator/>
      </w:r>
    </w:p>
  </w:endnote>
  <w:endnote w:type="continuationSeparator" w:id="0">
    <w:p w14:paraId="246594C2" w14:textId="77777777" w:rsidR="004311AE" w:rsidRDefault="004311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erpetua-Italic">
    <w:altName w:val="Perpet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6F13D" w14:textId="77777777" w:rsidR="00536040" w:rsidRPr="00563CB8" w:rsidRDefault="00536040"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536040" w14:paraId="0B95925D" w14:textId="77777777">
      <w:trPr>
        <w:trHeight w:val="705"/>
      </w:trPr>
      <w:tc>
        <w:tcPr>
          <w:tcW w:w="4484" w:type="dxa"/>
          <w:shd w:val="clear" w:color="auto" w:fill="auto"/>
          <w:vAlign w:val="center"/>
        </w:tcPr>
        <w:p w14:paraId="48E1A453" w14:textId="77777777" w:rsidR="00536040" w:rsidRPr="002E4C92" w:rsidRDefault="00536040" w:rsidP="00B06049">
          <w:pPr>
            <w:pStyle w:val="FooterText"/>
          </w:pPr>
          <w:r w:rsidRPr="002E4C92">
            <w:t>File:</w:t>
          </w:r>
          <w:r w:rsidRPr="0039525B">
            <w:rPr>
              <w:b w:val="0"/>
            </w:rPr>
            <w:t xml:space="preserve"> </w:t>
          </w:r>
          <w:r>
            <w:rPr>
              <w:b w:val="0"/>
            </w:rPr>
            <w:t>12.3.1</w:t>
          </w:r>
          <w:r w:rsidRPr="0039525B">
            <w:rPr>
              <w:b w:val="0"/>
            </w:rPr>
            <w:t xml:space="preserve"> Lesson </w:t>
          </w:r>
          <w:r>
            <w:rPr>
              <w:b w:val="0"/>
            </w:rPr>
            <w:t>3</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1369E50A" w14:textId="77777777" w:rsidR="00536040" w:rsidRPr="0039525B" w:rsidRDefault="00536040"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0845EC9" w14:textId="77777777" w:rsidR="00536040" w:rsidRPr="0039525B" w:rsidRDefault="00536040" w:rsidP="00B06049">
          <w:pPr>
            <w:pStyle w:val="FooterText"/>
            <w:rPr>
              <w:b w:val="0"/>
              <w:i/>
            </w:rPr>
          </w:pPr>
          <w:r w:rsidRPr="0039525B">
            <w:rPr>
              <w:b w:val="0"/>
              <w:i/>
              <w:sz w:val="12"/>
            </w:rPr>
            <w:t>Creative Commons Attribution-NonCommercial-ShareAlike 3.0 Unported License</w:t>
          </w:r>
        </w:p>
        <w:p w14:paraId="51354106" w14:textId="77777777" w:rsidR="00536040" w:rsidRPr="002E4C92" w:rsidRDefault="004311AE" w:rsidP="00B06049">
          <w:pPr>
            <w:pStyle w:val="FooterText"/>
          </w:pPr>
          <w:hyperlink r:id="rId1" w:history="1">
            <w:r w:rsidR="00536040" w:rsidRPr="0043460D">
              <w:rPr>
                <w:rStyle w:val="Hyperlink"/>
                <w:sz w:val="12"/>
                <w:szCs w:val="12"/>
              </w:rPr>
              <w:t>http://creativecommons.org/licenses/by-nc-sa/3.0/</w:t>
            </w:r>
          </w:hyperlink>
        </w:p>
      </w:tc>
      <w:tc>
        <w:tcPr>
          <w:tcW w:w="614" w:type="dxa"/>
          <w:shd w:val="clear" w:color="auto" w:fill="auto"/>
          <w:vAlign w:val="center"/>
        </w:tcPr>
        <w:p w14:paraId="030C74A0" w14:textId="6C45033B" w:rsidR="00536040" w:rsidRPr="002E4C92" w:rsidRDefault="00536040" w:rsidP="00B06049">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0FE2D1C1" w14:textId="77777777" w:rsidR="00536040" w:rsidRPr="002E4C92" w:rsidRDefault="00536040"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D54BC4F" wp14:editId="16C90E99">
                <wp:extent cx="1714500" cy="647700"/>
                <wp:effectExtent l="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tc>
    </w:tr>
  </w:tbl>
  <w:p w14:paraId="041CBB94" w14:textId="77777777" w:rsidR="00536040" w:rsidRPr="00B06049" w:rsidRDefault="00536040"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B7752" w14:textId="77777777" w:rsidR="004311AE" w:rsidRDefault="004311AE">
      <w:pPr>
        <w:spacing w:before="0" w:after="0" w:line="240" w:lineRule="auto"/>
      </w:pPr>
      <w:r>
        <w:separator/>
      </w:r>
    </w:p>
  </w:footnote>
  <w:footnote w:type="continuationSeparator" w:id="0">
    <w:p w14:paraId="35DFC154" w14:textId="77777777" w:rsidR="004311AE" w:rsidRDefault="004311A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5109"/>
      <w:gridCol w:w="3335"/>
      <w:gridCol w:w="4806"/>
    </w:tblGrid>
    <w:tr w:rsidR="00536040" w:rsidRPr="00563CB8" w14:paraId="20DF974F" w14:textId="77777777">
      <w:tc>
        <w:tcPr>
          <w:tcW w:w="3713" w:type="dxa"/>
          <w:shd w:val="clear" w:color="auto" w:fill="auto"/>
        </w:tcPr>
        <w:p w14:paraId="2E1D6FC4" w14:textId="77777777" w:rsidR="00536040" w:rsidRPr="00563CB8" w:rsidRDefault="00536040"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3A556BF9" w14:textId="77777777" w:rsidR="00536040" w:rsidRPr="00563CB8" w:rsidRDefault="00536040" w:rsidP="007017EB">
          <w:pPr>
            <w:jc w:val="center"/>
          </w:pPr>
        </w:p>
      </w:tc>
      <w:tc>
        <w:tcPr>
          <w:tcW w:w="3493" w:type="dxa"/>
          <w:shd w:val="clear" w:color="auto" w:fill="auto"/>
        </w:tcPr>
        <w:p w14:paraId="7A1C0B04" w14:textId="77777777" w:rsidR="00536040" w:rsidRPr="00E946A0" w:rsidRDefault="00536040" w:rsidP="007017EB">
          <w:pPr>
            <w:pStyle w:val="PageHeader"/>
            <w:jc w:val="right"/>
            <w:rPr>
              <w:b w:val="0"/>
            </w:rPr>
          </w:pPr>
          <w:r>
            <w:rPr>
              <w:b w:val="0"/>
            </w:rPr>
            <w:t>Grade 12 • Module 3 • Unit 1 • Lesson 3</w:t>
          </w:r>
        </w:p>
      </w:tc>
    </w:tr>
  </w:tbl>
  <w:p w14:paraId="3CBC791B" w14:textId="77777777" w:rsidR="00536040" w:rsidRPr="007017EB" w:rsidRDefault="0053604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871"/>
    <w:multiLevelType w:val="hybridMultilevel"/>
    <w:tmpl w:val="6DE41BB4"/>
    <w:lvl w:ilvl="0" w:tplc="BD48EB60">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45EA0"/>
    <w:multiLevelType w:val="hybridMultilevel"/>
    <w:tmpl w:val="C5165D56"/>
    <w:lvl w:ilvl="0" w:tplc="B8426094">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A71B18"/>
    <w:multiLevelType w:val="hybridMultilevel"/>
    <w:tmpl w:val="21D2E6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C952C4A"/>
    <w:multiLevelType w:val="hybridMultilevel"/>
    <w:tmpl w:val="770A18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0723C9"/>
    <w:multiLevelType w:val="hybridMultilevel"/>
    <w:tmpl w:val="0C9276E8"/>
    <w:lvl w:ilvl="0" w:tplc="857EC24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F61EF1"/>
    <w:multiLevelType w:val="hybridMultilevel"/>
    <w:tmpl w:val="8B16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C21CB5"/>
    <w:multiLevelType w:val="hybridMultilevel"/>
    <w:tmpl w:val="DF566B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B74376"/>
    <w:multiLevelType w:val="hybridMultilevel"/>
    <w:tmpl w:val="901635F2"/>
    <w:lvl w:ilvl="0" w:tplc="90C44BD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4B4FB1"/>
    <w:multiLevelType w:val="hybridMultilevel"/>
    <w:tmpl w:val="04B4ACA0"/>
    <w:lvl w:ilvl="0" w:tplc="C87AA2E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2CD8C274"/>
    <w:lvl w:ilvl="0" w:tplc="892E0C7A">
      <w:start w:val="2"/>
      <w:numFmt w:val="lowerLetter"/>
      <w:pStyle w:val="SubStandard"/>
      <w:lvlText w:val="%1."/>
      <w:lvlJc w:val="left"/>
      <w:pPr>
        <w:ind w:left="360" w:hanging="360"/>
      </w:pPr>
      <w:rPr>
        <w:rFonts w:hint="default"/>
        <w:b w:val="0"/>
        <w:i w:val="0"/>
        <w:color w:val="000000" w:themeColor="text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1317B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7"/>
  </w:num>
  <w:num w:numId="5">
    <w:abstractNumId w:val="2"/>
  </w:num>
  <w:num w:numId="6">
    <w:abstractNumId w:val="19"/>
  </w:num>
  <w:num w:numId="7">
    <w:abstractNumId w:val="10"/>
    <w:lvlOverride w:ilvl="0">
      <w:startOverride w:val="1"/>
    </w:lvlOverride>
  </w:num>
  <w:num w:numId="8">
    <w:abstractNumId w:val="21"/>
  </w:num>
  <w:num w:numId="9">
    <w:abstractNumId w:val="3"/>
  </w:num>
  <w:num w:numId="10">
    <w:abstractNumId w:val="18"/>
  </w:num>
  <w:num w:numId="11">
    <w:abstractNumId w:val="22"/>
  </w:num>
  <w:num w:numId="12">
    <w:abstractNumId w:val="10"/>
  </w:num>
  <w:num w:numId="13">
    <w:abstractNumId w:val="10"/>
    <w:lvlOverride w:ilvl="0">
      <w:startOverride w:val="1"/>
    </w:lvlOverride>
  </w:num>
  <w:num w:numId="14">
    <w:abstractNumId w:val="8"/>
    <w:lvlOverride w:ilvl="0">
      <w:startOverride w:val="1"/>
    </w:lvlOverride>
  </w:num>
  <w:num w:numId="15">
    <w:abstractNumId w:val="21"/>
  </w:num>
  <w:num w:numId="16">
    <w:abstractNumId w:val="5"/>
  </w:num>
  <w:num w:numId="17">
    <w:abstractNumId w:val="1"/>
  </w:num>
  <w:num w:numId="18">
    <w:abstractNumId w:val="4"/>
  </w:num>
  <w:num w:numId="19">
    <w:abstractNumId w:val="20"/>
  </w:num>
  <w:num w:numId="20">
    <w:abstractNumId w:val="22"/>
    <w:lvlOverride w:ilvl="0">
      <w:startOverride w:val="3"/>
    </w:lvlOverride>
  </w:num>
  <w:num w:numId="21">
    <w:abstractNumId w:val="22"/>
    <w:lvlOverride w:ilvl="0">
      <w:startOverride w:val="1"/>
    </w:lvlOverride>
  </w:num>
  <w:num w:numId="22">
    <w:abstractNumId w:val="12"/>
  </w:num>
  <w:num w:numId="23">
    <w:abstractNumId w:val="23"/>
  </w:num>
  <w:num w:numId="24">
    <w:abstractNumId w:val="22"/>
    <w:lvlOverride w:ilvl="0">
      <w:startOverride w:val="3"/>
    </w:lvlOverride>
  </w:num>
  <w:num w:numId="25">
    <w:abstractNumId w:val="7"/>
  </w:num>
  <w:num w:numId="26">
    <w:abstractNumId w:val="14"/>
  </w:num>
  <w:num w:numId="27">
    <w:abstractNumId w:val="15"/>
  </w:num>
  <w:num w:numId="28">
    <w:abstractNumId w:val="6"/>
  </w:num>
  <w:num w:numId="29">
    <w:abstractNumId w:val="16"/>
  </w:num>
  <w:num w:numId="30">
    <w:abstractNumId w:val="0"/>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D8D"/>
    <w:rsid w:val="0000222B"/>
    <w:rsid w:val="000047D0"/>
    <w:rsid w:val="00007B84"/>
    <w:rsid w:val="0001051A"/>
    <w:rsid w:val="00010B2B"/>
    <w:rsid w:val="000302AA"/>
    <w:rsid w:val="00032B05"/>
    <w:rsid w:val="00035444"/>
    <w:rsid w:val="00044E13"/>
    <w:rsid w:val="0004796E"/>
    <w:rsid w:val="000526FC"/>
    <w:rsid w:val="00054262"/>
    <w:rsid w:val="0005756F"/>
    <w:rsid w:val="00065687"/>
    <w:rsid w:val="000700C6"/>
    <w:rsid w:val="00073B7F"/>
    <w:rsid w:val="00076216"/>
    <w:rsid w:val="00076AE8"/>
    <w:rsid w:val="00092B03"/>
    <w:rsid w:val="000A3699"/>
    <w:rsid w:val="000A36CC"/>
    <w:rsid w:val="000B2910"/>
    <w:rsid w:val="000B3273"/>
    <w:rsid w:val="000B3A6F"/>
    <w:rsid w:val="000B4276"/>
    <w:rsid w:val="000C038E"/>
    <w:rsid w:val="000C0F3C"/>
    <w:rsid w:val="000C1047"/>
    <w:rsid w:val="000C7F7E"/>
    <w:rsid w:val="000D04F3"/>
    <w:rsid w:val="000D28A3"/>
    <w:rsid w:val="000D7FDB"/>
    <w:rsid w:val="000F1B6D"/>
    <w:rsid w:val="000F311B"/>
    <w:rsid w:val="000F61DD"/>
    <w:rsid w:val="001037A3"/>
    <w:rsid w:val="00105026"/>
    <w:rsid w:val="00113C34"/>
    <w:rsid w:val="00114432"/>
    <w:rsid w:val="00114572"/>
    <w:rsid w:val="0011500B"/>
    <w:rsid w:val="00117E4B"/>
    <w:rsid w:val="001270F4"/>
    <w:rsid w:val="00137C21"/>
    <w:rsid w:val="00144238"/>
    <w:rsid w:val="00144B97"/>
    <w:rsid w:val="00152B04"/>
    <w:rsid w:val="001558B2"/>
    <w:rsid w:val="00160651"/>
    <w:rsid w:val="00167D8D"/>
    <w:rsid w:val="00171386"/>
    <w:rsid w:val="001735F1"/>
    <w:rsid w:val="0017415D"/>
    <w:rsid w:val="001816E6"/>
    <w:rsid w:val="0018336F"/>
    <w:rsid w:val="001846B3"/>
    <w:rsid w:val="00184721"/>
    <w:rsid w:val="00187FE2"/>
    <w:rsid w:val="001948C7"/>
    <w:rsid w:val="0019661A"/>
    <w:rsid w:val="00196988"/>
    <w:rsid w:val="00197205"/>
    <w:rsid w:val="001A13D5"/>
    <w:rsid w:val="001A5E64"/>
    <w:rsid w:val="001B056D"/>
    <w:rsid w:val="001B1809"/>
    <w:rsid w:val="001C1C6C"/>
    <w:rsid w:val="001D63E9"/>
    <w:rsid w:val="001E4CFF"/>
    <w:rsid w:val="001E7361"/>
    <w:rsid w:val="001F2786"/>
    <w:rsid w:val="00203D04"/>
    <w:rsid w:val="00206161"/>
    <w:rsid w:val="00206472"/>
    <w:rsid w:val="002067D2"/>
    <w:rsid w:val="00210071"/>
    <w:rsid w:val="0021275E"/>
    <w:rsid w:val="0021588F"/>
    <w:rsid w:val="002177D6"/>
    <w:rsid w:val="00222AAE"/>
    <w:rsid w:val="00223E10"/>
    <w:rsid w:val="00224812"/>
    <w:rsid w:val="00224E1C"/>
    <w:rsid w:val="00224F7F"/>
    <w:rsid w:val="002259F2"/>
    <w:rsid w:val="002262CB"/>
    <w:rsid w:val="0022657A"/>
    <w:rsid w:val="00231532"/>
    <w:rsid w:val="00231A91"/>
    <w:rsid w:val="00232126"/>
    <w:rsid w:val="00242DC3"/>
    <w:rsid w:val="002443F3"/>
    <w:rsid w:val="00247EB4"/>
    <w:rsid w:val="002526B3"/>
    <w:rsid w:val="00255536"/>
    <w:rsid w:val="00257E7C"/>
    <w:rsid w:val="00271E62"/>
    <w:rsid w:val="002752C6"/>
    <w:rsid w:val="00276652"/>
    <w:rsid w:val="00282D07"/>
    <w:rsid w:val="00282F46"/>
    <w:rsid w:val="00283FDA"/>
    <w:rsid w:val="002922E0"/>
    <w:rsid w:val="00292E99"/>
    <w:rsid w:val="002953D8"/>
    <w:rsid w:val="0029633D"/>
    <w:rsid w:val="002A2E14"/>
    <w:rsid w:val="002A30D6"/>
    <w:rsid w:val="002B3DFF"/>
    <w:rsid w:val="002B6804"/>
    <w:rsid w:val="002C13BD"/>
    <w:rsid w:val="002C6219"/>
    <w:rsid w:val="002E7DE5"/>
    <w:rsid w:val="002F046F"/>
    <w:rsid w:val="002F435F"/>
    <w:rsid w:val="002F53FF"/>
    <w:rsid w:val="0030106C"/>
    <w:rsid w:val="0030659C"/>
    <w:rsid w:val="003146AE"/>
    <w:rsid w:val="00314ECF"/>
    <w:rsid w:val="00316999"/>
    <w:rsid w:val="00317353"/>
    <w:rsid w:val="00320D56"/>
    <w:rsid w:val="00324058"/>
    <w:rsid w:val="0032459E"/>
    <w:rsid w:val="00325EDA"/>
    <w:rsid w:val="003266EF"/>
    <w:rsid w:val="00326CC7"/>
    <w:rsid w:val="00341F48"/>
    <w:rsid w:val="00343008"/>
    <w:rsid w:val="00345DA0"/>
    <w:rsid w:val="003503BC"/>
    <w:rsid w:val="00350753"/>
    <w:rsid w:val="00356D14"/>
    <w:rsid w:val="00362D26"/>
    <w:rsid w:val="00372064"/>
    <w:rsid w:val="00381E8B"/>
    <w:rsid w:val="00384B40"/>
    <w:rsid w:val="003863E5"/>
    <w:rsid w:val="00386910"/>
    <w:rsid w:val="003870A1"/>
    <w:rsid w:val="003974D7"/>
    <w:rsid w:val="003A0C90"/>
    <w:rsid w:val="003B17EF"/>
    <w:rsid w:val="003B68ED"/>
    <w:rsid w:val="003B7325"/>
    <w:rsid w:val="003B7390"/>
    <w:rsid w:val="003B747C"/>
    <w:rsid w:val="003D40DA"/>
    <w:rsid w:val="003D46ED"/>
    <w:rsid w:val="003D6DE9"/>
    <w:rsid w:val="003E0E75"/>
    <w:rsid w:val="003E2442"/>
    <w:rsid w:val="003E5D0F"/>
    <w:rsid w:val="0040558B"/>
    <w:rsid w:val="0040761D"/>
    <w:rsid w:val="00414D6D"/>
    <w:rsid w:val="004213D1"/>
    <w:rsid w:val="00426317"/>
    <w:rsid w:val="004311AE"/>
    <w:rsid w:val="0043248C"/>
    <w:rsid w:val="0043379D"/>
    <w:rsid w:val="0043460D"/>
    <w:rsid w:val="00434689"/>
    <w:rsid w:val="00445E70"/>
    <w:rsid w:val="004468EC"/>
    <w:rsid w:val="004475D1"/>
    <w:rsid w:val="00450311"/>
    <w:rsid w:val="00451EB2"/>
    <w:rsid w:val="00452620"/>
    <w:rsid w:val="0045682C"/>
    <w:rsid w:val="004575B7"/>
    <w:rsid w:val="0046176D"/>
    <w:rsid w:val="004656E5"/>
    <w:rsid w:val="00474AC1"/>
    <w:rsid w:val="00480607"/>
    <w:rsid w:val="00485F66"/>
    <w:rsid w:val="004864DA"/>
    <w:rsid w:val="00487D48"/>
    <w:rsid w:val="004921B4"/>
    <w:rsid w:val="004925B9"/>
    <w:rsid w:val="00495373"/>
    <w:rsid w:val="00497DFC"/>
    <w:rsid w:val="004A6BBB"/>
    <w:rsid w:val="004B08A9"/>
    <w:rsid w:val="004B3EF9"/>
    <w:rsid w:val="004C5B1B"/>
    <w:rsid w:val="004D3424"/>
    <w:rsid w:val="004D6AE9"/>
    <w:rsid w:val="004E2AE9"/>
    <w:rsid w:val="004E6071"/>
    <w:rsid w:val="004E6767"/>
    <w:rsid w:val="004F12EF"/>
    <w:rsid w:val="004F19F3"/>
    <w:rsid w:val="005000BC"/>
    <w:rsid w:val="0050373B"/>
    <w:rsid w:val="0051317E"/>
    <w:rsid w:val="005201A9"/>
    <w:rsid w:val="005201DF"/>
    <w:rsid w:val="00520C31"/>
    <w:rsid w:val="00530380"/>
    <w:rsid w:val="005331FE"/>
    <w:rsid w:val="0053541D"/>
    <w:rsid w:val="0053566B"/>
    <w:rsid w:val="00536040"/>
    <w:rsid w:val="00545C0B"/>
    <w:rsid w:val="005474BA"/>
    <w:rsid w:val="0054786E"/>
    <w:rsid w:val="00552A91"/>
    <w:rsid w:val="005618DB"/>
    <w:rsid w:val="00574DD3"/>
    <w:rsid w:val="0057776E"/>
    <w:rsid w:val="00581233"/>
    <w:rsid w:val="00583098"/>
    <w:rsid w:val="005909CE"/>
    <w:rsid w:val="0059213E"/>
    <w:rsid w:val="00592869"/>
    <w:rsid w:val="00594A97"/>
    <w:rsid w:val="005A06B9"/>
    <w:rsid w:val="005B0E65"/>
    <w:rsid w:val="005B38C6"/>
    <w:rsid w:val="005B441B"/>
    <w:rsid w:val="005B795F"/>
    <w:rsid w:val="005C1B8F"/>
    <w:rsid w:val="005C3523"/>
    <w:rsid w:val="005C4608"/>
    <w:rsid w:val="005D01A3"/>
    <w:rsid w:val="005D0673"/>
    <w:rsid w:val="005E5E79"/>
    <w:rsid w:val="005F4866"/>
    <w:rsid w:val="00603227"/>
    <w:rsid w:val="006130E2"/>
    <w:rsid w:val="00613C2F"/>
    <w:rsid w:val="00621758"/>
    <w:rsid w:val="00622392"/>
    <w:rsid w:val="006264B4"/>
    <w:rsid w:val="00627969"/>
    <w:rsid w:val="00632281"/>
    <w:rsid w:val="00635AAC"/>
    <w:rsid w:val="00635CCF"/>
    <w:rsid w:val="00637878"/>
    <w:rsid w:val="006419BD"/>
    <w:rsid w:val="006458A0"/>
    <w:rsid w:val="00650E7F"/>
    <w:rsid w:val="00652036"/>
    <w:rsid w:val="00657B1C"/>
    <w:rsid w:val="0066693A"/>
    <w:rsid w:val="00667F4C"/>
    <w:rsid w:val="006711DE"/>
    <w:rsid w:val="006770CE"/>
    <w:rsid w:val="00690DE9"/>
    <w:rsid w:val="006912B1"/>
    <w:rsid w:val="0069711A"/>
    <w:rsid w:val="006A19DA"/>
    <w:rsid w:val="006A5CB3"/>
    <w:rsid w:val="006A616E"/>
    <w:rsid w:val="006C139A"/>
    <w:rsid w:val="006C3BB0"/>
    <w:rsid w:val="006C5F80"/>
    <w:rsid w:val="006E06E9"/>
    <w:rsid w:val="006E3C89"/>
    <w:rsid w:val="006F3643"/>
    <w:rsid w:val="006F4251"/>
    <w:rsid w:val="006F65A7"/>
    <w:rsid w:val="007017EB"/>
    <w:rsid w:val="007053A6"/>
    <w:rsid w:val="0070683D"/>
    <w:rsid w:val="00711FED"/>
    <w:rsid w:val="00725DF2"/>
    <w:rsid w:val="00730546"/>
    <w:rsid w:val="007306F4"/>
    <w:rsid w:val="00733A52"/>
    <w:rsid w:val="00734940"/>
    <w:rsid w:val="00734FC2"/>
    <w:rsid w:val="00734FC6"/>
    <w:rsid w:val="00737440"/>
    <w:rsid w:val="00742569"/>
    <w:rsid w:val="007434B2"/>
    <w:rsid w:val="007542A8"/>
    <w:rsid w:val="00754576"/>
    <w:rsid w:val="00763D41"/>
    <w:rsid w:val="00767D8E"/>
    <w:rsid w:val="00770B88"/>
    <w:rsid w:val="00771427"/>
    <w:rsid w:val="0078144A"/>
    <w:rsid w:val="00790B63"/>
    <w:rsid w:val="00790BCC"/>
    <w:rsid w:val="007A27E0"/>
    <w:rsid w:val="007A4385"/>
    <w:rsid w:val="007A5A4C"/>
    <w:rsid w:val="007A78BE"/>
    <w:rsid w:val="007B0CC6"/>
    <w:rsid w:val="007C0D2B"/>
    <w:rsid w:val="007C1BEB"/>
    <w:rsid w:val="007D2598"/>
    <w:rsid w:val="007D560F"/>
    <w:rsid w:val="007E484F"/>
    <w:rsid w:val="00801288"/>
    <w:rsid w:val="00816C6B"/>
    <w:rsid w:val="00816F39"/>
    <w:rsid w:val="00821F56"/>
    <w:rsid w:val="00823163"/>
    <w:rsid w:val="008233E3"/>
    <w:rsid w:val="0082699C"/>
    <w:rsid w:val="00827049"/>
    <w:rsid w:val="00840EFD"/>
    <w:rsid w:val="0084281A"/>
    <w:rsid w:val="008472AB"/>
    <w:rsid w:val="00855E55"/>
    <w:rsid w:val="0086535C"/>
    <w:rsid w:val="008733D7"/>
    <w:rsid w:val="008907F0"/>
    <w:rsid w:val="008929F5"/>
    <w:rsid w:val="00897F26"/>
    <w:rsid w:val="008A3EA7"/>
    <w:rsid w:val="008A5D16"/>
    <w:rsid w:val="008A7109"/>
    <w:rsid w:val="008B0596"/>
    <w:rsid w:val="008C0C77"/>
    <w:rsid w:val="008D6C20"/>
    <w:rsid w:val="008D7C8B"/>
    <w:rsid w:val="008E0122"/>
    <w:rsid w:val="008E4083"/>
    <w:rsid w:val="008E7852"/>
    <w:rsid w:val="008F3C4F"/>
    <w:rsid w:val="00902CF8"/>
    <w:rsid w:val="00903E76"/>
    <w:rsid w:val="009059D2"/>
    <w:rsid w:val="00912F62"/>
    <w:rsid w:val="0091619E"/>
    <w:rsid w:val="009162F7"/>
    <w:rsid w:val="00917380"/>
    <w:rsid w:val="00920B6A"/>
    <w:rsid w:val="00920C2F"/>
    <w:rsid w:val="00921674"/>
    <w:rsid w:val="009372CC"/>
    <w:rsid w:val="00937C99"/>
    <w:rsid w:val="009404BC"/>
    <w:rsid w:val="0094128B"/>
    <w:rsid w:val="009450B7"/>
    <w:rsid w:val="009450F1"/>
    <w:rsid w:val="009540E2"/>
    <w:rsid w:val="0095793B"/>
    <w:rsid w:val="009603C5"/>
    <w:rsid w:val="00967D14"/>
    <w:rsid w:val="00970A58"/>
    <w:rsid w:val="00972403"/>
    <w:rsid w:val="00973651"/>
    <w:rsid w:val="00974381"/>
    <w:rsid w:val="0098069E"/>
    <w:rsid w:val="00980E8C"/>
    <w:rsid w:val="00983093"/>
    <w:rsid w:val="00990E05"/>
    <w:rsid w:val="009948E6"/>
    <w:rsid w:val="00995BE0"/>
    <w:rsid w:val="009A2592"/>
    <w:rsid w:val="009A2C73"/>
    <w:rsid w:val="009B079B"/>
    <w:rsid w:val="009B204B"/>
    <w:rsid w:val="009D793E"/>
    <w:rsid w:val="009E3EAD"/>
    <w:rsid w:val="00A2256B"/>
    <w:rsid w:val="00A24DD2"/>
    <w:rsid w:val="00A2591E"/>
    <w:rsid w:val="00A27090"/>
    <w:rsid w:val="00A33DF3"/>
    <w:rsid w:val="00A35EA1"/>
    <w:rsid w:val="00A55DF4"/>
    <w:rsid w:val="00A57227"/>
    <w:rsid w:val="00A6365E"/>
    <w:rsid w:val="00A66B14"/>
    <w:rsid w:val="00A742AE"/>
    <w:rsid w:val="00A77B7D"/>
    <w:rsid w:val="00A77BFF"/>
    <w:rsid w:val="00A9051C"/>
    <w:rsid w:val="00A91816"/>
    <w:rsid w:val="00AA2A5C"/>
    <w:rsid w:val="00AA6112"/>
    <w:rsid w:val="00AA6B67"/>
    <w:rsid w:val="00AB0E7D"/>
    <w:rsid w:val="00AB5048"/>
    <w:rsid w:val="00AB758D"/>
    <w:rsid w:val="00AC4C58"/>
    <w:rsid w:val="00AD6933"/>
    <w:rsid w:val="00AE185E"/>
    <w:rsid w:val="00AE1E04"/>
    <w:rsid w:val="00AE4383"/>
    <w:rsid w:val="00AF32FD"/>
    <w:rsid w:val="00AF4B8D"/>
    <w:rsid w:val="00B034F7"/>
    <w:rsid w:val="00B06049"/>
    <w:rsid w:val="00B07784"/>
    <w:rsid w:val="00B12BD4"/>
    <w:rsid w:val="00B148E2"/>
    <w:rsid w:val="00B1782A"/>
    <w:rsid w:val="00B23221"/>
    <w:rsid w:val="00B240C0"/>
    <w:rsid w:val="00B249DE"/>
    <w:rsid w:val="00B31DD2"/>
    <w:rsid w:val="00B346D8"/>
    <w:rsid w:val="00B34FFA"/>
    <w:rsid w:val="00B3726C"/>
    <w:rsid w:val="00B469A7"/>
    <w:rsid w:val="00B470F6"/>
    <w:rsid w:val="00B60FC3"/>
    <w:rsid w:val="00B65124"/>
    <w:rsid w:val="00B82311"/>
    <w:rsid w:val="00B9201D"/>
    <w:rsid w:val="00B97A50"/>
    <w:rsid w:val="00BA13BE"/>
    <w:rsid w:val="00BA16E4"/>
    <w:rsid w:val="00BA179F"/>
    <w:rsid w:val="00BA287C"/>
    <w:rsid w:val="00BA2B24"/>
    <w:rsid w:val="00BA41C1"/>
    <w:rsid w:val="00BA4EAC"/>
    <w:rsid w:val="00BA5F98"/>
    <w:rsid w:val="00BA6719"/>
    <w:rsid w:val="00BB0385"/>
    <w:rsid w:val="00BB0C43"/>
    <w:rsid w:val="00BB5CA4"/>
    <w:rsid w:val="00BC22FA"/>
    <w:rsid w:val="00BC27C0"/>
    <w:rsid w:val="00BD1B01"/>
    <w:rsid w:val="00BD41D7"/>
    <w:rsid w:val="00BD55E8"/>
    <w:rsid w:val="00BE47CC"/>
    <w:rsid w:val="00BE4AE1"/>
    <w:rsid w:val="00BE5B1D"/>
    <w:rsid w:val="00BE7F7C"/>
    <w:rsid w:val="00BF1DA3"/>
    <w:rsid w:val="00BF3596"/>
    <w:rsid w:val="00BF368B"/>
    <w:rsid w:val="00C129FA"/>
    <w:rsid w:val="00C131B4"/>
    <w:rsid w:val="00C13CD7"/>
    <w:rsid w:val="00C15D66"/>
    <w:rsid w:val="00C16B8B"/>
    <w:rsid w:val="00C178B5"/>
    <w:rsid w:val="00C206E8"/>
    <w:rsid w:val="00C2288A"/>
    <w:rsid w:val="00C27655"/>
    <w:rsid w:val="00C35DA8"/>
    <w:rsid w:val="00C36006"/>
    <w:rsid w:val="00C370F3"/>
    <w:rsid w:val="00C5268D"/>
    <w:rsid w:val="00C606DA"/>
    <w:rsid w:val="00C70A8F"/>
    <w:rsid w:val="00C77F6B"/>
    <w:rsid w:val="00C8172E"/>
    <w:rsid w:val="00C91887"/>
    <w:rsid w:val="00CA0ACF"/>
    <w:rsid w:val="00CB5AAB"/>
    <w:rsid w:val="00CB5B05"/>
    <w:rsid w:val="00CB6C7E"/>
    <w:rsid w:val="00CC55CB"/>
    <w:rsid w:val="00CD0616"/>
    <w:rsid w:val="00CD7FBB"/>
    <w:rsid w:val="00CE3C64"/>
    <w:rsid w:val="00CE54F4"/>
    <w:rsid w:val="00CE6775"/>
    <w:rsid w:val="00D02523"/>
    <w:rsid w:val="00D069F1"/>
    <w:rsid w:val="00D134FE"/>
    <w:rsid w:val="00D152A0"/>
    <w:rsid w:val="00D15AA3"/>
    <w:rsid w:val="00D15B22"/>
    <w:rsid w:val="00D16385"/>
    <w:rsid w:val="00D201D7"/>
    <w:rsid w:val="00D31F4D"/>
    <w:rsid w:val="00D3360A"/>
    <w:rsid w:val="00D33664"/>
    <w:rsid w:val="00D43571"/>
    <w:rsid w:val="00D45057"/>
    <w:rsid w:val="00D4790B"/>
    <w:rsid w:val="00D47E9A"/>
    <w:rsid w:val="00D511CB"/>
    <w:rsid w:val="00D532E3"/>
    <w:rsid w:val="00D62665"/>
    <w:rsid w:val="00D63532"/>
    <w:rsid w:val="00D66C04"/>
    <w:rsid w:val="00D705FC"/>
    <w:rsid w:val="00D71CD9"/>
    <w:rsid w:val="00D81F46"/>
    <w:rsid w:val="00D81F63"/>
    <w:rsid w:val="00D84F72"/>
    <w:rsid w:val="00D925AC"/>
    <w:rsid w:val="00D953FD"/>
    <w:rsid w:val="00D96456"/>
    <w:rsid w:val="00DB06C4"/>
    <w:rsid w:val="00DB22E8"/>
    <w:rsid w:val="00DB5220"/>
    <w:rsid w:val="00DB56A4"/>
    <w:rsid w:val="00DC2957"/>
    <w:rsid w:val="00DC660E"/>
    <w:rsid w:val="00DD2475"/>
    <w:rsid w:val="00DD7A80"/>
    <w:rsid w:val="00DE43AD"/>
    <w:rsid w:val="00DF38D3"/>
    <w:rsid w:val="00DF54DC"/>
    <w:rsid w:val="00E01EEB"/>
    <w:rsid w:val="00E03FCB"/>
    <w:rsid w:val="00E04477"/>
    <w:rsid w:val="00E21653"/>
    <w:rsid w:val="00E30603"/>
    <w:rsid w:val="00E32420"/>
    <w:rsid w:val="00E37344"/>
    <w:rsid w:val="00E41C57"/>
    <w:rsid w:val="00E45D9A"/>
    <w:rsid w:val="00E528E7"/>
    <w:rsid w:val="00E56E7C"/>
    <w:rsid w:val="00E606E0"/>
    <w:rsid w:val="00E71B2E"/>
    <w:rsid w:val="00E72A0A"/>
    <w:rsid w:val="00E75BE4"/>
    <w:rsid w:val="00E7712B"/>
    <w:rsid w:val="00E905AB"/>
    <w:rsid w:val="00E933B4"/>
    <w:rsid w:val="00E95B47"/>
    <w:rsid w:val="00EA2B33"/>
    <w:rsid w:val="00EA44D0"/>
    <w:rsid w:val="00EA5069"/>
    <w:rsid w:val="00EA74B5"/>
    <w:rsid w:val="00EB1A72"/>
    <w:rsid w:val="00EB2365"/>
    <w:rsid w:val="00EB49E1"/>
    <w:rsid w:val="00EB5D4D"/>
    <w:rsid w:val="00EC719F"/>
    <w:rsid w:val="00EE1833"/>
    <w:rsid w:val="00EE1F03"/>
    <w:rsid w:val="00EE2EAA"/>
    <w:rsid w:val="00EE4AEC"/>
    <w:rsid w:val="00EE621A"/>
    <w:rsid w:val="00EE6D60"/>
    <w:rsid w:val="00EF3369"/>
    <w:rsid w:val="00EF3A51"/>
    <w:rsid w:val="00F05159"/>
    <w:rsid w:val="00F2354A"/>
    <w:rsid w:val="00F2366E"/>
    <w:rsid w:val="00F30521"/>
    <w:rsid w:val="00F42978"/>
    <w:rsid w:val="00F47DAA"/>
    <w:rsid w:val="00F522F5"/>
    <w:rsid w:val="00F5354E"/>
    <w:rsid w:val="00F65472"/>
    <w:rsid w:val="00F833C1"/>
    <w:rsid w:val="00F838CC"/>
    <w:rsid w:val="00F846DF"/>
    <w:rsid w:val="00F877D8"/>
    <w:rsid w:val="00F87FED"/>
    <w:rsid w:val="00F92590"/>
    <w:rsid w:val="00F927E2"/>
    <w:rsid w:val="00F92AA4"/>
    <w:rsid w:val="00FA01BA"/>
    <w:rsid w:val="00FA4546"/>
    <w:rsid w:val="00FB23D8"/>
    <w:rsid w:val="00FB5F05"/>
    <w:rsid w:val="00FC11F4"/>
    <w:rsid w:val="00FC19A3"/>
    <w:rsid w:val="00FC75B0"/>
    <w:rsid w:val="00FD2376"/>
    <w:rsid w:val="00FD4EFA"/>
    <w:rsid w:val="00FD5A37"/>
    <w:rsid w:val="00FE1BE2"/>
    <w:rsid w:val="00FF3ACC"/>
    <w:rsid w:val="00FF63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D927E"/>
  <w15:docId w15:val="{FB37F161-4617-4063-8993-C9DC443E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Emphasis">
    <w:name w:val="Emphasis"/>
    <w:uiPriority w:val="20"/>
    <w:qFormat/>
    <w:rsid w:val="00FC75B0"/>
    <w:rPr>
      <w:i/>
      <w:iCs/>
    </w:rPr>
  </w:style>
  <w:style w:type="paragraph" w:styleId="Revision">
    <w:name w:val="Revision"/>
    <w:hidden/>
    <w:uiPriority w:val="99"/>
    <w:semiHidden/>
    <w:rsid w:val="00D02523"/>
    <w:rPr>
      <w:sz w:val="22"/>
      <w:szCs w:val="22"/>
    </w:rPr>
  </w:style>
  <w:style w:type="paragraph" w:customStyle="1" w:styleId="PageHeader0">
    <w:name w:val="Page Header"/>
    <w:basedOn w:val="BodyText"/>
    <w:link w:val="PageHeaderChar0"/>
    <w:qFormat/>
    <w:rsid w:val="007C1BEB"/>
    <w:rPr>
      <w:b/>
      <w:sz w:val="18"/>
    </w:rPr>
  </w:style>
  <w:style w:type="character" w:customStyle="1" w:styleId="PageHeaderChar0">
    <w:name w:val="Page Header Char"/>
    <w:link w:val="PageHeader0"/>
    <w:rsid w:val="007C1BEB"/>
    <w:rPr>
      <w:b/>
      <w:sz w:val="18"/>
      <w:szCs w:val="22"/>
    </w:rPr>
  </w:style>
  <w:style w:type="character" w:customStyle="1" w:styleId="ToolTableTextChar">
    <w:name w:val="*ToolTableText Char"/>
    <w:basedOn w:val="DefaultParagraphFont"/>
    <w:link w:val="ToolTableText"/>
    <w:rsid w:val="00BA17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82773">
      <w:bodyDiv w:val="1"/>
      <w:marLeft w:val="0"/>
      <w:marRight w:val="0"/>
      <w:marTop w:val="0"/>
      <w:marBottom w:val="0"/>
      <w:divBdr>
        <w:top w:val="none" w:sz="0" w:space="0" w:color="auto"/>
        <w:left w:val="none" w:sz="0" w:space="0" w:color="auto"/>
        <w:bottom w:val="none" w:sz="0" w:space="0" w:color="auto"/>
        <w:right w:val="none" w:sz="0" w:space="0" w:color="auto"/>
      </w:divBdr>
      <w:divsChild>
        <w:div w:id="1079868240">
          <w:marLeft w:val="0"/>
          <w:marRight w:val="0"/>
          <w:marTop w:val="0"/>
          <w:marBottom w:val="0"/>
          <w:divBdr>
            <w:top w:val="none" w:sz="0" w:space="0" w:color="auto"/>
            <w:left w:val="none" w:sz="0" w:space="0" w:color="auto"/>
            <w:bottom w:val="none" w:sz="0" w:space="0" w:color="auto"/>
            <w:right w:val="none" w:sz="0" w:space="0" w:color="auto"/>
          </w:divBdr>
        </w:div>
        <w:div w:id="1338070817">
          <w:marLeft w:val="0"/>
          <w:marRight w:val="0"/>
          <w:marTop w:val="0"/>
          <w:marBottom w:val="0"/>
          <w:divBdr>
            <w:top w:val="none" w:sz="0" w:space="0" w:color="auto"/>
            <w:left w:val="none" w:sz="0" w:space="0" w:color="auto"/>
            <w:bottom w:val="none" w:sz="0" w:space="0" w:color="auto"/>
            <w:right w:val="none" w:sz="0" w:space="0" w:color="auto"/>
          </w:divBdr>
        </w:div>
      </w:divsChild>
    </w:div>
    <w:div w:id="1122923631">
      <w:bodyDiv w:val="1"/>
      <w:marLeft w:val="0"/>
      <w:marRight w:val="0"/>
      <w:marTop w:val="0"/>
      <w:marBottom w:val="0"/>
      <w:divBdr>
        <w:top w:val="none" w:sz="0" w:space="0" w:color="auto"/>
        <w:left w:val="none" w:sz="0" w:space="0" w:color="auto"/>
        <w:bottom w:val="none" w:sz="0" w:space="0" w:color="auto"/>
        <w:right w:val="none" w:sz="0" w:space="0" w:color="auto"/>
      </w:divBdr>
    </w:div>
    <w:div w:id="1561400660">
      <w:bodyDiv w:val="1"/>
      <w:marLeft w:val="0"/>
      <w:marRight w:val="0"/>
      <w:marTop w:val="0"/>
      <w:marBottom w:val="0"/>
      <w:divBdr>
        <w:top w:val="none" w:sz="0" w:space="0" w:color="auto"/>
        <w:left w:val="none" w:sz="0" w:space="0" w:color="auto"/>
        <w:bottom w:val="none" w:sz="0" w:space="0" w:color="auto"/>
        <w:right w:val="none" w:sz="0" w:space="0" w:color="auto"/>
      </w:divBdr>
      <w:divsChild>
        <w:div w:id="990013676">
          <w:marLeft w:val="0"/>
          <w:marRight w:val="0"/>
          <w:marTop w:val="0"/>
          <w:marBottom w:val="0"/>
          <w:divBdr>
            <w:top w:val="none" w:sz="0" w:space="0" w:color="auto"/>
            <w:left w:val="none" w:sz="0" w:space="0" w:color="auto"/>
            <w:bottom w:val="none" w:sz="0" w:space="0" w:color="auto"/>
            <w:right w:val="none" w:sz="0" w:space="0" w:color="auto"/>
          </w:divBdr>
          <w:divsChild>
            <w:div w:id="1150636496">
              <w:marLeft w:val="0"/>
              <w:marRight w:val="0"/>
              <w:marTop w:val="0"/>
              <w:marBottom w:val="0"/>
              <w:divBdr>
                <w:top w:val="none" w:sz="0" w:space="0" w:color="auto"/>
                <w:left w:val="none" w:sz="0" w:space="0" w:color="auto"/>
                <w:bottom w:val="none" w:sz="0" w:space="0" w:color="auto"/>
                <w:right w:val="none" w:sz="0" w:space="0" w:color="auto"/>
              </w:divBdr>
              <w:divsChild>
                <w:div w:id="1787506773">
                  <w:marLeft w:val="0"/>
                  <w:marRight w:val="0"/>
                  <w:marTop w:val="0"/>
                  <w:marBottom w:val="0"/>
                  <w:divBdr>
                    <w:top w:val="none" w:sz="0" w:space="0" w:color="auto"/>
                    <w:left w:val="none" w:sz="0" w:space="0" w:color="auto"/>
                    <w:bottom w:val="none" w:sz="0" w:space="0" w:color="auto"/>
                    <w:right w:val="none" w:sz="0" w:space="0" w:color="auto"/>
                  </w:divBdr>
                  <w:divsChild>
                    <w:div w:id="522479746">
                      <w:marLeft w:val="0"/>
                      <w:marRight w:val="0"/>
                      <w:marTop w:val="0"/>
                      <w:marBottom w:val="0"/>
                      <w:divBdr>
                        <w:top w:val="none" w:sz="0" w:space="0" w:color="auto"/>
                        <w:left w:val="none" w:sz="0" w:space="0" w:color="auto"/>
                        <w:bottom w:val="none" w:sz="0" w:space="0" w:color="auto"/>
                        <w:right w:val="none" w:sz="0" w:space="0" w:color="auto"/>
                      </w:divBdr>
                      <w:divsChild>
                        <w:div w:id="1022171218">
                          <w:marLeft w:val="0"/>
                          <w:marRight w:val="0"/>
                          <w:marTop w:val="15"/>
                          <w:marBottom w:val="0"/>
                          <w:divBdr>
                            <w:top w:val="none" w:sz="0" w:space="0" w:color="auto"/>
                            <w:left w:val="none" w:sz="0" w:space="0" w:color="auto"/>
                            <w:bottom w:val="none" w:sz="0" w:space="0" w:color="auto"/>
                            <w:right w:val="none" w:sz="0" w:space="0" w:color="auto"/>
                          </w:divBdr>
                          <w:divsChild>
                            <w:div w:id="2045404559">
                              <w:marLeft w:val="0"/>
                              <w:marRight w:val="0"/>
                              <w:marTop w:val="0"/>
                              <w:marBottom w:val="0"/>
                              <w:divBdr>
                                <w:top w:val="none" w:sz="0" w:space="0" w:color="auto"/>
                                <w:left w:val="none" w:sz="0" w:space="0" w:color="auto"/>
                                <w:bottom w:val="none" w:sz="0" w:space="0" w:color="auto"/>
                                <w:right w:val="none" w:sz="0" w:space="0" w:color="auto"/>
                              </w:divBdr>
                              <w:divsChild>
                                <w:div w:id="8069774">
                                  <w:marLeft w:val="0"/>
                                  <w:marRight w:val="0"/>
                                  <w:marTop w:val="0"/>
                                  <w:marBottom w:val="0"/>
                                  <w:divBdr>
                                    <w:top w:val="none" w:sz="0" w:space="0" w:color="auto"/>
                                    <w:left w:val="none" w:sz="0" w:space="0" w:color="auto"/>
                                    <w:bottom w:val="none" w:sz="0" w:space="0" w:color="auto"/>
                                    <w:right w:val="none" w:sz="0" w:space="0" w:color="auto"/>
                                  </w:divBdr>
                                </w:div>
                                <w:div w:id="923105294">
                                  <w:marLeft w:val="0"/>
                                  <w:marRight w:val="0"/>
                                  <w:marTop w:val="0"/>
                                  <w:marBottom w:val="0"/>
                                  <w:divBdr>
                                    <w:top w:val="none" w:sz="0" w:space="0" w:color="auto"/>
                                    <w:left w:val="none" w:sz="0" w:space="0" w:color="auto"/>
                                    <w:bottom w:val="none" w:sz="0" w:space="0" w:color="auto"/>
                                    <w:right w:val="none" w:sz="0" w:space="0" w:color="auto"/>
                                  </w:divBdr>
                                </w:div>
                                <w:div w:id="1744451294">
                                  <w:marLeft w:val="0"/>
                                  <w:marRight w:val="0"/>
                                  <w:marTop w:val="0"/>
                                  <w:marBottom w:val="0"/>
                                  <w:divBdr>
                                    <w:top w:val="none" w:sz="0" w:space="0" w:color="auto"/>
                                    <w:left w:val="none" w:sz="0" w:space="0" w:color="auto"/>
                                    <w:bottom w:val="none" w:sz="0" w:space="0" w:color="auto"/>
                                    <w:right w:val="none" w:sz="0" w:space="0" w:color="auto"/>
                                  </w:divBdr>
                                </w:div>
                                <w:div w:id="1922176631">
                                  <w:marLeft w:val="0"/>
                                  <w:marRight w:val="0"/>
                                  <w:marTop w:val="0"/>
                                  <w:marBottom w:val="0"/>
                                  <w:divBdr>
                                    <w:top w:val="none" w:sz="0" w:space="0" w:color="auto"/>
                                    <w:left w:val="none" w:sz="0" w:space="0" w:color="auto"/>
                                    <w:bottom w:val="none" w:sz="0" w:space="0" w:color="auto"/>
                                    <w:right w:val="none" w:sz="0" w:space="0" w:color="auto"/>
                                  </w:divBdr>
                                </w:div>
                                <w:div w:id="1478231021">
                                  <w:marLeft w:val="0"/>
                                  <w:marRight w:val="0"/>
                                  <w:marTop w:val="0"/>
                                  <w:marBottom w:val="0"/>
                                  <w:divBdr>
                                    <w:top w:val="none" w:sz="0" w:space="0" w:color="auto"/>
                                    <w:left w:val="none" w:sz="0" w:space="0" w:color="auto"/>
                                    <w:bottom w:val="none" w:sz="0" w:space="0" w:color="auto"/>
                                    <w:right w:val="none" w:sz="0" w:space="0" w:color="auto"/>
                                  </w:divBdr>
                                </w:div>
                                <w:div w:id="774061236">
                                  <w:marLeft w:val="0"/>
                                  <w:marRight w:val="0"/>
                                  <w:marTop w:val="0"/>
                                  <w:marBottom w:val="0"/>
                                  <w:divBdr>
                                    <w:top w:val="none" w:sz="0" w:space="0" w:color="auto"/>
                                    <w:left w:val="none" w:sz="0" w:space="0" w:color="auto"/>
                                    <w:bottom w:val="none" w:sz="0" w:space="0" w:color="auto"/>
                                    <w:right w:val="none" w:sz="0" w:space="0" w:color="auto"/>
                                  </w:divBdr>
                                </w:div>
                                <w:div w:id="1365401731">
                                  <w:marLeft w:val="0"/>
                                  <w:marRight w:val="0"/>
                                  <w:marTop w:val="0"/>
                                  <w:marBottom w:val="0"/>
                                  <w:divBdr>
                                    <w:top w:val="none" w:sz="0" w:space="0" w:color="auto"/>
                                    <w:left w:val="none" w:sz="0" w:space="0" w:color="auto"/>
                                    <w:bottom w:val="none" w:sz="0" w:space="0" w:color="auto"/>
                                    <w:right w:val="none" w:sz="0" w:space="0" w:color="auto"/>
                                  </w:divBdr>
                                </w:div>
                                <w:div w:id="6327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E813-DF80-423D-8B7B-1631CAB3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6116</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2015-04-03T20:50:00Z</dcterms:created>
  <dcterms:modified xsi:type="dcterms:W3CDTF">2015-04-03T20:50:00Z</dcterms:modified>
</cp:coreProperties>
</file>