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1154CC" w:rsidRPr="00B44156">
        <w:trPr>
          <w:trHeight w:val="1008"/>
        </w:trPr>
        <w:tc>
          <w:tcPr>
            <w:tcW w:w="1980" w:type="dxa"/>
            <w:shd w:val="clear" w:color="auto" w:fill="385623"/>
            <w:vAlign w:val="center"/>
          </w:tcPr>
          <w:p w:rsidR="001154CC" w:rsidRPr="00B44156" w:rsidRDefault="001154CC" w:rsidP="001154CC">
            <w:pPr>
              <w:pStyle w:val="Header-banner"/>
            </w:pPr>
            <w:r w:rsidRPr="00B44156">
              <w:t>12.2.2</w:t>
            </w:r>
          </w:p>
        </w:tc>
        <w:tc>
          <w:tcPr>
            <w:tcW w:w="7470" w:type="dxa"/>
            <w:shd w:val="clear" w:color="auto" w:fill="76923C"/>
            <w:vAlign w:val="center"/>
          </w:tcPr>
          <w:p w:rsidR="001154CC" w:rsidRPr="00B44156" w:rsidRDefault="001154CC" w:rsidP="001154CC">
            <w:pPr>
              <w:pStyle w:val="Header2banner"/>
              <w:spacing w:line="240" w:lineRule="auto"/>
            </w:pPr>
            <w:r w:rsidRPr="00B44156">
              <w:t>Lesson 11</w:t>
            </w:r>
          </w:p>
        </w:tc>
      </w:tr>
    </w:tbl>
    <w:p w:rsidR="001154CC" w:rsidRPr="00833FD8" w:rsidRDefault="001154CC" w:rsidP="001154CC">
      <w:pPr>
        <w:pStyle w:val="Heading1"/>
      </w:pPr>
      <w:r w:rsidRPr="00833FD8">
        <w:t>Introduction</w:t>
      </w:r>
    </w:p>
    <w:p w:rsidR="001154CC" w:rsidRPr="00B44156" w:rsidRDefault="001154CC" w:rsidP="001154CC">
      <w:r w:rsidRPr="00B44156">
        <w:t xml:space="preserve">In this lesson, the Mid-Unit Assessment, students craft a formal, multi-paragraph response to the following prompt: </w:t>
      </w:r>
      <w:r w:rsidR="00C10BD5">
        <w:t>I</w:t>
      </w:r>
      <w:r w:rsidRPr="00B44156">
        <w:rPr>
          <w:rFonts w:eastAsia="MS Mincho" w:cs="Arial"/>
          <w:lang w:eastAsia="ja-JP"/>
        </w:rPr>
        <w:t>s Caesar’s death a “sacrifice” or a “butchery”?</w:t>
      </w:r>
      <w:r w:rsidRPr="00B44156">
        <w:t xml:space="preserve"> Students review their annotated texts, lesson Quick Writes, and discussion notes to organize their ideas. Students then develop their responses using relevant and sufficient evidence to support their claims. </w:t>
      </w:r>
    </w:p>
    <w:p w:rsidR="001154CC" w:rsidRPr="00B44156" w:rsidRDefault="001154CC" w:rsidP="001154CC">
      <w:pPr>
        <w:rPr>
          <w:rFonts w:eastAsia="MS Mincho" w:cs="Helvetica Neue"/>
          <w:lang w:eastAsia="ja-JP"/>
        </w:rPr>
      </w:pPr>
      <w:r w:rsidRPr="00B44156">
        <w:t xml:space="preserve">For homework, students continue to read their Accountable Independent Reading (AIR) texts and prepare for a brief discussion on how they applied a focus standard to their texts. Additionally, students </w:t>
      </w:r>
      <w:r w:rsidRPr="00B44156">
        <w:rPr>
          <w:rFonts w:eastAsia="MS Mincho" w:cs="Helvetica Neue"/>
          <w:lang w:eastAsia="ja-JP"/>
        </w:rPr>
        <w:t xml:space="preserve">read Act 3.1, lines 92–162 (from “Go to the pulpit, Brutus” to “Falls shrewdly to the purpose”) and respond to a series of questions. </w:t>
      </w:r>
    </w:p>
    <w:p w:rsidR="001154CC" w:rsidRPr="00833FD8" w:rsidRDefault="001154CC" w:rsidP="001154CC">
      <w:pPr>
        <w:pStyle w:val="Heading1"/>
      </w:pPr>
      <w:r w:rsidRPr="00833FD8">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1154CC" w:rsidRPr="00B44156">
        <w:tc>
          <w:tcPr>
            <w:tcW w:w="9468" w:type="dxa"/>
            <w:gridSpan w:val="2"/>
            <w:shd w:val="clear" w:color="auto" w:fill="76923C"/>
          </w:tcPr>
          <w:p w:rsidR="001154CC" w:rsidRPr="00B44156" w:rsidRDefault="001154CC" w:rsidP="001154CC">
            <w:pPr>
              <w:pStyle w:val="TableHeaders"/>
              <w:rPr>
                <w:lang w:val="en-US"/>
              </w:rPr>
            </w:pPr>
            <w:r w:rsidRPr="00B44156">
              <w:rPr>
                <w:lang w:val="en-US"/>
              </w:rPr>
              <w:t>Assessed Standard(s)</w:t>
            </w:r>
          </w:p>
        </w:tc>
      </w:tr>
      <w:tr w:rsidR="001154CC" w:rsidRPr="00B44156">
        <w:tc>
          <w:tcPr>
            <w:tcW w:w="1344" w:type="dxa"/>
          </w:tcPr>
          <w:p w:rsidR="001154CC" w:rsidRPr="00B44156" w:rsidRDefault="001154CC" w:rsidP="001154CC">
            <w:pPr>
              <w:pStyle w:val="TableText"/>
            </w:pPr>
            <w:r w:rsidRPr="00B44156">
              <w:t>RL.11-12.2</w:t>
            </w:r>
          </w:p>
        </w:tc>
        <w:tc>
          <w:tcPr>
            <w:tcW w:w="8124" w:type="dxa"/>
          </w:tcPr>
          <w:p w:rsidR="001154CC" w:rsidRPr="00B44156" w:rsidRDefault="001154CC" w:rsidP="001154CC">
            <w:pPr>
              <w:pStyle w:val="TableText"/>
            </w:pPr>
            <w:r w:rsidRPr="00B44156">
              <w:t xml:space="preserve">Determine two or more themes or central ideas of a text and analyze their development over the course of the text, including how they interact and build on one another to produce a complex account; provide an objective summary of the text. </w:t>
            </w:r>
          </w:p>
        </w:tc>
      </w:tr>
      <w:tr w:rsidR="001154CC" w:rsidRPr="00B44156">
        <w:tc>
          <w:tcPr>
            <w:tcW w:w="1344" w:type="dxa"/>
          </w:tcPr>
          <w:p w:rsidR="001154CC" w:rsidRPr="00B44156" w:rsidRDefault="001154CC" w:rsidP="001154CC">
            <w:pPr>
              <w:pStyle w:val="TableText"/>
              <w:rPr>
                <w:spacing w:val="-8"/>
              </w:rPr>
            </w:pPr>
            <w:r w:rsidRPr="00B44156">
              <w:rPr>
                <w:spacing w:val="-8"/>
              </w:rPr>
              <w:t xml:space="preserve">W.11-12.2.a-f </w:t>
            </w:r>
          </w:p>
        </w:tc>
        <w:tc>
          <w:tcPr>
            <w:tcW w:w="8124" w:type="dxa"/>
          </w:tcPr>
          <w:p w:rsidR="001154CC" w:rsidRPr="00B44156" w:rsidRDefault="001154CC" w:rsidP="001154CC">
            <w:pPr>
              <w:pStyle w:val="TableText"/>
            </w:pPr>
            <w:r w:rsidRPr="00B44156">
              <w:t>Write informative/explanatory texts to examine and convey complex ideas, concepts, and information clearly and accurately through the effective selection, organization, and analysis of content.</w:t>
            </w:r>
          </w:p>
          <w:p w:rsidR="001154CC" w:rsidRPr="00B44156" w:rsidRDefault="001154CC" w:rsidP="001154CC">
            <w:pPr>
              <w:pStyle w:val="SubStandard"/>
              <w:rPr>
                <w:lang w:val="en-US"/>
              </w:rPr>
            </w:pPr>
            <w:r w:rsidRPr="00B44156">
              <w:rPr>
                <w:lang w:val="en-US"/>
              </w:rPr>
              <w:t>Introduce a topic; organize complex ideas, concepts, and information so that each new element builds on that which precedes it to create a unified whole; include formatting (e.g., headings), graphics (e.g., figures, tables), and multimedia when useful to aiding comprehension.</w:t>
            </w:r>
          </w:p>
          <w:p w:rsidR="001154CC" w:rsidRPr="00B44156" w:rsidRDefault="001154CC" w:rsidP="001154CC">
            <w:pPr>
              <w:pStyle w:val="SubStandard"/>
              <w:rPr>
                <w:lang w:val="en-US"/>
              </w:rPr>
            </w:pPr>
            <w:r w:rsidRPr="00B44156">
              <w:rPr>
                <w:lang w:val="en-US"/>
              </w:rPr>
              <w:t>Develop the topic thoroughly by selecting the most significant and relevant facts, extended definitions, concrete details, quotations, or other information and examples appropriate to the audience’s knowledge of the topic.</w:t>
            </w:r>
          </w:p>
          <w:p w:rsidR="001154CC" w:rsidRPr="00B44156" w:rsidRDefault="001154CC" w:rsidP="001154CC">
            <w:pPr>
              <w:pStyle w:val="SubStandard"/>
              <w:numPr>
                <w:ilvl w:val="0"/>
                <w:numId w:val="12"/>
              </w:numPr>
              <w:rPr>
                <w:lang w:val="en-US"/>
              </w:rPr>
            </w:pPr>
            <w:r w:rsidRPr="00B44156">
              <w:rPr>
                <w:lang w:val="en-US"/>
              </w:rPr>
              <w:t>Use appropriate and varied transitions and syntax to link the major sections of the text, create cohesion, and clarify the relationships among complex ideas and concepts.</w:t>
            </w:r>
          </w:p>
          <w:p w:rsidR="001154CC" w:rsidRPr="00B44156" w:rsidRDefault="001154CC" w:rsidP="001154CC">
            <w:pPr>
              <w:pStyle w:val="SubStandard"/>
              <w:numPr>
                <w:ilvl w:val="0"/>
                <w:numId w:val="12"/>
              </w:numPr>
              <w:rPr>
                <w:lang w:val="en-US"/>
              </w:rPr>
            </w:pPr>
            <w:r w:rsidRPr="00B44156">
              <w:rPr>
                <w:lang w:val="en-US"/>
              </w:rPr>
              <w:t xml:space="preserve">Use precise language, domain-specific vocabulary, and techniques such as </w:t>
            </w:r>
            <w:r w:rsidRPr="00B44156">
              <w:rPr>
                <w:lang w:val="en-US"/>
              </w:rPr>
              <w:lastRenderedPageBreak/>
              <w:t xml:space="preserve">metaphor, simile, and analogy to manage the complexity of the topic. </w:t>
            </w:r>
          </w:p>
          <w:p w:rsidR="001154CC" w:rsidRPr="00B44156" w:rsidRDefault="001154CC" w:rsidP="001154CC">
            <w:pPr>
              <w:pStyle w:val="SubStandard"/>
              <w:numPr>
                <w:ilvl w:val="0"/>
                <w:numId w:val="12"/>
              </w:numPr>
              <w:rPr>
                <w:lang w:val="en-US"/>
              </w:rPr>
            </w:pPr>
            <w:r w:rsidRPr="00B44156">
              <w:rPr>
                <w:lang w:val="en-US"/>
              </w:rPr>
              <w:t xml:space="preserve">Establish and maintain a formal style and objective tone while attending to the norms and conventions of the discipline in which they are writing. </w:t>
            </w:r>
          </w:p>
          <w:p w:rsidR="001154CC" w:rsidRPr="00B44156" w:rsidRDefault="001154CC" w:rsidP="001154CC">
            <w:pPr>
              <w:pStyle w:val="SubStandard"/>
              <w:numPr>
                <w:ilvl w:val="0"/>
                <w:numId w:val="13"/>
              </w:numPr>
              <w:rPr>
                <w:lang w:val="en-US"/>
              </w:rPr>
            </w:pPr>
            <w:r w:rsidRPr="00B44156">
              <w:rPr>
                <w:lang w:val="en-US"/>
              </w:rPr>
              <w:t>Provide a concluding statement or section that follows from and supports the information or explanation presented (e.g., articulating implications or the significance of the topic).</w:t>
            </w:r>
          </w:p>
        </w:tc>
      </w:tr>
      <w:tr w:rsidR="001154CC" w:rsidRPr="00B44156">
        <w:tc>
          <w:tcPr>
            <w:tcW w:w="1344" w:type="dxa"/>
          </w:tcPr>
          <w:p w:rsidR="001154CC" w:rsidRPr="00B44156" w:rsidRDefault="001154CC" w:rsidP="001154CC">
            <w:pPr>
              <w:pStyle w:val="TableText"/>
            </w:pPr>
            <w:r w:rsidRPr="00B44156">
              <w:lastRenderedPageBreak/>
              <w:t>L.11-12.1</w:t>
            </w:r>
          </w:p>
        </w:tc>
        <w:tc>
          <w:tcPr>
            <w:tcW w:w="8124" w:type="dxa"/>
          </w:tcPr>
          <w:p w:rsidR="001154CC" w:rsidRPr="00B44156" w:rsidRDefault="001154CC" w:rsidP="001154CC">
            <w:pPr>
              <w:pStyle w:val="TableText"/>
            </w:pPr>
            <w:r w:rsidRPr="00B44156">
              <w:t>Demonstrate command of the conventions of standard English grammar and usage when writing or speaking.</w:t>
            </w:r>
          </w:p>
        </w:tc>
      </w:tr>
      <w:tr w:rsidR="001154CC" w:rsidRPr="00B44156">
        <w:tc>
          <w:tcPr>
            <w:tcW w:w="1344" w:type="dxa"/>
          </w:tcPr>
          <w:p w:rsidR="001154CC" w:rsidRPr="00B44156" w:rsidRDefault="001154CC" w:rsidP="001154CC">
            <w:pPr>
              <w:pStyle w:val="TableText"/>
              <w:rPr>
                <w:spacing w:val="-8"/>
              </w:rPr>
            </w:pPr>
            <w:r w:rsidRPr="00B44156">
              <w:rPr>
                <w:spacing w:val="-8"/>
              </w:rPr>
              <w:t>L.11-12.2.a, b</w:t>
            </w:r>
          </w:p>
        </w:tc>
        <w:tc>
          <w:tcPr>
            <w:tcW w:w="8124" w:type="dxa"/>
          </w:tcPr>
          <w:p w:rsidR="001154CC" w:rsidRPr="00B44156" w:rsidRDefault="001154CC" w:rsidP="001154CC">
            <w:pPr>
              <w:pStyle w:val="TableText"/>
            </w:pPr>
            <w:r w:rsidRPr="00B44156">
              <w:t>Demonstrate command of the conventions of standard English capitalization, punctuation, and spelling when writing.</w:t>
            </w:r>
          </w:p>
          <w:p w:rsidR="001154CC" w:rsidRPr="00B44156" w:rsidRDefault="001154CC" w:rsidP="001154CC">
            <w:pPr>
              <w:pStyle w:val="SubStandard"/>
              <w:numPr>
                <w:ilvl w:val="0"/>
                <w:numId w:val="16"/>
              </w:numPr>
              <w:rPr>
                <w:lang w:val="en-US"/>
              </w:rPr>
            </w:pPr>
            <w:r w:rsidRPr="00B44156">
              <w:rPr>
                <w:lang w:val="en-US"/>
              </w:rPr>
              <w:t>Observe hyphenation conventions.</w:t>
            </w:r>
          </w:p>
          <w:p w:rsidR="001154CC" w:rsidRPr="00B44156" w:rsidRDefault="001154CC" w:rsidP="001154CC">
            <w:pPr>
              <w:pStyle w:val="SubStandard"/>
              <w:rPr>
                <w:lang w:val="en-US"/>
              </w:rPr>
            </w:pPr>
            <w:r w:rsidRPr="00B44156">
              <w:rPr>
                <w:lang w:val="en-US"/>
              </w:rPr>
              <w:t>Spell correctly.</w:t>
            </w:r>
          </w:p>
        </w:tc>
      </w:tr>
      <w:tr w:rsidR="001154CC" w:rsidRPr="00B44156">
        <w:tc>
          <w:tcPr>
            <w:tcW w:w="9468" w:type="dxa"/>
            <w:gridSpan w:val="2"/>
            <w:shd w:val="clear" w:color="auto" w:fill="76923C"/>
          </w:tcPr>
          <w:p w:rsidR="001154CC" w:rsidRPr="00B44156" w:rsidRDefault="001154CC" w:rsidP="001154CC">
            <w:pPr>
              <w:pStyle w:val="TableHeaders"/>
              <w:rPr>
                <w:lang w:val="en-US"/>
              </w:rPr>
            </w:pPr>
            <w:r w:rsidRPr="00B44156">
              <w:rPr>
                <w:lang w:val="en-US"/>
              </w:rPr>
              <w:t>Addressed Standard(s)</w:t>
            </w:r>
          </w:p>
        </w:tc>
      </w:tr>
      <w:tr w:rsidR="001154CC" w:rsidRPr="00B44156">
        <w:tc>
          <w:tcPr>
            <w:tcW w:w="9468" w:type="dxa"/>
            <w:gridSpan w:val="2"/>
          </w:tcPr>
          <w:p w:rsidR="001154CC" w:rsidRPr="00B44156" w:rsidRDefault="001154CC" w:rsidP="001154CC">
            <w:pPr>
              <w:pStyle w:val="BulletedList"/>
            </w:pPr>
            <w:r w:rsidRPr="00B44156">
              <w:t>None.</w:t>
            </w:r>
          </w:p>
        </w:tc>
      </w:tr>
    </w:tbl>
    <w:p w:rsidR="001154CC" w:rsidRPr="00833FD8" w:rsidRDefault="001154CC" w:rsidP="001154CC">
      <w:pPr>
        <w:pStyle w:val="Heading1"/>
      </w:pPr>
      <w:r w:rsidRPr="00833FD8">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1154CC" w:rsidRPr="00B44156">
        <w:tc>
          <w:tcPr>
            <w:tcW w:w="9478" w:type="dxa"/>
            <w:shd w:val="clear" w:color="auto" w:fill="76923C"/>
          </w:tcPr>
          <w:p w:rsidR="001154CC" w:rsidRPr="00B44156" w:rsidRDefault="001154CC" w:rsidP="001154CC">
            <w:pPr>
              <w:pStyle w:val="TableHeaders"/>
              <w:rPr>
                <w:lang w:val="en-US"/>
              </w:rPr>
            </w:pPr>
            <w:r w:rsidRPr="00B44156">
              <w:rPr>
                <w:lang w:val="en-US"/>
              </w:rPr>
              <w:t>Assessment(s)</w:t>
            </w:r>
          </w:p>
        </w:tc>
      </w:tr>
      <w:tr w:rsidR="001154CC" w:rsidRPr="00B44156">
        <w:tc>
          <w:tcPr>
            <w:tcW w:w="9478" w:type="dxa"/>
            <w:tcBorders>
              <w:top w:val="single" w:sz="4" w:space="0" w:color="auto"/>
              <w:left w:val="single" w:sz="4" w:space="0" w:color="auto"/>
              <w:bottom w:val="single" w:sz="4" w:space="0" w:color="auto"/>
              <w:right w:val="single" w:sz="4" w:space="0" w:color="auto"/>
            </w:tcBorders>
          </w:tcPr>
          <w:p w:rsidR="001154CC" w:rsidRPr="00B44156" w:rsidRDefault="001154CC" w:rsidP="001154CC">
            <w:pPr>
              <w:pStyle w:val="TableText"/>
            </w:pPr>
            <w:r w:rsidRPr="00B44156">
              <w:t>Student learning is assessed via a multi-paragraph response. Students respond to the following prompt, citing textual evidence to support analysis and inferences drawn from the text.</w:t>
            </w:r>
          </w:p>
          <w:p w:rsidR="001154CC" w:rsidRPr="00B44156" w:rsidRDefault="00C10BD5" w:rsidP="001154CC">
            <w:pPr>
              <w:pStyle w:val="BulletedList"/>
              <w:ind w:left="318" w:hanging="318"/>
            </w:pPr>
            <w:r>
              <w:rPr>
                <w:rFonts w:eastAsia="MS Mincho" w:cs="Arial"/>
                <w:lang w:eastAsia="ja-JP"/>
              </w:rPr>
              <w:t>I</w:t>
            </w:r>
            <w:r w:rsidR="001154CC" w:rsidRPr="00B44156">
              <w:rPr>
                <w:rFonts w:eastAsia="MS Mincho" w:cs="Arial"/>
                <w:lang w:eastAsia="ja-JP"/>
              </w:rPr>
              <w:t xml:space="preserve">s Caesar’s death a “sacrifice” or a “butchery”? </w:t>
            </w:r>
            <w:r w:rsidR="001154CC" w:rsidRPr="00B44156">
              <w:t xml:space="preserve"> </w:t>
            </w:r>
          </w:p>
          <w:p w:rsidR="001154CC" w:rsidRPr="00B44156" w:rsidRDefault="001154CC" w:rsidP="001154CC">
            <w:pPr>
              <w:pStyle w:val="IN"/>
            </w:pPr>
            <w:r w:rsidRPr="00B44156">
              <w:t xml:space="preserve">The words </w:t>
            </w:r>
            <w:r w:rsidRPr="00B44156">
              <w:rPr>
                <w:i/>
              </w:rPr>
              <w:t>sacrifice</w:t>
            </w:r>
            <w:r w:rsidRPr="00B44156">
              <w:t xml:space="preserve"> and </w:t>
            </w:r>
            <w:r w:rsidRPr="00B44156">
              <w:rPr>
                <w:i/>
              </w:rPr>
              <w:t>butchery</w:t>
            </w:r>
            <w:r w:rsidRPr="00B44156">
              <w:t xml:space="preserve"> are derived from Act 2.1, line 179: “Let’s be sacrificers, but not butchers.”</w:t>
            </w:r>
          </w:p>
          <w:p w:rsidR="001154CC" w:rsidRPr="00B44156" w:rsidRDefault="001154CC" w:rsidP="001154CC">
            <w:pPr>
              <w:pStyle w:val="IN"/>
            </w:pPr>
            <w:r w:rsidRPr="00B44156">
              <w:t>Student responses will be assessed using the 12.2.2 Mid-Unit Text Analysis Rubric.</w:t>
            </w:r>
          </w:p>
        </w:tc>
      </w:tr>
      <w:tr w:rsidR="001154CC" w:rsidRPr="00B44156">
        <w:tc>
          <w:tcPr>
            <w:tcW w:w="9478" w:type="dxa"/>
            <w:shd w:val="clear" w:color="auto" w:fill="76923C"/>
          </w:tcPr>
          <w:p w:rsidR="001154CC" w:rsidRPr="00B44156" w:rsidRDefault="001154CC" w:rsidP="001154CC">
            <w:pPr>
              <w:pStyle w:val="TableHeaders"/>
              <w:rPr>
                <w:lang w:val="en-US"/>
              </w:rPr>
            </w:pPr>
            <w:r w:rsidRPr="00B44156">
              <w:rPr>
                <w:lang w:val="en-US"/>
              </w:rPr>
              <w:t>High Performance Response(s)</w:t>
            </w:r>
          </w:p>
        </w:tc>
      </w:tr>
      <w:tr w:rsidR="001154CC" w:rsidRPr="00B44156">
        <w:tc>
          <w:tcPr>
            <w:tcW w:w="9478" w:type="dxa"/>
          </w:tcPr>
          <w:p w:rsidR="001154CC" w:rsidRPr="00B44156" w:rsidRDefault="001154CC" w:rsidP="001154CC">
            <w:pPr>
              <w:pStyle w:val="TableText"/>
            </w:pPr>
            <w:r w:rsidRPr="00B44156">
              <w:t>A High Performance Response should:</w:t>
            </w:r>
          </w:p>
          <w:p w:rsidR="001154CC" w:rsidRPr="00B44156" w:rsidRDefault="001154CC" w:rsidP="001154CC">
            <w:pPr>
              <w:pStyle w:val="BulletedList"/>
              <w:ind w:left="459" w:hanging="425"/>
            </w:pPr>
            <w:r w:rsidRPr="00B44156">
              <w:t xml:space="preserve">Explain the meaning of the terms “sacrifice” and “butchery” in the text (e.g., The terms “sacrifice” and “butchery” refer to Brutus’s words to Cassius in Act 2.1, line 179, “[l]et’s be sacrificers, but not butchers.” This means that Brutus wants Caesar’s death to be a “sacrifice” for a higher purpose of the good of Rome, and not a meaningless murder or “butchery” for political gain.). </w:t>
            </w:r>
          </w:p>
          <w:p w:rsidR="001154CC" w:rsidRPr="00B44156" w:rsidRDefault="001154CC" w:rsidP="001154CC">
            <w:pPr>
              <w:pStyle w:val="BulletedList"/>
              <w:ind w:left="459" w:hanging="425"/>
            </w:pPr>
            <w:r w:rsidRPr="00B44156">
              <w:t>Make a claim as to whether Caesar’s death is a “sacrifice” or a “butchery” (e.g., Caesar dies for the good of Rome, so his death is a sacrifice; Caesar’s death is a butchery because it is a political murder that benefits the conspirators and not Rome).</w:t>
            </w:r>
          </w:p>
          <w:p w:rsidR="001154CC" w:rsidRPr="00B44156" w:rsidRDefault="001154CC" w:rsidP="001154CC">
            <w:pPr>
              <w:pStyle w:val="TableText"/>
            </w:pPr>
            <w:r w:rsidRPr="00B44156">
              <w:lastRenderedPageBreak/>
              <w:t>A High Performance Response may include the following evidence in support of multi-paragraph analysis:</w:t>
            </w:r>
          </w:p>
          <w:p w:rsidR="001154CC" w:rsidRPr="00B44156" w:rsidRDefault="001154CC" w:rsidP="001154CC">
            <w:pPr>
              <w:pStyle w:val="BulletedList"/>
              <w:ind w:left="318" w:hanging="318"/>
            </w:pPr>
            <w:r w:rsidRPr="00B44156">
              <w:t xml:space="preserve">In Act 2.1, Brutus explains his interpretation of Caesar’s pending death when he refuses to kill Mark Antony, saying: “Let’s be sacrificers, but not butchers” (Act 2.1, line 179). Through the contrast between the idea of sacrifice, of killing for a higher purpose, and the idea of butchery, of senseless slaughter, Brutus makes it clear that he intends Caesar’s death to be meaningful and to reflect more noble ambitions than mere personal gain. He develops this further when he remarks that “[the conspirators] all stand up against the spirit of Caesar, / And in the spirit of men there is no blood” (Act 2.1, lines 180–181). Brutus’s words suggest that the murder of Caesar is above all a symbolic one; the conspirators wish to destroy the threat of tyranny that Caesar represents to them, and not Caesar himself. Brutus wishes that there were a way to do so without the necessity of murder: “O that we … could come by Caesar’s spirit / And not dismember Caesar” (Act 2.1, lines 182–183). Brutus believes that the murder should be “necessary and not envious” (Act 2.1, line 191). The words and actions of the conspirators following the murder confirm their stated motivations; by shouting “Liberty! Freedom! Tyranny is dead!” (Act 3.1, line 86), the conspirators emphasize that it is in the name of these values, and not for the sake of power, that they have killed Caesar. Therefore, when Brutus proclaims, “Ambition’s debt is paid” (Act 3.1, line 91), he does not simply explain that Caesar died because he was ambitious; he also affirms his belief that Caesar’s death will bring resolution and restore Rome’s freedom, making the murder a necessary sacrifice. </w:t>
            </w:r>
          </w:p>
          <w:p w:rsidR="001154CC" w:rsidRPr="00B44156" w:rsidRDefault="001154CC" w:rsidP="001154CC">
            <w:pPr>
              <w:pStyle w:val="BulletedList"/>
              <w:ind w:left="318" w:hanging="318"/>
            </w:pPr>
            <w:r w:rsidRPr="00B44156">
              <w:t xml:space="preserve">Although the conspirators seek to present Caesar’s death as a necessary sacrifice, it is in fact neither necessary nor a sacrifice. First, it is by no means clear that Caesar will be a tyrant. Brutus acknowledges in Act 2.1, line 13 that he plans to murder Caesar not because of anything that he has done, but because of how becoming king “might change [Caesar’s] nature.” Second, Caesar’s murder seems, for at least some of the conspirators, to be motivated as much by envy and the desire for power as by a concern for Rome. In asking Brutus to join the conspiracy, Cassius appeals not only to Brutus’s loyalty to Rome, but to his ambition, asking him: “‘Brutus’ and ‘Caesar’—what should be in that / ‘Caesar’? / Why should that name be sounded more than / yours?” (Act 1.2, lines 149–152). Cassius himself seems to be motivated as much by envy as by concern for Rome. He bitterly recounts an incident when he had to save Caesar from drowning, before complaining that “this man / Is now become a god, and Cassius is / A wretched creature and must bend his body / If Caesar carelessly but nod on him” (Act 1.2, lines 122–125). In this light, Caesar’s murder seems to be more of a political murder motivated by jealousy than a necessary act for the good of Rome; it is butchery rather than sacrifice. </w:t>
            </w:r>
          </w:p>
        </w:tc>
      </w:tr>
    </w:tbl>
    <w:p w:rsidR="001154CC" w:rsidRPr="00833FD8" w:rsidRDefault="001154CC" w:rsidP="001154CC">
      <w:pPr>
        <w:pStyle w:val="Heading1"/>
      </w:pPr>
      <w:r w:rsidRPr="00833FD8">
        <w:lastRenderedPageBreak/>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154CC" w:rsidRPr="00B44156">
        <w:tc>
          <w:tcPr>
            <w:tcW w:w="9360" w:type="dxa"/>
            <w:shd w:val="clear" w:color="auto" w:fill="76923C"/>
          </w:tcPr>
          <w:p w:rsidR="001154CC" w:rsidRPr="00B44156" w:rsidRDefault="001154CC" w:rsidP="001154CC">
            <w:pPr>
              <w:pStyle w:val="TableHeaders"/>
              <w:keepNext/>
              <w:rPr>
                <w:lang w:val="en-US"/>
              </w:rPr>
            </w:pPr>
            <w:r w:rsidRPr="00B44156">
              <w:rPr>
                <w:lang w:val="en-US"/>
              </w:rPr>
              <w:t>Vocabulary to provide directly (will not include extended instruction)</w:t>
            </w:r>
          </w:p>
        </w:tc>
      </w:tr>
      <w:tr w:rsidR="001154CC" w:rsidRPr="00B44156">
        <w:tc>
          <w:tcPr>
            <w:tcW w:w="9360" w:type="dxa"/>
          </w:tcPr>
          <w:p w:rsidR="001154CC" w:rsidRPr="00B44156" w:rsidRDefault="001154CC" w:rsidP="001154CC">
            <w:pPr>
              <w:pStyle w:val="BulletedList"/>
            </w:pPr>
            <w:r w:rsidRPr="00B44156">
              <w:t>None.*</w:t>
            </w:r>
          </w:p>
        </w:tc>
      </w:tr>
      <w:tr w:rsidR="001154CC" w:rsidRPr="00B44156">
        <w:tc>
          <w:tcPr>
            <w:tcW w:w="9360" w:type="dxa"/>
            <w:shd w:val="clear" w:color="auto" w:fill="76923C"/>
          </w:tcPr>
          <w:p w:rsidR="001154CC" w:rsidRPr="00B44156" w:rsidRDefault="001154CC" w:rsidP="001154CC">
            <w:pPr>
              <w:pStyle w:val="TableHeaders"/>
              <w:rPr>
                <w:lang w:val="en-US"/>
              </w:rPr>
            </w:pPr>
            <w:r w:rsidRPr="00B44156">
              <w:rPr>
                <w:lang w:val="en-US"/>
              </w:rPr>
              <w:t>Vocabulary to teach (may include direct word work and/or questions)</w:t>
            </w:r>
          </w:p>
        </w:tc>
      </w:tr>
      <w:tr w:rsidR="001154CC" w:rsidRPr="00B44156">
        <w:tc>
          <w:tcPr>
            <w:tcW w:w="9360" w:type="dxa"/>
          </w:tcPr>
          <w:p w:rsidR="001154CC" w:rsidRPr="00B44156" w:rsidRDefault="001154CC" w:rsidP="001154CC">
            <w:pPr>
              <w:pStyle w:val="BulletedList"/>
            </w:pPr>
            <w:r w:rsidRPr="00B44156">
              <w:t>None.*</w:t>
            </w:r>
          </w:p>
        </w:tc>
      </w:tr>
      <w:tr w:rsidR="001154CC" w:rsidRPr="00B44156">
        <w:tc>
          <w:tcPr>
            <w:tcW w:w="9360" w:type="dxa"/>
            <w:tcBorders>
              <w:top w:val="single" w:sz="4" w:space="0" w:color="auto"/>
              <w:left w:val="single" w:sz="4" w:space="0" w:color="auto"/>
              <w:bottom w:val="single" w:sz="4" w:space="0" w:color="auto"/>
              <w:right w:val="single" w:sz="4" w:space="0" w:color="auto"/>
            </w:tcBorders>
            <w:shd w:val="clear" w:color="auto" w:fill="76923C"/>
          </w:tcPr>
          <w:p w:rsidR="001154CC" w:rsidRPr="00B44156" w:rsidRDefault="001154CC" w:rsidP="001154CC">
            <w:pPr>
              <w:pStyle w:val="TableHeaders"/>
              <w:rPr>
                <w:lang w:val="en-US"/>
              </w:rPr>
            </w:pPr>
            <w:r w:rsidRPr="00B44156">
              <w:rPr>
                <w:lang w:val="en-US"/>
              </w:rPr>
              <w:t>Additional vocabulary to support English Language Learners (to provide directly)</w:t>
            </w:r>
          </w:p>
        </w:tc>
      </w:tr>
      <w:tr w:rsidR="001154CC" w:rsidRPr="00B44156">
        <w:tc>
          <w:tcPr>
            <w:tcW w:w="9360" w:type="dxa"/>
            <w:tcBorders>
              <w:top w:val="single" w:sz="4" w:space="0" w:color="auto"/>
              <w:left w:val="single" w:sz="4" w:space="0" w:color="auto"/>
              <w:bottom w:val="single" w:sz="4" w:space="0" w:color="auto"/>
              <w:right w:val="single" w:sz="4" w:space="0" w:color="auto"/>
            </w:tcBorders>
          </w:tcPr>
          <w:p w:rsidR="001154CC" w:rsidRPr="00B44156" w:rsidRDefault="001154CC" w:rsidP="001154CC">
            <w:pPr>
              <w:pStyle w:val="BulletedList"/>
            </w:pPr>
            <w:r w:rsidRPr="00B44156">
              <w:t>None.*</w:t>
            </w:r>
          </w:p>
        </w:tc>
      </w:tr>
    </w:tbl>
    <w:p w:rsidR="001154CC" w:rsidRPr="00B44156" w:rsidRDefault="001154CC" w:rsidP="001154CC">
      <w:pPr>
        <w:rPr>
          <w:sz w:val="18"/>
        </w:rPr>
      </w:pPr>
      <w:r w:rsidRPr="00B44156">
        <w:rPr>
          <w:sz w:val="18"/>
        </w:rPr>
        <w:t>*Because this is not a close reading lesson, there is no specified vocabulary. However, in the process of returning to the text, students may uncover unfamiliar words. Teachers can guide students to make meaning of these words by following the protocols described in 1e of this document</w:t>
      </w:r>
      <w:r w:rsidR="00B44156">
        <w:rPr>
          <w:sz w:val="18"/>
        </w:rPr>
        <w:t>:</w:t>
      </w:r>
      <w:r w:rsidRPr="00B44156">
        <w:rPr>
          <w:sz w:val="18"/>
        </w:rPr>
        <w:t xml:space="preserve"> </w:t>
      </w:r>
      <w:hyperlink r:id="rId7" w:history="1">
        <w:r w:rsidRPr="00B44156">
          <w:rPr>
            <w:rStyle w:val="Hyperlink"/>
            <w:sz w:val="18"/>
          </w:rPr>
          <w:t>http://www.engageny.org/sites/default/files/resource/attachments/9-12_ela_prefatory_material.pdf</w:t>
        </w:r>
      </w:hyperlink>
      <w:r w:rsidRPr="00B44156">
        <w:rPr>
          <w:sz w:val="18"/>
        </w:rPr>
        <w:t xml:space="preserve"> </w:t>
      </w:r>
    </w:p>
    <w:p w:rsidR="001154CC" w:rsidRPr="00833FD8" w:rsidRDefault="001154CC" w:rsidP="001154CC">
      <w:pPr>
        <w:pStyle w:val="Heading1"/>
      </w:pPr>
      <w:r w:rsidRPr="00833FD8">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1154CC" w:rsidRPr="00B44156">
        <w:tc>
          <w:tcPr>
            <w:tcW w:w="7830" w:type="dxa"/>
            <w:tcBorders>
              <w:bottom w:val="single" w:sz="4" w:space="0" w:color="auto"/>
            </w:tcBorders>
            <w:shd w:val="clear" w:color="auto" w:fill="76923C"/>
          </w:tcPr>
          <w:p w:rsidR="001154CC" w:rsidRPr="00B44156" w:rsidRDefault="001154CC" w:rsidP="001154CC">
            <w:pPr>
              <w:pStyle w:val="TableHeaders"/>
              <w:rPr>
                <w:lang w:val="en-US"/>
              </w:rPr>
            </w:pPr>
            <w:r w:rsidRPr="00B44156">
              <w:rPr>
                <w:lang w:val="en-US"/>
              </w:rPr>
              <w:t>Student-Facing Agenda</w:t>
            </w:r>
          </w:p>
        </w:tc>
        <w:tc>
          <w:tcPr>
            <w:tcW w:w="1638" w:type="dxa"/>
            <w:tcBorders>
              <w:bottom w:val="single" w:sz="4" w:space="0" w:color="auto"/>
            </w:tcBorders>
            <w:shd w:val="clear" w:color="auto" w:fill="76923C"/>
          </w:tcPr>
          <w:p w:rsidR="001154CC" w:rsidRPr="00B44156" w:rsidRDefault="001154CC" w:rsidP="001154CC">
            <w:pPr>
              <w:pStyle w:val="TableHeaders"/>
              <w:rPr>
                <w:lang w:val="en-US"/>
              </w:rPr>
            </w:pPr>
            <w:r w:rsidRPr="00B44156">
              <w:rPr>
                <w:lang w:val="en-US"/>
              </w:rPr>
              <w:t>% of Lesson</w:t>
            </w:r>
          </w:p>
        </w:tc>
      </w:tr>
      <w:tr w:rsidR="001154CC" w:rsidRPr="00B44156">
        <w:trPr>
          <w:trHeight w:val="1313"/>
        </w:trPr>
        <w:tc>
          <w:tcPr>
            <w:tcW w:w="7830" w:type="dxa"/>
            <w:tcBorders>
              <w:bottom w:val="nil"/>
            </w:tcBorders>
          </w:tcPr>
          <w:p w:rsidR="001154CC" w:rsidRPr="00B44156" w:rsidRDefault="001154CC" w:rsidP="001154CC">
            <w:pPr>
              <w:pStyle w:val="TableText"/>
              <w:rPr>
                <w:b/>
              </w:rPr>
            </w:pPr>
            <w:r w:rsidRPr="00B44156">
              <w:rPr>
                <w:b/>
              </w:rPr>
              <w:t>Standards &amp; Text:</w:t>
            </w:r>
          </w:p>
          <w:p w:rsidR="001154CC" w:rsidRPr="00B44156" w:rsidRDefault="001154CC" w:rsidP="001154CC">
            <w:pPr>
              <w:pStyle w:val="BulletedList"/>
              <w:ind w:left="317" w:hanging="317"/>
            </w:pPr>
            <w:r w:rsidRPr="00B44156">
              <w:t>Standards: RL.11-12.2, W.11-12.2.a-f, L.11-12.1, L.11-12.2.a, b</w:t>
            </w:r>
          </w:p>
          <w:p w:rsidR="001154CC" w:rsidRPr="00B44156" w:rsidRDefault="001154CC" w:rsidP="001154CC">
            <w:pPr>
              <w:pStyle w:val="BulletedList"/>
              <w:ind w:left="317" w:hanging="317"/>
            </w:pPr>
            <w:r w:rsidRPr="00B44156">
              <w:t xml:space="preserve">Text: </w:t>
            </w:r>
            <w:r w:rsidRPr="00B44156">
              <w:rPr>
                <w:i/>
              </w:rPr>
              <w:t>Julius Caesar</w:t>
            </w:r>
            <w:r w:rsidRPr="00B44156">
              <w:t xml:space="preserve"> by William Shakespeare, Acts 1.1–3.1</w:t>
            </w:r>
          </w:p>
        </w:tc>
        <w:tc>
          <w:tcPr>
            <w:tcW w:w="1638" w:type="dxa"/>
            <w:tcBorders>
              <w:bottom w:val="nil"/>
            </w:tcBorders>
          </w:tcPr>
          <w:p w:rsidR="001154CC" w:rsidRPr="00B44156" w:rsidRDefault="001154CC" w:rsidP="001154CC"/>
          <w:p w:rsidR="001154CC" w:rsidRPr="00B44156" w:rsidRDefault="001154CC" w:rsidP="001154CC">
            <w:pPr>
              <w:pStyle w:val="NumberedList"/>
              <w:numPr>
                <w:ilvl w:val="0"/>
                <w:numId w:val="0"/>
              </w:numPr>
            </w:pPr>
          </w:p>
        </w:tc>
      </w:tr>
      <w:tr w:rsidR="001154CC" w:rsidRPr="00B44156">
        <w:tc>
          <w:tcPr>
            <w:tcW w:w="7830" w:type="dxa"/>
            <w:tcBorders>
              <w:top w:val="nil"/>
            </w:tcBorders>
          </w:tcPr>
          <w:p w:rsidR="001154CC" w:rsidRPr="00B44156" w:rsidRDefault="001154CC" w:rsidP="001154CC">
            <w:pPr>
              <w:pStyle w:val="TableText"/>
              <w:rPr>
                <w:b/>
              </w:rPr>
            </w:pPr>
            <w:r w:rsidRPr="00B44156">
              <w:rPr>
                <w:b/>
              </w:rPr>
              <w:t>Learning Sequence:</w:t>
            </w:r>
          </w:p>
          <w:p w:rsidR="001154CC" w:rsidRPr="00B44156" w:rsidRDefault="001154CC" w:rsidP="001154CC">
            <w:pPr>
              <w:pStyle w:val="NumberedList"/>
              <w:numPr>
                <w:ilvl w:val="0"/>
                <w:numId w:val="11"/>
              </w:numPr>
            </w:pPr>
            <w:r w:rsidRPr="00B44156">
              <w:t>Introduction of Lesson Agenda</w:t>
            </w:r>
          </w:p>
          <w:p w:rsidR="001154CC" w:rsidRPr="00B44156" w:rsidRDefault="001154CC" w:rsidP="001154CC">
            <w:pPr>
              <w:pStyle w:val="NumberedList"/>
              <w:numPr>
                <w:ilvl w:val="0"/>
                <w:numId w:val="11"/>
              </w:numPr>
            </w:pPr>
            <w:r w:rsidRPr="00B44156">
              <w:t>Homework Accountability</w:t>
            </w:r>
          </w:p>
          <w:p w:rsidR="001154CC" w:rsidRPr="00B44156" w:rsidRDefault="001154CC" w:rsidP="001154CC">
            <w:pPr>
              <w:pStyle w:val="NumberedList"/>
              <w:numPr>
                <w:ilvl w:val="0"/>
                <w:numId w:val="11"/>
              </w:numPr>
            </w:pPr>
            <w:r w:rsidRPr="00B44156">
              <w:t>12.2.2 Mid-Unit Assessment</w:t>
            </w:r>
          </w:p>
          <w:p w:rsidR="001154CC" w:rsidRPr="00B44156" w:rsidRDefault="001154CC" w:rsidP="001154CC">
            <w:pPr>
              <w:pStyle w:val="NumberedList"/>
              <w:numPr>
                <w:ilvl w:val="0"/>
                <w:numId w:val="11"/>
              </w:numPr>
            </w:pPr>
            <w:r w:rsidRPr="00B44156">
              <w:t>Closing</w:t>
            </w:r>
          </w:p>
        </w:tc>
        <w:tc>
          <w:tcPr>
            <w:tcW w:w="1638" w:type="dxa"/>
            <w:tcBorders>
              <w:top w:val="nil"/>
            </w:tcBorders>
          </w:tcPr>
          <w:p w:rsidR="001154CC" w:rsidRPr="00B44156" w:rsidRDefault="001154CC" w:rsidP="001154CC">
            <w:pPr>
              <w:pStyle w:val="TableText"/>
            </w:pPr>
          </w:p>
          <w:p w:rsidR="001154CC" w:rsidRPr="00B44156" w:rsidRDefault="001154CC" w:rsidP="001154CC">
            <w:pPr>
              <w:pStyle w:val="NumberedList"/>
            </w:pPr>
            <w:r w:rsidRPr="00B44156">
              <w:t>5%</w:t>
            </w:r>
          </w:p>
          <w:p w:rsidR="001154CC" w:rsidRPr="00B44156" w:rsidRDefault="001154CC" w:rsidP="001154CC">
            <w:pPr>
              <w:pStyle w:val="NumberedList"/>
              <w:numPr>
                <w:ilvl w:val="0"/>
                <w:numId w:val="11"/>
              </w:numPr>
            </w:pPr>
            <w:r w:rsidRPr="00B44156">
              <w:t>10%</w:t>
            </w:r>
          </w:p>
          <w:p w:rsidR="001154CC" w:rsidRPr="00B44156" w:rsidRDefault="001154CC" w:rsidP="001154CC">
            <w:pPr>
              <w:pStyle w:val="NumberedList"/>
              <w:numPr>
                <w:ilvl w:val="0"/>
                <w:numId w:val="11"/>
              </w:numPr>
            </w:pPr>
            <w:r w:rsidRPr="00B44156">
              <w:t>80%</w:t>
            </w:r>
          </w:p>
          <w:p w:rsidR="001154CC" w:rsidRPr="00B44156" w:rsidRDefault="001154CC" w:rsidP="001154CC">
            <w:pPr>
              <w:pStyle w:val="NumberedList"/>
              <w:numPr>
                <w:ilvl w:val="0"/>
                <w:numId w:val="11"/>
              </w:numPr>
            </w:pPr>
            <w:r w:rsidRPr="00B44156">
              <w:t>5%</w:t>
            </w:r>
          </w:p>
        </w:tc>
      </w:tr>
    </w:tbl>
    <w:p w:rsidR="001154CC" w:rsidRPr="00833FD8" w:rsidRDefault="001154CC" w:rsidP="001154CC">
      <w:pPr>
        <w:pStyle w:val="Heading1"/>
      </w:pPr>
      <w:r w:rsidRPr="00833FD8">
        <w:t>Materials</w:t>
      </w:r>
    </w:p>
    <w:p w:rsidR="001154CC" w:rsidRPr="00B44156" w:rsidRDefault="001154CC" w:rsidP="001154CC">
      <w:pPr>
        <w:pStyle w:val="BulletedList"/>
        <w:spacing w:before="0"/>
        <w:ind w:left="317" w:hanging="317"/>
      </w:pPr>
      <w:r w:rsidRPr="00B44156">
        <w:t>Copies of the 12.2.2 Mid-Unit Assessment for each student</w:t>
      </w:r>
    </w:p>
    <w:p w:rsidR="001154CC" w:rsidRPr="00B44156" w:rsidRDefault="001154CC" w:rsidP="001154CC">
      <w:pPr>
        <w:pStyle w:val="BulletedList"/>
        <w:ind w:left="317" w:hanging="317"/>
      </w:pPr>
      <w:r w:rsidRPr="00B44156">
        <w:t>Copies of the 12.2.2 Mid-Unit Text Analysis Rubric and Checklist for each student</w:t>
      </w:r>
    </w:p>
    <w:p w:rsidR="001154CC" w:rsidRPr="00833FD8" w:rsidRDefault="001154CC" w:rsidP="001154CC">
      <w:pPr>
        <w:pStyle w:val="Heading1"/>
      </w:pPr>
      <w:r w:rsidRPr="00833FD8">
        <w:lastRenderedPageBreak/>
        <w:t>Learning Sequence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74"/>
      </w:tblGrid>
      <w:tr w:rsidR="001154CC" w:rsidRPr="00B44156">
        <w:tc>
          <w:tcPr>
            <w:tcW w:w="9468" w:type="dxa"/>
            <w:gridSpan w:val="2"/>
            <w:shd w:val="clear" w:color="auto" w:fill="76923C"/>
          </w:tcPr>
          <w:p w:rsidR="001154CC" w:rsidRPr="00B44156" w:rsidRDefault="001154CC" w:rsidP="001154CC">
            <w:pPr>
              <w:pStyle w:val="TableHeaders"/>
              <w:keepNext/>
              <w:rPr>
                <w:lang w:val="en-US"/>
              </w:rPr>
            </w:pPr>
            <w:r w:rsidRPr="00B44156">
              <w:rPr>
                <w:lang w:val="en-US"/>
              </w:rPr>
              <w:t>How to Use the Learning Sequence</w:t>
            </w:r>
          </w:p>
        </w:tc>
      </w:tr>
      <w:tr w:rsidR="001154CC" w:rsidRPr="00B44156">
        <w:tc>
          <w:tcPr>
            <w:tcW w:w="894" w:type="dxa"/>
            <w:shd w:val="clear" w:color="auto" w:fill="76923C"/>
          </w:tcPr>
          <w:p w:rsidR="001154CC" w:rsidRPr="00B44156" w:rsidRDefault="001154CC" w:rsidP="001154CC">
            <w:pPr>
              <w:pStyle w:val="TableHeaders"/>
              <w:rPr>
                <w:lang w:val="en-US"/>
              </w:rPr>
            </w:pPr>
            <w:r w:rsidRPr="00B44156">
              <w:rPr>
                <w:lang w:val="en-US"/>
              </w:rPr>
              <w:t>Symbol</w:t>
            </w:r>
          </w:p>
        </w:tc>
        <w:tc>
          <w:tcPr>
            <w:tcW w:w="8574" w:type="dxa"/>
            <w:shd w:val="clear" w:color="auto" w:fill="76923C"/>
          </w:tcPr>
          <w:p w:rsidR="001154CC" w:rsidRPr="00B44156" w:rsidRDefault="001154CC" w:rsidP="001154CC">
            <w:pPr>
              <w:pStyle w:val="TableHeaders"/>
              <w:rPr>
                <w:lang w:val="en-US"/>
              </w:rPr>
            </w:pPr>
            <w:r w:rsidRPr="00B44156">
              <w:rPr>
                <w:lang w:val="en-US"/>
              </w:rPr>
              <w:t>Type of Text &amp; Interpretation of the Symbol</w:t>
            </w:r>
          </w:p>
        </w:tc>
      </w:tr>
      <w:tr w:rsidR="001154CC" w:rsidRPr="00B44156">
        <w:tc>
          <w:tcPr>
            <w:tcW w:w="894" w:type="dxa"/>
            <w:shd w:val="clear" w:color="auto" w:fill="auto"/>
          </w:tcPr>
          <w:p w:rsidR="001154CC" w:rsidRPr="00B44156" w:rsidRDefault="001154CC" w:rsidP="001154CC">
            <w:pPr>
              <w:spacing w:before="20" w:after="20" w:line="240" w:lineRule="auto"/>
              <w:jc w:val="center"/>
              <w:rPr>
                <w:b/>
                <w:color w:val="4F81BD"/>
                <w:sz w:val="20"/>
              </w:rPr>
            </w:pPr>
            <w:r w:rsidRPr="00B44156">
              <w:rPr>
                <w:b/>
                <w:color w:val="4F81BD"/>
                <w:sz w:val="20"/>
              </w:rPr>
              <w:t>10%</w:t>
            </w:r>
          </w:p>
        </w:tc>
        <w:tc>
          <w:tcPr>
            <w:tcW w:w="8574" w:type="dxa"/>
            <w:shd w:val="clear" w:color="auto" w:fill="auto"/>
          </w:tcPr>
          <w:p w:rsidR="001154CC" w:rsidRPr="00B44156" w:rsidRDefault="001154CC" w:rsidP="001154CC">
            <w:pPr>
              <w:spacing w:before="20" w:after="20" w:line="240" w:lineRule="auto"/>
              <w:rPr>
                <w:b/>
                <w:color w:val="4F81BD"/>
                <w:sz w:val="20"/>
              </w:rPr>
            </w:pPr>
            <w:r w:rsidRPr="00B44156">
              <w:rPr>
                <w:b/>
                <w:color w:val="4F81BD"/>
                <w:sz w:val="20"/>
              </w:rPr>
              <w:t>Percentage indicates the percentage of lesson time each activity should take.</w:t>
            </w:r>
          </w:p>
        </w:tc>
      </w:tr>
      <w:tr w:rsidR="001154CC" w:rsidRPr="00B44156">
        <w:tc>
          <w:tcPr>
            <w:tcW w:w="894" w:type="dxa"/>
            <w:vMerge w:val="restart"/>
            <w:shd w:val="clear" w:color="auto" w:fill="auto"/>
            <w:vAlign w:val="center"/>
          </w:tcPr>
          <w:p w:rsidR="001154CC" w:rsidRPr="00B44156" w:rsidRDefault="001154CC" w:rsidP="001154CC">
            <w:pPr>
              <w:spacing w:before="20" w:after="20" w:line="240" w:lineRule="auto"/>
              <w:jc w:val="center"/>
              <w:rPr>
                <w:sz w:val="18"/>
              </w:rPr>
            </w:pPr>
            <w:r w:rsidRPr="00B44156">
              <w:rPr>
                <w:sz w:val="18"/>
              </w:rPr>
              <w:t>no symbol</w:t>
            </w:r>
          </w:p>
        </w:tc>
        <w:tc>
          <w:tcPr>
            <w:tcW w:w="8574" w:type="dxa"/>
            <w:shd w:val="clear" w:color="auto" w:fill="auto"/>
          </w:tcPr>
          <w:p w:rsidR="001154CC" w:rsidRPr="00B44156" w:rsidRDefault="001154CC" w:rsidP="001154CC">
            <w:pPr>
              <w:spacing w:before="20" w:after="20" w:line="240" w:lineRule="auto"/>
              <w:rPr>
                <w:sz w:val="20"/>
              </w:rPr>
            </w:pPr>
            <w:r w:rsidRPr="00B44156">
              <w:rPr>
                <w:sz w:val="20"/>
              </w:rPr>
              <w:t>Plain text indicates teacher action.</w:t>
            </w:r>
          </w:p>
        </w:tc>
      </w:tr>
      <w:tr w:rsidR="001154CC" w:rsidRPr="00B44156">
        <w:tc>
          <w:tcPr>
            <w:tcW w:w="894" w:type="dxa"/>
            <w:vMerge/>
            <w:shd w:val="clear" w:color="auto" w:fill="auto"/>
          </w:tcPr>
          <w:p w:rsidR="001154CC" w:rsidRPr="00B44156" w:rsidRDefault="001154CC" w:rsidP="001154CC">
            <w:pPr>
              <w:spacing w:before="20" w:after="20" w:line="240" w:lineRule="auto"/>
              <w:jc w:val="center"/>
              <w:rPr>
                <w:b/>
                <w:color w:val="000000"/>
                <w:sz w:val="20"/>
              </w:rPr>
            </w:pPr>
          </w:p>
        </w:tc>
        <w:tc>
          <w:tcPr>
            <w:tcW w:w="8574" w:type="dxa"/>
            <w:shd w:val="clear" w:color="auto" w:fill="auto"/>
          </w:tcPr>
          <w:p w:rsidR="001154CC" w:rsidRPr="00B44156" w:rsidRDefault="001154CC" w:rsidP="001154CC">
            <w:pPr>
              <w:spacing w:before="20" w:after="20" w:line="240" w:lineRule="auto"/>
              <w:rPr>
                <w:color w:val="4F81BD"/>
                <w:sz w:val="20"/>
              </w:rPr>
            </w:pPr>
            <w:r w:rsidRPr="00B44156">
              <w:rPr>
                <w:b/>
                <w:sz w:val="20"/>
              </w:rPr>
              <w:t>Bold text indicates questions for the teacher to ask students.</w:t>
            </w:r>
          </w:p>
        </w:tc>
      </w:tr>
      <w:tr w:rsidR="001154CC" w:rsidRPr="00B44156">
        <w:tc>
          <w:tcPr>
            <w:tcW w:w="894" w:type="dxa"/>
            <w:vMerge/>
            <w:shd w:val="clear" w:color="auto" w:fill="auto"/>
          </w:tcPr>
          <w:p w:rsidR="001154CC" w:rsidRPr="00B44156" w:rsidRDefault="001154CC" w:rsidP="001154CC">
            <w:pPr>
              <w:spacing w:before="20" w:after="20" w:line="240" w:lineRule="auto"/>
              <w:jc w:val="center"/>
              <w:rPr>
                <w:b/>
                <w:color w:val="000000"/>
                <w:sz w:val="20"/>
              </w:rPr>
            </w:pPr>
          </w:p>
        </w:tc>
        <w:tc>
          <w:tcPr>
            <w:tcW w:w="8574" w:type="dxa"/>
            <w:shd w:val="clear" w:color="auto" w:fill="auto"/>
          </w:tcPr>
          <w:p w:rsidR="001154CC" w:rsidRPr="00B44156" w:rsidRDefault="001154CC" w:rsidP="001154CC">
            <w:pPr>
              <w:spacing w:before="20" w:after="20" w:line="240" w:lineRule="auto"/>
              <w:rPr>
                <w:i/>
                <w:sz w:val="20"/>
              </w:rPr>
            </w:pPr>
            <w:r w:rsidRPr="00B44156">
              <w:rPr>
                <w:i/>
                <w:sz w:val="20"/>
              </w:rPr>
              <w:t>Italicized text indicates a vocabulary word.</w:t>
            </w:r>
          </w:p>
        </w:tc>
      </w:tr>
      <w:tr w:rsidR="001154CC" w:rsidRPr="00B44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1154CC" w:rsidRPr="00B44156" w:rsidRDefault="001154CC" w:rsidP="001154CC">
            <w:pPr>
              <w:spacing w:before="40" w:after="0" w:line="240" w:lineRule="auto"/>
              <w:jc w:val="center"/>
              <w:rPr>
                <w:sz w:val="20"/>
              </w:rPr>
            </w:pPr>
            <w:r w:rsidRPr="00B44156">
              <w:sym w:font="Webdings" w:char="F034"/>
            </w:r>
          </w:p>
        </w:tc>
        <w:tc>
          <w:tcPr>
            <w:tcW w:w="8574" w:type="dxa"/>
            <w:shd w:val="clear" w:color="auto" w:fill="auto"/>
          </w:tcPr>
          <w:p w:rsidR="001154CC" w:rsidRPr="00B44156" w:rsidRDefault="001154CC" w:rsidP="001154CC">
            <w:pPr>
              <w:spacing w:before="20" w:after="20" w:line="240" w:lineRule="auto"/>
              <w:rPr>
                <w:sz w:val="20"/>
              </w:rPr>
            </w:pPr>
            <w:r w:rsidRPr="00B44156">
              <w:rPr>
                <w:sz w:val="20"/>
              </w:rPr>
              <w:t>Indicates student action(s).</w:t>
            </w:r>
          </w:p>
        </w:tc>
      </w:tr>
      <w:tr w:rsidR="001154CC" w:rsidRPr="00B44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1154CC" w:rsidRPr="00B44156" w:rsidRDefault="001154CC" w:rsidP="001154CC">
            <w:pPr>
              <w:spacing w:before="80" w:after="0" w:line="240" w:lineRule="auto"/>
              <w:jc w:val="center"/>
              <w:rPr>
                <w:sz w:val="20"/>
              </w:rPr>
            </w:pPr>
            <w:r w:rsidRPr="00B44156">
              <w:rPr>
                <w:sz w:val="20"/>
              </w:rPr>
              <w:sym w:font="Webdings" w:char="F028"/>
            </w:r>
          </w:p>
        </w:tc>
        <w:tc>
          <w:tcPr>
            <w:tcW w:w="8574" w:type="dxa"/>
            <w:shd w:val="clear" w:color="auto" w:fill="auto"/>
          </w:tcPr>
          <w:p w:rsidR="001154CC" w:rsidRPr="00B44156" w:rsidRDefault="001154CC" w:rsidP="001154CC">
            <w:pPr>
              <w:spacing w:before="20" w:after="20" w:line="240" w:lineRule="auto"/>
              <w:rPr>
                <w:sz w:val="20"/>
              </w:rPr>
            </w:pPr>
            <w:r w:rsidRPr="00B44156">
              <w:rPr>
                <w:sz w:val="20"/>
              </w:rPr>
              <w:t>Indicates possible student response(s) to teacher questions.</w:t>
            </w:r>
          </w:p>
        </w:tc>
      </w:tr>
      <w:tr w:rsidR="001154CC" w:rsidRPr="00B44156">
        <w:tc>
          <w:tcPr>
            <w:tcW w:w="894" w:type="dxa"/>
            <w:shd w:val="clear" w:color="auto" w:fill="auto"/>
            <w:vAlign w:val="bottom"/>
          </w:tcPr>
          <w:p w:rsidR="001154CC" w:rsidRPr="00B44156" w:rsidRDefault="001154CC" w:rsidP="001154CC">
            <w:pPr>
              <w:spacing w:after="0" w:line="240" w:lineRule="auto"/>
              <w:jc w:val="center"/>
              <w:rPr>
                <w:color w:val="4F81BD"/>
                <w:sz w:val="20"/>
              </w:rPr>
            </w:pPr>
            <w:r w:rsidRPr="00B44156">
              <w:rPr>
                <w:color w:val="4F81BD"/>
                <w:sz w:val="20"/>
              </w:rPr>
              <w:sym w:font="Webdings" w:char="F069"/>
            </w:r>
          </w:p>
        </w:tc>
        <w:tc>
          <w:tcPr>
            <w:tcW w:w="8574" w:type="dxa"/>
            <w:shd w:val="clear" w:color="auto" w:fill="auto"/>
          </w:tcPr>
          <w:p w:rsidR="001154CC" w:rsidRPr="00B44156" w:rsidRDefault="001154CC" w:rsidP="001154CC">
            <w:pPr>
              <w:spacing w:before="20" w:after="20" w:line="240" w:lineRule="auto"/>
              <w:rPr>
                <w:color w:val="4F81BD"/>
                <w:sz w:val="20"/>
              </w:rPr>
            </w:pPr>
            <w:r w:rsidRPr="00B44156">
              <w:rPr>
                <w:color w:val="4F81BD"/>
                <w:sz w:val="20"/>
              </w:rPr>
              <w:t>Indicates instructional notes for the teacher.</w:t>
            </w:r>
          </w:p>
        </w:tc>
      </w:tr>
    </w:tbl>
    <w:p w:rsidR="001154CC" w:rsidRPr="00B44156" w:rsidRDefault="001154CC" w:rsidP="001154CC">
      <w:pPr>
        <w:pStyle w:val="LearningSequenceHeader"/>
      </w:pPr>
      <w:r w:rsidRPr="00B44156">
        <w:t>Activity 1: Introduction of Lesson Agenda</w:t>
      </w:r>
      <w:r w:rsidRPr="00B44156">
        <w:tab/>
        <w:t>5%</w:t>
      </w:r>
    </w:p>
    <w:p w:rsidR="001154CC" w:rsidRPr="00B44156" w:rsidRDefault="001154CC" w:rsidP="001154CC">
      <w:pPr>
        <w:pStyle w:val="TA"/>
      </w:pPr>
      <w:r w:rsidRPr="00B44156">
        <w:t>Begin by reviewing the agenda and the assessed standards for this lesson: RL.11-12.2, W.11-12.2.a-f, L.11-12.1, and L.11-12.2.a, b. In this lesson, students complete the Mid-Unit Assessment in which they write a multi-paragraph response discussing whether Caesar’s death is “butchery” or “sacrifice.”</w:t>
      </w:r>
    </w:p>
    <w:p w:rsidR="001154CC" w:rsidRPr="00B44156" w:rsidRDefault="001154CC" w:rsidP="001154CC">
      <w:pPr>
        <w:pStyle w:val="SA"/>
        <w:numPr>
          <w:ilvl w:val="0"/>
          <w:numId w:val="2"/>
        </w:numPr>
      </w:pPr>
      <w:r w:rsidRPr="00B44156">
        <w:t>Students look at the agenda.</w:t>
      </w:r>
    </w:p>
    <w:p w:rsidR="001154CC" w:rsidRPr="00B44156" w:rsidRDefault="001154CC" w:rsidP="001154CC">
      <w:pPr>
        <w:pStyle w:val="LearningSequenceHeader"/>
      </w:pPr>
      <w:r w:rsidRPr="00B44156">
        <w:t>Activity 2: Homework Accountability</w:t>
      </w:r>
      <w:r w:rsidRPr="00B44156">
        <w:tab/>
        <w:t>10%</w:t>
      </w:r>
    </w:p>
    <w:p w:rsidR="001154CC" w:rsidRPr="00B44156" w:rsidRDefault="001154CC" w:rsidP="001154CC">
      <w:pPr>
        <w:pStyle w:val="TA"/>
      </w:pPr>
      <w:r w:rsidRPr="00B44156">
        <w:t>Ask students to take out their materials for the 12.2.2 Mid-Unit Assessment, including all notes, annotations, and Quick Writes.</w:t>
      </w:r>
    </w:p>
    <w:p w:rsidR="001154CC" w:rsidRPr="00B44156" w:rsidRDefault="001154CC" w:rsidP="001154CC">
      <w:pPr>
        <w:pStyle w:val="SA"/>
        <w:numPr>
          <w:ilvl w:val="0"/>
          <w:numId w:val="2"/>
        </w:numPr>
      </w:pPr>
      <w:r w:rsidRPr="00B44156">
        <w:t>Students take out their materials for the 12.2.2 Mid-Unit Assessment.</w:t>
      </w:r>
    </w:p>
    <w:p w:rsidR="001154CC" w:rsidRPr="00B44156" w:rsidRDefault="001154CC" w:rsidP="001154CC">
      <w:pPr>
        <w:pStyle w:val="IN"/>
        <w:ind w:left="426" w:hanging="426"/>
      </w:pPr>
      <w:r w:rsidRPr="00B44156">
        <w:t>Students demonstrate completion of their homework by having all of their materials organized and accessible for the assessment.</w:t>
      </w:r>
    </w:p>
    <w:p w:rsidR="001154CC" w:rsidRPr="00B44156" w:rsidRDefault="001154CC" w:rsidP="001154CC">
      <w:pPr>
        <w:pStyle w:val="LearningSequenceHeader"/>
      </w:pPr>
      <w:r w:rsidRPr="00B44156">
        <w:t>Activity 3: 12.2.2 Mid-Unit Assessment</w:t>
      </w:r>
      <w:r w:rsidRPr="00B44156">
        <w:tab/>
        <w:t>80%</w:t>
      </w:r>
    </w:p>
    <w:p w:rsidR="001154CC" w:rsidRPr="00B44156" w:rsidRDefault="001154CC" w:rsidP="001154CC">
      <w:pPr>
        <w:pStyle w:val="TA"/>
      </w:pPr>
      <w:r w:rsidRPr="00B44156">
        <w:t xml:space="preserve">Explain to students that because it is a formal writing task, the 12.2.2 Mid-Unit Assessment should include an introductory statement that introduces the topic of their responses; well-organized textual evidence that supports the analysis; varied transitions; and a concluding statement that articulates the information presented in the essay. Remind students to use standard grammar, capitalization, punctuation, and spelling. </w:t>
      </w:r>
    </w:p>
    <w:p w:rsidR="001154CC" w:rsidRPr="00B44156" w:rsidRDefault="001154CC" w:rsidP="001154CC">
      <w:pPr>
        <w:pStyle w:val="TA"/>
      </w:pPr>
      <w:r w:rsidRPr="00B44156">
        <w:t>Instruct students to write a multi-paragraph response to the following prompt:</w:t>
      </w:r>
    </w:p>
    <w:p w:rsidR="001154CC" w:rsidRPr="00B44156" w:rsidRDefault="00C10BD5" w:rsidP="001154CC">
      <w:pPr>
        <w:pStyle w:val="Q"/>
      </w:pPr>
      <w:r>
        <w:rPr>
          <w:lang w:eastAsia="ja-JP"/>
        </w:rPr>
        <w:t>I</w:t>
      </w:r>
      <w:r w:rsidR="001154CC" w:rsidRPr="00B44156">
        <w:rPr>
          <w:lang w:eastAsia="ja-JP"/>
        </w:rPr>
        <w:t>s Caesar’s death a “sacrifice” or a “butchery”?</w:t>
      </w:r>
      <w:r w:rsidR="001154CC" w:rsidRPr="00B44156">
        <w:t xml:space="preserve"> </w:t>
      </w:r>
    </w:p>
    <w:p w:rsidR="001154CC" w:rsidRPr="00B44156" w:rsidRDefault="001154CC" w:rsidP="001154CC">
      <w:pPr>
        <w:pStyle w:val="TA"/>
      </w:pPr>
      <w:r w:rsidRPr="00B44156">
        <w:lastRenderedPageBreak/>
        <w:t>Remind students to use their notes, annotated texts, and lesson Quick Writes to write their responses. Distribute and review the 12.2.2 Mid-Unit Text Analysis Rubric and Checklist. Remind students to use the 12.2.2 Mid</w:t>
      </w:r>
      <w:r w:rsidRPr="00B44156">
        <w:noBreakHyphen/>
        <w:t>Unit Text Analysis Rubric to guide their written responses. Ask students to use this unit’s vocabulary wherever possible in their written responses.</w:t>
      </w:r>
    </w:p>
    <w:p w:rsidR="001154CC" w:rsidRPr="00B44156" w:rsidRDefault="001154CC" w:rsidP="001154CC">
      <w:pPr>
        <w:pStyle w:val="IN"/>
      </w:pPr>
      <w:r w:rsidRPr="00B44156">
        <w:t>Display the prompt for students to see, or provide the prompt in hard copy.</w:t>
      </w:r>
    </w:p>
    <w:p w:rsidR="001154CC" w:rsidRPr="00B44156" w:rsidRDefault="001154CC" w:rsidP="001154CC">
      <w:pPr>
        <w:pStyle w:val="SA"/>
      </w:pPr>
      <w:r w:rsidRPr="00B44156">
        <w:t>Students independently answer the prompt, using evidence from the text.</w:t>
      </w:r>
    </w:p>
    <w:p w:rsidR="001154CC" w:rsidRPr="00B44156" w:rsidRDefault="001154CC" w:rsidP="001154CC">
      <w:pPr>
        <w:pStyle w:val="SR"/>
        <w:ind w:left="720"/>
      </w:pPr>
      <w:r w:rsidRPr="00B44156">
        <w:t>See the High Performance Response at the beginning of this lesson.</w:t>
      </w:r>
    </w:p>
    <w:p w:rsidR="001154CC" w:rsidRPr="00B44156" w:rsidRDefault="001154CC" w:rsidP="001154CC">
      <w:pPr>
        <w:pStyle w:val="LearningSequenceHeader"/>
      </w:pPr>
      <w:r w:rsidRPr="00B44156">
        <w:t>Activity 4: Closing</w:t>
      </w:r>
      <w:r w:rsidRPr="00B44156">
        <w:tab/>
        <w:t>5%</w:t>
      </w:r>
    </w:p>
    <w:p w:rsidR="001154CC" w:rsidRPr="00B44156" w:rsidRDefault="001154CC" w:rsidP="001154CC">
      <w:pPr>
        <w:pStyle w:val="TA"/>
      </w:pPr>
      <w:r w:rsidRPr="00B44156">
        <w:rPr>
          <w:szCs w:val="20"/>
          <w:shd w:val="clear" w:color="auto" w:fill="FFFFFF"/>
        </w:rPr>
        <w:t xml:space="preserve">Display and distribute the homework assignment. For homework, instruct </w:t>
      </w:r>
      <w:r w:rsidRPr="00B44156">
        <w:t xml:space="preserve">students to continue to read their AIR texts through the lens of a focus standard of their choice and prepare for a 3–5 minute discussion of their texts based on that standard. </w:t>
      </w:r>
    </w:p>
    <w:p w:rsidR="001154CC" w:rsidRPr="00B44156" w:rsidRDefault="001154CC" w:rsidP="001154CC">
      <w:pPr>
        <w:pStyle w:val="TA"/>
        <w:rPr>
          <w:rFonts w:eastAsia="MS Mincho" w:cs="Helvetica Neue"/>
          <w:lang w:eastAsia="ja-JP"/>
        </w:rPr>
      </w:pPr>
      <w:r w:rsidRPr="00B44156">
        <w:t xml:space="preserve">Additionally, instruct students to </w:t>
      </w:r>
      <w:r w:rsidRPr="00B44156">
        <w:rPr>
          <w:rFonts w:eastAsia="MS Mincho" w:cs="Helvetica Neue"/>
          <w:lang w:eastAsia="ja-JP"/>
        </w:rPr>
        <w:t xml:space="preserve">read Act 3.1, lines 92–162 (from “Go to the pulpit, Brutus” to “Falls shrewdly to the purpose”). </w:t>
      </w:r>
      <w:r w:rsidRPr="00B44156">
        <w:t>To support comprehension, instruct students to respond briefly to the following questions:</w:t>
      </w:r>
    </w:p>
    <w:p w:rsidR="001154CC" w:rsidRPr="00B44156" w:rsidRDefault="001154CC" w:rsidP="001154CC">
      <w:pPr>
        <w:pStyle w:val="Q"/>
        <w:rPr>
          <w:lang w:eastAsia="ja-JP"/>
        </w:rPr>
      </w:pPr>
      <w:r w:rsidRPr="00B44156">
        <w:rPr>
          <w:lang w:eastAsia="ja-JP"/>
        </w:rPr>
        <w:t>What do the conspirators’ words and actions in lines 117–136 suggest about their reasons for killing Caesar?</w:t>
      </w:r>
    </w:p>
    <w:p w:rsidR="001154CC" w:rsidRPr="00B44156" w:rsidRDefault="001154CC" w:rsidP="001154CC">
      <w:pPr>
        <w:pStyle w:val="Q"/>
        <w:rPr>
          <w:lang w:eastAsia="ja-JP"/>
        </w:rPr>
      </w:pPr>
      <w:r w:rsidRPr="00B44156">
        <w:rPr>
          <w:lang w:eastAsia="ja-JP"/>
        </w:rPr>
        <w:t>What do the servant’s words suggest about Mark Antony’s response to Caesar’s death?</w:t>
      </w:r>
    </w:p>
    <w:p w:rsidR="001154CC" w:rsidRPr="00B44156" w:rsidRDefault="001154CC" w:rsidP="001154CC">
      <w:pPr>
        <w:pStyle w:val="Q"/>
        <w:rPr>
          <w:lang w:eastAsia="ja-JP"/>
        </w:rPr>
      </w:pPr>
      <w:r w:rsidRPr="00B44156">
        <w:rPr>
          <w:b w:val="0"/>
        </w:rPr>
        <w:t>Ask students to use this lesson’s vocabulary wherever possible in their written responses. </w:t>
      </w:r>
    </w:p>
    <w:p w:rsidR="001154CC" w:rsidRPr="00B44156" w:rsidRDefault="001154CC" w:rsidP="001154CC">
      <w:pPr>
        <w:pStyle w:val="SA"/>
        <w:numPr>
          <w:ilvl w:val="0"/>
          <w:numId w:val="2"/>
        </w:numPr>
      </w:pPr>
      <w:r w:rsidRPr="00B44156">
        <w:t>Students follow along.</w:t>
      </w:r>
    </w:p>
    <w:p w:rsidR="001154CC" w:rsidRPr="00833FD8" w:rsidRDefault="001154CC" w:rsidP="001154CC">
      <w:pPr>
        <w:pStyle w:val="Heading1"/>
      </w:pPr>
      <w:r w:rsidRPr="00833FD8">
        <w:t>Homework</w:t>
      </w:r>
    </w:p>
    <w:p w:rsidR="001154CC" w:rsidRPr="00B44156" w:rsidRDefault="001154CC" w:rsidP="001154CC">
      <w:r w:rsidRPr="00B44156">
        <w:t>Continue reading your Accountable Independent Reading text through the lens of a focus standard of your choice and prepare for a 3–5 minute discussion of your text based on that standard.</w:t>
      </w:r>
    </w:p>
    <w:p w:rsidR="001154CC" w:rsidRPr="00B44156" w:rsidRDefault="00F80F11" w:rsidP="001154CC">
      <w:pPr>
        <w:rPr>
          <w:rFonts w:eastAsia="MS Mincho" w:cs="Helvetica Neue"/>
          <w:lang w:eastAsia="ja-JP"/>
        </w:rPr>
      </w:pPr>
      <w:r w:rsidRPr="00591748">
        <w:rPr>
          <w:rFonts w:eastAsia="MS Mincho" w:cs="Helvetica Neue"/>
          <w:lang w:eastAsia="ja-JP"/>
        </w:rPr>
        <w:t>Additionally</w:t>
      </w:r>
      <w:r w:rsidR="001154CC" w:rsidRPr="00B44156">
        <w:rPr>
          <w:rFonts w:eastAsia="MS Mincho" w:cs="Helvetica Neue"/>
          <w:lang w:eastAsia="ja-JP"/>
        </w:rPr>
        <w:t xml:space="preserve">, read Act 3.1, lines 92–162 of </w:t>
      </w:r>
      <w:r w:rsidR="001154CC" w:rsidRPr="00B44156">
        <w:rPr>
          <w:rFonts w:eastAsia="MS Mincho" w:cs="Helvetica Neue"/>
          <w:i/>
          <w:iCs/>
          <w:lang w:eastAsia="ja-JP"/>
        </w:rPr>
        <w:t>Julius Caesar</w:t>
      </w:r>
      <w:r w:rsidR="001154CC" w:rsidRPr="00B44156">
        <w:rPr>
          <w:rFonts w:eastAsia="MS Mincho" w:cs="Helvetica Neue"/>
          <w:lang w:eastAsia="ja-JP"/>
        </w:rPr>
        <w:t xml:space="preserve"> (from “Go to the pulpit, Brutus” to “Falls shrewdly to the purpose”). </w:t>
      </w:r>
      <w:r w:rsidR="001154CC" w:rsidRPr="00B44156">
        <w:t>Respond briefly to the following questions</w:t>
      </w:r>
      <w:r w:rsidR="001154CC" w:rsidRPr="00B44156">
        <w:rPr>
          <w:rFonts w:eastAsia="MS Mincho" w:cs="Helvetica Neue"/>
          <w:lang w:eastAsia="ja-JP"/>
        </w:rPr>
        <w:t xml:space="preserve">: </w:t>
      </w:r>
    </w:p>
    <w:p w:rsidR="001154CC" w:rsidRPr="00B44156" w:rsidRDefault="001154CC" w:rsidP="001154CC">
      <w:pPr>
        <w:pStyle w:val="Q"/>
        <w:rPr>
          <w:lang w:eastAsia="ja-JP"/>
        </w:rPr>
      </w:pPr>
      <w:r w:rsidRPr="00B44156">
        <w:rPr>
          <w:lang w:eastAsia="ja-JP"/>
        </w:rPr>
        <w:t>What do the conspirators’ words and actions in lines 117–136 suggest about their reasons for killing Caesar?</w:t>
      </w:r>
    </w:p>
    <w:p w:rsidR="001154CC" w:rsidRPr="00B44156" w:rsidRDefault="001154CC" w:rsidP="00C10BD5">
      <w:pPr>
        <w:pStyle w:val="Q"/>
        <w:spacing w:after="240"/>
        <w:rPr>
          <w:lang w:eastAsia="ja-JP"/>
        </w:rPr>
      </w:pPr>
      <w:r w:rsidRPr="00B44156">
        <w:rPr>
          <w:lang w:eastAsia="ja-JP"/>
        </w:rPr>
        <w:t>What do the servant’s words suggest about Mark Antony’s response to Caesar’s death?</w:t>
      </w:r>
    </w:p>
    <w:p w:rsidR="001154CC" w:rsidRPr="00B44156" w:rsidRDefault="001154CC" w:rsidP="001154CC">
      <w:r w:rsidRPr="00B44156">
        <w:t xml:space="preserve">Use this lesson’s vocabulary wherever possible in your written responses. </w:t>
      </w:r>
    </w:p>
    <w:p w:rsidR="001154CC" w:rsidRPr="00C10BD5" w:rsidRDefault="001154CC" w:rsidP="001154CC">
      <w:pPr>
        <w:pStyle w:val="Q"/>
        <w:rPr>
          <w:lang w:eastAsia="ja-JP"/>
        </w:rPr>
        <w:sectPr w:rsidR="001154CC" w:rsidRPr="00C10BD5" w:rsidSect="001154CC">
          <w:headerReference w:type="default" r:id="rId8"/>
          <w:footerReference w:type="even" r:id="rId9"/>
          <w:footerReference w:type="default" r:id="rId10"/>
          <w:pgSz w:w="12240" w:h="15840"/>
          <w:pgMar w:top="1440" w:right="1440" w:bottom="1440" w:left="1440" w:header="432" w:footer="648" w:gutter="0"/>
          <w:cols w:space="720"/>
          <w:docGrid w:linePitch="299"/>
        </w:sectPr>
      </w:pPr>
    </w:p>
    <w:p w:rsidR="001154CC" w:rsidRPr="00C10BD5" w:rsidRDefault="001154CC" w:rsidP="001154CC">
      <w:pPr>
        <w:pStyle w:val="ToolHeader"/>
        <w:rPr>
          <w:rFonts w:ascii="Calibri" w:hAnsi="Calibri"/>
        </w:rPr>
      </w:pPr>
      <w:r w:rsidRPr="00C10BD5">
        <w:rPr>
          <w:rFonts w:ascii="Calibri" w:hAnsi="Calibri"/>
        </w:rPr>
        <w:lastRenderedPageBreak/>
        <w:t>12.2.2 Mid-Unit Assessment</w:t>
      </w:r>
    </w:p>
    <w:p w:rsidR="001154CC" w:rsidRPr="00C10BD5" w:rsidRDefault="001154CC" w:rsidP="001154CC">
      <w:pPr>
        <w:jc w:val="center"/>
        <w:rPr>
          <w:b/>
        </w:rPr>
      </w:pPr>
      <w:r w:rsidRPr="00C10BD5">
        <w:rPr>
          <w:b/>
        </w:rPr>
        <w:t>Text-Based Response</w:t>
      </w:r>
    </w:p>
    <w:p w:rsidR="001154CC" w:rsidRPr="00C10BD5" w:rsidRDefault="001154CC" w:rsidP="001154CC">
      <w:r w:rsidRPr="00C10BD5">
        <w:rPr>
          <w:b/>
        </w:rPr>
        <w:t xml:space="preserve">Your Task: </w:t>
      </w:r>
      <w:r w:rsidRPr="00C10BD5">
        <w:t xml:space="preserve">Rely on your reading and analysis of </w:t>
      </w:r>
      <w:r w:rsidRPr="00C10BD5">
        <w:rPr>
          <w:i/>
        </w:rPr>
        <w:t>Julius Caesar</w:t>
      </w:r>
      <w:r w:rsidRPr="00C10BD5">
        <w:t xml:space="preserve"> to write a well-developed response to the following prompt:</w:t>
      </w:r>
    </w:p>
    <w:p w:rsidR="001154CC" w:rsidRPr="00C10BD5" w:rsidRDefault="00C10BD5" w:rsidP="001154CC">
      <w:pPr>
        <w:ind w:left="720" w:right="1440"/>
      </w:pPr>
      <w:r>
        <w:rPr>
          <w:rFonts w:eastAsia="Times New Roman" w:cs="Arial"/>
          <w:i/>
          <w:color w:val="000000"/>
        </w:rPr>
        <w:t>I</w:t>
      </w:r>
      <w:r w:rsidR="001154CC" w:rsidRPr="00C10BD5">
        <w:rPr>
          <w:rFonts w:eastAsia="Times New Roman" w:cs="Arial"/>
          <w:i/>
          <w:color w:val="000000"/>
        </w:rPr>
        <w:t xml:space="preserve">s </w:t>
      </w:r>
      <w:r w:rsidR="001154CC" w:rsidRPr="00C10BD5">
        <w:rPr>
          <w:i/>
        </w:rPr>
        <w:t xml:space="preserve">Caesar’s death a “sacrifice” or a “butchery”? </w:t>
      </w:r>
    </w:p>
    <w:p w:rsidR="001154CC" w:rsidRPr="00C10BD5" w:rsidRDefault="001154CC" w:rsidP="001154CC">
      <w:r w:rsidRPr="00C10BD5">
        <w:t>Your writing will be assessed using the 12.2.2 Mid-Unit Text Analysis Rubric.</w:t>
      </w:r>
    </w:p>
    <w:p w:rsidR="001154CC" w:rsidRPr="00C10BD5" w:rsidRDefault="001154CC" w:rsidP="001154CC">
      <w:pPr>
        <w:rPr>
          <w:b/>
        </w:rPr>
      </w:pPr>
      <w:r w:rsidRPr="00C10BD5">
        <w:rPr>
          <w:b/>
        </w:rPr>
        <w:t>Guidelines</w:t>
      </w:r>
    </w:p>
    <w:p w:rsidR="001154CC" w:rsidRPr="00C10BD5" w:rsidRDefault="001154CC" w:rsidP="001154CC">
      <w:pPr>
        <w:spacing w:after="0"/>
        <w:ind w:firstLine="720"/>
        <w:rPr>
          <w:b/>
        </w:rPr>
      </w:pPr>
      <w:r w:rsidRPr="00C10BD5">
        <w:rPr>
          <w:b/>
        </w:rPr>
        <w:t>Be sure to:</w:t>
      </w:r>
    </w:p>
    <w:p w:rsidR="001154CC" w:rsidRPr="00C10BD5" w:rsidRDefault="001154CC" w:rsidP="001154CC">
      <w:pPr>
        <w:pStyle w:val="ColorfulShading-Accent31"/>
        <w:numPr>
          <w:ilvl w:val="0"/>
          <w:numId w:val="14"/>
        </w:numPr>
        <w:spacing w:before="0" w:after="0" w:line="240" w:lineRule="auto"/>
        <w:rPr>
          <w:b/>
        </w:rPr>
      </w:pPr>
      <w:r w:rsidRPr="00C10BD5">
        <w:t>Closely read the prompt</w:t>
      </w:r>
    </w:p>
    <w:p w:rsidR="001154CC" w:rsidRPr="00C10BD5" w:rsidRDefault="001154CC" w:rsidP="001154CC">
      <w:pPr>
        <w:pStyle w:val="ColorfulShading-Accent31"/>
        <w:numPr>
          <w:ilvl w:val="0"/>
          <w:numId w:val="14"/>
        </w:numPr>
        <w:spacing w:before="0" w:after="0" w:line="240" w:lineRule="auto"/>
        <w:rPr>
          <w:b/>
        </w:rPr>
      </w:pPr>
      <w:r w:rsidRPr="00C10BD5">
        <w:t>Address all elements of the prompt in your response</w:t>
      </w:r>
    </w:p>
    <w:p w:rsidR="001154CC" w:rsidRPr="00C10BD5" w:rsidRDefault="001154CC" w:rsidP="001154CC">
      <w:pPr>
        <w:pStyle w:val="ColorfulShading-Accent31"/>
        <w:numPr>
          <w:ilvl w:val="0"/>
          <w:numId w:val="14"/>
        </w:numPr>
        <w:spacing w:before="0" w:after="0" w:line="240" w:lineRule="auto"/>
        <w:rPr>
          <w:b/>
        </w:rPr>
      </w:pPr>
      <w:r w:rsidRPr="00C10BD5">
        <w:t>Paraphrase, quote, and reference relevant evidence to support your claim</w:t>
      </w:r>
    </w:p>
    <w:p w:rsidR="001154CC" w:rsidRPr="00C10BD5" w:rsidRDefault="001154CC" w:rsidP="001154CC">
      <w:pPr>
        <w:pStyle w:val="ColorfulShading-Accent31"/>
        <w:numPr>
          <w:ilvl w:val="0"/>
          <w:numId w:val="14"/>
        </w:numPr>
        <w:spacing w:before="0" w:after="0" w:line="240" w:lineRule="auto"/>
        <w:rPr>
          <w:b/>
        </w:rPr>
      </w:pPr>
      <w:r w:rsidRPr="00C10BD5">
        <w:t>Organize your ideas in a cohesive and coherent manner</w:t>
      </w:r>
    </w:p>
    <w:p w:rsidR="001154CC" w:rsidRPr="00C10BD5" w:rsidRDefault="001154CC" w:rsidP="001154CC">
      <w:pPr>
        <w:pStyle w:val="ColorfulShading-Accent31"/>
        <w:numPr>
          <w:ilvl w:val="0"/>
          <w:numId w:val="14"/>
        </w:numPr>
        <w:spacing w:before="0" w:after="0" w:line="240" w:lineRule="auto"/>
        <w:rPr>
          <w:b/>
        </w:rPr>
      </w:pPr>
      <w:r w:rsidRPr="00C10BD5">
        <w:t>Maintain a formal style of writing</w:t>
      </w:r>
    </w:p>
    <w:p w:rsidR="001154CC" w:rsidRPr="00C10BD5" w:rsidRDefault="001154CC" w:rsidP="001154CC">
      <w:pPr>
        <w:pStyle w:val="ColorfulShading-Accent31"/>
        <w:numPr>
          <w:ilvl w:val="0"/>
          <w:numId w:val="14"/>
        </w:numPr>
        <w:spacing w:before="0" w:after="0" w:line="240" w:lineRule="auto"/>
        <w:rPr>
          <w:b/>
        </w:rPr>
      </w:pPr>
      <w:r w:rsidRPr="00C10BD5">
        <w:t>Follow the conventions of standard written English</w:t>
      </w:r>
    </w:p>
    <w:p w:rsidR="001154CC" w:rsidRPr="00C10BD5" w:rsidRDefault="001154CC" w:rsidP="001154CC">
      <w:pPr>
        <w:spacing w:before="0" w:after="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8"/>
      </w:tblGrid>
      <w:tr w:rsidR="001154CC" w:rsidRPr="00C10BD5">
        <w:tc>
          <w:tcPr>
            <w:tcW w:w="9468" w:type="dxa"/>
            <w:shd w:val="clear" w:color="auto" w:fill="D9D9D9"/>
          </w:tcPr>
          <w:p w:rsidR="001154CC" w:rsidRPr="00C10BD5" w:rsidRDefault="001154CC" w:rsidP="001154CC">
            <w:pPr>
              <w:pStyle w:val="ToolTableText"/>
              <w:rPr>
                <w:sz w:val="20"/>
                <w:szCs w:val="20"/>
              </w:rPr>
            </w:pPr>
            <w:r w:rsidRPr="00C10BD5">
              <w:rPr>
                <w:b/>
                <w:sz w:val="20"/>
                <w:szCs w:val="20"/>
              </w:rPr>
              <w:t xml:space="preserve">CCSS: </w:t>
            </w:r>
            <w:r w:rsidRPr="00C10BD5">
              <w:rPr>
                <w:sz w:val="20"/>
                <w:szCs w:val="20"/>
              </w:rPr>
              <w:t>RL.11-12.2</w:t>
            </w:r>
            <w:r w:rsidRPr="00C10BD5">
              <w:rPr>
                <w:b/>
                <w:sz w:val="20"/>
                <w:szCs w:val="20"/>
              </w:rPr>
              <w:t xml:space="preserve">, </w:t>
            </w:r>
            <w:r w:rsidRPr="00C10BD5">
              <w:rPr>
                <w:sz w:val="20"/>
                <w:szCs w:val="20"/>
              </w:rPr>
              <w:t>W.11-12.2.a-f, L.11-12.1, L.11-12.2.a, b</w:t>
            </w:r>
          </w:p>
          <w:p w:rsidR="001154CC" w:rsidRPr="00C10BD5" w:rsidRDefault="001154CC" w:rsidP="001154CC">
            <w:pPr>
              <w:pStyle w:val="ToolTableText"/>
              <w:rPr>
                <w:b/>
                <w:sz w:val="20"/>
                <w:szCs w:val="20"/>
              </w:rPr>
            </w:pPr>
            <w:r w:rsidRPr="00C10BD5">
              <w:rPr>
                <w:b/>
                <w:sz w:val="20"/>
                <w:szCs w:val="20"/>
              </w:rPr>
              <w:t>Commentary on the task:</w:t>
            </w:r>
          </w:p>
          <w:p w:rsidR="001154CC" w:rsidRPr="00C10BD5" w:rsidRDefault="001154CC" w:rsidP="001154CC">
            <w:pPr>
              <w:pStyle w:val="ToolTableText"/>
              <w:rPr>
                <w:sz w:val="20"/>
                <w:szCs w:val="20"/>
              </w:rPr>
            </w:pPr>
            <w:r w:rsidRPr="00C10BD5">
              <w:rPr>
                <w:sz w:val="20"/>
                <w:szCs w:val="20"/>
              </w:rPr>
              <w:t>This task measure RL.11-12.2 because it demands that students:</w:t>
            </w:r>
          </w:p>
          <w:p w:rsidR="001154CC" w:rsidRPr="00C10BD5" w:rsidRDefault="001154CC" w:rsidP="001154CC">
            <w:pPr>
              <w:pStyle w:val="BulletedList"/>
              <w:ind w:left="426" w:hanging="426"/>
              <w:rPr>
                <w:sz w:val="20"/>
                <w:szCs w:val="20"/>
              </w:rPr>
            </w:pPr>
            <w:r w:rsidRPr="00C10BD5">
              <w:rPr>
                <w:sz w:val="20"/>
                <w:szCs w:val="20"/>
              </w:rPr>
              <w:t>Determine two or more themes or central ideas of a text and analyze their development over the course of the text, including how they interact and build on one another to produce a complex account; provide an objective summary of the text.</w:t>
            </w:r>
          </w:p>
          <w:p w:rsidR="001154CC" w:rsidRPr="00C10BD5" w:rsidRDefault="001154CC" w:rsidP="001154CC">
            <w:pPr>
              <w:pStyle w:val="ToolTableText"/>
              <w:rPr>
                <w:sz w:val="20"/>
                <w:szCs w:val="20"/>
              </w:rPr>
            </w:pPr>
            <w:r w:rsidRPr="00C10BD5">
              <w:rPr>
                <w:sz w:val="20"/>
                <w:szCs w:val="20"/>
              </w:rPr>
              <w:t>This task measures W.11-12.2.a-f because it demands that students:</w:t>
            </w:r>
          </w:p>
          <w:p w:rsidR="001154CC" w:rsidRPr="00C10BD5" w:rsidRDefault="001154CC" w:rsidP="001154CC">
            <w:pPr>
              <w:pStyle w:val="BulletedList"/>
              <w:rPr>
                <w:sz w:val="20"/>
                <w:szCs w:val="20"/>
              </w:rPr>
            </w:pPr>
            <w:r w:rsidRPr="00C10BD5">
              <w:rPr>
                <w:sz w:val="20"/>
                <w:szCs w:val="20"/>
              </w:rPr>
              <w:t>Write informative/explanatory texts to examine and convey complex ideas, concepts, and information clearly and accurately through the effective selection, organization, and analysis of content.</w:t>
            </w:r>
          </w:p>
          <w:p w:rsidR="001154CC" w:rsidRPr="00C10BD5" w:rsidRDefault="001154CC" w:rsidP="00C10BD5">
            <w:pPr>
              <w:pStyle w:val="SASRBullet"/>
              <w:numPr>
                <w:ilvl w:val="0"/>
                <w:numId w:val="15"/>
              </w:numPr>
              <w:spacing w:after="60"/>
              <w:ind w:left="720"/>
              <w:rPr>
                <w:rFonts w:cs="Calibri"/>
                <w:sz w:val="20"/>
                <w:szCs w:val="20"/>
                <w:lang w:val="en-US" w:eastAsia="en-US"/>
              </w:rPr>
            </w:pPr>
            <w:r w:rsidRPr="00C10BD5">
              <w:rPr>
                <w:sz w:val="20"/>
                <w:szCs w:val="20"/>
                <w:lang w:val="en-US" w:eastAsia="en-US"/>
              </w:rPr>
              <w:t>Introduce a topic; organize complex ideas, concepts, and information so that each new element builds on that which precedes it to create a unified whole; include formatting (e.g., headings), graphics (e.g., figures, tables), and multimedia when useful to aiding comprehension</w:t>
            </w:r>
            <w:r w:rsidRPr="00C10BD5">
              <w:rPr>
                <w:rFonts w:cs="Calibri"/>
                <w:sz w:val="20"/>
                <w:szCs w:val="20"/>
                <w:lang w:val="en-US" w:eastAsia="en-US"/>
              </w:rPr>
              <w:t>.</w:t>
            </w:r>
          </w:p>
          <w:p w:rsidR="001154CC" w:rsidRPr="00C10BD5" w:rsidRDefault="001154CC" w:rsidP="00C10BD5">
            <w:pPr>
              <w:pStyle w:val="SASRBullet"/>
              <w:numPr>
                <w:ilvl w:val="0"/>
                <w:numId w:val="15"/>
              </w:numPr>
              <w:spacing w:after="60"/>
              <w:ind w:left="720"/>
              <w:rPr>
                <w:rFonts w:cs="Calibri"/>
                <w:sz w:val="20"/>
                <w:szCs w:val="20"/>
                <w:lang w:val="en-US" w:eastAsia="en-US"/>
              </w:rPr>
            </w:pPr>
            <w:r w:rsidRPr="00C10BD5">
              <w:rPr>
                <w:sz w:val="20"/>
                <w:szCs w:val="20"/>
                <w:lang w:val="en-US" w:eastAsia="en-US"/>
              </w:rPr>
              <w:t>Develop the topic thoroughly by selecting the most significant and relevant facts, extended definitions, concrete details, quotations, or other information and examples appropriate to the audience’s knowledge of the topic.</w:t>
            </w:r>
          </w:p>
          <w:p w:rsidR="001154CC" w:rsidRPr="00C10BD5" w:rsidRDefault="001154CC" w:rsidP="00C10BD5">
            <w:pPr>
              <w:pStyle w:val="SASRBullet"/>
              <w:numPr>
                <w:ilvl w:val="0"/>
                <w:numId w:val="15"/>
              </w:numPr>
              <w:spacing w:after="60"/>
              <w:ind w:left="720"/>
              <w:rPr>
                <w:rFonts w:cs="Calibri"/>
                <w:sz w:val="20"/>
                <w:szCs w:val="20"/>
                <w:lang w:val="en-US" w:eastAsia="en-US"/>
              </w:rPr>
            </w:pPr>
            <w:r w:rsidRPr="00C10BD5">
              <w:rPr>
                <w:sz w:val="20"/>
                <w:szCs w:val="20"/>
                <w:lang w:val="en-US" w:eastAsia="en-US"/>
              </w:rPr>
              <w:t>Use appropriate and varied transitions and syntax to link the major sections of the text, create cohesion, and clarify the relationships among complex ideas and concepts.</w:t>
            </w:r>
          </w:p>
          <w:p w:rsidR="001154CC" w:rsidRPr="00C10BD5" w:rsidRDefault="001154CC" w:rsidP="00C10BD5">
            <w:pPr>
              <w:pStyle w:val="SASRBullet"/>
              <w:numPr>
                <w:ilvl w:val="0"/>
                <w:numId w:val="15"/>
              </w:numPr>
              <w:spacing w:after="60"/>
              <w:ind w:left="720"/>
              <w:rPr>
                <w:rFonts w:cs="Calibri"/>
                <w:sz w:val="20"/>
                <w:szCs w:val="20"/>
                <w:lang w:val="en-US" w:eastAsia="en-US"/>
              </w:rPr>
            </w:pPr>
            <w:r w:rsidRPr="00C10BD5">
              <w:rPr>
                <w:sz w:val="20"/>
                <w:szCs w:val="20"/>
                <w:lang w:val="en-US" w:eastAsia="en-US"/>
              </w:rPr>
              <w:t>Use precise language, domain-specific vocabulary, and techniques such as metaphor, simile, and analogy to manage the complexity of the topic.</w:t>
            </w:r>
          </w:p>
          <w:p w:rsidR="001154CC" w:rsidRPr="00C10BD5" w:rsidRDefault="001154CC" w:rsidP="00C10BD5">
            <w:pPr>
              <w:pStyle w:val="SASRBullet"/>
              <w:numPr>
                <w:ilvl w:val="0"/>
                <w:numId w:val="15"/>
              </w:numPr>
              <w:spacing w:after="60"/>
              <w:ind w:left="720"/>
              <w:rPr>
                <w:rFonts w:cs="Calibri"/>
                <w:sz w:val="20"/>
                <w:szCs w:val="20"/>
                <w:lang w:val="en-US" w:eastAsia="en-US"/>
              </w:rPr>
            </w:pPr>
            <w:r w:rsidRPr="00C10BD5">
              <w:rPr>
                <w:sz w:val="20"/>
                <w:szCs w:val="20"/>
                <w:lang w:val="en-US" w:eastAsia="en-US"/>
              </w:rPr>
              <w:lastRenderedPageBreak/>
              <w:t>Establish and maintain a formal style and objective tone while attending to the norms and conventions of the discipline in which they are writing</w:t>
            </w:r>
          </w:p>
          <w:p w:rsidR="001154CC" w:rsidRPr="00C10BD5" w:rsidRDefault="001154CC" w:rsidP="00C10BD5">
            <w:pPr>
              <w:pStyle w:val="SASRBullet"/>
              <w:numPr>
                <w:ilvl w:val="0"/>
                <w:numId w:val="15"/>
              </w:numPr>
              <w:spacing w:after="60"/>
              <w:ind w:left="720"/>
              <w:rPr>
                <w:rFonts w:cs="Calibri"/>
                <w:sz w:val="20"/>
                <w:szCs w:val="20"/>
                <w:lang w:val="en-US" w:eastAsia="en-US"/>
              </w:rPr>
            </w:pPr>
            <w:r w:rsidRPr="00C10BD5">
              <w:rPr>
                <w:sz w:val="20"/>
                <w:szCs w:val="20"/>
                <w:lang w:val="en-US" w:eastAsia="en-US"/>
              </w:rPr>
              <w:t>Provide a concluding statement or section that follows from and supports the information or explanation presented (e.g., articulating implications or the significance of the topic).</w:t>
            </w:r>
          </w:p>
          <w:p w:rsidR="001154CC" w:rsidRPr="00C10BD5" w:rsidRDefault="001154CC" w:rsidP="001154CC">
            <w:pPr>
              <w:pStyle w:val="TA"/>
              <w:rPr>
                <w:sz w:val="20"/>
                <w:szCs w:val="20"/>
              </w:rPr>
            </w:pPr>
            <w:r w:rsidRPr="00C10BD5">
              <w:rPr>
                <w:sz w:val="20"/>
                <w:szCs w:val="20"/>
              </w:rPr>
              <w:t>This task measures L.11-12.1 because it demands that students:</w:t>
            </w:r>
          </w:p>
          <w:p w:rsidR="001154CC" w:rsidRPr="00C10BD5" w:rsidRDefault="001154CC" w:rsidP="001154CC">
            <w:pPr>
              <w:pStyle w:val="BulletedList"/>
              <w:ind w:left="426" w:hanging="426"/>
              <w:rPr>
                <w:sz w:val="20"/>
                <w:szCs w:val="20"/>
              </w:rPr>
            </w:pPr>
            <w:r w:rsidRPr="00C10BD5">
              <w:rPr>
                <w:sz w:val="20"/>
                <w:szCs w:val="20"/>
              </w:rPr>
              <w:t>Demonstrate command of the conventions of standard English grammar and usage when writing or speaking.</w:t>
            </w:r>
          </w:p>
          <w:p w:rsidR="001154CC" w:rsidRPr="00C10BD5" w:rsidRDefault="001154CC" w:rsidP="001154CC">
            <w:pPr>
              <w:pStyle w:val="TA"/>
              <w:rPr>
                <w:sz w:val="20"/>
                <w:szCs w:val="20"/>
              </w:rPr>
            </w:pPr>
            <w:r w:rsidRPr="00C10BD5">
              <w:rPr>
                <w:sz w:val="20"/>
                <w:szCs w:val="20"/>
              </w:rPr>
              <w:t>This task measures L.11-12.2.a, b because it demands that students:</w:t>
            </w:r>
          </w:p>
          <w:p w:rsidR="001154CC" w:rsidRPr="00C10BD5" w:rsidRDefault="001154CC" w:rsidP="001154CC">
            <w:pPr>
              <w:pStyle w:val="BulletedList"/>
              <w:ind w:left="426" w:hanging="426"/>
              <w:rPr>
                <w:sz w:val="20"/>
                <w:szCs w:val="20"/>
              </w:rPr>
            </w:pPr>
            <w:r w:rsidRPr="00C10BD5">
              <w:rPr>
                <w:sz w:val="20"/>
                <w:szCs w:val="20"/>
              </w:rPr>
              <w:t xml:space="preserve">Demonstrate command of the conventions of standard English capitalization, punctuation and spelling when writing. </w:t>
            </w:r>
          </w:p>
          <w:p w:rsidR="001154CC" w:rsidRPr="00C10BD5" w:rsidRDefault="001154CC" w:rsidP="00C10BD5">
            <w:pPr>
              <w:pStyle w:val="SASRBullet"/>
              <w:spacing w:after="60"/>
              <w:ind w:left="706"/>
              <w:rPr>
                <w:sz w:val="20"/>
                <w:szCs w:val="20"/>
                <w:lang w:val="en-US" w:eastAsia="en-US"/>
              </w:rPr>
            </w:pPr>
            <w:r w:rsidRPr="00C10BD5">
              <w:rPr>
                <w:sz w:val="20"/>
                <w:szCs w:val="20"/>
                <w:lang w:val="en-US" w:eastAsia="en-US"/>
              </w:rPr>
              <w:t>Observe hyphenation conventions.</w:t>
            </w:r>
          </w:p>
          <w:p w:rsidR="001154CC" w:rsidRPr="00C10BD5" w:rsidRDefault="001154CC" w:rsidP="00C10BD5">
            <w:pPr>
              <w:pStyle w:val="SASRBullet"/>
              <w:spacing w:after="60"/>
              <w:ind w:left="706"/>
              <w:rPr>
                <w:sz w:val="20"/>
                <w:szCs w:val="20"/>
                <w:lang w:val="en-US" w:eastAsia="en-US"/>
              </w:rPr>
            </w:pPr>
            <w:r w:rsidRPr="00C10BD5">
              <w:rPr>
                <w:sz w:val="20"/>
                <w:szCs w:val="20"/>
                <w:lang w:val="en-US" w:eastAsia="en-US"/>
              </w:rPr>
              <w:t>Spell correctly.</w:t>
            </w:r>
          </w:p>
        </w:tc>
      </w:tr>
    </w:tbl>
    <w:p w:rsidR="001154CC" w:rsidRPr="00C10BD5" w:rsidRDefault="001154CC" w:rsidP="001154CC">
      <w:pPr>
        <w:pStyle w:val="TA"/>
        <w:sectPr w:rsidR="001154CC" w:rsidRPr="00C10BD5" w:rsidSect="001154CC">
          <w:pgSz w:w="12240" w:h="15840"/>
          <w:pgMar w:top="1440" w:right="1440" w:bottom="1440" w:left="1440" w:header="432" w:footer="648" w:gutter="0"/>
          <w:cols w:space="720"/>
          <w:docGrid w:linePitch="299"/>
        </w:sectPr>
      </w:pPr>
    </w:p>
    <w:p w:rsidR="00B44156" w:rsidRPr="001604C3" w:rsidRDefault="00B44156" w:rsidP="00B44156">
      <w:pPr>
        <w:pStyle w:val="ToolHeader"/>
        <w:rPr>
          <w:rFonts w:ascii="Calibri" w:hAnsi="Calibri"/>
          <w:sz w:val="24"/>
          <w:szCs w:val="24"/>
        </w:rPr>
      </w:pPr>
      <w:r w:rsidRPr="001604C3">
        <w:rPr>
          <w:rFonts w:ascii="Calibri" w:hAnsi="Calibri"/>
        </w:rPr>
        <w:lastRenderedPageBreak/>
        <w:t>12.2.</w:t>
      </w:r>
      <w:r>
        <w:rPr>
          <w:rFonts w:ascii="Calibri" w:hAnsi="Calibri"/>
        </w:rPr>
        <w:t>2</w:t>
      </w:r>
      <w:r w:rsidRPr="001604C3">
        <w:rPr>
          <w:rFonts w:ascii="Calibri" w:hAnsi="Calibri"/>
        </w:rPr>
        <w:t xml:space="preserve"> </w:t>
      </w:r>
      <w:r>
        <w:rPr>
          <w:rFonts w:ascii="Calibri" w:hAnsi="Calibri"/>
        </w:rPr>
        <w:t>Mid-Unit</w:t>
      </w:r>
      <w:r w:rsidRPr="001604C3">
        <w:rPr>
          <w:rFonts w:ascii="Calibri" w:hAnsi="Calibri"/>
        </w:rPr>
        <w:t xml:space="preserve"> Text Analysis Rubric</w:t>
      </w:r>
      <w:r w:rsidRPr="001604C3">
        <w:rPr>
          <w:rFonts w:ascii="Calibri" w:hAnsi="Calibri"/>
        </w:rPr>
        <w:tab/>
      </w:r>
      <w:r w:rsidRPr="001604C3">
        <w:rPr>
          <w:rFonts w:ascii="Calibri" w:hAnsi="Calibri"/>
        </w:rPr>
        <w:tab/>
      </w:r>
      <w:r w:rsidRPr="001604C3">
        <w:rPr>
          <w:rFonts w:ascii="Calibri" w:hAnsi="Calibri"/>
        </w:rPr>
        <w:tab/>
      </w:r>
      <w:r w:rsidRPr="001604C3">
        <w:rPr>
          <w:rFonts w:ascii="Calibri" w:hAnsi="Calibri"/>
        </w:rPr>
        <w:tab/>
      </w:r>
      <w:r w:rsidRPr="001604C3">
        <w:rPr>
          <w:rFonts w:ascii="Calibri" w:hAnsi="Calibri"/>
        </w:rPr>
        <w:tab/>
      </w:r>
      <w:r w:rsidRPr="001604C3">
        <w:rPr>
          <w:rFonts w:ascii="Calibri" w:hAnsi="Calibri"/>
        </w:rPr>
        <w:tab/>
      </w:r>
      <w:r w:rsidRPr="001604C3">
        <w:rPr>
          <w:rFonts w:ascii="Calibri" w:hAnsi="Calibri"/>
        </w:rPr>
        <w:tab/>
      </w:r>
      <w:r w:rsidRPr="001604C3">
        <w:rPr>
          <w:rFonts w:ascii="Calibri" w:hAnsi="Calibri"/>
        </w:rPr>
        <w:tab/>
      </w:r>
      <w:r w:rsidRPr="001604C3">
        <w:rPr>
          <w:rFonts w:ascii="Calibri" w:hAnsi="Calibri"/>
          <w:szCs w:val="32"/>
          <w:u w:val="single"/>
        </w:rPr>
        <w:tab/>
      </w:r>
      <w:r w:rsidRPr="001604C3">
        <w:rPr>
          <w:rFonts w:ascii="Calibri" w:hAnsi="Calibri"/>
          <w:szCs w:val="32"/>
        </w:rPr>
        <w:t xml:space="preserve"> /</w:t>
      </w:r>
      <w:r w:rsidRPr="001604C3">
        <w:rPr>
          <w:rFonts w:ascii="Calibri" w:hAnsi="Calibri"/>
          <w:szCs w:val="32"/>
          <w:u w:val="single"/>
        </w:rPr>
        <w:t xml:space="preserve"> </w:t>
      </w:r>
      <w:r w:rsidRPr="001604C3">
        <w:rPr>
          <w:rFonts w:ascii="Calibri" w:hAnsi="Calibri"/>
          <w:szCs w:val="32"/>
          <w:u w:val="single"/>
        </w:rPr>
        <w:tab/>
      </w:r>
      <w:r w:rsidRPr="001604C3">
        <w:rPr>
          <w:rFonts w:ascii="Calibri" w:hAnsi="Calibri"/>
          <w:u w:val="single"/>
        </w:rPr>
        <w:t xml:space="preserve">    </w:t>
      </w:r>
      <w:r w:rsidRPr="001604C3">
        <w:rPr>
          <w:rFonts w:ascii="Calibri" w:hAnsi="Calibri"/>
        </w:rPr>
        <w:t xml:space="preserve"> </w:t>
      </w:r>
      <w:r w:rsidRPr="001604C3">
        <w:rPr>
          <w:rFonts w:ascii="Calibri" w:hAnsi="Calibri"/>
          <w:sz w:val="24"/>
          <w:szCs w:val="24"/>
        </w:rPr>
        <w:t>(Total points)</w:t>
      </w:r>
    </w:p>
    <w:tbl>
      <w:tblPr>
        <w:tblW w:w="14238" w:type="dxa"/>
        <w:tblBorders>
          <w:top w:val="nil"/>
          <w:left w:val="nil"/>
          <w:bottom w:val="nil"/>
          <w:right w:val="nil"/>
        </w:tblBorders>
        <w:tblLayout w:type="fixed"/>
        <w:tblLook w:val="0000" w:firstRow="0" w:lastRow="0" w:firstColumn="0" w:lastColumn="0" w:noHBand="0" w:noVBand="0"/>
      </w:tblPr>
      <w:tblGrid>
        <w:gridCol w:w="2718"/>
        <w:gridCol w:w="2880"/>
        <w:gridCol w:w="2970"/>
        <w:gridCol w:w="2790"/>
        <w:gridCol w:w="2880"/>
      </w:tblGrid>
      <w:tr w:rsidR="00B44156" w:rsidRPr="00D20E7B" w:rsidTr="006B6303">
        <w:trPr>
          <w:trHeight w:val="329"/>
          <w:tblHeader/>
        </w:trPr>
        <w:tc>
          <w:tcPr>
            <w:tcW w:w="2718" w:type="dxa"/>
            <w:tcBorders>
              <w:top w:val="single" w:sz="4" w:space="0" w:color="auto"/>
              <w:left w:val="single" w:sz="4" w:space="0" w:color="auto"/>
              <w:bottom w:val="single" w:sz="4" w:space="0" w:color="auto"/>
              <w:right w:val="single" w:sz="4" w:space="0" w:color="auto"/>
            </w:tcBorders>
            <w:shd w:val="clear" w:color="auto" w:fill="D9D9D9"/>
            <w:vAlign w:val="center"/>
          </w:tcPr>
          <w:p w:rsidR="00B44156" w:rsidRPr="00D20E7B" w:rsidRDefault="00B44156" w:rsidP="006B6303">
            <w:pPr>
              <w:pStyle w:val="ToolTableText"/>
              <w:rPr>
                <w:b/>
                <w:sz w:val="16"/>
                <w:szCs w:val="13"/>
              </w:rPr>
            </w:pPr>
            <w:r w:rsidRPr="00D20E7B">
              <w:rPr>
                <w:b/>
                <w:sz w:val="16"/>
                <w:szCs w:val="13"/>
              </w:rPr>
              <w:t>Criteria</w:t>
            </w:r>
          </w:p>
        </w:tc>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rsidR="00B44156" w:rsidRPr="00D20E7B" w:rsidRDefault="00B44156" w:rsidP="006B6303">
            <w:pPr>
              <w:pStyle w:val="ToolTableText"/>
              <w:rPr>
                <w:b/>
                <w:sz w:val="16"/>
                <w:szCs w:val="13"/>
              </w:rPr>
            </w:pPr>
            <w:r w:rsidRPr="00D20E7B">
              <w:rPr>
                <w:b/>
                <w:sz w:val="16"/>
                <w:szCs w:val="13"/>
              </w:rPr>
              <w:t>4 – Responses at this Level:</w:t>
            </w:r>
          </w:p>
        </w:tc>
        <w:tc>
          <w:tcPr>
            <w:tcW w:w="2970" w:type="dxa"/>
            <w:tcBorders>
              <w:top w:val="single" w:sz="4" w:space="0" w:color="auto"/>
              <w:left w:val="single" w:sz="4" w:space="0" w:color="auto"/>
              <w:bottom w:val="single" w:sz="4" w:space="0" w:color="auto"/>
              <w:right w:val="single" w:sz="4" w:space="0" w:color="auto"/>
            </w:tcBorders>
            <w:shd w:val="clear" w:color="auto" w:fill="D9D9D9"/>
            <w:vAlign w:val="center"/>
          </w:tcPr>
          <w:p w:rsidR="00B44156" w:rsidRPr="00D20E7B" w:rsidRDefault="00B44156" w:rsidP="006B6303">
            <w:pPr>
              <w:pStyle w:val="ToolTableText"/>
              <w:rPr>
                <w:b/>
                <w:sz w:val="16"/>
                <w:szCs w:val="13"/>
              </w:rPr>
            </w:pPr>
            <w:r w:rsidRPr="00D20E7B">
              <w:rPr>
                <w:b/>
                <w:sz w:val="16"/>
                <w:szCs w:val="13"/>
              </w:rPr>
              <w:t>3 – Responses at this Level:</w:t>
            </w:r>
          </w:p>
        </w:tc>
        <w:tc>
          <w:tcPr>
            <w:tcW w:w="2790" w:type="dxa"/>
            <w:tcBorders>
              <w:top w:val="single" w:sz="4" w:space="0" w:color="auto"/>
              <w:left w:val="single" w:sz="4" w:space="0" w:color="auto"/>
              <w:bottom w:val="single" w:sz="4" w:space="0" w:color="auto"/>
              <w:right w:val="single" w:sz="4" w:space="0" w:color="auto"/>
            </w:tcBorders>
            <w:shd w:val="clear" w:color="auto" w:fill="D9D9D9"/>
            <w:vAlign w:val="center"/>
          </w:tcPr>
          <w:p w:rsidR="00B44156" w:rsidRPr="00D20E7B" w:rsidRDefault="00B44156" w:rsidP="006B6303">
            <w:pPr>
              <w:pStyle w:val="ToolTableText"/>
              <w:rPr>
                <w:b/>
                <w:sz w:val="16"/>
                <w:szCs w:val="13"/>
              </w:rPr>
            </w:pPr>
            <w:r w:rsidRPr="00D20E7B">
              <w:rPr>
                <w:b/>
                <w:sz w:val="16"/>
                <w:szCs w:val="13"/>
              </w:rPr>
              <w:t>2 – Responses at this Level:</w:t>
            </w:r>
          </w:p>
        </w:tc>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rsidR="00B44156" w:rsidRPr="00D20E7B" w:rsidRDefault="00B44156" w:rsidP="006B6303">
            <w:pPr>
              <w:pStyle w:val="ToolTableText"/>
              <w:rPr>
                <w:b/>
                <w:sz w:val="16"/>
                <w:szCs w:val="13"/>
              </w:rPr>
            </w:pPr>
            <w:r w:rsidRPr="00D20E7B">
              <w:rPr>
                <w:b/>
                <w:sz w:val="16"/>
                <w:szCs w:val="13"/>
              </w:rPr>
              <w:t>1 – Responses at this Level:</w:t>
            </w:r>
          </w:p>
        </w:tc>
      </w:tr>
      <w:tr w:rsidR="00B44156" w:rsidRPr="00D20E7B" w:rsidTr="006B6303">
        <w:trPr>
          <w:trHeight w:val="1178"/>
        </w:trPr>
        <w:tc>
          <w:tcPr>
            <w:tcW w:w="2718" w:type="dxa"/>
            <w:tcBorders>
              <w:top w:val="single" w:sz="4" w:space="0" w:color="auto"/>
              <w:left w:val="single" w:sz="4" w:space="0" w:color="auto"/>
              <w:right w:val="single" w:sz="4" w:space="0" w:color="auto"/>
            </w:tcBorders>
            <w:shd w:val="clear" w:color="auto" w:fill="D9D9D9"/>
          </w:tcPr>
          <w:p w:rsidR="00B44156" w:rsidRPr="00D20E7B" w:rsidRDefault="00B44156" w:rsidP="00B44156">
            <w:pPr>
              <w:pStyle w:val="ToolTableText"/>
              <w:rPr>
                <w:b/>
                <w:sz w:val="16"/>
                <w:szCs w:val="13"/>
              </w:rPr>
            </w:pPr>
            <w:r w:rsidRPr="00D20E7B">
              <w:rPr>
                <w:b/>
                <w:sz w:val="16"/>
                <w:szCs w:val="13"/>
              </w:rPr>
              <w:t>Content and Analysis</w:t>
            </w:r>
          </w:p>
          <w:p w:rsidR="00B44156" w:rsidRPr="00D20E7B" w:rsidRDefault="00B44156" w:rsidP="00B44156">
            <w:pPr>
              <w:pStyle w:val="ToolTableText"/>
              <w:rPr>
                <w:b/>
                <w:sz w:val="16"/>
                <w:szCs w:val="13"/>
              </w:rPr>
            </w:pPr>
            <w:r w:rsidRPr="00D20E7B">
              <w:rPr>
                <w:b/>
                <w:sz w:val="16"/>
                <w:szCs w:val="13"/>
              </w:rPr>
              <w:t>The extent to which the response determines two or more central ideas of a text and analyzes their development over the course of the text, including how they interact and build on one another;</w:t>
            </w:r>
            <w:r>
              <w:rPr>
                <w:b/>
                <w:sz w:val="16"/>
                <w:szCs w:val="13"/>
              </w:rPr>
              <w:t xml:space="preserve"> and</w:t>
            </w:r>
            <w:r w:rsidRPr="00D20E7B">
              <w:rPr>
                <w:b/>
                <w:sz w:val="16"/>
                <w:szCs w:val="13"/>
              </w:rPr>
              <w:t xml:space="preserve"> provides an objective summary of a text.</w:t>
            </w:r>
          </w:p>
          <w:p w:rsidR="00B44156" w:rsidRPr="00D20E7B" w:rsidRDefault="00B44156" w:rsidP="00B44156">
            <w:pPr>
              <w:pStyle w:val="ToolTableText"/>
              <w:rPr>
                <w:b/>
                <w:sz w:val="16"/>
                <w:szCs w:val="13"/>
              </w:rPr>
            </w:pPr>
            <w:r w:rsidRPr="00D20E7B">
              <w:rPr>
                <w:b/>
                <w:sz w:val="16"/>
                <w:szCs w:val="13"/>
              </w:rPr>
              <w:t>CCSS.ELA-Literacy.RL.11-12.2</w:t>
            </w:r>
          </w:p>
          <w:p w:rsidR="00B44156" w:rsidRPr="00D20E7B" w:rsidRDefault="00B44156" w:rsidP="00B44156">
            <w:pPr>
              <w:pStyle w:val="ToolTableText"/>
              <w:rPr>
                <w:b/>
                <w:sz w:val="16"/>
                <w:szCs w:val="13"/>
              </w:rPr>
            </w:pPr>
            <w:r w:rsidRPr="00D20E7B">
              <w:rPr>
                <w:sz w:val="16"/>
                <w:szCs w:val="13"/>
              </w:rPr>
              <w:t xml:space="preserve">Determine two or more </w:t>
            </w:r>
            <w:r>
              <w:rPr>
                <w:sz w:val="16"/>
                <w:szCs w:val="13"/>
              </w:rPr>
              <w:t xml:space="preserve">themes or </w:t>
            </w:r>
            <w:r w:rsidRPr="00D20E7B">
              <w:rPr>
                <w:sz w:val="16"/>
                <w:szCs w:val="13"/>
              </w:rPr>
              <w:t>central ideas of a text and analyze their development over the course of the text, including how they interact and build on one another to produce a complex account; provide an objective summary of the text.</w:t>
            </w:r>
          </w:p>
          <w:p w:rsidR="00B44156" w:rsidRPr="00D20E7B" w:rsidRDefault="00B44156" w:rsidP="00B44156">
            <w:pPr>
              <w:pStyle w:val="ToolTableText"/>
              <w:rPr>
                <w:b/>
                <w:sz w:val="16"/>
                <w:szCs w:val="13"/>
              </w:rPr>
            </w:pPr>
          </w:p>
        </w:tc>
        <w:tc>
          <w:tcPr>
            <w:tcW w:w="2880" w:type="dxa"/>
            <w:tcBorders>
              <w:top w:val="single" w:sz="4" w:space="0" w:color="auto"/>
              <w:left w:val="single" w:sz="4" w:space="0" w:color="auto"/>
              <w:bottom w:val="nil"/>
              <w:right w:val="single" w:sz="4" w:space="0" w:color="auto"/>
            </w:tcBorders>
          </w:tcPr>
          <w:p w:rsidR="00B44156" w:rsidRPr="00D20E7B" w:rsidRDefault="00B44156" w:rsidP="00B44156">
            <w:pPr>
              <w:pStyle w:val="ToolTableText"/>
              <w:rPr>
                <w:sz w:val="16"/>
                <w:szCs w:val="13"/>
              </w:rPr>
            </w:pPr>
            <w:r>
              <w:rPr>
                <w:sz w:val="16"/>
                <w:szCs w:val="13"/>
              </w:rPr>
              <w:t>Precisely</w:t>
            </w:r>
            <w:r w:rsidRPr="00D20E7B">
              <w:rPr>
                <w:sz w:val="16"/>
                <w:szCs w:val="13"/>
              </w:rPr>
              <w:t xml:space="preserve"> determine two or more central ideas of a text and skillfully analyze their development by providing precise and sufficient examples of how the central ideas interact and build on one another; (when necessary) provide a concise and accurate objective summary of a text.</w:t>
            </w:r>
          </w:p>
        </w:tc>
        <w:tc>
          <w:tcPr>
            <w:tcW w:w="2970" w:type="dxa"/>
            <w:tcBorders>
              <w:top w:val="single" w:sz="4" w:space="0" w:color="auto"/>
              <w:left w:val="single" w:sz="4" w:space="0" w:color="auto"/>
              <w:bottom w:val="nil"/>
              <w:right w:val="single" w:sz="4" w:space="0" w:color="auto"/>
            </w:tcBorders>
          </w:tcPr>
          <w:p w:rsidR="00B44156" w:rsidRPr="00D20E7B" w:rsidRDefault="00B44156" w:rsidP="00B44156">
            <w:pPr>
              <w:pStyle w:val="ToolTableText"/>
              <w:rPr>
                <w:sz w:val="16"/>
                <w:szCs w:val="13"/>
              </w:rPr>
            </w:pPr>
            <w:r>
              <w:rPr>
                <w:sz w:val="16"/>
                <w:szCs w:val="13"/>
              </w:rPr>
              <w:t xml:space="preserve">Accurately </w:t>
            </w:r>
            <w:r w:rsidRPr="00D20E7B">
              <w:rPr>
                <w:sz w:val="16"/>
                <w:szCs w:val="13"/>
              </w:rPr>
              <w:t>determine two or more central ideas of a text and</w:t>
            </w:r>
            <w:r>
              <w:rPr>
                <w:sz w:val="16"/>
                <w:szCs w:val="13"/>
              </w:rPr>
              <w:t xml:space="preserve"> accurately</w:t>
            </w:r>
            <w:r w:rsidRPr="00D20E7B">
              <w:rPr>
                <w:sz w:val="16"/>
                <w:szCs w:val="13"/>
              </w:rPr>
              <w:t xml:space="preserve"> analyze their development by providing relevant and sufficient examples of how the central ideas interact and build on one another; (when necessary) provide an accurate objective summary of a text.</w:t>
            </w:r>
          </w:p>
        </w:tc>
        <w:tc>
          <w:tcPr>
            <w:tcW w:w="2790" w:type="dxa"/>
            <w:tcBorders>
              <w:top w:val="single" w:sz="4" w:space="0" w:color="auto"/>
              <w:left w:val="single" w:sz="4" w:space="0" w:color="auto"/>
              <w:bottom w:val="nil"/>
              <w:right w:val="single" w:sz="4" w:space="0" w:color="auto"/>
            </w:tcBorders>
          </w:tcPr>
          <w:p w:rsidR="00B44156" w:rsidRPr="00D20E7B" w:rsidRDefault="00B44156" w:rsidP="00B44156">
            <w:pPr>
              <w:pStyle w:val="ToolTableText"/>
              <w:rPr>
                <w:sz w:val="16"/>
                <w:szCs w:val="13"/>
              </w:rPr>
            </w:pPr>
            <w:r w:rsidRPr="0094370F">
              <w:rPr>
                <w:sz w:val="16"/>
                <w:szCs w:val="13"/>
              </w:rPr>
              <w:t xml:space="preserve">Determine two central ideas of a text and </w:t>
            </w:r>
            <w:r>
              <w:rPr>
                <w:sz w:val="16"/>
                <w:szCs w:val="13"/>
              </w:rPr>
              <w:t>with partial accuracy,</w:t>
            </w:r>
            <w:r w:rsidRPr="0094370F">
              <w:rPr>
                <w:sz w:val="16"/>
                <w:szCs w:val="13"/>
              </w:rPr>
              <w:t xml:space="preserve"> analyze their development by providing relevant but insufficient examples of how the central ideas interact and build on one another; (when necessary) provide a partially accurate and somewhat objective summary of a text.</w:t>
            </w:r>
          </w:p>
        </w:tc>
        <w:tc>
          <w:tcPr>
            <w:tcW w:w="2880" w:type="dxa"/>
            <w:tcBorders>
              <w:top w:val="single" w:sz="4" w:space="0" w:color="auto"/>
              <w:left w:val="single" w:sz="4" w:space="0" w:color="auto"/>
              <w:bottom w:val="nil"/>
              <w:right w:val="single" w:sz="4" w:space="0" w:color="auto"/>
            </w:tcBorders>
          </w:tcPr>
          <w:p w:rsidR="00B44156" w:rsidRPr="00D20E7B" w:rsidRDefault="00B44156" w:rsidP="00B44156">
            <w:pPr>
              <w:pStyle w:val="ToolTableText"/>
              <w:rPr>
                <w:sz w:val="16"/>
                <w:szCs w:val="13"/>
              </w:rPr>
            </w:pPr>
            <w:r>
              <w:rPr>
                <w:sz w:val="16"/>
                <w:szCs w:val="13"/>
              </w:rPr>
              <w:t>Fail to determine at least two central ideas of a text or i</w:t>
            </w:r>
            <w:r w:rsidRPr="00D20E7B">
              <w:rPr>
                <w:sz w:val="16"/>
                <w:szCs w:val="13"/>
              </w:rPr>
              <w:t>naccurately determine the central ideas of a text. Provide no examples or irrelevant and insufficient examples of how the central ideas interact and build on one another; (when necessary) provide a lengthy, inaccurate, or subjective summary of a text.</w:t>
            </w:r>
          </w:p>
        </w:tc>
      </w:tr>
      <w:tr w:rsidR="00B44156" w:rsidRPr="00D20E7B" w:rsidTr="006B6303">
        <w:trPr>
          <w:trHeight w:val="1178"/>
        </w:trPr>
        <w:tc>
          <w:tcPr>
            <w:tcW w:w="2718" w:type="dxa"/>
            <w:tcBorders>
              <w:top w:val="single" w:sz="4" w:space="0" w:color="auto"/>
              <w:left w:val="single" w:sz="4" w:space="0" w:color="auto"/>
              <w:bottom w:val="single" w:sz="4" w:space="0" w:color="auto"/>
              <w:right w:val="single" w:sz="4" w:space="0" w:color="auto"/>
            </w:tcBorders>
            <w:shd w:val="clear" w:color="auto" w:fill="D9D9D9"/>
          </w:tcPr>
          <w:p w:rsidR="00B44156" w:rsidRPr="00D20E7B" w:rsidRDefault="00B44156" w:rsidP="00B44156">
            <w:pPr>
              <w:pStyle w:val="ToolTableText"/>
              <w:rPr>
                <w:b/>
                <w:sz w:val="16"/>
                <w:szCs w:val="13"/>
              </w:rPr>
            </w:pPr>
            <w:r w:rsidRPr="00D20E7B">
              <w:rPr>
                <w:b/>
                <w:sz w:val="16"/>
                <w:szCs w:val="13"/>
              </w:rPr>
              <w:t>Command of Evidence and Reasoning</w:t>
            </w:r>
          </w:p>
          <w:p w:rsidR="00B44156" w:rsidRPr="00D20E7B" w:rsidRDefault="00B44156" w:rsidP="00B44156">
            <w:pPr>
              <w:pStyle w:val="ToolTableText"/>
              <w:rPr>
                <w:b/>
                <w:sz w:val="16"/>
                <w:szCs w:val="13"/>
              </w:rPr>
            </w:pPr>
            <w:r w:rsidRPr="00D20E7B">
              <w:rPr>
                <w:b/>
                <w:sz w:val="16"/>
                <w:szCs w:val="13"/>
              </w:rPr>
              <w:t>The extent to which the response thoroughly develops the topic through the effective selection and analysis of the most significant and relevant facts, extended definitions, concrete details, quotations, or other information and examples appropriate to the audience’s knowledge of the topic.</w:t>
            </w:r>
          </w:p>
          <w:p w:rsidR="00B44156" w:rsidRPr="00D20E7B" w:rsidRDefault="00B44156" w:rsidP="00B44156">
            <w:pPr>
              <w:pStyle w:val="ToolTableText"/>
              <w:rPr>
                <w:b/>
                <w:sz w:val="16"/>
                <w:szCs w:val="13"/>
              </w:rPr>
            </w:pPr>
            <w:r w:rsidRPr="00D20E7B">
              <w:rPr>
                <w:b/>
                <w:sz w:val="16"/>
                <w:szCs w:val="13"/>
              </w:rPr>
              <w:t>CCSS.ELA-Literacy.W.11-12.2</w:t>
            </w:r>
          </w:p>
          <w:p w:rsidR="00B44156" w:rsidRPr="00D20E7B" w:rsidRDefault="00B44156" w:rsidP="00B44156">
            <w:pPr>
              <w:pStyle w:val="ToolTableText"/>
              <w:rPr>
                <w:sz w:val="16"/>
                <w:szCs w:val="13"/>
              </w:rPr>
            </w:pPr>
            <w:r w:rsidRPr="00D20E7B">
              <w:rPr>
                <w:sz w:val="16"/>
                <w:szCs w:val="13"/>
              </w:rPr>
              <w:t xml:space="preserve">Write informative/explanatory texts to examine and convey complex </w:t>
            </w:r>
            <w:r w:rsidRPr="00D20E7B">
              <w:rPr>
                <w:sz w:val="16"/>
                <w:szCs w:val="13"/>
              </w:rPr>
              <w:lastRenderedPageBreak/>
              <w:t>ideas, concepts, and information clearly and accurately through the effective selection, organization, and analysis of content.</w:t>
            </w:r>
          </w:p>
          <w:p w:rsidR="00B44156" w:rsidRPr="00D20E7B" w:rsidRDefault="00B44156" w:rsidP="00B44156">
            <w:pPr>
              <w:pStyle w:val="ToolTableText"/>
              <w:rPr>
                <w:b/>
                <w:sz w:val="16"/>
                <w:szCs w:val="13"/>
              </w:rPr>
            </w:pPr>
            <w:r w:rsidRPr="00D20E7B">
              <w:rPr>
                <w:b/>
                <w:sz w:val="16"/>
                <w:szCs w:val="13"/>
              </w:rPr>
              <w:t>CCSS.ELA-Literacy.W.11-12.2.b</w:t>
            </w:r>
          </w:p>
          <w:p w:rsidR="00B44156" w:rsidRPr="00D20E7B" w:rsidRDefault="00B44156" w:rsidP="00B44156">
            <w:pPr>
              <w:pStyle w:val="ToolTableText"/>
              <w:rPr>
                <w:b/>
                <w:sz w:val="16"/>
                <w:szCs w:val="13"/>
              </w:rPr>
            </w:pPr>
            <w:r w:rsidRPr="00D20E7B">
              <w:rPr>
                <w:sz w:val="16"/>
                <w:szCs w:val="13"/>
              </w:rPr>
              <w:t>Develop the topic thoroughly by selecting the most significant and relevant facts, extended definitions, concrete details, quotations, or other information and examples appropriate to the audience’s knowledge of the topic</w:t>
            </w:r>
            <w:r>
              <w:rPr>
                <w:sz w:val="16"/>
                <w:szCs w:val="13"/>
              </w:rPr>
              <w:t>.</w:t>
            </w:r>
          </w:p>
        </w:tc>
        <w:tc>
          <w:tcPr>
            <w:tcW w:w="2880" w:type="dxa"/>
            <w:tcBorders>
              <w:top w:val="single" w:sz="4" w:space="0" w:color="auto"/>
              <w:left w:val="single" w:sz="4" w:space="0" w:color="auto"/>
              <w:bottom w:val="single" w:sz="4" w:space="0" w:color="auto"/>
              <w:right w:val="single" w:sz="4" w:space="0" w:color="auto"/>
            </w:tcBorders>
          </w:tcPr>
          <w:p w:rsidR="00B44156" w:rsidRDefault="00B44156" w:rsidP="00B44156">
            <w:pPr>
              <w:pStyle w:val="ToolTableText"/>
              <w:rPr>
                <w:sz w:val="16"/>
                <w:szCs w:val="13"/>
              </w:rPr>
            </w:pPr>
            <w:r w:rsidRPr="00AD48EE">
              <w:rPr>
                <w:color w:val="000000"/>
                <w:sz w:val="16"/>
                <w:szCs w:val="13"/>
              </w:rPr>
              <w:lastRenderedPageBreak/>
              <w:t>Thoroughly and skillfully develop the topic with the most significant and relevant facts, extended definitions, concrete details, quotations, or other information and examples appropriate to the audience’s knowledge of the topic. (W.11-12.2.b)</w:t>
            </w:r>
          </w:p>
        </w:tc>
        <w:tc>
          <w:tcPr>
            <w:tcW w:w="2970" w:type="dxa"/>
            <w:tcBorders>
              <w:top w:val="single" w:sz="4" w:space="0" w:color="auto"/>
              <w:left w:val="single" w:sz="4" w:space="0" w:color="auto"/>
              <w:bottom w:val="single" w:sz="4" w:space="0" w:color="auto"/>
              <w:right w:val="single" w:sz="4" w:space="0" w:color="auto"/>
            </w:tcBorders>
          </w:tcPr>
          <w:p w:rsidR="00B44156" w:rsidRDefault="00B44156" w:rsidP="00B44156">
            <w:pPr>
              <w:pStyle w:val="ToolTableText"/>
              <w:rPr>
                <w:sz w:val="16"/>
                <w:szCs w:val="13"/>
              </w:rPr>
            </w:pPr>
            <w:r w:rsidRPr="00AD48EE">
              <w:rPr>
                <w:color w:val="000000"/>
                <w:sz w:val="16"/>
                <w:szCs w:val="13"/>
              </w:rPr>
              <w:t>Develop the topic with significant and relevant facts, extended definitions, concrete details, quotations, or other information and examples appropriate to the audience’s knowledge of the topic. (W.11-12.2.b)</w:t>
            </w:r>
          </w:p>
        </w:tc>
        <w:tc>
          <w:tcPr>
            <w:tcW w:w="2790" w:type="dxa"/>
            <w:tcBorders>
              <w:top w:val="single" w:sz="4" w:space="0" w:color="auto"/>
              <w:left w:val="single" w:sz="4" w:space="0" w:color="auto"/>
              <w:bottom w:val="single" w:sz="4" w:space="0" w:color="auto"/>
              <w:right w:val="single" w:sz="4" w:space="0" w:color="auto"/>
            </w:tcBorders>
          </w:tcPr>
          <w:p w:rsidR="00B44156" w:rsidRDefault="00B44156" w:rsidP="00B44156">
            <w:pPr>
              <w:pStyle w:val="ToolTableText"/>
              <w:rPr>
                <w:sz w:val="16"/>
                <w:szCs w:val="13"/>
              </w:rPr>
            </w:pPr>
            <w:r w:rsidRPr="00AD48EE">
              <w:rPr>
                <w:color w:val="000000"/>
                <w:sz w:val="16"/>
                <w:szCs w:val="13"/>
              </w:rPr>
              <w:t>Partially develop the topic with weak facts, extended definitions, details, quotations, or other information and examples appropriate to the audience’s knowledge of the topic. (W.11-12.2.b)</w:t>
            </w:r>
          </w:p>
        </w:tc>
        <w:tc>
          <w:tcPr>
            <w:tcW w:w="2880" w:type="dxa"/>
            <w:tcBorders>
              <w:top w:val="single" w:sz="4" w:space="0" w:color="auto"/>
              <w:left w:val="single" w:sz="4" w:space="0" w:color="auto"/>
              <w:bottom w:val="single" w:sz="4" w:space="0" w:color="auto"/>
              <w:right w:val="single" w:sz="4" w:space="0" w:color="auto"/>
            </w:tcBorders>
          </w:tcPr>
          <w:p w:rsidR="00B44156" w:rsidRDefault="00B44156" w:rsidP="00B44156">
            <w:pPr>
              <w:pStyle w:val="ToolTableText"/>
              <w:rPr>
                <w:sz w:val="16"/>
                <w:szCs w:val="13"/>
              </w:rPr>
            </w:pPr>
            <w:r w:rsidRPr="00AD48EE">
              <w:rPr>
                <w:color w:val="000000"/>
                <w:sz w:val="16"/>
                <w:szCs w:val="13"/>
              </w:rPr>
              <w:t>Minimally develop the topic, providing few or irrelevant facts, extended definitions, details, quotations, or other information and examples appropriate to the audience’s knowledge of the topic. (W.11-12.2.b)</w:t>
            </w:r>
          </w:p>
        </w:tc>
      </w:tr>
      <w:tr w:rsidR="00B44156" w:rsidRPr="00D20E7B" w:rsidTr="006B6303">
        <w:trPr>
          <w:trHeight w:val="432"/>
        </w:trPr>
        <w:tc>
          <w:tcPr>
            <w:tcW w:w="2718" w:type="dxa"/>
            <w:tcBorders>
              <w:top w:val="single" w:sz="4" w:space="0" w:color="auto"/>
              <w:left w:val="single" w:sz="4" w:space="0" w:color="auto"/>
              <w:bottom w:val="single" w:sz="4" w:space="0" w:color="auto"/>
              <w:right w:val="single" w:sz="4" w:space="0" w:color="auto"/>
            </w:tcBorders>
            <w:shd w:val="clear" w:color="auto" w:fill="D9D9D9"/>
          </w:tcPr>
          <w:p w:rsidR="00B44156" w:rsidRPr="00D20E7B" w:rsidRDefault="00B44156" w:rsidP="00B44156">
            <w:pPr>
              <w:pStyle w:val="ToolTableText"/>
              <w:rPr>
                <w:b/>
                <w:sz w:val="16"/>
                <w:szCs w:val="13"/>
              </w:rPr>
            </w:pPr>
            <w:r w:rsidRPr="00D20E7B">
              <w:rPr>
                <w:b/>
                <w:sz w:val="16"/>
                <w:szCs w:val="13"/>
              </w:rPr>
              <w:lastRenderedPageBreak/>
              <w:t xml:space="preserve">Coherence, Organization, and Style </w:t>
            </w:r>
          </w:p>
          <w:p w:rsidR="00B44156" w:rsidRPr="00D20E7B" w:rsidRDefault="00B44156" w:rsidP="00B44156">
            <w:pPr>
              <w:pStyle w:val="ToolTableText"/>
              <w:rPr>
                <w:b/>
                <w:sz w:val="16"/>
                <w:szCs w:val="13"/>
              </w:rPr>
            </w:pPr>
            <w:r w:rsidRPr="00D20E7B">
              <w:rPr>
                <w:b/>
                <w:sz w:val="16"/>
                <w:szCs w:val="13"/>
              </w:rPr>
              <w:t>The extent to which the response introduces a topic and organizes complex ideas, concepts, and information so that each new element builds on that which preced</w:t>
            </w:r>
            <w:r>
              <w:rPr>
                <w:b/>
                <w:sz w:val="16"/>
                <w:szCs w:val="13"/>
              </w:rPr>
              <w:t xml:space="preserve">es it to create a unified whole; when useful to aiding comprehension, </w:t>
            </w:r>
            <w:r w:rsidRPr="002A4BCF">
              <w:rPr>
                <w:b/>
                <w:sz w:val="16"/>
                <w:szCs w:val="13"/>
              </w:rPr>
              <w:t>include</w:t>
            </w:r>
            <w:r>
              <w:rPr>
                <w:b/>
                <w:sz w:val="16"/>
                <w:szCs w:val="13"/>
              </w:rPr>
              <w:t>s</w:t>
            </w:r>
            <w:r w:rsidRPr="002A4BCF">
              <w:rPr>
                <w:b/>
                <w:sz w:val="16"/>
                <w:szCs w:val="13"/>
              </w:rPr>
              <w:t xml:space="preserve"> formatting, graphics, and multimedia.</w:t>
            </w:r>
          </w:p>
          <w:p w:rsidR="00B44156" w:rsidRPr="00D20E7B" w:rsidRDefault="00B44156" w:rsidP="00B44156">
            <w:pPr>
              <w:pStyle w:val="ToolTableText"/>
              <w:rPr>
                <w:b/>
                <w:sz w:val="16"/>
                <w:szCs w:val="13"/>
              </w:rPr>
            </w:pPr>
            <w:r w:rsidRPr="00D20E7B">
              <w:rPr>
                <w:b/>
                <w:sz w:val="16"/>
                <w:szCs w:val="13"/>
              </w:rPr>
              <w:t>CCSS.ELA-Literacy.W.11-12.2</w:t>
            </w:r>
          </w:p>
          <w:p w:rsidR="00B44156" w:rsidRPr="00D20E7B" w:rsidRDefault="00B44156" w:rsidP="00B44156">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rsidR="00B44156" w:rsidRPr="00D20E7B" w:rsidRDefault="00B44156" w:rsidP="00B44156">
            <w:pPr>
              <w:pStyle w:val="ToolTableText"/>
              <w:rPr>
                <w:b/>
                <w:sz w:val="16"/>
                <w:szCs w:val="13"/>
              </w:rPr>
            </w:pPr>
            <w:r w:rsidRPr="00D20E7B">
              <w:rPr>
                <w:b/>
                <w:sz w:val="16"/>
                <w:szCs w:val="13"/>
              </w:rPr>
              <w:t>CCSS.ELA-Literacy.W.11-12.2.a</w:t>
            </w:r>
          </w:p>
          <w:p w:rsidR="00B44156" w:rsidRPr="00D20E7B" w:rsidRDefault="00B44156" w:rsidP="00B44156">
            <w:pPr>
              <w:pStyle w:val="ToolTableText"/>
              <w:rPr>
                <w:sz w:val="16"/>
                <w:szCs w:val="13"/>
              </w:rPr>
            </w:pPr>
            <w:r w:rsidRPr="00D20E7B">
              <w:rPr>
                <w:sz w:val="16"/>
                <w:szCs w:val="13"/>
              </w:rPr>
              <w:t xml:space="preserve">Introduce a topic; organize complex ideas, concepts, and information so </w:t>
            </w:r>
            <w:r w:rsidRPr="00D20E7B">
              <w:rPr>
                <w:sz w:val="16"/>
                <w:szCs w:val="13"/>
              </w:rPr>
              <w:lastRenderedPageBreak/>
              <w:t>that each new element builds on that which precedes it to create a unified whole; include formatting (e.g., headings), graphics (e.g., figures, tables), and multimedia when useful to aiding comprehension.</w:t>
            </w:r>
          </w:p>
          <w:p w:rsidR="00B44156" w:rsidRPr="00D20E7B" w:rsidRDefault="00B44156" w:rsidP="00B44156">
            <w:pPr>
              <w:pStyle w:val="ToolTableText"/>
              <w:rPr>
                <w:b/>
                <w:sz w:val="16"/>
                <w:szCs w:val="13"/>
              </w:rPr>
            </w:pPr>
            <w:r w:rsidRPr="00D20E7B">
              <w:rPr>
                <w:b/>
                <w:sz w:val="16"/>
                <w:szCs w:val="13"/>
              </w:rPr>
              <w:t>The extent to which the response uses appropriate and varied transitions and syntax to link the major sections of the text, create cohesion, and clarify the relationships among complex ideas and concepts.</w:t>
            </w:r>
          </w:p>
          <w:p w:rsidR="00B44156" w:rsidRPr="00D20E7B" w:rsidRDefault="00B44156" w:rsidP="00B44156">
            <w:pPr>
              <w:pStyle w:val="ToolTableText"/>
              <w:rPr>
                <w:b/>
                <w:sz w:val="16"/>
                <w:szCs w:val="13"/>
              </w:rPr>
            </w:pPr>
            <w:r w:rsidRPr="00D20E7B">
              <w:rPr>
                <w:b/>
                <w:sz w:val="16"/>
                <w:szCs w:val="13"/>
              </w:rPr>
              <w:t>CCSS.ELA-Literacy.W.11-12.2.c</w:t>
            </w:r>
          </w:p>
          <w:p w:rsidR="00B44156" w:rsidRPr="00D20E7B" w:rsidRDefault="00B44156" w:rsidP="00B44156">
            <w:pPr>
              <w:pStyle w:val="ToolTableText"/>
              <w:rPr>
                <w:sz w:val="16"/>
                <w:szCs w:val="13"/>
              </w:rPr>
            </w:pPr>
            <w:r w:rsidRPr="00D20E7B">
              <w:rPr>
                <w:sz w:val="16"/>
                <w:szCs w:val="13"/>
              </w:rPr>
              <w:t>Use appropriate and varied transitions and syntax to link</w:t>
            </w:r>
            <w:r w:rsidRPr="00D20E7B">
              <w:rPr>
                <w:b/>
                <w:sz w:val="16"/>
                <w:szCs w:val="13"/>
              </w:rPr>
              <w:t xml:space="preserve"> </w:t>
            </w:r>
            <w:r w:rsidRPr="00D20E7B">
              <w:rPr>
                <w:sz w:val="16"/>
                <w:szCs w:val="13"/>
              </w:rPr>
              <w:t>the major sections of the text, create cohesion, and clarify the relationships among complex ideas and concepts.</w:t>
            </w:r>
          </w:p>
          <w:p w:rsidR="00B44156" w:rsidRPr="00D20E7B" w:rsidRDefault="00B44156" w:rsidP="00B44156">
            <w:pPr>
              <w:pStyle w:val="ToolTableText"/>
              <w:rPr>
                <w:b/>
                <w:sz w:val="16"/>
                <w:szCs w:val="13"/>
              </w:rPr>
            </w:pPr>
            <w:r w:rsidRPr="00D20E7B">
              <w:rPr>
                <w:b/>
                <w:sz w:val="16"/>
                <w:szCs w:val="13"/>
              </w:rPr>
              <w:t>The extent to which the response includes and uses precise language, domain</w:t>
            </w:r>
            <w:r>
              <w:rPr>
                <w:b/>
                <w:sz w:val="16"/>
                <w:szCs w:val="13"/>
              </w:rPr>
              <w:t>-</w:t>
            </w:r>
            <w:r w:rsidRPr="00D20E7B">
              <w:rPr>
                <w:b/>
                <w:sz w:val="16"/>
                <w:szCs w:val="13"/>
              </w:rPr>
              <w:t>specific vocabulary, and techniques such as metaphor, simile, and analogy to manage the complexity of the topic.</w:t>
            </w:r>
          </w:p>
          <w:p w:rsidR="00B44156" w:rsidRPr="00D20E7B" w:rsidRDefault="00B44156" w:rsidP="00B44156">
            <w:pPr>
              <w:pStyle w:val="ToolTableText"/>
              <w:rPr>
                <w:b/>
                <w:sz w:val="16"/>
                <w:szCs w:val="13"/>
              </w:rPr>
            </w:pPr>
            <w:r w:rsidRPr="00D20E7B">
              <w:rPr>
                <w:b/>
                <w:sz w:val="16"/>
                <w:szCs w:val="13"/>
              </w:rPr>
              <w:t>CCSS.ELA-Literacy.W.11-12.2.d</w:t>
            </w:r>
          </w:p>
          <w:p w:rsidR="00B44156" w:rsidRPr="00D20E7B" w:rsidRDefault="00B44156" w:rsidP="00B44156">
            <w:pPr>
              <w:pStyle w:val="ToolTableText"/>
              <w:rPr>
                <w:sz w:val="16"/>
                <w:szCs w:val="13"/>
              </w:rPr>
            </w:pPr>
            <w:r w:rsidRPr="00D20E7B">
              <w:rPr>
                <w:sz w:val="16"/>
                <w:szCs w:val="13"/>
              </w:rPr>
              <w:t>Use precise language, domain-specific vocabulary, and techniques such as metaphor, simile, and analogy to manage the complexity of the topic.</w:t>
            </w:r>
          </w:p>
          <w:p w:rsidR="00B44156" w:rsidRPr="00D20E7B" w:rsidRDefault="00B44156" w:rsidP="00B44156">
            <w:pPr>
              <w:pStyle w:val="ToolTableText"/>
              <w:rPr>
                <w:b/>
                <w:sz w:val="16"/>
                <w:szCs w:val="13"/>
              </w:rPr>
            </w:pPr>
            <w:r w:rsidRPr="00D20E7B">
              <w:rPr>
                <w:b/>
                <w:sz w:val="16"/>
                <w:szCs w:val="13"/>
              </w:rPr>
              <w:t xml:space="preserve">The extent to which the response properly establishes and maintains a formal style and objective tone as </w:t>
            </w:r>
            <w:r w:rsidRPr="00D20E7B">
              <w:rPr>
                <w:b/>
                <w:sz w:val="16"/>
                <w:szCs w:val="13"/>
              </w:rPr>
              <w:lastRenderedPageBreak/>
              <w:t>well as adheres to the writing conventions of the discipline.</w:t>
            </w:r>
          </w:p>
          <w:p w:rsidR="00B44156" w:rsidRPr="00D20E7B" w:rsidRDefault="00B44156" w:rsidP="00B44156">
            <w:pPr>
              <w:pStyle w:val="ToolTableText"/>
              <w:rPr>
                <w:b/>
                <w:sz w:val="16"/>
                <w:szCs w:val="13"/>
              </w:rPr>
            </w:pPr>
            <w:r w:rsidRPr="00D20E7B">
              <w:rPr>
                <w:b/>
                <w:sz w:val="16"/>
                <w:szCs w:val="13"/>
              </w:rPr>
              <w:t>CCSS.ELA-Literacy.W.11-12.2.e</w:t>
            </w:r>
          </w:p>
          <w:p w:rsidR="00B44156" w:rsidRPr="00D20E7B" w:rsidRDefault="00B44156" w:rsidP="00B44156">
            <w:pPr>
              <w:pStyle w:val="ToolTableText"/>
              <w:rPr>
                <w:sz w:val="16"/>
                <w:szCs w:val="13"/>
              </w:rPr>
            </w:pPr>
            <w:r w:rsidRPr="00D20E7B">
              <w:rPr>
                <w:sz w:val="16"/>
                <w:szCs w:val="13"/>
              </w:rPr>
              <w:t>Establish and maintain a formal style and objective tone while attending to the norms and conventions of the discipline in which they are writing.</w:t>
            </w:r>
          </w:p>
          <w:p w:rsidR="00B44156" w:rsidRPr="00D20E7B" w:rsidRDefault="00B44156" w:rsidP="00B44156">
            <w:pPr>
              <w:pStyle w:val="ToolTableText"/>
              <w:rPr>
                <w:b/>
                <w:sz w:val="16"/>
                <w:szCs w:val="13"/>
              </w:rPr>
            </w:pPr>
            <w:r w:rsidRPr="00D20E7B">
              <w:rPr>
                <w:b/>
                <w:sz w:val="16"/>
                <w:szCs w:val="13"/>
              </w:rPr>
              <w:t>The extent to which the response provides a concluding statement or section that follows from and supports the information or explanation presented (e.g., articulating implications or the significance of the topic).</w:t>
            </w:r>
          </w:p>
          <w:p w:rsidR="00B44156" w:rsidRPr="00D20E7B" w:rsidRDefault="00B44156" w:rsidP="00B44156">
            <w:pPr>
              <w:pStyle w:val="ToolTableText"/>
              <w:rPr>
                <w:b/>
                <w:sz w:val="16"/>
                <w:szCs w:val="13"/>
              </w:rPr>
            </w:pPr>
            <w:r w:rsidRPr="00D20E7B">
              <w:rPr>
                <w:b/>
                <w:sz w:val="16"/>
                <w:szCs w:val="13"/>
              </w:rPr>
              <w:t>CCSS.ELA-Literacy.W.11-12.2.f</w:t>
            </w:r>
          </w:p>
          <w:p w:rsidR="00B44156" w:rsidRPr="00D20E7B" w:rsidRDefault="00B44156" w:rsidP="00B44156">
            <w:pPr>
              <w:pStyle w:val="ToolTableText"/>
              <w:rPr>
                <w:sz w:val="16"/>
                <w:szCs w:val="13"/>
              </w:rPr>
            </w:pPr>
            <w:r w:rsidRPr="00D20E7B">
              <w:rPr>
                <w:sz w:val="16"/>
                <w:szCs w:val="13"/>
              </w:rPr>
              <w:t>Provide a concluding statement or section that follows from and supports the information or explanation presented (e.g., articulating implications or the significance of the topic).</w:t>
            </w:r>
          </w:p>
        </w:tc>
        <w:tc>
          <w:tcPr>
            <w:tcW w:w="2880" w:type="dxa"/>
            <w:tcBorders>
              <w:top w:val="single" w:sz="4" w:space="0" w:color="auto"/>
              <w:left w:val="single" w:sz="4" w:space="0" w:color="auto"/>
              <w:bottom w:val="single" w:sz="4" w:space="0" w:color="auto"/>
              <w:right w:val="single" w:sz="4" w:space="0" w:color="auto"/>
            </w:tcBorders>
          </w:tcPr>
          <w:p w:rsidR="00B44156" w:rsidRPr="00AD48EE" w:rsidRDefault="00B44156" w:rsidP="00B44156">
            <w:pPr>
              <w:pStyle w:val="ToolTableText"/>
              <w:rPr>
                <w:color w:val="000000"/>
                <w:sz w:val="16"/>
                <w:szCs w:val="13"/>
              </w:rPr>
            </w:pPr>
            <w:r w:rsidRPr="00AD48EE">
              <w:rPr>
                <w:color w:val="000000"/>
                <w:sz w:val="16"/>
                <w:szCs w:val="13"/>
              </w:rPr>
              <w:lastRenderedPageBreak/>
              <w:t xml:space="preserve">Skillfully introduce a topic; effectively organize complex ideas, concepts, and information so that each new element clearly builds on that which precedes it to create a unified whole; when useful to aiding comprehension, skillfully </w:t>
            </w:r>
            <w:r w:rsidRPr="00D53572">
              <w:rPr>
                <w:sz w:val="16"/>
                <w:szCs w:val="13"/>
              </w:rPr>
              <w:t>include formatting, graphics, and multimedia.</w:t>
            </w:r>
            <w:r w:rsidRPr="00AD48EE">
              <w:rPr>
                <w:color w:val="000000"/>
                <w:sz w:val="16"/>
                <w:szCs w:val="13"/>
              </w:rPr>
              <w:t xml:space="preserve"> (W.11-12.2.a)</w:t>
            </w:r>
          </w:p>
          <w:p w:rsidR="00B44156" w:rsidRPr="00AD48EE" w:rsidRDefault="00B44156" w:rsidP="00B44156">
            <w:pPr>
              <w:pStyle w:val="ToolTableText"/>
              <w:rPr>
                <w:color w:val="000000"/>
                <w:sz w:val="16"/>
                <w:szCs w:val="13"/>
              </w:rPr>
            </w:pPr>
            <w:r w:rsidRPr="00AD48EE">
              <w:rPr>
                <w:color w:val="000000"/>
                <w:sz w:val="16"/>
                <w:szCs w:val="13"/>
              </w:rPr>
              <w:t xml:space="preserve">Skillfully use appropriate and varied transitions and syntax to link the major sections of the text, create cohesion, and clarify the relationships among complex ideas and concepts. </w:t>
            </w:r>
            <w:r w:rsidRPr="00D20E7B">
              <w:rPr>
                <w:sz w:val="16"/>
                <w:szCs w:val="13"/>
              </w:rPr>
              <w:t>(W.11-12.2.c)</w:t>
            </w:r>
          </w:p>
          <w:p w:rsidR="00B44156" w:rsidRPr="00AD48EE" w:rsidRDefault="00B44156" w:rsidP="00B44156">
            <w:pPr>
              <w:pStyle w:val="ToolTableText"/>
              <w:rPr>
                <w:color w:val="000000"/>
                <w:sz w:val="16"/>
                <w:szCs w:val="13"/>
              </w:rPr>
            </w:pPr>
            <w:r w:rsidRPr="00AD48EE">
              <w:rPr>
                <w:color w:val="000000"/>
                <w:sz w:val="16"/>
                <w:szCs w:val="13"/>
              </w:rPr>
              <w:t>Skillfully use precise language, domain-specific vocabulary, and techniques such as metaphor, simile, and analogy to manage the complexity of the topic. (W.11-12.2.d)</w:t>
            </w:r>
          </w:p>
          <w:p w:rsidR="00B44156" w:rsidRPr="00AD48EE" w:rsidRDefault="00B44156" w:rsidP="00B44156">
            <w:pPr>
              <w:pStyle w:val="ToolTableText"/>
              <w:rPr>
                <w:color w:val="000000"/>
                <w:sz w:val="16"/>
                <w:szCs w:val="13"/>
              </w:rPr>
            </w:pPr>
            <w:r w:rsidRPr="00AD48EE">
              <w:rPr>
                <w:color w:val="000000"/>
                <w:sz w:val="16"/>
                <w:szCs w:val="13"/>
              </w:rPr>
              <w:t xml:space="preserve">Skillfully establish and maintain a formal style and objective tone that is appropriate for the norms and </w:t>
            </w:r>
            <w:r w:rsidRPr="00AD48EE">
              <w:rPr>
                <w:color w:val="000000"/>
                <w:sz w:val="16"/>
                <w:szCs w:val="13"/>
              </w:rPr>
              <w:lastRenderedPageBreak/>
              <w:t>conventions of the discipline. (W.11-12.2.e)</w:t>
            </w:r>
          </w:p>
          <w:p w:rsidR="00B44156" w:rsidRPr="00AD48EE" w:rsidRDefault="00B44156" w:rsidP="00B44156">
            <w:pPr>
              <w:pStyle w:val="ToolTableText"/>
              <w:rPr>
                <w:color w:val="000000"/>
                <w:sz w:val="16"/>
                <w:szCs w:val="13"/>
              </w:rPr>
            </w:pPr>
            <w:r w:rsidRPr="00AD48EE">
              <w:rPr>
                <w:color w:val="000000"/>
                <w:sz w:val="16"/>
                <w:szCs w:val="13"/>
              </w:rPr>
              <w:t>P</w:t>
            </w:r>
            <w:r w:rsidRPr="00D20E7B">
              <w:rPr>
                <w:sz w:val="16"/>
                <w:szCs w:val="13"/>
              </w:rPr>
              <w:t>rovide a concluding statement or section that clearly follows from and skillfully supports the information or explanation presented. (W.11-12.2.f)</w:t>
            </w:r>
          </w:p>
        </w:tc>
        <w:tc>
          <w:tcPr>
            <w:tcW w:w="2970" w:type="dxa"/>
            <w:tcBorders>
              <w:top w:val="single" w:sz="4" w:space="0" w:color="auto"/>
              <w:left w:val="single" w:sz="4" w:space="0" w:color="auto"/>
              <w:bottom w:val="single" w:sz="4" w:space="0" w:color="auto"/>
              <w:right w:val="single" w:sz="4" w:space="0" w:color="auto"/>
            </w:tcBorders>
          </w:tcPr>
          <w:p w:rsidR="00B44156" w:rsidRPr="00AD48EE" w:rsidRDefault="00B44156" w:rsidP="00B44156">
            <w:pPr>
              <w:pStyle w:val="ToolTableText"/>
              <w:rPr>
                <w:color w:val="000000"/>
                <w:sz w:val="16"/>
                <w:szCs w:val="13"/>
              </w:rPr>
            </w:pPr>
            <w:r w:rsidRPr="00AD48EE">
              <w:rPr>
                <w:color w:val="000000"/>
                <w:sz w:val="16"/>
                <w:szCs w:val="13"/>
              </w:rPr>
              <w:lastRenderedPageBreak/>
              <w:t xml:space="preserve">Introduce a topic; organize complex ideas, concepts, and information so that each new element builds on that which precedes it to create a unified whole; when useful to aiding comprehension, </w:t>
            </w:r>
            <w:r w:rsidRPr="00D53572">
              <w:rPr>
                <w:sz w:val="16"/>
                <w:szCs w:val="13"/>
              </w:rPr>
              <w:t>include formatting, graphics, and multimedia.</w:t>
            </w:r>
            <w:r w:rsidRPr="00AD48EE">
              <w:rPr>
                <w:color w:val="000000"/>
                <w:sz w:val="16"/>
                <w:szCs w:val="13"/>
              </w:rPr>
              <w:t xml:space="preserve"> (W.11-12.2.a)</w:t>
            </w:r>
          </w:p>
          <w:p w:rsidR="00B44156" w:rsidRPr="00D20E7B" w:rsidRDefault="00B44156" w:rsidP="00B44156">
            <w:pPr>
              <w:pStyle w:val="ToolTableText"/>
              <w:rPr>
                <w:sz w:val="16"/>
                <w:szCs w:val="13"/>
              </w:rPr>
            </w:pPr>
            <w:r w:rsidRPr="00AD48EE">
              <w:rPr>
                <w:color w:val="000000"/>
                <w:sz w:val="16"/>
                <w:szCs w:val="13"/>
              </w:rPr>
              <w:t xml:space="preserve">Effectively use appropriate and varied transitions and syntax to link the major sections of the text, create cohesion, and clarify the relationships among complex ideas and concepts. </w:t>
            </w:r>
            <w:r w:rsidRPr="00D20E7B">
              <w:rPr>
                <w:sz w:val="16"/>
                <w:szCs w:val="13"/>
              </w:rPr>
              <w:t>(W.11-12.2.c)</w:t>
            </w:r>
          </w:p>
          <w:p w:rsidR="00B44156" w:rsidRPr="00AD48EE" w:rsidRDefault="00B44156" w:rsidP="00B44156">
            <w:pPr>
              <w:pStyle w:val="ToolTableText"/>
              <w:rPr>
                <w:color w:val="000000"/>
                <w:sz w:val="16"/>
                <w:szCs w:val="13"/>
              </w:rPr>
            </w:pPr>
            <w:r w:rsidRPr="00AD48EE">
              <w:rPr>
                <w:color w:val="000000"/>
                <w:sz w:val="16"/>
                <w:szCs w:val="13"/>
              </w:rPr>
              <w:t>Use precise language, domain-specific vocabulary, and techniques such as metaphor, simile, and analogy to manage the complexity of the topic. (W.11-12.2.d)</w:t>
            </w:r>
          </w:p>
          <w:p w:rsidR="00B44156" w:rsidRPr="00AD48EE" w:rsidRDefault="00B44156" w:rsidP="00B44156">
            <w:pPr>
              <w:pStyle w:val="ToolTableText"/>
              <w:rPr>
                <w:color w:val="000000"/>
                <w:sz w:val="16"/>
                <w:szCs w:val="13"/>
              </w:rPr>
            </w:pPr>
            <w:r w:rsidRPr="00AD48EE">
              <w:rPr>
                <w:color w:val="000000"/>
                <w:sz w:val="16"/>
                <w:szCs w:val="13"/>
              </w:rPr>
              <w:t>Establish a formal style and objective tone that is appropriate for the norms and conventions of the discipline. (W.11-12.2.e)</w:t>
            </w:r>
          </w:p>
          <w:p w:rsidR="00B44156" w:rsidRPr="00AD48EE" w:rsidRDefault="00B44156" w:rsidP="00B44156">
            <w:pPr>
              <w:pStyle w:val="ToolTableText"/>
              <w:rPr>
                <w:color w:val="000000"/>
                <w:sz w:val="16"/>
                <w:szCs w:val="13"/>
              </w:rPr>
            </w:pPr>
            <w:r w:rsidRPr="00AD48EE">
              <w:rPr>
                <w:color w:val="000000"/>
                <w:sz w:val="16"/>
                <w:szCs w:val="13"/>
              </w:rPr>
              <w:t>P</w:t>
            </w:r>
            <w:r w:rsidRPr="00D20E7B">
              <w:rPr>
                <w:sz w:val="16"/>
                <w:szCs w:val="13"/>
              </w:rPr>
              <w:t xml:space="preserve">rovide a concluding statement or section </w:t>
            </w:r>
            <w:r w:rsidRPr="00D20E7B">
              <w:rPr>
                <w:sz w:val="16"/>
                <w:szCs w:val="13"/>
              </w:rPr>
              <w:lastRenderedPageBreak/>
              <w:t>that follows from and supports the information or explanation presented. (W.11-12.2.f)</w:t>
            </w:r>
          </w:p>
        </w:tc>
        <w:tc>
          <w:tcPr>
            <w:tcW w:w="2790" w:type="dxa"/>
            <w:tcBorders>
              <w:top w:val="single" w:sz="4" w:space="0" w:color="auto"/>
              <w:left w:val="single" w:sz="4" w:space="0" w:color="auto"/>
              <w:bottom w:val="single" w:sz="4" w:space="0" w:color="auto"/>
              <w:right w:val="single" w:sz="4" w:space="0" w:color="auto"/>
            </w:tcBorders>
          </w:tcPr>
          <w:p w:rsidR="00B44156" w:rsidRPr="00AD48EE" w:rsidRDefault="00B44156" w:rsidP="00B44156">
            <w:pPr>
              <w:pStyle w:val="ToolTableText"/>
              <w:rPr>
                <w:color w:val="000000"/>
                <w:sz w:val="16"/>
                <w:szCs w:val="13"/>
              </w:rPr>
            </w:pPr>
            <w:r w:rsidRPr="00AD48EE">
              <w:rPr>
                <w:color w:val="000000"/>
                <w:sz w:val="16"/>
                <w:szCs w:val="13"/>
              </w:rPr>
              <w:lastRenderedPageBreak/>
              <w:t xml:space="preserve">Ineffectively introduce a topic; organize complex ideas, concepts, and information so that each new element partially builds on that which precedes it to create a loosely unified whole; when useful to aiding comprehension, somewhat effectively </w:t>
            </w:r>
            <w:r w:rsidRPr="00D53572">
              <w:rPr>
                <w:sz w:val="16"/>
                <w:szCs w:val="13"/>
              </w:rPr>
              <w:t>include formatting, graphics, and multimedia.</w:t>
            </w:r>
            <w:r w:rsidRPr="00AD48EE">
              <w:rPr>
                <w:color w:val="000000"/>
                <w:sz w:val="16"/>
                <w:szCs w:val="13"/>
              </w:rPr>
              <w:t xml:space="preserve"> (W.11-12.2.a)</w:t>
            </w:r>
          </w:p>
          <w:p w:rsidR="00B44156" w:rsidRPr="00AD48EE" w:rsidRDefault="00B44156" w:rsidP="00B44156">
            <w:pPr>
              <w:pStyle w:val="ToolTableText"/>
              <w:rPr>
                <w:color w:val="000000"/>
                <w:sz w:val="16"/>
                <w:szCs w:val="13"/>
              </w:rPr>
            </w:pPr>
            <w:r w:rsidRPr="00AD48EE">
              <w:rPr>
                <w:color w:val="000000"/>
                <w:sz w:val="16"/>
                <w:szCs w:val="13"/>
              </w:rPr>
              <w:t xml:space="preserve">Somewhat effectively use transitions or use unvaried transitions and syntax to link the major sections of the text, creating limited cohesion or clarity in the relationships among complex ideas and concepts. </w:t>
            </w:r>
            <w:r w:rsidRPr="00D20E7B">
              <w:rPr>
                <w:sz w:val="16"/>
                <w:szCs w:val="13"/>
              </w:rPr>
              <w:t xml:space="preserve">(W.11-12.2.c) </w:t>
            </w:r>
          </w:p>
          <w:p w:rsidR="00B44156" w:rsidRPr="00AD48EE" w:rsidRDefault="00B44156" w:rsidP="00B44156">
            <w:pPr>
              <w:pStyle w:val="ToolTableText"/>
              <w:rPr>
                <w:color w:val="000000"/>
                <w:sz w:val="16"/>
                <w:szCs w:val="13"/>
              </w:rPr>
            </w:pPr>
            <w:r w:rsidRPr="00AD48EE">
              <w:rPr>
                <w:color w:val="000000"/>
                <w:sz w:val="16"/>
                <w:szCs w:val="13"/>
              </w:rPr>
              <w:t>Inconsistently use precise language, domain-specific vocabulary, and techniques such as metaphor, simile, and analogy to manage the complexity of the topic. (W.11-12.2.d)</w:t>
            </w:r>
          </w:p>
          <w:p w:rsidR="00B44156" w:rsidRPr="00AD48EE" w:rsidRDefault="00B44156" w:rsidP="00B44156">
            <w:pPr>
              <w:pStyle w:val="ToolTableText"/>
              <w:rPr>
                <w:color w:val="000000"/>
                <w:sz w:val="16"/>
                <w:szCs w:val="13"/>
              </w:rPr>
            </w:pPr>
            <w:r w:rsidRPr="00AD48EE">
              <w:rPr>
                <w:color w:val="000000"/>
                <w:sz w:val="16"/>
                <w:szCs w:val="13"/>
              </w:rPr>
              <w:t xml:space="preserve">Establish but fail to maintain a formal style and objective tone that is </w:t>
            </w:r>
            <w:r w:rsidRPr="00AD48EE">
              <w:rPr>
                <w:color w:val="000000"/>
                <w:sz w:val="16"/>
                <w:szCs w:val="13"/>
              </w:rPr>
              <w:lastRenderedPageBreak/>
              <w:t>appropriate for the norms and conventions of the discipline. (W.11-12.2.e)</w:t>
            </w:r>
          </w:p>
          <w:p w:rsidR="00B44156" w:rsidRPr="00AD48EE" w:rsidRDefault="00B44156" w:rsidP="00B44156">
            <w:pPr>
              <w:pStyle w:val="ToolTableText"/>
              <w:rPr>
                <w:color w:val="000000"/>
                <w:sz w:val="16"/>
                <w:szCs w:val="13"/>
              </w:rPr>
            </w:pPr>
            <w:r w:rsidRPr="00AD48EE">
              <w:rPr>
                <w:color w:val="000000"/>
                <w:sz w:val="16"/>
                <w:szCs w:val="13"/>
              </w:rPr>
              <w:t>Provide a concluding statement or section that loosely follows from and so ineffectively supports the information or explanation presented. (W.11-12.2.f)</w:t>
            </w:r>
          </w:p>
        </w:tc>
        <w:tc>
          <w:tcPr>
            <w:tcW w:w="2880" w:type="dxa"/>
            <w:tcBorders>
              <w:top w:val="single" w:sz="4" w:space="0" w:color="auto"/>
              <w:left w:val="single" w:sz="4" w:space="0" w:color="auto"/>
              <w:bottom w:val="single" w:sz="4" w:space="0" w:color="auto"/>
              <w:right w:val="single" w:sz="4" w:space="0" w:color="auto"/>
            </w:tcBorders>
          </w:tcPr>
          <w:p w:rsidR="00B44156" w:rsidRPr="00AD48EE" w:rsidRDefault="00B44156" w:rsidP="00B44156">
            <w:pPr>
              <w:pStyle w:val="ToolTableText"/>
              <w:rPr>
                <w:color w:val="000000"/>
                <w:sz w:val="16"/>
                <w:szCs w:val="13"/>
              </w:rPr>
            </w:pPr>
            <w:r w:rsidRPr="00AD48EE">
              <w:rPr>
                <w:color w:val="000000"/>
                <w:sz w:val="16"/>
                <w:szCs w:val="13"/>
              </w:rPr>
              <w:lastRenderedPageBreak/>
              <w:t xml:space="preserve">Lack a clear </w:t>
            </w:r>
            <w:bookmarkStart w:id="0" w:name="_GoBack"/>
            <w:bookmarkEnd w:id="0"/>
            <w:r w:rsidRPr="00AD48EE">
              <w:rPr>
                <w:color w:val="000000"/>
                <w:sz w:val="16"/>
                <w:szCs w:val="13"/>
              </w:rPr>
              <w:t xml:space="preserve">topic; illogically arrange ideas, concepts, and information, failing to create a unified whole; when useful to aiding comprehension, ineffectively </w:t>
            </w:r>
            <w:r w:rsidRPr="00D53572">
              <w:rPr>
                <w:sz w:val="16"/>
                <w:szCs w:val="13"/>
              </w:rPr>
              <w:t>include forma</w:t>
            </w:r>
            <w:r>
              <w:rPr>
                <w:sz w:val="16"/>
                <w:szCs w:val="13"/>
              </w:rPr>
              <w:t>tting, graphics, and multimedia</w:t>
            </w:r>
            <w:r w:rsidRPr="00D53572">
              <w:rPr>
                <w:sz w:val="16"/>
                <w:szCs w:val="13"/>
              </w:rPr>
              <w:t>.</w:t>
            </w:r>
            <w:r w:rsidRPr="00AD48EE">
              <w:rPr>
                <w:color w:val="000000"/>
                <w:sz w:val="16"/>
                <w:szCs w:val="13"/>
              </w:rPr>
              <w:t xml:space="preserve"> (W.11-12.2.a)</w:t>
            </w:r>
          </w:p>
          <w:p w:rsidR="00B44156" w:rsidRPr="00D20E7B" w:rsidRDefault="00B44156" w:rsidP="00B44156">
            <w:pPr>
              <w:pStyle w:val="ToolTableText"/>
              <w:rPr>
                <w:sz w:val="16"/>
                <w:szCs w:val="13"/>
              </w:rPr>
            </w:pPr>
            <w:r w:rsidRPr="00AD48EE">
              <w:rPr>
                <w:color w:val="000000"/>
                <w:sz w:val="16"/>
                <w:szCs w:val="13"/>
              </w:rPr>
              <w:t xml:space="preserve">Ineffectively use transitions and syntax to link the major sections of the text, creating incoherent or unclear relationships among complex ideas and concepts. </w:t>
            </w:r>
            <w:r w:rsidRPr="00D20E7B">
              <w:rPr>
                <w:sz w:val="16"/>
                <w:szCs w:val="13"/>
              </w:rPr>
              <w:t>(W.11-12.2.c)</w:t>
            </w:r>
          </w:p>
          <w:p w:rsidR="00B44156" w:rsidRPr="00AD48EE" w:rsidRDefault="00B44156" w:rsidP="00B44156">
            <w:pPr>
              <w:pStyle w:val="ToolTableText"/>
              <w:rPr>
                <w:color w:val="000000"/>
                <w:sz w:val="16"/>
                <w:szCs w:val="13"/>
              </w:rPr>
            </w:pPr>
            <w:r w:rsidRPr="00AD48EE">
              <w:rPr>
                <w:color w:val="000000"/>
                <w:sz w:val="16"/>
                <w:szCs w:val="13"/>
              </w:rPr>
              <w:t>Rarely or inaccurately use precise language, domain-specific vocabulary, or any techniques such as metaphor, simile, and analogy to manage the complexity of the topic. (W.11-12.2.d)</w:t>
            </w:r>
          </w:p>
          <w:p w:rsidR="00B44156" w:rsidRPr="00AD48EE" w:rsidRDefault="00B44156" w:rsidP="00B44156">
            <w:pPr>
              <w:pStyle w:val="ToolTableText"/>
              <w:rPr>
                <w:color w:val="000000"/>
                <w:sz w:val="16"/>
                <w:szCs w:val="13"/>
              </w:rPr>
            </w:pPr>
            <w:r>
              <w:rPr>
                <w:sz w:val="16"/>
                <w:szCs w:val="13"/>
              </w:rPr>
              <w:t>Lack</w:t>
            </w:r>
            <w:r w:rsidRPr="00D20E7B">
              <w:rPr>
                <w:sz w:val="16"/>
                <w:szCs w:val="13"/>
              </w:rPr>
              <w:t xml:space="preserve"> a formal style and objective tone that adheres to the norms and conventions of the discipline. </w:t>
            </w:r>
            <w:r w:rsidRPr="00AD48EE">
              <w:rPr>
                <w:color w:val="000000"/>
                <w:sz w:val="16"/>
                <w:szCs w:val="13"/>
              </w:rPr>
              <w:t>(W.11-12.2.e)</w:t>
            </w:r>
          </w:p>
          <w:p w:rsidR="00B44156" w:rsidRPr="00AD48EE" w:rsidRDefault="00B44156" w:rsidP="00B44156">
            <w:pPr>
              <w:pStyle w:val="ToolTableText"/>
              <w:rPr>
                <w:color w:val="000000"/>
                <w:sz w:val="16"/>
                <w:szCs w:val="13"/>
              </w:rPr>
            </w:pPr>
            <w:r w:rsidRPr="00D20E7B">
              <w:rPr>
                <w:sz w:val="16"/>
                <w:szCs w:val="13"/>
              </w:rPr>
              <w:t>Provide a</w:t>
            </w:r>
            <w:r>
              <w:rPr>
                <w:sz w:val="16"/>
                <w:szCs w:val="13"/>
              </w:rPr>
              <w:t xml:space="preserve"> </w:t>
            </w:r>
            <w:r w:rsidRPr="00D20E7B">
              <w:rPr>
                <w:sz w:val="16"/>
                <w:szCs w:val="13"/>
              </w:rPr>
              <w:t xml:space="preserve">concluding statement or </w:t>
            </w:r>
            <w:r w:rsidRPr="00D20E7B">
              <w:rPr>
                <w:sz w:val="16"/>
                <w:szCs w:val="13"/>
              </w:rPr>
              <w:lastRenderedPageBreak/>
              <w:t>section that does not follow from or support the information or explanation presented. (W.11-12.2.f)</w:t>
            </w:r>
          </w:p>
        </w:tc>
      </w:tr>
      <w:tr w:rsidR="00B44156" w:rsidRPr="00D20E7B" w:rsidTr="006B6303">
        <w:trPr>
          <w:trHeight w:val="432"/>
        </w:trPr>
        <w:tc>
          <w:tcPr>
            <w:tcW w:w="2718" w:type="dxa"/>
            <w:tcBorders>
              <w:top w:val="single" w:sz="4" w:space="0" w:color="auto"/>
              <w:left w:val="single" w:sz="4" w:space="0" w:color="auto"/>
              <w:bottom w:val="single" w:sz="4" w:space="0" w:color="auto"/>
              <w:right w:val="single" w:sz="4" w:space="0" w:color="auto"/>
            </w:tcBorders>
            <w:shd w:val="clear" w:color="auto" w:fill="D9D9D9"/>
          </w:tcPr>
          <w:p w:rsidR="00B44156" w:rsidRDefault="00B44156" w:rsidP="00B44156">
            <w:pPr>
              <w:pStyle w:val="ToolTableText"/>
              <w:rPr>
                <w:b/>
                <w:sz w:val="16"/>
                <w:szCs w:val="13"/>
              </w:rPr>
            </w:pPr>
            <w:r>
              <w:rPr>
                <w:b/>
                <w:sz w:val="16"/>
                <w:szCs w:val="13"/>
              </w:rPr>
              <w:lastRenderedPageBreak/>
              <w:t>Control of Conventions</w:t>
            </w:r>
          </w:p>
          <w:p w:rsidR="00B44156" w:rsidRDefault="00B44156" w:rsidP="00B44156">
            <w:pPr>
              <w:pStyle w:val="ToolTableText"/>
              <w:rPr>
                <w:b/>
                <w:sz w:val="16"/>
                <w:szCs w:val="13"/>
              </w:rPr>
            </w:pPr>
            <w:r>
              <w:rPr>
                <w:b/>
                <w:sz w:val="16"/>
                <w:szCs w:val="13"/>
              </w:rPr>
              <w:t>The extent to which the response observes hyphenation conventions.</w:t>
            </w:r>
          </w:p>
          <w:p w:rsidR="00B44156" w:rsidRDefault="00B44156" w:rsidP="00B44156">
            <w:pPr>
              <w:pStyle w:val="ToolTableText"/>
              <w:rPr>
                <w:b/>
                <w:sz w:val="16"/>
                <w:szCs w:val="13"/>
              </w:rPr>
            </w:pPr>
            <w:r>
              <w:rPr>
                <w:b/>
                <w:sz w:val="16"/>
                <w:szCs w:val="13"/>
              </w:rPr>
              <w:t>CCSS.ELA-Literacy.L.11-12.2</w:t>
            </w:r>
          </w:p>
          <w:p w:rsidR="00B44156" w:rsidRDefault="00B44156" w:rsidP="00B44156">
            <w:pPr>
              <w:pStyle w:val="ToolTableText"/>
              <w:rPr>
                <w:sz w:val="16"/>
                <w:szCs w:val="13"/>
              </w:rPr>
            </w:pPr>
            <w:r w:rsidRPr="00D20E7B">
              <w:rPr>
                <w:sz w:val="16"/>
                <w:szCs w:val="13"/>
              </w:rPr>
              <w:t>Demonstrate command of the conventions of standard English capitalization, punctuation, and spelling when writing.</w:t>
            </w:r>
          </w:p>
          <w:p w:rsidR="00B44156" w:rsidRDefault="00B44156" w:rsidP="00B44156">
            <w:pPr>
              <w:pStyle w:val="ToolTableText"/>
              <w:rPr>
                <w:b/>
                <w:sz w:val="16"/>
                <w:szCs w:val="13"/>
              </w:rPr>
            </w:pPr>
            <w:r>
              <w:rPr>
                <w:b/>
                <w:sz w:val="16"/>
                <w:szCs w:val="13"/>
              </w:rPr>
              <w:t>CCSS.ELA-Literacy.L.11-12.2.a</w:t>
            </w:r>
          </w:p>
          <w:p w:rsidR="00B44156" w:rsidRPr="008A2083" w:rsidRDefault="00B44156" w:rsidP="00B44156">
            <w:pPr>
              <w:pStyle w:val="ToolTableText"/>
              <w:rPr>
                <w:sz w:val="16"/>
                <w:szCs w:val="13"/>
              </w:rPr>
            </w:pPr>
            <w:r>
              <w:rPr>
                <w:sz w:val="16"/>
                <w:szCs w:val="13"/>
              </w:rPr>
              <w:lastRenderedPageBreak/>
              <w:t>Observe hyphenation conventions.</w:t>
            </w:r>
          </w:p>
        </w:tc>
        <w:tc>
          <w:tcPr>
            <w:tcW w:w="2880" w:type="dxa"/>
            <w:tcBorders>
              <w:top w:val="single" w:sz="4" w:space="0" w:color="auto"/>
              <w:left w:val="single" w:sz="4" w:space="0" w:color="auto"/>
              <w:bottom w:val="single" w:sz="4" w:space="0" w:color="auto"/>
              <w:right w:val="single" w:sz="4" w:space="0" w:color="auto"/>
            </w:tcBorders>
          </w:tcPr>
          <w:p w:rsidR="00B44156" w:rsidRPr="00AD48EE" w:rsidRDefault="00B44156" w:rsidP="00B44156">
            <w:pPr>
              <w:pStyle w:val="ToolTableText"/>
              <w:rPr>
                <w:color w:val="000000"/>
                <w:sz w:val="16"/>
                <w:szCs w:val="13"/>
              </w:rPr>
            </w:pPr>
            <w:r w:rsidRPr="00AD48EE">
              <w:rPr>
                <w:color w:val="000000"/>
                <w:sz w:val="16"/>
                <w:szCs w:val="13"/>
              </w:rPr>
              <w:lastRenderedPageBreak/>
              <w:t>Observe hyphenation conventions with no errors. (L.11-12.2.a)</w:t>
            </w:r>
          </w:p>
        </w:tc>
        <w:tc>
          <w:tcPr>
            <w:tcW w:w="2970" w:type="dxa"/>
            <w:tcBorders>
              <w:top w:val="single" w:sz="4" w:space="0" w:color="auto"/>
              <w:left w:val="single" w:sz="4" w:space="0" w:color="auto"/>
              <w:bottom w:val="single" w:sz="4" w:space="0" w:color="auto"/>
              <w:right w:val="single" w:sz="4" w:space="0" w:color="auto"/>
            </w:tcBorders>
          </w:tcPr>
          <w:p w:rsidR="00B44156" w:rsidRPr="00AD48EE" w:rsidRDefault="00B44156" w:rsidP="00B44156">
            <w:pPr>
              <w:pStyle w:val="ToolTableText"/>
              <w:rPr>
                <w:color w:val="000000"/>
                <w:sz w:val="16"/>
                <w:szCs w:val="13"/>
              </w:rPr>
            </w:pPr>
            <w:r w:rsidRPr="00AD48EE">
              <w:rPr>
                <w:color w:val="000000"/>
                <w:sz w:val="16"/>
                <w:szCs w:val="13"/>
              </w:rPr>
              <w:t>Often observe hyphenation conventions with occasional errors that do not hinder comprehension. (L.11-12.2.a)</w:t>
            </w:r>
          </w:p>
        </w:tc>
        <w:tc>
          <w:tcPr>
            <w:tcW w:w="2790" w:type="dxa"/>
            <w:tcBorders>
              <w:top w:val="single" w:sz="4" w:space="0" w:color="auto"/>
              <w:left w:val="single" w:sz="4" w:space="0" w:color="auto"/>
              <w:bottom w:val="single" w:sz="4" w:space="0" w:color="auto"/>
              <w:right w:val="single" w:sz="4" w:space="0" w:color="auto"/>
            </w:tcBorders>
          </w:tcPr>
          <w:p w:rsidR="00B44156" w:rsidRPr="00AD48EE" w:rsidRDefault="00B44156" w:rsidP="00B44156">
            <w:pPr>
              <w:pStyle w:val="ToolTableText"/>
              <w:rPr>
                <w:color w:val="000000"/>
                <w:sz w:val="16"/>
                <w:szCs w:val="13"/>
              </w:rPr>
            </w:pPr>
            <w:r w:rsidRPr="00AD48EE">
              <w:rPr>
                <w:color w:val="000000"/>
                <w:sz w:val="16"/>
                <w:szCs w:val="13"/>
              </w:rPr>
              <w:t>Occasionally observe hyphenation conventions with several errors that hinder comprehension. (L.11-12.2.a)</w:t>
            </w:r>
          </w:p>
        </w:tc>
        <w:tc>
          <w:tcPr>
            <w:tcW w:w="2880" w:type="dxa"/>
            <w:tcBorders>
              <w:top w:val="single" w:sz="4" w:space="0" w:color="auto"/>
              <w:left w:val="single" w:sz="4" w:space="0" w:color="auto"/>
              <w:bottom w:val="single" w:sz="4" w:space="0" w:color="auto"/>
              <w:right w:val="single" w:sz="4" w:space="0" w:color="auto"/>
            </w:tcBorders>
          </w:tcPr>
          <w:p w:rsidR="00B44156" w:rsidRPr="00AD48EE" w:rsidRDefault="00B44156" w:rsidP="00B44156">
            <w:pPr>
              <w:pStyle w:val="ToolTableText"/>
              <w:rPr>
                <w:color w:val="000000"/>
                <w:sz w:val="16"/>
                <w:szCs w:val="13"/>
              </w:rPr>
            </w:pPr>
            <w:r w:rsidRPr="00AD48EE">
              <w:rPr>
                <w:color w:val="000000"/>
                <w:sz w:val="16"/>
                <w:szCs w:val="13"/>
              </w:rPr>
              <w:t>Rarely observe hyphenation conventions with frequent errors that make comprehension difficult. (L.11-12.2.a)</w:t>
            </w:r>
          </w:p>
        </w:tc>
      </w:tr>
      <w:tr w:rsidR="00B44156" w:rsidRPr="00D20E7B" w:rsidTr="006B6303">
        <w:trPr>
          <w:trHeight w:val="432"/>
        </w:trPr>
        <w:tc>
          <w:tcPr>
            <w:tcW w:w="2718" w:type="dxa"/>
            <w:tcBorders>
              <w:top w:val="single" w:sz="4" w:space="0" w:color="auto"/>
              <w:left w:val="single" w:sz="4" w:space="0" w:color="auto"/>
              <w:bottom w:val="single" w:sz="4" w:space="0" w:color="auto"/>
              <w:right w:val="single" w:sz="4" w:space="0" w:color="auto"/>
            </w:tcBorders>
            <w:shd w:val="clear" w:color="auto" w:fill="D9D9D9"/>
          </w:tcPr>
          <w:p w:rsidR="00B44156" w:rsidRDefault="00B44156" w:rsidP="00B44156">
            <w:pPr>
              <w:pStyle w:val="ToolTableText"/>
              <w:rPr>
                <w:b/>
                <w:sz w:val="16"/>
                <w:szCs w:val="13"/>
              </w:rPr>
            </w:pPr>
            <w:r>
              <w:rPr>
                <w:b/>
                <w:sz w:val="16"/>
                <w:szCs w:val="13"/>
              </w:rPr>
              <w:lastRenderedPageBreak/>
              <w:t>Control of Conventions</w:t>
            </w:r>
          </w:p>
          <w:p w:rsidR="00B44156" w:rsidRDefault="00B44156" w:rsidP="00B44156">
            <w:pPr>
              <w:pStyle w:val="ToolTableText"/>
              <w:rPr>
                <w:b/>
                <w:sz w:val="16"/>
                <w:szCs w:val="13"/>
              </w:rPr>
            </w:pPr>
            <w:r>
              <w:rPr>
                <w:b/>
                <w:sz w:val="16"/>
                <w:szCs w:val="13"/>
              </w:rPr>
              <w:t>The extent to which the response is spelled correctly.</w:t>
            </w:r>
          </w:p>
          <w:p w:rsidR="00B44156" w:rsidRDefault="00B44156" w:rsidP="00B44156">
            <w:pPr>
              <w:pStyle w:val="ToolTableText"/>
              <w:rPr>
                <w:b/>
                <w:sz w:val="16"/>
                <w:szCs w:val="13"/>
              </w:rPr>
            </w:pPr>
            <w:r>
              <w:rPr>
                <w:b/>
                <w:sz w:val="16"/>
                <w:szCs w:val="13"/>
              </w:rPr>
              <w:t>CCSS.ELA-Literacy.L.11-12.2</w:t>
            </w:r>
          </w:p>
          <w:p w:rsidR="00B44156" w:rsidRDefault="00B44156" w:rsidP="00B44156">
            <w:pPr>
              <w:pStyle w:val="ToolTableText"/>
              <w:rPr>
                <w:sz w:val="16"/>
                <w:szCs w:val="13"/>
              </w:rPr>
            </w:pPr>
            <w:r w:rsidRPr="00D20E7B">
              <w:rPr>
                <w:sz w:val="16"/>
                <w:szCs w:val="13"/>
              </w:rPr>
              <w:t>Demonstrate command of the conventions of standard English capitalization, punctuation, and spelling when writing.</w:t>
            </w:r>
          </w:p>
          <w:p w:rsidR="00B44156" w:rsidRDefault="00B44156" w:rsidP="00B44156">
            <w:pPr>
              <w:pStyle w:val="ToolTableText"/>
              <w:rPr>
                <w:b/>
                <w:sz w:val="16"/>
                <w:szCs w:val="13"/>
              </w:rPr>
            </w:pPr>
            <w:r>
              <w:rPr>
                <w:b/>
                <w:sz w:val="16"/>
                <w:szCs w:val="13"/>
              </w:rPr>
              <w:t>CCSS.ELA-Literacy.L.11-12.2.b</w:t>
            </w:r>
          </w:p>
          <w:p w:rsidR="00B44156" w:rsidRPr="00845120" w:rsidRDefault="00B44156" w:rsidP="00B44156">
            <w:pPr>
              <w:pStyle w:val="ToolTableText"/>
              <w:rPr>
                <w:sz w:val="16"/>
                <w:szCs w:val="13"/>
              </w:rPr>
            </w:pPr>
            <w:r>
              <w:rPr>
                <w:sz w:val="16"/>
                <w:szCs w:val="13"/>
              </w:rPr>
              <w:t>Spell correctly.</w:t>
            </w:r>
          </w:p>
        </w:tc>
        <w:tc>
          <w:tcPr>
            <w:tcW w:w="2880" w:type="dxa"/>
            <w:tcBorders>
              <w:top w:val="single" w:sz="4" w:space="0" w:color="auto"/>
              <w:left w:val="single" w:sz="4" w:space="0" w:color="auto"/>
              <w:bottom w:val="single" w:sz="4" w:space="0" w:color="auto"/>
              <w:right w:val="single" w:sz="4" w:space="0" w:color="auto"/>
            </w:tcBorders>
          </w:tcPr>
          <w:p w:rsidR="00B44156" w:rsidRPr="00AD48EE" w:rsidRDefault="00B44156" w:rsidP="00B44156">
            <w:pPr>
              <w:pStyle w:val="ToolTableText"/>
              <w:rPr>
                <w:color w:val="000000"/>
                <w:sz w:val="16"/>
                <w:szCs w:val="13"/>
              </w:rPr>
            </w:pPr>
            <w:r w:rsidRPr="00AD48EE">
              <w:rPr>
                <w:color w:val="000000"/>
                <w:sz w:val="16"/>
                <w:szCs w:val="13"/>
              </w:rPr>
              <w:t>Spell correctly with no errors. (L.11-12.2.b)</w:t>
            </w:r>
          </w:p>
        </w:tc>
        <w:tc>
          <w:tcPr>
            <w:tcW w:w="2970" w:type="dxa"/>
            <w:tcBorders>
              <w:top w:val="single" w:sz="4" w:space="0" w:color="auto"/>
              <w:left w:val="single" w:sz="4" w:space="0" w:color="auto"/>
              <w:bottom w:val="single" w:sz="4" w:space="0" w:color="auto"/>
              <w:right w:val="single" w:sz="4" w:space="0" w:color="auto"/>
            </w:tcBorders>
          </w:tcPr>
          <w:p w:rsidR="00B44156" w:rsidRPr="00AD48EE" w:rsidRDefault="00B44156" w:rsidP="00B44156">
            <w:pPr>
              <w:pStyle w:val="ToolTableText"/>
              <w:rPr>
                <w:color w:val="000000"/>
                <w:sz w:val="16"/>
                <w:szCs w:val="13"/>
              </w:rPr>
            </w:pPr>
            <w:r w:rsidRPr="00AD48EE">
              <w:rPr>
                <w:color w:val="000000"/>
                <w:sz w:val="16"/>
                <w:szCs w:val="13"/>
              </w:rPr>
              <w:t>Often spell correctly with occasional errors that do not hinder comprehension. (L.11-12.2.b)</w:t>
            </w:r>
          </w:p>
        </w:tc>
        <w:tc>
          <w:tcPr>
            <w:tcW w:w="2790" w:type="dxa"/>
            <w:tcBorders>
              <w:top w:val="single" w:sz="4" w:space="0" w:color="auto"/>
              <w:left w:val="single" w:sz="4" w:space="0" w:color="auto"/>
              <w:bottom w:val="single" w:sz="4" w:space="0" w:color="auto"/>
              <w:right w:val="single" w:sz="4" w:space="0" w:color="auto"/>
            </w:tcBorders>
          </w:tcPr>
          <w:p w:rsidR="00B44156" w:rsidRPr="00AD48EE" w:rsidRDefault="00B44156" w:rsidP="00B44156">
            <w:pPr>
              <w:pStyle w:val="ToolTableText"/>
              <w:rPr>
                <w:color w:val="000000"/>
                <w:sz w:val="16"/>
                <w:szCs w:val="13"/>
              </w:rPr>
            </w:pPr>
            <w:r w:rsidRPr="00AD48EE">
              <w:rPr>
                <w:color w:val="000000"/>
                <w:sz w:val="16"/>
                <w:szCs w:val="13"/>
              </w:rPr>
              <w:t>Occasionally spell correctly with several errors that hinder comprehension. (L.11-12.2.b)</w:t>
            </w:r>
          </w:p>
        </w:tc>
        <w:tc>
          <w:tcPr>
            <w:tcW w:w="2880" w:type="dxa"/>
            <w:tcBorders>
              <w:top w:val="single" w:sz="4" w:space="0" w:color="auto"/>
              <w:left w:val="single" w:sz="4" w:space="0" w:color="auto"/>
              <w:bottom w:val="single" w:sz="4" w:space="0" w:color="auto"/>
              <w:right w:val="single" w:sz="4" w:space="0" w:color="auto"/>
            </w:tcBorders>
          </w:tcPr>
          <w:p w:rsidR="00B44156" w:rsidRPr="00AD48EE" w:rsidRDefault="00B44156" w:rsidP="00B44156">
            <w:pPr>
              <w:pStyle w:val="ToolTableText"/>
              <w:rPr>
                <w:color w:val="000000"/>
                <w:sz w:val="16"/>
                <w:szCs w:val="13"/>
              </w:rPr>
            </w:pPr>
            <w:r w:rsidRPr="00AD48EE">
              <w:rPr>
                <w:color w:val="000000"/>
                <w:sz w:val="16"/>
                <w:szCs w:val="13"/>
              </w:rPr>
              <w:t>Rarely spell correctly with frequent errors that make comprehension difficult. (L.11-12.2.b)</w:t>
            </w:r>
          </w:p>
        </w:tc>
      </w:tr>
      <w:tr w:rsidR="00B44156" w:rsidRPr="00D20E7B" w:rsidTr="006B6303">
        <w:trPr>
          <w:trHeight w:val="432"/>
        </w:trPr>
        <w:tc>
          <w:tcPr>
            <w:tcW w:w="2718" w:type="dxa"/>
            <w:tcBorders>
              <w:top w:val="single" w:sz="4" w:space="0" w:color="auto"/>
              <w:left w:val="single" w:sz="4" w:space="0" w:color="auto"/>
              <w:bottom w:val="single" w:sz="4" w:space="0" w:color="auto"/>
              <w:right w:val="single" w:sz="4" w:space="0" w:color="auto"/>
            </w:tcBorders>
            <w:shd w:val="clear" w:color="auto" w:fill="D9D9D9"/>
          </w:tcPr>
          <w:p w:rsidR="00B44156" w:rsidRPr="00D20E7B" w:rsidRDefault="00B44156" w:rsidP="00B44156">
            <w:pPr>
              <w:pStyle w:val="ToolTableText"/>
              <w:rPr>
                <w:b/>
                <w:sz w:val="16"/>
                <w:szCs w:val="13"/>
              </w:rPr>
            </w:pPr>
            <w:r w:rsidRPr="00D20E7B">
              <w:rPr>
                <w:b/>
                <w:sz w:val="16"/>
                <w:szCs w:val="13"/>
              </w:rPr>
              <w:t>Control of Conventions</w:t>
            </w:r>
          </w:p>
          <w:p w:rsidR="00B44156" w:rsidRPr="00D20E7B" w:rsidRDefault="00B44156" w:rsidP="00B44156">
            <w:pPr>
              <w:pStyle w:val="ToolTableText"/>
              <w:rPr>
                <w:b/>
                <w:sz w:val="16"/>
                <w:szCs w:val="13"/>
              </w:rPr>
            </w:pPr>
            <w:r w:rsidRPr="00D20E7B">
              <w:rPr>
                <w:b/>
                <w:sz w:val="16"/>
                <w:szCs w:val="13"/>
              </w:rPr>
              <w:t>The extent to which the response demonstrates command of the conventions of standard English grammar, usage, capitalization, punctuation, and spelling.</w:t>
            </w:r>
          </w:p>
          <w:p w:rsidR="00B44156" w:rsidRPr="00D20E7B" w:rsidRDefault="00B44156" w:rsidP="00B44156">
            <w:pPr>
              <w:pStyle w:val="ToolTableText"/>
              <w:rPr>
                <w:b/>
                <w:sz w:val="16"/>
                <w:szCs w:val="13"/>
              </w:rPr>
            </w:pPr>
            <w:r w:rsidRPr="00D20E7B">
              <w:rPr>
                <w:b/>
                <w:sz w:val="16"/>
                <w:szCs w:val="13"/>
              </w:rPr>
              <w:t>CCSS.ELA-Literacy.L.11-12.1</w:t>
            </w:r>
          </w:p>
          <w:p w:rsidR="00B44156" w:rsidRPr="00D20E7B" w:rsidRDefault="00B44156" w:rsidP="00B44156">
            <w:pPr>
              <w:pStyle w:val="ToolTableText"/>
              <w:rPr>
                <w:b/>
                <w:sz w:val="16"/>
                <w:szCs w:val="13"/>
              </w:rPr>
            </w:pPr>
            <w:r w:rsidRPr="00D20E7B">
              <w:rPr>
                <w:b/>
                <w:sz w:val="16"/>
                <w:szCs w:val="13"/>
              </w:rPr>
              <w:t>CCSS.ELA-Literacy.L.11-12.2</w:t>
            </w:r>
          </w:p>
          <w:p w:rsidR="00B44156" w:rsidRPr="00D20E7B" w:rsidRDefault="00B44156" w:rsidP="00B44156">
            <w:pPr>
              <w:pStyle w:val="ToolTableText"/>
              <w:rPr>
                <w:b/>
                <w:sz w:val="16"/>
                <w:szCs w:val="13"/>
              </w:rPr>
            </w:pPr>
            <w:r w:rsidRPr="00D20E7B">
              <w:rPr>
                <w:sz w:val="16"/>
                <w:szCs w:val="13"/>
              </w:rPr>
              <w:t>Demonstrate command of the conventions of standard English grammar, usage, capitalization, punctuation, and spelling when writing or speaking.</w:t>
            </w:r>
          </w:p>
        </w:tc>
        <w:tc>
          <w:tcPr>
            <w:tcW w:w="2880" w:type="dxa"/>
            <w:tcBorders>
              <w:top w:val="single" w:sz="4" w:space="0" w:color="auto"/>
              <w:left w:val="single" w:sz="4" w:space="0" w:color="auto"/>
              <w:bottom w:val="single" w:sz="4" w:space="0" w:color="auto"/>
              <w:right w:val="single" w:sz="4" w:space="0" w:color="auto"/>
            </w:tcBorders>
          </w:tcPr>
          <w:p w:rsidR="00B44156" w:rsidRPr="00AD48EE" w:rsidRDefault="00B44156" w:rsidP="00B44156">
            <w:pPr>
              <w:pStyle w:val="ToolTableText"/>
              <w:rPr>
                <w:color w:val="000000"/>
                <w:sz w:val="16"/>
                <w:szCs w:val="13"/>
              </w:rPr>
            </w:pPr>
            <w:r w:rsidRPr="00AD48EE">
              <w:rPr>
                <w:color w:val="000000"/>
                <w:sz w:val="16"/>
                <w:szCs w:val="13"/>
              </w:rPr>
              <w:t>Demonstrate skillful command of conventions with no grammar, usage, capitalization, punctuation, or spelling errors.</w:t>
            </w:r>
          </w:p>
        </w:tc>
        <w:tc>
          <w:tcPr>
            <w:tcW w:w="2970" w:type="dxa"/>
            <w:tcBorders>
              <w:top w:val="single" w:sz="4" w:space="0" w:color="auto"/>
              <w:left w:val="single" w:sz="4" w:space="0" w:color="auto"/>
              <w:bottom w:val="single" w:sz="4" w:space="0" w:color="auto"/>
              <w:right w:val="single" w:sz="4" w:space="0" w:color="auto"/>
            </w:tcBorders>
          </w:tcPr>
          <w:p w:rsidR="00B44156" w:rsidRPr="00AD48EE" w:rsidRDefault="00B44156" w:rsidP="00B44156">
            <w:pPr>
              <w:pStyle w:val="ToolTableText"/>
              <w:rPr>
                <w:color w:val="000000"/>
                <w:sz w:val="16"/>
                <w:szCs w:val="13"/>
              </w:rPr>
            </w:pPr>
            <w:r w:rsidRPr="00AD48EE">
              <w:rPr>
                <w:color w:val="000000"/>
                <w:sz w:val="16"/>
                <w:szCs w:val="13"/>
              </w:rPr>
              <w:t>Demonstrate command of conventions with occasional grammar, usage, capitalization, punctuation, or spelling errors that do not hinder comprehension.</w:t>
            </w:r>
          </w:p>
        </w:tc>
        <w:tc>
          <w:tcPr>
            <w:tcW w:w="2790" w:type="dxa"/>
            <w:tcBorders>
              <w:top w:val="single" w:sz="4" w:space="0" w:color="auto"/>
              <w:left w:val="single" w:sz="4" w:space="0" w:color="auto"/>
              <w:bottom w:val="single" w:sz="4" w:space="0" w:color="auto"/>
              <w:right w:val="single" w:sz="4" w:space="0" w:color="auto"/>
            </w:tcBorders>
          </w:tcPr>
          <w:p w:rsidR="00B44156" w:rsidRPr="00AD48EE" w:rsidRDefault="00B44156" w:rsidP="00B44156">
            <w:pPr>
              <w:pStyle w:val="ToolTableText"/>
              <w:rPr>
                <w:color w:val="000000"/>
                <w:sz w:val="16"/>
                <w:szCs w:val="13"/>
              </w:rPr>
            </w:pPr>
            <w:r w:rsidRPr="00AD48EE">
              <w:rPr>
                <w:color w:val="000000"/>
                <w:sz w:val="16"/>
                <w:szCs w:val="13"/>
              </w:rPr>
              <w:t>Demonstrate partial command of conventions with several grammar, usage, capitalization, punctuation, or spelling errors that hinder comprehension.</w:t>
            </w:r>
          </w:p>
        </w:tc>
        <w:tc>
          <w:tcPr>
            <w:tcW w:w="2880" w:type="dxa"/>
            <w:tcBorders>
              <w:top w:val="single" w:sz="4" w:space="0" w:color="auto"/>
              <w:left w:val="single" w:sz="4" w:space="0" w:color="auto"/>
              <w:bottom w:val="single" w:sz="4" w:space="0" w:color="auto"/>
              <w:right w:val="single" w:sz="4" w:space="0" w:color="auto"/>
            </w:tcBorders>
          </w:tcPr>
          <w:p w:rsidR="00B44156" w:rsidRPr="00AD48EE" w:rsidRDefault="00B44156" w:rsidP="00B44156">
            <w:pPr>
              <w:pStyle w:val="ToolTableText"/>
              <w:rPr>
                <w:color w:val="000000"/>
                <w:sz w:val="16"/>
                <w:szCs w:val="13"/>
              </w:rPr>
            </w:pPr>
            <w:r w:rsidRPr="00AD48EE">
              <w:rPr>
                <w:color w:val="000000"/>
                <w:sz w:val="16"/>
                <w:szCs w:val="13"/>
              </w:rPr>
              <w:t>Demonstrate insufficient command of conventions with frequent grammar, usage, capitalization, punctuation, or spelling errors that make comprehension difficult.</w:t>
            </w:r>
          </w:p>
        </w:tc>
      </w:tr>
    </w:tbl>
    <w:p w:rsidR="00B44156" w:rsidRPr="00D20E7B" w:rsidRDefault="00B44156" w:rsidP="00B44156">
      <w:pPr>
        <w:pStyle w:val="BulletedList"/>
        <w:spacing w:before="0" w:after="0" w:line="240" w:lineRule="auto"/>
        <w:rPr>
          <w:sz w:val="16"/>
          <w:szCs w:val="13"/>
        </w:rPr>
      </w:pPr>
      <w:r w:rsidRPr="00D20E7B">
        <w:rPr>
          <w:sz w:val="16"/>
          <w:szCs w:val="13"/>
        </w:rPr>
        <w:t xml:space="preserve">A response that is a personal response and makes little or no reference to the task or text can be scored no higher than a 1. </w:t>
      </w:r>
    </w:p>
    <w:p w:rsidR="00B44156" w:rsidRPr="00D20E7B" w:rsidRDefault="00B44156" w:rsidP="00B44156">
      <w:pPr>
        <w:pStyle w:val="BulletedList"/>
        <w:spacing w:before="0" w:after="0" w:line="240" w:lineRule="auto"/>
        <w:rPr>
          <w:sz w:val="16"/>
          <w:szCs w:val="13"/>
        </w:rPr>
      </w:pPr>
      <w:r w:rsidRPr="00D20E7B">
        <w:rPr>
          <w:sz w:val="16"/>
          <w:szCs w:val="13"/>
        </w:rPr>
        <w:t xml:space="preserve">A response that is totally copied from the text with no original writing must be given a 0. </w:t>
      </w:r>
    </w:p>
    <w:p w:rsidR="00B44156" w:rsidRPr="00D20E7B" w:rsidRDefault="00B44156" w:rsidP="00B44156">
      <w:pPr>
        <w:pStyle w:val="BulletedList"/>
        <w:spacing w:before="0" w:after="0" w:line="240" w:lineRule="auto"/>
        <w:rPr>
          <w:sz w:val="16"/>
          <w:szCs w:val="13"/>
        </w:rPr>
      </w:pPr>
      <w:r w:rsidRPr="00D20E7B">
        <w:rPr>
          <w:sz w:val="16"/>
          <w:szCs w:val="13"/>
        </w:rPr>
        <w:t xml:space="preserve">A response that is totally unrelated to the task, illegible, incoherent, blank, or unrecognizable as English must be scored as a 0. </w:t>
      </w:r>
    </w:p>
    <w:p w:rsidR="001154CC" w:rsidRPr="00B44156" w:rsidRDefault="001154CC" w:rsidP="001154CC">
      <w:pPr>
        <w:pStyle w:val="ToolHeader"/>
        <w:spacing w:after="60"/>
        <w:rPr>
          <w:rFonts w:ascii="Calibri" w:hAnsi="Calibri"/>
          <w:sz w:val="13"/>
          <w:szCs w:val="13"/>
        </w:rPr>
        <w:sectPr w:rsidR="001154CC" w:rsidRPr="00B44156">
          <w:headerReference w:type="default" r:id="rId11"/>
          <w:footerReference w:type="default" r:id="rId12"/>
          <w:pgSz w:w="15840" w:h="12240" w:orient="landscape"/>
          <w:pgMar w:top="432" w:right="864" w:bottom="432" w:left="864" w:header="720" w:footer="720" w:gutter="0"/>
          <w:cols w:space="720"/>
          <w:docGrid w:linePitch="360"/>
        </w:sectPr>
      </w:pPr>
      <w:r w:rsidRPr="00B44156">
        <w:rPr>
          <w:rFonts w:ascii="Calibri" w:hAnsi="Calibri"/>
        </w:rPr>
        <w:tab/>
      </w:r>
      <w:r w:rsidRPr="00B44156">
        <w:rPr>
          <w:rFonts w:ascii="Calibri" w:hAnsi="Calibri"/>
        </w:rPr>
        <w:tab/>
      </w:r>
      <w:r w:rsidRPr="00B44156">
        <w:rPr>
          <w:rFonts w:ascii="Calibri" w:hAnsi="Calibri"/>
        </w:rPr>
        <w:tab/>
      </w:r>
      <w:r w:rsidRPr="00B44156">
        <w:rPr>
          <w:rFonts w:ascii="Calibri" w:hAnsi="Calibri"/>
        </w:rPr>
        <w:tab/>
        <w:t xml:space="preserve"> </w:t>
      </w:r>
    </w:p>
    <w:p w:rsidR="001154CC" w:rsidRDefault="001154CC" w:rsidP="001154CC">
      <w:pPr>
        <w:pStyle w:val="ToolHeader"/>
        <w:rPr>
          <w:rFonts w:ascii="Calibri" w:hAnsi="Calibri"/>
        </w:rPr>
      </w:pPr>
      <w:r w:rsidRPr="00B44156">
        <w:rPr>
          <w:rFonts w:ascii="Calibri" w:hAnsi="Calibri"/>
        </w:rPr>
        <w:lastRenderedPageBreak/>
        <w:t xml:space="preserve">12.2.2 </w:t>
      </w:r>
      <w:r w:rsidR="00F80F11" w:rsidRPr="00591748">
        <w:rPr>
          <w:rFonts w:ascii="Calibri" w:hAnsi="Calibri"/>
        </w:rPr>
        <w:t>Mid</w:t>
      </w:r>
      <w:r w:rsidRPr="00B44156">
        <w:rPr>
          <w:rFonts w:ascii="Calibri" w:hAnsi="Calibri"/>
        </w:rPr>
        <w:t>-Unit Text Analysis Checklist</w:t>
      </w:r>
    </w:p>
    <w:p w:rsidR="00B44156" w:rsidRPr="00D20E7B" w:rsidRDefault="00B44156" w:rsidP="00B44156">
      <w:pPr>
        <w:pStyle w:val="ToolTableText"/>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tbl>
      <w:tblPr>
        <w:tblW w:w="95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5647"/>
        <w:gridCol w:w="1316"/>
      </w:tblGrid>
      <w:tr w:rsidR="00B44156" w:rsidRPr="00C50DF0" w:rsidTr="006B6303">
        <w:trPr>
          <w:trHeight w:val="368"/>
        </w:trPr>
        <w:tc>
          <w:tcPr>
            <w:tcW w:w="2561" w:type="dxa"/>
            <w:tcBorders>
              <w:bottom w:val="single" w:sz="4" w:space="0" w:color="auto"/>
            </w:tcBorders>
            <w:shd w:val="clear" w:color="auto" w:fill="D9D9D9"/>
            <w:vAlign w:val="center"/>
          </w:tcPr>
          <w:p w:rsidR="00B44156" w:rsidRPr="001604C3" w:rsidRDefault="00B44156" w:rsidP="006B6303">
            <w:pPr>
              <w:pStyle w:val="ToolTableText"/>
              <w:jc w:val="center"/>
              <w:rPr>
                <w:b/>
              </w:rPr>
            </w:pPr>
          </w:p>
        </w:tc>
        <w:tc>
          <w:tcPr>
            <w:tcW w:w="5647" w:type="dxa"/>
            <w:shd w:val="clear" w:color="auto" w:fill="D9D9D9"/>
            <w:vAlign w:val="center"/>
          </w:tcPr>
          <w:p w:rsidR="00B44156" w:rsidRPr="001604C3" w:rsidRDefault="00B44156" w:rsidP="006B6303">
            <w:pPr>
              <w:pStyle w:val="ToolTableText"/>
              <w:jc w:val="center"/>
              <w:rPr>
                <w:b/>
              </w:rPr>
            </w:pPr>
            <w:r w:rsidRPr="001604C3">
              <w:rPr>
                <w:b/>
              </w:rPr>
              <w:t>Does my response…</w:t>
            </w:r>
          </w:p>
        </w:tc>
        <w:tc>
          <w:tcPr>
            <w:tcW w:w="1316" w:type="dxa"/>
            <w:shd w:val="clear" w:color="auto" w:fill="D9D9D9"/>
            <w:vAlign w:val="center"/>
          </w:tcPr>
          <w:p w:rsidR="00B44156" w:rsidRPr="001604C3" w:rsidRDefault="00B44156" w:rsidP="006B6303">
            <w:pPr>
              <w:pStyle w:val="ToolTableText"/>
              <w:jc w:val="center"/>
              <w:rPr>
                <w:b/>
              </w:rPr>
            </w:pPr>
            <w:r w:rsidRPr="001604C3">
              <w:rPr>
                <w:rFonts w:ascii="MS Mincho" w:eastAsia="MS Mincho" w:hAnsi="MS Mincho" w:cs="MS Mincho" w:hint="eastAsia"/>
                <w:b/>
              </w:rPr>
              <w:t>✔</w:t>
            </w:r>
          </w:p>
        </w:tc>
      </w:tr>
      <w:tr w:rsidR="00B44156" w:rsidRPr="00C50DF0" w:rsidTr="006B6303">
        <w:trPr>
          <w:trHeight w:val="305"/>
        </w:trPr>
        <w:tc>
          <w:tcPr>
            <w:tcW w:w="2561" w:type="dxa"/>
            <w:tcBorders>
              <w:top w:val="single" w:sz="4" w:space="0" w:color="auto"/>
              <w:left w:val="single" w:sz="4" w:space="0" w:color="auto"/>
              <w:bottom w:val="nil"/>
              <w:right w:val="single" w:sz="4" w:space="0" w:color="auto"/>
            </w:tcBorders>
            <w:shd w:val="clear" w:color="auto" w:fill="auto"/>
          </w:tcPr>
          <w:p w:rsidR="00B44156" w:rsidRPr="001604C3" w:rsidRDefault="00B44156" w:rsidP="006B6303">
            <w:pPr>
              <w:pStyle w:val="ToolTableText"/>
              <w:rPr>
                <w:b/>
              </w:rPr>
            </w:pPr>
            <w:r w:rsidRPr="001604C3">
              <w:rPr>
                <w:b/>
              </w:rPr>
              <w:t>Content and Analysis</w:t>
            </w:r>
          </w:p>
        </w:tc>
        <w:tc>
          <w:tcPr>
            <w:tcW w:w="5647" w:type="dxa"/>
            <w:tcBorders>
              <w:left w:val="single" w:sz="4" w:space="0" w:color="auto"/>
            </w:tcBorders>
            <w:shd w:val="clear" w:color="auto" w:fill="auto"/>
          </w:tcPr>
          <w:p w:rsidR="00B44156" w:rsidRPr="00C50DF0" w:rsidRDefault="00B44156" w:rsidP="00B44156">
            <w:pPr>
              <w:pStyle w:val="ToolTableText"/>
            </w:pPr>
            <w:r w:rsidRPr="00C50DF0">
              <w:t xml:space="preserve">Identify two or more central ideas from the text and analyze their development? </w:t>
            </w:r>
            <w:r w:rsidRPr="001604C3">
              <w:rPr>
                <w:b/>
              </w:rPr>
              <w:t>(R</w:t>
            </w:r>
            <w:r>
              <w:rPr>
                <w:b/>
              </w:rPr>
              <w:t>L</w:t>
            </w:r>
            <w:r w:rsidRPr="001604C3">
              <w:rPr>
                <w:b/>
              </w:rPr>
              <w:t>.11-12.2)</w:t>
            </w:r>
          </w:p>
        </w:tc>
        <w:tc>
          <w:tcPr>
            <w:tcW w:w="1316" w:type="dxa"/>
            <w:shd w:val="clear" w:color="auto" w:fill="auto"/>
            <w:vAlign w:val="center"/>
          </w:tcPr>
          <w:p w:rsidR="00B44156" w:rsidRPr="00C50DF0" w:rsidRDefault="00B44156" w:rsidP="006B6303">
            <w:pPr>
              <w:pStyle w:val="ToolTableText"/>
              <w:spacing w:before="0" w:after="0"/>
              <w:jc w:val="center"/>
            </w:pPr>
            <w:r w:rsidRPr="001604C3">
              <w:sym w:font="Wingdings 2" w:char="F0A3"/>
            </w:r>
          </w:p>
        </w:tc>
      </w:tr>
      <w:tr w:rsidR="00B44156" w:rsidRPr="00C50DF0" w:rsidTr="006B6303">
        <w:trPr>
          <w:trHeight w:val="305"/>
        </w:trPr>
        <w:tc>
          <w:tcPr>
            <w:tcW w:w="2561" w:type="dxa"/>
            <w:tcBorders>
              <w:top w:val="nil"/>
              <w:left w:val="single" w:sz="4" w:space="0" w:color="auto"/>
              <w:bottom w:val="nil"/>
              <w:right w:val="single" w:sz="4" w:space="0" w:color="auto"/>
            </w:tcBorders>
            <w:shd w:val="clear" w:color="auto" w:fill="auto"/>
          </w:tcPr>
          <w:p w:rsidR="00B44156" w:rsidRPr="001604C3" w:rsidRDefault="00B44156" w:rsidP="006B6303">
            <w:pPr>
              <w:pStyle w:val="ToolTableText"/>
              <w:rPr>
                <w:b/>
              </w:rPr>
            </w:pPr>
          </w:p>
        </w:tc>
        <w:tc>
          <w:tcPr>
            <w:tcW w:w="5647" w:type="dxa"/>
            <w:tcBorders>
              <w:left w:val="single" w:sz="4" w:space="0" w:color="auto"/>
            </w:tcBorders>
            <w:shd w:val="clear" w:color="auto" w:fill="auto"/>
          </w:tcPr>
          <w:p w:rsidR="00B44156" w:rsidRPr="00C50DF0" w:rsidRDefault="00B44156" w:rsidP="00B44156">
            <w:pPr>
              <w:pStyle w:val="ToolTableText"/>
            </w:pPr>
            <w:r w:rsidRPr="00C50DF0">
              <w:t xml:space="preserve">Provide examples to support analysis of how the central ideas interact and build on one another? </w:t>
            </w:r>
            <w:r w:rsidRPr="001604C3">
              <w:rPr>
                <w:b/>
              </w:rPr>
              <w:t>(R</w:t>
            </w:r>
            <w:r>
              <w:rPr>
                <w:b/>
              </w:rPr>
              <w:t>L</w:t>
            </w:r>
            <w:r w:rsidRPr="001604C3">
              <w:rPr>
                <w:b/>
              </w:rPr>
              <w:t>.11-12.2)</w:t>
            </w:r>
          </w:p>
        </w:tc>
        <w:tc>
          <w:tcPr>
            <w:tcW w:w="1316" w:type="dxa"/>
            <w:shd w:val="clear" w:color="auto" w:fill="auto"/>
            <w:vAlign w:val="center"/>
          </w:tcPr>
          <w:p w:rsidR="00B44156" w:rsidRPr="00C50DF0" w:rsidRDefault="00B44156" w:rsidP="006B6303">
            <w:pPr>
              <w:pStyle w:val="ToolTableText"/>
              <w:spacing w:before="0" w:after="0"/>
              <w:jc w:val="center"/>
            </w:pPr>
            <w:r w:rsidRPr="001604C3">
              <w:sym w:font="Wingdings 2" w:char="F0A3"/>
            </w:r>
          </w:p>
        </w:tc>
      </w:tr>
      <w:tr w:rsidR="00B44156" w:rsidRPr="00C50DF0" w:rsidTr="006B6303">
        <w:trPr>
          <w:trHeight w:val="305"/>
        </w:trPr>
        <w:tc>
          <w:tcPr>
            <w:tcW w:w="2561" w:type="dxa"/>
            <w:tcBorders>
              <w:top w:val="nil"/>
              <w:left w:val="single" w:sz="4" w:space="0" w:color="auto"/>
              <w:bottom w:val="nil"/>
              <w:right w:val="single" w:sz="4" w:space="0" w:color="auto"/>
            </w:tcBorders>
            <w:shd w:val="clear" w:color="auto" w:fill="auto"/>
          </w:tcPr>
          <w:p w:rsidR="00B44156" w:rsidRPr="001604C3" w:rsidRDefault="00B44156" w:rsidP="006B6303">
            <w:pPr>
              <w:pStyle w:val="ToolTableText"/>
              <w:rPr>
                <w:b/>
              </w:rPr>
            </w:pPr>
          </w:p>
        </w:tc>
        <w:tc>
          <w:tcPr>
            <w:tcW w:w="5647" w:type="dxa"/>
            <w:tcBorders>
              <w:left w:val="single" w:sz="4" w:space="0" w:color="auto"/>
            </w:tcBorders>
            <w:shd w:val="clear" w:color="auto" w:fill="auto"/>
          </w:tcPr>
          <w:p w:rsidR="00B44156" w:rsidRPr="00C50DF0" w:rsidRDefault="00B44156" w:rsidP="00B44156">
            <w:pPr>
              <w:pStyle w:val="ToolTableText"/>
            </w:pPr>
            <w:r w:rsidRPr="00C50DF0">
              <w:t xml:space="preserve">If necessary, include a brief summary of the text to frame the development of the central ideas? </w:t>
            </w:r>
            <w:r w:rsidRPr="001604C3">
              <w:rPr>
                <w:b/>
              </w:rPr>
              <w:t>(R</w:t>
            </w:r>
            <w:r>
              <w:rPr>
                <w:b/>
              </w:rPr>
              <w:t>L</w:t>
            </w:r>
            <w:r w:rsidRPr="001604C3">
              <w:rPr>
                <w:b/>
              </w:rPr>
              <w:t>.11-12.2)</w:t>
            </w:r>
          </w:p>
        </w:tc>
        <w:tc>
          <w:tcPr>
            <w:tcW w:w="1316" w:type="dxa"/>
            <w:shd w:val="clear" w:color="auto" w:fill="auto"/>
            <w:vAlign w:val="center"/>
          </w:tcPr>
          <w:p w:rsidR="00B44156" w:rsidRPr="00C50DF0" w:rsidRDefault="00B44156" w:rsidP="006B6303">
            <w:pPr>
              <w:pStyle w:val="ToolTableText"/>
              <w:spacing w:before="0" w:after="0"/>
              <w:jc w:val="center"/>
            </w:pPr>
            <w:r w:rsidRPr="001604C3">
              <w:sym w:font="Wingdings 2" w:char="F0A3"/>
            </w:r>
          </w:p>
        </w:tc>
      </w:tr>
      <w:tr w:rsidR="00B44156" w:rsidRPr="00C50DF0" w:rsidTr="006B6303">
        <w:trPr>
          <w:trHeight w:val="305"/>
        </w:trPr>
        <w:tc>
          <w:tcPr>
            <w:tcW w:w="2561" w:type="dxa"/>
            <w:tcBorders>
              <w:top w:val="single" w:sz="4" w:space="0" w:color="auto"/>
              <w:bottom w:val="nil"/>
            </w:tcBorders>
            <w:shd w:val="clear" w:color="auto" w:fill="auto"/>
          </w:tcPr>
          <w:p w:rsidR="00B44156" w:rsidRPr="001604C3" w:rsidRDefault="00B44156" w:rsidP="006B6303">
            <w:pPr>
              <w:pStyle w:val="ToolTableText"/>
              <w:rPr>
                <w:b/>
              </w:rPr>
            </w:pPr>
            <w:r w:rsidRPr="001604C3">
              <w:rPr>
                <w:b/>
              </w:rPr>
              <w:t>Command of Evidence and Reasoning</w:t>
            </w:r>
          </w:p>
        </w:tc>
        <w:tc>
          <w:tcPr>
            <w:tcW w:w="5647" w:type="dxa"/>
            <w:tcBorders>
              <w:top w:val="single" w:sz="4" w:space="0" w:color="auto"/>
            </w:tcBorders>
            <w:shd w:val="clear" w:color="auto" w:fill="auto"/>
          </w:tcPr>
          <w:p w:rsidR="00B44156" w:rsidRPr="001604C3" w:rsidRDefault="00B44156" w:rsidP="006B6303">
            <w:pPr>
              <w:pStyle w:val="ToolTableText"/>
              <w:keepNext/>
              <w:rPr>
                <w:b/>
                <w:color w:val="000000"/>
              </w:rPr>
            </w:pPr>
            <w:r w:rsidRPr="001604C3">
              <w:rPr>
                <w:color w:val="000000"/>
              </w:rPr>
              <w:t xml:space="preserve">Develop the topic with the most significant and relevant textual evidence? </w:t>
            </w:r>
            <w:r w:rsidRPr="001604C3">
              <w:rPr>
                <w:b/>
              </w:rPr>
              <w:t>(W.11-12.2.b)</w:t>
            </w:r>
          </w:p>
        </w:tc>
        <w:tc>
          <w:tcPr>
            <w:tcW w:w="1316" w:type="dxa"/>
            <w:tcBorders>
              <w:top w:val="single" w:sz="4" w:space="0" w:color="auto"/>
            </w:tcBorders>
            <w:shd w:val="clear" w:color="auto" w:fill="auto"/>
            <w:vAlign w:val="center"/>
          </w:tcPr>
          <w:p w:rsidR="00B44156" w:rsidRPr="00C50DF0" w:rsidRDefault="00B44156" w:rsidP="006B6303">
            <w:pPr>
              <w:pStyle w:val="ToolTableText"/>
              <w:spacing w:before="0" w:after="0"/>
              <w:jc w:val="center"/>
            </w:pPr>
            <w:r w:rsidRPr="001604C3">
              <w:sym w:font="Wingdings 2" w:char="F0A3"/>
            </w:r>
          </w:p>
        </w:tc>
      </w:tr>
      <w:tr w:rsidR="00B44156" w:rsidRPr="00C50DF0" w:rsidTr="006B6303">
        <w:trPr>
          <w:trHeight w:val="144"/>
        </w:trPr>
        <w:tc>
          <w:tcPr>
            <w:tcW w:w="2561" w:type="dxa"/>
            <w:tcBorders>
              <w:bottom w:val="nil"/>
            </w:tcBorders>
            <w:shd w:val="clear" w:color="auto" w:fill="auto"/>
          </w:tcPr>
          <w:p w:rsidR="00B44156" w:rsidRPr="001604C3" w:rsidRDefault="00B44156" w:rsidP="006B6303">
            <w:pPr>
              <w:pStyle w:val="ToolTableText"/>
              <w:rPr>
                <w:b/>
              </w:rPr>
            </w:pPr>
            <w:r w:rsidRPr="001604C3">
              <w:rPr>
                <w:b/>
              </w:rPr>
              <w:t>Coherence, Organization, and Style</w:t>
            </w:r>
          </w:p>
        </w:tc>
        <w:tc>
          <w:tcPr>
            <w:tcW w:w="5647" w:type="dxa"/>
            <w:shd w:val="clear" w:color="auto" w:fill="auto"/>
          </w:tcPr>
          <w:p w:rsidR="00B44156" w:rsidRPr="00C50DF0" w:rsidRDefault="00B44156" w:rsidP="006B6303">
            <w:pPr>
              <w:pStyle w:val="ToolTableText"/>
              <w:keepNext/>
              <w:spacing w:after="0"/>
            </w:pPr>
            <w:r w:rsidRPr="00C50DF0">
              <w:t xml:space="preserve">Introduce a topic? </w:t>
            </w:r>
            <w:r w:rsidRPr="001604C3">
              <w:rPr>
                <w:b/>
              </w:rPr>
              <w:t>(W.11-12.2.a)</w:t>
            </w:r>
          </w:p>
        </w:tc>
        <w:tc>
          <w:tcPr>
            <w:tcW w:w="1316" w:type="dxa"/>
            <w:shd w:val="clear" w:color="auto" w:fill="auto"/>
            <w:vAlign w:val="center"/>
          </w:tcPr>
          <w:p w:rsidR="00B44156" w:rsidRPr="00C50DF0" w:rsidRDefault="00B44156" w:rsidP="006B6303">
            <w:pPr>
              <w:pStyle w:val="ToolTableText"/>
              <w:spacing w:before="0" w:after="0"/>
              <w:jc w:val="center"/>
              <w:rPr>
                <w:noProof/>
              </w:rPr>
            </w:pPr>
            <w:r w:rsidRPr="001604C3">
              <w:sym w:font="Wingdings 2" w:char="F0A3"/>
            </w:r>
          </w:p>
        </w:tc>
      </w:tr>
      <w:tr w:rsidR="00B44156" w:rsidRPr="00C50DF0" w:rsidTr="006B6303">
        <w:trPr>
          <w:trHeight w:val="305"/>
        </w:trPr>
        <w:tc>
          <w:tcPr>
            <w:tcW w:w="2561" w:type="dxa"/>
            <w:tcBorders>
              <w:top w:val="nil"/>
              <w:left w:val="single" w:sz="4" w:space="0" w:color="auto"/>
              <w:bottom w:val="nil"/>
              <w:right w:val="single" w:sz="4" w:space="0" w:color="auto"/>
            </w:tcBorders>
            <w:shd w:val="clear" w:color="auto" w:fill="auto"/>
          </w:tcPr>
          <w:p w:rsidR="00B44156" w:rsidRPr="001604C3" w:rsidRDefault="00B44156" w:rsidP="006B6303">
            <w:pPr>
              <w:pStyle w:val="ToolTableText"/>
              <w:rPr>
                <w:b/>
              </w:rPr>
            </w:pPr>
          </w:p>
        </w:tc>
        <w:tc>
          <w:tcPr>
            <w:tcW w:w="5647" w:type="dxa"/>
            <w:tcBorders>
              <w:left w:val="single" w:sz="4" w:space="0" w:color="auto"/>
            </w:tcBorders>
            <w:shd w:val="clear" w:color="auto" w:fill="auto"/>
          </w:tcPr>
          <w:p w:rsidR="00B44156" w:rsidRPr="00C50DF0" w:rsidRDefault="00B44156" w:rsidP="006B6303">
            <w:pPr>
              <w:pStyle w:val="ToolTableText"/>
            </w:pPr>
            <w:r w:rsidRPr="00C50DF0">
              <w:t xml:space="preserve">Organize complex ideas, concepts, and information so that each new element builds on that which precedes it to create a unified whole? </w:t>
            </w:r>
            <w:r w:rsidRPr="001604C3">
              <w:rPr>
                <w:b/>
              </w:rPr>
              <w:t>(W.11-12.2.a)</w:t>
            </w:r>
          </w:p>
        </w:tc>
        <w:tc>
          <w:tcPr>
            <w:tcW w:w="1316" w:type="dxa"/>
            <w:shd w:val="clear" w:color="auto" w:fill="auto"/>
            <w:vAlign w:val="center"/>
          </w:tcPr>
          <w:p w:rsidR="00B44156" w:rsidRPr="00C50DF0" w:rsidRDefault="00B44156" w:rsidP="006B6303">
            <w:pPr>
              <w:pStyle w:val="ToolTableText"/>
              <w:spacing w:before="0" w:after="0"/>
              <w:jc w:val="center"/>
              <w:rPr>
                <w:noProof/>
              </w:rPr>
            </w:pPr>
            <w:r w:rsidRPr="001604C3">
              <w:sym w:font="Wingdings 2" w:char="F0A3"/>
            </w:r>
          </w:p>
        </w:tc>
      </w:tr>
      <w:tr w:rsidR="00B44156" w:rsidRPr="00C50DF0" w:rsidTr="006B6303">
        <w:trPr>
          <w:trHeight w:val="305"/>
        </w:trPr>
        <w:tc>
          <w:tcPr>
            <w:tcW w:w="2561" w:type="dxa"/>
            <w:tcBorders>
              <w:top w:val="nil"/>
              <w:bottom w:val="nil"/>
            </w:tcBorders>
            <w:shd w:val="clear" w:color="auto" w:fill="auto"/>
          </w:tcPr>
          <w:p w:rsidR="00B44156" w:rsidRPr="001604C3" w:rsidRDefault="00B44156" w:rsidP="006B6303">
            <w:pPr>
              <w:pStyle w:val="ToolTableText"/>
              <w:rPr>
                <w:b/>
              </w:rPr>
            </w:pPr>
          </w:p>
        </w:tc>
        <w:tc>
          <w:tcPr>
            <w:tcW w:w="5647" w:type="dxa"/>
            <w:shd w:val="clear" w:color="auto" w:fill="auto"/>
          </w:tcPr>
          <w:p w:rsidR="00B44156" w:rsidRPr="001604C3" w:rsidRDefault="00B44156" w:rsidP="006B6303">
            <w:pPr>
              <w:pStyle w:val="ToolTableText"/>
              <w:rPr>
                <w:b/>
                <w:highlight w:val="yellow"/>
              </w:rPr>
            </w:pPr>
            <w:r w:rsidRPr="00C50DF0">
              <w:t xml:space="preserve">When useful to aiding comprehension, include formatting, graphics, and multimedia? </w:t>
            </w:r>
            <w:r w:rsidRPr="001604C3">
              <w:rPr>
                <w:b/>
              </w:rPr>
              <w:t>(W.11-12.2.a)</w:t>
            </w:r>
          </w:p>
        </w:tc>
        <w:tc>
          <w:tcPr>
            <w:tcW w:w="1316" w:type="dxa"/>
            <w:shd w:val="clear" w:color="auto" w:fill="auto"/>
            <w:vAlign w:val="center"/>
          </w:tcPr>
          <w:p w:rsidR="00B44156" w:rsidRPr="00C50DF0" w:rsidRDefault="00B44156" w:rsidP="006B6303">
            <w:pPr>
              <w:pStyle w:val="ToolTableText"/>
              <w:spacing w:before="0" w:after="0"/>
              <w:jc w:val="center"/>
            </w:pPr>
            <w:r w:rsidRPr="001604C3">
              <w:sym w:font="Wingdings 2" w:char="F0A3"/>
            </w:r>
          </w:p>
        </w:tc>
      </w:tr>
      <w:tr w:rsidR="00B44156" w:rsidRPr="00C50DF0" w:rsidTr="006B6303">
        <w:trPr>
          <w:trHeight w:val="305"/>
        </w:trPr>
        <w:tc>
          <w:tcPr>
            <w:tcW w:w="2561" w:type="dxa"/>
            <w:tcBorders>
              <w:top w:val="nil"/>
              <w:bottom w:val="nil"/>
            </w:tcBorders>
            <w:shd w:val="clear" w:color="auto" w:fill="auto"/>
          </w:tcPr>
          <w:p w:rsidR="00B44156" w:rsidRPr="001604C3" w:rsidRDefault="00B44156" w:rsidP="006B6303">
            <w:pPr>
              <w:pStyle w:val="ToolTableText"/>
              <w:rPr>
                <w:b/>
              </w:rPr>
            </w:pPr>
          </w:p>
        </w:tc>
        <w:tc>
          <w:tcPr>
            <w:tcW w:w="5647" w:type="dxa"/>
            <w:shd w:val="clear" w:color="auto" w:fill="auto"/>
          </w:tcPr>
          <w:p w:rsidR="00B44156" w:rsidRPr="00C50DF0" w:rsidRDefault="00B44156" w:rsidP="006B6303">
            <w:pPr>
              <w:pStyle w:val="ToolTableText"/>
            </w:pPr>
            <w:r w:rsidRPr="00C50DF0">
              <w:t>Use appropriate and varied transitions and syntax to link</w:t>
            </w:r>
            <w:r w:rsidRPr="001604C3">
              <w:rPr>
                <w:b/>
              </w:rPr>
              <w:t xml:space="preserve"> </w:t>
            </w:r>
            <w:r w:rsidRPr="00C50DF0">
              <w:t xml:space="preserve">the major sections of the text, create cohesion, and clarify the relationships among complex ideas and concepts? </w:t>
            </w:r>
            <w:r w:rsidRPr="001604C3">
              <w:rPr>
                <w:b/>
              </w:rPr>
              <w:t>(W.11-12.2.c)</w:t>
            </w:r>
          </w:p>
        </w:tc>
        <w:tc>
          <w:tcPr>
            <w:tcW w:w="1316" w:type="dxa"/>
            <w:shd w:val="clear" w:color="auto" w:fill="auto"/>
            <w:vAlign w:val="center"/>
          </w:tcPr>
          <w:p w:rsidR="00B44156" w:rsidRPr="00C50DF0" w:rsidRDefault="00B44156" w:rsidP="006B6303">
            <w:pPr>
              <w:pStyle w:val="ToolTableText"/>
              <w:spacing w:before="0" w:after="0"/>
              <w:jc w:val="center"/>
              <w:rPr>
                <w:noProof/>
              </w:rPr>
            </w:pPr>
            <w:r w:rsidRPr="001604C3">
              <w:sym w:font="Wingdings 2" w:char="F0A3"/>
            </w:r>
          </w:p>
        </w:tc>
      </w:tr>
      <w:tr w:rsidR="00B44156" w:rsidRPr="00C50DF0" w:rsidTr="006B6303">
        <w:trPr>
          <w:trHeight w:val="305"/>
        </w:trPr>
        <w:tc>
          <w:tcPr>
            <w:tcW w:w="2561" w:type="dxa"/>
            <w:tcBorders>
              <w:top w:val="nil"/>
              <w:left w:val="single" w:sz="4" w:space="0" w:color="auto"/>
              <w:bottom w:val="nil"/>
              <w:right w:val="single" w:sz="4" w:space="0" w:color="auto"/>
            </w:tcBorders>
            <w:shd w:val="clear" w:color="auto" w:fill="auto"/>
          </w:tcPr>
          <w:p w:rsidR="00B44156" w:rsidRPr="001604C3" w:rsidRDefault="00B44156" w:rsidP="006B6303">
            <w:pPr>
              <w:pStyle w:val="ToolTableText"/>
              <w:rPr>
                <w:b/>
              </w:rPr>
            </w:pPr>
          </w:p>
        </w:tc>
        <w:tc>
          <w:tcPr>
            <w:tcW w:w="5647" w:type="dxa"/>
            <w:tcBorders>
              <w:left w:val="single" w:sz="4" w:space="0" w:color="auto"/>
            </w:tcBorders>
            <w:shd w:val="clear" w:color="auto" w:fill="auto"/>
          </w:tcPr>
          <w:p w:rsidR="00B44156" w:rsidRPr="00C50DF0" w:rsidRDefault="00B44156" w:rsidP="006B6303">
            <w:pPr>
              <w:pStyle w:val="ToolTableText"/>
            </w:pPr>
            <w:r w:rsidRPr="00C50DF0">
              <w:t xml:space="preserve">Use precise language, domain-specific vocabulary, and techniques such as metaphor, simile, and analogy to manage the complexity of the topic? </w:t>
            </w:r>
            <w:r w:rsidRPr="001604C3">
              <w:rPr>
                <w:b/>
              </w:rPr>
              <w:t>(W.11-12.2.d)</w:t>
            </w:r>
          </w:p>
        </w:tc>
        <w:tc>
          <w:tcPr>
            <w:tcW w:w="1316" w:type="dxa"/>
            <w:shd w:val="clear" w:color="auto" w:fill="auto"/>
            <w:vAlign w:val="center"/>
          </w:tcPr>
          <w:p w:rsidR="00B44156" w:rsidRPr="00C50DF0" w:rsidRDefault="00B44156" w:rsidP="006B6303">
            <w:pPr>
              <w:pStyle w:val="ToolTableText"/>
              <w:spacing w:before="0" w:after="0"/>
              <w:jc w:val="center"/>
            </w:pPr>
            <w:r w:rsidRPr="001604C3">
              <w:sym w:font="Wingdings 2" w:char="F0A3"/>
            </w:r>
          </w:p>
        </w:tc>
      </w:tr>
      <w:tr w:rsidR="00B44156" w:rsidRPr="00C50DF0" w:rsidTr="006B6303">
        <w:trPr>
          <w:trHeight w:val="305"/>
        </w:trPr>
        <w:tc>
          <w:tcPr>
            <w:tcW w:w="2561" w:type="dxa"/>
            <w:tcBorders>
              <w:top w:val="nil"/>
              <w:bottom w:val="nil"/>
            </w:tcBorders>
            <w:shd w:val="clear" w:color="auto" w:fill="auto"/>
          </w:tcPr>
          <w:p w:rsidR="00B44156" w:rsidRPr="001604C3" w:rsidRDefault="00B44156" w:rsidP="006B6303">
            <w:pPr>
              <w:pStyle w:val="ToolTableText"/>
              <w:rPr>
                <w:b/>
              </w:rPr>
            </w:pPr>
          </w:p>
        </w:tc>
        <w:tc>
          <w:tcPr>
            <w:tcW w:w="5647" w:type="dxa"/>
            <w:shd w:val="clear" w:color="auto" w:fill="auto"/>
          </w:tcPr>
          <w:p w:rsidR="00B44156" w:rsidRPr="001604C3" w:rsidRDefault="00B44156" w:rsidP="006B6303">
            <w:pPr>
              <w:pStyle w:val="ToolTableText"/>
              <w:rPr>
                <w:b/>
              </w:rPr>
            </w:pPr>
            <w:r w:rsidRPr="00C50DF0">
              <w:t xml:space="preserve">Establish a formal style and objective tone that is appropriate for the norms and conventions of the discipline? </w:t>
            </w:r>
            <w:r w:rsidRPr="001604C3">
              <w:rPr>
                <w:b/>
              </w:rPr>
              <w:t>(W.11-12.2.e)</w:t>
            </w:r>
          </w:p>
        </w:tc>
        <w:tc>
          <w:tcPr>
            <w:tcW w:w="1316" w:type="dxa"/>
            <w:shd w:val="clear" w:color="auto" w:fill="auto"/>
            <w:vAlign w:val="center"/>
          </w:tcPr>
          <w:p w:rsidR="00B44156" w:rsidRPr="00C50DF0" w:rsidRDefault="00B44156" w:rsidP="006B6303">
            <w:pPr>
              <w:pStyle w:val="ToolTableText"/>
              <w:spacing w:before="0" w:after="0"/>
              <w:jc w:val="center"/>
            </w:pPr>
            <w:r w:rsidRPr="001604C3">
              <w:sym w:font="Wingdings 2" w:char="F0A3"/>
            </w:r>
          </w:p>
        </w:tc>
      </w:tr>
      <w:tr w:rsidR="00B44156" w:rsidRPr="00C50DF0" w:rsidTr="006B6303">
        <w:trPr>
          <w:trHeight w:val="305"/>
        </w:trPr>
        <w:tc>
          <w:tcPr>
            <w:tcW w:w="2561" w:type="dxa"/>
            <w:tcBorders>
              <w:top w:val="nil"/>
              <w:bottom w:val="nil"/>
            </w:tcBorders>
            <w:shd w:val="clear" w:color="auto" w:fill="auto"/>
          </w:tcPr>
          <w:p w:rsidR="00B44156" w:rsidRPr="001604C3" w:rsidRDefault="00B44156" w:rsidP="006B6303">
            <w:pPr>
              <w:pStyle w:val="ToolTableText"/>
              <w:rPr>
                <w:b/>
              </w:rPr>
            </w:pPr>
          </w:p>
        </w:tc>
        <w:tc>
          <w:tcPr>
            <w:tcW w:w="5647" w:type="dxa"/>
            <w:shd w:val="clear" w:color="auto" w:fill="auto"/>
          </w:tcPr>
          <w:p w:rsidR="00B44156" w:rsidRPr="00C50DF0" w:rsidRDefault="00B44156" w:rsidP="006B6303">
            <w:pPr>
              <w:pStyle w:val="ToolTableText"/>
            </w:pPr>
            <w:r w:rsidRPr="00C50DF0">
              <w:t xml:space="preserve">Provide a concluding statement or section that follows from and supports the explanation or analysis? </w:t>
            </w:r>
            <w:r w:rsidRPr="001604C3">
              <w:rPr>
                <w:b/>
              </w:rPr>
              <w:t>(W.11-12.2.f)</w:t>
            </w:r>
          </w:p>
        </w:tc>
        <w:tc>
          <w:tcPr>
            <w:tcW w:w="1316" w:type="dxa"/>
            <w:shd w:val="clear" w:color="auto" w:fill="auto"/>
            <w:vAlign w:val="center"/>
          </w:tcPr>
          <w:p w:rsidR="00B44156" w:rsidRPr="00C50DF0" w:rsidRDefault="00B44156" w:rsidP="006B6303">
            <w:pPr>
              <w:pStyle w:val="ToolTableText"/>
              <w:spacing w:before="0" w:after="0"/>
              <w:jc w:val="center"/>
            </w:pPr>
            <w:r w:rsidRPr="001604C3">
              <w:sym w:font="Wingdings 2" w:char="F0A3"/>
            </w:r>
          </w:p>
        </w:tc>
      </w:tr>
      <w:tr w:rsidR="00B44156" w:rsidRPr="00C50DF0" w:rsidTr="006B6303">
        <w:trPr>
          <w:trHeight w:val="305"/>
        </w:trPr>
        <w:tc>
          <w:tcPr>
            <w:tcW w:w="2561" w:type="dxa"/>
            <w:tcBorders>
              <w:top w:val="single" w:sz="4" w:space="0" w:color="auto"/>
              <w:left w:val="single" w:sz="4" w:space="0" w:color="auto"/>
              <w:bottom w:val="nil"/>
              <w:right w:val="single" w:sz="4" w:space="0" w:color="auto"/>
            </w:tcBorders>
            <w:shd w:val="clear" w:color="auto" w:fill="auto"/>
          </w:tcPr>
          <w:p w:rsidR="00B44156" w:rsidRPr="001604C3" w:rsidRDefault="00B44156" w:rsidP="006B6303">
            <w:pPr>
              <w:pStyle w:val="ToolTableText"/>
              <w:rPr>
                <w:b/>
              </w:rPr>
            </w:pPr>
            <w:r w:rsidRPr="001604C3">
              <w:rPr>
                <w:b/>
              </w:rPr>
              <w:t>Control of Conventions</w:t>
            </w:r>
          </w:p>
        </w:tc>
        <w:tc>
          <w:tcPr>
            <w:tcW w:w="5647" w:type="dxa"/>
            <w:tcBorders>
              <w:left w:val="single" w:sz="4" w:space="0" w:color="auto"/>
            </w:tcBorders>
            <w:shd w:val="clear" w:color="auto" w:fill="auto"/>
          </w:tcPr>
          <w:p w:rsidR="00B44156" w:rsidRPr="00C50DF0" w:rsidRDefault="00B44156" w:rsidP="006B6303">
            <w:pPr>
              <w:pStyle w:val="ToolTableText"/>
            </w:pPr>
            <w:r w:rsidRPr="00C50DF0">
              <w:t xml:space="preserve">Demonstrate command of the conventions of standard English grammar, usage, capitalization, punctuation, and spelling? </w:t>
            </w:r>
            <w:r w:rsidRPr="001604C3">
              <w:rPr>
                <w:b/>
              </w:rPr>
              <w:t>(L.11-12.1, L.11-12.2)</w:t>
            </w:r>
          </w:p>
        </w:tc>
        <w:tc>
          <w:tcPr>
            <w:tcW w:w="1316" w:type="dxa"/>
            <w:shd w:val="clear" w:color="auto" w:fill="auto"/>
            <w:vAlign w:val="center"/>
          </w:tcPr>
          <w:p w:rsidR="00B44156" w:rsidRPr="00C50DF0" w:rsidRDefault="00B44156" w:rsidP="006B6303">
            <w:pPr>
              <w:pStyle w:val="ToolTableText"/>
              <w:spacing w:before="0" w:after="0"/>
              <w:jc w:val="center"/>
            </w:pPr>
            <w:r w:rsidRPr="001604C3">
              <w:sym w:font="Wingdings 2" w:char="F0A3"/>
            </w:r>
          </w:p>
        </w:tc>
      </w:tr>
      <w:tr w:rsidR="00B44156" w:rsidRPr="00C50DF0" w:rsidTr="006B6303">
        <w:trPr>
          <w:trHeight w:val="305"/>
        </w:trPr>
        <w:tc>
          <w:tcPr>
            <w:tcW w:w="2561" w:type="dxa"/>
            <w:tcBorders>
              <w:top w:val="nil"/>
              <w:left w:val="single" w:sz="4" w:space="0" w:color="auto"/>
              <w:bottom w:val="nil"/>
              <w:right w:val="single" w:sz="4" w:space="0" w:color="auto"/>
            </w:tcBorders>
            <w:shd w:val="clear" w:color="auto" w:fill="auto"/>
          </w:tcPr>
          <w:p w:rsidR="00B44156" w:rsidRPr="001604C3" w:rsidRDefault="00B44156" w:rsidP="006B6303">
            <w:pPr>
              <w:pStyle w:val="ToolTableText"/>
              <w:rPr>
                <w:b/>
              </w:rPr>
            </w:pPr>
          </w:p>
        </w:tc>
        <w:tc>
          <w:tcPr>
            <w:tcW w:w="5647" w:type="dxa"/>
            <w:tcBorders>
              <w:left w:val="single" w:sz="4" w:space="0" w:color="auto"/>
            </w:tcBorders>
            <w:shd w:val="clear" w:color="auto" w:fill="auto"/>
          </w:tcPr>
          <w:p w:rsidR="00B44156" w:rsidRPr="001604C3" w:rsidRDefault="00B44156" w:rsidP="006B6303">
            <w:pPr>
              <w:pStyle w:val="ToolTableText"/>
              <w:rPr>
                <w:b/>
              </w:rPr>
            </w:pPr>
            <w:r w:rsidRPr="00C50DF0">
              <w:t xml:space="preserve">Demonstrate command of hyphenation conventions? </w:t>
            </w:r>
            <w:r w:rsidRPr="001604C3">
              <w:rPr>
                <w:b/>
              </w:rPr>
              <w:t>(L.11-</w:t>
            </w:r>
            <w:r w:rsidRPr="001604C3">
              <w:rPr>
                <w:b/>
              </w:rPr>
              <w:lastRenderedPageBreak/>
              <w:t>12.2.a)</w:t>
            </w:r>
          </w:p>
        </w:tc>
        <w:tc>
          <w:tcPr>
            <w:tcW w:w="1316" w:type="dxa"/>
            <w:shd w:val="clear" w:color="auto" w:fill="auto"/>
            <w:vAlign w:val="center"/>
          </w:tcPr>
          <w:p w:rsidR="00B44156" w:rsidRPr="00C50DF0" w:rsidRDefault="00B44156" w:rsidP="006B6303">
            <w:pPr>
              <w:pStyle w:val="ToolTableText"/>
              <w:spacing w:before="0" w:after="0"/>
              <w:jc w:val="center"/>
            </w:pPr>
            <w:r w:rsidRPr="001604C3">
              <w:lastRenderedPageBreak/>
              <w:sym w:font="Wingdings 2" w:char="F0A3"/>
            </w:r>
          </w:p>
        </w:tc>
      </w:tr>
      <w:tr w:rsidR="00B44156" w:rsidRPr="00C50DF0" w:rsidTr="006B6303">
        <w:trPr>
          <w:trHeight w:val="305"/>
        </w:trPr>
        <w:tc>
          <w:tcPr>
            <w:tcW w:w="2561" w:type="dxa"/>
            <w:tcBorders>
              <w:top w:val="nil"/>
              <w:left w:val="single" w:sz="4" w:space="0" w:color="auto"/>
              <w:bottom w:val="single" w:sz="4" w:space="0" w:color="auto"/>
              <w:right w:val="single" w:sz="4" w:space="0" w:color="auto"/>
            </w:tcBorders>
            <w:shd w:val="clear" w:color="auto" w:fill="auto"/>
          </w:tcPr>
          <w:p w:rsidR="00B44156" w:rsidRPr="001604C3" w:rsidRDefault="00B44156" w:rsidP="006B6303">
            <w:pPr>
              <w:pStyle w:val="ToolTableText"/>
              <w:rPr>
                <w:b/>
              </w:rPr>
            </w:pPr>
          </w:p>
        </w:tc>
        <w:tc>
          <w:tcPr>
            <w:tcW w:w="5647" w:type="dxa"/>
            <w:tcBorders>
              <w:left w:val="single" w:sz="4" w:space="0" w:color="auto"/>
            </w:tcBorders>
            <w:shd w:val="clear" w:color="auto" w:fill="auto"/>
          </w:tcPr>
          <w:p w:rsidR="00B44156" w:rsidRPr="00C50DF0" w:rsidRDefault="00B44156" w:rsidP="006B6303">
            <w:pPr>
              <w:pStyle w:val="ToolTableText"/>
            </w:pPr>
            <w:r w:rsidRPr="00C50DF0">
              <w:t xml:space="preserve">Demonstrate accurate spelling? </w:t>
            </w:r>
            <w:r w:rsidRPr="001604C3">
              <w:rPr>
                <w:b/>
              </w:rPr>
              <w:t>(L.11-12.2.b)</w:t>
            </w:r>
          </w:p>
        </w:tc>
        <w:tc>
          <w:tcPr>
            <w:tcW w:w="1316" w:type="dxa"/>
            <w:shd w:val="clear" w:color="auto" w:fill="auto"/>
            <w:vAlign w:val="center"/>
          </w:tcPr>
          <w:p w:rsidR="00B44156" w:rsidRPr="00C50DF0" w:rsidRDefault="00B44156" w:rsidP="006B6303">
            <w:pPr>
              <w:pStyle w:val="ToolTableText"/>
              <w:spacing w:before="0" w:after="0"/>
              <w:jc w:val="center"/>
            </w:pPr>
            <w:r w:rsidRPr="001604C3">
              <w:sym w:font="Wingdings 2" w:char="F0A3"/>
            </w:r>
          </w:p>
        </w:tc>
      </w:tr>
    </w:tbl>
    <w:p w:rsidR="00B44156" w:rsidRPr="00B44156" w:rsidRDefault="00B44156" w:rsidP="001154CC">
      <w:pPr>
        <w:pStyle w:val="ToolHeader"/>
        <w:rPr>
          <w:rFonts w:ascii="Calibri" w:hAnsi="Calibri"/>
        </w:rPr>
      </w:pPr>
    </w:p>
    <w:p w:rsidR="001154CC" w:rsidRPr="00B44156" w:rsidRDefault="001154CC" w:rsidP="001154CC">
      <w:pPr>
        <w:pStyle w:val="ToolTableText"/>
        <w:rPr>
          <w:b/>
        </w:rPr>
      </w:pPr>
    </w:p>
    <w:p w:rsidR="001154CC" w:rsidRPr="00B44156" w:rsidRDefault="001154CC"/>
    <w:sectPr w:rsidR="001154CC" w:rsidRPr="00B44156" w:rsidSect="001154CC">
      <w:headerReference w:type="default" r:id="rId13"/>
      <w:footerReference w:type="even" r:id="rId14"/>
      <w:footerReference w:type="default" r:id="rId15"/>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30A" w:rsidRDefault="006E130A" w:rsidP="001154CC">
      <w:pPr>
        <w:spacing w:before="0" w:after="0" w:line="240" w:lineRule="auto"/>
      </w:pPr>
      <w:r>
        <w:separator/>
      </w:r>
    </w:p>
  </w:endnote>
  <w:endnote w:type="continuationSeparator" w:id="0">
    <w:p w:rsidR="006E130A" w:rsidRDefault="006E130A" w:rsidP="001154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CC" w:rsidRDefault="001154CC" w:rsidP="001154CC">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rsidR="001154CC" w:rsidRDefault="001154CC" w:rsidP="001154CC">
    <w:pPr>
      <w:pStyle w:val="Footer"/>
    </w:pPr>
  </w:p>
  <w:p w:rsidR="001154CC" w:rsidRDefault="001154CC" w:rsidP="001154CC"/>
  <w:p w:rsidR="001154CC" w:rsidRDefault="001154CC" w:rsidP="001154CC"/>
  <w:p w:rsidR="001154CC" w:rsidRDefault="001154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CC" w:rsidRPr="00563CB8" w:rsidRDefault="001154CC" w:rsidP="001154CC">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1154CC">
      <w:trPr>
        <w:trHeight w:val="705"/>
      </w:trPr>
      <w:tc>
        <w:tcPr>
          <w:tcW w:w="4609" w:type="dxa"/>
          <w:shd w:val="clear" w:color="auto" w:fill="auto"/>
          <w:vAlign w:val="center"/>
        </w:tcPr>
        <w:p w:rsidR="001154CC" w:rsidRPr="003A5E35" w:rsidRDefault="001154CC" w:rsidP="001154CC">
          <w:pPr>
            <w:pStyle w:val="FooterText"/>
            <w:rPr>
              <w:rFonts w:cs="Calibri"/>
            </w:rPr>
          </w:pPr>
          <w:r w:rsidRPr="003A5E35">
            <w:rPr>
              <w:rFonts w:cs="Calibri"/>
            </w:rPr>
            <w:t>File:</w:t>
          </w:r>
          <w:r w:rsidRPr="003A5E35">
            <w:rPr>
              <w:rFonts w:cs="Calibri"/>
              <w:b w:val="0"/>
            </w:rPr>
            <w:t xml:space="preserve"> 12.2.2 Lesson 11 </w:t>
          </w:r>
          <w:r w:rsidRPr="003A5E35">
            <w:rPr>
              <w:rFonts w:cs="Calibri"/>
            </w:rPr>
            <w:t>Date:</w:t>
          </w:r>
          <w:r w:rsidR="00C10BD5">
            <w:rPr>
              <w:rFonts w:cs="Calibri"/>
              <w:b w:val="0"/>
            </w:rPr>
            <w:t xml:space="preserve"> 2</w:t>
          </w:r>
          <w:r w:rsidRPr="003A5E35">
            <w:rPr>
              <w:rFonts w:cs="Calibri"/>
              <w:b w:val="0"/>
            </w:rPr>
            <w:t>/</w:t>
          </w:r>
          <w:r w:rsidR="0021215B">
            <w:rPr>
              <w:rFonts w:cs="Calibri"/>
              <w:b w:val="0"/>
            </w:rPr>
            <w:t>13</w:t>
          </w:r>
          <w:r w:rsidRPr="003A5E35">
            <w:rPr>
              <w:rFonts w:cs="Calibri"/>
              <w:b w:val="0"/>
            </w:rPr>
            <w:t xml:space="preserve">/15 </w:t>
          </w:r>
          <w:r w:rsidRPr="003A5E35">
            <w:rPr>
              <w:rFonts w:cs="Calibri"/>
            </w:rPr>
            <w:t>Classroom Use:</w:t>
          </w:r>
          <w:r w:rsidR="00C10BD5">
            <w:rPr>
              <w:rFonts w:cs="Calibri"/>
              <w:b w:val="0"/>
            </w:rPr>
            <w:t xml:space="preserve"> Starting 2</w:t>
          </w:r>
          <w:r w:rsidRPr="003A5E35">
            <w:rPr>
              <w:rFonts w:cs="Calibri"/>
              <w:b w:val="0"/>
            </w:rPr>
            <w:t>/2015</w:t>
          </w:r>
        </w:p>
        <w:p w:rsidR="001154CC" w:rsidRPr="003A5E35" w:rsidRDefault="001154CC" w:rsidP="001154CC">
          <w:pPr>
            <w:pStyle w:val="FooterText"/>
            <w:rPr>
              <w:rFonts w:cs="Calibri"/>
              <w:b w:val="0"/>
              <w:i/>
              <w:sz w:val="12"/>
            </w:rPr>
          </w:pPr>
          <w:r w:rsidRPr="003A5E35">
            <w:rPr>
              <w:rFonts w:cs="Calibri"/>
              <w:b w:val="0"/>
              <w:sz w:val="12"/>
            </w:rPr>
            <w:t>© 2015 Public Consulting Group.</w:t>
          </w:r>
          <w:r w:rsidRPr="003A5E35">
            <w:rPr>
              <w:rFonts w:cs="Calibri"/>
              <w:b w:val="0"/>
              <w:i/>
              <w:sz w:val="12"/>
            </w:rPr>
            <w:t xml:space="preserve"> This work is licensed under a </w:t>
          </w:r>
        </w:p>
        <w:p w:rsidR="001154CC" w:rsidRPr="003A5E35" w:rsidRDefault="001154CC" w:rsidP="001154CC">
          <w:pPr>
            <w:pStyle w:val="FooterText"/>
            <w:rPr>
              <w:rFonts w:cs="Calibri"/>
              <w:b w:val="0"/>
              <w:i/>
            </w:rPr>
          </w:pPr>
          <w:r w:rsidRPr="003A5E35">
            <w:rPr>
              <w:rFonts w:cs="Calibri"/>
              <w:b w:val="0"/>
              <w:i/>
              <w:sz w:val="12"/>
            </w:rPr>
            <w:t>Creative Commons Attribution-NonCommercial-ShareAlike 3.0 Unported License</w:t>
          </w:r>
        </w:p>
        <w:p w:rsidR="001154CC" w:rsidRPr="003A5E35" w:rsidRDefault="006E130A" w:rsidP="001154CC">
          <w:pPr>
            <w:pStyle w:val="FooterText"/>
            <w:rPr>
              <w:rFonts w:cs="Calibri"/>
            </w:rPr>
          </w:pPr>
          <w:hyperlink r:id="rId1" w:history="1">
            <w:r w:rsidR="001154CC" w:rsidRPr="00E21C4B">
              <w:rPr>
                <w:rStyle w:val="Hyperlink"/>
                <w:rFonts w:ascii="Cambria" w:hAnsi="Cambria" w:cs="Cambria"/>
                <w:sz w:val="12"/>
                <w:szCs w:val="12"/>
              </w:rPr>
              <w:t>http://creativecommons.org/licenses/by-nc-sa/3.0/</w:t>
            </w:r>
          </w:hyperlink>
        </w:p>
      </w:tc>
      <w:tc>
        <w:tcPr>
          <w:tcW w:w="625" w:type="dxa"/>
          <w:shd w:val="clear" w:color="auto" w:fill="auto"/>
          <w:vAlign w:val="center"/>
        </w:tcPr>
        <w:p w:rsidR="001154CC" w:rsidRPr="003A5E35" w:rsidRDefault="001154CC" w:rsidP="001154CC">
          <w:pPr>
            <w:pStyle w:val="folio"/>
            <w:pBdr>
              <w:top w:val="none" w:sz="0" w:space="0" w:color="auto"/>
            </w:pBdr>
            <w:tabs>
              <w:tab w:val="clear" w:pos="6480"/>
              <w:tab w:val="clear" w:pos="10080"/>
            </w:tabs>
            <w:jc w:val="center"/>
            <w:rPr>
              <w:rFonts w:ascii="Calibri" w:hAnsi="Calibri" w:cs="Calibri"/>
              <w:b/>
              <w:sz w:val="14"/>
              <w:lang w:val="en-US"/>
            </w:rPr>
          </w:pPr>
          <w:r w:rsidRPr="003A5E35">
            <w:rPr>
              <w:rFonts w:ascii="Calibri" w:hAnsi="Calibri" w:cs="Calibri"/>
              <w:b/>
              <w:color w:val="1F4E79"/>
              <w:sz w:val="28"/>
              <w:lang w:val="en-US"/>
            </w:rPr>
            <w:fldChar w:fldCharType="begin"/>
          </w:r>
          <w:r w:rsidRPr="003A5E35">
            <w:rPr>
              <w:rFonts w:ascii="Calibri" w:hAnsi="Calibri" w:cs="Calibri"/>
              <w:b/>
              <w:color w:val="1F4E79"/>
              <w:sz w:val="28"/>
              <w:lang w:val="en-US"/>
            </w:rPr>
            <w:instrText>PAGE</w:instrText>
          </w:r>
          <w:r w:rsidRPr="003A5E35">
            <w:rPr>
              <w:rFonts w:ascii="Calibri" w:hAnsi="Calibri" w:cs="Calibri"/>
              <w:b/>
              <w:color w:val="1F4E79"/>
              <w:sz w:val="28"/>
              <w:lang w:val="en-US"/>
            </w:rPr>
            <w:fldChar w:fldCharType="separate"/>
          </w:r>
          <w:r w:rsidR="0083553C">
            <w:rPr>
              <w:rFonts w:ascii="Calibri" w:hAnsi="Calibri" w:cs="Calibri"/>
              <w:b/>
              <w:noProof/>
              <w:color w:val="1F4E79"/>
              <w:sz w:val="28"/>
              <w:lang w:val="en-US"/>
            </w:rPr>
            <w:t>1</w:t>
          </w:r>
          <w:r w:rsidRPr="003A5E35">
            <w:rPr>
              <w:rFonts w:ascii="Calibri" w:hAnsi="Calibri" w:cs="Calibri"/>
              <w:b/>
              <w:color w:val="1F4E79"/>
              <w:sz w:val="28"/>
              <w:lang w:val="en-US"/>
            </w:rPr>
            <w:fldChar w:fldCharType="end"/>
          </w:r>
        </w:p>
      </w:tc>
      <w:tc>
        <w:tcPr>
          <w:tcW w:w="4325" w:type="dxa"/>
          <w:shd w:val="clear" w:color="auto" w:fill="auto"/>
          <w:vAlign w:val="bottom"/>
        </w:tcPr>
        <w:p w:rsidR="001154CC" w:rsidRPr="003A5E35" w:rsidRDefault="006E130A" w:rsidP="001154CC">
          <w:pPr>
            <w:pStyle w:val="folio"/>
            <w:pBdr>
              <w:top w:val="none" w:sz="0" w:space="0" w:color="auto"/>
            </w:pBdr>
            <w:tabs>
              <w:tab w:val="clear" w:pos="6480"/>
              <w:tab w:val="clear" w:pos="10080"/>
            </w:tabs>
            <w:spacing w:before="20"/>
            <w:ind w:right="-103"/>
            <w:jc w:val="right"/>
            <w:rPr>
              <w:rFonts w:ascii="Calibri" w:hAnsi="Calibri" w:cs="Calibri"/>
              <w:b/>
              <w:sz w:val="12"/>
              <w:szCs w:val="12"/>
              <w:lang w:val="en-US"/>
            </w:rPr>
          </w:pPr>
          <w:r>
            <w:rPr>
              <w:rFonts w:ascii="Calibri" w:hAnsi="Calibri" w:cs="Calibri"/>
              <w:b/>
              <w:noProof/>
              <w:sz w:val="12"/>
              <w:szCs w:val="1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Description: PCG-CC-NY.png" style="width:133.5pt;height:50.25pt;visibility:visible">
                <v:imagedata r:id="rId2" o:title="PCG-CC-NY"/>
              </v:shape>
            </w:pict>
          </w:r>
        </w:p>
      </w:tc>
    </w:tr>
  </w:tbl>
  <w:p w:rsidR="001154CC" w:rsidRPr="0039525B" w:rsidRDefault="001154CC" w:rsidP="001154CC">
    <w:pPr>
      <w:pStyle w:val="Footer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CC" w:rsidRPr="00563CB8" w:rsidRDefault="001154CC" w:rsidP="001154CC">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896"/>
      <w:gridCol w:w="935"/>
      <w:gridCol w:w="6471"/>
    </w:tblGrid>
    <w:tr w:rsidR="001154CC">
      <w:trPr>
        <w:trHeight w:val="705"/>
      </w:trPr>
      <w:tc>
        <w:tcPr>
          <w:tcW w:w="4609" w:type="dxa"/>
          <w:shd w:val="clear" w:color="auto" w:fill="auto"/>
          <w:vAlign w:val="center"/>
        </w:tcPr>
        <w:p w:rsidR="001154CC" w:rsidRPr="003A5E35" w:rsidRDefault="001154CC" w:rsidP="001154CC">
          <w:pPr>
            <w:pStyle w:val="folio"/>
            <w:pBdr>
              <w:top w:val="none" w:sz="0" w:space="0" w:color="auto"/>
            </w:pBdr>
            <w:tabs>
              <w:tab w:val="clear" w:pos="6480"/>
              <w:tab w:val="clear" w:pos="10080"/>
            </w:tabs>
            <w:spacing w:before="0" w:after="0" w:line="200" w:lineRule="exact"/>
            <w:rPr>
              <w:rFonts w:ascii="Calibri" w:hAnsi="Calibri" w:cs="Calibri"/>
              <w:sz w:val="14"/>
              <w:lang w:val="en-US"/>
            </w:rPr>
          </w:pPr>
          <w:r w:rsidRPr="003A5E35">
            <w:rPr>
              <w:rFonts w:ascii="Calibri" w:hAnsi="Calibri" w:cs="Calibri"/>
              <w:b/>
              <w:sz w:val="14"/>
              <w:lang w:val="en-US"/>
            </w:rPr>
            <w:t xml:space="preserve">File: </w:t>
          </w:r>
          <w:r w:rsidRPr="003A5E35">
            <w:rPr>
              <w:rFonts w:ascii="Calibri" w:hAnsi="Calibri" w:cs="Calibri"/>
              <w:sz w:val="14"/>
              <w:lang w:val="en-US"/>
            </w:rPr>
            <w:t xml:space="preserve">12.2.2 Lesson 11 </w:t>
          </w:r>
          <w:r w:rsidRPr="003A5E35">
            <w:rPr>
              <w:rFonts w:ascii="Calibri" w:hAnsi="Calibri" w:cs="Calibri"/>
              <w:b/>
              <w:sz w:val="14"/>
              <w:lang w:val="en-US"/>
            </w:rPr>
            <w:t xml:space="preserve">Date: </w:t>
          </w:r>
          <w:r w:rsidR="0003687D">
            <w:rPr>
              <w:rFonts w:ascii="Calibri" w:hAnsi="Calibri" w:cs="Calibri"/>
              <w:sz w:val="14"/>
              <w:lang w:val="en-US"/>
            </w:rPr>
            <w:t>2</w:t>
          </w:r>
          <w:r w:rsidRPr="003A5E35">
            <w:rPr>
              <w:rFonts w:ascii="Calibri" w:hAnsi="Calibri" w:cs="Calibri"/>
              <w:sz w:val="14"/>
              <w:lang w:val="en-US"/>
            </w:rPr>
            <w:t>/</w:t>
          </w:r>
          <w:r w:rsidR="0021215B">
            <w:rPr>
              <w:rFonts w:ascii="Calibri" w:hAnsi="Calibri" w:cs="Calibri"/>
              <w:sz w:val="14"/>
              <w:lang w:val="en-US"/>
            </w:rPr>
            <w:t>13</w:t>
          </w:r>
          <w:r w:rsidRPr="003A5E35">
            <w:rPr>
              <w:rFonts w:ascii="Calibri" w:hAnsi="Calibri" w:cs="Calibri"/>
              <w:sz w:val="14"/>
              <w:lang w:val="en-US"/>
            </w:rPr>
            <w:t xml:space="preserve">/15 </w:t>
          </w:r>
          <w:r w:rsidRPr="003A5E35">
            <w:rPr>
              <w:rFonts w:ascii="Calibri" w:hAnsi="Calibri" w:cs="Calibri"/>
              <w:b/>
              <w:sz w:val="14"/>
              <w:lang w:val="en-US"/>
            </w:rPr>
            <w:t>Classroom Use:</w:t>
          </w:r>
          <w:r w:rsidR="0003687D">
            <w:rPr>
              <w:rFonts w:ascii="Calibri" w:hAnsi="Calibri" w:cs="Calibri"/>
              <w:sz w:val="14"/>
              <w:lang w:val="en-US"/>
            </w:rPr>
            <w:t xml:space="preserve"> Starting 2</w:t>
          </w:r>
          <w:r w:rsidRPr="003A5E35">
            <w:rPr>
              <w:rFonts w:ascii="Calibri" w:hAnsi="Calibri" w:cs="Calibri"/>
              <w:sz w:val="14"/>
              <w:lang w:val="en-US"/>
            </w:rPr>
            <w:t xml:space="preserve">/2015 </w:t>
          </w:r>
        </w:p>
        <w:p w:rsidR="001154CC" w:rsidRPr="003A5E35" w:rsidRDefault="001154CC" w:rsidP="001154CC">
          <w:pPr>
            <w:pStyle w:val="folio"/>
            <w:pBdr>
              <w:top w:val="none" w:sz="0" w:space="0" w:color="auto"/>
            </w:pBdr>
            <w:tabs>
              <w:tab w:val="clear" w:pos="6480"/>
              <w:tab w:val="clear" w:pos="10080"/>
            </w:tabs>
            <w:spacing w:before="0" w:after="0" w:line="200" w:lineRule="exact"/>
            <w:rPr>
              <w:rFonts w:ascii="Calibri" w:hAnsi="Calibri" w:cs="Calibri"/>
              <w:i/>
              <w:sz w:val="12"/>
              <w:lang w:val="en-US"/>
            </w:rPr>
          </w:pPr>
          <w:r w:rsidRPr="003A5E35">
            <w:rPr>
              <w:rFonts w:ascii="Calibri" w:hAnsi="Calibri" w:cs="Calibri"/>
              <w:sz w:val="12"/>
              <w:lang w:val="en-US"/>
            </w:rPr>
            <w:t xml:space="preserve">© 2015 Public Consulting Group. </w:t>
          </w:r>
          <w:r w:rsidRPr="003A5E35">
            <w:rPr>
              <w:rFonts w:ascii="Calibri" w:hAnsi="Calibri" w:cs="Calibri"/>
              <w:i/>
              <w:sz w:val="12"/>
              <w:lang w:val="en-US"/>
            </w:rPr>
            <w:t xml:space="preserve">This work is licensed under a </w:t>
          </w:r>
        </w:p>
        <w:p w:rsidR="001154CC" w:rsidRPr="003A5E35" w:rsidRDefault="001154CC" w:rsidP="001154CC">
          <w:pPr>
            <w:pStyle w:val="folio"/>
            <w:pBdr>
              <w:top w:val="none" w:sz="0" w:space="0" w:color="auto"/>
            </w:pBdr>
            <w:tabs>
              <w:tab w:val="clear" w:pos="6480"/>
              <w:tab w:val="clear" w:pos="10080"/>
            </w:tabs>
            <w:spacing w:before="0" w:after="0" w:line="200" w:lineRule="exact"/>
            <w:rPr>
              <w:rFonts w:cs="Verdana"/>
              <w:lang w:val="en-US"/>
            </w:rPr>
          </w:pPr>
          <w:r w:rsidRPr="003A5E35">
            <w:rPr>
              <w:rFonts w:ascii="Calibri" w:hAnsi="Calibri" w:cs="Calibri"/>
              <w:i/>
              <w:sz w:val="12"/>
              <w:lang w:val="en-US"/>
            </w:rPr>
            <w:t>Creative Commons Attribution-NonCommercial-ShareAlike 3.0 Unported License</w:t>
          </w:r>
        </w:p>
        <w:p w:rsidR="001154CC" w:rsidRPr="003A5E35" w:rsidRDefault="006E130A" w:rsidP="001154CC">
          <w:pPr>
            <w:pStyle w:val="folio"/>
            <w:pBdr>
              <w:top w:val="none" w:sz="0" w:space="0" w:color="auto"/>
            </w:pBdr>
            <w:tabs>
              <w:tab w:val="clear" w:pos="6480"/>
              <w:tab w:val="clear" w:pos="10080"/>
            </w:tabs>
            <w:spacing w:before="0" w:after="0" w:line="200" w:lineRule="exact"/>
            <w:rPr>
              <w:rFonts w:ascii="Calibri" w:hAnsi="Calibri" w:cs="Calibri"/>
              <w:b/>
              <w:sz w:val="14"/>
              <w:lang w:val="en-US"/>
            </w:rPr>
          </w:pPr>
          <w:hyperlink r:id="rId1" w:history="1">
            <w:r w:rsidR="001154CC" w:rsidRPr="003A5E35">
              <w:rPr>
                <w:rStyle w:val="Hyperlink"/>
                <w:rFonts w:ascii="Cambria" w:hAnsi="Cambria" w:cs="Cambria"/>
                <w:b/>
                <w:sz w:val="12"/>
                <w:szCs w:val="12"/>
                <w:lang w:val="en-US"/>
              </w:rPr>
              <w:t>http://creativecommons.org/licenses/by-nc-sa/3.0/</w:t>
            </w:r>
          </w:hyperlink>
        </w:p>
      </w:tc>
      <w:tc>
        <w:tcPr>
          <w:tcW w:w="625" w:type="dxa"/>
          <w:shd w:val="clear" w:color="auto" w:fill="auto"/>
          <w:vAlign w:val="center"/>
        </w:tcPr>
        <w:p w:rsidR="001154CC" w:rsidRPr="003A5E35" w:rsidRDefault="001154CC" w:rsidP="001154CC">
          <w:pPr>
            <w:pStyle w:val="folio"/>
            <w:pBdr>
              <w:top w:val="none" w:sz="0" w:space="0" w:color="auto"/>
            </w:pBdr>
            <w:tabs>
              <w:tab w:val="clear" w:pos="6480"/>
              <w:tab w:val="clear" w:pos="10080"/>
            </w:tabs>
            <w:jc w:val="center"/>
            <w:rPr>
              <w:rFonts w:ascii="Calibri" w:hAnsi="Calibri" w:cs="Calibri"/>
              <w:b/>
              <w:sz w:val="14"/>
              <w:lang w:val="en-US"/>
            </w:rPr>
          </w:pPr>
        </w:p>
      </w:tc>
      <w:tc>
        <w:tcPr>
          <w:tcW w:w="4325" w:type="dxa"/>
          <w:shd w:val="clear" w:color="auto" w:fill="auto"/>
          <w:vAlign w:val="bottom"/>
        </w:tcPr>
        <w:p w:rsidR="001154CC" w:rsidRPr="003A5E35" w:rsidRDefault="006E130A" w:rsidP="001154CC">
          <w:pPr>
            <w:pStyle w:val="folio"/>
            <w:pBdr>
              <w:top w:val="none" w:sz="0" w:space="0" w:color="auto"/>
            </w:pBdr>
            <w:tabs>
              <w:tab w:val="clear" w:pos="6480"/>
              <w:tab w:val="clear" w:pos="10080"/>
            </w:tabs>
            <w:spacing w:before="20"/>
            <w:ind w:right="-103"/>
            <w:jc w:val="right"/>
            <w:rPr>
              <w:rFonts w:ascii="Calibri" w:hAnsi="Calibri" w:cs="Calibri"/>
              <w:b/>
              <w:sz w:val="12"/>
              <w:szCs w:val="12"/>
              <w:lang w:val="en-US"/>
            </w:rPr>
          </w:pPr>
          <w:r>
            <w:rPr>
              <w:rFonts w:ascii="Calibri" w:hAnsi="Calibri" w:cs="Calibri"/>
              <w:b/>
              <w:noProof/>
              <w:sz w:val="12"/>
              <w:szCs w:val="1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PCG-CC-NY.png" style="width:133.5pt;height:50.25pt;visibility:visible">
                <v:imagedata r:id="rId2" o:title="PCG-CC-NY"/>
              </v:shape>
            </w:pict>
          </w:r>
        </w:p>
      </w:tc>
    </w:tr>
  </w:tbl>
  <w:p w:rsidR="001154CC" w:rsidRPr="002C48B4" w:rsidRDefault="001154CC" w:rsidP="001154CC">
    <w:pPr>
      <w:pStyle w:val="FooterTex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CC" w:rsidRDefault="001154CC" w:rsidP="001154CC">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rsidR="001154CC" w:rsidRDefault="001154CC" w:rsidP="001154CC">
    <w:pPr>
      <w:pStyle w:val="Footer"/>
    </w:pPr>
  </w:p>
  <w:p w:rsidR="001154CC" w:rsidRDefault="001154CC" w:rsidP="001154CC"/>
  <w:p w:rsidR="001154CC" w:rsidRDefault="001154CC" w:rsidP="001154C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CC" w:rsidRPr="00563CB8" w:rsidRDefault="001154CC" w:rsidP="001154CC">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1154CC">
      <w:trPr>
        <w:trHeight w:val="705"/>
      </w:trPr>
      <w:tc>
        <w:tcPr>
          <w:tcW w:w="4609" w:type="dxa"/>
          <w:shd w:val="clear" w:color="auto" w:fill="auto"/>
          <w:vAlign w:val="center"/>
        </w:tcPr>
        <w:p w:rsidR="001154CC" w:rsidRPr="003A5E35" w:rsidRDefault="001154CC" w:rsidP="001154CC">
          <w:pPr>
            <w:pStyle w:val="FooterText"/>
            <w:rPr>
              <w:rFonts w:cs="Calibri"/>
            </w:rPr>
          </w:pPr>
          <w:r w:rsidRPr="003A5E35">
            <w:rPr>
              <w:rFonts w:cs="Calibri"/>
            </w:rPr>
            <w:t>File:</w:t>
          </w:r>
          <w:r w:rsidRPr="003A5E35">
            <w:rPr>
              <w:rFonts w:cs="Calibri"/>
              <w:b w:val="0"/>
            </w:rPr>
            <w:t xml:space="preserve"> 12.2.2 Lesson 11 </w:t>
          </w:r>
          <w:r w:rsidRPr="003A5E35">
            <w:rPr>
              <w:rFonts w:cs="Calibri"/>
            </w:rPr>
            <w:t>Date:</w:t>
          </w:r>
          <w:r w:rsidR="0003687D">
            <w:rPr>
              <w:rFonts w:cs="Calibri"/>
              <w:b w:val="0"/>
            </w:rPr>
            <w:t xml:space="preserve"> 2</w:t>
          </w:r>
          <w:r w:rsidRPr="003A5E35">
            <w:rPr>
              <w:rFonts w:cs="Calibri"/>
              <w:b w:val="0"/>
            </w:rPr>
            <w:t>/</w:t>
          </w:r>
          <w:r w:rsidR="0021215B">
            <w:rPr>
              <w:rFonts w:cs="Calibri"/>
              <w:b w:val="0"/>
            </w:rPr>
            <w:t>13</w:t>
          </w:r>
          <w:r w:rsidRPr="003A5E35">
            <w:rPr>
              <w:rFonts w:cs="Calibri"/>
              <w:b w:val="0"/>
            </w:rPr>
            <w:t xml:space="preserve">/15 </w:t>
          </w:r>
          <w:r w:rsidRPr="003A5E35">
            <w:rPr>
              <w:rFonts w:cs="Calibri"/>
            </w:rPr>
            <w:t>Classroom Use:</w:t>
          </w:r>
          <w:r w:rsidR="0003687D">
            <w:rPr>
              <w:rFonts w:cs="Calibri"/>
              <w:b w:val="0"/>
            </w:rPr>
            <w:t xml:space="preserve"> Starting 2</w:t>
          </w:r>
          <w:r w:rsidRPr="003A5E35">
            <w:rPr>
              <w:rFonts w:cs="Calibri"/>
              <w:b w:val="0"/>
            </w:rPr>
            <w:t>/2015</w:t>
          </w:r>
        </w:p>
        <w:p w:rsidR="001154CC" w:rsidRPr="003A5E35" w:rsidRDefault="001154CC" w:rsidP="001154CC">
          <w:pPr>
            <w:pStyle w:val="FooterText"/>
            <w:rPr>
              <w:rFonts w:cs="Calibri"/>
              <w:b w:val="0"/>
              <w:i/>
              <w:sz w:val="12"/>
            </w:rPr>
          </w:pPr>
          <w:r w:rsidRPr="003A5E35">
            <w:rPr>
              <w:rFonts w:cs="Calibri"/>
              <w:b w:val="0"/>
              <w:sz w:val="12"/>
            </w:rPr>
            <w:t>© 2015 Public Consulting Group.</w:t>
          </w:r>
          <w:r w:rsidRPr="003A5E35">
            <w:rPr>
              <w:rFonts w:cs="Calibri"/>
              <w:b w:val="0"/>
              <w:i/>
              <w:sz w:val="12"/>
            </w:rPr>
            <w:t xml:space="preserve"> This work is licensed under a </w:t>
          </w:r>
        </w:p>
        <w:p w:rsidR="001154CC" w:rsidRPr="003A5E35" w:rsidRDefault="001154CC" w:rsidP="001154CC">
          <w:pPr>
            <w:pStyle w:val="FooterText"/>
            <w:rPr>
              <w:rFonts w:cs="Calibri"/>
              <w:b w:val="0"/>
              <w:i/>
            </w:rPr>
          </w:pPr>
          <w:r w:rsidRPr="003A5E35">
            <w:rPr>
              <w:rFonts w:cs="Calibri"/>
              <w:b w:val="0"/>
              <w:i/>
              <w:sz w:val="12"/>
            </w:rPr>
            <w:t>Creative Commons Attribution-NonCommercial-ShareAlike 3.0 Unported License</w:t>
          </w:r>
        </w:p>
        <w:p w:rsidR="001154CC" w:rsidRPr="003A5E35" w:rsidRDefault="006E130A" w:rsidP="001154CC">
          <w:pPr>
            <w:pStyle w:val="FooterText"/>
            <w:rPr>
              <w:rFonts w:cs="Calibri"/>
            </w:rPr>
          </w:pPr>
          <w:hyperlink r:id="rId1" w:history="1">
            <w:r w:rsidR="001154CC" w:rsidRPr="00E21C4B">
              <w:rPr>
                <w:rStyle w:val="Hyperlink"/>
                <w:rFonts w:ascii="Cambria" w:hAnsi="Cambria" w:cs="Cambria"/>
                <w:sz w:val="12"/>
                <w:szCs w:val="12"/>
              </w:rPr>
              <w:t>http://creativecommons.org/licenses/by-nc-sa/3.0/</w:t>
            </w:r>
          </w:hyperlink>
        </w:p>
      </w:tc>
      <w:tc>
        <w:tcPr>
          <w:tcW w:w="625" w:type="dxa"/>
          <w:shd w:val="clear" w:color="auto" w:fill="auto"/>
          <w:vAlign w:val="center"/>
        </w:tcPr>
        <w:p w:rsidR="001154CC" w:rsidRPr="003A5E35" w:rsidRDefault="001154CC" w:rsidP="001154CC">
          <w:pPr>
            <w:pStyle w:val="folio"/>
            <w:pBdr>
              <w:top w:val="none" w:sz="0" w:space="0" w:color="auto"/>
            </w:pBdr>
            <w:tabs>
              <w:tab w:val="clear" w:pos="6480"/>
              <w:tab w:val="clear" w:pos="10080"/>
            </w:tabs>
            <w:jc w:val="center"/>
            <w:rPr>
              <w:rFonts w:ascii="Calibri" w:hAnsi="Calibri" w:cs="Calibri"/>
              <w:b/>
              <w:sz w:val="14"/>
              <w:lang w:val="en-US"/>
            </w:rPr>
          </w:pPr>
          <w:r w:rsidRPr="003A5E35">
            <w:rPr>
              <w:rFonts w:ascii="Calibri" w:hAnsi="Calibri" w:cs="Calibri"/>
              <w:b/>
              <w:color w:val="1F4E79"/>
              <w:sz w:val="28"/>
              <w:lang w:val="en-US"/>
            </w:rPr>
            <w:fldChar w:fldCharType="begin"/>
          </w:r>
          <w:r w:rsidRPr="003A5E35">
            <w:rPr>
              <w:rFonts w:ascii="Calibri" w:hAnsi="Calibri" w:cs="Calibri"/>
              <w:b/>
              <w:color w:val="1F4E79"/>
              <w:sz w:val="28"/>
              <w:lang w:val="en-US"/>
            </w:rPr>
            <w:instrText>PAGE</w:instrText>
          </w:r>
          <w:r w:rsidRPr="003A5E35">
            <w:rPr>
              <w:rFonts w:ascii="Calibri" w:hAnsi="Calibri" w:cs="Calibri"/>
              <w:b/>
              <w:color w:val="1F4E79"/>
              <w:sz w:val="28"/>
              <w:lang w:val="en-US"/>
            </w:rPr>
            <w:fldChar w:fldCharType="separate"/>
          </w:r>
          <w:r w:rsidR="0083553C">
            <w:rPr>
              <w:rFonts w:ascii="Calibri" w:hAnsi="Calibri" w:cs="Calibri"/>
              <w:b/>
              <w:noProof/>
              <w:color w:val="1F4E79"/>
              <w:sz w:val="28"/>
              <w:lang w:val="en-US"/>
            </w:rPr>
            <w:t>15</w:t>
          </w:r>
          <w:r w:rsidRPr="003A5E35">
            <w:rPr>
              <w:rFonts w:ascii="Calibri" w:hAnsi="Calibri" w:cs="Calibri"/>
              <w:b/>
              <w:color w:val="1F4E79"/>
              <w:sz w:val="28"/>
              <w:lang w:val="en-US"/>
            </w:rPr>
            <w:fldChar w:fldCharType="end"/>
          </w:r>
        </w:p>
      </w:tc>
      <w:tc>
        <w:tcPr>
          <w:tcW w:w="4325" w:type="dxa"/>
          <w:shd w:val="clear" w:color="auto" w:fill="auto"/>
          <w:vAlign w:val="bottom"/>
        </w:tcPr>
        <w:p w:rsidR="001154CC" w:rsidRPr="003A5E35" w:rsidRDefault="0083553C" w:rsidP="001154CC">
          <w:pPr>
            <w:pStyle w:val="folio"/>
            <w:pBdr>
              <w:top w:val="none" w:sz="0" w:space="0" w:color="auto"/>
            </w:pBdr>
            <w:tabs>
              <w:tab w:val="clear" w:pos="6480"/>
              <w:tab w:val="clear" w:pos="10080"/>
            </w:tabs>
            <w:spacing w:before="20"/>
            <w:ind w:right="-103"/>
            <w:jc w:val="right"/>
            <w:rPr>
              <w:rFonts w:ascii="Calibri" w:hAnsi="Calibri" w:cs="Calibri"/>
              <w:b/>
              <w:sz w:val="12"/>
              <w:szCs w:val="12"/>
              <w:lang w:val="en-US"/>
            </w:rPr>
          </w:pPr>
          <w:r>
            <w:rPr>
              <w:rFonts w:ascii="Calibri" w:hAnsi="Calibri" w:cs="Calibri"/>
              <w:b/>
              <w:noProof/>
              <w:sz w:val="12"/>
              <w:szCs w:val="1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PCG-CC-NY.png" style="width:133.5pt;height:50.25pt;visibility:visible">
                <v:imagedata r:id="rId2" o:title="PCG-CC-NY"/>
              </v:shape>
            </w:pict>
          </w:r>
        </w:p>
      </w:tc>
    </w:tr>
  </w:tbl>
  <w:p w:rsidR="001154CC" w:rsidRPr="0039525B" w:rsidRDefault="001154CC" w:rsidP="001154CC">
    <w:pPr>
      <w:pStyle w:val="Footer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30A" w:rsidRDefault="006E130A" w:rsidP="001154CC">
      <w:pPr>
        <w:spacing w:before="0" w:after="0" w:line="240" w:lineRule="auto"/>
      </w:pPr>
      <w:r>
        <w:separator/>
      </w:r>
    </w:p>
  </w:footnote>
  <w:footnote w:type="continuationSeparator" w:id="0">
    <w:p w:rsidR="006E130A" w:rsidRDefault="006E130A" w:rsidP="001154C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1154CC" w:rsidRPr="00563CB8">
      <w:tc>
        <w:tcPr>
          <w:tcW w:w="3708" w:type="dxa"/>
          <w:shd w:val="clear" w:color="auto" w:fill="auto"/>
        </w:tcPr>
        <w:p w:rsidR="001154CC" w:rsidRPr="00563CB8" w:rsidRDefault="001154CC" w:rsidP="001154CC">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1154CC" w:rsidRPr="00563CB8" w:rsidRDefault="001154CC" w:rsidP="001154CC">
          <w:pPr>
            <w:jc w:val="center"/>
          </w:pPr>
          <w:r w:rsidRPr="00563CB8">
            <w:t>D R A F T</w:t>
          </w:r>
        </w:p>
      </w:tc>
      <w:tc>
        <w:tcPr>
          <w:tcW w:w="3438" w:type="dxa"/>
          <w:shd w:val="clear" w:color="auto" w:fill="auto"/>
        </w:tcPr>
        <w:p w:rsidR="001154CC" w:rsidRPr="00E946A0" w:rsidRDefault="001154CC" w:rsidP="001154CC">
          <w:pPr>
            <w:pStyle w:val="PageHeader"/>
            <w:jc w:val="right"/>
            <w:rPr>
              <w:b w:val="0"/>
            </w:rPr>
          </w:pPr>
          <w:r>
            <w:rPr>
              <w:b w:val="0"/>
            </w:rPr>
            <w:t>Grade 12 • Module 2</w:t>
          </w:r>
          <w:r w:rsidRPr="00E946A0">
            <w:rPr>
              <w:b w:val="0"/>
            </w:rPr>
            <w:t xml:space="preserve"> • Unit </w:t>
          </w:r>
          <w:r>
            <w:rPr>
              <w:b w:val="0"/>
            </w:rPr>
            <w:t>2</w:t>
          </w:r>
          <w:r w:rsidRPr="00E946A0">
            <w:rPr>
              <w:b w:val="0"/>
            </w:rPr>
            <w:t xml:space="preserve"> • Lesson </w:t>
          </w:r>
          <w:r>
            <w:rPr>
              <w:b w:val="0"/>
            </w:rPr>
            <w:t>11</w:t>
          </w:r>
        </w:p>
      </w:tc>
    </w:tr>
  </w:tbl>
  <w:p w:rsidR="001154CC" w:rsidRDefault="001154CC" w:rsidP="001154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548"/>
      <w:gridCol w:w="3636"/>
      <w:gridCol w:w="5144"/>
    </w:tblGrid>
    <w:tr w:rsidR="001154CC" w:rsidRPr="00563CB8">
      <w:tc>
        <w:tcPr>
          <w:tcW w:w="3708" w:type="dxa"/>
          <w:shd w:val="clear" w:color="auto" w:fill="auto"/>
        </w:tcPr>
        <w:p w:rsidR="001154CC" w:rsidRPr="003A5E35" w:rsidRDefault="001154CC" w:rsidP="001154CC">
          <w:pPr>
            <w:pStyle w:val="PageHeader0"/>
            <w:spacing w:before="120" w:after="0"/>
            <w:rPr>
              <w:lang w:val="en-US"/>
            </w:rPr>
          </w:pPr>
          <w:r w:rsidRPr="003A5E35">
            <w:rPr>
              <w:lang w:val="en-US"/>
            </w:rPr>
            <w:t>NYS Common Core ELA &amp; Literacy Curriculum</w:t>
          </w:r>
        </w:p>
      </w:tc>
      <w:tc>
        <w:tcPr>
          <w:tcW w:w="2430" w:type="dxa"/>
          <w:shd w:val="clear" w:color="auto" w:fill="auto"/>
          <w:vAlign w:val="center"/>
        </w:tcPr>
        <w:p w:rsidR="001154CC" w:rsidRPr="002379C1" w:rsidRDefault="001154CC" w:rsidP="001154CC">
          <w:pPr>
            <w:jc w:val="center"/>
          </w:pPr>
          <w:r w:rsidRPr="002379C1">
            <w:t>D R A F T</w:t>
          </w:r>
        </w:p>
      </w:tc>
      <w:tc>
        <w:tcPr>
          <w:tcW w:w="3438" w:type="dxa"/>
          <w:shd w:val="clear" w:color="auto" w:fill="auto"/>
        </w:tcPr>
        <w:p w:rsidR="001154CC" w:rsidRDefault="001154CC" w:rsidP="001154CC">
          <w:pPr>
            <w:spacing w:before="120" w:after="0"/>
            <w:jc w:val="right"/>
            <w:rPr>
              <w:sz w:val="18"/>
            </w:rPr>
          </w:pPr>
          <w:r w:rsidRPr="004E5C38">
            <w:rPr>
              <w:sz w:val="18"/>
            </w:rPr>
            <w:t xml:space="preserve">Grade </w:t>
          </w:r>
          <w:r w:rsidR="00B44156">
            <w:rPr>
              <w:sz w:val="18"/>
            </w:rPr>
            <w:t>12</w:t>
          </w:r>
          <w:r w:rsidRPr="004E5C38">
            <w:rPr>
              <w:sz w:val="18"/>
            </w:rPr>
            <w:t xml:space="preserve"> • Module </w:t>
          </w:r>
          <w:r w:rsidR="00B44156">
            <w:rPr>
              <w:sz w:val="18"/>
            </w:rPr>
            <w:t>2</w:t>
          </w:r>
          <w:r>
            <w:rPr>
              <w:sz w:val="18"/>
            </w:rPr>
            <w:t xml:space="preserve"> • Unit </w:t>
          </w:r>
          <w:r w:rsidR="00B44156">
            <w:rPr>
              <w:sz w:val="18"/>
            </w:rPr>
            <w:t>2</w:t>
          </w:r>
          <w:r w:rsidRPr="004E5C38">
            <w:rPr>
              <w:sz w:val="18"/>
            </w:rPr>
            <w:t xml:space="preserve"> • Lesson </w:t>
          </w:r>
          <w:r w:rsidR="00B44156">
            <w:rPr>
              <w:sz w:val="18"/>
            </w:rPr>
            <w:t>11</w:t>
          </w:r>
        </w:p>
        <w:p w:rsidR="001154CC" w:rsidRPr="004E5C38" w:rsidRDefault="001154CC" w:rsidP="001154CC">
          <w:pPr>
            <w:spacing w:before="120" w:after="0"/>
            <w:jc w:val="right"/>
          </w:pPr>
        </w:p>
      </w:tc>
    </w:tr>
  </w:tbl>
  <w:p w:rsidR="001154CC" w:rsidRDefault="001154CC" w:rsidP="001154C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1154CC" w:rsidRPr="00563CB8">
      <w:tc>
        <w:tcPr>
          <w:tcW w:w="3708" w:type="dxa"/>
          <w:shd w:val="clear" w:color="auto" w:fill="auto"/>
        </w:tcPr>
        <w:p w:rsidR="001154CC" w:rsidRPr="00563CB8" w:rsidRDefault="001154CC" w:rsidP="001154CC">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1154CC" w:rsidRPr="00563CB8" w:rsidRDefault="001154CC" w:rsidP="001154CC">
          <w:pPr>
            <w:jc w:val="center"/>
          </w:pPr>
          <w:r w:rsidRPr="00563CB8">
            <w:t>D R A F T</w:t>
          </w:r>
        </w:p>
      </w:tc>
      <w:tc>
        <w:tcPr>
          <w:tcW w:w="3438" w:type="dxa"/>
          <w:shd w:val="clear" w:color="auto" w:fill="auto"/>
        </w:tcPr>
        <w:p w:rsidR="001154CC" w:rsidRPr="00E946A0" w:rsidRDefault="001154CC" w:rsidP="0003687D">
          <w:pPr>
            <w:pStyle w:val="PageHeader"/>
            <w:jc w:val="right"/>
            <w:rPr>
              <w:b w:val="0"/>
            </w:rPr>
          </w:pPr>
          <w:r>
            <w:rPr>
              <w:b w:val="0"/>
            </w:rPr>
            <w:t xml:space="preserve">Grade </w:t>
          </w:r>
          <w:r w:rsidR="0003687D">
            <w:rPr>
              <w:b w:val="0"/>
            </w:rPr>
            <w:t>12</w:t>
          </w:r>
          <w:r>
            <w:rPr>
              <w:b w:val="0"/>
            </w:rPr>
            <w:t xml:space="preserve"> • Module </w:t>
          </w:r>
          <w:r w:rsidR="0003687D">
            <w:rPr>
              <w:b w:val="0"/>
            </w:rPr>
            <w:t xml:space="preserve">2 </w:t>
          </w:r>
          <w:r>
            <w:rPr>
              <w:b w:val="0"/>
            </w:rPr>
            <w:t xml:space="preserve">• Unit </w:t>
          </w:r>
          <w:r w:rsidR="0003687D">
            <w:rPr>
              <w:b w:val="0"/>
            </w:rPr>
            <w:t>2</w:t>
          </w:r>
          <w:r>
            <w:rPr>
              <w:b w:val="0"/>
            </w:rPr>
            <w:t xml:space="preserve"> • Lesson </w:t>
          </w:r>
          <w:r w:rsidR="0003687D">
            <w:rPr>
              <w:b w:val="0"/>
            </w:rPr>
            <w:t>11</w:t>
          </w:r>
        </w:p>
      </w:tc>
    </w:tr>
  </w:tbl>
  <w:p w:rsidR="001154CC" w:rsidRDefault="001154CC" w:rsidP="001154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6D67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E82C12"/>
    <w:multiLevelType w:val="hybridMultilevel"/>
    <w:tmpl w:val="CB8438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0"/>
  </w:num>
  <w:num w:numId="3">
    <w:abstractNumId w:val="10"/>
  </w:num>
  <w:num w:numId="4">
    <w:abstractNumId w:val="8"/>
  </w:num>
  <w:num w:numId="5">
    <w:abstractNumId w:val="3"/>
  </w:num>
  <w:num w:numId="6">
    <w:abstractNumId w:val="1"/>
  </w:num>
  <w:num w:numId="7">
    <w:abstractNumId w:val="9"/>
  </w:num>
  <w:num w:numId="8">
    <w:abstractNumId w:val="4"/>
    <w:lvlOverride w:ilvl="0">
      <w:startOverride w:val="1"/>
    </w:lvlOverride>
  </w:num>
  <w:num w:numId="9">
    <w:abstractNumId w:val="2"/>
  </w:num>
  <w:num w:numId="10">
    <w:abstractNumId w:val="11"/>
  </w:num>
  <w:num w:numId="11">
    <w:abstractNumId w:val="4"/>
  </w:num>
  <w:num w:numId="12">
    <w:abstractNumId w:val="11"/>
    <w:lvlOverride w:ilvl="0">
      <w:startOverride w:val="3"/>
    </w:lvlOverride>
  </w:num>
  <w:num w:numId="13">
    <w:abstractNumId w:val="11"/>
    <w:lvlOverride w:ilvl="0">
      <w:startOverride w:val="6"/>
    </w:lvlOverride>
  </w:num>
  <w:num w:numId="14">
    <w:abstractNumId w:val="5"/>
  </w:num>
  <w:num w:numId="15">
    <w:abstractNumId w:val="7"/>
  </w:num>
  <w:num w:numId="16">
    <w:abstractNumId w:val="11"/>
    <w:lvlOverride w:ilvl="0">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887"/>
    <w:rsid w:val="0003687D"/>
    <w:rsid w:val="001154CC"/>
    <w:rsid w:val="0021215B"/>
    <w:rsid w:val="00391887"/>
    <w:rsid w:val="0042770B"/>
    <w:rsid w:val="00591748"/>
    <w:rsid w:val="006E130A"/>
    <w:rsid w:val="007361A4"/>
    <w:rsid w:val="00833FD8"/>
    <w:rsid w:val="0083553C"/>
    <w:rsid w:val="00B44156"/>
    <w:rsid w:val="00C10BD5"/>
    <w:rsid w:val="00F80F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264168E2-D2F4-4661-9AFA-848D00C1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391887"/>
    <w:pPr>
      <w:spacing w:before="60" w:after="180" w:line="276" w:lineRule="auto"/>
    </w:pPr>
    <w:rPr>
      <w:rFonts w:ascii="Calibri" w:eastAsia="Calibri" w:hAnsi="Calibri"/>
      <w:sz w:val="22"/>
      <w:szCs w:val="22"/>
    </w:rPr>
  </w:style>
  <w:style w:type="paragraph" w:styleId="Heading1">
    <w:name w:val="heading 1"/>
    <w:aliases w:val="*Headers"/>
    <w:basedOn w:val="Normal"/>
    <w:next w:val="Normal"/>
    <w:link w:val="Heading1Char"/>
    <w:uiPriority w:val="9"/>
    <w:qFormat/>
    <w:rsid w:val="00B44156"/>
    <w:pPr>
      <w:keepNext/>
      <w:keepLines/>
      <w:spacing w:before="480" w:after="120"/>
      <w:outlineLvl w:val="0"/>
    </w:pPr>
    <w:rPr>
      <w:b/>
      <w:bCs/>
      <w:color w:val="365F91"/>
      <w:sz w:val="32"/>
      <w:szCs w:val="28"/>
      <w:lang w:val="x-none"/>
    </w:rPr>
  </w:style>
  <w:style w:type="paragraph" w:styleId="Heading2">
    <w:name w:val="heading 2"/>
    <w:basedOn w:val="Normal"/>
    <w:next w:val="Normal"/>
    <w:link w:val="Heading2Char"/>
    <w:uiPriority w:val="9"/>
    <w:qFormat/>
    <w:rsid w:val="00B911C5"/>
    <w:pPr>
      <w:keepNext/>
      <w:keepLines/>
      <w:spacing w:before="360"/>
      <w:outlineLvl w:val="1"/>
    </w:pPr>
    <w:rPr>
      <w:rFonts w:ascii="Cambria" w:hAnsi="Cambria"/>
      <w:b/>
      <w:bCs/>
      <w:i/>
      <w:color w:val="4F81BD"/>
      <w:sz w:val="26"/>
      <w:szCs w:val="26"/>
      <w:lang w:val="x-none"/>
    </w:rPr>
  </w:style>
  <w:style w:type="paragraph" w:styleId="Heading3">
    <w:name w:val="heading 3"/>
    <w:basedOn w:val="Normal"/>
    <w:next w:val="Normal"/>
    <w:link w:val="Heading3Char"/>
    <w:uiPriority w:val="9"/>
    <w:qFormat/>
    <w:rsid w:val="00B911C5"/>
    <w:pPr>
      <w:keepNext/>
      <w:keepLines/>
      <w:pBdr>
        <w:top w:val="dotted" w:sz="4" w:space="1" w:color="808080"/>
      </w:pBdr>
      <w:spacing w:before="200" w:after="120"/>
      <w:outlineLvl w:val="2"/>
    </w:pPr>
    <w:rPr>
      <w:rFonts w:ascii="Cambria" w:hAnsi="Cambria"/>
      <w:b/>
      <w:bCs/>
      <w:i/>
      <w:color w:val="7F7F7F"/>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
    <w:name w:val="*BR*"/>
    <w:link w:val="BRChar"/>
    <w:qFormat/>
    <w:rsid w:val="00B911C5"/>
    <w:pPr>
      <w:pBdr>
        <w:bottom w:val="single" w:sz="12" w:space="1" w:color="7F7F7F"/>
      </w:pBdr>
      <w:spacing w:after="360"/>
      <w:ind w:left="2880" w:right="2880"/>
    </w:pPr>
    <w:rPr>
      <w:rFonts w:ascii="Calibri" w:eastAsia="Calibri" w:hAnsi="Calibri"/>
      <w:sz w:val="18"/>
      <w:szCs w:val="22"/>
    </w:rPr>
  </w:style>
  <w:style w:type="character" w:customStyle="1" w:styleId="BRChar">
    <w:name w:val="*BR* Char"/>
    <w:link w:val="BR"/>
    <w:rsid w:val="00B911C5"/>
    <w:rPr>
      <w:rFonts w:ascii="Calibri" w:eastAsia="Calibri" w:hAnsi="Calibri"/>
      <w:sz w:val="18"/>
      <w:szCs w:val="22"/>
      <w:lang w:eastAsia="en-US" w:bidi="ar-SA"/>
    </w:rPr>
  </w:style>
  <w:style w:type="paragraph" w:customStyle="1" w:styleId="BulletedList">
    <w:name w:val="*Bulleted List"/>
    <w:link w:val="BulletedListChar"/>
    <w:qFormat/>
    <w:rsid w:val="00F83F85"/>
    <w:pPr>
      <w:numPr>
        <w:numId w:val="1"/>
      </w:numPr>
      <w:spacing w:before="60" w:after="60" w:line="276" w:lineRule="auto"/>
      <w:ind w:left="360"/>
    </w:pPr>
    <w:rPr>
      <w:rFonts w:ascii="Calibri" w:eastAsia="Calibri" w:hAnsi="Calibri"/>
      <w:sz w:val="22"/>
      <w:szCs w:val="22"/>
    </w:rPr>
  </w:style>
  <w:style w:type="character" w:customStyle="1" w:styleId="BulletedListChar">
    <w:name w:val="*Bulleted List Char"/>
    <w:link w:val="BulletedList"/>
    <w:rsid w:val="00F83F85"/>
    <w:rPr>
      <w:rFonts w:ascii="Calibri" w:eastAsia="Calibri" w:hAnsi="Calibri"/>
      <w:sz w:val="22"/>
      <w:szCs w:val="22"/>
      <w:lang w:bidi="ar-SA"/>
    </w:rPr>
  </w:style>
  <w:style w:type="paragraph" w:customStyle="1" w:styleId="Q">
    <w:name w:val="*Q*"/>
    <w:link w:val="QChar"/>
    <w:qFormat/>
    <w:rsid w:val="00B911C5"/>
    <w:pPr>
      <w:spacing w:before="240" w:line="276" w:lineRule="auto"/>
    </w:pPr>
    <w:rPr>
      <w:rFonts w:ascii="Calibri" w:eastAsia="Calibri" w:hAnsi="Calibri"/>
      <w:b/>
      <w:sz w:val="22"/>
      <w:szCs w:val="22"/>
    </w:rPr>
  </w:style>
  <w:style w:type="character" w:customStyle="1" w:styleId="QChar">
    <w:name w:val="*Q* Char"/>
    <w:link w:val="Q"/>
    <w:rsid w:val="00B911C5"/>
    <w:rPr>
      <w:rFonts w:ascii="Calibri" w:eastAsia="Calibri" w:hAnsi="Calibri"/>
      <w:b/>
      <w:sz w:val="22"/>
      <w:szCs w:val="22"/>
      <w:lang w:eastAsia="en-US" w:bidi="ar-SA"/>
    </w:rPr>
  </w:style>
  <w:style w:type="paragraph" w:customStyle="1" w:styleId="DCwithQ">
    <w:name w:val="*DC* with *Q*"/>
    <w:basedOn w:val="Q"/>
    <w:qFormat/>
    <w:rsid w:val="00B911C5"/>
    <w:pPr>
      <w:ind w:left="360"/>
    </w:pPr>
    <w:rPr>
      <w:color w:val="4F81BD"/>
    </w:rPr>
  </w:style>
  <w:style w:type="paragraph" w:customStyle="1" w:styleId="SA">
    <w:name w:val="*SA*"/>
    <w:link w:val="SAChar"/>
    <w:qFormat/>
    <w:rsid w:val="00B911C5"/>
    <w:pPr>
      <w:numPr>
        <w:numId w:val="3"/>
      </w:numPr>
      <w:spacing w:before="120" w:line="276" w:lineRule="auto"/>
    </w:pPr>
    <w:rPr>
      <w:rFonts w:ascii="Calibri" w:eastAsia="Calibri" w:hAnsi="Calibri"/>
      <w:sz w:val="22"/>
      <w:szCs w:val="22"/>
    </w:rPr>
  </w:style>
  <w:style w:type="character" w:customStyle="1" w:styleId="SAChar">
    <w:name w:val="*SA* Char"/>
    <w:link w:val="SA"/>
    <w:rsid w:val="00B911C5"/>
    <w:rPr>
      <w:rFonts w:ascii="Calibri" w:eastAsia="Calibri" w:hAnsi="Calibri"/>
      <w:sz w:val="22"/>
      <w:szCs w:val="22"/>
      <w:lang w:eastAsia="en-US" w:bidi="ar-SA"/>
    </w:rPr>
  </w:style>
  <w:style w:type="paragraph" w:customStyle="1" w:styleId="DCwithSA">
    <w:name w:val="*DC* with *SA*"/>
    <w:basedOn w:val="SA"/>
    <w:qFormat/>
    <w:rsid w:val="00F83F85"/>
    <w:pPr>
      <w:numPr>
        <w:numId w:val="0"/>
      </w:numPr>
      <w:ind w:left="720" w:hanging="360"/>
    </w:pPr>
    <w:rPr>
      <w:color w:val="4F81BD"/>
    </w:rPr>
  </w:style>
  <w:style w:type="paragraph" w:customStyle="1" w:styleId="SR">
    <w:name w:val="*SR*"/>
    <w:link w:val="SRChar"/>
    <w:qFormat/>
    <w:rsid w:val="00B911C5"/>
    <w:pPr>
      <w:numPr>
        <w:numId w:val="4"/>
      </w:numPr>
      <w:spacing w:before="120" w:line="276" w:lineRule="auto"/>
    </w:pPr>
    <w:rPr>
      <w:rFonts w:ascii="Calibri" w:eastAsia="Calibri" w:hAnsi="Calibri"/>
      <w:sz w:val="22"/>
      <w:szCs w:val="22"/>
    </w:rPr>
  </w:style>
  <w:style w:type="character" w:customStyle="1" w:styleId="SRChar">
    <w:name w:val="*SR* Char"/>
    <w:link w:val="SR"/>
    <w:rsid w:val="00B911C5"/>
    <w:rPr>
      <w:rFonts w:ascii="Calibri" w:eastAsia="Calibri" w:hAnsi="Calibri"/>
      <w:sz w:val="22"/>
      <w:szCs w:val="22"/>
      <w:lang w:eastAsia="en-US" w:bidi="ar-SA"/>
    </w:rPr>
  </w:style>
  <w:style w:type="paragraph" w:customStyle="1" w:styleId="DCwithSR">
    <w:name w:val="*DC* with *SR*"/>
    <w:basedOn w:val="SR"/>
    <w:qFormat/>
    <w:rsid w:val="00F83F85"/>
    <w:pPr>
      <w:numPr>
        <w:numId w:val="5"/>
      </w:numPr>
      <w:ind w:left="720"/>
    </w:pPr>
    <w:rPr>
      <w:color w:val="4F81BD"/>
    </w:rPr>
  </w:style>
  <w:style w:type="paragraph" w:customStyle="1" w:styleId="ExcerptAuthor">
    <w:name w:val="*ExcerptAuthor"/>
    <w:basedOn w:val="Normal"/>
    <w:link w:val="ExcerptAuthorChar"/>
    <w:qFormat/>
    <w:rsid w:val="00B911C5"/>
    <w:pPr>
      <w:jc w:val="center"/>
    </w:pPr>
    <w:rPr>
      <w:b/>
      <w:lang w:val="x-none"/>
    </w:rPr>
  </w:style>
  <w:style w:type="character" w:customStyle="1" w:styleId="ExcerptAuthorChar">
    <w:name w:val="*ExcerptAuthor Char"/>
    <w:link w:val="ExcerptAuthor"/>
    <w:rsid w:val="00B911C5"/>
    <w:rPr>
      <w:rFonts w:ascii="Calibri" w:eastAsia="Calibri" w:hAnsi="Calibri" w:cs="Times New Roman"/>
      <w:b/>
      <w:sz w:val="22"/>
      <w:szCs w:val="22"/>
      <w:lang w:eastAsia="en-US"/>
    </w:rPr>
  </w:style>
  <w:style w:type="paragraph" w:customStyle="1" w:styleId="ExcerptBody">
    <w:name w:val="*ExcerptBody"/>
    <w:basedOn w:val="Normal"/>
    <w:link w:val="ExcerptBodyChar"/>
    <w:qFormat/>
    <w:rsid w:val="00B911C5"/>
    <w:pPr>
      <w:spacing w:before="100" w:beforeAutospacing="1" w:after="100" w:afterAutospacing="1"/>
      <w:jc w:val="both"/>
    </w:pPr>
    <w:rPr>
      <w:rFonts w:ascii="Times New Roman" w:eastAsia="Times New Roman" w:hAnsi="Times New Roman"/>
      <w:color w:val="000000"/>
      <w:sz w:val="24"/>
      <w:szCs w:val="17"/>
      <w:lang w:val="x-none"/>
    </w:rPr>
  </w:style>
  <w:style w:type="character" w:customStyle="1" w:styleId="ExcerptBodyChar">
    <w:name w:val="*ExcerptBody Char"/>
    <w:link w:val="ExcerptBody"/>
    <w:rsid w:val="00B911C5"/>
    <w:rPr>
      <w:rFonts w:ascii="Times New Roman" w:eastAsia="Times New Roman" w:hAnsi="Times New Roman" w:cs="Times New Roman"/>
      <w:color w:val="000000"/>
      <w:sz w:val="24"/>
      <w:szCs w:val="17"/>
      <w:lang w:eastAsia="en-US"/>
    </w:rPr>
  </w:style>
  <w:style w:type="paragraph" w:customStyle="1" w:styleId="ExcerptTitle">
    <w:name w:val="*ExcerptTitle"/>
    <w:basedOn w:val="Normal"/>
    <w:link w:val="ExcerptTitleChar"/>
    <w:qFormat/>
    <w:rsid w:val="00B911C5"/>
    <w:pPr>
      <w:jc w:val="center"/>
    </w:pPr>
    <w:rPr>
      <w:b/>
      <w:smallCaps/>
      <w:sz w:val="32"/>
      <w:lang w:val="x-none"/>
    </w:rPr>
  </w:style>
  <w:style w:type="character" w:customStyle="1" w:styleId="ExcerptTitleChar">
    <w:name w:val="*ExcerptTitle Char"/>
    <w:link w:val="ExcerptTitle"/>
    <w:rsid w:val="00B911C5"/>
    <w:rPr>
      <w:rFonts w:ascii="Calibri" w:eastAsia="Calibri" w:hAnsi="Calibri" w:cs="Times New Roman"/>
      <w:b/>
      <w:smallCaps/>
      <w:sz w:val="32"/>
      <w:szCs w:val="22"/>
      <w:lang w:eastAsia="en-US"/>
    </w:rPr>
  </w:style>
  <w:style w:type="paragraph" w:customStyle="1" w:styleId="FooterText">
    <w:name w:val="*FooterText"/>
    <w:link w:val="FooterTextChar"/>
    <w:qFormat/>
    <w:rsid w:val="00B911C5"/>
    <w:pPr>
      <w:spacing w:line="200" w:lineRule="exact"/>
    </w:pPr>
    <w:rPr>
      <w:rFonts w:ascii="Calibri" w:eastAsia="Verdana" w:hAnsi="Calibri"/>
      <w:b/>
      <w:color w:val="595959"/>
      <w:sz w:val="14"/>
      <w:szCs w:val="22"/>
    </w:rPr>
  </w:style>
  <w:style w:type="character" w:customStyle="1" w:styleId="FooterTextChar">
    <w:name w:val="FooterText Char"/>
    <w:link w:val="FooterText"/>
    <w:rsid w:val="00B911C5"/>
    <w:rPr>
      <w:rFonts w:ascii="Calibri" w:eastAsia="Verdana" w:hAnsi="Calibri"/>
      <w:b/>
      <w:color w:val="595959"/>
      <w:sz w:val="14"/>
      <w:szCs w:val="22"/>
      <w:lang w:eastAsia="en-US" w:bidi="ar-SA"/>
    </w:rPr>
  </w:style>
  <w:style w:type="paragraph" w:customStyle="1" w:styleId="IN">
    <w:name w:val="*IN*"/>
    <w:link w:val="INChar"/>
    <w:qFormat/>
    <w:rsid w:val="00F83F85"/>
    <w:pPr>
      <w:numPr>
        <w:numId w:val="6"/>
      </w:numPr>
      <w:spacing w:before="120" w:after="60" w:line="276" w:lineRule="auto"/>
      <w:ind w:left="360"/>
    </w:pPr>
    <w:rPr>
      <w:rFonts w:ascii="Calibri" w:eastAsia="Calibri" w:hAnsi="Calibri"/>
      <w:color w:val="4F81BD"/>
      <w:sz w:val="22"/>
      <w:szCs w:val="22"/>
    </w:rPr>
  </w:style>
  <w:style w:type="character" w:customStyle="1" w:styleId="INChar">
    <w:name w:val="*IN* Char"/>
    <w:link w:val="IN"/>
    <w:rsid w:val="00F83F85"/>
    <w:rPr>
      <w:rFonts w:ascii="Calibri" w:eastAsia="Calibri" w:hAnsi="Calibri"/>
      <w:color w:val="4F81BD"/>
      <w:sz w:val="22"/>
      <w:szCs w:val="22"/>
      <w:lang w:bidi="ar-SA"/>
    </w:rPr>
  </w:style>
  <w:style w:type="paragraph" w:customStyle="1" w:styleId="INBullet">
    <w:name w:val="*IN* Bullet"/>
    <w:link w:val="INBulletChar"/>
    <w:qFormat/>
    <w:rsid w:val="00F83F85"/>
    <w:pPr>
      <w:numPr>
        <w:numId w:val="7"/>
      </w:numPr>
      <w:spacing w:after="60" w:line="276" w:lineRule="auto"/>
      <w:ind w:left="720"/>
    </w:pPr>
    <w:rPr>
      <w:rFonts w:ascii="Calibri" w:eastAsia="Calibri" w:hAnsi="Calibri"/>
      <w:color w:val="4F81BD"/>
      <w:sz w:val="22"/>
      <w:szCs w:val="22"/>
    </w:rPr>
  </w:style>
  <w:style w:type="character" w:customStyle="1" w:styleId="INBulletChar">
    <w:name w:val="*IN* Bullet Char"/>
    <w:link w:val="INBullet"/>
    <w:rsid w:val="00F83F85"/>
    <w:rPr>
      <w:rFonts w:ascii="Calibri" w:eastAsia="Calibri" w:hAnsi="Calibri"/>
      <w:color w:val="4F81BD"/>
      <w:sz w:val="22"/>
      <w:szCs w:val="22"/>
      <w:lang w:bidi="ar-SA"/>
    </w:rPr>
  </w:style>
  <w:style w:type="paragraph" w:customStyle="1" w:styleId="LearningSequenceHeader">
    <w:name w:val="*Learning Sequence Header"/>
    <w:next w:val="Normal"/>
    <w:link w:val="LearningSequenceHeaderChar"/>
    <w:qFormat/>
    <w:rsid w:val="00B44156"/>
    <w:pPr>
      <w:pBdr>
        <w:bottom w:val="single" w:sz="12" w:space="1" w:color="9BBB59"/>
      </w:pBdr>
      <w:tabs>
        <w:tab w:val="right" w:pos="9360"/>
      </w:tabs>
      <w:spacing w:before="480"/>
    </w:pPr>
    <w:rPr>
      <w:rFonts w:ascii="Calibri" w:eastAsia="Calibri" w:hAnsi="Calibri"/>
      <w:b/>
      <w:bCs/>
      <w:color w:val="4F81BD"/>
      <w:sz w:val="28"/>
      <w:szCs w:val="26"/>
    </w:rPr>
  </w:style>
  <w:style w:type="character" w:customStyle="1" w:styleId="LearningSequenceHeaderChar">
    <w:name w:val="*Learning Sequence Header Char"/>
    <w:link w:val="LearningSequenceHeader"/>
    <w:rsid w:val="00B44156"/>
    <w:rPr>
      <w:rFonts w:ascii="Calibri" w:eastAsia="Calibri" w:hAnsi="Calibri"/>
      <w:b/>
      <w:bCs/>
      <w:color w:val="4F81BD"/>
      <w:sz w:val="28"/>
      <w:szCs w:val="26"/>
    </w:rPr>
  </w:style>
  <w:style w:type="paragraph" w:customStyle="1" w:styleId="NumberedList">
    <w:name w:val="*Numbered List"/>
    <w:link w:val="NumberedListChar"/>
    <w:qFormat/>
    <w:rsid w:val="00B911C5"/>
    <w:pPr>
      <w:numPr>
        <w:numId w:val="8"/>
      </w:numPr>
      <w:spacing w:after="60"/>
    </w:pPr>
    <w:rPr>
      <w:rFonts w:ascii="Calibri" w:eastAsia="Calibri" w:hAnsi="Calibri"/>
      <w:sz w:val="22"/>
      <w:szCs w:val="22"/>
    </w:rPr>
  </w:style>
  <w:style w:type="character" w:customStyle="1" w:styleId="NumberedListChar">
    <w:name w:val="*Numbered List Char"/>
    <w:link w:val="NumberedList"/>
    <w:rsid w:val="00B911C5"/>
    <w:rPr>
      <w:rFonts w:ascii="Calibri" w:eastAsia="Calibri" w:hAnsi="Calibri"/>
      <w:sz w:val="22"/>
      <w:szCs w:val="22"/>
      <w:lang w:eastAsia="en-US" w:bidi="ar-SA"/>
    </w:rPr>
  </w:style>
  <w:style w:type="paragraph" w:customStyle="1" w:styleId="PageHeader">
    <w:name w:val="*PageHeader"/>
    <w:link w:val="PageHeaderChar"/>
    <w:qFormat/>
    <w:rsid w:val="00B911C5"/>
    <w:pPr>
      <w:spacing w:before="120"/>
    </w:pPr>
    <w:rPr>
      <w:rFonts w:ascii="Calibri" w:eastAsia="Calibri" w:hAnsi="Calibri"/>
      <w:b/>
      <w:sz w:val="18"/>
      <w:szCs w:val="22"/>
    </w:rPr>
  </w:style>
  <w:style w:type="character" w:customStyle="1" w:styleId="PageHeaderChar">
    <w:name w:val="*PageHeader Char"/>
    <w:link w:val="PageHeader"/>
    <w:rsid w:val="00B911C5"/>
    <w:rPr>
      <w:rFonts w:ascii="Calibri" w:eastAsia="Calibri" w:hAnsi="Calibri"/>
      <w:b/>
      <w:sz w:val="18"/>
      <w:szCs w:val="22"/>
      <w:lang w:eastAsia="en-US" w:bidi="ar-SA"/>
    </w:rPr>
  </w:style>
  <w:style w:type="paragraph" w:customStyle="1" w:styleId="SASRBullet">
    <w:name w:val="*SA/SR Bullet"/>
    <w:basedOn w:val="Normal"/>
    <w:link w:val="SASRBulletChar"/>
    <w:qFormat/>
    <w:rsid w:val="00F83F85"/>
    <w:pPr>
      <w:numPr>
        <w:ilvl w:val="1"/>
        <w:numId w:val="9"/>
      </w:numPr>
      <w:spacing w:before="120"/>
      <w:ind w:left="1080"/>
      <w:contextualSpacing/>
    </w:pPr>
    <w:rPr>
      <w:lang w:val="x-none" w:eastAsia="x-none"/>
    </w:rPr>
  </w:style>
  <w:style w:type="character" w:customStyle="1" w:styleId="SASRBulletChar">
    <w:name w:val="*SA/SR Bullet Char"/>
    <w:link w:val="SASRBullet"/>
    <w:rsid w:val="00F83F85"/>
    <w:rPr>
      <w:rFonts w:ascii="Calibri" w:eastAsia="Calibri" w:hAnsi="Calibri"/>
      <w:sz w:val="22"/>
      <w:szCs w:val="22"/>
    </w:rPr>
  </w:style>
  <w:style w:type="paragraph" w:customStyle="1" w:styleId="TableText">
    <w:name w:val="*TableText"/>
    <w:link w:val="TableTextChar"/>
    <w:qFormat/>
    <w:rsid w:val="00B911C5"/>
    <w:pPr>
      <w:spacing w:before="40" w:after="40" w:line="276" w:lineRule="auto"/>
    </w:pPr>
    <w:rPr>
      <w:rFonts w:ascii="Calibri" w:eastAsia="Calibri" w:hAnsi="Calibri"/>
      <w:sz w:val="22"/>
      <w:szCs w:val="22"/>
    </w:rPr>
  </w:style>
  <w:style w:type="character" w:customStyle="1" w:styleId="TableTextChar">
    <w:name w:val="*TableText Char"/>
    <w:link w:val="TableText"/>
    <w:rsid w:val="00B911C5"/>
    <w:rPr>
      <w:rFonts w:ascii="Calibri" w:eastAsia="Calibri" w:hAnsi="Calibri"/>
      <w:sz w:val="22"/>
      <w:szCs w:val="22"/>
      <w:lang w:eastAsia="en-US" w:bidi="ar-SA"/>
    </w:rPr>
  </w:style>
  <w:style w:type="paragraph" w:customStyle="1" w:styleId="SubStandard">
    <w:name w:val="*SubStandard"/>
    <w:basedOn w:val="TableText"/>
    <w:link w:val="SubStandardChar"/>
    <w:qFormat/>
    <w:rsid w:val="00B911C5"/>
    <w:pPr>
      <w:numPr>
        <w:numId w:val="10"/>
      </w:numPr>
    </w:pPr>
    <w:rPr>
      <w:lang w:val="x-none"/>
    </w:rPr>
  </w:style>
  <w:style w:type="character" w:customStyle="1" w:styleId="SubStandardChar">
    <w:name w:val="*SubStandard Char"/>
    <w:link w:val="SubStandard"/>
    <w:rsid w:val="00B911C5"/>
    <w:rPr>
      <w:rFonts w:ascii="Calibri" w:eastAsia="Calibri" w:hAnsi="Calibri" w:cs="Times New Roman"/>
      <w:sz w:val="22"/>
      <w:szCs w:val="22"/>
      <w:lang w:eastAsia="en-US"/>
    </w:rPr>
  </w:style>
  <w:style w:type="paragraph" w:customStyle="1" w:styleId="TA">
    <w:name w:val="*TA*"/>
    <w:link w:val="TAChar"/>
    <w:qFormat/>
    <w:rsid w:val="00B911C5"/>
    <w:pPr>
      <w:spacing w:before="180" w:after="180"/>
    </w:pPr>
    <w:rPr>
      <w:rFonts w:ascii="Calibri" w:eastAsia="Calibri" w:hAnsi="Calibri"/>
      <w:sz w:val="22"/>
      <w:szCs w:val="22"/>
    </w:rPr>
  </w:style>
  <w:style w:type="character" w:customStyle="1" w:styleId="TAChar">
    <w:name w:val="*TA* Char"/>
    <w:link w:val="TA"/>
    <w:rsid w:val="00B911C5"/>
    <w:rPr>
      <w:rFonts w:ascii="Calibri" w:eastAsia="Calibri" w:hAnsi="Calibri"/>
      <w:sz w:val="22"/>
      <w:szCs w:val="22"/>
      <w:lang w:eastAsia="en-US" w:bidi="ar-SA"/>
    </w:rPr>
  </w:style>
  <w:style w:type="paragraph" w:customStyle="1" w:styleId="TableHeaders">
    <w:name w:val="*TableHeaders"/>
    <w:basedOn w:val="Normal"/>
    <w:link w:val="TableHeadersChar"/>
    <w:qFormat/>
    <w:rsid w:val="00B911C5"/>
    <w:pPr>
      <w:spacing w:before="40" w:after="40"/>
    </w:pPr>
    <w:rPr>
      <w:b/>
      <w:color w:val="FFFFFF"/>
      <w:lang w:val="x-none"/>
    </w:rPr>
  </w:style>
  <w:style w:type="character" w:customStyle="1" w:styleId="TableHeadersChar">
    <w:name w:val="*TableHeaders Char"/>
    <w:link w:val="TableHeaders"/>
    <w:rsid w:val="00B911C5"/>
    <w:rPr>
      <w:rFonts w:ascii="Calibri" w:eastAsia="Calibri" w:hAnsi="Calibri" w:cs="Times New Roman"/>
      <w:b/>
      <w:color w:val="FFFFFF"/>
      <w:sz w:val="22"/>
      <w:szCs w:val="22"/>
      <w:lang w:eastAsia="en-US"/>
    </w:rPr>
  </w:style>
  <w:style w:type="paragraph" w:customStyle="1" w:styleId="ToolHeader">
    <w:name w:val="*ToolHeader"/>
    <w:link w:val="ToolHeaderChar"/>
    <w:qFormat/>
    <w:rsid w:val="00B911C5"/>
    <w:pPr>
      <w:spacing w:after="120"/>
    </w:pPr>
    <w:rPr>
      <w:rFonts w:eastAsia="Calibri"/>
      <w:b/>
      <w:bCs/>
      <w:color w:val="365F91"/>
      <w:sz w:val="32"/>
      <w:szCs w:val="28"/>
    </w:rPr>
  </w:style>
  <w:style w:type="paragraph" w:customStyle="1" w:styleId="ToolTableText">
    <w:name w:val="*ToolTableText"/>
    <w:link w:val="ToolTableTextChar"/>
    <w:qFormat/>
    <w:rsid w:val="00B911C5"/>
    <w:pPr>
      <w:spacing w:before="40" w:after="120"/>
    </w:pPr>
    <w:rPr>
      <w:rFonts w:ascii="Calibri" w:eastAsia="Calibri" w:hAnsi="Calibri"/>
      <w:sz w:val="22"/>
      <w:szCs w:val="22"/>
    </w:rPr>
  </w:style>
  <w:style w:type="character" w:customStyle="1" w:styleId="apple-converted-space">
    <w:name w:val="apple-converted-space"/>
    <w:rsid w:val="00B911C5"/>
  </w:style>
  <w:style w:type="paragraph" w:styleId="BalloonText">
    <w:name w:val="Balloon Text"/>
    <w:basedOn w:val="Normal"/>
    <w:link w:val="BalloonTextChar"/>
    <w:uiPriority w:val="99"/>
    <w:semiHidden/>
    <w:unhideWhenUsed/>
    <w:rsid w:val="00B911C5"/>
    <w:rPr>
      <w:rFonts w:ascii="Tahoma" w:hAnsi="Tahoma"/>
      <w:sz w:val="16"/>
      <w:szCs w:val="16"/>
      <w:lang w:val="x-none"/>
    </w:rPr>
  </w:style>
  <w:style w:type="character" w:customStyle="1" w:styleId="BalloonTextChar">
    <w:name w:val="Balloon Text Char"/>
    <w:link w:val="BalloonText"/>
    <w:uiPriority w:val="99"/>
    <w:semiHidden/>
    <w:rsid w:val="00B911C5"/>
    <w:rPr>
      <w:rFonts w:ascii="Tahoma" w:eastAsia="Calibri" w:hAnsi="Tahoma" w:cs="Times New Roman"/>
      <w:sz w:val="16"/>
      <w:szCs w:val="16"/>
      <w:lang w:eastAsia="en-US"/>
    </w:rPr>
  </w:style>
  <w:style w:type="paragraph" w:styleId="BodyText">
    <w:name w:val="Body Text"/>
    <w:basedOn w:val="Normal"/>
    <w:link w:val="BodyTextChar"/>
    <w:rsid w:val="00B911C5"/>
    <w:pPr>
      <w:spacing w:after="120"/>
    </w:pPr>
    <w:rPr>
      <w:lang w:val="x-none"/>
    </w:rPr>
  </w:style>
  <w:style w:type="character" w:customStyle="1" w:styleId="BodyTextChar">
    <w:name w:val="Body Text Char"/>
    <w:link w:val="BodyText"/>
    <w:rsid w:val="00B911C5"/>
    <w:rPr>
      <w:rFonts w:ascii="Calibri" w:eastAsia="Calibri" w:hAnsi="Calibri" w:cs="Times New Roman"/>
      <w:sz w:val="22"/>
      <w:szCs w:val="22"/>
      <w:lang w:eastAsia="en-US"/>
    </w:rPr>
  </w:style>
  <w:style w:type="paragraph" w:customStyle="1" w:styleId="ColorfulList-Accent11">
    <w:name w:val="Colorful List - Accent 11"/>
    <w:basedOn w:val="Normal"/>
    <w:uiPriority w:val="34"/>
    <w:rsid w:val="00B911C5"/>
    <w:pPr>
      <w:ind w:left="720"/>
      <w:contextualSpacing/>
    </w:pPr>
  </w:style>
  <w:style w:type="character" w:styleId="CommentReference">
    <w:name w:val="annotation reference"/>
    <w:uiPriority w:val="99"/>
    <w:semiHidden/>
    <w:unhideWhenUsed/>
    <w:rsid w:val="00B911C5"/>
    <w:rPr>
      <w:sz w:val="16"/>
      <w:szCs w:val="16"/>
    </w:rPr>
  </w:style>
  <w:style w:type="paragraph" w:styleId="CommentText">
    <w:name w:val="annotation text"/>
    <w:basedOn w:val="Normal"/>
    <w:link w:val="CommentTextChar"/>
    <w:uiPriority w:val="99"/>
    <w:unhideWhenUsed/>
    <w:rsid w:val="00B911C5"/>
    <w:rPr>
      <w:sz w:val="20"/>
      <w:lang w:val="x-none"/>
    </w:rPr>
  </w:style>
  <w:style w:type="character" w:customStyle="1" w:styleId="CommentTextChar">
    <w:name w:val="Comment Text Char"/>
    <w:link w:val="CommentText"/>
    <w:uiPriority w:val="99"/>
    <w:rsid w:val="00B911C5"/>
    <w:rPr>
      <w:rFonts w:ascii="Calibri" w:eastAsia="Calibri" w:hAnsi="Calibri" w:cs="Times New Roman"/>
      <w:szCs w:val="22"/>
      <w:lang w:eastAsia="en-US"/>
    </w:rPr>
  </w:style>
  <w:style w:type="paragraph" w:styleId="CommentSubject">
    <w:name w:val="annotation subject"/>
    <w:basedOn w:val="CommentText"/>
    <w:next w:val="CommentText"/>
    <w:link w:val="CommentSubjectChar"/>
    <w:uiPriority w:val="99"/>
    <w:semiHidden/>
    <w:unhideWhenUsed/>
    <w:rsid w:val="00B911C5"/>
    <w:rPr>
      <w:b/>
      <w:bCs/>
    </w:rPr>
  </w:style>
  <w:style w:type="character" w:customStyle="1" w:styleId="CommentSubjectChar">
    <w:name w:val="Comment Subject Char"/>
    <w:link w:val="CommentSubject"/>
    <w:uiPriority w:val="99"/>
    <w:semiHidden/>
    <w:rsid w:val="00B911C5"/>
    <w:rPr>
      <w:rFonts w:ascii="Calibri" w:eastAsia="Calibri" w:hAnsi="Calibri" w:cs="Times New Roman"/>
      <w:b/>
      <w:bCs/>
      <w:szCs w:val="22"/>
      <w:lang w:eastAsia="en-US"/>
    </w:rPr>
  </w:style>
  <w:style w:type="paragraph" w:customStyle="1" w:styleId="folio">
    <w:name w:val="folio"/>
    <w:basedOn w:val="Normal"/>
    <w:link w:val="folioChar"/>
    <w:rsid w:val="00B911C5"/>
    <w:pPr>
      <w:pBdr>
        <w:top w:val="single" w:sz="8" w:space="4" w:color="244061"/>
      </w:pBdr>
      <w:tabs>
        <w:tab w:val="center" w:pos="6480"/>
        <w:tab w:val="right" w:pos="10080"/>
      </w:tabs>
    </w:pPr>
    <w:rPr>
      <w:rFonts w:ascii="Verdana" w:eastAsia="Verdana" w:hAnsi="Verdana"/>
      <w:color w:val="595959"/>
      <w:sz w:val="16"/>
      <w:lang w:val="x-none"/>
    </w:rPr>
  </w:style>
  <w:style w:type="character" w:customStyle="1" w:styleId="folioChar">
    <w:name w:val="folio Char"/>
    <w:link w:val="folio"/>
    <w:rsid w:val="00B911C5"/>
    <w:rPr>
      <w:rFonts w:ascii="Verdana" w:eastAsia="Verdana" w:hAnsi="Verdana" w:cs="Verdana"/>
      <w:color w:val="595959"/>
      <w:sz w:val="16"/>
      <w:szCs w:val="22"/>
      <w:lang w:eastAsia="en-US"/>
    </w:rPr>
  </w:style>
  <w:style w:type="character" w:styleId="FollowedHyperlink">
    <w:name w:val="FollowedHyperlink"/>
    <w:uiPriority w:val="99"/>
    <w:semiHidden/>
    <w:unhideWhenUsed/>
    <w:rsid w:val="00B911C5"/>
    <w:rPr>
      <w:color w:val="954F72"/>
      <w:u w:val="single"/>
    </w:rPr>
  </w:style>
  <w:style w:type="paragraph" w:styleId="Footer">
    <w:name w:val="footer"/>
    <w:basedOn w:val="Normal"/>
    <w:link w:val="FooterChar"/>
    <w:uiPriority w:val="99"/>
    <w:rsid w:val="00B911C5"/>
    <w:pPr>
      <w:tabs>
        <w:tab w:val="center" w:pos="4320"/>
        <w:tab w:val="right" w:pos="8640"/>
      </w:tabs>
    </w:pPr>
    <w:rPr>
      <w:rFonts w:ascii="Times New Roman" w:hAnsi="Times New Roman"/>
      <w:sz w:val="20"/>
      <w:lang w:val="x-none"/>
    </w:rPr>
  </w:style>
  <w:style w:type="character" w:customStyle="1" w:styleId="FooterChar">
    <w:name w:val="Footer Char"/>
    <w:link w:val="Footer"/>
    <w:uiPriority w:val="99"/>
    <w:rsid w:val="00B911C5"/>
    <w:rPr>
      <w:rFonts w:ascii="Times New Roman" w:eastAsia="Calibri" w:hAnsi="Times New Roman" w:cs="Times New Roman"/>
      <w:szCs w:val="22"/>
      <w:lang w:eastAsia="en-US"/>
    </w:rPr>
  </w:style>
  <w:style w:type="character" w:styleId="FootnoteReference">
    <w:name w:val="footnote reference"/>
    <w:uiPriority w:val="99"/>
    <w:semiHidden/>
    <w:unhideWhenUsed/>
    <w:rsid w:val="00B911C5"/>
    <w:rPr>
      <w:vertAlign w:val="superscript"/>
    </w:rPr>
  </w:style>
  <w:style w:type="paragraph" w:styleId="FootnoteText">
    <w:name w:val="footnote text"/>
    <w:basedOn w:val="Normal"/>
    <w:link w:val="FootnoteTextChar"/>
    <w:uiPriority w:val="99"/>
    <w:semiHidden/>
    <w:unhideWhenUsed/>
    <w:rsid w:val="00B911C5"/>
    <w:rPr>
      <w:sz w:val="20"/>
      <w:lang w:val="x-none"/>
    </w:rPr>
  </w:style>
  <w:style w:type="character" w:customStyle="1" w:styleId="FootnoteTextChar">
    <w:name w:val="Footnote Text Char"/>
    <w:link w:val="FootnoteText"/>
    <w:uiPriority w:val="99"/>
    <w:semiHidden/>
    <w:rsid w:val="00B911C5"/>
    <w:rPr>
      <w:rFonts w:ascii="Calibri" w:eastAsia="Calibri" w:hAnsi="Calibri" w:cs="Times New Roman"/>
      <w:szCs w:val="22"/>
      <w:lang w:eastAsia="en-US"/>
    </w:rPr>
  </w:style>
  <w:style w:type="paragraph" w:styleId="Header">
    <w:name w:val="header"/>
    <w:basedOn w:val="Normal"/>
    <w:link w:val="HeaderChar"/>
    <w:uiPriority w:val="99"/>
    <w:unhideWhenUsed/>
    <w:rsid w:val="00B911C5"/>
    <w:pPr>
      <w:tabs>
        <w:tab w:val="center" w:pos="4680"/>
        <w:tab w:val="right" w:pos="9360"/>
      </w:tabs>
    </w:pPr>
    <w:rPr>
      <w:sz w:val="20"/>
      <w:lang w:val="x-none"/>
    </w:rPr>
  </w:style>
  <w:style w:type="character" w:customStyle="1" w:styleId="HeaderChar">
    <w:name w:val="Header Char"/>
    <w:link w:val="Header"/>
    <w:uiPriority w:val="99"/>
    <w:rsid w:val="00B911C5"/>
    <w:rPr>
      <w:rFonts w:ascii="Calibri" w:eastAsia="Calibri" w:hAnsi="Calibri" w:cs="Times New Roman"/>
      <w:szCs w:val="22"/>
      <w:lang w:eastAsia="en-US"/>
    </w:rPr>
  </w:style>
  <w:style w:type="paragraph" w:customStyle="1" w:styleId="Header-banner">
    <w:name w:val="Header-banner"/>
    <w:rsid w:val="00B911C5"/>
    <w:pPr>
      <w:ind w:left="43" w:right="43"/>
      <w:jc w:val="center"/>
    </w:pPr>
    <w:rPr>
      <w:rFonts w:ascii="Calibri" w:eastAsia="Calibri" w:hAnsi="Calibri" w:cs="Calibri"/>
      <w:b/>
      <w:bCs/>
      <w:caps/>
      <w:color w:val="FFFFFF"/>
      <w:sz w:val="44"/>
      <w:szCs w:val="22"/>
    </w:rPr>
  </w:style>
  <w:style w:type="paragraph" w:customStyle="1" w:styleId="Header2banner">
    <w:name w:val="Header2_banner"/>
    <w:basedOn w:val="Header-banner"/>
    <w:rsid w:val="00B911C5"/>
    <w:pPr>
      <w:spacing w:line="440" w:lineRule="exact"/>
      <w:jc w:val="left"/>
    </w:pPr>
    <w:rPr>
      <w:caps w:val="0"/>
    </w:rPr>
  </w:style>
  <w:style w:type="character" w:customStyle="1" w:styleId="Heading1Char">
    <w:name w:val="Heading 1 Char"/>
    <w:aliases w:val="*Headers Char"/>
    <w:link w:val="Heading1"/>
    <w:uiPriority w:val="9"/>
    <w:rsid w:val="00B44156"/>
    <w:rPr>
      <w:rFonts w:ascii="Calibri" w:eastAsia="Calibri" w:hAnsi="Calibri"/>
      <w:b/>
      <w:bCs/>
      <w:color w:val="365F91"/>
      <w:sz w:val="32"/>
      <w:szCs w:val="28"/>
      <w:lang w:val="x-none"/>
    </w:rPr>
  </w:style>
  <w:style w:type="character" w:customStyle="1" w:styleId="Heading2Char">
    <w:name w:val="Heading 2 Char"/>
    <w:link w:val="Heading2"/>
    <w:uiPriority w:val="9"/>
    <w:rsid w:val="00B911C5"/>
    <w:rPr>
      <w:rFonts w:ascii="Cambria" w:eastAsia="Calibri" w:hAnsi="Cambria" w:cs="Times New Roman"/>
      <w:b/>
      <w:bCs/>
      <w:i/>
      <w:color w:val="4F81BD"/>
      <w:sz w:val="26"/>
      <w:szCs w:val="26"/>
      <w:lang w:eastAsia="en-US"/>
    </w:rPr>
  </w:style>
  <w:style w:type="character" w:customStyle="1" w:styleId="Heading3Char">
    <w:name w:val="Heading 3 Char"/>
    <w:link w:val="Heading3"/>
    <w:uiPriority w:val="9"/>
    <w:rsid w:val="00B911C5"/>
    <w:rPr>
      <w:rFonts w:ascii="Cambria" w:eastAsia="Calibri" w:hAnsi="Cambria" w:cs="Times New Roman"/>
      <w:b/>
      <w:bCs/>
      <w:i/>
      <w:color w:val="7F7F7F"/>
      <w:szCs w:val="22"/>
      <w:lang w:eastAsia="en-US"/>
    </w:rPr>
  </w:style>
  <w:style w:type="character" w:styleId="Hyperlink">
    <w:name w:val="Hyperlink"/>
    <w:uiPriority w:val="99"/>
    <w:unhideWhenUsed/>
    <w:rsid w:val="00B911C5"/>
    <w:rPr>
      <w:color w:val="0000FF"/>
      <w:u w:val="single"/>
    </w:rPr>
  </w:style>
  <w:style w:type="paragraph" w:customStyle="1" w:styleId="ColorfulShading-Accent31">
    <w:name w:val="Colorful Shading - Accent 31"/>
    <w:basedOn w:val="Normal"/>
    <w:link w:val="ColorfulShading-Accent3Char"/>
    <w:uiPriority w:val="34"/>
    <w:qFormat/>
    <w:rsid w:val="00B911C5"/>
    <w:pPr>
      <w:ind w:left="720"/>
      <w:contextualSpacing/>
    </w:pPr>
    <w:rPr>
      <w:lang w:val="x-none"/>
    </w:rPr>
  </w:style>
  <w:style w:type="character" w:customStyle="1" w:styleId="ColorfulShading-Accent3Char">
    <w:name w:val="Colorful Shading - Accent 3 Char"/>
    <w:link w:val="ColorfulShading-Accent31"/>
    <w:uiPriority w:val="34"/>
    <w:rsid w:val="00B911C5"/>
    <w:rPr>
      <w:rFonts w:ascii="Calibri" w:eastAsia="Calibri" w:hAnsi="Calibri" w:cs="Times New Roman"/>
      <w:sz w:val="22"/>
      <w:szCs w:val="22"/>
      <w:lang w:eastAsia="en-US"/>
    </w:rPr>
  </w:style>
  <w:style w:type="paragraph" w:customStyle="1" w:styleId="MediumGrid1-Accent21">
    <w:name w:val="Medium Grid 1 - Accent 21"/>
    <w:basedOn w:val="Normal"/>
    <w:uiPriority w:val="34"/>
    <w:rsid w:val="00B911C5"/>
    <w:pPr>
      <w:ind w:left="720"/>
      <w:contextualSpacing/>
    </w:pPr>
  </w:style>
  <w:style w:type="paragraph" w:customStyle="1" w:styleId="MediumList2-Accent41">
    <w:name w:val="Medium List 2 - Accent 41"/>
    <w:basedOn w:val="Normal"/>
    <w:link w:val="MediumList2-Accent41Char"/>
    <w:uiPriority w:val="34"/>
    <w:rsid w:val="00B911C5"/>
    <w:pPr>
      <w:ind w:left="720"/>
      <w:contextualSpacing/>
    </w:pPr>
    <w:rPr>
      <w:lang w:val="x-none"/>
    </w:rPr>
  </w:style>
  <w:style w:type="character" w:customStyle="1" w:styleId="MediumList2-Accent41Char">
    <w:name w:val="Medium List 2 - Accent 41 Char"/>
    <w:link w:val="MediumList2-Accent41"/>
    <w:uiPriority w:val="34"/>
    <w:rsid w:val="00B911C5"/>
    <w:rPr>
      <w:rFonts w:ascii="Calibri" w:eastAsia="Calibri" w:hAnsi="Calibri" w:cs="Times New Roman"/>
      <w:sz w:val="22"/>
      <w:szCs w:val="22"/>
      <w:lang w:eastAsia="en-US"/>
    </w:rPr>
  </w:style>
  <w:style w:type="paragraph" w:customStyle="1" w:styleId="NoSpacing1">
    <w:name w:val="No Spacing1"/>
    <w:link w:val="NoSpacingChar"/>
    <w:rsid w:val="00B911C5"/>
    <w:rPr>
      <w:rFonts w:ascii="Tahoma" w:eastAsia="Calibri" w:hAnsi="Tahoma"/>
      <w:sz w:val="19"/>
      <w:szCs w:val="22"/>
    </w:rPr>
  </w:style>
  <w:style w:type="character" w:customStyle="1" w:styleId="NoSpacingChar">
    <w:name w:val="No Spacing Char"/>
    <w:link w:val="NoSpacing1"/>
    <w:rsid w:val="00B911C5"/>
    <w:rPr>
      <w:rFonts w:ascii="Tahoma" w:eastAsia="Calibri" w:hAnsi="Tahoma"/>
      <w:sz w:val="19"/>
      <w:szCs w:val="22"/>
      <w:lang w:eastAsia="en-US" w:bidi="ar-SA"/>
    </w:rPr>
  </w:style>
  <w:style w:type="paragraph" w:styleId="NormalWeb">
    <w:name w:val="Normal (Web)"/>
    <w:basedOn w:val="Normal"/>
    <w:uiPriority w:val="99"/>
    <w:unhideWhenUsed/>
    <w:rsid w:val="00B911C5"/>
    <w:pPr>
      <w:spacing w:before="100" w:beforeAutospacing="1" w:after="100" w:afterAutospacing="1"/>
    </w:pPr>
    <w:rPr>
      <w:rFonts w:ascii="Times New Roman" w:hAnsi="Times New Roman"/>
    </w:rPr>
  </w:style>
  <w:style w:type="paragraph" w:customStyle="1" w:styleId="Pa4">
    <w:name w:val="Pa4"/>
    <w:basedOn w:val="Normal"/>
    <w:next w:val="Normal"/>
    <w:uiPriority w:val="99"/>
    <w:rsid w:val="00B911C5"/>
    <w:pPr>
      <w:autoSpaceDE w:val="0"/>
      <w:autoSpaceDN w:val="0"/>
      <w:adjustRightInd w:val="0"/>
      <w:spacing w:line="241" w:lineRule="atLeast"/>
    </w:pPr>
    <w:rPr>
      <w:rFonts w:ascii="Garamond" w:hAnsi="Garamond"/>
      <w:sz w:val="24"/>
      <w:szCs w:val="24"/>
    </w:rPr>
  </w:style>
  <w:style w:type="character" w:styleId="PageNumber">
    <w:name w:val="page number"/>
    <w:uiPriority w:val="99"/>
    <w:rsid w:val="00B911C5"/>
    <w:rPr>
      <w:rFonts w:cs="Times New Roman"/>
    </w:rPr>
  </w:style>
  <w:style w:type="character" w:customStyle="1" w:styleId="reference-text">
    <w:name w:val="reference-text"/>
    <w:rsid w:val="00B911C5"/>
  </w:style>
  <w:style w:type="table" w:styleId="TableGrid">
    <w:name w:val="Table Grid"/>
    <w:basedOn w:val="TableNormal"/>
    <w:uiPriority w:val="59"/>
    <w:rsid w:val="00B911C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911C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911C5"/>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link w:val="Title"/>
    <w:uiPriority w:val="10"/>
    <w:rsid w:val="00B911C5"/>
    <w:rPr>
      <w:rFonts w:ascii="Cambria" w:eastAsia="Calibri" w:hAnsi="Cambria" w:cs="Times New Roman"/>
      <w:color w:val="17365D"/>
      <w:spacing w:val="5"/>
      <w:kern w:val="28"/>
      <w:sz w:val="52"/>
      <w:szCs w:val="52"/>
      <w:lang w:eastAsia="en-US"/>
    </w:rPr>
  </w:style>
  <w:style w:type="character" w:customStyle="1" w:styleId="ToolTableTextChar">
    <w:name w:val="*ToolTableText Char"/>
    <w:link w:val="ToolTableText"/>
    <w:rsid w:val="00391887"/>
    <w:rPr>
      <w:rFonts w:ascii="Calibri" w:eastAsia="Calibri" w:hAnsi="Calibri"/>
      <w:sz w:val="22"/>
      <w:szCs w:val="22"/>
      <w:lang w:eastAsia="en-US" w:bidi="ar-SA"/>
    </w:rPr>
  </w:style>
  <w:style w:type="character" w:customStyle="1" w:styleId="ToolHeaderChar">
    <w:name w:val="*ToolHeader Char"/>
    <w:link w:val="ToolHeader"/>
    <w:rsid w:val="00391887"/>
    <w:rPr>
      <w:rFonts w:eastAsia="Calibri"/>
      <w:b/>
      <w:bCs/>
      <w:color w:val="365F91"/>
      <w:sz w:val="32"/>
      <w:szCs w:val="28"/>
      <w:lang w:eastAsia="en-US" w:bidi="ar-SA"/>
    </w:rPr>
  </w:style>
  <w:style w:type="paragraph" w:customStyle="1" w:styleId="PageHeader0">
    <w:name w:val="Page Header"/>
    <w:basedOn w:val="BodyText"/>
    <w:link w:val="PageHeaderChar0"/>
    <w:qFormat/>
    <w:rsid w:val="00391887"/>
    <w:rPr>
      <w:b/>
      <w:sz w:val="18"/>
    </w:rPr>
  </w:style>
  <w:style w:type="character" w:customStyle="1" w:styleId="PageHeaderChar0">
    <w:name w:val="Page Header Char"/>
    <w:link w:val="PageHeader0"/>
    <w:rsid w:val="00391887"/>
    <w:rPr>
      <w:rFonts w:ascii="Calibri" w:eastAsia="Calibri" w:hAnsi="Calibri" w:cs="Times New Roman"/>
      <w:b/>
      <w:sz w:val="18"/>
      <w:szCs w:val="22"/>
      <w:lang w:eastAsia="en-US"/>
    </w:rPr>
  </w:style>
  <w:style w:type="paragraph" w:customStyle="1" w:styleId="Default">
    <w:name w:val="Default"/>
    <w:rsid w:val="00391887"/>
    <w:pPr>
      <w:widowControl w:val="0"/>
      <w:autoSpaceDE w:val="0"/>
      <w:autoSpaceDN w:val="0"/>
      <w:adjustRightInd w:val="0"/>
    </w:pPr>
    <w:rPr>
      <w:rFonts w:ascii="Perpetua" w:hAnsi="Perpetua" w:cs="Perpetua"/>
      <w:color w:val="000000"/>
      <w:sz w:val="24"/>
      <w:szCs w:val="24"/>
      <w:lang w:eastAsia="ja-JP"/>
    </w:rPr>
  </w:style>
  <w:style w:type="paragraph" w:customStyle="1" w:styleId="ColorfulList-Accent12">
    <w:name w:val="Colorful List - Accent 12"/>
    <w:basedOn w:val="Normal"/>
    <w:uiPriority w:val="34"/>
    <w:rsid w:val="00F83F85"/>
    <w:pPr>
      <w:ind w:left="720"/>
      <w:contextualSpacing/>
    </w:pPr>
  </w:style>
  <w:style w:type="character" w:styleId="Emphasis">
    <w:name w:val="Emphasis"/>
    <w:uiPriority w:val="20"/>
    <w:qFormat/>
    <w:rsid w:val="00F83F85"/>
    <w:rPr>
      <w:i/>
      <w:iCs/>
    </w:rPr>
  </w:style>
  <w:style w:type="paragraph" w:customStyle="1" w:styleId="LightGrid-Accent31">
    <w:name w:val="Light Grid - Accent 31"/>
    <w:basedOn w:val="Normal"/>
    <w:link w:val="LightGrid-Accent3Char1"/>
    <w:uiPriority w:val="34"/>
    <w:qFormat/>
    <w:rsid w:val="00F83F85"/>
    <w:pPr>
      <w:ind w:left="720"/>
      <w:contextualSpacing/>
    </w:pPr>
    <w:rPr>
      <w:lang w:val="x-none" w:eastAsia="x-none"/>
    </w:rPr>
  </w:style>
  <w:style w:type="character" w:customStyle="1" w:styleId="LightGrid-Accent3Char1">
    <w:name w:val="Light Grid - Accent 3 Char1"/>
    <w:link w:val="LightGrid-Accent31"/>
    <w:uiPriority w:val="34"/>
    <w:rsid w:val="00F83F85"/>
    <w:rPr>
      <w:rFonts w:ascii="Calibri" w:eastAsia="Calibri" w:hAnsi="Calibri"/>
      <w:sz w:val="22"/>
      <w:szCs w:val="22"/>
    </w:rPr>
  </w:style>
  <w:style w:type="character" w:customStyle="1" w:styleId="oneclick-link">
    <w:name w:val="oneclick-link"/>
    <w:rsid w:val="00F83F85"/>
  </w:style>
  <w:style w:type="character" w:customStyle="1" w:styleId="smcaps">
    <w:name w:val="smcaps"/>
    <w:rsid w:val="00F83F85"/>
  </w:style>
  <w:style w:type="character" w:customStyle="1" w:styleId="ssens">
    <w:name w:val="ssens"/>
    <w:rsid w:val="00F83F85"/>
  </w:style>
  <w:style w:type="character" w:styleId="Strong">
    <w:name w:val="Strong"/>
    <w:qFormat/>
    <w:rsid w:val="00F83F85"/>
    <w:rPr>
      <w:b/>
      <w:bCs/>
    </w:rPr>
  </w:style>
  <w:style w:type="paragraph" w:customStyle="1" w:styleId="ColorfulShading-Accent11">
    <w:name w:val="Colorful Shading - Accent 11"/>
    <w:hidden/>
    <w:uiPriority w:val="71"/>
    <w:rsid w:val="009F39D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81647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4288</Words>
  <Characters>24444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Harvard</Company>
  <LinksUpToDate>false</LinksUpToDate>
  <CharactersWithSpaces>28675</CharactersWithSpaces>
  <SharedDoc>false</SharedDoc>
  <HLinks>
    <vt:vector size="24" baseType="variant">
      <vt:variant>
        <vt:i4>3211271</vt:i4>
      </vt:variant>
      <vt:variant>
        <vt:i4>0</vt:i4>
      </vt:variant>
      <vt:variant>
        <vt:i4>0</vt:i4>
      </vt:variant>
      <vt:variant>
        <vt:i4>5</vt:i4>
      </vt:variant>
      <vt:variant>
        <vt:lpwstr>http://www.engageny.org/sites/default/files/resource/attachments/9-12_ela_prefatory_material.pdf</vt:lpwstr>
      </vt:variant>
      <vt:variant>
        <vt:lpwstr/>
      </vt:variant>
      <vt:variant>
        <vt:i4>4587636</vt:i4>
      </vt:variant>
      <vt:variant>
        <vt:i4>13</vt:i4>
      </vt:variant>
      <vt:variant>
        <vt:i4>0</vt:i4>
      </vt:variant>
      <vt:variant>
        <vt:i4>5</vt:i4>
      </vt:variant>
      <vt:variant>
        <vt:lpwstr>http://creativecommons.org/licenses/by-nc-sa/3.0/</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2</cp:revision>
  <dcterms:created xsi:type="dcterms:W3CDTF">2015-02-12T17:23:00Z</dcterms:created>
  <dcterms:modified xsi:type="dcterms:W3CDTF">2015-02-12T17:23:00Z</dcterms:modified>
</cp:coreProperties>
</file>