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6"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98"/>
        <w:gridCol w:w="7448"/>
      </w:tblGrid>
      <w:tr w:rsidR="00790BCC" w:rsidRPr="00790BCC" w:rsidTr="00D86D95">
        <w:trPr>
          <w:trHeight w:val="1008"/>
        </w:trPr>
        <w:tc>
          <w:tcPr>
            <w:tcW w:w="1980" w:type="dxa"/>
            <w:shd w:val="clear" w:color="auto" w:fill="385623"/>
            <w:vAlign w:val="center"/>
          </w:tcPr>
          <w:p w:rsidR="00790BCC" w:rsidRPr="0031535D" w:rsidRDefault="00323089" w:rsidP="00D31F4D">
            <w:pPr>
              <w:pStyle w:val="Header-banner"/>
            </w:pPr>
            <w:r w:rsidRPr="0031535D">
              <w:t>12.2</w:t>
            </w:r>
            <w:r w:rsidR="00AE46B1" w:rsidRPr="0031535D">
              <w:t>.2</w:t>
            </w:r>
          </w:p>
        </w:tc>
        <w:tc>
          <w:tcPr>
            <w:tcW w:w="7380" w:type="dxa"/>
            <w:shd w:val="clear" w:color="auto" w:fill="76923C"/>
            <w:vAlign w:val="center"/>
          </w:tcPr>
          <w:p w:rsidR="00790BCC" w:rsidRPr="0031535D" w:rsidRDefault="00AE46B1" w:rsidP="006E1219">
            <w:pPr>
              <w:pStyle w:val="Header2banner"/>
            </w:pPr>
            <w:r w:rsidRPr="0031535D">
              <w:t xml:space="preserve">Lesson </w:t>
            </w:r>
            <w:r w:rsidR="006E1219" w:rsidRPr="0031535D">
              <w:t>2</w:t>
            </w:r>
            <w:r w:rsidR="006E1219">
              <w:t>2</w:t>
            </w:r>
          </w:p>
        </w:tc>
      </w:tr>
    </w:tbl>
    <w:p w:rsidR="00790BCC" w:rsidRPr="00790BCC" w:rsidRDefault="00790BCC" w:rsidP="00D31F4D">
      <w:pPr>
        <w:pStyle w:val="Heading1"/>
      </w:pPr>
      <w:r w:rsidRPr="00790BCC">
        <w:t>Introduction</w:t>
      </w:r>
    </w:p>
    <w:p w:rsidR="006E1219" w:rsidRDefault="008872F6" w:rsidP="004D4C34">
      <w:pPr>
        <w:pStyle w:val="TA"/>
      </w:pPr>
      <w:r>
        <w:t xml:space="preserve">In this </w:t>
      </w:r>
      <w:r w:rsidR="00961146">
        <w:t xml:space="preserve">final </w:t>
      </w:r>
      <w:r w:rsidR="00F044C6">
        <w:t>lesson</w:t>
      </w:r>
      <w:r w:rsidR="00961146">
        <w:t xml:space="preserve"> of the unit</w:t>
      </w:r>
      <w:r w:rsidR="00F044C6">
        <w:t xml:space="preserve">, the </w:t>
      </w:r>
      <w:r>
        <w:t xml:space="preserve">second part of the </w:t>
      </w:r>
      <w:r w:rsidR="009305AE">
        <w:t>End-of-Unit Assessment</w:t>
      </w:r>
      <w:r>
        <w:t>,</w:t>
      </w:r>
      <w:r w:rsidR="009E18EF">
        <w:t xml:space="preserve"> </w:t>
      </w:r>
      <w:r w:rsidR="00715F01">
        <w:t>s</w:t>
      </w:r>
      <w:r w:rsidR="00880A32">
        <w:t>tudents write a multi-paragraph analysis in response to the following prompt:</w:t>
      </w:r>
      <w:r w:rsidR="003E63EE">
        <w:t xml:space="preserve"> </w:t>
      </w:r>
      <w:r w:rsidR="006E1219">
        <w:t>Explain how the title </w:t>
      </w:r>
      <w:r w:rsidR="006E1219">
        <w:rPr>
          <w:i/>
          <w:iCs/>
        </w:rPr>
        <w:t>The Tragedy of Julius Caesar </w:t>
      </w:r>
      <w:r w:rsidR="006E1219">
        <w:t>is appropriate for the play, or propose a new title and explain why it is more appropriate.</w:t>
      </w:r>
    </w:p>
    <w:p w:rsidR="00790BCC" w:rsidRPr="00790BCC" w:rsidRDefault="00AE46B1" w:rsidP="00D31F4D">
      <w:r>
        <w:t xml:space="preserve">For homework, </w:t>
      </w:r>
      <w:r w:rsidR="00C210EA">
        <w:t xml:space="preserve">students </w:t>
      </w:r>
      <w:r w:rsidR="00F044C6">
        <w:t>review</w:t>
      </w:r>
      <w:r w:rsidR="00E91E95">
        <w:t xml:space="preserve"> and expand their notes </w:t>
      </w:r>
      <w:r w:rsidR="00AD4FC5">
        <w:t xml:space="preserve">and annotations </w:t>
      </w:r>
      <w:r w:rsidR="00E91E95">
        <w:t xml:space="preserve">from the </w:t>
      </w:r>
      <w:r w:rsidR="00715F01">
        <w:t xml:space="preserve">Module 12.2 </w:t>
      </w:r>
      <w:r w:rsidR="00E91E95">
        <w:t xml:space="preserve">texts in preparation for the </w:t>
      </w:r>
      <w:r w:rsidR="00511B60">
        <w:t xml:space="preserve">12.2 </w:t>
      </w:r>
      <w:r w:rsidR="00E91E95">
        <w:t>Performance Assessment.</w:t>
      </w:r>
    </w:p>
    <w:p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E91E95" w:rsidRPr="00790BCC" w:rsidTr="00D86D95">
        <w:tc>
          <w:tcPr>
            <w:tcW w:w="9450" w:type="dxa"/>
            <w:gridSpan w:val="2"/>
            <w:shd w:val="clear" w:color="auto" w:fill="76923C"/>
          </w:tcPr>
          <w:p w:rsidR="00790BCC" w:rsidRPr="0031535D" w:rsidRDefault="00790BCC" w:rsidP="007017EB">
            <w:pPr>
              <w:pStyle w:val="TableHeaders"/>
            </w:pPr>
            <w:r w:rsidRPr="0031535D">
              <w:t>Assessed Standard(s)</w:t>
            </w:r>
          </w:p>
        </w:tc>
      </w:tr>
      <w:tr w:rsidR="00E91E95" w:rsidRPr="00790BCC" w:rsidTr="00D86D95">
        <w:tc>
          <w:tcPr>
            <w:tcW w:w="1213" w:type="dxa"/>
          </w:tcPr>
          <w:p w:rsidR="001A3D9C" w:rsidRDefault="00323089" w:rsidP="006E1219">
            <w:pPr>
              <w:pStyle w:val="TableText"/>
            </w:pPr>
            <w:r>
              <w:t>RL.11-12</w:t>
            </w:r>
            <w:r w:rsidR="001A3D9C">
              <w:t>.</w:t>
            </w:r>
            <w:r w:rsidR="006E1219">
              <w:t>3</w:t>
            </w:r>
          </w:p>
        </w:tc>
        <w:tc>
          <w:tcPr>
            <w:tcW w:w="8237" w:type="dxa"/>
          </w:tcPr>
          <w:p w:rsidR="001A3D9C" w:rsidRDefault="006E1219" w:rsidP="006E1219">
            <w:pPr>
              <w:pStyle w:val="TableText"/>
            </w:pPr>
            <w:r>
              <w:t>Analyze the impact of the author’s choices regarding how to develop and relate elements of a story or drama (e.g., where a story is set, how the action is ordered, how the characters are introduced and developed).</w:t>
            </w:r>
          </w:p>
        </w:tc>
      </w:tr>
      <w:tr w:rsidR="00E91E95" w:rsidRPr="00790BCC" w:rsidTr="00D86D95">
        <w:tc>
          <w:tcPr>
            <w:tcW w:w="1213" w:type="dxa"/>
          </w:tcPr>
          <w:p w:rsidR="00790BCC" w:rsidRPr="00790BCC" w:rsidRDefault="00E91E95" w:rsidP="003A2901">
            <w:pPr>
              <w:pStyle w:val="TableText"/>
            </w:pPr>
            <w:r>
              <w:t>W</w:t>
            </w:r>
            <w:r w:rsidR="00AE46B1">
              <w:t>.</w:t>
            </w:r>
            <w:r w:rsidR="003A2901">
              <w:t>11-12</w:t>
            </w:r>
            <w:r w:rsidR="00AE46B1">
              <w:t>.</w:t>
            </w:r>
            <w:r w:rsidR="00715F01">
              <w:t>2.</w:t>
            </w:r>
            <w:r>
              <w:t xml:space="preserve"> a-f</w:t>
            </w:r>
          </w:p>
        </w:tc>
        <w:tc>
          <w:tcPr>
            <w:tcW w:w="8237" w:type="dxa"/>
          </w:tcPr>
          <w:p w:rsidR="00E91E95" w:rsidRDefault="00E91E95" w:rsidP="00E91E95">
            <w:pPr>
              <w:pStyle w:val="TableText"/>
              <w:rPr>
                <w:rFonts w:cs="Calibri"/>
              </w:rPr>
            </w:pPr>
            <w:r w:rsidRPr="00B94450">
              <w:rPr>
                <w:rFonts w:cs="Calibri"/>
              </w:rPr>
              <w:t xml:space="preserve">Write </w:t>
            </w:r>
            <w:r w:rsidRPr="00B94450">
              <w:t>informative/explanatory texts to examine and convey complex ideas, concepts, and information clearly and accurately through the effective selection, organization, and analysis of content.</w:t>
            </w:r>
          </w:p>
          <w:p w:rsidR="00E91E95" w:rsidRDefault="00E91E95" w:rsidP="00E91E95">
            <w:pPr>
              <w:pStyle w:val="SubStandard"/>
              <w:rPr>
                <w:rFonts w:cs="Calibri"/>
                <w:szCs w:val="30"/>
              </w:rPr>
            </w:pPr>
            <w:r w:rsidRPr="00B94450">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B94450">
              <w:rPr>
                <w:rFonts w:cs="Calibri"/>
                <w:szCs w:val="30"/>
              </w:rPr>
              <w:t>.</w:t>
            </w:r>
          </w:p>
          <w:p w:rsidR="00E91E95" w:rsidRPr="00E91E95" w:rsidRDefault="00E91E95" w:rsidP="00E91E95">
            <w:pPr>
              <w:pStyle w:val="SubStandard"/>
              <w:numPr>
                <w:ilvl w:val="0"/>
                <w:numId w:val="28"/>
              </w:numPr>
              <w:rPr>
                <w:rFonts w:cs="Calibri"/>
                <w:szCs w:val="30"/>
              </w:rPr>
            </w:pPr>
            <w:r w:rsidRPr="00B94450">
              <w:t>Develop the topic thoroughly by selecting the most significant and relevant facts, extended definitions, concrete details, quotations, or other information and examples appropriate to the audience’s knowledge of the topic</w:t>
            </w:r>
            <w:r w:rsidRPr="00E91E95">
              <w:rPr>
                <w:rFonts w:cs="Calibri"/>
                <w:szCs w:val="30"/>
              </w:rPr>
              <w:t>.</w:t>
            </w:r>
          </w:p>
          <w:p w:rsidR="00E91E95" w:rsidRDefault="00E91E95" w:rsidP="00E91E95">
            <w:pPr>
              <w:pStyle w:val="SubStandard"/>
              <w:rPr>
                <w:rFonts w:cs="Calibri"/>
                <w:szCs w:val="30"/>
              </w:rPr>
            </w:pPr>
            <w:r w:rsidRPr="00B94450">
              <w:t>Use appropriate and varied transitions and syntax to link the major sections of the text, create cohesion, and clarify the relationships among complex ideas and concepts.</w:t>
            </w:r>
          </w:p>
          <w:p w:rsidR="00E91E95" w:rsidRDefault="00E91E95" w:rsidP="00E91E95">
            <w:pPr>
              <w:pStyle w:val="SubStandard"/>
              <w:rPr>
                <w:rFonts w:cs="Calibri"/>
                <w:szCs w:val="30"/>
              </w:rPr>
            </w:pPr>
            <w:r w:rsidRPr="00B94450">
              <w:t xml:space="preserve">Use precise language, domain-specific vocabulary, and techniques such as metaphor, simile, and analogy to manage the complexity of the topic. </w:t>
            </w:r>
          </w:p>
          <w:p w:rsidR="00E91E95" w:rsidRDefault="00E91E95" w:rsidP="00E91E95">
            <w:pPr>
              <w:pStyle w:val="SubStandard"/>
              <w:rPr>
                <w:rFonts w:cs="Calibri"/>
                <w:szCs w:val="30"/>
              </w:rPr>
            </w:pPr>
            <w:r w:rsidRPr="00B94450">
              <w:t xml:space="preserve">Establish and maintain a formal style and objective tone while attending to the norms </w:t>
            </w:r>
            <w:r w:rsidRPr="00B94450">
              <w:lastRenderedPageBreak/>
              <w:t>and conventions of the discipline in which they are writing.</w:t>
            </w:r>
          </w:p>
          <w:p w:rsidR="00807DAC" w:rsidRDefault="00E91E95" w:rsidP="00E91E95">
            <w:pPr>
              <w:pStyle w:val="SubStandard"/>
            </w:pPr>
            <w:r w:rsidRPr="00B94450">
              <w:t>Provide a concluding statement or section that follows from and supports the information or explanation presented (e.g., articulating implications or the significance of the topic).</w:t>
            </w:r>
          </w:p>
        </w:tc>
      </w:tr>
      <w:tr w:rsidR="007450E1" w:rsidRPr="00790BCC" w:rsidTr="00D86D95">
        <w:tc>
          <w:tcPr>
            <w:tcW w:w="1213" w:type="dxa"/>
          </w:tcPr>
          <w:p w:rsidR="007450E1" w:rsidRDefault="007450E1" w:rsidP="003A2901">
            <w:pPr>
              <w:pStyle w:val="TableText"/>
            </w:pPr>
            <w:r>
              <w:lastRenderedPageBreak/>
              <w:t>L.11-12.1</w:t>
            </w:r>
          </w:p>
        </w:tc>
        <w:tc>
          <w:tcPr>
            <w:tcW w:w="8237" w:type="dxa"/>
          </w:tcPr>
          <w:p w:rsidR="007450E1" w:rsidRPr="00B94450" w:rsidRDefault="007450E1" w:rsidP="007450E1">
            <w:pPr>
              <w:pStyle w:val="TableText"/>
            </w:pPr>
            <w:r w:rsidRPr="007450E1">
              <w:t>Demonstrate command of the conventions of standard English grammar and usage when writing or speaking.</w:t>
            </w:r>
          </w:p>
        </w:tc>
      </w:tr>
      <w:tr w:rsidR="007450E1" w:rsidRPr="00790BCC" w:rsidTr="00D86D95">
        <w:tc>
          <w:tcPr>
            <w:tcW w:w="1213" w:type="dxa"/>
          </w:tcPr>
          <w:p w:rsidR="007450E1" w:rsidRDefault="007450E1" w:rsidP="00015984">
            <w:pPr>
              <w:pStyle w:val="TableText"/>
            </w:pPr>
            <w:r>
              <w:t>L.11</w:t>
            </w:r>
            <w:r w:rsidR="00015984">
              <w:noBreakHyphen/>
            </w:r>
            <w:r>
              <w:t>12.2.</w:t>
            </w:r>
            <w:r w:rsidR="00015984">
              <w:br/>
            </w:r>
            <w:r>
              <w:t>a,</w:t>
            </w:r>
            <w:r w:rsidR="00D86D95">
              <w:t xml:space="preserve"> </w:t>
            </w:r>
            <w:r>
              <w:t>b</w:t>
            </w:r>
          </w:p>
        </w:tc>
        <w:tc>
          <w:tcPr>
            <w:tcW w:w="8237" w:type="dxa"/>
          </w:tcPr>
          <w:p w:rsidR="007450E1" w:rsidRPr="00B94450" w:rsidRDefault="007450E1" w:rsidP="007450E1">
            <w:pPr>
              <w:pStyle w:val="TableText"/>
            </w:pPr>
            <w:r>
              <w:t>Demonstrate command of</w:t>
            </w:r>
            <w:r w:rsidRPr="00B94450">
              <w:t xml:space="preserve"> </w:t>
            </w:r>
            <w:r>
              <w:t xml:space="preserve">the </w:t>
            </w:r>
            <w:r w:rsidRPr="00B94450">
              <w:t xml:space="preserve">conventions of </w:t>
            </w:r>
            <w:r>
              <w:t xml:space="preserve">standard English </w:t>
            </w:r>
            <w:r w:rsidRPr="00B94450">
              <w:t>capitalization, punctuation, and spelling when writing.</w:t>
            </w:r>
          </w:p>
          <w:p w:rsidR="007450E1" w:rsidRDefault="007450E1" w:rsidP="007450E1">
            <w:pPr>
              <w:pStyle w:val="SubStandard"/>
              <w:numPr>
                <w:ilvl w:val="0"/>
                <w:numId w:val="32"/>
              </w:numPr>
            </w:pPr>
            <w:r w:rsidRPr="00B94450">
              <w:t>Observe hyphenation conventions.</w:t>
            </w:r>
          </w:p>
          <w:p w:rsidR="007450E1" w:rsidRPr="00B94450" w:rsidRDefault="007450E1" w:rsidP="007450E1">
            <w:pPr>
              <w:pStyle w:val="SubStandard"/>
              <w:rPr>
                <w:rFonts w:cs="Calibri"/>
              </w:rPr>
            </w:pPr>
            <w:r w:rsidRPr="00B94450">
              <w:t>Spell correctly</w:t>
            </w:r>
            <w:r w:rsidR="00495FB1">
              <w:t>.</w:t>
            </w:r>
          </w:p>
        </w:tc>
      </w:tr>
      <w:tr w:rsidR="00E91E95" w:rsidRPr="00790BCC" w:rsidTr="00D86D95">
        <w:tc>
          <w:tcPr>
            <w:tcW w:w="9450" w:type="dxa"/>
            <w:gridSpan w:val="2"/>
            <w:shd w:val="clear" w:color="auto" w:fill="76923C"/>
          </w:tcPr>
          <w:p w:rsidR="00790BCC" w:rsidRPr="0031535D" w:rsidRDefault="00790BCC" w:rsidP="007017EB">
            <w:pPr>
              <w:pStyle w:val="TableHeaders"/>
            </w:pPr>
            <w:r w:rsidRPr="0031535D">
              <w:t>Addressed Standard(s)</w:t>
            </w:r>
          </w:p>
        </w:tc>
      </w:tr>
      <w:tr w:rsidR="007450E1" w:rsidRPr="00790BCC" w:rsidTr="00D86D95">
        <w:tc>
          <w:tcPr>
            <w:tcW w:w="9450" w:type="dxa"/>
            <w:gridSpan w:val="2"/>
          </w:tcPr>
          <w:p w:rsidR="007450E1" w:rsidRPr="00790BCC" w:rsidRDefault="007450E1" w:rsidP="009655F0">
            <w:pPr>
              <w:pStyle w:val="TableText"/>
            </w:pPr>
            <w:r>
              <w:t>None.</w:t>
            </w:r>
          </w:p>
        </w:tc>
      </w:tr>
    </w:tbl>
    <w:p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D86D95">
        <w:tc>
          <w:tcPr>
            <w:tcW w:w="9450" w:type="dxa"/>
            <w:shd w:val="clear" w:color="auto" w:fill="76923C"/>
          </w:tcPr>
          <w:p w:rsidR="00790BCC" w:rsidRPr="0031535D" w:rsidRDefault="00790BCC" w:rsidP="007017EB">
            <w:pPr>
              <w:pStyle w:val="TableHeaders"/>
            </w:pPr>
            <w:r w:rsidRPr="0031535D">
              <w:t>Assessment(s)</w:t>
            </w:r>
          </w:p>
        </w:tc>
      </w:tr>
      <w:tr w:rsidR="00790BCC" w:rsidRPr="00790BCC" w:rsidTr="00D86D95">
        <w:tc>
          <w:tcPr>
            <w:tcW w:w="9450" w:type="dxa"/>
            <w:tcBorders>
              <w:top w:val="single" w:sz="4" w:space="0" w:color="auto"/>
              <w:left w:val="single" w:sz="4" w:space="0" w:color="auto"/>
              <w:bottom w:val="single" w:sz="4" w:space="0" w:color="auto"/>
              <w:right w:val="single" w:sz="4" w:space="0" w:color="auto"/>
            </w:tcBorders>
          </w:tcPr>
          <w:p w:rsidR="00E91E95" w:rsidRDefault="00E91E95" w:rsidP="00E91E95">
            <w:pPr>
              <w:pStyle w:val="TableText"/>
            </w:pPr>
            <w:r>
              <w:t>Student learning is assessed via a formal, multi-paragraph response to the End-of-Unit Assessment. Students respond to the following prompt, citing textual evidence to support analysis and inferences drawn from the text.</w:t>
            </w:r>
          </w:p>
          <w:p w:rsidR="006E1219" w:rsidRDefault="006E1219" w:rsidP="004D4C34">
            <w:pPr>
              <w:pStyle w:val="BulletedList"/>
            </w:pPr>
            <w:r>
              <w:t>Explain how the title </w:t>
            </w:r>
            <w:r>
              <w:rPr>
                <w:i/>
                <w:iCs/>
              </w:rPr>
              <w:t>The Tragedy of Julius Caesar </w:t>
            </w:r>
            <w:r>
              <w:t>is appropriate for the play, or propose a new title and explain why it is more appropriate.</w:t>
            </w:r>
          </w:p>
          <w:p w:rsidR="00807DAC" w:rsidRDefault="00321D5C" w:rsidP="0076577C">
            <w:pPr>
              <w:pStyle w:val="IN"/>
            </w:pPr>
            <w:r>
              <w:t xml:space="preserve">Student </w:t>
            </w:r>
            <w:r w:rsidR="009305AE">
              <w:t xml:space="preserve">responses are </w:t>
            </w:r>
            <w:r w:rsidR="0076577C">
              <w:t>assesses</w:t>
            </w:r>
            <w:r w:rsidR="00350D91">
              <w:t xml:space="preserve"> </w:t>
            </w:r>
            <w:r w:rsidR="00E91E95">
              <w:t xml:space="preserve">using the 12.2.2 </w:t>
            </w:r>
            <w:r w:rsidR="00421AB2">
              <w:t xml:space="preserve">Part 2 </w:t>
            </w:r>
            <w:r w:rsidR="00E91E95">
              <w:t xml:space="preserve">End-of-Unit </w:t>
            </w:r>
            <w:r w:rsidR="009305AE">
              <w:t>Text Analysis Rubric</w:t>
            </w:r>
            <w:r w:rsidR="00A00BE7">
              <w:t>.</w:t>
            </w:r>
          </w:p>
        </w:tc>
      </w:tr>
      <w:tr w:rsidR="00790BCC" w:rsidRPr="00790BCC" w:rsidTr="00D86D95">
        <w:tc>
          <w:tcPr>
            <w:tcW w:w="9450" w:type="dxa"/>
            <w:shd w:val="clear" w:color="auto" w:fill="76923C"/>
          </w:tcPr>
          <w:p w:rsidR="00790BCC" w:rsidRPr="0031535D" w:rsidRDefault="00790BCC" w:rsidP="007017EB">
            <w:pPr>
              <w:pStyle w:val="TableHeaders"/>
            </w:pPr>
            <w:r w:rsidRPr="0031535D">
              <w:t>High Performance Response(s)</w:t>
            </w:r>
          </w:p>
        </w:tc>
      </w:tr>
      <w:tr w:rsidR="00790BCC" w:rsidRPr="00790BCC" w:rsidTr="00D86D95">
        <w:tc>
          <w:tcPr>
            <w:tcW w:w="9450" w:type="dxa"/>
          </w:tcPr>
          <w:p w:rsidR="007450E1" w:rsidRPr="00790BCC" w:rsidRDefault="007450E1" w:rsidP="007450E1">
            <w:pPr>
              <w:pStyle w:val="TableText"/>
            </w:pPr>
            <w:r w:rsidRPr="00790BCC">
              <w:t xml:space="preserve"> A High Performance Response should:</w:t>
            </w:r>
          </w:p>
          <w:p w:rsidR="007450E1" w:rsidRDefault="007450E1" w:rsidP="007450E1">
            <w:pPr>
              <w:pStyle w:val="BulletedList"/>
            </w:pPr>
            <w:r>
              <w:t xml:space="preserve">Make a claim </w:t>
            </w:r>
            <w:r w:rsidR="006E1219">
              <w:t xml:space="preserve">as to whether the title </w:t>
            </w:r>
            <w:r w:rsidR="006E1219">
              <w:rPr>
                <w:i/>
              </w:rPr>
              <w:t>The Tragedy of</w:t>
            </w:r>
            <w:r>
              <w:t xml:space="preserve"> </w:t>
            </w:r>
            <w:r>
              <w:rPr>
                <w:i/>
              </w:rPr>
              <w:t>Julius Caesar</w:t>
            </w:r>
            <w:r w:rsidR="003F1EA7">
              <w:t xml:space="preserve"> </w:t>
            </w:r>
            <w:r w:rsidR="006E1219">
              <w:t xml:space="preserve">is appropriate to the play. </w:t>
            </w:r>
          </w:p>
          <w:p w:rsidR="007450E1" w:rsidRDefault="006E1219" w:rsidP="008872F6">
            <w:pPr>
              <w:pStyle w:val="BulletedList"/>
              <w:rPr>
                <w:sz w:val="20"/>
                <w:szCs w:val="20"/>
              </w:rPr>
            </w:pPr>
            <w:r>
              <w:t>Use textual evidence to support that claim either by explaining how the title is appropriate or by proposing a</w:t>
            </w:r>
            <w:r w:rsidR="0071771C">
              <w:t xml:space="preserve"> new</w:t>
            </w:r>
            <w:r>
              <w:t xml:space="preserve"> title and explaining why it is more appropriate</w:t>
            </w:r>
            <w:r w:rsidR="0071771C">
              <w:t>.</w:t>
            </w:r>
          </w:p>
          <w:p w:rsidR="007450E1" w:rsidRDefault="007450E1" w:rsidP="00D22664">
            <w:pPr>
              <w:pStyle w:val="TableText"/>
            </w:pPr>
            <w:r>
              <w:t>A High Performance Response may include the following evidence in support of a multi-paragraph analysis</w:t>
            </w:r>
            <w:r w:rsidR="00A42A7E">
              <w:t>.</w:t>
            </w:r>
          </w:p>
          <w:p w:rsidR="008227C1" w:rsidRDefault="002825AB" w:rsidP="008227C1">
            <w:pPr>
              <w:pStyle w:val="BulletedList"/>
            </w:pPr>
            <w:r>
              <w:t xml:space="preserve">The title </w:t>
            </w:r>
            <w:r>
              <w:rPr>
                <w:i/>
              </w:rPr>
              <w:t xml:space="preserve">The Tragedy of Julius Caesar </w:t>
            </w:r>
            <w:r>
              <w:t>is appropriate to the play because Shakespeare places Julius Caesar at the center of the tragedy. From the very opening of the play, Caesar is the focus of conflict, as the tribunes Marullus and Flavius confront a group of commoners who have taken the day off “to see Caesar and to rejoice in his</w:t>
            </w:r>
            <w:r w:rsidR="007A0CE7">
              <w:t xml:space="preserve"> /</w:t>
            </w:r>
            <w:r>
              <w:t xml:space="preserve"> triumph” (Act 1.1, lines 34</w:t>
            </w:r>
            <w:r w:rsidR="00D45B9C">
              <w:t>–</w:t>
            </w:r>
            <w:r>
              <w:t xml:space="preserve">35). In the following scene, </w:t>
            </w:r>
            <w:r>
              <w:lastRenderedPageBreak/>
              <w:t>the conversation between Cassius and Brutus develops this conflict as Cassius expresses the discontent of certain patricians, complaining to Brutus, “[Caesar] doth bestride the narrow world / Like a Colossus, and we petty men / Walk under his huge legs and peep about / To find ourselves dishonorable graves” (Act 1.2, lines 142</w:t>
            </w:r>
            <w:r w:rsidR="006B2EAA">
              <w:t>–</w:t>
            </w:r>
            <w:r>
              <w:t xml:space="preserve">145). This discontent develops into the plot to kill Caesar, as Brutus reluctantly decides that “[i]t must be by his death” (Act 2.1, line 10), </w:t>
            </w:r>
            <w:r w:rsidR="0071771C">
              <w:t xml:space="preserve">meaning </w:t>
            </w:r>
            <w:r>
              <w:t>that Caesar must be killed in order to resolve the tension between Caesar’s vision of himself as the all-powerful leader, “constant as the Northern Star</w:t>
            </w:r>
            <w:r w:rsidR="004D4C34">
              <w:t>”</w:t>
            </w:r>
            <w:r>
              <w:t xml:space="preserve"> (Act 3.1, line 66), and the conspirators</w:t>
            </w:r>
            <w:r w:rsidR="0071771C">
              <w:t>’</w:t>
            </w:r>
            <w:r>
              <w:t xml:space="preserve"> view of Caesar as both vulnerable and dangerous, like the “serpent’s egg”</w:t>
            </w:r>
            <w:r w:rsidR="0071771C">
              <w:t xml:space="preserve"> (Act 2.1, line 36)</w:t>
            </w:r>
            <w:r>
              <w:t>.</w:t>
            </w:r>
            <w:r w:rsidR="008227C1">
              <w:t xml:space="preserve"> However, even after the conspirators eliminate Caesar, he remains the center of the conflict that drives the action of the second half of the play, as </w:t>
            </w:r>
            <w:r w:rsidR="0071771C">
              <w:t xml:space="preserve">Antony disagrees with </w:t>
            </w:r>
            <w:r w:rsidR="008227C1">
              <w:t>the conspirators</w:t>
            </w:r>
            <w:r w:rsidR="006B2EAA">
              <w:t>’</w:t>
            </w:r>
            <w:r w:rsidR="008227C1">
              <w:t xml:space="preserve"> interpretation of his death as a necessary “sacrifice[]” (Act 2.1, line 179) </w:t>
            </w:r>
            <w:r w:rsidR="0071771C">
              <w:t>and</w:t>
            </w:r>
            <w:r w:rsidR="008227C1" w:rsidRPr="00D22664">
              <w:t xml:space="preserve"> </w:t>
            </w:r>
            <w:r w:rsidR="0071771C">
              <w:t xml:space="preserve">calls </w:t>
            </w:r>
            <w:r w:rsidR="008227C1" w:rsidRPr="00D22664">
              <w:t>the conspirators “butchers” in his soliloquy over Caesar’s body (Act 3.1, line 281)</w:t>
            </w:r>
            <w:r w:rsidR="008227C1">
              <w:t xml:space="preserve">. </w:t>
            </w:r>
            <w:r w:rsidR="004D4C34">
              <w:t>Even after death, Caesar continues to exercise influence, in particular through the appearance of his ghost to Brutus in Act 4.3, lines 317.1</w:t>
            </w:r>
            <w:r w:rsidR="006B2EAA">
              <w:t>–</w:t>
            </w:r>
            <w:r w:rsidR="004D4C34">
              <w:t>330. So strong is his continued power that Brutus addresses him directly with his dying words, pleading</w:t>
            </w:r>
            <w:r w:rsidR="0077033E">
              <w:t>,</w:t>
            </w:r>
            <w:r w:rsidR="004D4C34">
              <w:t xml:space="preserve"> “Caesar, now be still” (Act 5.5, line 56). </w:t>
            </w:r>
            <w:r w:rsidR="002D62E5">
              <w:t>Therefore, d</w:t>
            </w:r>
            <w:r w:rsidR="008227C1">
              <w:t xml:space="preserve">espite his death in Act 3.1, line 85, Caesar continues to dominate the play as the competing interpretations </w:t>
            </w:r>
            <w:r w:rsidR="0071771C">
              <w:t>of his</w:t>
            </w:r>
            <w:r w:rsidR="008227C1">
              <w:t xml:space="preserve"> death generate a </w:t>
            </w:r>
            <w:r w:rsidR="00057A48">
              <w:t>new, violent conflict that ends in death for the conspirators and the triumph of Antony and Octavius</w:t>
            </w:r>
            <w:r w:rsidR="004D4C34">
              <w:t xml:space="preserve"> as, with Brutus’s suicide, Caesar’s murder is avenged</w:t>
            </w:r>
            <w:r w:rsidR="00057A48">
              <w:t xml:space="preserve">. </w:t>
            </w:r>
          </w:p>
          <w:p w:rsidR="008227C1" w:rsidRPr="00790BCC" w:rsidRDefault="008227C1" w:rsidP="002D62E5">
            <w:pPr>
              <w:pStyle w:val="BulletedList"/>
            </w:pPr>
            <w:r>
              <w:t xml:space="preserve">A more appropriate title for </w:t>
            </w:r>
            <w:r>
              <w:rPr>
                <w:i/>
              </w:rPr>
              <w:t xml:space="preserve">The Tragedy of Julius Caesar </w:t>
            </w:r>
            <w:r>
              <w:t xml:space="preserve">would be </w:t>
            </w:r>
            <w:r>
              <w:rPr>
                <w:i/>
              </w:rPr>
              <w:t>The Tragedy of Brutus</w:t>
            </w:r>
            <w:r>
              <w:t xml:space="preserve">. The central conflict of the play does not involve Caesar but rather </w:t>
            </w:r>
            <w:r w:rsidR="00FE5BB6">
              <w:t>centers on</w:t>
            </w:r>
            <w:r w:rsidR="009F3214">
              <w:t xml:space="preserve"> Brutus’s internal struggle with himself over his involvement in Caesar’s death. In Act 2.1, Shakespeare presents Brutus as torn between his personal</w:t>
            </w:r>
            <w:r w:rsidR="005A5B96">
              <w:t xml:space="preserve"> loyalty to Caesar, as he admits that he “know[s] no personal cause to spurn at [Caesar]” (</w:t>
            </w:r>
            <w:r w:rsidR="002D62E5">
              <w:t xml:space="preserve">Act 2.1, </w:t>
            </w:r>
            <w:r w:rsidR="005A5B96">
              <w:t>line 11)</w:t>
            </w:r>
            <w:r w:rsidR="00FE5BB6">
              <w:t>,</w:t>
            </w:r>
            <w:r w:rsidR="005A5B96">
              <w:t xml:space="preserve"> and his growing conviction that Caesar is a “serpent’s egg” (</w:t>
            </w:r>
            <w:r w:rsidR="002D62E5">
              <w:t xml:space="preserve">Act 2.1, </w:t>
            </w:r>
            <w:r w:rsidR="005A5B96">
              <w:t xml:space="preserve">line 33) who may prove to be dangerous. </w:t>
            </w:r>
            <w:r w:rsidR="00FE5BB6">
              <w:t>Shakespeare presents Caesar as arrogant and unsympathetic in his interactions with others, for example</w:t>
            </w:r>
            <w:r w:rsidR="006B720F">
              <w:t>,</w:t>
            </w:r>
            <w:r w:rsidR="00FE5BB6">
              <w:t xml:space="preserve"> in his interactions with the Soothsayer, whom he taunts with the words “The ides of March are come” (Act 3.1, line 1). In comparison, Brutus is presented throughout the play as a noble and sympathetic character, recognized even by his opponent Antony as “the noblest Roman of them all” (Act 5.5, line 74). </w:t>
            </w:r>
            <w:r w:rsidR="005A5B96">
              <w:t xml:space="preserve">Although he agrees to join the conspiracy, he remains torn, as can be seen in Act 4.3 when Caesar’s ghost appears to him, describing itself as Brutus’s “evil spirit” (Act 4.3, line 325). The appearance of Caesar’s ghost reminds Brutus of the betrayal he has committed in killing Caesar, and suggests that </w:t>
            </w:r>
            <w:r w:rsidR="00FE5BB6">
              <w:t>Brutus’s</w:t>
            </w:r>
            <w:r w:rsidR="005A5B96">
              <w:t xml:space="preserve"> internal war has not yet been resolved. Brutus’s struggle can only be ended by his death, </w:t>
            </w:r>
            <w:r w:rsidR="00FE5BB6">
              <w:t>which</w:t>
            </w:r>
            <w:r w:rsidR="005A5B96">
              <w:t xml:space="preserve"> he acknowledges when he addresses Caesar’s spirit with his dying words, “Caesar, now be still / I killed not thee with half so good a will” (Act 5.5, lines 56</w:t>
            </w:r>
            <w:r w:rsidR="00582D47">
              <w:t>–</w:t>
            </w:r>
            <w:r w:rsidR="005A5B96">
              <w:t xml:space="preserve">57). Brutus’s </w:t>
            </w:r>
            <w:r w:rsidR="00FE5BB6">
              <w:t xml:space="preserve">gradual </w:t>
            </w:r>
            <w:r w:rsidR="005A5B96">
              <w:t xml:space="preserve">downfall and </w:t>
            </w:r>
            <w:r w:rsidR="00FE5BB6">
              <w:t xml:space="preserve">eventual </w:t>
            </w:r>
            <w:r w:rsidR="005A5B96">
              <w:t>death</w:t>
            </w:r>
            <w:r w:rsidR="00FE5BB6">
              <w:t xml:space="preserve"> also </w:t>
            </w:r>
            <w:r w:rsidR="005A5B96">
              <w:t xml:space="preserve">inspire </w:t>
            </w:r>
            <w:r w:rsidR="0051377D">
              <w:t>pity in the audience, in contrast to Caesar’s murder</w:t>
            </w:r>
            <w:r w:rsidR="0016316C">
              <w:t>,</w:t>
            </w:r>
            <w:r w:rsidR="0051377D">
              <w:t xml:space="preserve"> which occurs abruptly over two lines, halfway through the play (Act 3.1, </w:t>
            </w:r>
            <w:r w:rsidR="00582D47">
              <w:t xml:space="preserve">lines </w:t>
            </w:r>
            <w:r w:rsidR="0051377D">
              <w:t>84.1</w:t>
            </w:r>
            <w:r w:rsidR="00582D47">
              <w:t>–</w:t>
            </w:r>
            <w:r w:rsidR="0051377D">
              <w:t>85.1)</w:t>
            </w:r>
            <w:r w:rsidR="00FE5BB6">
              <w:t>.</w:t>
            </w:r>
            <w:r w:rsidR="0051377D">
              <w:t xml:space="preserve"> As Brutus prepares to die, surrounded only by “poor remains of friends” (Act 5.5, line 1), Shakespeare evokes </w:t>
            </w:r>
            <w:r w:rsidR="00FE5BB6">
              <w:t>Brutus’s</w:t>
            </w:r>
            <w:r w:rsidR="0051377D">
              <w:t xml:space="preserve"> </w:t>
            </w:r>
            <w:r w:rsidR="0051377D">
              <w:lastRenderedPageBreak/>
              <w:t>sadness and despair both through Brutus’s physical appearance and his words. Clitus des</w:t>
            </w:r>
            <w:r w:rsidR="00582D47">
              <w:t>c</w:t>
            </w:r>
            <w:r w:rsidR="0051377D">
              <w:t xml:space="preserve">ribes how Brutus weeps as “[n]ow is that noble vessel full of grief, / That it runs over even at his eyes” (Act 5.5, lines </w:t>
            </w:r>
            <w:r w:rsidR="0052638C">
              <w:t>15</w:t>
            </w:r>
            <w:r w:rsidR="00582D47">
              <w:t>–</w:t>
            </w:r>
            <w:r w:rsidR="0052638C">
              <w:t>16). Brutus himself admits to Volumnius that he is weary of conflict and longs for death, telling his friend that “[his] bones would rest, / That have but labored to attain this hour” (Act 5.5, lines 45</w:t>
            </w:r>
            <w:r w:rsidR="00582D47">
              <w:t>–</w:t>
            </w:r>
            <w:r w:rsidR="0052638C">
              <w:t>46). It is then Brutus’s struggle and downfall, not Caesar’s</w:t>
            </w:r>
            <w:r w:rsidR="00FE5BB6">
              <w:t>,</w:t>
            </w:r>
            <w:r w:rsidR="0052638C">
              <w:t xml:space="preserve"> </w:t>
            </w:r>
            <w:r w:rsidR="002D62E5">
              <w:t xml:space="preserve">that </w:t>
            </w:r>
            <w:r w:rsidR="0052638C">
              <w:t xml:space="preserve">engages the audience’s sympathy and </w:t>
            </w:r>
            <w:r w:rsidR="00FE5BB6">
              <w:t>creates</w:t>
            </w:r>
            <w:r w:rsidR="0052638C">
              <w:t xml:space="preserve"> the tragedy of </w:t>
            </w:r>
            <w:r w:rsidR="0052638C">
              <w:rPr>
                <w:i/>
              </w:rPr>
              <w:t>The Tragedy of Julius Caesar</w:t>
            </w:r>
            <w:r w:rsidR="0052638C">
              <w:t xml:space="preserve">. </w:t>
            </w:r>
          </w:p>
        </w:tc>
      </w:tr>
    </w:tbl>
    <w:p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D86D95">
        <w:tc>
          <w:tcPr>
            <w:tcW w:w="9450" w:type="dxa"/>
            <w:shd w:val="clear" w:color="auto" w:fill="76923C"/>
          </w:tcPr>
          <w:p w:rsidR="00790BCC" w:rsidRPr="0031535D" w:rsidRDefault="00790BCC" w:rsidP="00D31F4D">
            <w:pPr>
              <w:pStyle w:val="TableHeaders"/>
            </w:pPr>
            <w:r w:rsidRPr="0031535D">
              <w:t>Vocabulary to provide directly (will not include extended instruction)</w:t>
            </w:r>
          </w:p>
        </w:tc>
      </w:tr>
      <w:tr w:rsidR="00790BCC" w:rsidRPr="00790BCC" w:rsidTr="00D86D95">
        <w:tc>
          <w:tcPr>
            <w:tcW w:w="9450" w:type="dxa"/>
          </w:tcPr>
          <w:p w:rsidR="00CA7015" w:rsidRDefault="00321D5C" w:rsidP="00DB0AB0">
            <w:pPr>
              <w:pStyle w:val="BulletedList"/>
            </w:pPr>
            <w:r w:rsidRPr="002836A9">
              <w:t>None</w:t>
            </w:r>
            <w:r w:rsidR="009E4734">
              <w:t>.</w:t>
            </w:r>
            <w:r w:rsidRPr="002836A9">
              <w:t>*</w:t>
            </w:r>
          </w:p>
        </w:tc>
      </w:tr>
      <w:tr w:rsidR="00790BCC" w:rsidRPr="00790BCC" w:rsidTr="00D86D95">
        <w:tc>
          <w:tcPr>
            <w:tcW w:w="9450" w:type="dxa"/>
            <w:shd w:val="clear" w:color="auto" w:fill="76923C"/>
          </w:tcPr>
          <w:p w:rsidR="00790BCC" w:rsidRPr="0031535D" w:rsidRDefault="00790BCC" w:rsidP="00D31F4D">
            <w:pPr>
              <w:pStyle w:val="TableHeaders"/>
            </w:pPr>
            <w:r w:rsidRPr="0031535D">
              <w:t>Vocabulary to teach (may include direct word work and/or questions)</w:t>
            </w:r>
          </w:p>
        </w:tc>
      </w:tr>
      <w:tr w:rsidR="00790BCC" w:rsidRPr="00790BCC" w:rsidTr="00D86D95">
        <w:tc>
          <w:tcPr>
            <w:tcW w:w="9450" w:type="dxa"/>
          </w:tcPr>
          <w:p w:rsidR="00CA7015" w:rsidRDefault="00321D5C" w:rsidP="00DB0AB0">
            <w:pPr>
              <w:pStyle w:val="BulletedList"/>
            </w:pPr>
            <w:r w:rsidRPr="002836A9">
              <w:t>None</w:t>
            </w:r>
            <w:r w:rsidR="009E4734">
              <w:t>.</w:t>
            </w:r>
            <w:r w:rsidRPr="002836A9">
              <w:t>*</w:t>
            </w:r>
          </w:p>
        </w:tc>
      </w:tr>
      <w:tr w:rsidR="00790BCC" w:rsidRPr="00790BCC" w:rsidTr="00D86D95">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31535D" w:rsidRDefault="00790BCC" w:rsidP="009E4734">
            <w:pPr>
              <w:pStyle w:val="TableHeaders"/>
            </w:pPr>
            <w:r w:rsidRPr="0031535D">
              <w:t>Additional vocabulary to support English Language Learners directly</w:t>
            </w:r>
          </w:p>
        </w:tc>
      </w:tr>
      <w:tr w:rsidR="00790BCC" w:rsidRPr="00790BCC" w:rsidTr="00D86D95">
        <w:trPr>
          <w:trHeight w:val="296"/>
        </w:trPr>
        <w:tc>
          <w:tcPr>
            <w:tcW w:w="9450" w:type="dxa"/>
            <w:tcBorders>
              <w:top w:val="single" w:sz="4" w:space="0" w:color="auto"/>
              <w:left w:val="single" w:sz="4" w:space="0" w:color="auto"/>
              <w:bottom w:val="single" w:sz="4" w:space="0" w:color="auto"/>
              <w:right w:val="single" w:sz="4" w:space="0" w:color="auto"/>
            </w:tcBorders>
          </w:tcPr>
          <w:p w:rsidR="00CA7015" w:rsidRDefault="00321D5C" w:rsidP="00DB0AB0">
            <w:pPr>
              <w:pStyle w:val="BulletedList"/>
            </w:pPr>
            <w:r w:rsidRPr="002836A9">
              <w:t>None</w:t>
            </w:r>
            <w:r w:rsidR="009E4734">
              <w:t>.</w:t>
            </w:r>
            <w:r w:rsidRPr="002836A9">
              <w:t>*</w:t>
            </w:r>
          </w:p>
        </w:tc>
      </w:tr>
    </w:tbl>
    <w:p w:rsidR="00321D5C" w:rsidRPr="005E44B2" w:rsidRDefault="00321D5C" w:rsidP="00321D5C">
      <w:pPr>
        <w:rPr>
          <w:sz w:val="18"/>
        </w:rPr>
      </w:pPr>
      <w:r w:rsidRPr="005E44B2">
        <w:rPr>
          <w:sz w:val="18"/>
        </w:rPr>
        <w:t>*Because this is not a close reading lesson, there is no specified vocabulary. However, in the process of returning to the text, students may uncover unfamiliar words. Teachers can guide students to make meaning of these words by following the protocols de</w:t>
      </w:r>
      <w:r w:rsidR="00B64244">
        <w:rPr>
          <w:sz w:val="18"/>
        </w:rPr>
        <w:t>scribed in 1e</w:t>
      </w:r>
      <w:r w:rsidRPr="005E44B2">
        <w:rPr>
          <w:sz w:val="18"/>
        </w:rPr>
        <w:t xml:space="preserve"> of this document</w:t>
      </w:r>
      <w:r w:rsidR="0076577C">
        <w:rPr>
          <w:sz w:val="18"/>
        </w:rPr>
        <w:t>:</w:t>
      </w:r>
      <w:r w:rsidRPr="005E44B2">
        <w:rPr>
          <w:sz w:val="18"/>
        </w:rPr>
        <w:t xml:space="preserve"> </w:t>
      </w:r>
      <w:hyperlink r:id="rId8" w:history="1">
        <w:r w:rsidRPr="008C128E">
          <w:rPr>
            <w:rStyle w:val="Hyperlink"/>
            <w:sz w:val="18"/>
            <w:szCs w:val="18"/>
          </w:rPr>
          <w:t>http://www.engageny.org/sites/default/files/resource/attachments/9-12_ela_prefatory_material.pdf</w:t>
        </w:r>
      </w:hyperlink>
    </w:p>
    <w:p w:rsidR="00790BCC" w:rsidRPr="00790BCC" w:rsidRDefault="00790BCC" w:rsidP="00D31F4D">
      <w:pPr>
        <w:pStyle w:val="Heading1"/>
      </w:pPr>
      <w:r w:rsidRPr="00790BCC">
        <w:t>Lesson Agenda/Overview</w:t>
      </w:r>
      <w:r w:rsidR="005A47B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rsidTr="00D86D95">
        <w:tc>
          <w:tcPr>
            <w:tcW w:w="7537" w:type="dxa"/>
            <w:tcBorders>
              <w:bottom w:val="single" w:sz="4" w:space="0" w:color="auto"/>
            </w:tcBorders>
            <w:shd w:val="clear" w:color="auto" w:fill="76923C"/>
          </w:tcPr>
          <w:p w:rsidR="00790BCC" w:rsidRPr="0031535D" w:rsidRDefault="00790BCC" w:rsidP="00D31F4D">
            <w:pPr>
              <w:pStyle w:val="TableHeaders"/>
            </w:pPr>
            <w:r w:rsidRPr="0031535D">
              <w:t>Student-Facing Agenda</w:t>
            </w:r>
          </w:p>
        </w:tc>
        <w:tc>
          <w:tcPr>
            <w:tcW w:w="1913" w:type="dxa"/>
            <w:tcBorders>
              <w:bottom w:val="single" w:sz="4" w:space="0" w:color="auto"/>
            </w:tcBorders>
            <w:shd w:val="clear" w:color="auto" w:fill="76923C"/>
          </w:tcPr>
          <w:p w:rsidR="00790BCC" w:rsidRPr="0031535D" w:rsidRDefault="00790BCC" w:rsidP="00D31F4D">
            <w:pPr>
              <w:pStyle w:val="TableHeaders"/>
            </w:pPr>
            <w:r w:rsidRPr="0031535D">
              <w:t>% of Lesson</w:t>
            </w:r>
          </w:p>
        </w:tc>
      </w:tr>
      <w:tr w:rsidR="00790BCC" w:rsidRPr="00790BCC" w:rsidTr="00D86D95">
        <w:trPr>
          <w:trHeight w:val="1313"/>
        </w:trPr>
        <w:tc>
          <w:tcPr>
            <w:tcW w:w="7537"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144F56" w:rsidP="00DB0AB0">
            <w:pPr>
              <w:pStyle w:val="BulletedList"/>
            </w:pPr>
            <w:r>
              <w:t>Standards: RL.</w:t>
            </w:r>
            <w:r w:rsidR="00646FE0">
              <w:t>11-12.</w:t>
            </w:r>
            <w:r w:rsidR="00B54EA7">
              <w:t>3</w:t>
            </w:r>
            <w:r w:rsidR="00347703">
              <w:t>,</w:t>
            </w:r>
            <w:r w:rsidR="00B54EA7">
              <w:t xml:space="preserve"> </w:t>
            </w:r>
            <w:r w:rsidR="00646FE0">
              <w:t>W.11-12.2.a-f</w:t>
            </w:r>
            <w:r w:rsidR="009655F0">
              <w:t xml:space="preserve">, </w:t>
            </w:r>
            <w:r w:rsidR="00D22664">
              <w:t>L.11-12.1, L.11-12.2.a,</w:t>
            </w:r>
            <w:r w:rsidR="00D86D95">
              <w:t xml:space="preserve"> </w:t>
            </w:r>
            <w:r w:rsidR="00D22664">
              <w:t>b</w:t>
            </w:r>
          </w:p>
          <w:p w:rsidR="00790BCC" w:rsidRPr="00790BCC" w:rsidRDefault="00954BFB" w:rsidP="00DB0AB0">
            <w:pPr>
              <w:pStyle w:val="BulletedList"/>
            </w:pPr>
            <w:r>
              <w:t xml:space="preserve">Text: </w:t>
            </w:r>
            <w:r w:rsidR="00323089">
              <w:rPr>
                <w:i/>
              </w:rPr>
              <w:t>Julius Caesar</w:t>
            </w:r>
            <w:r w:rsidR="00C538A6" w:rsidRPr="00F03B3D">
              <w:t xml:space="preserve"> by</w:t>
            </w:r>
            <w:r w:rsidR="00C538A6">
              <w:rPr>
                <w:i/>
              </w:rPr>
              <w:t xml:space="preserve"> </w:t>
            </w:r>
            <w:r w:rsidR="00C538A6" w:rsidRPr="00C538A6">
              <w:t>William Shakespeare</w:t>
            </w:r>
          </w:p>
        </w:tc>
        <w:tc>
          <w:tcPr>
            <w:tcW w:w="1913"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D86D95">
        <w:tc>
          <w:tcPr>
            <w:tcW w:w="7537"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9655F0" w:rsidP="009305AE">
            <w:pPr>
              <w:pStyle w:val="NumberedList"/>
            </w:pPr>
            <w:r>
              <w:t xml:space="preserve">12.2.2 </w:t>
            </w:r>
            <w:r w:rsidR="00195A5F">
              <w:t xml:space="preserve">Part 2 </w:t>
            </w:r>
            <w:r w:rsidR="009305AE">
              <w:t>End-of-Unit Assessment</w:t>
            </w:r>
          </w:p>
          <w:p w:rsidR="00790BCC" w:rsidRPr="00790BCC" w:rsidRDefault="00790BCC" w:rsidP="00D31F4D">
            <w:pPr>
              <w:pStyle w:val="NumberedList"/>
            </w:pPr>
            <w:r w:rsidRPr="00790BCC">
              <w:t>Closing</w:t>
            </w:r>
          </w:p>
        </w:tc>
        <w:tc>
          <w:tcPr>
            <w:tcW w:w="1913"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BE02BF" w:rsidP="00D31F4D">
            <w:pPr>
              <w:pStyle w:val="NumberedList"/>
              <w:numPr>
                <w:ilvl w:val="0"/>
                <w:numId w:val="13"/>
              </w:numPr>
            </w:pPr>
            <w:r>
              <w:t>10</w:t>
            </w:r>
            <w:r w:rsidR="00790BCC" w:rsidRPr="00790BCC">
              <w:t>%</w:t>
            </w:r>
          </w:p>
          <w:p w:rsidR="00790BCC" w:rsidRPr="00790BCC" w:rsidRDefault="009305AE" w:rsidP="00ED08FF">
            <w:pPr>
              <w:pStyle w:val="NumberedList"/>
              <w:numPr>
                <w:ilvl w:val="0"/>
                <w:numId w:val="13"/>
              </w:numPr>
            </w:pPr>
            <w:r>
              <w:t>80</w:t>
            </w:r>
            <w:r w:rsidR="00790BCC" w:rsidRPr="00790BCC">
              <w:t>%</w:t>
            </w:r>
          </w:p>
          <w:p w:rsidR="00790BCC" w:rsidRPr="00790BCC" w:rsidRDefault="009305AE" w:rsidP="009305AE">
            <w:pPr>
              <w:pStyle w:val="NumberedList"/>
              <w:numPr>
                <w:ilvl w:val="0"/>
                <w:numId w:val="13"/>
              </w:numPr>
            </w:pPr>
            <w:r>
              <w:t>5</w:t>
            </w:r>
            <w:r w:rsidR="00790BCC" w:rsidRPr="00790BCC">
              <w:t>%</w:t>
            </w:r>
          </w:p>
        </w:tc>
      </w:tr>
    </w:tbl>
    <w:p w:rsidR="00790BCC" w:rsidRPr="00790BCC" w:rsidRDefault="00790BCC" w:rsidP="00D31F4D">
      <w:pPr>
        <w:pStyle w:val="Heading1"/>
      </w:pPr>
      <w:r w:rsidRPr="00790BCC">
        <w:lastRenderedPageBreak/>
        <w:t>Materials</w:t>
      </w:r>
    </w:p>
    <w:p w:rsidR="00195A5F" w:rsidRDefault="00195A5F" w:rsidP="005F033D">
      <w:pPr>
        <w:pStyle w:val="BulletedList"/>
      </w:pPr>
      <w:r>
        <w:t>Copies of the 12.2.2 Part 2 End-of-Unit Assessment for each student</w:t>
      </w:r>
    </w:p>
    <w:p w:rsidR="005F033D" w:rsidRPr="00DB0AB0" w:rsidRDefault="008872F6" w:rsidP="005F033D">
      <w:pPr>
        <w:pStyle w:val="BulletedList"/>
      </w:pPr>
      <w:r>
        <w:t>Student c</w:t>
      </w:r>
      <w:r w:rsidR="005F033D">
        <w:t>opies of the 12.2</w:t>
      </w:r>
      <w:r w:rsidR="005F033D" w:rsidRPr="00DB0AB0">
        <w:t xml:space="preserve">.2 </w:t>
      </w:r>
      <w:r w:rsidR="00195A5F">
        <w:t xml:space="preserve">Part 2 </w:t>
      </w:r>
      <w:r w:rsidR="005F033D" w:rsidRPr="00DB0AB0">
        <w:t xml:space="preserve">End-of-Unit Text Analysis Rubric and Checklist </w:t>
      </w:r>
      <w:r w:rsidR="0076577C">
        <w:t>(refer to 12.2.2 Lesson 21)</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rsidTr="00D86D95">
        <w:tc>
          <w:tcPr>
            <w:tcW w:w="9450" w:type="dxa"/>
            <w:gridSpan w:val="2"/>
            <w:shd w:val="clear" w:color="auto" w:fill="76923C"/>
          </w:tcPr>
          <w:p w:rsidR="00D31F4D" w:rsidRPr="0031535D" w:rsidRDefault="00D31F4D" w:rsidP="009450B7">
            <w:pPr>
              <w:pStyle w:val="TableHeaders"/>
              <w:rPr>
                <w:sz w:val="20"/>
                <w:szCs w:val="20"/>
              </w:rPr>
            </w:pPr>
            <w:r w:rsidRPr="0031535D">
              <w:rPr>
                <w:szCs w:val="20"/>
              </w:rPr>
              <w:t>How to Use the Learning Sequence</w:t>
            </w:r>
          </w:p>
        </w:tc>
      </w:tr>
      <w:tr w:rsidR="00D31F4D" w:rsidRPr="00D31F4D" w:rsidTr="00D86D95">
        <w:tc>
          <w:tcPr>
            <w:tcW w:w="894" w:type="dxa"/>
            <w:shd w:val="clear" w:color="auto" w:fill="76923C"/>
          </w:tcPr>
          <w:p w:rsidR="00D31F4D" w:rsidRPr="0031535D" w:rsidRDefault="00D31F4D" w:rsidP="00D31F4D">
            <w:pPr>
              <w:pStyle w:val="TableHeaders"/>
              <w:rPr>
                <w:szCs w:val="20"/>
              </w:rPr>
            </w:pPr>
            <w:r w:rsidRPr="0031535D">
              <w:rPr>
                <w:szCs w:val="20"/>
              </w:rPr>
              <w:t>Symbol</w:t>
            </w:r>
          </w:p>
        </w:tc>
        <w:tc>
          <w:tcPr>
            <w:tcW w:w="8556" w:type="dxa"/>
            <w:shd w:val="clear" w:color="auto" w:fill="76923C"/>
          </w:tcPr>
          <w:p w:rsidR="00D31F4D" w:rsidRPr="0031535D" w:rsidRDefault="00D31F4D" w:rsidP="00D31F4D">
            <w:pPr>
              <w:pStyle w:val="TableHeaders"/>
              <w:rPr>
                <w:szCs w:val="20"/>
              </w:rPr>
            </w:pPr>
            <w:r w:rsidRPr="0031535D">
              <w:rPr>
                <w:szCs w:val="20"/>
              </w:rPr>
              <w:t>Type of Text &amp; Interpretation of the Symbol</w:t>
            </w:r>
          </w:p>
        </w:tc>
      </w:tr>
      <w:tr w:rsidR="00D31F4D" w:rsidRPr="00D31F4D" w:rsidTr="00D86D95">
        <w:tc>
          <w:tcPr>
            <w:tcW w:w="894" w:type="dxa"/>
            <w:shd w:val="clear" w:color="auto" w:fill="auto"/>
          </w:tcPr>
          <w:p w:rsidR="00D31F4D" w:rsidRPr="0031535D" w:rsidRDefault="00D31F4D" w:rsidP="0031535D">
            <w:pPr>
              <w:spacing w:before="20" w:after="20" w:line="240" w:lineRule="auto"/>
              <w:jc w:val="center"/>
              <w:rPr>
                <w:b/>
                <w:color w:val="4F81BD"/>
                <w:sz w:val="20"/>
                <w:szCs w:val="20"/>
              </w:rPr>
            </w:pPr>
            <w:r w:rsidRPr="0031535D">
              <w:rPr>
                <w:b/>
                <w:color w:val="4F81BD"/>
                <w:sz w:val="20"/>
                <w:szCs w:val="20"/>
              </w:rPr>
              <w:t>10%</w:t>
            </w:r>
          </w:p>
        </w:tc>
        <w:tc>
          <w:tcPr>
            <w:tcW w:w="8556" w:type="dxa"/>
            <w:shd w:val="clear" w:color="auto" w:fill="auto"/>
          </w:tcPr>
          <w:p w:rsidR="00D31F4D" w:rsidRPr="0031535D" w:rsidRDefault="00D31F4D" w:rsidP="0031535D">
            <w:pPr>
              <w:spacing w:before="20" w:after="20" w:line="240" w:lineRule="auto"/>
              <w:rPr>
                <w:b/>
                <w:color w:val="4F81BD"/>
                <w:sz w:val="20"/>
                <w:szCs w:val="20"/>
              </w:rPr>
            </w:pPr>
            <w:r w:rsidRPr="0031535D">
              <w:rPr>
                <w:b/>
                <w:color w:val="4F81BD"/>
                <w:sz w:val="20"/>
                <w:szCs w:val="20"/>
              </w:rPr>
              <w:t>Percentage indicates the percentage of lesson time each activity should take.</w:t>
            </w:r>
          </w:p>
        </w:tc>
      </w:tr>
      <w:tr w:rsidR="00D31F4D" w:rsidRPr="00D31F4D" w:rsidTr="00D86D95">
        <w:tc>
          <w:tcPr>
            <w:tcW w:w="894" w:type="dxa"/>
            <w:vMerge w:val="restart"/>
            <w:shd w:val="clear" w:color="auto" w:fill="auto"/>
            <w:vAlign w:val="center"/>
          </w:tcPr>
          <w:p w:rsidR="00D31F4D" w:rsidRPr="0031535D" w:rsidRDefault="00D31F4D" w:rsidP="0031535D">
            <w:pPr>
              <w:spacing w:before="20" w:after="20" w:line="240" w:lineRule="auto"/>
              <w:jc w:val="center"/>
              <w:rPr>
                <w:sz w:val="18"/>
                <w:szCs w:val="20"/>
              </w:rPr>
            </w:pPr>
            <w:r w:rsidRPr="0031535D">
              <w:rPr>
                <w:sz w:val="18"/>
                <w:szCs w:val="20"/>
              </w:rPr>
              <w:t>no symbol</w:t>
            </w:r>
          </w:p>
        </w:tc>
        <w:tc>
          <w:tcPr>
            <w:tcW w:w="8556" w:type="dxa"/>
            <w:shd w:val="clear" w:color="auto" w:fill="auto"/>
          </w:tcPr>
          <w:p w:rsidR="00D31F4D" w:rsidRPr="0031535D" w:rsidRDefault="00D31F4D" w:rsidP="0031535D">
            <w:pPr>
              <w:spacing w:before="20" w:after="20" w:line="240" w:lineRule="auto"/>
              <w:rPr>
                <w:sz w:val="20"/>
                <w:szCs w:val="20"/>
              </w:rPr>
            </w:pPr>
            <w:r w:rsidRPr="0031535D">
              <w:rPr>
                <w:sz w:val="20"/>
                <w:szCs w:val="20"/>
              </w:rPr>
              <w:t>Plain text indicates teacher action.</w:t>
            </w:r>
          </w:p>
        </w:tc>
      </w:tr>
      <w:tr w:rsidR="00D31F4D" w:rsidRPr="00D31F4D" w:rsidTr="00D86D95">
        <w:tc>
          <w:tcPr>
            <w:tcW w:w="894" w:type="dxa"/>
            <w:vMerge/>
            <w:shd w:val="clear" w:color="auto" w:fill="auto"/>
          </w:tcPr>
          <w:p w:rsidR="00D31F4D" w:rsidRPr="0031535D" w:rsidRDefault="00D31F4D" w:rsidP="0031535D">
            <w:pPr>
              <w:spacing w:before="20" w:after="20" w:line="240" w:lineRule="auto"/>
              <w:jc w:val="center"/>
              <w:rPr>
                <w:b/>
                <w:color w:val="000000"/>
                <w:sz w:val="20"/>
                <w:szCs w:val="20"/>
              </w:rPr>
            </w:pPr>
          </w:p>
        </w:tc>
        <w:tc>
          <w:tcPr>
            <w:tcW w:w="8556" w:type="dxa"/>
            <w:shd w:val="clear" w:color="auto" w:fill="auto"/>
          </w:tcPr>
          <w:p w:rsidR="00D31F4D" w:rsidRPr="0031535D" w:rsidRDefault="00D31F4D" w:rsidP="0031535D">
            <w:pPr>
              <w:spacing w:before="20" w:after="20" w:line="240" w:lineRule="auto"/>
              <w:rPr>
                <w:color w:val="4F81BD"/>
                <w:sz w:val="20"/>
                <w:szCs w:val="20"/>
              </w:rPr>
            </w:pPr>
            <w:r w:rsidRPr="0031535D">
              <w:rPr>
                <w:b/>
                <w:sz w:val="20"/>
                <w:szCs w:val="20"/>
              </w:rPr>
              <w:t>Bold text indicates questions for the teacher to ask students.</w:t>
            </w:r>
          </w:p>
        </w:tc>
      </w:tr>
      <w:tr w:rsidR="00D31F4D" w:rsidRPr="00D31F4D" w:rsidTr="00D86D95">
        <w:tc>
          <w:tcPr>
            <w:tcW w:w="894" w:type="dxa"/>
            <w:vMerge/>
            <w:shd w:val="clear" w:color="auto" w:fill="auto"/>
          </w:tcPr>
          <w:p w:rsidR="00D31F4D" w:rsidRPr="0031535D" w:rsidRDefault="00D31F4D" w:rsidP="0031535D">
            <w:pPr>
              <w:spacing w:before="20" w:after="20" w:line="240" w:lineRule="auto"/>
              <w:jc w:val="center"/>
              <w:rPr>
                <w:b/>
                <w:color w:val="000000"/>
                <w:sz w:val="20"/>
                <w:szCs w:val="20"/>
              </w:rPr>
            </w:pPr>
          </w:p>
        </w:tc>
        <w:tc>
          <w:tcPr>
            <w:tcW w:w="8556" w:type="dxa"/>
            <w:shd w:val="clear" w:color="auto" w:fill="auto"/>
          </w:tcPr>
          <w:p w:rsidR="00D31F4D" w:rsidRPr="0031535D" w:rsidRDefault="00D31F4D" w:rsidP="0031535D">
            <w:pPr>
              <w:spacing w:before="20" w:after="20" w:line="240" w:lineRule="auto"/>
              <w:rPr>
                <w:i/>
                <w:sz w:val="20"/>
                <w:szCs w:val="20"/>
              </w:rPr>
            </w:pPr>
            <w:r w:rsidRPr="0031535D">
              <w:rPr>
                <w:i/>
                <w:sz w:val="20"/>
                <w:szCs w:val="20"/>
              </w:rPr>
              <w:t>Italicized text indicates a vocabulary word.</w:t>
            </w:r>
          </w:p>
        </w:tc>
      </w:tr>
      <w:tr w:rsidR="00D31F4D" w:rsidRPr="00D31F4D" w:rsidTr="00D86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31535D" w:rsidRDefault="00D31F4D" w:rsidP="0031535D">
            <w:pPr>
              <w:spacing w:before="40" w:after="0" w:line="240" w:lineRule="auto"/>
              <w:jc w:val="center"/>
              <w:rPr>
                <w:sz w:val="20"/>
                <w:szCs w:val="20"/>
              </w:rPr>
            </w:pPr>
            <w:r w:rsidRPr="0031535D">
              <w:rPr>
                <w:sz w:val="20"/>
                <w:szCs w:val="20"/>
              </w:rPr>
              <w:sym w:font="Webdings" w:char="F034"/>
            </w:r>
          </w:p>
        </w:tc>
        <w:tc>
          <w:tcPr>
            <w:tcW w:w="8556" w:type="dxa"/>
            <w:shd w:val="clear" w:color="auto" w:fill="auto"/>
          </w:tcPr>
          <w:p w:rsidR="00D31F4D" w:rsidRPr="0031535D" w:rsidRDefault="00D31F4D" w:rsidP="0031535D">
            <w:pPr>
              <w:spacing w:before="20" w:after="20" w:line="240" w:lineRule="auto"/>
              <w:rPr>
                <w:sz w:val="20"/>
                <w:szCs w:val="20"/>
              </w:rPr>
            </w:pPr>
            <w:r w:rsidRPr="0031535D">
              <w:rPr>
                <w:sz w:val="20"/>
                <w:szCs w:val="20"/>
              </w:rPr>
              <w:t>Indicates student action(s).</w:t>
            </w:r>
          </w:p>
        </w:tc>
      </w:tr>
      <w:tr w:rsidR="00D31F4D" w:rsidRPr="00D31F4D" w:rsidTr="00D86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31535D" w:rsidRDefault="00D31F4D" w:rsidP="0031535D">
            <w:pPr>
              <w:spacing w:before="80" w:after="0" w:line="240" w:lineRule="auto"/>
              <w:jc w:val="center"/>
              <w:rPr>
                <w:sz w:val="20"/>
                <w:szCs w:val="20"/>
              </w:rPr>
            </w:pPr>
            <w:r w:rsidRPr="0031535D">
              <w:rPr>
                <w:sz w:val="20"/>
                <w:szCs w:val="20"/>
              </w:rPr>
              <w:sym w:font="Webdings" w:char="F028"/>
            </w:r>
          </w:p>
        </w:tc>
        <w:tc>
          <w:tcPr>
            <w:tcW w:w="8556" w:type="dxa"/>
            <w:shd w:val="clear" w:color="auto" w:fill="auto"/>
          </w:tcPr>
          <w:p w:rsidR="00D31F4D" w:rsidRPr="0031535D" w:rsidRDefault="00D31F4D" w:rsidP="0031535D">
            <w:pPr>
              <w:spacing w:before="20" w:after="20" w:line="240" w:lineRule="auto"/>
              <w:rPr>
                <w:sz w:val="20"/>
                <w:szCs w:val="20"/>
              </w:rPr>
            </w:pPr>
            <w:r w:rsidRPr="0031535D">
              <w:rPr>
                <w:sz w:val="20"/>
                <w:szCs w:val="20"/>
              </w:rPr>
              <w:t>Indicates possible student response(s) to teacher questions.</w:t>
            </w:r>
          </w:p>
        </w:tc>
      </w:tr>
      <w:tr w:rsidR="00D31F4D" w:rsidRPr="00D31F4D" w:rsidTr="00D86D95">
        <w:tc>
          <w:tcPr>
            <w:tcW w:w="894" w:type="dxa"/>
            <w:shd w:val="clear" w:color="auto" w:fill="auto"/>
            <w:vAlign w:val="bottom"/>
          </w:tcPr>
          <w:p w:rsidR="00D31F4D" w:rsidRPr="0031535D" w:rsidRDefault="00D31F4D" w:rsidP="0031535D">
            <w:pPr>
              <w:spacing w:after="0" w:line="240" w:lineRule="auto"/>
              <w:jc w:val="center"/>
              <w:rPr>
                <w:color w:val="4F81BD"/>
                <w:sz w:val="20"/>
                <w:szCs w:val="20"/>
              </w:rPr>
            </w:pPr>
            <w:r w:rsidRPr="0031535D">
              <w:rPr>
                <w:color w:val="4F81BD"/>
                <w:sz w:val="20"/>
                <w:szCs w:val="20"/>
              </w:rPr>
              <w:sym w:font="Webdings" w:char="F069"/>
            </w:r>
          </w:p>
        </w:tc>
        <w:tc>
          <w:tcPr>
            <w:tcW w:w="8556" w:type="dxa"/>
            <w:shd w:val="clear" w:color="auto" w:fill="auto"/>
          </w:tcPr>
          <w:p w:rsidR="00D31F4D" w:rsidRPr="0031535D" w:rsidRDefault="00D31F4D" w:rsidP="0031535D">
            <w:pPr>
              <w:spacing w:before="20" w:after="20" w:line="240" w:lineRule="auto"/>
              <w:rPr>
                <w:color w:val="4F81BD"/>
                <w:sz w:val="20"/>
                <w:szCs w:val="20"/>
              </w:rPr>
            </w:pPr>
            <w:r w:rsidRPr="0031535D">
              <w:rPr>
                <w:color w:val="4F81BD"/>
                <w:sz w:val="20"/>
                <w:szCs w:val="20"/>
              </w:rPr>
              <w:t>Indicates instructional notes for the teacher.</w:t>
            </w:r>
          </w:p>
        </w:tc>
      </w:tr>
    </w:tbl>
    <w:p w:rsidR="00790BCC" w:rsidRPr="00790BCC" w:rsidRDefault="00790BCC" w:rsidP="00D86D95">
      <w:pPr>
        <w:pStyle w:val="LearningSequenceHeader"/>
      </w:pPr>
      <w:r w:rsidRPr="00790BCC">
        <w:t>Activity 1: Introduction of Lesson Agenda</w:t>
      </w:r>
      <w:r w:rsidRPr="00790BCC">
        <w:tab/>
        <w:t>5%</w:t>
      </w:r>
    </w:p>
    <w:p w:rsidR="00FD4EFA" w:rsidRPr="00FD4EFA" w:rsidRDefault="007E3CA9" w:rsidP="00FD4EFA">
      <w:pPr>
        <w:pStyle w:val="TA"/>
      </w:pPr>
      <w:r>
        <w:t xml:space="preserve">Begin by reviewing the </w:t>
      </w:r>
      <w:r w:rsidR="00AB3455">
        <w:t xml:space="preserve">agenda and the </w:t>
      </w:r>
      <w:r>
        <w:t xml:space="preserve">assessed standards for this lesson: </w:t>
      </w:r>
      <w:r w:rsidR="00144F56">
        <w:t>RL.11-12</w:t>
      </w:r>
      <w:r w:rsidR="001A3D9C">
        <w:t>.</w:t>
      </w:r>
      <w:r w:rsidR="00B54EA7">
        <w:t>3</w:t>
      </w:r>
      <w:r w:rsidR="00D22664">
        <w:t xml:space="preserve">, </w:t>
      </w:r>
      <w:r w:rsidR="00646FE0">
        <w:t>W</w:t>
      </w:r>
      <w:r w:rsidR="00144F56">
        <w:t>.11-12</w:t>
      </w:r>
      <w:r w:rsidR="001A3D9C">
        <w:t>.</w:t>
      </w:r>
      <w:r w:rsidR="00646FE0">
        <w:t>2</w:t>
      </w:r>
      <w:r w:rsidR="001A3D9C">
        <w:t>.</w:t>
      </w:r>
      <w:r w:rsidR="00646FE0">
        <w:t>a-f</w:t>
      </w:r>
      <w:r w:rsidR="00D22664">
        <w:t>, L.11-12.1, and L.11-12.2.a,</w:t>
      </w:r>
      <w:r w:rsidR="00D86D95">
        <w:t xml:space="preserve"> </w:t>
      </w:r>
      <w:r w:rsidR="00D22664">
        <w:t>b.</w:t>
      </w:r>
      <w:r>
        <w:t xml:space="preserve"> In this lesson</w:t>
      </w:r>
      <w:r w:rsidR="00C538A6">
        <w:t>,</w:t>
      </w:r>
      <w:r w:rsidR="00646FE0">
        <w:t xml:space="preserve"> students craft a multi-paragraph </w:t>
      </w:r>
      <w:r w:rsidR="00A00BE7">
        <w:t xml:space="preserve">response </w:t>
      </w:r>
      <w:r w:rsidR="006E1219">
        <w:t xml:space="preserve">discussing the full title of the play, </w:t>
      </w:r>
      <w:r w:rsidR="006E1219">
        <w:rPr>
          <w:i/>
        </w:rPr>
        <w:t xml:space="preserve">The Tragedy of </w:t>
      </w:r>
      <w:r w:rsidR="000A3AE5">
        <w:rPr>
          <w:i/>
        </w:rPr>
        <w:t>Julius Caesar</w:t>
      </w:r>
      <w:r>
        <w:t>.</w:t>
      </w:r>
    </w:p>
    <w:p w:rsidR="00FD4EFA" w:rsidRPr="001735F1" w:rsidRDefault="007E3CA9" w:rsidP="007E3CA9">
      <w:pPr>
        <w:pStyle w:val="SA"/>
      </w:pPr>
      <w:r>
        <w:t xml:space="preserve">Students </w:t>
      </w:r>
      <w:r w:rsidR="00EE7D0E">
        <w:t>look at the agenda</w:t>
      </w:r>
      <w:r>
        <w:t>.</w:t>
      </w:r>
    </w:p>
    <w:p w:rsidR="000F30F2" w:rsidRPr="000F30F2" w:rsidRDefault="00790BCC" w:rsidP="00D86D95">
      <w:pPr>
        <w:pStyle w:val="LearningSequenceHeader"/>
        <w:keepNext/>
      </w:pPr>
      <w:r w:rsidRPr="00646FE0">
        <w:t>Activity 2: Homework Accountability</w:t>
      </w:r>
      <w:r w:rsidRPr="00646FE0">
        <w:tab/>
      </w:r>
      <w:r w:rsidR="001E2788" w:rsidRPr="00646FE0">
        <w:t>10</w:t>
      </w:r>
      <w:r w:rsidRPr="00646FE0">
        <w:t>%</w:t>
      </w:r>
    </w:p>
    <w:p w:rsidR="00353583" w:rsidRDefault="00353583" w:rsidP="00353583">
      <w:pPr>
        <w:pStyle w:val="TA"/>
      </w:pPr>
      <w:r>
        <w:t xml:space="preserve">Ask students to take out their materials </w:t>
      </w:r>
      <w:r w:rsidR="00156438">
        <w:t xml:space="preserve">for the </w:t>
      </w:r>
      <w:r>
        <w:t xml:space="preserve">12.2.2 </w:t>
      </w:r>
      <w:r w:rsidR="00156438">
        <w:t xml:space="preserve">Part 2 </w:t>
      </w:r>
      <w:r>
        <w:t>End-of-Unit Assessment, including all notes, annotations, and Quick Writes.</w:t>
      </w:r>
    </w:p>
    <w:p w:rsidR="00353583" w:rsidRDefault="00353583" w:rsidP="00353583">
      <w:pPr>
        <w:pStyle w:val="SA"/>
        <w:numPr>
          <w:ilvl w:val="0"/>
          <w:numId w:val="8"/>
        </w:numPr>
      </w:pPr>
      <w:r w:rsidRPr="00A13D6F">
        <w:t xml:space="preserve">Students take out their materials for the </w:t>
      </w:r>
      <w:r>
        <w:t xml:space="preserve">12.2.2 </w:t>
      </w:r>
      <w:r w:rsidR="00156438">
        <w:t xml:space="preserve">Part 2 </w:t>
      </w:r>
      <w:r w:rsidRPr="00A13D6F">
        <w:t>End-of-Unit Assessment</w:t>
      </w:r>
      <w:r>
        <w:t>.</w:t>
      </w:r>
    </w:p>
    <w:p w:rsidR="00353583" w:rsidRPr="0031535D" w:rsidRDefault="00353583" w:rsidP="00646FE0">
      <w:pPr>
        <w:pStyle w:val="IN"/>
        <w:ind w:left="426" w:hanging="426"/>
        <w:rPr>
          <w:rFonts w:ascii="Calibri Light" w:hAnsi="Calibri Light"/>
        </w:rPr>
      </w:pPr>
      <w:r>
        <w:t>Students demonstrate completion of their homework by having all of their materials organized and accessible for the assessment.</w:t>
      </w:r>
    </w:p>
    <w:p w:rsidR="00646FE0" w:rsidRDefault="00680156" w:rsidP="00F03B3D">
      <w:pPr>
        <w:pStyle w:val="LearningSequenceHeader"/>
        <w:keepNext/>
      </w:pPr>
      <w:r>
        <w:lastRenderedPageBreak/>
        <w:t xml:space="preserve">Activity </w:t>
      </w:r>
      <w:r w:rsidR="00646FE0">
        <w:t>3</w:t>
      </w:r>
      <w:r>
        <w:t>:</w:t>
      </w:r>
      <w:r w:rsidR="00646FE0">
        <w:t xml:space="preserve"> 12.2.2 </w:t>
      </w:r>
      <w:r w:rsidR="00577DE2">
        <w:t xml:space="preserve">Part 2 </w:t>
      </w:r>
      <w:r w:rsidR="00646FE0">
        <w:t>End-of-Unit Assessment</w:t>
      </w:r>
      <w:r w:rsidR="00F10C17">
        <w:tab/>
      </w:r>
      <w:r w:rsidR="00646FE0">
        <w:t>8</w:t>
      </w:r>
      <w:r w:rsidR="001E2788">
        <w:t>0</w:t>
      </w:r>
      <w:r w:rsidR="00790BCC" w:rsidRPr="00790BCC">
        <w:t>%</w:t>
      </w:r>
    </w:p>
    <w:p w:rsidR="00B54EA7" w:rsidRDefault="00B54EA7" w:rsidP="00646FE0">
      <w:pPr>
        <w:pStyle w:val="TA"/>
      </w:pPr>
      <w:r>
        <w:t>Explain to students that because it is a formal writing task, the End-of-Unit Assessment</w:t>
      </w:r>
      <w:r w:rsidDel="00B54EA7">
        <w:t xml:space="preserve"> </w:t>
      </w:r>
      <w:r>
        <w:t xml:space="preserve">should include an introductory statement, well-organized ideas supported by the most significant and relevant textual evidence, and a concluding statement or section. </w:t>
      </w:r>
      <w:r w:rsidRPr="00B54EA7">
        <w:t xml:space="preserve">Students should use appropriate and varied transitions and syntax to clarify relationships among complex ideas, and use precise language and domain-specific vocabulary. </w:t>
      </w:r>
      <w:r>
        <w:t xml:space="preserve">Remind students to use this unit’s vocabulary, as well as proper grammar, capitalization, punctuation, and spelling to achieve a formal style and objective tone. </w:t>
      </w:r>
    </w:p>
    <w:p w:rsidR="00B54EA7" w:rsidRDefault="00B54EA7" w:rsidP="00646FE0">
      <w:pPr>
        <w:pStyle w:val="TA"/>
      </w:pPr>
      <w:r>
        <w:t xml:space="preserve">Instruct students to write a multi-paragraph response to the following prompt: </w:t>
      </w:r>
    </w:p>
    <w:p w:rsidR="006E1219" w:rsidRDefault="006E1219" w:rsidP="006E1219">
      <w:pPr>
        <w:pStyle w:val="Q"/>
      </w:pPr>
      <w:r>
        <w:t>Explain how the title </w:t>
      </w:r>
      <w:r>
        <w:rPr>
          <w:i/>
          <w:iCs/>
        </w:rPr>
        <w:t>The Tragedy of Julius Caesar </w:t>
      </w:r>
      <w:r>
        <w:t>is appropriate for the play, or propose a new title and explain why it is more appropriate.</w:t>
      </w:r>
    </w:p>
    <w:p w:rsidR="00646FE0" w:rsidRDefault="00646FE0" w:rsidP="00646FE0">
      <w:pPr>
        <w:pStyle w:val="TA"/>
      </w:pPr>
      <w:r>
        <w:t xml:space="preserve">Remind students to </w:t>
      </w:r>
      <w:r w:rsidR="00B54EA7">
        <w:t>use</w:t>
      </w:r>
      <w:r>
        <w:t xml:space="preserve"> the 12.2.2 End-of-Unit Text Analysis Rubric to guide their written responses.</w:t>
      </w:r>
      <w:r w:rsidR="00577DE2">
        <w:t xml:space="preserve"> Ask students to use this unit’s vocabulary wherever possible in their written responses.</w:t>
      </w:r>
    </w:p>
    <w:p w:rsidR="00646FE0" w:rsidRDefault="00646FE0" w:rsidP="00646FE0">
      <w:pPr>
        <w:pStyle w:val="IN"/>
      </w:pPr>
      <w:r>
        <w:t>Display the prompt for students to see, or provide the prompt in hard copy.</w:t>
      </w:r>
    </w:p>
    <w:p w:rsidR="00646FE0" w:rsidRDefault="00B54EA7" w:rsidP="00646FE0">
      <w:pPr>
        <w:pStyle w:val="TA"/>
      </w:pPr>
      <w:r>
        <w:t xml:space="preserve">Instruct students to use the remaining class period to write their End-of-Unit Assessment. </w:t>
      </w:r>
    </w:p>
    <w:p w:rsidR="00646FE0" w:rsidRDefault="00646FE0" w:rsidP="00646FE0">
      <w:pPr>
        <w:pStyle w:val="SA"/>
        <w:numPr>
          <w:ilvl w:val="0"/>
          <w:numId w:val="8"/>
        </w:numPr>
      </w:pPr>
      <w:r>
        <w:t>Students independently answer the prompt using evidence from the text.</w:t>
      </w:r>
    </w:p>
    <w:p w:rsidR="00646FE0" w:rsidRDefault="00646FE0" w:rsidP="00646FE0">
      <w:pPr>
        <w:pStyle w:val="SR"/>
      </w:pPr>
      <w:r>
        <w:t>See the High Performance Response at the beginning of this lesson.</w:t>
      </w:r>
    </w:p>
    <w:p w:rsidR="00211226" w:rsidRDefault="00646FE0" w:rsidP="009655F0">
      <w:pPr>
        <w:pStyle w:val="IN"/>
      </w:pPr>
      <w:r>
        <w:t xml:space="preserve">Consider encouraging </w:t>
      </w:r>
      <w:r w:rsidR="00C71F75">
        <w:t>students</w:t>
      </w:r>
      <w:r>
        <w:t xml:space="preserve"> who finish early to reread and re</w:t>
      </w:r>
      <w:r w:rsidR="009655F0">
        <w:t>vise their response</w:t>
      </w:r>
      <w:r w:rsidR="00A00BE7">
        <w:t>s</w:t>
      </w:r>
      <w:r w:rsidR="009655F0">
        <w:t xml:space="preserve"> using the 12</w:t>
      </w:r>
      <w:r>
        <w:t xml:space="preserve">.2.2 </w:t>
      </w:r>
      <w:r w:rsidR="00195A5F">
        <w:t xml:space="preserve">Part 2 </w:t>
      </w:r>
      <w:r>
        <w:t>End-of-Unit Tex</w:t>
      </w:r>
      <w:r w:rsidR="0076577C">
        <w:t>t Analysis Rubric.</w:t>
      </w:r>
    </w:p>
    <w:p w:rsidR="00807DAC" w:rsidRDefault="00CC6AE2" w:rsidP="00B64244">
      <w:pPr>
        <w:pStyle w:val="LearningSequenceHeader"/>
        <w:keepNext/>
      </w:pPr>
      <w:r>
        <w:t>Activity 4</w:t>
      </w:r>
      <w:r w:rsidR="00790BCC" w:rsidRPr="00790BCC">
        <w:t>: Closing</w:t>
      </w:r>
      <w:r w:rsidR="00790BCC" w:rsidRPr="00790BCC">
        <w:tab/>
      </w:r>
      <w:r w:rsidR="00733719">
        <w:t>5</w:t>
      </w:r>
      <w:r w:rsidR="00790BCC" w:rsidRPr="00790BCC">
        <w:t>%</w:t>
      </w:r>
    </w:p>
    <w:p w:rsidR="00880A32" w:rsidRDefault="00880A32" w:rsidP="00880A32">
      <w:pPr>
        <w:pStyle w:val="TA"/>
      </w:pPr>
      <w:r w:rsidRPr="000752C0">
        <w:rPr>
          <w:szCs w:val="20"/>
          <w:shd w:val="clear" w:color="auto" w:fill="FFFFFF"/>
        </w:rPr>
        <w:t xml:space="preserve">Display and distribute the homework assignment. For homework, </w:t>
      </w:r>
      <w:r>
        <w:rPr>
          <w:szCs w:val="20"/>
          <w:shd w:val="clear" w:color="auto" w:fill="FFFFFF"/>
        </w:rPr>
        <w:t xml:space="preserve">instruct </w:t>
      </w:r>
      <w:r w:rsidRPr="00FA3127">
        <w:t xml:space="preserve">students to </w:t>
      </w:r>
      <w:r>
        <w:t>review and expand their notes and annotations</w:t>
      </w:r>
      <w:r w:rsidR="00715F01">
        <w:t xml:space="preserve"> from all three Module 12.2 texts in preparation for the 12.2</w:t>
      </w:r>
      <w:r>
        <w:t xml:space="preserve"> </w:t>
      </w:r>
      <w:r w:rsidR="00715F01">
        <w:t xml:space="preserve">Performance </w:t>
      </w:r>
      <w:r>
        <w:t>Assessment.</w:t>
      </w:r>
      <w:r w:rsidR="00A00BE7">
        <w:t xml:space="preserve"> Post or project </w:t>
      </w:r>
      <w:r w:rsidR="00753199">
        <w:t>the 12.2 Performance</w:t>
      </w:r>
      <w:r>
        <w:t xml:space="preserve"> Assessment prompt</w:t>
      </w:r>
      <w:r w:rsidR="00D44085">
        <w:t>s</w:t>
      </w:r>
      <w:r>
        <w:t xml:space="preserve">: </w:t>
      </w:r>
    </w:p>
    <w:p w:rsidR="00D44085" w:rsidRDefault="00D44085" w:rsidP="00D44085">
      <w:pPr>
        <w:pStyle w:val="Q"/>
      </w:pPr>
      <w:r w:rsidRPr="00FB1081">
        <w:t xml:space="preserve">Is </w:t>
      </w:r>
      <w:r>
        <w:t>democracy “t</w:t>
      </w:r>
      <w:r w:rsidRPr="00FB1081">
        <w:t>he last imp</w:t>
      </w:r>
      <w:r>
        <w:t>rovement possible in government”</w:t>
      </w:r>
      <w:r w:rsidR="004714E3">
        <w:t xml:space="preserve"> (Thoreau, part 3, par. 19)</w:t>
      </w:r>
      <w:r>
        <w:t>?</w:t>
      </w:r>
    </w:p>
    <w:p w:rsidR="00D44085" w:rsidRDefault="00D44085" w:rsidP="00D44085">
      <w:pPr>
        <w:pStyle w:val="Q"/>
      </w:pPr>
      <w:r w:rsidRPr="001771D8">
        <w:t>What is the role and responsibility of government?</w:t>
      </w:r>
    </w:p>
    <w:p w:rsidR="00D44085" w:rsidRPr="001771D8" w:rsidRDefault="00D44085" w:rsidP="00D44085">
      <w:pPr>
        <w:pStyle w:val="Q"/>
      </w:pPr>
      <w:r>
        <w:t>Who should have the power to make decisions in a society?</w:t>
      </w:r>
    </w:p>
    <w:p w:rsidR="006E1219" w:rsidRDefault="00A00BE7" w:rsidP="004D4C34">
      <w:pPr>
        <w:pStyle w:val="TA"/>
        <w:rPr>
          <w:rStyle w:val="CommentReference"/>
        </w:rPr>
      </w:pPr>
      <w:r>
        <w:t xml:space="preserve">Read the </w:t>
      </w:r>
      <w:r w:rsidR="007F5FF5">
        <w:t xml:space="preserve">12.2 </w:t>
      </w:r>
      <w:r>
        <w:t xml:space="preserve">Performance Assessment prompts and explain that </w:t>
      </w:r>
      <w:r w:rsidR="007E498C">
        <w:t xml:space="preserve">during the </w:t>
      </w:r>
      <w:r w:rsidR="0033758B">
        <w:t xml:space="preserve">12.2 </w:t>
      </w:r>
      <w:r w:rsidR="007E498C">
        <w:t xml:space="preserve">Performance Assessment, </w:t>
      </w:r>
      <w:r>
        <w:t xml:space="preserve">students will discuss the prompts from the perspective of authors and characters from the </w:t>
      </w:r>
      <w:r w:rsidR="007E498C">
        <w:t xml:space="preserve">Module </w:t>
      </w:r>
      <w:r>
        <w:t xml:space="preserve">12.2 texts. Explain that after discussion, students will choose one of the prompts </w:t>
      </w:r>
      <w:r w:rsidR="00195A5F">
        <w:t>and write a multi-paragraph response</w:t>
      </w:r>
      <w:r>
        <w:t xml:space="preserve"> </w:t>
      </w:r>
      <w:r w:rsidR="00195A5F">
        <w:t xml:space="preserve">to the prompt </w:t>
      </w:r>
      <w:r>
        <w:t>from their own perspective</w:t>
      </w:r>
      <w:r>
        <w:rPr>
          <w:rStyle w:val="CommentReference"/>
        </w:rPr>
        <w:t xml:space="preserve">. </w:t>
      </w:r>
    </w:p>
    <w:p w:rsidR="009B6265" w:rsidRPr="009B6265" w:rsidRDefault="009B6265" w:rsidP="00961146">
      <w:pPr>
        <w:pStyle w:val="SA"/>
        <w:numPr>
          <w:ilvl w:val="0"/>
          <w:numId w:val="8"/>
        </w:numPr>
        <w:rPr>
          <w:rStyle w:val="CommentReference"/>
          <w:sz w:val="22"/>
          <w:szCs w:val="22"/>
        </w:rPr>
      </w:pPr>
      <w:r>
        <w:lastRenderedPageBreak/>
        <w:t>Students follow along.</w:t>
      </w:r>
    </w:p>
    <w:p w:rsidR="00715F01" w:rsidRDefault="00790BCC" w:rsidP="00715F01">
      <w:pPr>
        <w:pStyle w:val="Heading1"/>
      </w:pPr>
      <w:r w:rsidRPr="00790BCC">
        <w:t>Homework</w:t>
      </w:r>
    </w:p>
    <w:p w:rsidR="00D86D95" w:rsidRDefault="00715F01" w:rsidP="00880A32">
      <w:r>
        <w:t>Review and expand your notes and annotations from all three Module 12.2 texts in preparation for the 12.2</w:t>
      </w:r>
      <w:r w:rsidR="00195A5F">
        <w:t xml:space="preserve"> P</w:t>
      </w:r>
      <w:r>
        <w:t xml:space="preserve">erformance </w:t>
      </w:r>
      <w:r w:rsidR="00195A5F">
        <w:t>A</w:t>
      </w:r>
      <w:r>
        <w:t>ssessment.</w:t>
      </w:r>
    </w:p>
    <w:p w:rsidR="00961146" w:rsidRDefault="00961146" w:rsidP="00880A32"/>
    <w:p w:rsidR="005A003E" w:rsidRPr="0023303C" w:rsidRDefault="00961146" w:rsidP="00961146">
      <w:pPr>
        <w:pStyle w:val="ToolHeader"/>
      </w:pPr>
      <w:r>
        <w:br w:type="page"/>
      </w:r>
      <w:r w:rsidR="005A003E">
        <w:lastRenderedPageBreak/>
        <w:t xml:space="preserve">12.2.2 </w:t>
      </w:r>
      <w:r w:rsidR="00195A5F">
        <w:t xml:space="preserve">Part 2 </w:t>
      </w:r>
      <w:r w:rsidR="005A003E">
        <w:t>End-of</w:t>
      </w:r>
      <w:r w:rsidR="00F7742B">
        <w:t>-</w:t>
      </w:r>
      <w:r w:rsidR="005A003E">
        <w:t>Unit</w:t>
      </w:r>
      <w:r w:rsidR="00F7742B">
        <w:t xml:space="preserve"> </w:t>
      </w:r>
      <w:r w:rsidR="005A003E">
        <w:t>Assessment</w:t>
      </w:r>
    </w:p>
    <w:p w:rsidR="005A003E" w:rsidRPr="0031535D" w:rsidRDefault="005A003E" w:rsidP="005A003E">
      <w:pPr>
        <w:spacing w:after="0" w:line="240" w:lineRule="auto"/>
        <w:jc w:val="center"/>
        <w:rPr>
          <w:rFonts w:eastAsia="MS Mincho"/>
          <w:b/>
          <w:szCs w:val="24"/>
        </w:rPr>
      </w:pPr>
      <w:r w:rsidRPr="0031535D">
        <w:rPr>
          <w:rFonts w:eastAsia="MS Mincho"/>
          <w:b/>
          <w:szCs w:val="24"/>
        </w:rPr>
        <w:t>Text-Based Response</w:t>
      </w:r>
    </w:p>
    <w:p w:rsidR="005A003E" w:rsidRDefault="005A003E" w:rsidP="005A003E">
      <w:pPr>
        <w:spacing w:after="0" w:line="240" w:lineRule="auto"/>
      </w:pPr>
      <w:r w:rsidRPr="00961146">
        <w:rPr>
          <w:rFonts w:eastAsia="MS Mincho"/>
          <w:b/>
        </w:rPr>
        <w:t>Your Task:</w:t>
      </w:r>
      <w:r w:rsidRPr="00961146">
        <w:rPr>
          <w:rFonts w:eastAsia="MS Mincho"/>
          <w:b/>
          <w:szCs w:val="24"/>
        </w:rPr>
        <w:t xml:space="preserve"> </w:t>
      </w:r>
      <w:r w:rsidRPr="0031535D">
        <w:rPr>
          <w:rFonts w:eastAsia="MS Mincho"/>
        </w:rPr>
        <w:t xml:space="preserve">Based on your reading </w:t>
      </w:r>
      <w:r w:rsidR="00F73E99" w:rsidRPr="0031535D">
        <w:rPr>
          <w:rFonts w:eastAsia="MS Mincho"/>
        </w:rPr>
        <w:t xml:space="preserve">and analysis </w:t>
      </w:r>
      <w:r w:rsidRPr="0031535D">
        <w:rPr>
          <w:rFonts w:eastAsia="MS Mincho"/>
        </w:rPr>
        <w:t>of</w:t>
      </w:r>
      <w:r w:rsidRPr="00C84C47">
        <w:t xml:space="preserve"> </w:t>
      </w:r>
      <w:r>
        <w:t xml:space="preserve">William Shakespeare’s </w:t>
      </w:r>
      <w:r w:rsidRPr="005A003E">
        <w:rPr>
          <w:i/>
        </w:rPr>
        <w:t xml:space="preserve">The Tragedy of </w:t>
      </w:r>
      <w:r>
        <w:rPr>
          <w:i/>
        </w:rPr>
        <w:t>Julius Caesar</w:t>
      </w:r>
      <w:r>
        <w:t>, write a multi-paragraph response to the following prompt:</w:t>
      </w:r>
    </w:p>
    <w:p w:rsidR="005A003E" w:rsidRPr="00961146" w:rsidRDefault="006E1219" w:rsidP="00961146">
      <w:pPr>
        <w:pStyle w:val="Q"/>
        <w:ind w:left="720"/>
        <w:rPr>
          <w:b w:val="0"/>
          <w:i/>
        </w:rPr>
      </w:pPr>
      <w:r w:rsidRPr="00961146">
        <w:rPr>
          <w:b w:val="0"/>
          <w:i/>
        </w:rPr>
        <w:t>Explain how the title </w:t>
      </w:r>
      <w:r w:rsidRPr="00F03B3D">
        <w:rPr>
          <w:b w:val="0"/>
          <w:iCs/>
        </w:rPr>
        <w:t>The Tragedy of Julius Caesar </w:t>
      </w:r>
      <w:r w:rsidRPr="00961146">
        <w:rPr>
          <w:b w:val="0"/>
          <w:i/>
        </w:rPr>
        <w:t>is appropriate for the play, or propose a new title and explain why it is more appropriate.</w:t>
      </w:r>
    </w:p>
    <w:p w:rsidR="005A003E" w:rsidRDefault="005A003E" w:rsidP="005A003E">
      <w:pPr>
        <w:spacing w:before="180"/>
      </w:pPr>
      <w:r w:rsidRPr="0031535D">
        <w:rPr>
          <w:rFonts w:eastAsia="MS Mincho"/>
        </w:rPr>
        <w:t xml:space="preserve">Your response will be assessed using </w:t>
      </w:r>
      <w:r>
        <w:t>12.2</w:t>
      </w:r>
      <w:r w:rsidR="0076577C">
        <w:t>.2 Part 2</w:t>
      </w:r>
      <w:r>
        <w:t xml:space="preserve"> End-of-Unit Text Analysis Rubric. </w:t>
      </w:r>
    </w:p>
    <w:p w:rsidR="005A003E" w:rsidRPr="0031535D" w:rsidRDefault="005A003E" w:rsidP="005A003E">
      <w:pPr>
        <w:spacing w:after="0" w:line="240" w:lineRule="auto"/>
        <w:rPr>
          <w:rFonts w:eastAsia="MS Mincho"/>
          <w:b/>
        </w:rPr>
      </w:pPr>
      <w:r w:rsidRPr="0031535D">
        <w:rPr>
          <w:rFonts w:eastAsia="MS Mincho"/>
          <w:b/>
        </w:rPr>
        <w:t>Guidelines</w:t>
      </w:r>
    </w:p>
    <w:p w:rsidR="005A003E" w:rsidRPr="006518A8" w:rsidRDefault="005A003E" w:rsidP="005A003E">
      <w:pPr>
        <w:spacing w:after="0"/>
        <w:ind w:left="720"/>
        <w:rPr>
          <w:b/>
        </w:rPr>
      </w:pPr>
      <w:r w:rsidRPr="006518A8">
        <w:rPr>
          <w:b/>
        </w:rPr>
        <w:t>Be sure to:</w:t>
      </w:r>
    </w:p>
    <w:p w:rsidR="005A003E" w:rsidRPr="0031535D" w:rsidRDefault="005A003E" w:rsidP="005A003E">
      <w:pPr>
        <w:numPr>
          <w:ilvl w:val="0"/>
          <w:numId w:val="33"/>
        </w:numPr>
        <w:spacing w:after="0" w:line="240" w:lineRule="auto"/>
        <w:contextualSpacing/>
        <w:rPr>
          <w:rFonts w:eastAsia="MS Mincho"/>
          <w:b/>
        </w:rPr>
      </w:pPr>
      <w:r w:rsidRPr="0031535D">
        <w:rPr>
          <w:rFonts w:eastAsia="MS Mincho"/>
        </w:rPr>
        <w:t>Closely read the prompt</w:t>
      </w:r>
    </w:p>
    <w:p w:rsidR="000B27CC" w:rsidRPr="0031535D" w:rsidRDefault="000B27CC" w:rsidP="005A003E">
      <w:pPr>
        <w:numPr>
          <w:ilvl w:val="0"/>
          <w:numId w:val="33"/>
        </w:numPr>
        <w:spacing w:after="0" w:line="240" w:lineRule="auto"/>
        <w:contextualSpacing/>
        <w:rPr>
          <w:rFonts w:eastAsia="MS Mincho"/>
          <w:b/>
        </w:rPr>
      </w:pPr>
      <w:r w:rsidRPr="0031535D">
        <w:rPr>
          <w:rFonts w:eastAsia="MS Mincho"/>
        </w:rPr>
        <w:t>Address all elements of the prompt in your response</w:t>
      </w:r>
    </w:p>
    <w:p w:rsidR="000B27CC" w:rsidRPr="0031535D" w:rsidRDefault="000B27CC" w:rsidP="005A003E">
      <w:pPr>
        <w:numPr>
          <w:ilvl w:val="0"/>
          <w:numId w:val="33"/>
        </w:numPr>
        <w:spacing w:after="0" w:line="240" w:lineRule="auto"/>
        <w:contextualSpacing/>
        <w:rPr>
          <w:rFonts w:eastAsia="MS Mincho"/>
          <w:b/>
        </w:rPr>
      </w:pPr>
      <w:r w:rsidRPr="0031535D">
        <w:rPr>
          <w:rFonts w:eastAsia="MS Mincho"/>
        </w:rPr>
        <w:t>Paraphrase, quote</w:t>
      </w:r>
      <w:r w:rsidR="00F7742B">
        <w:rPr>
          <w:rFonts w:eastAsia="MS Mincho"/>
        </w:rPr>
        <w:t>,</w:t>
      </w:r>
      <w:r w:rsidRPr="0031535D">
        <w:rPr>
          <w:rFonts w:eastAsia="MS Mincho"/>
        </w:rPr>
        <w:t xml:space="preserve"> and reference relevant evidence to support your claim</w:t>
      </w:r>
    </w:p>
    <w:p w:rsidR="000B27CC" w:rsidRPr="0031535D" w:rsidRDefault="000B27CC" w:rsidP="005A003E">
      <w:pPr>
        <w:numPr>
          <w:ilvl w:val="0"/>
          <w:numId w:val="33"/>
        </w:numPr>
        <w:spacing w:after="0" w:line="240" w:lineRule="auto"/>
        <w:contextualSpacing/>
        <w:rPr>
          <w:rFonts w:eastAsia="MS Mincho"/>
          <w:b/>
        </w:rPr>
      </w:pPr>
      <w:r w:rsidRPr="0031535D">
        <w:rPr>
          <w:rFonts w:eastAsia="MS Mincho"/>
        </w:rPr>
        <w:t>Organize your ideas in a cohesive and coherent manner</w:t>
      </w:r>
    </w:p>
    <w:p w:rsidR="000B27CC" w:rsidRPr="0031535D" w:rsidRDefault="000B27CC" w:rsidP="005A003E">
      <w:pPr>
        <w:numPr>
          <w:ilvl w:val="0"/>
          <w:numId w:val="33"/>
        </w:numPr>
        <w:spacing w:after="0" w:line="240" w:lineRule="auto"/>
        <w:contextualSpacing/>
        <w:rPr>
          <w:rFonts w:eastAsia="MS Mincho"/>
          <w:b/>
        </w:rPr>
      </w:pPr>
      <w:r w:rsidRPr="0031535D">
        <w:rPr>
          <w:rFonts w:eastAsia="MS Mincho"/>
        </w:rPr>
        <w:t>Maintain a formal style of writing</w:t>
      </w:r>
    </w:p>
    <w:p w:rsidR="005A003E" w:rsidRPr="00E6655D" w:rsidRDefault="000B27CC" w:rsidP="005A003E">
      <w:pPr>
        <w:pStyle w:val="LightList-Accent5"/>
        <w:numPr>
          <w:ilvl w:val="0"/>
          <w:numId w:val="33"/>
        </w:numPr>
        <w:spacing w:before="0" w:after="0" w:line="240" w:lineRule="auto"/>
        <w:rPr>
          <w:b/>
        </w:rPr>
      </w:pPr>
      <w:r>
        <w:t>Follow the conventions of standard written English</w:t>
      </w:r>
      <w:bookmarkStart w:id="0" w:name="_GoBack"/>
      <w:bookmarkEnd w:id="0"/>
    </w:p>
    <w:p w:rsidR="005A003E" w:rsidRPr="0031535D" w:rsidRDefault="005A003E" w:rsidP="005A003E">
      <w:pPr>
        <w:spacing w:after="0" w:line="240" w:lineRule="auto"/>
        <w:ind w:left="1080"/>
        <w:contextualSpacing/>
        <w:rPr>
          <w:rFonts w:eastAsia="MS Mincho"/>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5A003E" w:rsidRPr="009157E8" w:rsidTr="0031535D">
        <w:trPr>
          <w:trHeight w:val="2969"/>
        </w:trPr>
        <w:tc>
          <w:tcPr>
            <w:tcW w:w="9720" w:type="dxa"/>
            <w:shd w:val="clear" w:color="auto" w:fill="D9D9D9"/>
          </w:tcPr>
          <w:p w:rsidR="005A003E" w:rsidRPr="0031535D" w:rsidRDefault="005A003E" w:rsidP="000B27CC">
            <w:pPr>
              <w:rPr>
                <w:sz w:val="20"/>
                <w:szCs w:val="20"/>
              </w:rPr>
            </w:pPr>
            <w:r w:rsidRPr="0031535D">
              <w:rPr>
                <w:b/>
                <w:sz w:val="20"/>
                <w:szCs w:val="20"/>
              </w:rPr>
              <w:t xml:space="preserve">CCSS: </w:t>
            </w:r>
            <w:r w:rsidRPr="0031535D">
              <w:rPr>
                <w:sz w:val="20"/>
                <w:szCs w:val="20"/>
              </w:rPr>
              <w:t>RL.11-12.</w:t>
            </w:r>
            <w:r w:rsidR="00B54EA7">
              <w:rPr>
                <w:sz w:val="20"/>
                <w:szCs w:val="20"/>
              </w:rPr>
              <w:t>3</w:t>
            </w:r>
            <w:r w:rsidR="00961146">
              <w:rPr>
                <w:sz w:val="20"/>
                <w:szCs w:val="20"/>
              </w:rPr>
              <w:t>,</w:t>
            </w:r>
            <w:r w:rsidRPr="0031535D">
              <w:rPr>
                <w:sz w:val="20"/>
                <w:szCs w:val="20"/>
              </w:rPr>
              <w:t xml:space="preserve"> W.11-12.2.a-f</w:t>
            </w:r>
            <w:r w:rsidR="00961146">
              <w:rPr>
                <w:sz w:val="20"/>
                <w:szCs w:val="20"/>
              </w:rPr>
              <w:t>,</w:t>
            </w:r>
            <w:r w:rsidRPr="0031535D">
              <w:rPr>
                <w:sz w:val="20"/>
                <w:szCs w:val="20"/>
              </w:rPr>
              <w:t xml:space="preserve"> L.11-12.1</w:t>
            </w:r>
            <w:r w:rsidR="00961146">
              <w:rPr>
                <w:sz w:val="20"/>
                <w:szCs w:val="20"/>
              </w:rPr>
              <w:t>, L.11-12.2.a, b</w:t>
            </w:r>
          </w:p>
          <w:p w:rsidR="005A003E" w:rsidRPr="0031535D" w:rsidRDefault="005A003E" w:rsidP="000B27CC">
            <w:pPr>
              <w:rPr>
                <w:b/>
                <w:sz w:val="20"/>
                <w:szCs w:val="20"/>
              </w:rPr>
            </w:pPr>
            <w:r w:rsidRPr="0031535D">
              <w:rPr>
                <w:b/>
                <w:sz w:val="20"/>
                <w:szCs w:val="20"/>
              </w:rPr>
              <w:t>Commentary on the Task:</w:t>
            </w:r>
          </w:p>
          <w:p w:rsidR="005A003E" w:rsidRPr="0031535D" w:rsidRDefault="005A003E" w:rsidP="0031535D">
            <w:pPr>
              <w:spacing w:after="60"/>
              <w:rPr>
                <w:sz w:val="20"/>
                <w:szCs w:val="20"/>
              </w:rPr>
            </w:pPr>
            <w:r w:rsidRPr="0031535D">
              <w:rPr>
                <w:sz w:val="20"/>
                <w:szCs w:val="20"/>
              </w:rPr>
              <w:t>This task measures RL.11-12.</w:t>
            </w:r>
            <w:r w:rsidR="006E1219">
              <w:rPr>
                <w:sz w:val="20"/>
                <w:szCs w:val="20"/>
              </w:rPr>
              <w:t>3</w:t>
            </w:r>
            <w:r w:rsidRPr="0031535D">
              <w:rPr>
                <w:sz w:val="20"/>
                <w:szCs w:val="20"/>
              </w:rPr>
              <w:t xml:space="preserve"> because it demands that students:</w:t>
            </w:r>
          </w:p>
          <w:p w:rsidR="00F73E99" w:rsidRPr="00B54EA7" w:rsidRDefault="006E1219" w:rsidP="004D4C34">
            <w:pPr>
              <w:pStyle w:val="BulletedList"/>
              <w:rPr>
                <w:sz w:val="20"/>
                <w:szCs w:val="20"/>
              </w:rPr>
            </w:pPr>
            <w:r w:rsidRPr="004D4C34">
              <w:rPr>
                <w:sz w:val="20"/>
                <w:szCs w:val="20"/>
              </w:rPr>
              <w:t>Analyze the impact of the author’s choices regarding how to develop and relate elements of a story or drama (e.g., where a story is set, how the action is ordered, how the characters are introduced and developed).</w:t>
            </w:r>
          </w:p>
          <w:p w:rsidR="005A003E" w:rsidRPr="0031535D" w:rsidRDefault="005A003E" w:rsidP="0031535D">
            <w:pPr>
              <w:pStyle w:val="BulletedList"/>
              <w:numPr>
                <w:ilvl w:val="0"/>
                <w:numId w:val="0"/>
              </w:numPr>
              <w:rPr>
                <w:sz w:val="20"/>
                <w:szCs w:val="20"/>
              </w:rPr>
            </w:pPr>
            <w:r w:rsidRPr="004D4C34">
              <w:rPr>
                <w:sz w:val="20"/>
                <w:szCs w:val="20"/>
              </w:rPr>
              <w:t>This task measures W.11</w:t>
            </w:r>
            <w:r w:rsidRPr="0031535D">
              <w:rPr>
                <w:sz w:val="20"/>
                <w:szCs w:val="20"/>
              </w:rPr>
              <w:t>-12.2.a-f because it demands that students:</w:t>
            </w:r>
          </w:p>
          <w:p w:rsidR="005A003E" w:rsidRPr="0031535D" w:rsidRDefault="005A003E" w:rsidP="0031535D">
            <w:pPr>
              <w:pStyle w:val="BulletedList"/>
              <w:numPr>
                <w:ilvl w:val="0"/>
                <w:numId w:val="4"/>
              </w:numPr>
              <w:ind w:left="360"/>
              <w:rPr>
                <w:rFonts w:cs="Calibri"/>
                <w:sz w:val="20"/>
                <w:szCs w:val="20"/>
              </w:rPr>
            </w:pPr>
            <w:r w:rsidRPr="0031535D">
              <w:rPr>
                <w:rFonts w:cs="Calibri"/>
                <w:sz w:val="20"/>
                <w:szCs w:val="20"/>
              </w:rPr>
              <w:t xml:space="preserve">Write </w:t>
            </w:r>
            <w:r w:rsidRPr="0031535D">
              <w:rPr>
                <w:sz w:val="20"/>
                <w:szCs w:val="20"/>
              </w:rPr>
              <w:t>informative/explanatory texts to examine and convey complex ideas, concepts, and information clearly and accurately through the effective selection, organization, and analysis of content.</w:t>
            </w:r>
          </w:p>
          <w:p w:rsidR="005A003E" w:rsidRPr="0031535D" w:rsidRDefault="005A003E" w:rsidP="0031535D">
            <w:pPr>
              <w:pStyle w:val="SASRBullet"/>
              <w:ind w:left="720"/>
              <w:rPr>
                <w:rFonts w:cs="Calibri"/>
                <w:sz w:val="20"/>
                <w:szCs w:val="30"/>
              </w:rPr>
            </w:pPr>
            <w:r w:rsidRPr="0031535D">
              <w:rPr>
                <w:sz w:val="20"/>
                <w:szCs w:val="20"/>
              </w:rPr>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31535D">
              <w:rPr>
                <w:rFonts w:cs="Calibri"/>
                <w:sz w:val="20"/>
                <w:szCs w:val="30"/>
              </w:rPr>
              <w:t>.</w:t>
            </w:r>
          </w:p>
          <w:p w:rsidR="005A003E" w:rsidRPr="0031535D" w:rsidRDefault="005A003E" w:rsidP="0031535D">
            <w:pPr>
              <w:pStyle w:val="SASRBullet"/>
              <w:ind w:left="720"/>
              <w:rPr>
                <w:rFonts w:cs="Calibri"/>
                <w:sz w:val="20"/>
                <w:szCs w:val="30"/>
              </w:rPr>
            </w:pPr>
            <w:r w:rsidRPr="0031535D">
              <w:rPr>
                <w:sz w:val="20"/>
                <w:szCs w:val="20"/>
              </w:rPr>
              <w:t>Develop the topic thoroughly by selecting the most significant and relevant facts, extended definitions, concrete details, quotations, or other information and examples appropriate to the audience’s knowledge of the topic</w:t>
            </w:r>
            <w:r w:rsidRPr="0031535D">
              <w:rPr>
                <w:rFonts w:cs="Calibri"/>
                <w:sz w:val="20"/>
                <w:szCs w:val="30"/>
              </w:rPr>
              <w:t>.</w:t>
            </w:r>
          </w:p>
          <w:p w:rsidR="005A003E" w:rsidRPr="0031535D" w:rsidRDefault="005A003E" w:rsidP="0031535D">
            <w:pPr>
              <w:pStyle w:val="SASRBullet"/>
              <w:ind w:left="720"/>
              <w:rPr>
                <w:rFonts w:cs="Calibri"/>
                <w:sz w:val="20"/>
                <w:szCs w:val="30"/>
              </w:rPr>
            </w:pPr>
            <w:r w:rsidRPr="0031535D">
              <w:rPr>
                <w:sz w:val="20"/>
                <w:szCs w:val="20"/>
              </w:rPr>
              <w:t>Use appropriate and varied transitions and syntax to link the major sections of the text, create cohesion, and clarify the relationships among complex ideas and concepts.</w:t>
            </w:r>
          </w:p>
          <w:p w:rsidR="005A003E" w:rsidRPr="0031535D" w:rsidRDefault="005A003E" w:rsidP="0031535D">
            <w:pPr>
              <w:pStyle w:val="SASRBullet"/>
              <w:ind w:left="720"/>
              <w:rPr>
                <w:rFonts w:cs="Calibri"/>
                <w:sz w:val="20"/>
                <w:szCs w:val="30"/>
              </w:rPr>
            </w:pPr>
            <w:r w:rsidRPr="0031535D">
              <w:rPr>
                <w:sz w:val="20"/>
                <w:szCs w:val="20"/>
              </w:rPr>
              <w:t xml:space="preserve">Use precise language, domain-specific vocabulary, and techniques such as metaphor, simile, and analogy </w:t>
            </w:r>
            <w:r w:rsidRPr="0031535D">
              <w:rPr>
                <w:sz w:val="20"/>
                <w:szCs w:val="20"/>
              </w:rPr>
              <w:lastRenderedPageBreak/>
              <w:t xml:space="preserve">to manage the complexity of the topic. </w:t>
            </w:r>
          </w:p>
          <w:p w:rsidR="005A003E" w:rsidRPr="0031535D" w:rsidRDefault="005A003E" w:rsidP="0031535D">
            <w:pPr>
              <w:pStyle w:val="SASRBullet"/>
              <w:ind w:left="720"/>
              <w:rPr>
                <w:rFonts w:cs="Calibri"/>
                <w:sz w:val="20"/>
                <w:szCs w:val="30"/>
              </w:rPr>
            </w:pPr>
            <w:r w:rsidRPr="0031535D">
              <w:rPr>
                <w:sz w:val="20"/>
                <w:szCs w:val="20"/>
              </w:rPr>
              <w:t>Establish and maintain a formal style and objective tone while attending to the norms and conventions of the discipline in which they are writing.</w:t>
            </w:r>
          </w:p>
          <w:p w:rsidR="005A003E" w:rsidRPr="0031535D" w:rsidRDefault="005A003E" w:rsidP="0031535D">
            <w:pPr>
              <w:pStyle w:val="SASRBullet"/>
              <w:ind w:left="720"/>
              <w:rPr>
                <w:sz w:val="20"/>
                <w:szCs w:val="20"/>
              </w:rPr>
            </w:pPr>
            <w:r w:rsidRPr="0031535D">
              <w:rPr>
                <w:sz w:val="20"/>
                <w:szCs w:val="20"/>
              </w:rPr>
              <w:t>Provide a concluding statement or section that follows from and supports the information or explanation presented (e.g., articulating implications or the significance of the topic).</w:t>
            </w:r>
          </w:p>
          <w:p w:rsidR="005A003E" w:rsidRPr="0031535D" w:rsidRDefault="005A003E" w:rsidP="0031535D">
            <w:pPr>
              <w:pStyle w:val="BulletedList"/>
              <w:numPr>
                <w:ilvl w:val="0"/>
                <w:numId w:val="0"/>
              </w:numPr>
              <w:rPr>
                <w:sz w:val="20"/>
                <w:szCs w:val="20"/>
              </w:rPr>
            </w:pPr>
            <w:r w:rsidRPr="0031535D">
              <w:rPr>
                <w:sz w:val="20"/>
                <w:szCs w:val="20"/>
              </w:rPr>
              <w:t>This task measures L.11-12.1 because it demands that students:</w:t>
            </w:r>
          </w:p>
          <w:p w:rsidR="00F73E99" w:rsidRPr="00F73E99" w:rsidRDefault="005A003E" w:rsidP="00961146">
            <w:pPr>
              <w:pStyle w:val="BulletedList"/>
            </w:pPr>
            <w:r w:rsidRPr="0031535D">
              <w:rPr>
                <w:sz w:val="20"/>
                <w:szCs w:val="20"/>
              </w:rPr>
              <w:t>Demonstrate command of the conventions of standard English grammar and usage when writing or speaking.</w:t>
            </w:r>
          </w:p>
          <w:p w:rsidR="00F73E99" w:rsidRPr="0031535D" w:rsidRDefault="00F73E99" w:rsidP="0031535D">
            <w:pPr>
              <w:pStyle w:val="BulletedList"/>
              <w:numPr>
                <w:ilvl w:val="0"/>
                <w:numId w:val="0"/>
              </w:numPr>
              <w:rPr>
                <w:sz w:val="20"/>
                <w:szCs w:val="20"/>
              </w:rPr>
            </w:pPr>
            <w:r w:rsidRPr="0031535D">
              <w:rPr>
                <w:sz w:val="20"/>
                <w:szCs w:val="20"/>
              </w:rPr>
              <w:t>This task measures L.11-12.2.a,</w:t>
            </w:r>
            <w:r w:rsidR="00961146">
              <w:rPr>
                <w:sz w:val="20"/>
                <w:szCs w:val="20"/>
              </w:rPr>
              <w:t xml:space="preserve"> </w:t>
            </w:r>
            <w:r w:rsidRPr="0031535D">
              <w:rPr>
                <w:sz w:val="20"/>
                <w:szCs w:val="20"/>
              </w:rPr>
              <w:t>b because it demands that students:</w:t>
            </w:r>
          </w:p>
          <w:p w:rsidR="00F73E99" w:rsidRPr="0031535D" w:rsidRDefault="00F73E99" w:rsidP="00F73E99">
            <w:pPr>
              <w:pStyle w:val="BulletedList"/>
              <w:rPr>
                <w:sz w:val="20"/>
                <w:szCs w:val="20"/>
              </w:rPr>
            </w:pPr>
            <w:r w:rsidRPr="0031535D">
              <w:rPr>
                <w:sz w:val="20"/>
                <w:szCs w:val="20"/>
              </w:rPr>
              <w:t>Demonstrate command of the conventions of standard English capitalization, punctuation, and spelling when writing.</w:t>
            </w:r>
          </w:p>
          <w:p w:rsidR="00F73E99" w:rsidRPr="0031535D" w:rsidRDefault="00F73E99" w:rsidP="00961146">
            <w:pPr>
              <w:pStyle w:val="BulletedList"/>
              <w:numPr>
                <w:ilvl w:val="1"/>
                <w:numId w:val="24"/>
              </w:numPr>
              <w:ind w:left="720"/>
              <w:rPr>
                <w:sz w:val="20"/>
                <w:szCs w:val="20"/>
              </w:rPr>
            </w:pPr>
            <w:r w:rsidRPr="0031535D">
              <w:rPr>
                <w:sz w:val="20"/>
                <w:szCs w:val="20"/>
              </w:rPr>
              <w:t>Observe hyphenation conventions.</w:t>
            </w:r>
          </w:p>
          <w:p w:rsidR="00F73E99" w:rsidRPr="0031535D" w:rsidRDefault="00F73E99" w:rsidP="00961146">
            <w:pPr>
              <w:pStyle w:val="BulletedList"/>
              <w:numPr>
                <w:ilvl w:val="1"/>
                <w:numId w:val="24"/>
              </w:numPr>
              <w:ind w:left="720"/>
              <w:rPr>
                <w:sz w:val="20"/>
                <w:szCs w:val="20"/>
              </w:rPr>
            </w:pPr>
            <w:r w:rsidRPr="0031535D">
              <w:rPr>
                <w:sz w:val="20"/>
                <w:szCs w:val="20"/>
              </w:rPr>
              <w:t>Spell correctly.</w:t>
            </w:r>
          </w:p>
        </w:tc>
      </w:tr>
    </w:tbl>
    <w:p w:rsidR="00F84EEB" w:rsidRPr="00961146" w:rsidRDefault="00F84EEB" w:rsidP="00843C1F"/>
    <w:sectPr w:rsidR="00F84EEB" w:rsidRPr="00961146" w:rsidSect="00843C1F">
      <w:headerReference w:type="default" r:id="rId9"/>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ED" w:rsidRDefault="009C20ED">
      <w:pPr>
        <w:spacing w:before="0" w:after="0" w:line="240" w:lineRule="auto"/>
      </w:pPr>
      <w:r>
        <w:separator/>
      </w:r>
    </w:p>
  </w:endnote>
  <w:endnote w:type="continuationSeparator" w:id="0">
    <w:p w:rsidR="009C20ED" w:rsidRDefault="009C20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4B" w:rsidRPr="00563CB8" w:rsidRDefault="00EA6E4B" w:rsidP="007017EB">
    <w:pPr>
      <w:spacing w:before="0" w:after="0" w:line="240" w:lineRule="auto"/>
      <w:rPr>
        <w:sz w:val="14"/>
      </w:rPr>
    </w:pPr>
  </w:p>
  <w:tbl>
    <w:tblPr>
      <w:tblW w:w="4953" w:type="pct"/>
      <w:tblBorders>
        <w:top w:val="single" w:sz="8" w:space="0" w:color="244061"/>
      </w:tblBorders>
      <w:tblLook w:val="04A0" w:firstRow="1" w:lastRow="0" w:firstColumn="1" w:lastColumn="0" w:noHBand="0" w:noVBand="1"/>
    </w:tblPr>
    <w:tblGrid>
      <w:gridCol w:w="4446"/>
      <w:gridCol w:w="617"/>
      <w:gridCol w:w="4423"/>
    </w:tblGrid>
    <w:tr w:rsidR="00EA6E4B" w:rsidTr="005A177C">
      <w:trPr>
        <w:trHeight w:val="705"/>
      </w:trPr>
      <w:tc>
        <w:tcPr>
          <w:tcW w:w="4429" w:type="dxa"/>
          <w:shd w:val="clear" w:color="auto" w:fill="auto"/>
          <w:vAlign w:val="center"/>
        </w:tcPr>
        <w:p w:rsidR="00EA6E4B" w:rsidRPr="002E4C92" w:rsidRDefault="00EA6E4B" w:rsidP="007017EB">
          <w:pPr>
            <w:pStyle w:val="FooterText"/>
          </w:pPr>
          <w:r w:rsidRPr="002E4C92">
            <w:t>File:</w:t>
          </w:r>
          <w:r w:rsidRPr="0039525B">
            <w:rPr>
              <w:b w:val="0"/>
            </w:rPr>
            <w:t xml:space="preserve"> </w:t>
          </w:r>
          <w:r>
            <w:rPr>
              <w:b w:val="0"/>
            </w:rPr>
            <w:t>12.2.2</w:t>
          </w:r>
          <w:r w:rsidRPr="0039525B">
            <w:rPr>
              <w:b w:val="0"/>
            </w:rPr>
            <w:t xml:space="preserve"> Lesson </w:t>
          </w:r>
          <w:r>
            <w:rPr>
              <w:b w:val="0"/>
            </w:rPr>
            <w:t>2</w:t>
          </w:r>
          <w:r w:rsidR="00421AB2">
            <w:rPr>
              <w:b w:val="0"/>
            </w:rPr>
            <w:t>2</w:t>
          </w:r>
          <w:r w:rsidRPr="002E4C92">
            <w:t xml:space="preserve"> Date:</w:t>
          </w:r>
          <w:r w:rsidR="00421AB2">
            <w:rPr>
              <w:b w:val="0"/>
            </w:rPr>
            <w:t xml:space="preserve"> 2</w:t>
          </w:r>
          <w:r>
            <w:rPr>
              <w:b w:val="0"/>
            </w:rPr>
            <w:t>/</w:t>
          </w:r>
          <w:r w:rsidR="00421AB2">
            <w:rPr>
              <w:b w:val="0"/>
            </w:rPr>
            <w:t>13</w:t>
          </w:r>
          <w:r>
            <w:rPr>
              <w:b w:val="0"/>
            </w:rPr>
            <w:t xml:space="preserve">/15 </w:t>
          </w:r>
          <w:r w:rsidRPr="002E4C92">
            <w:t>Classroom Use:</w:t>
          </w:r>
          <w:r w:rsidRPr="0039525B">
            <w:rPr>
              <w:b w:val="0"/>
            </w:rPr>
            <w:t xml:space="preserve"> Starting </w:t>
          </w:r>
          <w:r w:rsidR="00421AB2">
            <w:rPr>
              <w:b w:val="0"/>
            </w:rPr>
            <w:t>2</w:t>
          </w:r>
          <w:r>
            <w:rPr>
              <w:b w:val="0"/>
            </w:rPr>
            <w:t>/2015</w:t>
          </w:r>
        </w:p>
        <w:p w:rsidR="00EA6E4B" w:rsidRPr="0039525B" w:rsidRDefault="00EA6E4B" w:rsidP="007017EB">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EA6E4B" w:rsidRPr="0039525B" w:rsidRDefault="00EA6E4B" w:rsidP="007017EB">
          <w:pPr>
            <w:pStyle w:val="FooterText"/>
            <w:rPr>
              <w:b w:val="0"/>
              <w:i/>
            </w:rPr>
          </w:pPr>
          <w:r w:rsidRPr="0039525B">
            <w:rPr>
              <w:b w:val="0"/>
              <w:i/>
              <w:sz w:val="12"/>
            </w:rPr>
            <w:t>Creative Commons Attribution-NonCommercial-ShareAlike 3.0 Unported License</w:t>
          </w:r>
        </w:p>
        <w:p w:rsidR="00EA6E4B" w:rsidRPr="002E4C92" w:rsidRDefault="00EA6E4B" w:rsidP="007017EB">
          <w:pPr>
            <w:pStyle w:val="FooterText"/>
          </w:pPr>
          <w:hyperlink r:id="rId1" w:history="1">
            <w:r w:rsidRPr="0031535D">
              <w:rPr>
                <w:rStyle w:val="Hyperlink"/>
                <w:sz w:val="12"/>
                <w:szCs w:val="12"/>
              </w:rPr>
              <w:t>http://creativecommons.org/licenses/by-nc-sa/3.0/</w:t>
            </w:r>
          </w:hyperlink>
        </w:p>
      </w:tc>
      <w:tc>
        <w:tcPr>
          <w:tcW w:w="615" w:type="dxa"/>
          <w:shd w:val="clear" w:color="auto" w:fill="auto"/>
          <w:vAlign w:val="center"/>
        </w:tcPr>
        <w:p w:rsidR="00EA6E4B" w:rsidRPr="002E4C92" w:rsidRDefault="00EA6E4B"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6577C">
            <w:rPr>
              <w:rFonts w:ascii="Calibri" w:hAnsi="Calibri" w:cs="Calibri"/>
              <w:b/>
              <w:noProof/>
              <w:color w:val="1F4E79"/>
              <w:sz w:val="28"/>
            </w:rPr>
            <w:t>8</w:t>
          </w:r>
          <w:r w:rsidRPr="002E4C92">
            <w:rPr>
              <w:rFonts w:ascii="Calibri" w:hAnsi="Calibri" w:cs="Calibri"/>
              <w:b/>
              <w:color w:val="1F4E79"/>
              <w:sz w:val="28"/>
            </w:rPr>
            <w:fldChar w:fldCharType="end"/>
          </w:r>
        </w:p>
      </w:tc>
      <w:tc>
        <w:tcPr>
          <w:tcW w:w="4406" w:type="dxa"/>
          <w:shd w:val="clear" w:color="auto" w:fill="auto"/>
          <w:vAlign w:val="bottom"/>
        </w:tcPr>
        <w:p w:rsidR="00EA6E4B" w:rsidRPr="002E4C92" w:rsidRDefault="00EA6E4B"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31535D">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PCG-CC-NY"/>
              </v:shape>
            </w:pict>
          </w:r>
        </w:p>
      </w:tc>
    </w:tr>
  </w:tbl>
  <w:p w:rsidR="00EA6E4B" w:rsidRPr="007017EB" w:rsidRDefault="00EA6E4B" w:rsidP="00384CE9">
    <w:pPr>
      <w:pStyle w:val="Footer"/>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ED" w:rsidRDefault="009C20ED">
      <w:pPr>
        <w:spacing w:before="0" w:after="0" w:line="240" w:lineRule="auto"/>
      </w:pPr>
      <w:r>
        <w:separator/>
      </w:r>
    </w:p>
  </w:footnote>
  <w:footnote w:type="continuationSeparator" w:id="0">
    <w:p w:rsidR="009C20ED" w:rsidRDefault="009C20E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Look w:val="04A0" w:firstRow="1" w:lastRow="0" w:firstColumn="1" w:lastColumn="0" w:noHBand="0" w:noVBand="1"/>
    </w:tblPr>
    <w:tblGrid>
      <w:gridCol w:w="3713"/>
      <w:gridCol w:w="2424"/>
      <w:gridCol w:w="3623"/>
    </w:tblGrid>
    <w:tr w:rsidR="00EA6E4B" w:rsidRPr="00563CB8" w:rsidTr="005A177C">
      <w:tc>
        <w:tcPr>
          <w:tcW w:w="3630" w:type="dxa"/>
          <w:shd w:val="clear" w:color="auto" w:fill="auto"/>
        </w:tcPr>
        <w:p w:rsidR="00EA6E4B" w:rsidRPr="00563CB8" w:rsidRDefault="00EA6E4B" w:rsidP="005A177C">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EA6E4B" w:rsidRPr="00563CB8" w:rsidRDefault="00EA6E4B" w:rsidP="005A177C">
          <w:pPr>
            <w:jc w:val="center"/>
          </w:pPr>
          <w:r w:rsidRPr="00563CB8">
            <w:t>D R A F T</w:t>
          </w:r>
        </w:p>
      </w:tc>
      <w:tc>
        <w:tcPr>
          <w:tcW w:w="3541" w:type="dxa"/>
          <w:shd w:val="clear" w:color="auto" w:fill="auto"/>
        </w:tcPr>
        <w:p w:rsidR="00EA6E4B" w:rsidRPr="00E946A0" w:rsidRDefault="00EA6E4B" w:rsidP="00421AB2">
          <w:pPr>
            <w:pStyle w:val="PageHeader"/>
            <w:jc w:val="right"/>
            <w:rPr>
              <w:b w:val="0"/>
            </w:rPr>
          </w:pPr>
          <w:r>
            <w:rPr>
              <w:b w:val="0"/>
            </w:rPr>
            <w:t>Grade 12 • Module 2 • Unit 2 • Lesson 2</w:t>
          </w:r>
          <w:r w:rsidR="00421AB2">
            <w:rPr>
              <w:b w:val="0"/>
            </w:rPr>
            <w:t>2</w:t>
          </w:r>
        </w:p>
      </w:tc>
    </w:tr>
  </w:tbl>
  <w:p w:rsidR="00EA6E4B" w:rsidRPr="005A177C" w:rsidRDefault="00EA6E4B" w:rsidP="005A1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FE1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1603428"/>
    <w:lvl w:ilvl="0">
      <w:start w:val="1"/>
      <w:numFmt w:val="decimal"/>
      <w:lvlText w:val="%1."/>
      <w:lvlJc w:val="left"/>
      <w:pPr>
        <w:tabs>
          <w:tab w:val="num" w:pos="1800"/>
        </w:tabs>
        <w:ind w:left="1800" w:hanging="360"/>
      </w:pPr>
    </w:lvl>
  </w:abstractNum>
  <w:abstractNum w:abstractNumId="2">
    <w:nsid w:val="FFFFFF7F"/>
    <w:multiLevelType w:val="singleLevel"/>
    <w:tmpl w:val="07FEF450"/>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2282080"/>
    <w:multiLevelType w:val="hybridMultilevel"/>
    <w:tmpl w:val="6602C0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EA310A"/>
    <w:multiLevelType w:val="hybridMultilevel"/>
    <w:tmpl w:val="91EC9650"/>
    <w:lvl w:ilvl="0" w:tplc="256C23A6">
      <w:start w:val="1"/>
      <w:numFmt w:val="lowerLetter"/>
      <w:lvlText w:val="%1."/>
      <w:lvlJc w:val="left"/>
      <w:pPr>
        <w:ind w:left="360" w:hanging="360"/>
      </w:pPr>
      <w:rPr>
        <w:rFonts w:hint="default"/>
        <w:color w:val="auto"/>
        <w:sz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701A8E"/>
    <w:multiLevelType w:val="hybridMultilevel"/>
    <w:tmpl w:val="E622283E"/>
    <w:lvl w:ilvl="0" w:tplc="8AB0ECD2">
      <w:start w:val="2"/>
      <w:numFmt w:val="decimal"/>
      <w:lvlText w:val="%1."/>
      <w:lvlJc w:val="left"/>
      <w:pPr>
        <w:ind w:left="318" w:hanging="360"/>
      </w:pPr>
      <w:rPr>
        <w:rFonts w:hint="default"/>
        <w:b/>
        <w:i w:val="0"/>
        <w:color w:val="auto"/>
        <w:sz w:val="22"/>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4">
    <w:nsid w:val="3D94151E"/>
    <w:multiLevelType w:val="multilevel"/>
    <w:tmpl w:val="8578E59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C57447"/>
    <w:multiLevelType w:val="hybridMultilevel"/>
    <w:tmpl w:val="3E7A38EC"/>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404883"/>
    <w:multiLevelType w:val="hybridMultilevel"/>
    <w:tmpl w:val="77FA2C28"/>
    <w:lvl w:ilvl="0" w:tplc="5EE4DBA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A676A7"/>
    <w:multiLevelType w:val="hybridMultilevel"/>
    <w:tmpl w:val="F67EC85A"/>
    <w:lvl w:ilvl="0" w:tplc="E0443278">
      <w:start w:val="1"/>
      <w:numFmt w:val="lowerLetter"/>
      <w:lvlText w:val="%1."/>
      <w:lvlJc w:val="left"/>
      <w:pPr>
        <w:tabs>
          <w:tab w:val="num" w:pos="-360"/>
        </w:tabs>
        <w:ind w:left="720" w:hanging="360"/>
      </w:pPr>
      <w:rPr>
        <w:rFonts w:cs="Times New Roman" w:hint="default"/>
        <w:sz w:val="2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2">
    <w:nsid w:val="6CB34FA9"/>
    <w:multiLevelType w:val="hybridMultilevel"/>
    <w:tmpl w:val="3220873A"/>
    <w:lvl w:ilvl="0" w:tplc="45FC43D2">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1732A"/>
    <w:multiLevelType w:val="hybridMultilevel"/>
    <w:tmpl w:val="B24EF4E0"/>
    <w:lvl w:ilvl="0" w:tplc="12FC9BDA">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697661"/>
    <w:multiLevelType w:val="hybridMultilevel"/>
    <w:tmpl w:val="76F6298A"/>
    <w:lvl w:ilvl="0" w:tplc="771E2828">
      <w:start w:val="2"/>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A849AD"/>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lvlOverride w:ilvl="0">
      <w:startOverride w:val="1"/>
    </w:lvlOverride>
  </w:num>
  <w:num w:numId="2">
    <w:abstractNumId w:val="11"/>
    <w:lvlOverride w:ilvl="0">
      <w:startOverride w:val="1"/>
    </w:lvlOverride>
  </w:num>
  <w:num w:numId="3">
    <w:abstractNumId w:val="15"/>
  </w:num>
  <w:num w:numId="4">
    <w:abstractNumId w:val="16"/>
  </w:num>
  <w:num w:numId="5">
    <w:abstractNumId w:val="4"/>
  </w:num>
  <w:num w:numId="6">
    <w:abstractNumId w:val="18"/>
  </w:num>
  <w:num w:numId="7">
    <w:abstractNumId w:val="11"/>
    <w:lvlOverride w:ilvl="0">
      <w:startOverride w:val="1"/>
    </w:lvlOverride>
  </w:num>
  <w:num w:numId="8">
    <w:abstractNumId w:val="22"/>
  </w:num>
  <w:num w:numId="9">
    <w:abstractNumId w:val="5"/>
  </w:num>
  <w:num w:numId="10">
    <w:abstractNumId w:val="17"/>
  </w:num>
  <w:num w:numId="11">
    <w:abstractNumId w:val="23"/>
  </w:num>
  <w:num w:numId="12">
    <w:abstractNumId w:val="11"/>
  </w:num>
  <w:num w:numId="13">
    <w:abstractNumId w:val="11"/>
    <w:lvlOverride w:ilvl="0">
      <w:startOverride w:val="1"/>
    </w:lvlOverride>
  </w:num>
  <w:num w:numId="14">
    <w:abstractNumId w:val="8"/>
    <w:lvlOverride w:ilvl="0">
      <w:startOverride w:val="1"/>
    </w:lvlOverride>
  </w:num>
  <w:num w:numId="15">
    <w:abstractNumId w:val="22"/>
  </w:num>
  <w:num w:numId="16">
    <w:abstractNumId w:val="7"/>
  </w:num>
  <w:num w:numId="17">
    <w:abstractNumId w:val="3"/>
  </w:num>
  <w:num w:numId="18">
    <w:abstractNumId w:val="6"/>
  </w:num>
  <w:num w:numId="19">
    <w:abstractNumId w:val="20"/>
  </w:num>
  <w:num w:numId="20">
    <w:abstractNumId w:val="9"/>
  </w:num>
  <w:num w:numId="21">
    <w:abstractNumId w:val="25"/>
  </w:num>
  <w:num w:numId="22">
    <w:abstractNumId w:val="2"/>
  </w:num>
  <w:num w:numId="23">
    <w:abstractNumId w:val="1"/>
  </w:num>
  <w:num w:numId="24">
    <w:abstractNumId w:val="19"/>
  </w:num>
  <w:num w:numId="25">
    <w:abstractNumId w:val="10"/>
  </w:num>
  <w:num w:numId="26">
    <w:abstractNumId w:val="13"/>
  </w:num>
  <w:num w:numId="27">
    <w:abstractNumId w:val="23"/>
    <w:lvlOverride w:ilvl="0">
      <w:startOverride w:val="2"/>
    </w:lvlOverride>
  </w:num>
  <w:num w:numId="28">
    <w:abstractNumId w:val="23"/>
    <w:lvlOverride w:ilvl="0">
      <w:startOverride w:val="2"/>
    </w:lvlOverride>
  </w:num>
  <w:num w:numId="29">
    <w:abstractNumId w:val="14"/>
  </w:num>
  <w:num w:numId="30">
    <w:abstractNumId w:val="24"/>
  </w:num>
  <w:num w:numId="31">
    <w:abstractNumId w:val="21"/>
  </w:num>
  <w:num w:numId="32">
    <w:abstractNumId w:val="23"/>
    <w:lvlOverride w:ilvl="0">
      <w:startOverride w:val="1"/>
    </w:lvlOverride>
  </w:num>
  <w:num w:numId="33">
    <w:abstractNumId w:val="1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4372"/>
    <w:rsid w:val="00005920"/>
    <w:rsid w:val="000113A2"/>
    <w:rsid w:val="00015984"/>
    <w:rsid w:val="00033CA3"/>
    <w:rsid w:val="000420B8"/>
    <w:rsid w:val="000423A5"/>
    <w:rsid w:val="00042ECF"/>
    <w:rsid w:val="0004592B"/>
    <w:rsid w:val="0005797C"/>
    <w:rsid w:val="00057A48"/>
    <w:rsid w:val="000704B6"/>
    <w:rsid w:val="000718D3"/>
    <w:rsid w:val="000722C0"/>
    <w:rsid w:val="0007609B"/>
    <w:rsid w:val="0008119F"/>
    <w:rsid w:val="000A1092"/>
    <w:rsid w:val="000A3AE5"/>
    <w:rsid w:val="000A3FF8"/>
    <w:rsid w:val="000A42A0"/>
    <w:rsid w:val="000A6FFF"/>
    <w:rsid w:val="000B27CC"/>
    <w:rsid w:val="000B3273"/>
    <w:rsid w:val="000B3A6F"/>
    <w:rsid w:val="000B5771"/>
    <w:rsid w:val="000C7F61"/>
    <w:rsid w:val="000D2AB1"/>
    <w:rsid w:val="000D32E3"/>
    <w:rsid w:val="000D64DE"/>
    <w:rsid w:val="000F30F2"/>
    <w:rsid w:val="0010085C"/>
    <w:rsid w:val="001032CB"/>
    <w:rsid w:val="00111808"/>
    <w:rsid w:val="00114959"/>
    <w:rsid w:val="00116E3F"/>
    <w:rsid w:val="0011763E"/>
    <w:rsid w:val="00120FAF"/>
    <w:rsid w:val="001271DF"/>
    <w:rsid w:val="00127341"/>
    <w:rsid w:val="00133966"/>
    <w:rsid w:val="00137DCF"/>
    <w:rsid w:val="00140011"/>
    <w:rsid w:val="0014120B"/>
    <w:rsid w:val="00143179"/>
    <w:rsid w:val="00144B97"/>
    <w:rsid w:val="00144F56"/>
    <w:rsid w:val="0015526A"/>
    <w:rsid w:val="00156438"/>
    <w:rsid w:val="0016316C"/>
    <w:rsid w:val="001644F1"/>
    <w:rsid w:val="0017000D"/>
    <w:rsid w:val="00171CF3"/>
    <w:rsid w:val="001722CF"/>
    <w:rsid w:val="001735F1"/>
    <w:rsid w:val="001872DB"/>
    <w:rsid w:val="00191CD8"/>
    <w:rsid w:val="00192C58"/>
    <w:rsid w:val="001932D7"/>
    <w:rsid w:val="00194B8B"/>
    <w:rsid w:val="00195A5F"/>
    <w:rsid w:val="001965B2"/>
    <w:rsid w:val="001A3D9C"/>
    <w:rsid w:val="001C1080"/>
    <w:rsid w:val="001D6086"/>
    <w:rsid w:val="001E2788"/>
    <w:rsid w:val="001F38B3"/>
    <w:rsid w:val="00202EA3"/>
    <w:rsid w:val="00203B3B"/>
    <w:rsid w:val="00205085"/>
    <w:rsid w:val="0020700A"/>
    <w:rsid w:val="00211226"/>
    <w:rsid w:val="00215D98"/>
    <w:rsid w:val="0022137E"/>
    <w:rsid w:val="002231E0"/>
    <w:rsid w:val="00230158"/>
    <w:rsid w:val="00232C77"/>
    <w:rsid w:val="00236E71"/>
    <w:rsid w:val="00240DCC"/>
    <w:rsid w:val="00252CF4"/>
    <w:rsid w:val="00254E99"/>
    <w:rsid w:val="00257B17"/>
    <w:rsid w:val="00267ABA"/>
    <w:rsid w:val="00267DBA"/>
    <w:rsid w:val="00274615"/>
    <w:rsid w:val="002748A2"/>
    <w:rsid w:val="0028185A"/>
    <w:rsid w:val="002825AB"/>
    <w:rsid w:val="002836A9"/>
    <w:rsid w:val="00287A3E"/>
    <w:rsid w:val="002A0B1A"/>
    <w:rsid w:val="002A52EB"/>
    <w:rsid w:val="002A726B"/>
    <w:rsid w:val="002B2493"/>
    <w:rsid w:val="002B299B"/>
    <w:rsid w:val="002B6018"/>
    <w:rsid w:val="002C1416"/>
    <w:rsid w:val="002C4BF1"/>
    <w:rsid w:val="002C6D75"/>
    <w:rsid w:val="002D53B3"/>
    <w:rsid w:val="002D62E5"/>
    <w:rsid w:val="002E0624"/>
    <w:rsid w:val="002F2393"/>
    <w:rsid w:val="002F4EEE"/>
    <w:rsid w:val="002F5B4E"/>
    <w:rsid w:val="003029E7"/>
    <w:rsid w:val="00305C07"/>
    <w:rsid w:val="0031535D"/>
    <w:rsid w:val="00316BBA"/>
    <w:rsid w:val="00320862"/>
    <w:rsid w:val="003213B2"/>
    <w:rsid w:val="00321D5C"/>
    <w:rsid w:val="00323089"/>
    <w:rsid w:val="0033758B"/>
    <w:rsid w:val="00341F48"/>
    <w:rsid w:val="003423D7"/>
    <w:rsid w:val="00345890"/>
    <w:rsid w:val="00347703"/>
    <w:rsid w:val="00350D91"/>
    <w:rsid w:val="00351449"/>
    <w:rsid w:val="00353583"/>
    <w:rsid w:val="00357377"/>
    <w:rsid w:val="00367CF0"/>
    <w:rsid w:val="003731BC"/>
    <w:rsid w:val="00374C7A"/>
    <w:rsid w:val="00384CE9"/>
    <w:rsid w:val="00392837"/>
    <w:rsid w:val="00394D46"/>
    <w:rsid w:val="00395496"/>
    <w:rsid w:val="003A2901"/>
    <w:rsid w:val="003B0B67"/>
    <w:rsid w:val="003B42EF"/>
    <w:rsid w:val="003C1C2A"/>
    <w:rsid w:val="003C1EA3"/>
    <w:rsid w:val="003C22D9"/>
    <w:rsid w:val="003C43D3"/>
    <w:rsid w:val="003C72AB"/>
    <w:rsid w:val="003C7438"/>
    <w:rsid w:val="003D022E"/>
    <w:rsid w:val="003D6159"/>
    <w:rsid w:val="003E02D5"/>
    <w:rsid w:val="003E09A4"/>
    <w:rsid w:val="003E3103"/>
    <w:rsid w:val="003E4E60"/>
    <w:rsid w:val="003E63EE"/>
    <w:rsid w:val="003E7A9B"/>
    <w:rsid w:val="003F1EA7"/>
    <w:rsid w:val="003F1F96"/>
    <w:rsid w:val="0040258C"/>
    <w:rsid w:val="00407F56"/>
    <w:rsid w:val="00421AB2"/>
    <w:rsid w:val="004355F7"/>
    <w:rsid w:val="0043641B"/>
    <w:rsid w:val="004456A9"/>
    <w:rsid w:val="00457E9D"/>
    <w:rsid w:val="00462F54"/>
    <w:rsid w:val="004633CD"/>
    <w:rsid w:val="00463F58"/>
    <w:rsid w:val="00466308"/>
    <w:rsid w:val="004714E3"/>
    <w:rsid w:val="00471CD7"/>
    <w:rsid w:val="00473C94"/>
    <w:rsid w:val="00480323"/>
    <w:rsid w:val="00492968"/>
    <w:rsid w:val="00495195"/>
    <w:rsid w:val="00495FB1"/>
    <w:rsid w:val="0049707A"/>
    <w:rsid w:val="004A6324"/>
    <w:rsid w:val="004A75D4"/>
    <w:rsid w:val="004D3E3C"/>
    <w:rsid w:val="004D4C34"/>
    <w:rsid w:val="004D7105"/>
    <w:rsid w:val="004D7210"/>
    <w:rsid w:val="004E26CA"/>
    <w:rsid w:val="004E6F98"/>
    <w:rsid w:val="004F5EA2"/>
    <w:rsid w:val="004F7635"/>
    <w:rsid w:val="00500B9F"/>
    <w:rsid w:val="00506A25"/>
    <w:rsid w:val="00511B60"/>
    <w:rsid w:val="0051377D"/>
    <w:rsid w:val="0052638C"/>
    <w:rsid w:val="00531B83"/>
    <w:rsid w:val="005502C1"/>
    <w:rsid w:val="00550703"/>
    <w:rsid w:val="00552A6A"/>
    <w:rsid w:val="005613E3"/>
    <w:rsid w:val="0056173C"/>
    <w:rsid w:val="00567619"/>
    <w:rsid w:val="00576BBD"/>
    <w:rsid w:val="00577DE2"/>
    <w:rsid w:val="00582D47"/>
    <w:rsid w:val="00583AE7"/>
    <w:rsid w:val="00585EAF"/>
    <w:rsid w:val="00596DD6"/>
    <w:rsid w:val="005A003E"/>
    <w:rsid w:val="005A177C"/>
    <w:rsid w:val="005A47B9"/>
    <w:rsid w:val="005A5B96"/>
    <w:rsid w:val="005B1DE0"/>
    <w:rsid w:val="005B29A9"/>
    <w:rsid w:val="005B3362"/>
    <w:rsid w:val="005C0AD2"/>
    <w:rsid w:val="005D5B83"/>
    <w:rsid w:val="005D69B3"/>
    <w:rsid w:val="005D69ED"/>
    <w:rsid w:val="005E1176"/>
    <w:rsid w:val="005E44B2"/>
    <w:rsid w:val="005F025C"/>
    <w:rsid w:val="005F033D"/>
    <w:rsid w:val="005F32E5"/>
    <w:rsid w:val="005F433E"/>
    <w:rsid w:val="005F6DA6"/>
    <w:rsid w:val="00600626"/>
    <w:rsid w:val="00600C37"/>
    <w:rsid w:val="00600E54"/>
    <w:rsid w:val="00612D76"/>
    <w:rsid w:val="00621043"/>
    <w:rsid w:val="0062351A"/>
    <w:rsid w:val="006270F0"/>
    <w:rsid w:val="006271CA"/>
    <w:rsid w:val="00635135"/>
    <w:rsid w:val="00640DDD"/>
    <w:rsid w:val="00641A22"/>
    <w:rsid w:val="00646FE0"/>
    <w:rsid w:val="0064713F"/>
    <w:rsid w:val="006517C0"/>
    <w:rsid w:val="00652A18"/>
    <w:rsid w:val="00654C95"/>
    <w:rsid w:val="00665801"/>
    <w:rsid w:val="0066659C"/>
    <w:rsid w:val="00680156"/>
    <w:rsid w:val="006852B2"/>
    <w:rsid w:val="006936C1"/>
    <w:rsid w:val="006A0A8A"/>
    <w:rsid w:val="006A3D51"/>
    <w:rsid w:val="006B25A3"/>
    <w:rsid w:val="006B2EAA"/>
    <w:rsid w:val="006B5F61"/>
    <w:rsid w:val="006B720F"/>
    <w:rsid w:val="006B726C"/>
    <w:rsid w:val="006C201D"/>
    <w:rsid w:val="006D16A9"/>
    <w:rsid w:val="006E1219"/>
    <w:rsid w:val="006E69FE"/>
    <w:rsid w:val="006E6B11"/>
    <w:rsid w:val="006F0115"/>
    <w:rsid w:val="006F280A"/>
    <w:rsid w:val="006F4E45"/>
    <w:rsid w:val="006F6611"/>
    <w:rsid w:val="007017EB"/>
    <w:rsid w:val="00702A65"/>
    <w:rsid w:val="00706FEE"/>
    <w:rsid w:val="007107AD"/>
    <w:rsid w:val="007115C3"/>
    <w:rsid w:val="0071350E"/>
    <w:rsid w:val="00713EBF"/>
    <w:rsid w:val="00715F01"/>
    <w:rsid w:val="00716E01"/>
    <w:rsid w:val="0071771C"/>
    <w:rsid w:val="00725BEA"/>
    <w:rsid w:val="00733719"/>
    <w:rsid w:val="00735692"/>
    <w:rsid w:val="00735968"/>
    <w:rsid w:val="00737478"/>
    <w:rsid w:val="0074166C"/>
    <w:rsid w:val="00744321"/>
    <w:rsid w:val="007450E1"/>
    <w:rsid w:val="00753199"/>
    <w:rsid w:val="007535F8"/>
    <w:rsid w:val="007540E1"/>
    <w:rsid w:val="0076577C"/>
    <w:rsid w:val="00766972"/>
    <w:rsid w:val="0077033E"/>
    <w:rsid w:val="00773F30"/>
    <w:rsid w:val="00774203"/>
    <w:rsid w:val="00776D01"/>
    <w:rsid w:val="007820F9"/>
    <w:rsid w:val="0078251F"/>
    <w:rsid w:val="007858A7"/>
    <w:rsid w:val="007879E9"/>
    <w:rsid w:val="00790BCC"/>
    <w:rsid w:val="00793172"/>
    <w:rsid w:val="007A0CE7"/>
    <w:rsid w:val="007A0DF0"/>
    <w:rsid w:val="007A7AD0"/>
    <w:rsid w:val="007B6D08"/>
    <w:rsid w:val="007D2464"/>
    <w:rsid w:val="007D2598"/>
    <w:rsid w:val="007D3AD7"/>
    <w:rsid w:val="007D5124"/>
    <w:rsid w:val="007E38DD"/>
    <w:rsid w:val="007E3CA9"/>
    <w:rsid w:val="007E484F"/>
    <w:rsid w:val="007E498C"/>
    <w:rsid w:val="007E6B8C"/>
    <w:rsid w:val="007F0E07"/>
    <w:rsid w:val="007F2C72"/>
    <w:rsid w:val="007F5FF5"/>
    <w:rsid w:val="007F69B5"/>
    <w:rsid w:val="008037BE"/>
    <w:rsid w:val="00807DAC"/>
    <w:rsid w:val="00816D09"/>
    <w:rsid w:val="0081741D"/>
    <w:rsid w:val="008227C1"/>
    <w:rsid w:val="00834A5A"/>
    <w:rsid w:val="00843C1F"/>
    <w:rsid w:val="00855CA0"/>
    <w:rsid w:val="008643D4"/>
    <w:rsid w:val="0087160C"/>
    <w:rsid w:val="00871E6E"/>
    <w:rsid w:val="0087221A"/>
    <w:rsid w:val="008763C8"/>
    <w:rsid w:val="00880A32"/>
    <w:rsid w:val="008872F6"/>
    <w:rsid w:val="0089625B"/>
    <w:rsid w:val="008A457A"/>
    <w:rsid w:val="008A55FF"/>
    <w:rsid w:val="008A7621"/>
    <w:rsid w:val="008B0048"/>
    <w:rsid w:val="008B058B"/>
    <w:rsid w:val="008C128E"/>
    <w:rsid w:val="008E0122"/>
    <w:rsid w:val="008E65E9"/>
    <w:rsid w:val="00902C9A"/>
    <w:rsid w:val="00902CF8"/>
    <w:rsid w:val="00906453"/>
    <w:rsid w:val="00910C27"/>
    <w:rsid w:val="00913D87"/>
    <w:rsid w:val="00914618"/>
    <w:rsid w:val="00917EC4"/>
    <w:rsid w:val="00924F94"/>
    <w:rsid w:val="0092697D"/>
    <w:rsid w:val="0093052E"/>
    <w:rsid w:val="009305AE"/>
    <w:rsid w:val="00935B7A"/>
    <w:rsid w:val="009360DC"/>
    <w:rsid w:val="00940CB5"/>
    <w:rsid w:val="00943F62"/>
    <w:rsid w:val="009450B7"/>
    <w:rsid w:val="009450F1"/>
    <w:rsid w:val="00954053"/>
    <w:rsid w:val="0095410E"/>
    <w:rsid w:val="00954BFB"/>
    <w:rsid w:val="00954D94"/>
    <w:rsid w:val="00961146"/>
    <w:rsid w:val="009654FD"/>
    <w:rsid w:val="009655F0"/>
    <w:rsid w:val="00970522"/>
    <w:rsid w:val="00970926"/>
    <w:rsid w:val="0097226A"/>
    <w:rsid w:val="0097245D"/>
    <w:rsid w:val="009767E4"/>
    <w:rsid w:val="00976A07"/>
    <w:rsid w:val="00982C0D"/>
    <w:rsid w:val="0098368C"/>
    <w:rsid w:val="0098752D"/>
    <w:rsid w:val="009A11F5"/>
    <w:rsid w:val="009A53C7"/>
    <w:rsid w:val="009B1571"/>
    <w:rsid w:val="009B6265"/>
    <w:rsid w:val="009C0761"/>
    <w:rsid w:val="009C1D9F"/>
    <w:rsid w:val="009C20ED"/>
    <w:rsid w:val="009D3378"/>
    <w:rsid w:val="009E18EF"/>
    <w:rsid w:val="009E2B74"/>
    <w:rsid w:val="009E2D6F"/>
    <w:rsid w:val="009E4734"/>
    <w:rsid w:val="009F04B8"/>
    <w:rsid w:val="009F3214"/>
    <w:rsid w:val="00A00BE7"/>
    <w:rsid w:val="00A01216"/>
    <w:rsid w:val="00A02518"/>
    <w:rsid w:val="00A02E95"/>
    <w:rsid w:val="00A039E6"/>
    <w:rsid w:val="00A05F73"/>
    <w:rsid w:val="00A115F1"/>
    <w:rsid w:val="00A23D2B"/>
    <w:rsid w:val="00A27E10"/>
    <w:rsid w:val="00A347DA"/>
    <w:rsid w:val="00A37774"/>
    <w:rsid w:val="00A40FB4"/>
    <w:rsid w:val="00A42A7E"/>
    <w:rsid w:val="00A4422B"/>
    <w:rsid w:val="00A57203"/>
    <w:rsid w:val="00A57B24"/>
    <w:rsid w:val="00A80DC4"/>
    <w:rsid w:val="00A9344F"/>
    <w:rsid w:val="00AA08E8"/>
    <w:rsid w:val="00AA4059"/>
    <w:rsid w:val="00AB3455"/>
    <w:rsid w:val="00AB5E85"/>
    <w:rsid w:val="00AB758D"/>
    <w:rsid w:val="00AC03A2"/>
    <w:rsid w:val="00AC1410"/>
    <w:rsid w:val="00AD4FC5"/>
    <w:rsid w:val="00AE46B1"/>
    <w:rsid w:val="00AF1FF1"/>
    <w:rsid w:val="00AF515F"/>
    <w:rsid w:val="00B01E96"/>
    <w:rsid w:val="00B145B0"/>
    <w:rsid w:val="00B31085"/>
    <w:rsid w:val="00B31347"/>
    <w:rsid w:val="00B433CB"/>
    <w:rsid w:val="00B54EA7"/>
    <w:rsid w:val="00B552B3"/>
    <w:rsid w:val="00B60B8B"/>
    <w:rsid w:val="00B64244"/>
    <w:rsid w:val="00B65881"/>
    <w:rsid w:val="00B77730"/>
    <w:rsid w:val="00B7788A"/>
    <w:rsid w:val="00BB06AF"/>
    <w:rsid w:val="00BC557D"/>
    <w:rsid w:val="00BE02BF"/>
    <w:rsid w:val="00BF42B3"/>
    <w:rsid w:val="00C07DEF"/>
    <w:rsid w:val="00C120C4"/>
    <w:rsid w:val="00C1390E"/>
    <w:rsid w:val="00C210EA"/>
    <w:rsid w:val="00C25254"/>
    <w:rsid w:val="00C30E9B"/>
    <w:rsid w:val="00C42EF5"/>
    <w:rsid w:val="00C46CDA"/>
    <w:rsid w:val="00C5268D"/>
    <w:rsid w:val="00C538A6"/>
    <w:rsid w:val="00C57654"/>
    <w:rsid w:val="00C63466"/>
    <w:rsid w:val="00C6468A"/>
    <w:rsid w:val="00C66DCB"/>
    <w:rsid w:val="00C71F75"/>
    <w:rsid w:val="00C726ED"/>
    <w:rsid w:val="00C73438"/>
    <w:rsid w:val="00C82AA0"/>
    <w:rsid w:val="00C87B5F"/>
    <w:rsid w:val="00CA01CB"/>
    <w:rsid w:val="00CA7015"/>
    <w:rsid w:val="00CB731A"/>
    <w:rsid w:val="00CC6AE2"/>
    <w:rsid w:val="00CD6054"/>
    <w:rsid w:val="00CD7FBB"/>
    <w:rsid w:val="00CE4397"/>
    <w:rsid w:val="00CF0100"/>
    <w:rsid w:val="00CF171E"/>
    <w:rsid w:val="00CF1FE4"/>
    <w:rsid w:val="00CF6FEE"/>
    <w:rsid w:val="00D1187F"/>
    <w:rsid w:val="00D17E91"/>
    <w:rsid w:val="00D22664"/>
    <w:rsid w:val="00D314D3"/>
    <w:rsid w:val="00D31F4D"/>
    <w:rsid w:val="00D36E26"/>
    <w:rsid w:val="00D37471"/>
    <w:rsid w:val="00D41EAB"/>
    <w:rsid w:val="00D43571"/>
    <w:rsid w:val="00D44085"/>
    <w:rsid w:val="00D45B9C"/>
    <w:rsid w:val="00D669B2"/>
    <w:rsid w:val="00D66BF4"/>
    <w:rsid w:val="00D67280"/>
    <w:rsid w:val="00D74633"/>
    <w:rsid w:val="00D86828"/>
    <w:rsid w:val="00D86D95"/>
    <w:rsid w:val="00D928DA"/>
    <w:rsid w:val="00D9464C"/>
    <w:rsid w:val="00D94D4F"/>
    <w:rsid w:val="00D94FB3"/>
    <w:rsid w:val="00DA3191"/>
    <w:rsid w:val="00DA3227"/>
    <w:rsid w:val="00DB0AB0"/>
    <w:rsid w:val="00DB2B84"/>
    <w:rsid w:val="00DB7002"/>
    <w:rsid w:val="00DD15F1"/>
    <w:rsid w:val="00DD204D"/>
    <w:rsid w:val="00DD2F09"/>
    <w:rsid w:val="00DD79F1"/>
    <w:rsid w:val="00DE2904"/>
    <w:rsid w:val="00DE785F"/>
    <w:rsid w:val="00DF0298"/>
    <w:rsid w:val="00DF134D"/>
    <w:rsid w:val="00DF3EFA"/>
    <w:rsid w:val="00DF67DB"/>
    <w:rsid w:val="00DF69D3"/>
    <w:rsid w:val="00DF6E54"/>
    <w:rsid w:val="00E125EA"/>
    <w:rsid w:val="00E1641D"/>
    <w:rsid w:val="00E16A1F"/>
    <w:rsid w:val="00E17904"/>
    <w:rsid w:val="00E17CC1"/>
    <w:rsid w:val="00E221EB"/>
    <w:rsid w:val="00E22A13"/>
    <w:rsid w:val="00E231D6"/>
    <w:rsid w:val="00E27113"/>
    <w:rsid w:val="00E34492"/>
    <w:rsid w:val="00E402DE"/>
    <w:rsid w:val="00E4162F"/>
    <w:rsid w:val="00E42CFA"/>
    <w:rsid w:val="00E51B9E"/>
    <w:rsid w:val="00E5738D"/>
    <w:rsid w:val="00E66F7C"/>
    <w:rsid w:val="00E674E2"/>
    <w:rsid w:val="00E80238"/>
    <w:rsid w:val="00E87AAD"/>
    <w:rsid w:val="00E910DC"/>
    <w:rsid w:val="00E916FA"/>
    <w:rsid w:val="00E91E95"/>
    <w:rsid w:val="00E95E7E"/>
    <w:rsid w:val="00EA3C5C"/>
    <w:rsid w:val="00EA5069"/>
    <w:rsid w:val="00EA6E4B"/>
    <w:rsid w:val="00EB0FA0"/>
    <w:rsid w:val="00EB1F92"/>
    <w:rsid w:val="00ED0584"/>
    <w:rsid w:val="00ED08FF"/>
    <w:rsid w:val="00ED1290"/>
    <w:rsid w:val="00ED7713"/>
    <w:rsid w:val="00EE5D44"/>
    <w:rsid w:val="00EE7D0E"/>
    <w:rsid w:val="00EF1BE5"/>
    <w:rsid w:val="00EF5E2B"/>
    <w:rsid w:val="00F03B3D"/>
    <w:rsid w:val="00F043DA"/>
    <w:rsid w:val="00F044C6"/>
    <w:rsid w:val="00F0748F"/>
    <w:rsid w:val="00F10C17"/>
    <w:rsid w:val="00F15008"/>
    <w:rsid w:val="00F31B27"/>
    <w:rsid w:val="00F41894"/>
    <w:rsid w:val="00F4270F"/>
    <w:rsid w:val="00F45037"/>
    <w:rsid w:val="00F537AD"/>
    <w:rsid w:val="00F549FF"/>
    <w:rsid w:val="00F63598"/>
    <w:rsid w:val="00F65071"/>
    <w:rsid w:val="00F73E99"/>
    <w:rsid w:val="00F7534F"/>
    <w:rsid w:val="00F76166"/>
    <w:rsid w:val="00F77242"/>
    <w:rsid w:val="00F7742B"/>
    <w:rsid w:val="00F80A0E"/>
    <w:rsid w:val="00F82D2E"/>
    <w:rsid w:val="00F84489"/>
    <w:rsid w:val="00F84EEB"/>
    <w:rsid w:val="00F97567"/>
    <w:rsid w:val="00FA373D"/>
    <w:rsid w:val="00FB0EC7"/>
    <w:rsid w:val="00FB0ED4"/>
    <w:rsid w:val="00FB3B35"/>
    <w:rsid w:val="00FC0ABB"/>
    <w:rsid w:val="00FC1492"/>
    <w:rsid w:val="00FD19B6"/>
    <w:rsid w:val="00FD3A96"/>
    <w:rsid w:val="00FD4EFA"/>
    <w:rsid w:val="00FE5BB6"/>
    <w:rsid w:val="00FF1237"/>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AEB1653-1CD9-4E3F-B3F7-2F52158A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Medium Grid 1"/>
    <w:lsdException w:name="List Paragraph" w:qFormat="1"/>
    <w:lsdException w:name="Quote" w:qFormat="1"/>
    <w:lsdException w:name="Intense Quote" w:qFormat="1"/>
    <w:lsdException w:name="Colorful Shading Accent 1" w:uiPriority="99"/>
    <w:lsdException w:name="Colorful List Accent 1" w:uiPriority="34"/>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B0AB0"/>
    <w:pPr>
      <w:numPr>
        <w:numId w:val="24"/>
      </w:numPr>
      <w:spacing w:before="60" w:after="60" w:line="276" w:lineRule="auto"/>
      <w:ind w:left="360"/>
    </w:pPr>
    <w:rPr>
      <w:sz w:val="22"/>
      <w:szCs w:val="22"/>
    </w:rPr>
  </w:style>
  <w:style w:type="character" w:customStyle="1" w:styleId="BulletedListChar">
    <w:name w:val="*Bulleted List Char"/>
    <w:link w:val="BulletedList"/>
    <w:rsid w:val="00DB0AB0"/>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ghtList-Accent5">
    <w:name w:val="Light List Accent 5"/>
    <w:basedOn w:val="Normal"/>
    <w:link w:val="LightList-Accent5Char"/>
    <w:uiPriority w:val="34"/>
    <w:rsid w:val="00C5268D"/>
    <w:pPr>
      <w:ind w:left="720"/>
      <w:contextualSpacing/>
    </w:pPr>
  </w:style>
  <w:style w:type="character" w:customStyle="1" w:styleId="LightList-Accent5Char">
    <w:name w:val="Light List - Accent 5 Char"/>
    <w:link w:val="LightList-Accent5"/>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ToolHeaderChar">
    <w:name w:val="*ToolHeader Char"/>
    <w:link w:val="ToolHeader"/>
    <w:rsid w:val="00F84EEB"/>
    <w:rPr>
      <w:rFonts w:eastAsia="Calibri" w:cs="Times New Roman"/>
      <w:b/>
      <w:bCs/>
      <w:color w:val="365F91"/>
      <w:sz w:val="32"/>
      <w:szCs w:val="28"/>
    </w:rPr>
  </w:style>
  <w:style w:type="paragraph" w:styleId="LightShading-Accent5">
    <w:name w:val="Light Shading Accent 5"/>
    <w:hidden/>
    <w:uiPriority w:val="99"/>
    <w:semiHidden/>
    <w:rsid w:val="0015526A"/>
    <w:rPr>
      <w:sz w:val="22"/>
      <w:szCs w:val="22"/>
    </w:rPr>
  </w:style>
  <w:style w:type="paragraph" w:customStyle="1" w:styleId="LightGrid-Accent31">
    <w:name w:val="Light Grid - Accent 31"/>
    <w:basedOn w:val="Normal"/>
    <w:qFormat/>
    <w:rsid w:val="00E91E95"/>
    <w:pPr>
      <w:spacing w:before="0" w:after="200" w:line="240" w:lineRule="auto"/>
      <w:ind w:left="720"/>
      <w:contextualSpacing/>
    </w:pPr>
    <w:rPr>
      <w:rFonts w:ascii="Cambria" w:eastAsia="Times New Roman" w:hAnsi="Cambria"/>
      <w:szCs w:val="24"/>
    </w:rPr>
  </w:style>
  <w:style w:type="paragraph" w:customStyle="1" w:styleId="01-LevelA">
    <w:name w:val="01-Level A"/>
    <w:basedOn w:val="Normal"/>
    <w:qFormat/>
    <w:rsid w:val="007450E1"/>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paragraph" w:styleId="LightList-Accent3">
    <w:name w:val="Light List Accent 3"/>
    <w:hidden/>
    <w:uiPriority w:val="99"/>
    <w:semiHidden/>
    <w:rsid w:val="004D4C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37173">
      <w:bodyDiv w:val="1"/>
      <w:marLeft w:val="0"/>
      <w:marRight w:val="0"/>
      <w:marTop w:val="0"/>
      <w:marBottom w:val="0"/>
      <w:divBdr>
        <w:top w:val="none" w:sz="0" w:space="0" w:color="auto"/>
        <w:left w:val="none" w:sz="0" w:space="0" w:color="auto"/>
        <w:bottom w:val="none" w:sz="0" w:space="0" w:color="auto"/>
        <w:right w:val="none" w:sz="0" w:space="0" w:color="auto"/>
      </w:divBdr>
    </w:div>
    <w:div w:id="1185553713">
      <w:bodyDiv w:val="1"/>
      <w:marLeft w:val="0"/>
      <w:marRight w:val="0"/>
      <w:marTop w:val="0"/>
      <w:marBottom w:val="0"/>
      <w:divBdr>
        <w:top w:val="none" w:sz="0" w:space="0" w:color="auto"/>
        <w:left w:val="none" w:sz="0" w:space="0" w:color="auto"/>
        <w:bottom w:val="none" w:sz="0" w:space="0" w:color="auto"/>
        <w:right w:val="none" w:sz="0" w:space="0" w:color="auto"/>
      </w:divBdr>
    </w:div>
    <w:div w:id="1210337193">
      <w:bodyDiv w:val="1"/>
      <w:marLeft w:val="0"/>
      <w:marRight w:val="0"/>
      <w:marTop w:val="0"/>
      <w:marBottom w:val="0"/>
      <w:divBdr>
        <w:top w:val="none" w:sz="0" w:space="0" w:color="auto"/>
        <w:left w:val="none" w:sz="0" w:space="0" w:color="auto"/>
        <w:bottom w:val="none" w:sz="0" w:space="0" w:color="auto"/>
        <w:right w:val="none" w:sz="0" w:space="0" w:color="auto"/>
      </w:divBdr>
    </w:div>
    <w:div w:id="160074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291E-C81A-4F6A-B967-3D125B4D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15747</CharactersWithSpaces>
  <SharedDoc>false</SharedDoc>
  <HLinks>
    <vt:vector size="12"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4587636</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2014-06-13T23:01:00Z</cp:lastPrinted>
  <dcterms:created xsi:type="dcterms:W3CDTF">2015-02-12T04:46:00Z</dcterms:created>
  <dcterms:modified xsi:type="dcterms:W3CDTF">2015-02-12T04:46:00Z</dcterms:modified>
</cp:coreProperties>
</file>