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F82963" w14:paraId="065C5D13" w14:textId="77777777">
        <w:trPr>
          <w:trHeight w:val="1008"/>
        </w:trPr>
        <w:tc>
          <w:tcPr>
            <w:tcW w:w="1980" w:type="dxa"/>
            <w:tcBorders>
              <w:top w:val="nil"/>
            </w:tcBorders>
            <w:shd w:val="clear" w:color="auto" w:fill="403152"/>
            <w:vAlign w:val="center"/>
          </w:tcPr>
          <w:p w14:paraId="70502D20" w14:textId="61B9B6E8" w:rsidR="00CC183D" w:rsidRPr="00F82963" w:rsidRDefault="00B420EB" w:rsidP="00E75803">
            <w:pPr>
              <w:pStyle w:val="Header-banner"/>
              <w:rPr>
                <w:rFonts w:ascii="Calibri" w:hAnsi="Calibri"/>
              </w:rPr>
            </w:pPr>
            <w:r w:rsidRPr="00F82963">
              <w:rPr>
                <w:rFonts w:ascii="Calibri" w:hAnsi="Calibri"/>
              </w:rPr>
              <w:t>1</w:t>
            </w:r>
            <w:r w:rsidR="00E74C80">
              <w:rPr>
                <w:rFonts w:ascii="Calibri" w:hAnsi="Calibri"/>
              </w:rPr>
              <w:t>2</w:t>
            </w:r>
            <w:r w:rsidRPr="00F82963">
              <w:rPr>
                <w:rFonts w:ascii="Calibri" w:hAnsi="Calibri"/>
              </w:rPr>
              <w:t>.</w:t>
            </w:r>
            <w:r w:rsidR="006B5F65">
              <w:rPr>
                <w:rFonts w:ascii="Calibri" w:hAnsi="Calibri"/>
              </w:rPr>
              <w:t>2</w:t>
            </w:r>
            <w:r w:rsidR="00E74C80">
              <w:rPr>
                <w:rFonts w:ascii="Calibri" w:hAnsi="Calibri"/>
              </w:rPr>
              <w:t>.</w:t>
            </w:r>
            <w:r w:rsidR="006B5F65">
              <w:rPr>
                <w:rFonts w:ascii="Calibri" w:hAnsi="Calibri"/>
              </w:rPr>
              <w:t>2</w:t>
            </w:r>
          </w:p>
        </w:tc>
        <w:tc>
          <w:tcPr>
            <w:tcW w:w="7470" w:type="dxa"/>
            <w:tcBorders>
              <w:top w:val="nil"/>
            </w:tcBorders>
            <w:shd w:val="clear" w:color="auto" w:fill="5F497A"/>
            <w:vAlign w:val="center"/>
          </w:tcPr>
          <w:p w14:paraId="4EE01A43" w14:textId="77777777" w:rsidR="00CC183D" w:rsidRPr="00F82963" w:rsidRDefault="00CC183D" w:rsidP="00CC183D">
            <w:pPr>
              <w:pStyle w:val="Header2banner"/>
              <w:rPr>
                <w:rFonts w:ascii="Calibri" w:hAnsi="Calibri"/>
              </w:rPr>
            </w:pPr>
            <w:r w:rsidRPr="00F82963">
              <w:rPr>
                <w:rFonts w:ascii="Calibri" w:hAnsi="Calibri"/>
              </w:rPr>
              <w:t>Unit Overview</w:t>
            </w:r>
          </w:p>
        </w:tc>
      </w:tr>
      <w:tr w:rsidR="00CC183D" w:rsidRPr="00F82963" w14:paraId="53943AEE" w14:textId="77777777">
        <w:trPr>
          <w:trHeight w:val="720"/>
        </w:trPr>
        <w:tc>
          <w:tcPr>
            <w:tcW w:w="9450" w:type="dxa"/>
            <w:gridSpan w:val="2"/>
            <w:tcBorders>
              <w:bottom w:val="single" w:sz="8" w:space="0" w:color="403152"/>
            </w:tcBorders>
            <w:shd w:val="solid" w:color="F2F2F2" w:fill="auto"/>
            <w:vAlign w:val="center"/>
          </w:tcPr>
          <w:p w14:paraId="206B687D" w14:textId="320B2352" w:rsidR="00CC183D" w:rsidRPr="00F82963" w:rsidRDefault="001A7F80" w:rsidP="001A7F80">
            <w:pPr>
              <w:pStyle w:val="Heading1nospace"/>
              <w:spacing w:before="60" w:after="0" w:line="240" w:lineRule="auto"/>
              <w:rPr>
                <w:rFonts w:eastAsia="Times New Roman" w:cs="Cambria"/>
                <w:bCs/>
                <w:color w:val="403152"/>
              </w:rPr>
            </w:pPr>
            <w:r w:rsidRPr="00946581">
              <w:rPr>
                <w:color w:val="1F4E79" w:themeColor="accent1" w:themeShade="80"/>
              </w:rPr>
              <w:t>“</w:t>
            </w:r>
            <w:r w:rsidR="005E64D1" w:rsidRPr="00946581">
              <w:rPr>
                <w:rFonts w:asciiTheme="minorHAnsi" w:eastAsia="MS ??" w:hAnsiTheme="minorHAnsi" w:cs="Arial"/>
                <w:color w:val="1F4E79" w:themeColor="accent1" w:themeShade="80"/>
                <w:sz w:val="44"/>
                <w:szCs w:val="44"/>
              </w:rPr>
              <w:t>Th'abuse of greatness is when it disjoins / remorse from power</w:t>
            </w:r>
            <w:r w:rsidR="00836F57">
              <w:rPr>
                <w:rFonts w:asciiTheme="minorHAnsi" w:eastAsia="MS ??" w:hAnsiTheme="minorHAnsi" w:cs="Arial"/>
                <w:color w:val="1F4E79" w:themeColor="accent1" w:themeShade="80"/>
                <w:sz w:val="44"/>
                <w:szCs w:val="44"/>
              </w:rPr>
              <w:t>.</w:t>
            </w:r>
            <w:r w:rsidRPr="00946581">
              <w:rPr>
                <w:color w:val="1F4E79" w:themeColor="accent1" w:themeShade="80"/>
              </w:rPr>
              <w:t>”</w:t>
            </w:r>
            <w:r>
              <w:t xml:space="preserve"> </w:t>
            </w:r>
          </w:p>
        </w:tc>
      </w:tr>
      <w:tr w:rsidR="00CC183D" w:rsidRPr="00F82963" w14:paraId="5625910F" w14:textId="77777777">
        <w:trPr>
          <w:trHeight w:val="576"/>
        </w:trPr>
        <w:tc>
          <w:tcPr>
            <w:tcW w:w="1980" w:type="dxa"/>
            <w:tcBorders>
              <w:top w:val="single" w:sz="8" w:space="0" w:color="403152"/>
              <w:bottom w:val="single" w:sz="8" w:space="0" w:color="403152"/>
            </w:tcBorders>
            <w:shd w:val="solid" w:color="F2F2F2" w:fill="auto"/>
            <w:vAlign w:val="center"/>
          </w:tcPr>
          <w:p w14:paraId="78A5AD26" w14:textId="77777777" w:rsidR="00CC183D" w:rsidRPr="00F82963" w:rsidRDefault="00CC183D" w:rsidP="00CC183D">
            <w:pPr>
              <w:rPr>
                <w:b/>
                <w:color w:val="1F497D"/>
              </w:rPr>
            </w:pPr>
            <w:r w:rsidRPr="00F82963">
              <w:rPr>
                <w:b/>
                <w:color w:val="1F497D"/>
              </w:rPr>
              <w:t>Text</w:t>
            </w:r>
          </w:p>
        </w:tc>
        <w:tc>
          <w:tcPr>
            <w:tcW w:w="7470" w:type="dxa"/>
            <w:tcBorders>
              <w:top w:val="single" w:sz="8" w:space="0" w:color="403152"/>
              <w:bottom w:val="single" w:sz="8" w:space="0" w:color="403152"/>
            </w:tcBorders>
            <w:shd w:val="solid" w:color="F2F2F2" w:fill="auto"/>
            <w:vAlign w:val="center"/>
          </w:tcPr>
          <w:p w14:paraId="06F09234" w14:textId="4CC0AFFC" w:rsidR="00CC183D" w:rsidRPr="00F82963" w:rsidRDefault="006B5F65" w:rsidP="006B5F65">
            <w:r>
              <w:rPr>
                <w:i/>
              </w:rPr>
              <w:t>Julius Caesar</w:t>
            </w:r>
            <w:r w:rsidR="00E74C80" w:rsidRPr="002829E4">
              <w:rPr>
                <w:i/>
              </w:rPr>
              <w:t xml:space="preserve"> </w:t>
            </w:r>
            <w:r>
              <w:t>by William Shakespeare</w:t>
            </w:r>
          </w:p>
        </w:tc>
      </w:tr>
      <w:tr w:rsidR="00CC183D" w:rsidRPr="00F82963" w14:paraId="2380AD09" w14:textId="77777777">
        <w:trPr>
          <w:trHeight w:val="576"/>
        </w:trPr>
        <w:tc>
          <w:tcPr>
            <w:tcW w:w="1980" w:type="dxa"/>
            <w:tcBorders>
              <w:top w:val="single" w:sz="8" w:space="0" w:color="403152"/>
              <w:bottom w:val="nil"/>
            </w:tcBorders>
            <w:shd w:val="solid" w:color="F2F2F2" w:fill="auto"/>
            <w:vAlign w:val="center"/>
          </w:tcPr>
          <w:p w14:paraId="7A3AC0D1" w14:textId="77777777" w:rsidR="00CC183D" w:rsidRPr="00F82963" w:rsidRDefault="00CC183D" w:rsidP="00CC183D">
            <w:pPr>
              <w:rPr>
                <w:b/>
                <w:color w:val="1F497D"/>
              </w:rPr>
            </w:pPr>
            <w:r w:rsidRPr="00F82963">
              <w:rPr>
                <w:b/>
                <w:color w:val="1F497D"/>
              </w:rPr>
              <w:t>Number of Lessons in Unit</w:t>
            </w:r>
          </w:p>
        </w:tc>
        <w:tc>
          <w:tcPr>
            <w:tcW w:w="7470" w:type="dxa"/>
            <w:tcBorders>
              <w:top w:val="single" w:sz="8" w:space="0" w:color="403152"/>
              <w:bottom w:val="nil"/>
            </w:tcBorders>
            <w:shd w:val="solid" w:color="F2F2F2" w:fill="auto"/>
            <w:vAlign w:val="center"/>
          </w:tcPr>
          <w:p w14:paraId="3B03FFFF" w14:textId="159B4647" w:rsidR="00CC183D" w:rsidRPr="00F82963" w:rsidRDefault="00514A00" w:rsidP="00CC183D">
            <w:r>
              <w:t>2</w:t>
            </w:r>
            <w:r w:rsidR="00ED4A68">
              <w:t>2</w:t>
            </w:r>
          </w:p>
        </w:tc>
      </w:tr>
    </w:tbl>
    <w:p w14:paraId="1A7AEC1E" w14:textId="77777777" w:rsidR="00CC183D" w:rsidRPr="00F82963" w:rsidRDefault="00CC183D" w:rsidP="0015083C">
      <w:pPr>
        <w:pStyle w:val="Heading1"/>
      </w:pPr>
      <w:r w:rsidRPr="00F82963">
        <w:t>Introduction</w:t>
      </w:r>
    </w:p>
    <w:p w14:paraId="78C0F710" w14:textId="7FFF8388" w:rsidR="000E4FB8" w:rsidRPr="00824DC2" w:rsidRDefault="000C415C" w:rsidP="000E4FB8">
      <w:r>
        <w:t xml:space="preserve">In the second unit of Module 12.2, </w:t>
      </w:r>
      <w:r w:rsidRPr="00824DC2">
        <w:t xml:space="preserve">students </w:t>
      </w:r>
      <w:r>
        <w:t xml:space="preserve">continue to develop the </w:t>
      </w:r>
      <w:r w:rsidRPr="00824DC2">
        <w:t>skills, practices, and routines of close reading and evidence</w:t>
      </w:r>
      <w:r>
        <w:t xml:space="preserve">-based writing and discussion. Throughout </w:t>
      </w:r>
      <w:r w:rsidR="00B26BB5">
        <w:t>M</w:t>
      </w:r>
      <w:r w:rsidRPr="00824DC2">
        <w:t>odule</w:t>
      </w:r>
      <w:r w:rsidR="00B26BB5">
        <w:t xml:space="preserve"> 12.2</w:t>
      </w:r>
      <w:r w:rsidRPr="00824DC2">
        <w:t>, students</w:t>
      </w:r>
      <w:r>
        <w:t xml:space="preserve"> have opportunities to </w:t>
      </w:r>
      <w:r w:rsidR="0095067B">
        <w:t>apply</w:t>
      </w:r>
      <w:r>
        <w:t xml:space="preserve"> </w:t>
      </w:r>
      <w:r w:rsidR="00CD019E">
        <w:t xml:space="preserve">and refine </w:t>
      </w:r>
      <w:r>
        <w:t xml:space="preserve">their speaking and listening skills </w:t>
      </w:r>
      <w:r w:rsidR="00CD019E">
        <w:t>in</w:t>
      </w:r>
      <w:r>
        <w:t xml:space="preserve"> </w:t>
      </w:r>
      <w:r w:rsidR="00CD019E">
        <w:t xml:space="preserve">small-group </w:t>
      </w:r>
      <w:r>
        <w:t>dramatic reading performances. Students also practice and apply their informative writing skills to craft a multi-paragraph essay</w:t>
      </w:r>
      <w:r w:rsidR="00B26BB5">
        <w:t xml:space="preserve"> independently</w:t>
      </w:r>
      <w:r w:rsidR="009E04CD">
        <w:t>.</w:t>
      </w:r>
    </w:p>
    <w:p w14:paraId="018A2359" w14:textId="710852E2" w:rsidR="00EA178D" w:rsidRDefault="000E4FB8" w:rsidP="000E4FB8">
      <w:pPr>
        <w:rPr>
          <w:rFonts w:eastAsia="Times New Roman" w:cs="Arial"/>
          <w:color w:val="000000"/>
        </w:rPr>
      </w:pPr>
      <w:r w:rsidRPr="000313F1">
        <w:t xml:space="preserve">In this unit, students read </w:t>
      </w:r>
      <w:r w:rsidR="00B90309" w:rsidRPr="000313F1">
        <w:rPr>
          <w:i/>
        </w:rPr>
        <w:t>Julius Caesar</w:t>
      </w:r>
      <w:r w:rsidR="00B90309" w:rsidRPr="000313F1">
        <w:t xml:space="preserve"> by William Shakespeare</w:t>
      </w:r>
      <w:r w:rsidR="00B90309" w:rsidRPr="000313F1">
        <w:rPr>
          <w:i/>
        </w:rPr>
        <w:t>,</w:t>
      </w:r>
      <w:r w:rsidR="00B90309" w:rsidRPr="000313F1">
        <w:t xml:space="preserve"> a dramatic account of Julius Caesar’s assassination and its aftermath</w:t>
      </w:r>
      <w:r w:rsidR="00F71782" w:rsidRPr="000313F1">
        <w:t xml:space="preserve">. </w:t>
      </w:r>
      <w:r w:rsidR="00B674EB" w:rsidRPr="000313F1">
        <w:t xml:space="preserve">Students </w:t>
      </w:r>
      <w:r w:rsidR="000313F1" w:rsidRPr="000313F1">
        <w:t xml:space="preserve">build upon key understandings </w:t>
      </w:r>
      <w:r w:rsidR="000E61D0">
        <w:t xml:space="preserve">from </w:t>
      </w:r>
      <w:r w:rsidR="00B26BB5">
        <w:t>12.2.</w:t>
      </w:r>
      <w:r w:rsidR="000313F1" w:rsidRPr="000313F1">
        <w:t xml:space="preserve">1 as they </w:t>
      </w:r>
      <w:r w:rsidR="00B674EB" w:rsidRPr="000313F1">
        <w:t xml:space="preserve">analyze </w:t>
      </w:r>
      <w:r w:rsidRPr="000313F1">
        <w:t>how</w:t>
      </w:r>
      <w:r w:rsidR="00AF17A3">
        <w:t xml:space="preserve"> Shakespeare introduces and </w:t>
      </w:r>
      <w:r w:rsidR="00F82963" w:rsidRPr="000313F1">
        <w:t>develops central ideas</w:t>
      </w:r>
      <w:r w:rsidR="00B90309" w:rsidRPr="000313F1">
        <w:t xml:space="preserve"> </w:t>
      </w:r>
      <w:r w:rsidR="00A22A7D" w:rsidRPr="000313F1">
        <w:t>over the course of the pla</w:t>
      </w:r>
      <w:r w:rsidR="000313F1" w:rsidRPr="000313F1">
        <w:t>y.</w:t>
      </w:r>
      <w:r w:rsidR="00643CF9" w:rsidRPr="000313F1">
        <w:t xml:space="preserve"> </w:t>
      </w:r>
      <w:r w:rsidR="00B91738" w:rsidRPr="000313F1">
        <w:t>I</w:t>
      </w:r>
      <w:r w:rsidR="00A22A7D" w:rsidRPr="000313F1">
        <w:t xml:space="preserve">n their analysis of </w:t>
      </w:r>
      <w:r w:rsidR="00B91738" w:rsidRPr="000313F1">
        <w:t xml:space="preserve">Thoreau’s “Civil Disobedience,” students </w:t>
      </w:r>
      <w:r w:rsidR="000313F1" w:rsidRPr="000313F1">
        <w:t>delineated Thoreau’s complex claims about the ways in which ethics, or conscience, inform</w:t>
      </w:r>
      <w:r w:rsidR="00B26BB5">
        <w:t>s</w:t>
      </w:r>
      <w:r w:rsidR="000313F1" w:rsidRPr="000313F1">
        <w:t xml:space="preserve"> an individual’s relationship to the state.</w:t>
      </w:r>
      <w:r w:rsidR="00643CF9" w:rsidRPr="000313F1">
        <w:t xml:space="preserve"> </w:t>
      </w:r>
      <w:r w:rsidR="000313F1" w:rsidRPr="000313F1">
        <w:t xml:space="preserve">In their analysis of </w:t>
      </w:r>
      <w:r w:rsidR="000313F1" w:rsidRPr="000313F1">
        <w:rPr>
          <w:i/>
        </w:rPr>
        <w:t>Julius Caesar</w:t>
      </w:r>
      <w:r w:rsidR="000313F1" w:rsidRPr="000313F1">
        <w:t>, s</w:t>
      </w:r>
      <w:r w:rsidR="00B91738" w:rsidRPr="000313F1">
        <w:t xml:space="preserve">tudents </w:t>
      </w:r>
      <w:r w:rsidR="00A22A7D" w:rsidRPr="000313F1">
        <w:rPr>
          <w:rFonts w:eastAsia="Times New Roman" w:cs="Arial"/>
          <w:color w:val="000000"/>
        </w:rPr>
        <w:t xml:space="preserve">continue to explore the </w:t>
      </w:r>
      <w:r w:rsidR="00841E8F">
        <w:rPr>
          <w:rFonts w:eastAsia="Times New Roman" w:cs="Arial"/>
          <w:color w:val="000000"/>
        </w:rPr>
        <w:t xml:space="preserve">how the central idea of ethics, </w:t>
      </w:r>
      <w:r w:rsidR="00CD019E">
        <w:rPr>
          <w:rFonts w:eastAsia="Times New Roman" w:cs="Arial"/>
          <w:color w:val="000000"/>
        </w:rPr>
        <w:t>in relation to Roman</w:t>
      </w:r>
      <w:r w:rsidR="00841E8F">
        <w:rPr>
          <w:rFonts w:eastAsia="Times New Roman" w:cs="Arial"/>
          <w:color w:val="000000"/>
        </w:rPr>
        <w:t xml:space="preserve"> ideals of honor, interacts with the central idea of </w:t>
      </w:r>
      <w:r w:rsidR="00A22A7D" w:rsidRPr="000313F1">
        <w:rPr>
          <w:rFonts w:eastAsia="Times New Roman" w:cs="Arial"/>
          <w:color w:val="000000"/>
        </w:rPr>
        <w:t>the relationship between the individual and the state</w:t>
      </w:r>
      <w:r w:rsidR="00841E8F">
        <w:t>.</w:t>
      </w:r>
      <w:r w:rsidR="00EA178D">
        <w:t xml:space="preserve"> </w:t>
      </w:r>
      <w:r w:rsidR="00D81705">
        <w:t xml:space="preserve">Additionally, </w:t>
      </w:r>
      <w:r w:rsidR="00D81705">
        <w:rPr>
          <w:rFonts w:eastAsia="Times New Roman" w:cs="Arial"/>
          <w:color w:val="000000"/>
        </w:rPr>
        <w:t>s</w:t>
      </w:r>
      <w:r w:rsidR="00643CF9" w:rsidRPr="000313F1">
        <w:rPr>
          <w:rFonts w:eastAsia="Times New Roman" w:cs="Arial"/>
          <w:color w:val="000000"/>
        </w:rPr>
        <w:t>tudents</w:t>
      </w:r>
      <w:r w:rsidR="002E7406">
        <w:rPr>
          <w:rFonts w:eastAsia="Times New Roman" w:cs="Arial"/>
          <w:color w:val="000000"/>
        </w:rPr>
        <w:t xml:space="preserve"> continue </w:t>
      </w:r>
      <w:r w:rsidR="00835858">
        <w:rPr>
          <w:rFonts w:eastAsia="Times New Roman" w:cs="Arial"/>
          <w:color w:val="000000"/>
        </w:rPr>
        <w:t>to engage with</w:t>
      </w:r>
      <w:r w:rsidR="00643CF9" w:rsidRPr="000313F1">
        <w:rPr>
          <w:rFonts w:eastAsia="Times New Roman" w:cs="Arial"/>
          <w:color w:val="000000"/>
        </w:rPr>
        <w:t xml:space="preserve"> the central idea of</w:t>
      </w:r>
      <w:r w:rsidR="004F649E">
        <w:rPr>
          <w:rFonts w:eastAsia="Times New Roman" w:cs="Arial"/>
          <w:color w:val="000000"/>
        </w:rPr>
        <w:t xml:space="preserve"> </w:t>
      </w:r>
      <w:r w:rsidR="002E7406">
        <w:rPr>
          <w:rFonts w:eastAsia="Times New Roman" w:cs="Arial"/>
          <w:color w:val="000000"/>
        </w:rPr>
        <w:t>exercise of power</w:t>
      </w:r>
      <w:r w:rsidR="00835858">
        <w:rPr>
          <w:rFonts w:eastAsia="Times New Roman" w:cs="Arial"/>
          <w:color w:val="000000"/>
        </w:rPr>
        <w:t>, an idea threaded throughout their analysis of Bhutto’s speech and Thoreau’s essay</w:t>
      </w:r>
      <w:r w:rsidR="00EA178D">
        <w:rPr>
          <w:rFonts w:eastAsia="Times New Roman" w:cs="Arial"/>
          <w:color w:val="000000"/>
        </w:rPr>
        <w:t>, as well as with the new central idea of social bonds.</w:t>
      </w:r>
    </w:p>
    <w:p w14:paraId="1B65F59F" w14:textId="463E8290" w:rsidR="00BB3480" w:rsidRDefault="008F6803" w:rsidP="000E4FB8">
      <w:r>
        <w:t xml:space="preserve">Students also consider Shakespeare’s choices about how to structure the drama and develop the characters, focusing in particular on his decision to kill the title character midway through the play. They also engage in an analysis of Shakespeare’s powerful language, </w:t>
      </w:r>
      <w:r w:rsidR="00946581">
        <w:t>most notably</w:t>
      </w:r>
      <w:r>
        <w:t xml:space="preserve"> in Brutus</w:t>
      </w:r>
      <w:r w:rsidR="009E04CD">
        <w:t>’s</w:t>
      </w:r>
      <w:r>
        <w:t xml:space="preserve"> and Antony</w:t>
      </w:r>
      <w:r w:rsidR="000B59A7">
        <w:t xml:space="preserve">’s funeral speeches, exploring the different ways in which </w:t>
      </w:r>
      <w:r w:rsidR="0012008E">
        <w:t xml:space="preserve">Shakespeare </w:t>
      </w:r>
      <w:r w:rsidR="000B59A7">
        <w:t>use</w:t>
      </w:r>
      <w:r w:rsidR="0012008E">
        <w:t>s</w:t>
      </w:r>
      <w:r w:rsidR="000B59A7">
        <w:t xml:space="preserve"> lang</w:t>
      </w:r>
      <w:r w:rsidR="00512AC0">
        <w:t>ua</w:t>
      </w:r>
      <w:r w:rsidR="000B59A7">
        <w:t xml:space="preserve">ge to convey </w:t>
      </w:r>
      <w:r w:rsidR="0012008E">
        <w:t xml:space="preserve">characters’ </w:t>
      </w:r>
      <w:r w:rsidR="000B59A7">
        <w:t>point</w:t>
      </w:r>
      <w:r w:rsidR="0012008E">
        <w:t>s</w:t>
      </w:r>
      <w:r w:rsidR="000B59A7">
        <w:t xml:space="preserve"> of view. </w:t>
      </w:r>
      <w:r w:rsidR="0023215D">
        <w:t xml:space="preserve">Students’ </w:t>
      </w:r>
      <w:r w:rsidR="0012008E">
        <w:t>analyse</w:t>
      </w:r>
      <w:r w:rsidR="000E508D">
        <w:t xml:space="preserve">s </w:t>
      </w:r>
      <w:r w:rsidR="00D81705">
        <w:t xml:space="preserve">of </w:t>
      </w:r>
      <w:r w:rsidR="000B59A7">
        <w:t>Shakespeare’s craft, in conjunction with their work with central ideas</w:t>
      </w:r>
      <w:r w:rsidR="0012008E">
        <w:t>,</w:t>
      </w:r>
      <w:r w:rsidR="00BB3480">
        <w:t xml:space="preserve"> </w:t>
      </w:r>
      <w:r w:rsidR="000E508D">
        <w:t xml:space="preserve">scaffolds to a </w:t>
      </w:r>
      <w:r w:rsidR="00F0128F">
        <w:t xml:space="preserve">broader </w:t>
      </w:r>
      <w:r w:rsidR="000E508D">
        <w:t xml:space="preserve">exploration of </w:t>
      </w:r>
      <w:r w:rsidR="00BB3480">
        <w:t xml:space="preserve">the complex </w:t>
      </w:r>
      <w:r w:rsidR="0080360C">
        <w:t xml:space="preserve">question </w:t>
      </w:r>
      <w:r w:rsidR="00BB3480">
        <w:t xml:space="preserve">of </w:t>
      </w:r>
      <w:r w:rsidR="009A1343">
        <w:t xml:space="preserve">the relationship between </w:t>
      </w:r>
      <w:r w:rsidR="009A1343">
        <w:lastRenderedPageBreak/>
        <w:t>the play</w:t>
      </w:r>
      <w:r w:rsidR="00841E8F">
        <w:t>’</w:t>
      </w:r>
      <w:r w:rsidR="009A1343">
        <w:t>s full title</w:t>
      </w:r>
      <w:r w:rsidR="000E508D">
        <w:t xml:space="preserve"> </w:t>
      </w:r>
      <w:r w:rsidR="00D81705" w:rsidRPr="00D81705">
        <w:rPr>
          <w:i/>
        </w:rPr>
        <w:t>The Tragedy of Julius Caesar</w:t>
      </w:r>
      <w:r w:rsidR="009A1343">
        <w:t xml:space="preserve"> and the events of the play,</w:t>
      </w:r>
      <w:r w:rsidR="0080360C">
        <w:t xml:space="preserve"> </w:t>
      </w:r>
      <w:r w:rsidR="00BB3480">
        <w:t>and prepares students to write</w:t>
      </w:r>
      <w:r w:rsidR="000859C2" w:rsidRPr="000313F1">
        <w:t xml:space="preserve"> </w:t>
      </w:r>
      <w:r w:rsidR="0080360C">
        <w:t>an informative multi-</w:t>
      </w:r>
      <w:r w:rsidR="00B90309" w:rsidRPr="000313F1">
        <w:t>paragraph essa</w:t>
      </w:r>
      <w:r w:rsidR="0080360C">
        <w:t>y</w:t>
      </w:r>
      <w:r w:rsidR="00BB3480">
        <w:t xml:space="preserve"> </w:t>
      </w:r>
      <w:r w:rsidR="00841E8F">
        <w:t>on this topic</w:t>
      </w:r>
      <w:r w:rsidR="00B90309" w:rsidRPr="000313F1">
        <w:t xml:space="preserve">. </w:t>
      </w:r>
    </w:p>
    <w:p w14:paraId="46D491B7" w14:textId="6723A4DA" w:rsidR="000E4FB8" w:rsidRPr="00BB3480" w:rsidRDefault="00BB3480" w:rsidP="000E4FB8">
      <w:pPr>
        <w:rPr>
          <w:rFonts w:eastAsia="Times New Roman"/>
        </w:rPr>
      </w:pPr>
      <w:r>
        <w:t>In addition, students work in</w:t>
      </w:r>
      <w:r w:rsidR="005E6EB1">
        <w:t xml:space="preserve"> small</w:t>
      </w:r>
      <w:r>
        <w:t xml:space="preserve"> groups and apply their un</w:t>
      </w:r>
      <w:r w:rsidR="005E6EB1">
        <w:t>derstanding</w:t>
      </w:r>
      <w:r w:rsidR="0012008E">
        <w:t>s</w:t>
      </w:r>
      <w:r w:rsidR="005E6EB1">
        <w:t xml:space="preserve"> of the text to </w:t>
      </w:r>
      <w:r>
        <w:t xml:space="preserve">select </w:t>
      </w:r>
      <w:r w:rsidR="005E6EB1">
        <w:t xml:space="preserve">and interpret </w:t>
      </w:r>
      <w:r>
        <w:t>a scene to present</w:t>
      </w:r>
      <w:r w:rsidR="00F0128F">
        <w:t xml:space="preserve"> to their peers</w:t>
      </w:r>
      <w:r>
        <w:t xml:space="preserve">. </w:t>
      </w:r>
      <w:r w:rsidR="00F0128F">
        <w:t xml:space="preserve">Students </w:t>
      </w:r>
      <w:r w:rsidR="009A1343">
        <w:t>work together</w:t>
      </w:r>
      <w:r w:rsidR="00F0128F" w:rsidRPr="00824DC2">
        <w:t xml:space="preserve"> to develop</w:t>
      </w:r>
      <w:r w:rsidR="00F0128F">
        <w:t xml:space="preserve"> </w:t>
      </w:r>
      <w:r w:rsidR="005E6EB1">
        <w:t xml:space="preserve">presentations of their chosen scenes, </w:t>
      </w:r>
      <w:r w:rsidR="0023215D">
        <w:t>to</w:t>
      </w:r>
      <w:r w:rsidR="005E6EB1">
        <w:t xml:space="preserve"> demonstrate</w:t>
      </w:r>
      <w:r w:rsidR="00F82BE1">
        <w:t xml:space="preserve"> </w:t>
      </w:r>
      <w:r w:rsidR="0023215D">
        <w:t xml:space="preserve">comprehension of the scene as well as </w:t>
      </w:r>
      <w:r w:rsidR="00F82BE1">
        <w:t xml:space="preserve">an </w:t>
      </w:r>
      <w:r w:rsidR="00F82BE1" w:rsidRPr="00F82BE1">
        <w:t>understanding of the cumulative impact of Shakespeare’s specific word choices on meaning and tone.</w:t>
      </w:r>
    </w:p>
    <w:p w14:paraId="2806227F" w14:textId="6F8D99B2" w:rsidR="000714C2" w:rsidRDefault="00C73F60" w:rsidP="000714C2">
      <w:r w:rsidRPr="00824DC2">
        <w:t xml:space="preserve">There are </w:t>
      </w:r>
      <w:r w:rsidR="00CD019E">
        <w:t xml:space="preserve">two </w:t>
      </w:r>
      <w:r w:rsidRPr="00824DC2">
        <w:t>formal assessment</w:t>
      </w:r>
      <w:r w:rsidR="006B350F" w:rsidRPr="00824DC2">
        <w:t xml:space="preserve">s in this unit. In the Mid-Unit </w:t>
      </w:r>
      <w:r w:rsidRPr="00824DC2">
        <w:t>Assessment,</w:t>
      </w:r>
      <w:r w:rsidR="00BB3480" w:rsidRPr="00BB3480">
        <w:rPr>
          <w:rFonts w:eastAsia="Times New Roman" w:cs="Arial"/>
        </w:rPr>
        <w:t xml:space="preserve"> </w:t>
      </w:r>
      <w:r w:rsidR="00F82BE1">
        <w:rPr>
          <w:rFonts w:eastAsia="Times New Roman" w:cs="Arial"/>
        </w:rPr>
        <w:t xml:space="preserve">students reflect upon whether or not </w:t>
      </w:r>
      <w:r w:rsidR="00F82BE1" w:rsidRPr="00BB3480">
        <w:rPr>
          <w:rFonts w:eastAsia="MS Mincho" w:cs="Arial"/>
          <w:lang w:eastAsia="ja-JP"/>
        </w:rPr>
        <w:t xml:space="preserve">Caesar’s death </w:t>
      </w:r>
      <w:r w:rsidR="00F82BE1">
        <w:rPr>
          <w:rFonts w:eastAsia="MS Mincho" w:cs="Arial"/>
          <w:lang w:eastAsia="ja-JP"/>
        </w:rPr>
        <w:t>is a “sacrifice” or a “butchery”</w:t>
      </w:r>
      <w:r w:rsidR="00F82BE1" w:rsidRPr="00824DC2">
        <w:t xml:space="preserve"> </w:t>
      </w:r>
      <w:r w:rsidR="00F82BE1">
        <w:rPr>
          <w:rFonts w:eastAsia="Times New Roman" w:cs="Arial"/>
        </w:rPr>
        <w:t>in</w:t>
      </w:r>
      <w:r w:rsidR="00BB3480" w:rsidRPr="00234ACE">
        <w:rPr>
          <w:rFonts w:eastAsia="Times New Roman" w:cs="Arial"/>
        </w:rPr>
        <w:t xml:space="preserve"> a f</w:t>
      </w:r>
      <w:r w:rsidR="005E6EB1">
        <w:rPr>
          <w:rFonts w:eastAsia="Times New Roman" w:cs="Arial"/>
        </w:rPr>
        <w:t xml:space="preserve">ormal, written </w:t>
      </w:r>
      <w:r w:rsidR="00F82BE1">
        <w:rPr>
          <w:rFonts w:eastAsia="Times New Roman" w:cs="Arial"/>
        </w:rPr>
        <w:t xml:space="preserve">response. </w:t>
      </w:r>
      <w:r w:rsidR="00CD019E">
        <w:t xml:space="preserve">In Part </w:t>
      </w:r>
      <w:r w:rsidR="00297DE1">
        <w:t>1</w:t>
      </w:r>
      <w:r w:rsidR="00CD019E">
        <w:t xml:space="preserve"> of the </w:t>
      </w:r>
      <w:r w:rsidRPr="00824DC2">
        <w:t xml:space="preserve">End-of-Unit Assessment, students </w:t>
      </w:r>
      <w:r w:rsidR="00F82BE1">
        <w:t>present their dramatic readings</w:t>
      </w:r>
      <w:r w:rsidR="00CD019E">
        <w:t>. In Part 2</w:t>
      </w:r>
      <w:r w:rsidR="0023215D">
        <w:t xml:space="preserve"> of the End-of-Unit Assessment, </w:t>
      </w:r>
      <w:r w:rsidR="00CD019E">
        <w:t>students</w:t>
      </w:r>
      <w:r w:rsidR="00841E8F">
        <w:t xml:space="preserve"> </w:t>
      </w:r>
      <w:r w:rsidR="00BB3480" w:rsidRPr="00234ACE">
        <w:rPr>
          <w:rFonts w:eastAsia="Times New Roman" w:cs="Arial"/>
        </w:rPr>
        <w:t xml:space="preserve">write a formal, multi-paragraph response </w:t>
      </w:r>
      <w:r w:rsidR="00BB3480">
        <w:rPr>
          <w:rFonts w:eastAsia="Times New Roman" w:cs="Arial"/>
        </w:rPr>
        <w:t xml:space="preserve">in which they </w:t>
      </w:r>
      <w:r w:rsidR="0012008E">
        <w:rPr>
          <w:rFonts w:eastAsia="Times New Roman" w:cs="Arial"/>
        </w:rPr>
        <w:t xml:space="preserve">either </w:t>
      </w:r>
      <w:r w:rsidR="00CD019E">
        <w:t xml:space="preserve">explain </w:t>
      </w:r>
      <w:r w:rsidR="0012008E">
        <w:t>why</w:t>
      </w:r>
      <w:r w:rsidR="000714C2">
        <w:t xml:space="preserve"> </w:t>
      </w:r>
      <w:r w:rsidR="000714C2">
        <w:rPr>
          <w:i/>
        </w:rPr>
        <w:t>The Tragedy of</w:t>
      </w:r>
      <w:r w:rsidR="000714C2">
        <w:t xml:space="preserve"> </w:t>
      </w:r>
      <w:r w:rsidR="000714C2">
        <w:rPr>
          <w:i/>
        </w:rPr>
        <w:t>Julius Caesar</w:t>
      </w:r>
      <w:r w:rsidR="0012008E">
        <w:t xml:space="preserve"> </w:t>
      </w:r>
      <w:r w:rsidR="000714C2">
        <w:t xml:space="preserve">is </w:t>
      </w:r>
      <w:r w:rsidR="0012008E">
        <w:t xml:space="preserve">an </w:t>
      </w:r>
      <w:r w:rsidR="000714C2">
        <w:t xml:space="preserve">appropriate </w:t>
      </w:r>
      <w:r w:rsidR="0012008E">
        <w:t>title for t</w:t>
      </w:r>
      <w:r w:rsidR="000714C2">
        <w:t>he play</w:t>
      </w:r>
      <w:r w:rsidR="0012008E">
        <w:t>,</w:t>
      </w:r>
      <w:r w:rsidR="00841E8F">
        <w:t xml:space="preserve"> or propose </w:t>
      </w:r>
      <w:r w:rsidR="00CD019E">
        <w:t xml:space="preserve">and defend </w:t>
      </w:r>
      <w:r w:rsidR="00841E8F">
        <w:t>an alternate title</w:t>
      </w:r>
      <w:r w:rsidR="000714C2">
        <w:t xml:space="preserve">. </w:t>
      </w:r>
    </w:p>
    <w:p w14:paraId="2F2DF5A9" w14:textId="77777777" w:rsidR="00CC183D" w:rsidRPr="00F82963" w:rsidRDefault="00CC183D" w:rsidP="008D2E50">
      <w:pPr>
        <w:pStyle w:val="Heading1"/>
        <w:spacing w:before="360"/>
      </w:pPr>
      <w:r w:rsidRPr="00F82963">
        <w:t>Literacy Skills and Habits</w:t>
      </w:r>
    </w:p>
    <w:p w14:paraId="1136156F" w14:textId="77777777" w:rsidR="00C73F60" w:rsidRPr="00677A89" w:rsidRDefault="00C73F60" w:rsidP="00C73F60">
      <w:pPr>
        <w:pStyle w:val="BulletedList"/>
      </w:pPr>
      <w:r>
        <w:t xml:space="preserve">Read closely for textual </w:t>
      </w:r>
      <w:r w:rsidRPr="00677A89">
        <w:t>details</w:t>
      </w:r>
    </w:p>
    <w:p w14:paraId="6F3A3C2C" w14:textId="499D16E4" w:rsidR="00C73F60" w:rsidRDefault="00C73F60" w:rsidP="0028414C">
      <w:pPr>
        <w:pStyle w:val="BulletedList"/>
      </w:pPr>
      <w:r w:rsidRPr="00677A89">
        <w:t>Annotate texts to support comprehension and analysis</w:t>
      </w:r>
    </w:p>
    <w:p w14:paraId="28234FA8" w14:textId="77777777" w:rsidR="00C73F60" w:rsidRPr="00677A89" w:rsidRDefault="00C73F60" w:rsidP="00C73F60">
      <w:pPr>
        <w:pStyle w:val="BulletedList"/>
      </w:pPr>
      <w:r w:rsidRPr="00677A89">
        <w:t>Engage in productive evidence-based discussions about text</w:t>
      </w:r>
    </w:p>
    <w:p w14:paraId="6DB3BA9E" w14:textId="77777777" w:rsidR="008166A1" w:rsidRDefault="008166A1" w:rsidP="008166A1">
      <w:pPr>
        <w:pStyle w:val="BulletedList"/>
      </w:pPr>
      <w:r w:rsidRPr="006B350F">
        <w:t>Independently develop questions for further textual analysis</w:t>
      </w:r>
    </w:p>
    <w:p w14:paraId="6E6C9ED8" w14:textId="48222B7F" w:rsidR="0089742D" w:rsidRPr="006B350F" w:rsidRDefault="0089742D" w:rsidP="0089742D">
      <w:pPr>
        <w:pStyle w:val="BulletedList"/>
      </w:pPr>
      <w:r>
        <w:t>Make claims about texts using specific textual evidence</w:t>
      </w:r>
    </w:p>
    <w:p w14:paraId="230B3064" w14:textId="77777777" w:rsidR="00C73F60" w:rsidRDefault="00C73F60" w:rsidP="00C73F60">
      <w:pPr>
        <w:pStyle w:val="BulletedList"/>
      </w:pPr>
      <w:r w:rsidRPr="00677A89">
        <w:t>Collect and organize evidence from texts to support analysis in writing</w:t>
      </w:r>
    </w:p>
    <w:p w14:paraId="0343CBD8" w14:textId="3E249E16" w:rsidR="0089742D" w:rsidRDefault="0089742D" w:rsidP="0089742D">
      <w:pPr>
        <w:pStyle w:val="BulletedList"/>
      </w:pPr>
      <w:r>
        <w:t>Paraphrase and quote relevant evidence from texts</w:t>
      </w:r>
    </w:p>
    <w:p w14:paraId="07EA6ED1" w14:textId="2E03694A" w:rsidR="0089742D" w:rsidRDefault="0089742D" w:rsidP="0089742D">
      <w:pPr>
        <w:pStyle w:val="BulletedList"/>
      </w:pPr>
      <w:r>
        <w:t>Independently preview texts in preparation for supported analysis</w:t>
      </w:r>
    </w:p>
    <w:p w14:paraId="7F4C42DE" w14:textId="77777777" w:rsidR="00C73F60" w:rsidRDefault="00C73F60" w:rsidP="00C73F60">
      <w:pPr>
        <w:pStyle w:val="BulletedList"/>
      </w:pPr>
      <w:r>
        <w:t xml:space="preserve">Independently </w:t>
      </w:r>
      <w:r w:rsidR="00DD7440">
        <w:t xml:space="preserve">read and annotate </w:t>
      </w:r>
      <w:r>
        <w:t xml:space="preserve">text in preparation for </w:t>
      </w:r>
      <w:r w:rsidR="00DD7440">
        <w:t>evidence-based discussion</w:t>
      </w:r>
    </w:p>
    <w:p w14:paraId="55803098" w14:textId="629C1F34" w:rsidR="00BA1545" w:rsidRPr="00BA1545" w:rsidRDefault="00BA1545" w:rsidP="00BA1545">
      <w:pPr>
        <w:pStyle w:val="BulletedList"/>
        <w:rPr>
          <w:rFonts w:ascii="Times" w:eastAsia="MS ??" w:hAnsi="Times" w:cs="Times"/>
          <w:sz w:val="24"/>
          <w:szCs w:val="24"/>
        </w:rPr>
      </w:pPr>
      <w:r>
        <w:rPr>
          <w:rFonts w:eastAsia="MS ??"/>
        </w:rPr>
        <w:t>Use vocabulary str</w:t>
      </w:r>
      <w:r w:rsidR="00E46FFE">
        <w:rPr>
          <w:rFonts w:eastAsia="MS ??"/>
        </w:rPr>
        <w:t>ategies to define unknown words</w:t>
      </w:r>
    </w:p>
    <w:p w14:paraId="31D52943" w14:textId="52AE6026" w:rsidR="00C73F60" w:rsidRDefault="00E549A6" w:rsidP="00C73F60">
      <w:pPr>
        <w:pStyle w:val="BulletedList"/>
      </w:pPr>
      <w:r>
        <w:t>Write informative texts to</w:t>
      </w:r>
      <w:r w:rsidR="001F2883">
        <w:t xml:space="preserve"> examine and</w:t>
      </w:r>
      <w:r w:rsidR="00E46FFE">
        <w:t xml:space="preserve"> convey complex ideas</w:t>
      </w:r>
    </w:p>
    <w:p w14:paraId="25680914" w14:textId="5B9F730A" w:rsidR="00C12316" w:rsidRDefault="00C12316" w:rsidP="00C12316">
      <w:pPr>
        <w:pStyle w:val="BulletedList"/>
      </w:pPr>
      <w:r>
        <w:t>Use rubrics and checklists for self-assessment and peer review of writing</w:t>
      </w:r>
    </w:p>
    <w:p w14:paraId="31507A63" w14:textId="2C1908D9" w:rsidR="00BA1545" w:rsidRDefault="00C12316" w:rsidP="00C73F60">
      <w:pPr>
        <w:pStyle w:val="BulletedList"/>
      </w:pPr>
      <w:r>
        <w:t>Use</w:t>
      </w:r>
      <w:r w:rsidR="00F1120E">
        <w:t xml:space="preserve"> speaking and listening skills in preparation for </w:t>
      </w:r>
      <w:r w:rsidR="00482074">
        <w:t>a</w:t>
      </w:r>
      <w:r>
        <w:t xml:space="preserve"> dramatic reading performance</w:t>
      </w:r>
    </w:p>
    <w:p w14:paraId="0DD41409" w14:textId="16306F50" w:rsidR="00836F57" w:rsidRPr="00836F57" w:rsidRDefault="00CC183D" w:rsidP="00B923E2">
      <w:pPr>
        <w:pStyle w:val="Heading1"/>
        <w:spacing w:before="360"/>
      </w:pPr>
      <w:r w:rsidRPr="00F82963">
        <w:t>Standards for This Unit</w:t>
      </w:r>
      <w:r w:rsidR="00836F57">
        <w:t xml:space="preserve"> </w:t>
      </w:r>
    </w:p>
    <w:tbl>
      <w:tblPr>
        <w:tblW w:w="93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04"/>
        <w:gridCol w:w="7956"/>
      </w:tblGrid>
      <w:tr w:rsidR="00E75803" w:rsidRPr="00F82963" w14:paraId="31BDBEA4" w14:textId="77777777" w:rsidTr="006B350F">
        <w:tc>
          <w:tcPr>
            <w:tcW w:w="9360" w:type="dxa"/>
            <w:gridSpan w:val="2"/>
            <w:shd w:val="clear" w:color="auto" w:fill="5F497A"/>
          </w:tcPr>
          <w:p w14:paraId="385F0E8B" w14:textId="77777777" w:rsidR="00E75803" w:rsidRPr="00F82963" w:rsidRDefault="00E75803" w:rsidP="00401E53">
            <w:pPr>
              <w:pStyle w:val="TableHeaders"/>
            </w:pPr>
            <w:r w:rsidRPr="00F82963">
              <w:t>College and Career Readiness Anchor Standards for Reading</w:t>
            </w:r>
          </w:p>
        </w:tc>
      </w:tr>
      <w:tr w:rsidR="009A1343" w:rsidRPr="00F82963" w14:paraId="0DF5D100" w14:textId="77777777" w:rsidTr="0023215D">
        <w:trPr>
          <w:trHeight w:val="350"/>
        </w:trPr>
        <w:tc>
          <w:tcPr>
            <w:tcW w:w="1404" w:type="dxa"/>
            <w:shd w:val="clear" w:color="auto" w:fill="auto"/>
          </w:tcPr>
          <w:p w14:paraId="01A88B5E" w14:textId="377567A7" w:rsidR="009A1343" w:rsidRPr="00C15E08" w:rsidRDefault="009A1343" w:rsidP="00E46FFE">
            <w:pPr>
              <w:pStyle w:val="TA"/>
              <w:spacing w:before="40" w:after="40" w:line="360" w:lineRule="auto"/>
              <w:rPr>
                <w:b/>
                <w:bCs/>
                <w:lang w:eastAsia="ja-JP"/>
              </w:rPr>
            </w:pPr>
            <w:r>
              <w:t xml:space="preserve">CCRA.R.6 </w:t>
            </w:r>
          </w:p>
        </w:tc>
        <w:tc>
          <w:tcPr>
            <w:tcW w:w="7956" w:type="dxa"/>
            <w:shd w:val="clear" w:color="auto" w:fill="auto"/>
          </w:tcPr>
          <w:p w14:paraId="7B192037" w14:textId="5E460C08" w:rsidR="009A1343" w:rsidRPr="00C15E08" w:rsidRDefault="009A1343" w:rsidP="0023215D">
            <w:pPr>
              <w:pStyle w:val="TA"/>
              <w:spacing w:before="0" w:after="0" w:line="360" w:lineRule="auto"/>
            </w:pPr>
            <w:r w:rsidRPr="00E47875">
              <w:rPr>
                <w:rStyle w:val="TableTextChar"/>
              </w:rPr>
              <w:t>Assess how point of view or purpose shapes the content and style of a text.</w:t>
            </w:r>
          </w:p>
        </w:tc>
      </w:tr>
    </w:tbl>
    <w:p w14:paraId="565CB32A" w14:textId="77777777" w:rsidR="00800AE9" w:rsidRDefault="00800AE9"/>
    <w:tbl>
      <w:tblPr>
        <w:tblW w:w="93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04"/>
        <w:gridCol w:w="22"/>
        <w:gridCol w:w="7934"/>
      </w:tblGrid>
      <w:tr w:rsidR="00385D6A" w:rsidRPr="00F82963" w14:paraId="644042DD" w14:textId="77777777" w:rsidTr="006B350F">
        <w:tc>
          <w:tcPr>
            <w:tcW w:w="9360" w:type="dxa"/>
            <w:gridSpan w:val="3"/>
            <w:shd w:val="clear" w:color="auto" w:fill="5F497A"/>
          </w:tcPr>
          <w:p w14:paraId="707F71DE" w14:textId="77777777" w:rsidR="00385D6A" w:rsidRPr="00F82963" w:rsidRDefault="00385D6A" w:rsidP="00385D6A">
            <w:pPr>
              <w:pStyle w:val="TableHeaders"/>
            </w:pPr>
            <w:r w:rsidRPr="00F82963">
              <w:lastRenderedPageBreak/>
              <w:t>CCS Standards: Reading — Literature</w:t>
            </w:r>
          </w:p>
        </w:tc>
      </w:tr>
      <w:tr w:rsidR="00841E8F" w:rsidRPr="00C15E08" w14:paraId="3568E8C7" w14:textId="77777777" w:rsidTr="0023215D">
        <w:tc>
          <w:tcPr>
            <w:tcW w:w="1404" w:type="dxa"/>
            <w:shd w:val="clear" w:color="auto" w:fill="auto"/>
          </w:tcPr>
          <w:p w14:paraId="7532CB0D" w14:textId="250F1D14" w:rsidR="00841E8F" w:rsidRPr="00C15E08" w:rsidRDefault="00841E8F" w:rsidP="00C15E08">
            <w:pPr>
              <w:pStyle w:val="TableText"/>
            </w:pPr>
            <w:r w:rsidRPr="008B4B5C">
              <w:rPr>
                <w:b/>
                <w:bCs/>
              </w:rPr>
              <w:t>RL.11-12.2</w:t>
            </w:r>
          </w:p>
        </w:tc>
        <w:tc>
          <w:tcPr>
            <w:tcW w:w="7956" w:type="dxa"/>
            <w:gridSpan w:val="2"/>
            <w:shd w:val="clear" w:color="auto" w:fill="auto"/>
          </w:tcPr>
          <w:p w14:paraId="105203CF" w14:textId="3E4C055A" w:rsidR="00841E8F" w:rsidRPr="00C15E08" w:rsidRDefault="00841E8F" w:rsidP="00C15E08">
            <w:pPr>
              <w:pStyle w:val="TableText"/>
            </w:pPr>
            <w:r w:rsidRPr="008B4B5C">
              <w:rPr>
                <w:rFonts w:eastAsia="Times New Roman"/>
                <w:b/>
                <w:color w:val="202020"/>
              </w:rPr>
              <w:t>Determine two or more themes or central ideas of a text and analyze their development over the course of the text, including how they interact and build on one another to produce a complex account; provide an objective summary of the text.</w:t>
            </w:r>
          </w:p>
        </w:tc>
      </w:tr>
      <w:tr w:rsidR="00841E8F" w:rsidRPr="00C15E08" w14:paraId="7F119EDA" w14:textId="77777777" w:rsidTr="00841E8F">
        <w:tc>
          <w:tcPr>
            <w:tcW w:w="1404" w:type="dxa"/>
            <w:shd w:val="clear" w:color="auto" w:fill="auto"/>
          </w:tcPr>
          <w:p w14:paraId="27C48D5F" w14:textId="26F55CEA" w:rsidR="00841E8F" w:rsidRPr="008B4B5C" w:rsidRDefault="00841E8F" w:rsidP="00C15E08">
            <w:pPr>
              <w:pStyle w:val="TableText"/>
              <w:rPr>
                <w:b/>
                <w:bCs/>
              </w:rPr>
            </w:pPr>
            <w:r>
              <w:rPr>
                <w:b/>
                <w:bCs/>
              </w:rPr>
              <w:t>RL.11-12.3</w:t>
            </w:r>
          </w:p>
        </w:tc>
        <w:tc>
          <w:tcPr>
            <w:tcW w:w="7956" w:type="dxa"/>
            <w:gridSpan w:val="2"/>
            <w:shd w:val="clear" w:color="auto" w:fill="auto"/>
          </w:tcPr>
          <w:p w14:paraId="3A703E45" w14:textId="114E4AB1" w:rsidR="00841E8F" w:rsidRPr="008B4B5C" w:rsidRDefault="00841E8F" w:rsidP="00C15E08">
            <w:pPr>
              <w:pStyle w:val="TableText"/>
              <w:rPr>
                <w:rFonts w:eastAsia="Times New Roman"/>
                <w:b/>
                <w:color w:val="202020"/>
              </w:rPr>
            </w:pPr>
            <w:r w:rsidRPr="008B4B5C">
              <w:rPr>
                <w:rFonts w:eastAsia="Times New Roman"/>
                <w:b/>
                <w:color w:val="202020"/>
              </w:rPr>
              <w:t>Analyze the impact of the author's choices regarding how to develop and relate elements of a story or drama (e.g., where a story is set, how the action is ordered, how the characters are introduced and developed).</w:t>
            </w:r>
          </w:p>
        </w:tc>
      </w:tr>
      <w:tr w:rsidR="00841E8F" w:rsidRPr="00C15E08" w14:paraId="3CB0C3AD" w14:textId="77777777" w:rsidTr="00841E8F">
        <w:tc>
          <w:tcPr>
            <w:tcW w:w="1404" w:type="dxa"/>
            <w:shd w:val="clear" w:color="auto" w:fill="auto"/>
          </w:tcPr>
          <w:p w14:paraId="3E5E38B6" w14:textId="2A56C751" w:rsidR="00841E8F" w:rsidRDefault="00841E8F" w:rsidP="00C15E08">
            <w:pPr>
              <w:pStyle w:val="TableText"/>
              <w:rPr>
                <w:b/>
                <w:bCs/>
              </w:rPr>
            </w:pPr>
            <w:r w:rsidRPr="000714C2">
              <w:rPr>
                <w:b/>
                <w:bCs/>
              </w:rPr>
              <w:t>RL.11-12.4</w:t>
            </w:r>
          </w:p>
        </w:tc>
        <w:tc>
          <w:tcPr>
            <w:tcW w:w="7956" w:type="dxa"/>
            <w:gridSpan w:val="2"/>
            <w:shd w:val="clear" w:color="auto" w:fill="auto"/>
          </w:tcPr>
          <w:p w14:paraId="3FB277F5" w14:textId="6FDDA5E0" w:rsidR="00841E8F" w:rsidRPr="008B4B5C" w:rsidRDefault="00841E8F" w:rsidP="00C15E08">
            <w:pPr>
              <w:pStyle w:val="TableText"/>
              <w:rPr>
                <w:rFonts w:eastAsia="Times New Roman"/>
                <w:b/>
                <w:color w:val="202020"/>
              </w:rPr>
            </w:pPr>
            <w:r w:rsidRPr="000714C2">
              <w:rPr>
                <w:rFonts w:eastAsia="Times New Roman"/>
                <w:b/>
                <w:color w:val="2020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841E8F" w:rsidRPr="00C15E08" w14:paraId="71F1B045" w14:textId="77777777" w:rsidTr="00841E8F">
        <w:tc>
          <w:tcPr>
            <w:tcW w:w="1404" w:type="dxa"/>
            <w:shd w:val="clear" w:color="auto" w:fill="auto"/>
          </w:tcPr>
          <w:p w14:paraId="0E27951C" w14:textId="0ABE3F80" w:rsidR="00841E8F" w:rsidRPr="000714C2" w:rsidRDefault="00841E8F" w:rsidP="00C15E08">
            <w:pPr>
              <w:pStyle w:val="TableText"/>
              <w:rPr>
                <w:b/>
                <w:bCs/>
              </w:rPr>
            </w:pPr>
            <w:r w:rsidRPr="008B4B5C">
              <w:rPr>
                <w:b/>
                <w:bCs/>
              </w:rPr>
              <w:t>RL.11-12.5</w:t>
            </w:r>
          </w:p>
        </w:tc>
        <w:tc>
          <w:tcPr>
            <w:tcW w:w="7956" w:type="dxa"/>
            <w:gridSpan w:val="2"/>
            <w:shd w:val="clear" w:color="auto" w:fill="auto"/>
          </w:tcPr>
          <w:p w14:paraId="1F8FFD35" w14:textId="1A2368E0" w:rsidR="00841E8F" w:rsidRPr="000714C2" w:rsidRDefault="00841E8F" w:rsidP="00C15E08">
            <w:pPr>
              <w:pStyle w:val="TableText"/>
              <w:rPr>
                <w:rFonts w:eastAsia="Times New Roman"/>
                <w:b/>
                <w:color w:val="202020"/>
              </w:rPr>
            </w:pPr>
            <w:r w:rsidRPr="008B4B5C">
              <w:rPr>
                <w:rFonts w:eastAsia="Times New Roman"/>
                <w:b/>
                <w:color w:val="202020"/>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5E64D1" w:rsidRPr="00C15E08" w14:paraId="504EDA28" w14:textId="77777777" w:rsidTr="00841E8F">
        <w:tc>
          <w:tcPr>
            <w:tcW w:w="1404" w:type="dxa"/>
            <w:shd w:val="clear" w:color="auto" w:fill="auto"/>
          </w:tcPr>
          <w:p w14:paraId="09867DB1" w14:textId="77209D3E" w:rsidR="005E64D1" w:rsidRPr="008B4B5C" w:rsidRDefault="005E64D1" w:rsidP="00C15E08">
            <w:pPr>
              <w:pStyle w:val="TableText"/>
              <w:rPr>
                <w:b/>
                <w:bCs/>
              </w:rPr>
            </w:pPr>
            <w:r>
              <w:rPr>
                <w:b/>
                <w:bCs/>
              </w:rPr>
              <w:t>RL.11-12.6</w:t>
            </w:r>
          </w:p>
        </w:tc>
        <w:tc>
          <w:tcPr>
            <w:tcW w:w="7956" w:type="dxa"/>
            <w:gridSpan w:val="2"/>
            <w:shd w:val="clear" w:color="auto" w:fill="auto"/>
          </w:tcPr>
          <w:p w14:paraId="07909272" w14:textId="51F98C26" w:rsidR="005E64D1" w:rsidRPr="008B4B5C" w:rsidRDefault="005E64D1" w:rsidP="00C15E08">
            <w:pPr>
              <w:pStyle w:val="TableText"/>
              <w:rPr>
                <w:rFonts w:eastAsia="Times New Roman"/>
                <w:b/>
                <w:color w:val="202020"/>
              </w:rPr>
            </w:pPr>
            <w:r w:rsidRPr="008B4B5C">
              <w:rPr>
                <w:rFonts w:eastAsia="Times New Roman"/>
                <w:b/>
                <w:color w:val="202020"/>
              </w:rPr>
              <w:t>Analyze a case in which grasping a point of view requires distinguishing what is directly stated in a text from what is really meant (e.g., satire, sarcasm, irony, or understatement).</w:t>
            </w:r>
          </w:p>
        </w:tc>
      </w:tr>
      <w:tr w:rsidR="00CC183D" w:rsidRPr="00F82963" w14:paraId="47A9E614" w14:textId="77777777" w:rsidTr="006B350F">
        <w:tc>
          <w:tcPr>
            <w:tcW w:w="9360" w:type="dxa"/>
            <w:gridSpan w:val="3"/>
            <w:shd w:val="clear" w:color="auto" w:fill="5F497A"/>
          </w:tcPr>
          <w:p w14:paraId="14B6E633" w14:textId="77777777" w:rsidR="00CC183D" w:rsidRPr="00F82963" w:rsidRDefault="00CC183D" w:rsidP="00401E53">
            <w:pPr>
              <w:pStyle w:val="TableHeaders"/>
            </w:pPr>
            <w:r w:rsidRPr="00F82963">
              <w:t>CCS</w:t>
            </w:r>
            <w:r w:rsidR="00F02C7C" w:rsidRPr="00F82963">
              <w:t xml:space="preserve"> Standards: Reading — Informational</w:t>
            </w:r>
            <w:r w:rsidR="00385D6A" w:rsidRPr="00F82963">
              <w:t xml:space="preserve"> Text</w:t>
            </w:r>
          </w:p>
        </w:tc>
      </w:tr>
      <w:tr w:rsidR="000B59A7" w:rsidRPr="00F82963" w14:paraId="23D0560C" w14:textId="77777777" w:rsidTr="00800AE9">
        <w:tc>
          <w:tcPr>
            <w:tcW w:w="9360" w:type="dxa"/>
            <w:gridSpan w:val="3"/>
            <w:shd w:val="clear" w:color="auto" w:fill="auto"/>
          </w:tcPr>
          <w:p w14:paraId="0A8ED00E" w14:textId="7E0D7C43" w:rsidR="000B59A7" w:rsidRPr="00800AE9" w:rsidRDefault="000B59A7" w:rsidP="00401E53">
            <w:pPr>
              <w:pStyle w:val="TableHeaders"/>
              <w:rPr>
                <w:b w:val="0"/>
              </w:rPr>
            </w:pPr>
            <w:r w:rsidRPr="00800AE9">
              <w:rPr>
                <w:b w:val="0"/>
                <w:color w:val="auto"/>
              </w:rPr>
              <w:t>None</w:t>
            </w:r>
            <w:r w:rsidR="00E14DBA" w:rsidRPr="00800AE9">
              <w:rPr>
                <w:b w:val="0"/>
                <w:color w:val="auto"/>
              </w:rPr>
              <w:t>.</w:t>
            </w:r>
          </w:p>
        </w:tc>
      </w:tr>
      <w:tr w:rsidR="00F02C7C" w:rsidRPr="00F82963" w14:paraId="0F7BCAB4" w14:textId="77777777" w:rsidTr="006B350F">
        <w:trPr>
          <w:trHeight w:val="120"/>
        </w:trPr>
        <w:tc>
          <w:tcPr>
            <w:tcW w:w="9360" w:type="dxa"/>
            <w:gridSpan w:val="3"/>
            <w:shd w:val="clear" w:color="auto" w:fill="5F497A"/>
          </w:tcPr>
          <w:p w14:paraId="678FB767" w14:textId="77777777" w:rsidR="00F02C7C" w:rsidRPr="00F82963" w:rsidRDefault="00F02C7C" w:rsidP="00401E53">
            <w:pPr>
              <w:pStyle w:val="TableHeaders"/>
            </w:pPr>
            <w:r w:rsidRPr="00F82963">
              <w:br w:type="page"/>
              <w:t>CCS Standards: Writing</w:t>
            </w:r>
          </w:p>
        </w:tc>
      </w:tr>
      <w:tr w:rsidR="000D02CA" w:rsidRPr="00F82963" w14:paraId="184109CA" w14:textId="77777777" w:rsidTr="006B350F">
        <w:tc>
          <w:tcPr>
            <w:tcW w:w="1426" w:type="dxa"/>
            <w:gridSpan w:val="2"/>
          </w:tcPr>
          <w:p w14:paraId="1B1C1E87" w14:textId="77777777" w:rsidR="000D02CA" w:rsidRPr="00F82963" w:rsidRDefault="004A0A1E" w:rsidP="004B795E">
            <w:pPr>
              <w:pStyle w:val="TableText"/>
              <w:rPr>
                <w:b/>
                <w:bCs/>
              </w:rPr>
            </w:pPr>
            <w:r w:rsidRPr="00F82963">
              <w:rPr>
                <w:b/>
                <w:bCs/>
              </w:rPr>
              <w:t>W.11-12</w:t>
            </w:r>
            <w:r w:rsidR="00026502" w:rsidRPr="00F82963">
              <w:rPr>
                <w:b/>
                <w:bCs/>
              </w:rPr>
              <w:t>.2</w:t>
            </w:r>
            <w:r w:rsidR="00865F03">
              <w:rPr>
                <w:b/>
                <w:bCs/>
              </w:rPr>
              <w:t>.a</w:t>
            </w:r>
            <w:r w:rsidR="004B795E">
              <w:rPr>
                <w:b/>
                <w:bCs/>
              </w:rPr>
              <w:t>-</w:t>
            </w:r>
            <w:r w:rsidR="00865F03">
              <w:rPr>
                <w:b/>
                <w:bCs/>
              </w:rPr>
              <w:t>f</w:t>
            </w:r>
            <w:r w:rsidR="00026502" w:rsidRPr="00F82963">
              <w:rPr>
                <w:b/>
                <w:bCs/>
              </w:rPr>
              <w:t xml:space="preserve"> </w:t>
            </w:r>
          </w:p>
        </w:tc>
        <w:tc>
          <w:tcPr>
            <w:tcW w:w="7934" w:type="dxa"/>
          </w:tcPr>
          <w:p w14:paraId="20CBF14B" w14:textId="77777777" w:rsidR="000D02CA" w:rsidRPr="004B795E" w:rsidRDefault="00234ACE" w:rsidP="004A0A1E">
            <w:pPr>
              <w:pStyle w:val="TableText"/>
              <w:rPr>
                <w:b/>
                <w:bCs/>
              </w:rPr>
            </w:pPr>
            <w:r>
              <w:rPr>
                <w:b/>
                <w:bCs/>
              </w:rPr>
              <w:t>Write informative/explanatory texts to examine and convey complex ideas, concepts, and information clearly and accurately through the effective selection, organization, and analysis of content.</w:t>
            </w:r>
          </w:p>
          <w:p w14:paraId="4AF49254" w14:textId="77777777" w:rsidR="007556A4" w:rsidRPr="00857625" w:rsidRDefault="00234ACE" w:rsidP="00857625">
            <w:pPr>
              <w:pStyle w:val="SubStandard"/>
              <w:rPr>
                <w:b/>
              </w:rPr>
            </w:pPr>
            <w:r w:rsidRPr="00857625">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5D7463A" w14:textId="5BC2099A" w:rsidR="001F2883" w:rsidRPr="001F2883" w:rsidRDefault="00234ACE" w:rsidP="00E47875">
            <w:pPr>
              <w:pStyle w:val="SubStandard"/>
              <w:numPr>
                <w:ilvl w:val="0"/>
                <w:numId w:val="11"/>
              </w:numPr>
              <w:rPr>
                <w:b/>
              </w:rPr>
            </w:pPr>
            <w:r w:rsidRPr="00857625">
              <w:rPr>
                <w:b/>
              </w:rPr>
              <w:t>Develop the topic thoroughly by selecting the most significant and relevant facts, extended definitions, concrete details, quotations, or other information and examples appropriate to the audience’s knowledge of the topic.</w:t>
            </w:r>
          </w:p>
          <w:p w14:paraId="3DF73C87" w14:textId="5768FE8D" w:rsidR="001F2883" w:rsidRPr="001F2883" w:rsidRDefault="00234ACE" w:rsidP="001F2883">
            <w:pPr>
              <w:pStyle w:val="SubStandard"/>
              <w:rPr>
                <w:b/>
                <w:bCs/>
                <w:iCs/>
                <w:lang w:eastAsia="ja-JP"/>
              </w:rPr>
            </w:pPr>
            <w:r w:rsidRPr="001F2883">
              <w:rPr>
                <w:b/>
              </w:rPr>
              <w:t xml:space="preserve">Use appropriate and varied transitions and syntax to link the major sections of the text, create cohesion, and clarify the relationships among complex ideas and </w:t>
            </w:r>
            <w:r w:rsidRPr="001F2883">
              <w:rPr>
                <w:b/>
              </w:rPr>
              <w:lastRenderedPageBreak/>
              <w:t>concepts.</w:t>
            </w:r>
            <w:r w:rsidR="00832BF5" w:rsidRPr="001F2883">
              <w:rPr>
                <w:b/>
              </w:rPr>
              <w:t xml:space="preserve"> </w:t>
            </w:r>
          </w:p>
          <w:p w14:paraId="6B6581C9" w14:textId="77777777" w:rsidR="001F2883" w:rsidRPr="001F2883" w:rsidRDefault="007556A4" w:rsidP="001F2883">
            <w:pPr>
              <w:pStyle w:val="SubStandard"/>
              <w:rPr>
                <w:b/>
                <w:bCs/>
                <w:iCs/>
                <w:lang w:eastAsia="ja-JP"/>
              </w:rPr>
            </w:pPr>
            <w:r w:rsidRPr="001F2883">
              <w:rPr>
                <w:b/>
              </w:rPr>
              <w:t>Use precise language, domain-specific vocabulary, and techniques such as metaphor, simile, and analogy to manage the complexity of the topic.</w:t>
            </w:r>
          </w:p>
          <w:p w14:paraId="62B063CC" w14:textId="77777777" w:rsidR="005C0C08" w:rsidRPr="001F2883" w:rsidRDefault="004C4E64" w:rsidP="001F2883">
            <w:pPr>
              <w:pStyle w:val="SubStandard"/>
              <w:rPr>
                <w:b/>
                <w:bCs/>
                <w:iCs/>
                <w:lang w:eastAsia="ja-JP"/>
              </w:rPr>
            </w:pPr>
            <w:r w:rsidRPr="001F2883">
              <w:rPr>
                <w:b/>
              </w:rPr>
              <w:t xml:space="preserve"> Establish and maintain a formal style and objective tone while attending to the norms and conventions of the discipline in which they are writing.</w:t>
            </w:r>
          </w:p>
          <w:p w14:paraId="00A0148D" w14:textId="61F41A7E" w:rsidR="001F2883" w:rsidRPr="00C12316" w:rsidRDefault="001F2883" w:rsidP="00C12316">
            <w:pPr>
              <w:pStyle w:val="SubStandard"/>
              <w:rPr>
                <w:rFonts w:ascii="Times" w:hAnsi="Times"/>
                <w:b/>
                <w:sz w:val="20"/>
                <w:szCs w:val="20"/>
              </w:rPr>
            </w:pPr>
            <w:r w:rsidRPr="001F2883">
              <w:rPr>
                <w:b/>
              </w:rPr>
              <w:t>Provide a concluding statement or section that follows from and supports the information or explanation presented (e.g., articulating implications or the significance of the topic).</w:t>
            </w:r>
          </w:p>
        </w:tc>
      </w:tr>
      <w:tr w:rsidR="00E47875" w:rsidRPr="00F82963" w14:paraId="28E939C6" w14:textId="77777777" w:rsidTr="006B350F">
        <w:tc>
          <w:tcPr>
            <w:tcW w:w="1426" w:type="dxa"/>
            <w:gridSpan w:val="2"/>
          </w:tcPr>
          <w:p w14:paraId="7B95AB35" w14:textId="165A16BB" w:rsidR="00E47875" w:rsidRPr="00E47875" w:rsidRDefault="00E47875" w:rsidP="004B795E">
            <w:pPr>
              <w:pStyle w:val="TableText"/>
              <w:rPr>
                <w:bCs/>
              </w:rPr>
            </w:pPr>
            <w:r w:rsidRPr="00E47875">
              <w:rPr>
                <w:bCs/>
              </w:rPr>
              <w:lastRenderedPageBreak/>
              <w:t>W.11-12.9.a</w:t>
            </w:r>
          </w:p>
        </w:tc>
        <w:tc>
          <w:tcPr>
            <w:tcW w:w="7934" w:type="dxa"/>
          </w:tcPr>
          <w:p w14:paraId="6D26E39C" w14:textId="77777777" w:rsidR="00E47875" w:rsidRDefault="00E47875" w:rsidP="00E47875">
            <w:pPr>
              <w:pStyle w:val="TableText"/>
            </w:pPr>
            <w:r>
              <w:t>Draw evidence from literary or informational texts to support analysis, reflection, and research.</w:t>
            </w:r>
          </w:p>
          <w:p w14:paraId="37D60777" w14:textId="2A88A092" w:rsidR="00E47875" w:rsidRPr="00471DAE" w:rsidRDefault="00E47875" w:rsidP="00471DAE">
            <w:pPr>
              <w:pStyle w:val="SubStandard"/>
              <w:numPr>
                <w:ilvl w:val="0"/>
                <w:numId w:val="16"/>
              </w:numPr>
            </w:pPr>
            <w:r w:rsidRPr="00471DAE">
              <w:t xml:space="preserve">Apply </w:t>
            </w:r>
            <w:r w:rsidR="00E76B46">
              <w:rPr>
                <w:i/>
              </w:rPr>
              <w:t>grades 11</w:t>
            </w:r>
            <w:r w:rsidR="00E76B46">
              <w:t>–</w:t>
            </w:r>
            <w:r w:rsidRPr="00576D4E">
              <w:rPr>
                <w:i/>
              </w:rPr>
              <w:t>12 Reading standards</w:t>
            </w:r>
            <w:r w:rsidRPr="00471DAE">
              <w:t xml:space="preserve"> to literature (e.g., "Demonstrate knowledge of eighteenth-, nineteenth- and early-twentieth-century foundational works of American literature, including how two or more texts from the same period treat similar themes or topics").</w:t>
            </w:r>
          </w:p>
        </w:tc>
      </w:tr>
      <w:tr w:rsidR="00BC5CC6" w:rsidRPr="00F82963" w14:paraId="5E73D604" w14:textId="77777777" w:rsidTr="006B350F">
        <w:tc>
          <w:tcPr>
            <w:tcW w:w="9360" w:type="dxa"/>
            <w:gridSpan w:val="3"/>
            <w:shd w:val="clear" w:color="auto" w:fill="5F497A"/>
          </w:tcPr>
          <w:p w14:paraId="535AD395" w14:textId="77777777" w:rsidR="00BC5CC6" w:rsidRPr="00F82963" w:rsidRDefault="00BC5CC6" w:rsidP="00401E53">
            <w:pPr>
              <w:pStyle w:val="TableHeaders"/>
            </w:pPr>
            <w:r w:rsidRPr="00F82963">
              <w:t>CCS Standards: Speaking &amp; Listening</w:t>
            </w:r>
          </w:p>
        </w:tc>
      </w:tr>
      <w:tr w:rsidR="00BC5CC6" w:rsidRPr="00F82963" w14:paraId="0226D6A1" w14:textId="77777777" w:rsidTr="006B350F">
        <w:tc>
          <w:tcPr>
            <w:tcW w:w="1426" w:type="dxa"/>
            <w:gridSpan w:val="2"/>
          </w:tcPr>
          <w:p w14:paraId="1CE63DF5" w14:textId="0C59671F" w:rsidR="00BC5CC6" w:rsidRPr="00E47875" w:rsidRDefault="00A05EC5" w:rsidP="00145CEF">
            <w:pPr>
              <w:pStyle w:val="TableText"/>
            </w:pPr>
            <w:r w:rsidRPr="00E47875">
              <w:t>SL.11-12</w:t>
            </w:r>
            <w:r w:rsidR="00BC5CC6" w:rsidRPr="00E47875">
              <w:t>.1</w:t>
            </w:r>
            <w:r w:rsidR="00EE4CBC" w:rsidRPr="00E47875">
              <w:t>.</w:t>
            </w:r>
            <w:r w:rsidR="00145CEF">
              <w:t>b,</w:t>
            </w:r>
            <w:r w:rsidR="00D51882" w:rsidRPr="00E47875">
              <w:t>c</w:t>
            </w:r>
          </w:p>
        </w:tc>
        <w:tc>
          <w:tcPr>
            <w:tcW w:w="7934" w:type="dxa"/>
          </w:tcPr>
          <w:p w14:paraId="47E3A610" w14:textId="77777777" w:rsidR="00090020" w:rsidRPr="00576D4E" w:rsidRDefault="00EE4CBC" w:rsidP="00576D4E">
            <w:pPr>
              <w:pStyle w:val="TableText"/>
            </w:pPr>
            <w:r w:rsidRPr="00576D4E">
              <w:t xml:space="preserve">Initiate and participate effectively in a range of collaborative discussions (one-on-one, in groups, and teacher-led) with diverse partners on </w:t>
            </w:r>
            <w:r w:rsidRPr="00576D4E">
              <w:rPr>
                <w:i/>
              </w:rPr>
              <w:t>grades 11–12 topics, texts, and issues</w:t>
            </w:r>
            <w:r w:rsidRPr="00576D4E">
              <w:t>, building on others’ ideas and expressing their own clearly and persuasively.</w:t>
            </w:r>
          </w:p>
          <w:p w14:paraId="0F60BC56" w14:textId="77777777" w:rsidR="00090020" w:rsidRPr="00576D4E" w:rsidRDefault="00396C7B" w:rsidP="00576D4E">
            <w:pPr>
              <w:pStyle w:val="SubStandard"/>
            </w:pPr>
            <w:r w:rsidRPr="00576D4E">
              <w:t>Work with peers to promote civil, democratic discussions and decision-making, set clear goals and deadlines, and establish individual roles as needed.</w:t>
            </w:r>
          </w:p>
          <w:p w14:paraId="0D25E74B" w14:textId="2A7407E1" w:rsidR="00D51882" w:rsidRPr="00F82963" w:rsidDel="001047F1" w:rsidRDefault="00396C7B" w:rsidP="00576D4E">
            <w:pPr>
              <w:pStyle w:val="SubStandard"/>
            </w:pPr>
            <w:r w:rsidRPr="00576D4E">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E47875" w:rsidRPr="00F82963" w14:paraId="40D23342" w14:textId="77777777" w:rsidTr="006B350F">
        <w:tc>
          <w:tcPr>
            <w:tcW w:w="1426" w:type="dxa"/>
            <w:gridSpan w:val="2"/>
          </w:tcPr>
          <w:p w14:paraId="3DD697EB" w14:textId="5B05353B" w:rsidR="00E47875" w:rsidRPr="000714C2" w:rsidRDefault="00E47875" w:rsidP="00E47875">
            <w:pPr>
              <w:pStyle w:val="TableText"/>
              <w:rPr>
                <w:b/>
              </w:rPr>
            </w:pPr>
            <w:r w:rsidRPr="000714C2">
              <w:rPr>
                <w:b/>
              </w:rPr>
              <w:t>SL.11-12.6</w:t>
            </w:r>
          </w:p>
        </w:tc>
        <w:tc>
          <w:tcPr>
            <w:tcW w:w="7934" w:type="dxa"/>
          </w:tcPr>
          <w:p w14:paraId="6C8EE41E" w14:textId="1960505C" w:rsidR="00E47875" w:rsidRPr="000714C2" w:rsidRDefault="00E47875" w:rsidP="00576D4E">
            <w:pPr>
              <w:pStyle w:val="TableText"/>
              <w:rPr>
                <w:b/>
              </w:rPr>
            </w:pPr>
            <w:r w:rsidRPr="000714C2">
              <w:rPr>
                <w:b/>
              </w:rPr>
              <w:t xml:space="preserve">Adapt speech to a variety of contexts and tasks, demonstrating a command of formal English </w:t>
            </w:r>
            <w:r w:rsidR="00576D4E">
              <w:rPr>
                <w:b/>
              </w:rPr>
              <w:t>when indicated or appropriate.</w:t>
            </w:r>
          </w:p>
        </w:tc>
      </w:tr>
      <w:tr w:rsidR="00BC5CC6" w:rsidRPr="00F82963" w14:paraId="38B951F1" w14:textId="77777777" w:rsidTr="006B350F">
        <w:tc>
          <w:tcPr>
            <w:tcW w:w="9360" w:type="dxa"/>
            <w:gridSpan w:val="3"/>
            <w:shd w:val="clear" w:color="auto" w:fill="5F497A"/>
          </w:tcPr>
          <w:p w14:paraId="70CE6303" w14:textId="77777777" w:rsidR="00BC5CC6" w:rsidRPr="00F82963" w:rsidRDefault="00BC5CC6" w:rsidP="007A12D1">
            <w:pPr>
              <w:pStyle w:val="TableHeaders"/>
            </w:pPr>
            <w:r w:rsidRPr="00F82963">
              <w:t>CCS Standards: Language</w:t>
            </w:r>
          </w:p>
        </w:tc>
      </w:tr>
      <w:tr w:rsidR="00B96FB7" w:rsidRPr="00F82963" w14:paraId="1952E8F3" w14:textId="77777777" w:rsidTr="00832BF5">
        <w:trPr>
          <w:trHeight w:val="592"/>
        </w:trPr>
        <w:tc>
          <w:tcPr>
            <w:tcW w:w="1426" w:type="dxa"/>
            <w:gridSpan w:val="2"/>
            <w:tcMar>
              <w:top w:w="100" w:type="dxa"/>
              <w:left w:w="108" w:type="dxa"/>
              <w:bottom w:w="100" w:type="dxa"/>
              <w:right w:w="108" w:type="dxa"/>
            </w:tcMar>
          </w:tcPr>
          <w:p w14:paraId="38895B19" w14:textId="77777777" w:rsidR="00B96FB7" w:rsidRPr="00F82963" w:rsidRDefault="00C95335" w:rsidP="00832BF5">
            <w:pPr>
              <w:pStyle w:val="TableText"/>
              <w:rPr>
                <w:bCs/>
              </w:rPr>
            </w:pPr>
            <w:r w:rsidRPr="00F82963">
              <w:rPr>
                <w:b/>
                <w:bCs/>
              </w:rPr>
              <w:t>L.11-12</w:t>
            </w:r>
            <w:r w:rsidR="00B96FB7" w:rsidRPr="00F82963">
              <w:rPr>
                <w:b/>
                <w:bCs/>
              </w:rPr>
              <w:t>.1</w:t>
            </w:r>
          </w:p>
        </w:tc>
        <w:tc>
          <w:tcPr>
            <w:tcW w:w="7934" w:type="dxa"/>
          </w:tcPr>
          <w:p w14:paraId="0878B20A" w14:textId="77777777" w:rsidR="005C0C08" w:rsidRPr="00FE1E09" w:rsidRDefault="00C95335" w:rsidP="00FE1E09">
            <w:pPr>
              <w:pStyle w:val="TableText"/>
              <w:rPr>
                <w:b/>
              </w:rPr>
            </w:pPr>
            <w:r w:rsidRPr="00FE1E09">
              <w:rPr>
                <w:b/>
              </w:rPr>
              <w:t>Demonstrate command of the conventions of standard English grammar and usage when writing or speaking.</w:t>
            </w:r>
          </w:p>
        </w:tc>
      </w:tr>
      <w:tr w:rsidR="00B96FB7" w:rsidRPr="00F82963" w14:paraId="0CB60303" w14:textId="77777777" w:rsidTr="006B350F">
        <w:tc>
          <w:tcPr>
            <w:tcW w:w="1426" w:type="dxa"/>
            <w:gridSpan w:val="2"/>
            <w:tcMar>
              <w:top w:w="100" w:type="dxa"/>
              <w:left w:w="108" w:type="dxa"/>
              <w:bottom w:w="100" w:type="dxa"/>
              <w:right w:w="108" w:type="dxa"/>
            </w:tcMar>
          </w:tcPr>
          <w:p w14:paraId="1CBF786A" w14:textId="00C79302" w:rsidR="00B96FB7" w:rsidRPr="00FE1E09" w:rsidRDefault="00A05EC5" w:rsidP="005F5614">
            <w:pPr>
              <w:contextualSpacing/>
              <w:outlineLvl w:val="4"/>
              <w:rPr>
                <w:b/>
              </w:rPr>
            </w:pPr>
            <w:r w:rsidRPr="00FE1E09">
              <w:rPr>
                <w:rStyle w:val="TableTextChar"/>
                <w:b/>
                <w:bCs/>
              </w:rPr>
              <w:t>L.11-12</w:t>
            </w:r>
            <w:r w:rsidR="00B96FB7" w:rsidRPr="00FE1E09">
              <w:rPr>
                <w:rStyle w:val="TableTextChar"/>
                <w:b/>
                <w:bCs/>
              </w:rPr>
              <w:t>.2</w:t>
            </w:r>
            <w:r w:rsidR="004D4786" w:rsidRPr="00FE1E09">
              <w:rPr>
                <w:rStyle w:val="TableTextChar"/>
                <w:b/>
                <w:bCs/>
              </w:rPr>
              <w:t>.</w:t>
            </w:r>
            <w:r w:rsidR="00145CEF">
              <w:rPr>
                <w:rStyle w:val="TableTextChar"/>
                <w:b/>
                <w:bCs/>
              </w:rPr>
              <w:t>a,</w:t>
            </w:r>
            <w:r w:rsidR="00396C7B" w:rsidRPr="00FE1E09">
              <w:rPr>
                <w:rStyle w:val="TableTextChar"/>
                <w:b/>
                <w:bCs/>
              </w:rPr>
              <w:t>b</w:t>
            </w:r>
          </w:p>
        </w:tc>
        <w:tc>
          <w:tcPr>
            <w:tcW w:w="7934" w:type="dxa"/>
          </w:tcPr>
          <w:p w14:paraId="787B2E94" w14:textId="77777777" w:rsidR="00AD1534" w:rsidRPr="00FE1E09" w:rsidRDefault="00B96FB7" w:rsidP="00FE1E09">
            <w:pPr>
              <w:pStyle w:val="TableText"/>
              <w:rPr>
                <w:b/>
              </w:rPr>
            </w:pPr>
            <w:r w:rsidRPr="00FE1E09">
              <w:rPr>
                <w:b/>
              </w:rPr>
              <w:t>Demonstrate command of the conventions of standard English capitalization, punctuation, and spelling when writing.</w:t>
            </w:r>
          </w:p>
          <w:p w14:paraId="48721CAB" w14:textId="55C6227E" w:rsidR="00D51882" w:rsidRPr="00FE1E09" w:rsidRDefault="002F433D" w:rsidP="00FE1E09">
            <w:pPr>
              <w:pStyle w:val="SubStandard"/>
              <w:numPr>
                <w:ilvl w:val="0"/>
                <w:numId w:val="18"/>
              </w:numPr>
              <w:rPr>
                <w:b/>
              </w:rPr>
            </w:pPr>
            <w:r w:rsidRPr="00FE1E09">
              <w:rPr>
                <w:b/>
              </w:rPr>
              <w:t>Observe hyphenation conventions.</w:t>
            </w:r>
          </w:p>
          <w:p w14:paraId="28B6ED30" w14:textId="77777777" w:rsidR="005C0C08" w:rsidRPr="00FE1E09" w:rsidRDefault="00234ACE" w:rsidP="00FE1E09">
            <w:pPr>
              <w:pStyle w:val="SubStandard"/>
              <w:rPr>
                <w:b/>
              </w:rPr>
            </w:pPr>
            <w:r w:rsidRPr="00FE1E09">
              <w:rPr>
                <w:b/>
              </w:rPr>
              <w:t>Spell correctly.</w:t>
            </w:r>
          </w:p>
        </w:tc>
      </w:tr>
      <w:tr w:rsidR="00B96FB7" w:rsidRPr="00F82963" w14:paraId="6E2108B5" w14:textId="77777777" w:rsidTr="00145CEF">
        <w:trPr>
          <w:trHeight w:val="2950"/>
        </w:trPr>
        <w:tc>
          <w:tcPr>
            <w:tcW w:w="1426" w:type="dxa"/>
            <w:gridSpan w:val="2"/>
            <w:tcMar>
              <w:top w:w="100" w:type="dxa"/>
              <w:left w:w="108" w:type="dxa"/>
              <w:bottom w:w="100" w:type="dxa"/>
              <w:right w:w="108" w:type="dxa"/>
            </w:tcMar>
          </w:tcPr>
          <w:p w14:paraId="1F0AF5D5" w14:textId="747B2977" w:rsidR="00B96FB7" w:rsidRPr="00F82963" w:rsidRDefault="009D142B" w:rsidP="00AD6018">
            <w:pPr>
              <w:pStyle w:val="TableText"/>
            </w:pPr>
            <w:r w:rsidRPr="00F82963">
              <w:lastRenderedPageBreak/>
              <w:t>L.11-12</w:t>
            </w:r>
            <w:r w:rsidR="00B96FB7" w:rsidRPr="00F82963">
              <w:t>.4.a</w:t>
            </w:r>
            <w:r w:rsidR="00145CEF">
              <w:t>,</w:t>
            </w:r>
            <w:r w:rsidR="00B96FB7" w:rsidRPr="00F82963">
              <w:t>c</w:t>
            </w:r>
          </w:p>
        </w:tc>
        <w:tc>
          <w:tcPr>
            <w:tcW w:w="7934" w:type="dxa"/>
          </w:tcPr>
          <w:p w14:paraId="0285A448" w14:textId="77777777" w:rsidR="005745F9" w:rsidRPr="00F82963" w:rsidRDefault="009D142B" w:rsidP="00832BF5">
            <w:pPr>
              <w:pStyle w:val="TableText"/>
            </w:pPr>
            <w:r w:rsidRPr="00F82963">
              <w:t xml:space="preserve">Determine or clarify the </w:t>
            </w:r>
            <w:r w:rsidRPr="00832BF5">
              <w:t>meaning</w:t>
            </w:r>
            <w:r w:rsidRPr="00F82963">
              <w:t xml:space="preserve"> of unknown and multiple-meaning words and phrases based on </w:t>
            </w:r>
            <w:r w:rsidRPr="00195EF4">
              <w:rPr>
                <w:i/>
              </w:rPr>
              <w:t>grades 11–12 reading and content</w:t>
            </w:r>
            <w:r w:rsidRPr="00F82963">
              <w:t>, choosing flexibly from a range of strategies.</w:t>
            </w:r>
          </w:p>
          <w:p w14:paraId="5BFBFE99" w14:textId="77777777" w:rsidR="009D142B" w:rsidRPr="00F82963" w:rsidRDefault="009D142B" w:rsidP="00E47875">
            <w:pPr>
              <w:pStyle w:val="SubStandard"/>
              <w:numPr>
                <w:ilvl w:val="0"/>
                <w:numId w:val="8"/>
              </w:numPr>
            </w:pPr>
            <w:r w:rsidRPr="00F82963">
              <w:t>Use context (e.g., the overall meaning of a sentence, paragraph, or text; a word’s position or function in a sentence) as a clue to the meaning of a word or phrase.</w:t>
            </w:r>
          </w:p>
          <w:p w14:paraId="0FC405D9" w14:textId="77777777" w:rsidR="005C0C08" w:rsidRDefault="008D2E50" w:rsidP="00E47875">
            <w:pPr>
              <w:pStyle w:val="SubStandard"/>
              <w:numPr>
                <w:ilvl w:val="0"/>
                <w:numId w:val="9"/>
              </w:numPr>
            </w:pPr>
            <w:r w:rsidRPr="00F82963">
              <w:t>C</w:t>
            </w:r>
            <w:r w:rsidR="005745F9" w:rsidRPr="00F82963">
              <w:t>onsult general and specialized reference materials (e.g., dictionaries, glossaries, thesauruses), both print and digital, to find the pronunciation of a word or determine or clarify its precise mea</w:t>
            </w:r>
            <w:r w:rsidR="00084099" w:rsidRPr="00F82963">
              <w:t>ning, its part of speech, its</w:t>
            </w:r>
            <w:r w:rsidR="005745F9" w:rsidRPr="00F82963">
              <w:t xml:space="preserve"> etymology</w:t>
            </w:r>
            <w:r w:rsidR="00084099" w:rsidRPr="00F82963">
              <w:t>, or its standard usage</w:t>
            </w:r>
            <w:r w:rsidR="005745F9" w:rsidRPr="00F82963">
              <w:t>.</w:t>
            </w:r>
          </w:p>
        </w:tc>
      </w:tr>
      <w:tr w:rsidR="00A05EC5" w:rsidRPr="00F82963" w14:paraId="34F1CA06" w14:textId="77777777" w:rsidTr="006B350F">
        <w:tc>
          <w:tcPr>
            <w:tcW w:w="1426" w:type="dxa"/>
            <w:gridSpan w:val="2"/>
            <w:tcMar>
              <w:top w:w="100" w:type="dxa"/>
              <w:left w:w="108" w:type="dxa"/>
              <w:bottom w:w="100" w:type="dxa"/>
              <w:right w:w="108" w:type="dxa"/>
            </w:tcMar>
          </w:tcPr>
          <w:p w14:paraId="0457EE69" w14:textId="67934CBD" w:rsidR="00A05EC5" w:rsidRPr="00F82963" w:rsidRDefault="00A05EC5" w:rsidP="00C15E08">
            <w:pPr>
              <w:pStyle w:val="TableText"/>
            </w:pPr>
            <w:r w:rsidRPr="00F82963">
              <w:t>L.11-12.5.a</w:t>
            </w:r>
            <w:r w:rsidR="00E47875">
              <w:t>,</w:t>
            </w:r>
            <w:r w:rsidR="00D51882">
              <w:t>b</w:t>
            </w:r>
          </w:p>
        </w:tc>
        <w:tc>
          <w:tcPr>
            <w:tcW w:w="7934" w:type="dxa"/>
          </w:tcPr>
          <w:p w14:paraId="3C61DFED" w14:textId="77777777" w:rsidR="00A05EC5" w:rsidRPr="00F82963" w:rsidRDefault="00A05EC5" w:rsidP="00A05EC5">
            <w:pPr>
              <w:pStyle w:val="TableText"/>
            </w:pPr>
            <w:r w:rsidRPr="00F82963">
              <w:t>Demonstrate understanding of figurative language, word relationships, and nuances in word meanings.</w:t>
            </w:r>
          </w:p>
          <w:p w14:paraId="65486FD6" w14:textId="77777777" w:rsidR="00A05EC5" w:rsidRDefault="00A05EC5" w:rsidP="00E47875">
            <w:pPr>
              <w:pStyle w:val="SubStandard"/>
              <w:numPr>
                <w:ilvl w:val="0"/>
                <w:numId w:val="10"/>
              </w:numPr>
            </w:pPr>
            <w:r w:rsidRPr="00F82963">
              <w:t>Interpret figures of speech (e.g., hyperbole, paradox) in context and analyze their role in the text.</w:t>
            </w:r>
          </w:p>
          <w:p w14:paraId="11D86044" w14:textId="31286D53" w:rsidR="00D51882" w:rsidRPr="00F82963" w:rsidRDefault="00145CEF" w:rsidP="00E47875">
            <w:pPr>
              <w:pStyle w:val="SubStandard"/>
              <w:numPr>
                <w:ilvl w:val="0"/>
                <w:numId w:val="10"/>
              </w:numPr>
            </w:pPr>
            <w:r>
              <w:t>Analyze nuances in the meaning</w:t>
            </w:r>
            <w:r w:rsidR="002F433D">
              <w:t xml:space="preserve"> of words with similar denotations.</w:t>
            </w:r>
          </w:p>
        </w:tc>
      </w:tr>
    </w:tbl>
    <w:p w14:paraId="3AE0204C" w14:textId="77777777" w:rsidR="00CC183D" w:rsidRPr="00F82963" w:rsidRDefault="00CC183D" w:rsidP="00CC183D">
      <w:pPr>
        <w:rPr>
          <w:sz w:val="20"/>
        </w:rPr>
      </w:pPr>
      <w:r w:rsidRPr="00F82963">
        <w:rPr>
          <w:b/>
          <w:sz w:val="20"/>
        </w:rPr>
        <w:t>Note:</w:t>
      </w:r>
      <w:r w:rsidRPr="00F82963">
        <w:rPr>
          <w:sz w:val="20"/>
        </w:rPr>
        <w:t xml:space="preserve"> Bold text indicates targeted standards that will be assessed in the unit.</w:t>
      </w:r>
    </w:p>
    <w:p w14:paraId="1F303468" w14:textId="6EB3426E" w:rsidR="00B923E2" w:rsidRPr="00B923E2" w:rsidRDefault="00CC183D" w:rsidP="00C31C2D">
      <w:pPr>
        <w:pStyle w:val="Heading1"/>
      </w:pPr>
      <w:r w:rsidRPr="00F82963">
        <w:t>Unit Assessments</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2"/>
        <w:gridCol w:w="7748"/>
      </w:tblGrid>
      <w:tr w:rsidR="00CC183D" w:rsidRPr="00F82963" w14:paraId="1165990A" w14:textId="77777777">
        <w:tc>
          <w:tcPr>
            <w:tcW w:w="9477" w:type="dxa"/>
            <w:gridSpan w:val="2"/>
            <w:shd w:val="clear" w:color="auto" w:fill="5F497A"/>
          </w:tcPr>
          <w:p w14:paraId="1B547051" w14:textId="77777777" w:rsidR="00CC183D" w:rsidRPr="00F82963" w:rsidRDefault="00CC183D" w:rsidP="00CC183D">
            <w:pPr>
              <w:pStyle w:val="TableHeaders"/>
            </w:pPr>
            <w:r w:rsidRPr="00F82963">
              <w:t>Ongoing Assessment</w:t>
            </w:r>
          </w:p>
        </w:tc>
      </w:tr>
      <w:tr w:rsidR="00CC183D" w:rsidRPr="00C15E08" w14:paraId="21162730" w14:textId="77777777">
        <w:tc>
          <w:tcPr>
            <w:tcW w:w="1630" w:type="dxa"/>
          </w:tcPr>
          <w:p w14:paraId="01ACBE4C" w14:textId="77777777" w:rsidR="00CC183D" w:rsidRPr="00C15E08" w:rsidRDefault="00CC183D" w:rsidP="00C15E08">
            <w:pPr>
              <w:pStyle w:val="TableText"/>
            </w:pPr>
            <w:r w:rsidRPr="00C15E08">
              <w:t>Standards Assessed</w:t>
            </w:r>
          </w:p>
        </w:tc>
        <w:tc>
          <w:tcPr>
            <w:tcW w:w="7847" w:type="dxa"/>
          </w:tcPr>
          <w:p w14:paraId="5B0D1CC9" w14:textId="7A38CF79" w:rsidR="00CC183D" w:rsidRPr="00C15E08" w:rsidRDefault="00D1484B" w:rsidP="00C31C2D">
            <w:pPr>
              <w:pStyle w:val="TableText"/>
            </w:pPr>
            <w:r>
              <w:t>RL.11-12.2, RL.11-12.3,</w:t>
            </w:r>
            <w:r w:rsidR="000714C2">
              <w:t xml:space="preserve"> </w:t>
            </w:r>
            <w:r w:rsidR="00C31C2D">
              <w:t>RL.11-12.5, RL.11-12.6</w:t>
            </w:r>
          </w:p>
        </w:tc>
      </w:tr>
      <w:tr w:rsidR="00CC183D" w:rsidRPr="00F82963" w14:paraId="77BB2CFE" w14:textId="77777777">
        <w:tc>
          <w:tcPr>
            <w:tcW w:w="1630" w:type="dxa"/>
          </w:tcPr>
          <w:p w14:paraId="69EA1096" w14:textId="77777777" w:rsidR="00CC183D" w:rsidRPr="00F82963" w:rsidRDefault="00CC183D" w:rsidP="007A12D1">
            <w:pPr>
              <w:pStyle w:val="TableText"/>
            </w:pPr>
            <w:r w:rsidRPr="00F82963">
              <w:t>Description of Assessment</w:t>
            </w:r>
          </w:p>
        </w:tc>
        <w:tc>
          <w:tcPr>
            <w:tcW w:w="7847" w:type="dxa"/>
          </w:tcPr>
          <w:p w14:paraId="1E6A869E" w14:textId="192F3AD2" w:rsidR="00CC183D" w:rsidRPr="00F82963" w:rsidRDefault="00DC6C31" w:rsidP="00241113">
            <w:pPr>
              <w:pStyle w:val="TableText"/>
            </w:pPr>
            <w:r w:rsidRPr="00DC6C31">
              <w:t xml:space="preserve">Students participate in reading and discussion, write informally in response to text- based prompts, and participate in evidence-based </w:t>
            </w:r>
            <w:r w:rsidR="000B59A7">
              <w:t>discussions</w:t>
            </w:r>
            <w:r w:rsidR="00E14DBA">
              <w:t>.</w:t>
            </w:r>
          </w:p>
        </w:tc>
      </w:tr>
    </w:tbl>
    <w:p w14:paraId="62BA050E" w14:textId="77777777" w:rsidR="00CC183D" w:rsidRDefault="00CC183D" w:rsidP="007A12D1"/>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DC6C31" w:rsidRPr="00F82963" w14:paraId="40E9777D" w14:textId="77777777">
        <w:tc>
          <w:tcPr>
            <w:tcW w:w="9460" w:type="dxa"/>
            <w:gridSpan w:val="2"/>
            <w:shd w:val="clear" w:color="auto" w:fill="5F497A"/>
          </w:tcPr>
          <w:p w14:paraId="1560E2CC" w14:textId="77777777" w:rsidR="00DC6C31" w:rsidRPr="00F82963" w:rsidRDefault="00DC6C31" w:rsidP="00DC6C31">
            <w:pPr>
              <w:pStyle w:val="TableHeaders"/>
            </w:pPr>
            <w:r>
              <w:t>Mid</w:t>
            </w:r>
            <w:r w:rsidRPr="00F82963">
              <w:t>-Unit Assessment</w:t>
            </w:r>
          </w:p>
        </w:tc>
      </w:tr>
      <w:tr w:rsidR="00DC6C31" w:rsidRPr="00F82963" w14:paraId="5A233A36" w14:textId="77777777">
        <w:tc>
          <w:tcPr>
            <w:tcW w:w="1710" w:type="dxa"/>
          </w:tcPr>
          <w:p w14:paraId="5799C5E8" w14:textId="77777777" w:rsidR="00DC6C31" w:rsidRPr="00F82963" w:rsidRDefault="00DC6C31" w:rsidP="00DC6C31">
            <w:pPr>
              <w:pStyle w:val="TableText"/>
            </w:pPr>
            <w:r w:rsidRPr="00F82963">
              <w:t>Standards Assessed</w:t>
            </w:r>
          </w:p>
        </w:tc>
        <w:tc>
          <w:tcPr>
            <w:tcW w:w="7750" w:type="dxa"/>
          </w:tcPr>
          <w:p w14:paraId="414A4AC5" w14:textId="638E9812" w:rsidR="00DC6C31" w:rsidRPr="00F82963" w:rsidRDefault="00CF0B5B" w:rsidP="005779DA">
            <w:pPr>
              <w:pStyle w:val="TableText"/>
            </w:pPr>
            <w:r>
              <w:t>RL</w:t>
            </w:r>
            <w:r w:rsidRPr="00EE385A">
              <w:t>.11-12.2</w:t>
            </w:r>
            <w:r>
              <w:t xml:space="preserve">, </w:t>
            </w:r>
            <w:r>
              <w:rPr>
                <w:spacing w:val="-4"/>
              </w:rPr>
              <w:t>W.11-12.2.a-</w:t>
            </w:r>
            <w:r w:rsidRPr="00941A9B">
              <w:rPr>
                <w:spacing w:val="-4"/>
              </w:rPr>
              <w:t>f</w:t>
            </w:r>
            <w:r w:rsidR="00800AE9">
              <w:rPr>
                <w:spacing w:val="-4"/>
              </w:rPr>
              <w:t xml:space="preserve">, L.11-12.1, L.11-12.2.a, </w:t>
            </w:r>
            <w:r>
              <w:rPr>
                <w:spacing w:val="-4"/>
              </w:rPr>
              <w:t>b</w:t>
            </w:r>
          </w:p>
        </w:tc>
      </w:tr>
      <w:tr w:rsidR="00DC6C31" w:rsidRPr="00F82963" w14:paraId="0B1CC92F" w14:textId="77777777">
        <w:trPr>
          <w:trHeight w:val="740"/>
        </w:trPr>
        <w:tc>
          <w:tcPr>
            <w:tcW w:w="1710" w:type="dxa"/>
          </w:tcPr>
          <w:p w14:paraId="147D10DF" w14:textId="77777777" w:rsidR="00DC6C31" w:rsidRPr="00F82963" w:rsidRDefault="00DC6C31" w:rsidP="00DC6C31">
            <w:pPr>
              <w:pStyle w:val="TableText"/>
            </w:pPr>
            <w:r w:rsidRPr="00F82963">
              <w:t>Description of Assessment</w:t>
            </w:r>
          </w:p>
        </w:tc>
        <w:tc>
          <w:tcPr>
            <w:tcW w:w="7750" w:type="dxa"/>
          </w:tcPr>
          <w:p w14:paraId="3010AF2B" w14:textId="6B5C45F7" w:rsidR="00DC6C31" w:rsidRPr="00CF0B5B" w:rsidRDefault="00A7063B" w:rsidP="00A7063B">
            <w:pPr>
              <w:pStyle w:val="TableText"/>
              <w:outlineLvl w:val="1"/>
              <w:rPr>
                <w:rFonts w:eastAsia="Times New Roman" w:cs="Arial"/>
                <w:b/>
              </w:rPr>
            </w:pPr>
            <w:r w:rsidRPr="00A7063B">
              <w:rPr>
                <w:rFonts w:eastAsia="Times New Roman" w:cs="Arial"/>
                <w:lang w:val="en-GB"/>
              </w:rPr>
              <w:t xml:space="preserve">Student learning is assessed via a multi-paragraph </w:t>
            </w:r>
            <w:r>
              <w:rPr>
                <w:rFonts w:eastAsia="Times New Roman" w:cs="Arial"/>
                <w:lang w:val="en-GB"/>
              </w:rPr>
              <w:t xml:space="preserve">response. Students respond to </w:t>
            </w:r>
            <w:r w:rsidRPr="00A7063B">
              <w:rPr>
                <w:rFonts w:eastAsia="Times New Roman" w:cs="Arial"/>
                <w:lang w:val="en-GB"/>
              </w:rPr>
              <w:t>the following prompt,</w:t>
            </w:r>
            <w:r>
              <w:rPr>
                <w:rFonts w:eastAsia="Times New Roman" w:cs="Arial"/>
                <w:lang w:val="en-GB"/>
              </w:rPr>
              <w:t xml:space="preserve"> </w:t>
            </w:r>
            <w:r w:rsidRPr="00A7063B">
              <w:rPr>
                <w:rFonts w:eastAsia="Times New Roman" w:cs="Arial"/>
                <w:lang w:val="en-GB"/>
              </w:rPr>
              <w:t>citing textual evidence to support analysis and inferences drawn from the text</w:t>
            </w:r>
            <w:r>
              <w:rPr>
                <w:rFonts w:eastAsia="Times New Roman" w:cs="Arial"/>
                <w:lang w:val="en-GB"/>
              </w:rPr>
              <w:t>:</w:t>
            </w:r>
            <w:r w:rsidR="00DD6BDE" w:rsidRPr="00DD6BDE">
              <w:rPr>
                <w:rFonts w:eastAsia="Times New Roman" w:cs="Arial"/>
              </w:rPr>
              <w:t xml:space="preserve"> </w:t>
            </w:r>
            <w:r w:rsidR="004207AF" w:rsidRPr="00DD6BDE">
              <w:rPr>
                <w:rFonts w:eastAsia="MS Mincho" w:cs="Arial"/>
                <w:lang w:eastAsia="ja-JP"/>
              </w:rPr>
              <w:t>I</w:t>
            </w:r>
            <w:r w:rsidR="00CF0B5B" w:rsidRPr="00DD6BDE">
              <w:rPr>
                <w:rFonts w:eastAsia="MS Mincho" w:cs="Arial"/>
                <w:lang w:eastAsia="ja-JP"/>
              </w:rPr>
              <w:t>s Ca</w:t>
            </w:r>
            <w:r w:rsidR="00FC0B73" w:rsidRPr="00DD6BDE">
              <w:rPr>
                <w:rFonts w:eastAsia="MS Mincho" w:cs="Arial"/>
                <w:lang w:eastAsia="ja-JP"/>
              </w:rPr>
              <w:t xml:space="preserve">esar’s death a “sacrifice” or a </w:t>
            </w:r>
            <w:r w:rsidR="00CF0B5B" w:rsidRPr="00DD6BDE">
              <w:rPr>
                <w:rFonts w:eastAsia="MS Mincho" w:cs="Arial"/>
                <w:lang w:eastAsia="ja-JP"/>
              </w:rPr>
              <w:t>“butchery”?</w:t>
            </w:r>
          </w:p>
        </w:tc>
      </w:tr>
    </w:tbl>
    <w:p w14:paraId="6A5ECB44" w14:textId="6E267C2A" w:rsidR="00471CB0" w:rsidRDefault="00471CB0" w:rsidP="007A12D1"/>
    <w:p w14:paraId="55765151" w14:textId="77777777" w:rsidR="00471CB0" w:rsidRDefault="00471CB0">
      <w:pPr>
        <w:spacing w:before="0" w:after="0" w:line="240" w:lineRule="auto"/>
      </w:pPr>
      <w:r>
        <w:br w:type="page"/>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CC183D" w:rsidRPr="00F82963" w14:paraId="5622CA51" w14:textId="77777777" w:rsidTr="00471CB0">
        <w:tc>
          <w:tcPr>
            <w:tcW w:w="9360" w:type="dxa"/>
            <w:gridSpan w:val="2"/>
            <w:shd w:val="clear" w:color="auto" w:fill="5F497A"/>
          </w:tcPr>
          <w:p w14:paraId="51A8DC93" w14:textId="77777777" w:rsidR="00CC183D" w:rsidRPr="00F82963" w:rsidRDefault="00CC183D" w:rsidP="00CC183D">
            <w:pPr>
              <w:pStyle w:val="TableHeaders"/>
            </w:pPr>
            <w:bookmarkStart w:id="0" w:name="_GoBack"/>
            <w:bookmarkEnd w:id="0"/>
            <w:r w:rsidRPr="00F82963">
              <w:lastRenderedPageBreak/>
              <w:t>End-of-Unit Assessment</w:t>
            </w:r>
          </w:p>
        </w:tc>
      </w:tr>
      <w:tr w:rsidR="00CC183D" w:rsidRPr="00F82963" w14:paraId="46AD75E7" w14:textId="77777777" w:rsidTr="00471CB0">
        <w:tc>
          <w:tcPr>
            <w:tcW w:w="1694" w:type="dxa"/>
          </w:tcPr>
          <w:p w14:paraId="0FB87A3E" w14:textId="77777777" w:rsidR="00CC183D" w:rsidRPr="00F82963" w:rsidRDefault="00CC183D" w:rsidP="00493A15">
            <w:pPr>
              <w:pStyle w:val="TableText"/>
            </w:pPr>
            <w:r w:rsidRPr="00F82963">
              <w:t>Standards Assessed</w:t>
            </w:r>
          </w:p>
        </w:tc>
        <w:tc>
          <w:tcPr>
            <w:tcW w:w="7666" w:type="dxa"/>
          </w:tcPr>
          <w:p w14:paraId="333656D2" w14:textId="1C3FDAAA" w:rsidR="00CC183D" w:rsidRPr="00B923E2" w:rsidRDefault="00850CC0" w:rsidP="00800AE9">
            <w:pPr>
              <w:pStyle w:val="TableText"/>
            </w:pPr>
            <w:r w:rsidRPr="00B923E2">
              <w:t>RL.11-12.</w:t>
            </w:r>
            <w:r w:rsidR="00B923E2" w:rsidRPr="00B923E2">
              <w:t>3</w:t>
            </w:r>
            <w:r w:rsidRPr="00B923E2">
              <w:t xml:space="preserve">, </w:t>
            </w:r>
            <w:r w:rsidR="00FC0B73" w:rsidRPr="00B923E2">
              <w:t xml:space="preserve">RL.11-12.4, </w:t>
            </w:r>
            <w:r w:rsidRPr="00B923E2">
              <w:t>W.11-12.2.a-f,</w:t>
            </w:r>
            <w:r w:rsidR="00B923E2" w:rsidRPr="00B923E2">
              <w:t xml:space="preserve"> SL.11-12.6, </w:t>
            </w:r>
            <w:r w:rsidRPr="00B923E2">
              <w:t>L.11-12.1, L.11-12.2.a</w:t>
            </w:r>
            <w:r w:rsidR="00800AE9">
              <w:t xml:space="preserve">, </w:t>
            </w:r>
            <w:r w:rsidRPr="00B923E2">
              <w:t>b</w:t>
            </w:r>
          </w:p>
        </w:tc>
      </w:tr>
      <w:tr w:rsidR="00CC183D" w:rsidRPr="00F82963" w14:paraId="45BDCD7E" w14:textId="77777777" w:rsidTr="00471CB0">
        <w:trPr>
          <w:trHeight w:val="740"/>
        </w:trPr>
        <w:tc>
          <w:tcPr>
            <w:tcW w:w="1694" w:type="dxa"/>
          </w:tcPr>
          <w:p w14:paraId="079100EE" w14:textId="77777777" w:rsidR="00CC183D" w:rsidRPr="00F82963" w:rsidRDefault="00CC183D" w:rsidP="00493A15">
            <w:pPr>
              <w:pStyle w:val="TableText"/>
            </w:pPr>
            <w:r w:rsidRPr="00F82963">
              <w:t>Description of Assessment</w:t>
            </w:r>
          </w:p>
        </w:tc>
        <w:tc>
          <w:tcPr>
            <w:tcW w:w="7666" w:type="dxa"/>
          </w:tcPr>
          <w:p w14:paraId="4DF51814" w14:textId="51B55B85" w:rsidR="00A7063B" w:rsidRDefault="00A7063B" w:rsidP="00DD6BDE">
            <w:pPr>
              <w:pStyle w:val="TableText"/>
            </w:pPr>
            <w:r>
              <w:rPr>
                <w:lang w:val="en-GB"/>
              </w:rPr>
              <w:t xml:space="preserve">Student learning in Part 1 of the End-of-Unit Assessment </w:t>
            </w:r>
            <w:r w:rsidRPr="00A7063B">
              <w:rPr>
                <w:lang w:val="en-GB"/>
              </w:rPr>
              <w:t xml:space="preserve">is assessed via student participation in the following task: Perform a dramatic reading of one scene from </w:t>
            </w:r>
            <w:r w:rsidRPr="00A7063B">
              <w:rPr>
                <w:i/>
                <w:lang w:val="en-GB"/>
              </w:rPr>
              <w:t>Julius Caesar</w:t>
            </w:r>
            <w:r w:rsidRPr="00A7063B">
              <w:rPr>
                <w:lang w:val="en-GB"/>
              </w:rPr>
              <w:t xml:space="preserve">, demonstrating </w:t>
            </w:r>
            <w:r>
              <w:rPr>
                <w:lang w:val="en-GB"/>
              </w:rPr>
              <w:t xml:space="preserve">comprehension </w:t>
            </w:r>
            <w:r w:rsidRPr="00A7063B">
              <w:t>through the use of affect, diction, and moveme</w:t>
            </w:r>
            <w:r>
              <w:t>nt.</w:t>
            </w:r>
          </w:p>
          <w:p w14:paraId="25082D47" w14:textId="1A0456B3" w:rsidR="00CC183D" w:rsidRPr="00850CC0" w:rsidRDefault="00A7063B" w:rsidP="00A7063B">
            <w:pPr>
              <w:pStyle w:val="TableText"/>
              <w:rPr>
                <w:rFonts w:cs="Arial"/>
              </w:rPr>
            </w:pPr>
            <w:r>
              <w:rPr>
                <w:lang w:val="en-GB"/>
              </w:rPr>
              <w:t xml:space="preserve">Student learning in Part 2 of the End-of-Unit Assessment </w:t>
            </w:r>
            <w:r w:rsidRPr="00A7063B">
              <w:rPr>
                <w:lang w:val="en-GB"/>
              </w:rPr>
              <w:t>is assessed via a formal, multi-paragraph response to the End-of-Unit Assessment. Students respond to the following prompt, citing textual evidence to support analysis and inferences drawn from the text</w:t>
            </w:r>
            <w:r>
              <w:rPr>
                <w:lang w:val="en-GB"/>
              </w:rPr>
              <w:t>:</w:t>
            </w:r>
            <w:r w:rsidRPr="00A7063B">
              <w:rPr>
                <w:lang w:val="en-GB"/>
              </w:rPr>
              <w:t xml:space="preserve"> Explain how the title </w:t>
            </w:r>
            <w:r w:rsidRPr="00A7063B">
              <w:rPr>
                <w:i/>
                <w:lang w:val="en-GB"/>
              </w:rPr>
              <w:t>The Tragedy of Julius Caesar</w:t>
            </w:r>
            <w:r w:rsidRPr="00A7063B">
              <w:rPr>
                <w:lang w:val="en-GB"/>
              </w:rPr>
              <w:t xml:space="preserve"> is appropriate for the play, or propose a new title</w:t>
            </w:r>
            <w:r>
              <w:rPr>
                <w:lang w:val="en-GB"/>
              </w:rPr>
              <w:t xml:space="preserve"> </w:t>
            </w:r>
            <w:r w:rsidRPr="00A7063B">
              <w:rPr>
                <w:lang w:val="en-GB"/>
              </w:rPr>
              <w:t>and explain why it is more appropriate</w:t>
            </w:r>
            <w:r>
              <w:rPr>
                <w:lang w:val="en-GB"/>
              </w:rPr>
              <w:t>.</w:t>
            </w:r>
          </w:p>
        </w:tc>
      </w:tr>
    </w:tbl>
    <w:p w14:paraId="1D81264E" w14:textId="1B6A6A0F" w:rsidR="00CC183D" w:rsidRPr="00F82963" w:rsidRDefault="00CC183D" w:rsidP="00CC183D">
      <w:pPr>
        <w:pStyle w:val="Heading1"/>
      </w:pPr>
      <w:r w:rsidRPr="00F82963">
        <w:t>Unit-at-a-Glance Calendar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790"/>
        <w:gridCol w:w="5724"/>
      </w:tblGrid>
      <w:tr w:rsidR="00CC183D" w:rsidRPr="00F82963" w14:paraId="5B207E36" w14:textId="77777777">
        <w:trPr>
          <w:cantSplit/>
          <w:tblHeader/>
        </w:trPr>
        <w:tc>
          <w:tcPr>
            <w:tcW w:w="0" w:type="auto"/>
            <w:shd w:val="clear" w:color="auto" w:fill="5F497A"/>
            <w:vAlign w:val="center"/>
          </w:tcPr>
          <w:p w14:paraId="7EA73568" w14:textId="77777777" w:rsidR="00CC183D" w:rsidRPr="00F82963" w:rsidRDefault="00CC183D" w:rsidP="00C46F19">
            <w:pPr>
              <w:pStyle w:val="TableHeaders"/>
            </w:pPr>
            <w:r w:rsidRPr="00F82963">
              <w:t>Lesson</w:t>
            </w:r>
          </w:p>
        </w:tc>
        <w:tc>
          <w:tcPr>
            <w:tcW w:w="0" w:type="auto"/>
            <w:shd w:val="clear" w:color="auto" w:fill="5F497A"/>
            <w:vAlign w:val="center"/>
          </w:tcPr>
          <w:p w14:paraId="6FB8C406" w14:textId="77777777" w:rsidR="00CC183D" w:rsidRPr="00F82963" w:rsidRDefault="00CC183D" w:rsidP="00C46F19">
            <w:pPr>
              <w:pStyle w:val="TableHeaders"/>
            </w:pPr>
            <w:r w:rsidRPr="00F82963">
              <w:t>Text</w:t>
            </w:r>
          </w:p>
        </w:tc>
        <w:tc>
          <w:tcPr>
            <w:tcW w:w="5724" w:type="dxa"/>
            <w:shd w:val="clear" w:color="auto" w:fill="5F497A"/>
            <w:vAlign w:val="center"/>
          </w:tcPr>
          <w:p w14:paraId="1E451417" w14:textId="77777777" w:rsidR="00CC183D" w:rsidRPr="00F82963" w:rsidRDefault="00CC183D" w:rsidP="00C46F19">
            <w:pPr>
              <w:pStyle w:val="TableHeaders"/>
            </w:pPr>
            <w:r w:rsidRPr="00F82963">
              <w:t>Learning Outcomes/Goals</w:t>
            </w:r>
          </w:p>
        </w:tc>
      </w:tr>
      <w:tr w:rsidR="00BB6A3B" w:rsidRPr="00F82963" w14:paraId="38643CF6" w14:textId="77777777">
        <w:trPr>
          <w:cantSplit/>
        </w:trPr>
        <w:tc>
          <w:tcPr>
            <w:tcW w:w="0" w:type="auto"/>
            <w:shd w:val="clear" w:color="auto" w:fill="FFFFFF"/>
          </w:tcPr>
          <w:p w14:paraId="0896BEE1" w14:textId="77777777" w:rsidR="00BB6A3B" w:rsidRPr="00F82963" w:rsidRDefault="00BB6A3B" w:rsidP="00493A15">
            <w:pPr>
              <w:pStyle w:val="TableText"/>
            </w:pPr>
            <w:r w:rsidRPr="00F82963">
              <w:t>1</w:t>
            </w:r>
          </w:p>
        </w:tc>
        <w:tc>
          <w:tcPr>
            <w:tcW w:w="0" w:type="auto"/>
            <w:shd w:val="clear" w:color="auto" w:fill="FFFFFF"/>
          </w:tcPr>
          <w:p w14:paraId="1A256860" w14:textId="7E8751EE" w:rsidR="00BB6A3B" w:rsidRPr="00F82963" w:rsidRDefault="00FC0B73" w:rsidP="00385D6A">
            <w:pPr>
              <w:pStyle w:val="TableText"/>
            </w:pPr>
            <w:r w:rsidRPr="00FC0B73">
              <w:rPr>
                <w:i/>
              </w:rPr>
              <w:t>Julius Caesar</w:t>
            </w:r>
            <w:r>
              <w:t xml:space="preserve"> by Willia</w:t>
            </w:r>
            <w:r w:rsidR="00623A76">
              <w:t>m Shakespeare, Act 1.1, lines 1–</w:t>
            </w:r>
            <w:r>
              <w:t>80</w:t>
            </w:r>
          </w:p>
        </w:tc>
        <w:tc>
          <w:tcPr>
            <w:tcW w:w="5724" w:type="dxa"/>
            <w:shd w:val="clear" w:color="auto" w:fill="FFFFFF"/>
          </w:tcPr>
          <w:p w14:paraId="2821EBEA" w14:textId="515DE70B" w:rsidR="00BB6A3B" w:rsidRPr="00F82963" w:rsidRDefault="00514A00" w:rsidP="00623A76">
            <w:pPr>
              <w:pStyle w:val="TableText"/>
            </w:pPr>
            <w:r w:rsidRPr="00F82963">
              <w:t xml:space="preserve">In this </w:t>
            </w:r>
            <w:r w:rsidR="00383DC8">
              <w:t xml:space="preserve">first </w:t>
            </w:r>
            <w:r w:rsidRPr="00F82963">
              <w:t>lesson</w:t>
            </w:r>
            <w:r w:rsidR="00383DC8">
              <w:t xml:space="preserve"> of the unit</w:t>
            </w:r>
            <w:r w:rsidR="00814034">
              <w:t>,</w:t>
            </w:r>
            <w:r w:rsidR="00383DC8">
              <w:t xml:space="preserve"> </w:t>
            </w:r>
            <w:r w:rsidR="00E111F9">
              <w:t xml:space="preserve">students begin their exploration of William Shakespeare’s </w:t>
            </w:r>
            <w:r w:rsidR="00E111F9">
              <w:rPr>
                <w:i/>
              </w:rPr>
              <w:t xml:space="preserve">Julius Caesar. </w:t>
            </w:r>
            <w:r w:rsidR="00E111F9">
              <w:t>Students read and analyze Act 1.1, lines 1</w:t>
            </w:r>
            <w:r w:rsidR="00623A76">
              <w:t>–</w:t>
            </w:r>
            <w:r w:rsidR="00F766AE">
              <w:t>80</w:t>
            </w:r>
            <w:r w:rsidR="00E111F9">
              <w:t xml:space="preserve"> and </w:t>
            </w:r>
            <w:r w:rsidR="00CC2309">
              <w:t>consider how Shakespeare develops conflicts in this opening scene.</w:t>
            </w:r>
          </w:p>
        </w:tc>
      </w:tr>
      <w:tr w:rsidR="00BB6A3B" w:rsidRPr="00F82963" w14:paraId="0F7D1444" w14:textId="77777777" w:rsidTr="00623A76">
        <w:trPr>
          <w:cantSplit/>
          <w:trHeight w:val="1277"/>
        </w:trPr>
        <w:tc>
          <w:tcPr>
            <w:tcW w:w="0" w:type="auto"/>
            <w:shd w:val="clear" w:color="auto" w:fill="FFFFFF"/>
          </w:tcPr>
          <w:p w14:paraId="788371BF" w14:textId="77777777" w:rsidR="00BB6A3B" w:rsidRPr="00F82963" w:rsidRDefault="00BB6A3B" w:rsidP="00493A15">
            <w:pPr>
              <w:pStyle w:val="TableText"/>
            </w:pPr>
            <w:r w:rsidRPr="00F82963">
              <w:t>2</w:t>
            </w:r>
          </w:p>
        </w:tc>
        <w:tc>
          <w:tcPr>
            <w:tcW w:w="0" w:type="auto"/>
            <w:shd w:val="clear" w:color="auto" w:fill="FFFFFF"/>
          </w:tcPr>
          <w:p w14:paraId="65AF980F" w14:textId="285F1EA3" w:rsidR="00BB6A3B" w:rsidRPr="00F82963" w:rsidRDefault="00FC0B73" w:rsidP="00C15E08">
            <w:pPr>
              <w:pStyle w:val="TableText"/>
            </w:pPr>
            <w:r w:rsidRPr="00FC0B73">
              <w:rPr>
                <w:i/>
              </w:rPr>
              <w:t>Julius Caesar</w:t>
            </w:r>
            <w:r>
              <w:t xml:space="preserve"> by William Shakespeare,</w:t>
            </w:r>
            <w:r w:rsidR="00623A76">
              <w:t xml:space="preserve"> Act 1.2, lines 1–</w:t>
            </w:r>
            <w:r w:rsidR="004C798D">
              <w:t>138</w:t>
            </w:r>
          </w:p>
        </w:tc>
        <w:tc>
          <w:tcPr>
            <w:tcW w:w="5724" w:type="dxa"/>
            <w:shd w:val="clear" w:color="auto" w:fill="FFFFFF"/>
          </w:tcPr>
          <w:p w14:paraId="1C69520A" w14:textId="76D37C50" w:rsidR="00BB6A3B" w:rsidRPr="00F82963" w:rsidRDefault="00EE32DC" w:rsidP="00623A76">
            <w:pPr>
              <w:pStyle w:val="TableText"/>
            </w:pPr>
            <w:r w:rsidRPr="00F82963">
              <w:t>In this lesson</w:t>
            </w:r>
            <w:r w:rsidR="00D7065A" w:rsidRPr="00D7065A">
              <w:t xml:space="preserve">, </w:t>
            </w:r>
            <w:r w:rsidR="00E111F9">
              <w:t>students read a</w:t>
            </w:r>
            <w:r w:rsidR="00CC2309">
              <w:t>nd analyze Act 1.2, lines 1</w:t>
            </w:r>
            <w:r w:rsidR="00623A76">
              <w:t>–</w:t>
            </w:r>
            <w:r w:rsidR="00CC2309">
              <w:t>138.</w:t>
            </w:r>
            <w:r w:rsidR="00E111F9">
              <w:t xml:space="preserve"> </w:t>
            </w:r>
            <w:r w:rsidR="00CC2309">
              <w:t>Students participate in a whole-class dramatic reading of the scene, analyzing how Shakespeare develops characters and introduces central ideas.</w:t>
            </w:r>
          </w:p>
        </w:tc>
      </w:tr>
      <w:tr w:rsidR="00BB6A3B" w:rsidRPr="00F82963" w14:paraId="60D92B93" w14:textId="77777777">
        <w:trPr>
          <w:cantSplit/>
        </w:trPr>
        <w:tc>
          <w:tcPr>
            <w:tcW w:w="0" w:type="auto"/>
            <w:shd w:val="clear" w:color="auto" w:fill="FFFFFF"/>
          </w:tcPr>
          <w:p w14:paraId="4C7F24E2" w14:textId="77777777" w:rsidR="00BB6A3B" w:rsidRPr="00F82963" w:rsidRDefault="00BB6A3B" w:rsidP="00493A15">
            <w:pPr>
              <w:pStyle w:val="TableText"/>
            </w:pPr>
            <w:r w:rsidRPr="00F82963">
              <w:t>3</w:t>
            </w:r>
          </w:p>
        </w:tc>
        <w:tc>
          <w:tcPr>
            <w:tcW w:w="0" w:type="auto"/>
            <w:shd w:val="clear" w:color="auto" w:fill="FFFFFF"/>
          </w:tcPr>
          <w:p w14:paraId="44B6C413" w14:textId="6427117A" w:rsidR="00BB6A3B" w:rsidRPr="00F82963" w:rsidRDefault="00FC0B73" w:rsidP="00623A76">
            <w:pPr>
              <w:pStyle w:val="TableText"/>
            </w:pPr>
            <w:r w:rsidRPr="00FC0B73">
              <w:rPr>
                <w:i/>
              </w:rPr>
              <w:t>Julius Caesar</w:t>
            </w:r>
            <w:r>
              <w:t xml:space="preserve"> by William Shakespeare,</w:t>
            </w:r>
            <w:r w:rsidR="004C798D">
              <w:t xml:space="preserve"> Act 1.2, lines 139</w:t>
            </w:r>
            <w:r w:rsidR="00623A76">
              <w:t>–</w:t>
            </w:r>
            <w:r w:rsidR="004C798D">
              <w:t>187</w:t>
            </w:r>
          </w:p>
        </w:tc>
        <w:tc>
          <w:tcPr>
            <w:tcW w:w="5724" w:type="dxa"/>
            <w:shd w:val="clear" w:color="auto" w:fill="FFFFFF"/>
          </w:tcPr>
          <w:p w14:paraId="328CDBCE" w14:textId="62E8C04D" w:rsidR="00BB6A3B" w:rsidRPr="00F82963" w:rsidRDefault="005F6BEC" w:rsidP="00F766AE">
            <w:pPr>
              <w:pStyle w:val="TableText"/>
            </w:pPr>
            <w:r w:rsidRPr="00F82963">
              <w:t>In this lesson</w:t>
            </w:r>
            <w:r w:rsidR="00814034">
              <w:t xml:space="preserve">, </w:t>
            </w:r>
            <w:r w:rsidR="00E111F9">
              <w:t>students read and analyze Act 1.2, lines 139</w:t>
            </w:r>
            <w:r w:rsidR="00623A76">
              <w:t>–</w:t>
            </w:r>
            <w:r w:rsidR="00E111F9">
              <w:t xml:space="preserve">187 and explore Cassius’s use of rhetoric and </w:t>
            </w:r>
            <w:r w:rsidR="00D16F14">
              <w:t xml:space="preserve">emerging </w:t>
            </w:r>
            <w:r w:rsidR="00E111F9">
              <w:t>central ideas, such as the relationship between the individual and the state, social bonds, and ethics of honor.</w:t>
            </w:r>
          </w:p>
        </w:tc>
      </w:tr>
      <w:tr w:rsidR="00BB6A3B" w:rsidRPr="00F82963" w14:paraId="6C12F28F" w14:textId="77777777" w:rsidTr="001505DC">
        <w:trPr>
          <w:cantSplit/>
          <w:trHeight w:val="1241"/>
        </w:trPr>
        <w:tc>
          <w:tcPr>
            <w:tcW w:w="0" w:type="auto"/>
            <w:shd w:val="clear" w:color="auto" w:fill="FFFFFF"/>
          </w:tcPr>
          <w:p w14:paraId="06699A05" w14:textId="77777777" w:rsidR="00BB6A3B" w:rsidRPr="00F82963" w:rsidRDefault="00BB6A3B" w:rsidP="00493A15">
            <w:pPr>
              <w:pStyle w:val="TableText"/>
            </w:pPr>
            <w:r w:rsidRPr="00F82963">
              <w:t>4</w:t>
            </w:r>
          </w:p>
        </w:tc>
        <w:tc>
          <w:tcPr>
            <w:tcW w:w="0" w:type="auto"/>
            <w:shd w:val="clear" w:color="auto" w:fill="FFFFFF"/>
          </w:tcPr>
          <w:p w14:paraId="1C466FB6" w14:textId="49D67359" w:rsidR="00BB6A3B" w:rsidRPr="00F82963" w:rsidRDefault="00FC0B73" w:rsidP="004C798D">
            <w:pPr>
              <w:pStyle w:val="TableText"/>
            </w:pPr>
            <w:r w:rsidRPr="00FC0B73">
              <w:rPr>
                <w:i/>
              </w:rPr>
              <w:t>Julius Caesar</w:t>
            </w:r>
            <w:r>
              <w:t xml:space="preserve"> by William Shakespeare,</w:t>
            </w:r>
            <w:r w:rsidR="001505DC">
              <w:t xml:space="preserve"> Act 1.2, lines 225–334</w:t>
            </w:r>
          </w:p>
        </w:tc>
        <w:tc>
          <w:tcPr>
            <w:tcW w:w="5724" w:type="dxa"/>
            <w:shd w:val="clear" w:color="auto" w:fill="FFFFFF"/>
          </w:tcPr>
          <w:p w14:paraId="55384DF1" w14:textId="651313DD" w:rsidR="00BB6A3B" w:rsidRPr="00F82963" w:rsidRDefault="002F0F79" w:rsidP="001505DC">
            <w:pPr>
              <w:pStyle w:val="TableText"/>
            </w:pPr>
            <w:r w:rsidRPr="00F82963">
              <w:t>In this lesson</w:t>
            </w:r>
            <w:r w:rsidR="00814034">
              <w:t xml:space="preserve">, students </w:t>
            </w:r>
            <w:r w:rsidR="002C637B">
              <w:t xml:space="preserve">read </w:t>
            </w:r>
            <w:r w:rsidR="00BB3A62">
              <w:t xml:space="preserve">Act 1.2, </w:t>
            </w:r>
            <w:r w:rsidR="002C637B">
              <w:t>lines 225–334</w:t>
            </w:r>
            <w:r w:rsidR="00CC2309">
              <w:t xml:space="preserve"> and analyze Shakespeare’s choice to present events from </w:t>
            </w:r>
            <w:r w:rsidR="001505DC">
              <w:t xml:space="preserve">Casca’s perspective and </w:t>
            </w:r>
            <w:r w:rsidR="00CC2309">
              <w:t xml:space="preserve">the impact of this </w:t>
            </w:r>
            <w:r w:rsidR="00623A76">
              <w:t>choice on the plot of the play.</w:t>
            </w:r>
          </w:p>
        </w:tc>
      </w:tr>
      <w:tr w:rsidR="00BB6A3B" w:rsidRPr="00F82963" w14:paraId="47819C14" w14:textId="77777777">
        <w:trPr>
          <w:cantSplit/>
        </w:trPr>
        <w:tc>
          <w:tcPr>
            <w:tcW w:w="0" w:type="auto"/>
            <w:shd w:val="clear" w:color="auto" w:fill="FFFFFF"/>
          </w:tcPr>
          <w:p w14:paraId="2DF05A40" w14:textId="77777777" w:rsidR="00BB6A3B" w:rsidRPr="00F82963" w:rsidRDefault="00BB6A3B" w:rsidP="00493A15">
            <w:pPr>
              <w:pStyle w:val="TableText"/>
            </w:pPr>
            <w:r w:rsidRPr="00F82963">
              <w:t>5</w:t>
            </w:r>
          </w:p>
        </w:tc>
        <w:tc>
          <w:tcPr>
            <w:tcW w:w="0" w:type="auto"/>
            <w:shd w:val="clear" w:color="auto" w:fill="FFFFFF"/>
          </w:tcPr>
          <w:p w14:paraId="78C31E4A" w14:textId="43140B1A" w:rsidR="00BB6A3B" w:rsidRPr="00F82963" w:rsidRDefault="00FC0B73" w:rsidP="004C798D">
            <w:pPr>
              <w:pStyle w:val="TableText"/>
            </w:pPr>
            <w:r w:rsidRPr="00FC0B73">
              <w:rPr>
                <w:i/>
              </w:rPr>
              <w:t>Julius Caesar</w:t>
            </w:r>
            <w:r>
              <w:t xml:space="preserve"> by William Shakespeare,</w:t>
            </w:r>
            <w:r w:rsidR="004C798D">
              <w:t xml:space="preserve"> Act 1.3, lines 42–169 </w:t>
            </w:r>
          </w:p>
        </w:tc>
        <w:tc>
          <w:tcPr>
            <w:tcW w:w="5724" w:type="dxa"/>
            <w:shd w:val="clear" w:color="auto" w:fill="FFFFFF"/>
          </w:tcPr>
          <w:p w14:paraId="706E034D" w14:textId="1A756C09" w:rsidR="00BB6A3B" w:rsidRPr="00C15E08" w:rsidRDefault="00BB3A62" w:rsidP="00F766AE">
            <w:pPr>
              <w:pStyle w:val="TableText"/>
            </w:pPr>
            <w:r>
              <w:t>In this lesson students read Act 1.3, lines 42–169 and analyze how Shakespeare develops multiple central ideas</w:t>
            </w:r>
            <w:r w:rsidR="00CC2309">
              <w:t xml:space="preserve"> </w:t>
            </w:r>
            <w:r>
              <w:t>in this passage.</w:t>
            </w:r>
          </w:p>
        </w:tc>
      </w:tr>
      <w:tr w:rsidR="00BB6A3B" w:rsidRPr="00F82963" w14:paraId="5DB51A8C" w14:textId="77777777">
        <w:trPr>
          <w:cantSplit/>
        </w:trPr>
        <w:tc>
          <w:tcPr>
            <w:tcW w:w="0" w:type="auto"/>
            <w:shd w:val="clear" w:color="auto" w:fill="FFFFFF"/>
          </w:tcPr>
          <w:p w14:paraId="524D95E3" w14:textId="77777777" w:rsidR="00BB6A3B" w:rsidRPr="00F82963" w:rsidRDefault="00BB6A3B" w:rsidP="00493A15">
            <w:pPr>
              <w:pStyle w:val="TableText"/>
            </w:pPr>
            <w:r w:rsidRPr="00F82963">
              <w:lastRenderedPageBreak/>
              <w:t>6</w:t>
            </w:r>
          </w:p>
        </w:tc>
        <w:tc>
          <w:tcPr>
            <w:tcW w:w="0" w:type="auto"/>
            <w:shd w:val="clear" w:color="auto" w:fill="FFFFFF"/>
          </w:tcPr>
          <w:p w14:paraId="057C1184" w14:textId="72FAC241" w:rsidR="00BB6A3B" w:rsidRPr="00F82963" w:rsidRDefault="00FC0B73" w:rsidP="004C798D">
            <w:pPr>
              <w:pStyle w:val="TableText"/>
            </w:pPr>
            <w:r w:rsidRPr="00FC0B73">
              <w:rPr>
                <w:i/>
              </w:rPr>
              <w:t>Julius Caesar</w:t>
            </w:r>
            <w:r>
              <w:t xml:space="preserve"> by William Shakespeare,</w:t>
            </w:r>
            <w:r w:rsidR="004C798D">
              <w:t xml:space="preserve"> Act 2.1, lines 1–93</w:t>
            </w:r>
          </w:p>
        </w:tc>
        <w:tc>
          <w:tcPr>
            <w:tcW w:w="5724" w:type="dxa"/>
            <w:shd w:val="clear" w:color="auto" w:fill="FFFFFF"/>
          </w:tcPr>
          <w:p w14:paraId="03B8A596" w14:textId="13F60B27" w:rsidR="00BB6A3B" w:rsidRPr="00F82963" w:rsidRDefault="00574DC0" w:rsidP="00CC2309">
            <w:pPr>
              <w:pStyle w:val="TableText"/>
            </w:pPr>
            <w:r w:rsidRPr="00F82963">
              <w:t>In this lesson</w:t>
            </w:r>
            <w:r w:rsidR="00A356B5">
              <w:t xml:space="preserve">, students read </w:t>
            </w:r>
            <w:r w:rsidR="00AC7162">
              <w:t xml:space="preserve">Act 2.1, </w:t>
            </w:r>
            <w:r w:rsidR="00A356B5">
              <w:t xml:space="preserve">lines </w:t>
            </w:r>
            <w:r w:rsidR="00F766AE">
              <w:t>1–93</w:t>
            </w:r>
            <w:r w:rsidR="00B55E52">
              <w:t xml:space="preserve"> </w:t>
            </w:r>
            <w:r w:rsidR="00CC2309">
              <w:t>and explore Brutus’s internal conflict, including how it contributes to Brutus’s development as a character.</w:t>
            </w:r>
          </w:p>
        </w:tc>
      </w:tr>
      <w:tr w:rsidR="00BB6A3B" w:rsidRPr="00F82963" w14:paraId="1496BC66" w14:textId="77777777">
        <w:trPr>
          <w:cantSplit/>
        </w:trPr>
        <w:tc>
          <w:tcPr>
            <w:tcW w:w="0" w:type="auto"/>
            <w:shd w:val="clear" w:color="auto" w:fill="FFFFFF"/>
          </w:tcPr>
          <w:p w14:paraId="07C84966" w14:textId="77777777" w:rsidR="00BB6A3B" w:rsidRPr="00F82963" w:rsidRDefault="00BB6A3B" w:rsidP="00493A15">
            <w:pPr>
              <w:pStyle w:val="TableText"/>
            </w:pPr>
            <w:r w:rsidRPr="00F82963">
              <w:t>7</w:t>
            </w:r>
          </w:p>
        </w:tc>
        <w:tc>
          <w:tcPr>
            <w:tcW w:w="0" w:type="auto"/>
            <w:shd w:val="clear" w:color="auto" w:fill="FFFFFF"/>
          </w:tcPr>
          <w:p w14:paraId="29B48E0C" w14:textId="18FB2157" w:rsidR="00BB6A3B" w:rsidRPr="00F82963" w:rsidRDefault="00FC0B73" w:rsidP="00623A76">
            <w:pPr>
              <w:pStyle w:val="TableText"/>
            </w:pPr>
            <w:r w:rsidRPr="00FC0B73">
              <w:rPr>
                <w:i/>
              </w:rPr>
              <w:t>Julius Caesar</w:t>
            </w:r>
            <w:r>
              <w:t xml:space="preserve"> by William Shakespeare,</w:t>
            </w:r>
            <w:r w:rsidR="00A5317B">
              <w:t xml:space="preserve"> Act 2.1, lines 123</w:t>
            </w:r>
            <w:r w:rsidR="00623A76">
              <w:t>–</w:t>
            </w:r>
            <w:r w:rsidR="00A5317B">
              <w:t>205</w:t>
            </w:r>
          </w:p>
        </w:tc>
        <w:tc>
          <w:tcPr>
            <w:tcW w:w="5724" w:type="dxa"/>
            <w:shd w:val="clear" w:color="auto" w:fill="FFFFFF"/>
          </w:tcPr>
          <w:p w14:paraId="0EBA1A7C" w14:textId="5F3B6713" w:rsidR="00BB6A3B" w:rsidRPr="00F82963" w:rsidRDefault="00B04EBE" w:rsidP="00F151F5">
            <w:pPr>
              <w:pStyle w:val="TableText"/>
            </w:pPr>
            <w:r w:rsidRPr="00F82963">
              <w:t>In this lesson</w:t>
            </w:r>
            <w:r w:rsidR="00814034">
              <w:t xml:space="preserve">, students </w:t>
            </w:r>
            <w:r w:rsidR="00623A76">
              <w:t>read Act 2.1, lines 123–</w:t>
            </w:r>
            <w:r w:rsidR="00D734ED">
              <w:t xml:space="preserve">205 </w:t>
            </w:r>
            <w:r w:rsidR="006A573F">
              <w:t>and analyze how the central ideas of ethics of honor and exercise of power develop and interact over the course of this passage.</w:t>
            </w:r>
          </w:p>
        </w:tc>
      </w:tr>
      <w:tr w:rsidR="00BB6A3B" w:rsidRPr="00F82963" w14:paraId="5DE94810" w14:textId="77777777">
        <w:trPr>
          <w:cantSplit/>
        </w:trPr>
        <w:tc>
          <w:tcPr>
            <w:tcW w:w="0" w:type="auto"/>
            <w:shd w:val="clear" w:color="auto" w:fill="FFFFFF"/>
          </w:tcPr>
          <w:p w14:paraId="75C6551E" w14:textId="77777777" w:rsidR="00BB6A3B" w:rsidRPr="00F82963" w:rsidRDefault="00BB6A3B" w:rsidP="00493A15">
            <w:pPr>
              <w:pStyle w:val="TableText"/>
            </w:pPr>
            <w:r w:rsidRPr="00F82963">
              <w:t>8</w:t>
            </w:r>
          </w:p>
        </w:tc>
        <w:tc>
          <w:tcPr>
            <w:tcW w:w="0" w:type="auto"/>
            <w:shd w:val="clear" w:color="auto" w:fill="FFFFFF"/>
          </w:tcPr>
          <w:p w14:paraId="54BC455A" w14:textId="753AC578" w:rsidR="00BB6A3B" w:rsidRPr="00F82963" w:rsidRDefault="00FC0B73" w:rsidP="00623A76">
            <w:pPr>
              <w:pStyle w:val="TableText"/>
              <w:tabs>
                <w:tab w:val="center" w:pos="1280"/>
              </w:tabs>
            </w:pPr>
            <w:r w:rsidRPr="00FC0B73">
              <w:rPr>
                <w:i/>
              </w:rPr>
              <w:t>Julius Caesar</w:t>
            </w:r>
            <w:r>
              <w:t xml:space="preserve"> by William Shakespeare,</w:t>
            </w:r>
            <w:r w:rsidR="00A5317B">
              <w:t xml:space="preserve"> Act 2.1 lines 253</w:t>
            </w:r>
            <w:r w:rsidR="00623A76">
              <w:t>–</w:t>
            </w:r>
            <w:r w:rsidR="00A5317B">
              <w:t>333</w:t>
            </w:r>
          </w:p>
        </w:tc>
        <w:tc>
          <w:tcPr>
            <w:tcW w:w="5724" w:type="dxa"/>
            <w:shd w:val="clear" w:color="auto" w:fill="FFFFFF"/>
          </w:tcPr>
          <w:p w14:paraId="55BD656F" w14:textId="3F0EA727" w:rsidR="00BB6A3B" w:rsidRPr="00F82963" w:rsidRDefault="00D92503" w:rsidP="00623A76">
            <w:pPr>
              <w:pStyle w:val="TableText"/>
            </w:pPr>
            <w:r w:rsidRPr="00F82963">
              <w:t>In this lesson</w:t>
            </w:r>
            <w:r w:rsidR="00814034">
              <w:t xml:space="preserve">, students read </w:t>
            </w:r>
            <w:r w:rsidR="00D734ED">
              <w:t>Act 2.1</w:t>
            </w:r>
            <w:r w:rsidR="00F151F5">
              <w:t>,</w:t>
            </w:r>
            <w:r w:rsidR="00D734ED">
              <w:t xml:space="preserve"> lines 253</w:t>
            </w:r>
            <w:r w:rsidR="00623A76">
              <w:t>–</w:t>
            </w:r>
            <w:r w:rsidR="00D734ED">
              <w:t>333 and analyze how Portia’s interaction with Brutus develops the central idea of social bonds.</w:t>
            </w:r>
          </w:p>
        </w:tc>
      </w:tr>
      <w:tr w:rsidR="00BB6A3B" w:rsidRPr="00F82963" w14:paraId="12AC1976" w14:textId="77777777">
        <w:trPr>
          <w:cantSplit/>
        </w:trPr>
        <w:tc>
          <w:tcPr>
            <w:tcW w:w="0" w:type="auto"/>
            <w:shd w:val="clear" w:color="auto" w:fill="FFFFFF"/>
          </w:tcPr>
          <w:p w14:paraId="597E6780" w14:textId="77777777" w:rsidR="00BB6A3B" w:rsidRPr="00F82963" w:rsidRDefault="00BB6A3B" w:rsidP="00493A15">
            <w:pPr>
              <w:pStyle w:val="TableText"/>
            </w:pPr>
            <w:r w:rsidRPr="00F82963">
              <w:t>9</w:t>
            </w:r>
          </w:p>
        </w:tc>
        <w:tc>
          <w:tcPr>
            <w:tcW w:w="0" w:type="auto"/>
            <w:shd w:val="clear" w:color="auto" w:fill="FFFFFF"/>
          </w:tcPr>
          <w:p w14:paraId="61558399" w14:textId="6AB675A4" w:rsidR="00BB6A3B" w:rsidRPr="00F82963" w:rsidRDefault="00FC0B73" w:rsidP="00623A76">
            <w:pPr>
              <w:pStyle w:val="TableText"/>
            </w:pPr>
            <w:r w:rsidRPr="00FC0B73">
              <w:rPr>
                <w:i/>
              </w:rPr>
              <w:t>Julius Caesar</w:t>
            </w:r>
            <w:r>
              <w:t xml:space="preserve"> by William Shakespeare,</w:t>
            </w:r>
            <w:r w:rsidR="00A5317B">
              <w:t xml:space="preserve"> Act 2.2 lines 1</w:t>
            </w:r>
            <w:r w:rsidR="00623A76">
              <w:t>–</w:t>
            </w:r>
            <w:r w:rsidR="00A5317B">
              <w:t>137</w:t>
            </w:r>
          </w:p>
        </w:tc>
        <w:tc>
          <w:tcPr>
            <w:tcW w:w="5724" w:type="dxa"/>
            <w:shd w:val="clear" w:color="auto" w:fill="FFFFFF"/>
          </w:tcPr>
          <w:p w14:paraId="28A66637" w14:textId="5E63A39B" w:rsidR="00BB6A3B" w:rsidRPr="00F82963" w:rsidRDefault="00BC7478" w:rsidP="00F151F5">
            <w:pPr>
              <w:pStyle w:val="TableText"/>
            </w:pPr>
            <w:r w:rsidRPr="00F82963">
              <w:t>In this lesson</w:t>
            </w:r>
            <w:r w:rsidR="00814034">
              <w:t xml:space="preserve">, students </w:t>
            </w:r>
            <w:r w:rsidR="00F151F5">
              <w:t xml:space="preserve">read Act 2.2, </w:t>
            </w:r>
            <w:r w:rsidR="00D734ED">
              <w:t>lines 1</w:t>
            </w:r>
            <w:r w:rsidR="00623A76">
              <w:t>–</w:t>
            </w:r>
            <w:r w:rsidR="00D734ED">
              <w:t>137 and analyze how Shakespeare develops Caesar’s character as vain and ambitious through his interactions with Decius</w:t>
            </w:r>
            <w:r w:rsidR="006A573F">
              <w:t xml:space="preserve"> in these lines.</w:t>
            </w:r>
          </w:p>
        </w:tc>
      </w:tr>
      <w:tr w:rsidR="00BB6A3B" w:rsidRPr="00F82963" w14:paraId="2FABDD43" w14:textId="77777777">
        <w:trPr>
          <w:cantSplit/>
        </w:trPr>
        <w:tc>
          <w:tcPr>
            <w:tcW w:w="0" w:type="auto"/>
            <w:shd w:val="clear" w:color="auto" w:fill="FFFFFF"/>
          </w:tcPr>
          <w:p w14:paraId="6F59704C" w14:textId="77777777" w:rsidR="00BB6A3B" w:rsidRPr="00F82963" w:rsidRDefault="00BB6A3B" w:rsidP="00493A15">
            <w:pPr>
              <w:pStyle w:val="TableText"/>
            </w:pPr>
            <w:r w:rsidRPr="00F82963">
              <w:t>10</w:t>
            </w:r>
          </w:p>
        </w:tc>
        <w:tc>
          <w:tcPr>
            <w:tcW w:w="0" w:type="auto"/>
            <w:shd w:val="clear" w:color="auto" w:fill="FFFFFF"/>
          </w:tcPr>
          <w:p w14:paraId="553608CC" w14:textId="74CC07E4" w:rsidR="00BB6A3B" w:rsidRPr="00F82963" w:rsidRDefault="00FC0B73" w:rsidP="00623A76">
            <w:pPr>
              <w:pStyle w:val="TableText"/>
            </w:pPr>
            <w:r w:rsidRPr="00FC0B73">
              <w:rPr>
                <w:i/>
              </w:rPr>
              <w:t>Julius Caesar</w:t>
            </w:r>
            <w:r>
              <w:t xml:space="preserve"> by William Shakespeare,</w:t>
            </w:r>
            <w:r w:rsidR="00A5317B">
              <w:t xml:space="preserve"> Act 3.1, lines 1</w:t>
            </w:r>
            <w:r w:rsidR="00623A76">
              <w:t>–</w:t>
            </w:r>
            <w:r w:rsidR="00A5317B">
              <w:t>91</w:t>
            </w:r>
          </w:p>
        </w:tc>
        <w:tc>
          <w:tcPr>
            <w:tcW w:w="5724" w:type="dxa"/>
            <w:shd w:val="clear" w:color="auto" w:fill="FFFFFF"/>
          </w:tcPr>
          <w:p w14:paraId="14FC5740" w14:textId="2F885FD4" w:rsidR="00BB6A3B" w:rsidRPr="00F82963" w:rsidRDefault="00E6022C" w:rsidP="00F151F5">
            <w:pPr>
              <w:pStyle w:val="TableText"/>
            </w:pPr>
            <w:r w:rsidRPr="00F82963">
              <w:t>In this lesson</w:t>
            </w:r>
            <w:r w:rsidR="00814034">
              <w:t xml:space="preserve">, </w:t>
            </w:r>
            <w:r w:rsidR="00D734ED" w:rsidRPr="000752C0">
              <w:t>students</w:t>
            </w:r>
            <w:r w:rsidR="00D734ED">
              <w:t xml:space="preserve"> read a</w:t>
            </w:r>
            <w:r w:rsidR="00623A76">
              <w:t>nd analyze Act 3.1, lines 1–</w:t>
            </w:r>
            <w:r w:rsidR="000B2CE6">
              <w:t xml:space="preserve">91 </w:t>
            </w:r>
            <w:r w:rsidR="006A573F" w:rsidRPr="00AF1297">
              <w:t xml:space="preserve">and explore Shakespeare’s structural choices to stage the death of the title character abruptly halfway through the play. Students also consider the relationship between the events in the scene and the full title of the play, </w:t>
            </w:r>
            <w:r w:rsidR="006A573F" w:rsidRPr="00AF1297">
              <w:rPr>
                <w:i/>
              </w:rPr>
              <w:t>The Tragedy of Julius Caesar</w:t>
            </w:r>
            <w:r w:rsidR="006A573F" w:rsidRPr="00AF1297">
              <w:t>.</w:t>
            </w:r>
          </w:p>
        </w:tc>
      </w:tr>
      <w:tr w:rsidR="00BB6A3B" w:rsidRPr="00F82963" w14:paraId="4C59A0DA" w14:textId="77777777">
        <w:trPr>
          <w:cantSplit/>
        </w:trPr>
        <w:tc>
          <w:tcPr>
            <w:tcW w:w="0" w:type="auto"/>
            <w:shd w:val="clear" w:color="auto" w:fill="FFFFFF"/>
          </w:tcPr>
          <w:p w14:paraId="6F5410DA" w14:textId="77777777" w:rsidR="00BB6A3B" w:rsidRPr="00F82963" w:rsidRDefault="00BB6A3B" w:rsidP="00493A15">
            <w:pPr>
              <w:pStyle w:val="TableText"/>
            </w:pPr>
            <w:r w:rsidRPr="00F82963">
              <w:t>11</w:t>
            </w:r>
          </w:p>
        </w:tc>
        <w:tc>
          <w:tcPr>
            <w:tcW w:w="0" w:type="auto"/>
            <w:shd w:val="clear" w:color="auto" w:fill="FFFFFF"/>
          </w:tcPr>
          <w:p w14:paraId="07178046" w14:textId="5257A492" w:rsidR="00BB6A3B" w:rsidRPr="00F82963" w:rsidRDefault="00FC0B73" w:rsidP="003536C8">
            <w:pPr>
              <w:pStyle w:val="TableText"/>
            </w:pPr>
            <w:r w:rsidRPr="00FC0B73">
              <w:rPr>
                <w:i/>
              </w:rPr>
              <w:t>Julius Caesar</w:t>
            </w:r>
            <w:r>
              <w:t xml:space="preserve"> by William Shakespeare</w:t>
            </w:r>
            <w:r w:rsidR="00A5317B">
              <w:t>, Act 1.1</w:t>
            </w:r>
            <w:r w:rsidR="003536C8">
              <w:t>–</w:t>
            </w:r>
            <w:r w:rsidR="00A5317B">
              <w:t>Act 3.</w:t>
            </w:r>
            <w:r w:rsidR="003A301F">
              <w:t>1</w:t>
            </w:r>
          </w:p>
        </w:tc>
        <w:tc>
          <w:tcPr>
            <w:tcW w:w="5724" w:type="dxa"/>
            <w:shd w:val="clear" w:color="auto" w:fill="FFFFFF"/>
          </w:tcPr>
          <w:p w14:paraId="2BA0A152" w14:textId="708B0589" w:rsidR="00BB6A3B" w:rsidRPr="00F82963" w:rsidRDefault="000F51EB" w:rsidP="000F51EB">
            <w:pPr>
              <w:pStyle w:val="TableText"/>
            </w:pPr>
            <w:r>
              <w:t xml:space="preserve">In this lesson, the </w:t>
            </w:r>
            <w:r w:rsidR="00A5564F">
              <w:t>Mid-Unit Assessment</w:t>
            </w:r>
            <w:r>
              <w:t>, students craft a</w:t>
            </w:r>
            <w:r w:rsidR="00A5564F">
              <w:t xml:space="preserve"> formal, multi-paragraph re</w:t>
            </w:r>
            <w:r w:rsidR="006A573F">
              <w:t xml:space="preserve">sponse to the following prompt: </w:t>
            </w:r>
            <w:r w:rsidR="006A573F">
              <w:rPr>
                <w:rFonts w:eastAsia="MS Mincho" w:cs="Arial"/>
                <w:lang w:eastAsia="ja-JP"/>
              </w:rPr>
              <w:t>I</w:t>
            </w:r>
            <w:r w:rsidR="00A5564F" w:rsidRPr="00E21C4B">
              <w:rPr>
                <w:rFonts w:eastAsia="MS Mincho" w:cs="Arial"/>
                <w:lang w:eastAsia="ja-JP"/>
              </w:rPr>
              <w:t>s Caesar’s death a “sacrifice” or a “butchery”?</w:t>
            </w:r>
          </w:p>
        </w:tc>
      </w:tr>
      <w:tr w:rsidR="00514A00" w:rsidRPr="00F82963" w14:paraId="15A3BF40" w14:textId="77777777">
        <w:trPr>
          <w:cantSplit/>
        </w:trPr>
        <w:tc>
          <w:tcPr>
            <w:tcW w:w="0" w:type="auto"/>
            <w:shd w:val="clear" w:color="auto" w:fill="FFFFFF"/>
          </w:tcPr>
          <w:p w14:paraId="257CB1C6" w14:textId="77777777" w:rsidR="00514A00" w:rsidRPr="00F82963" w:rsidRDefault="00514A00" w:rsidP="00493A15">
            <w:pPr>
              <w:pStyle w:val="TableText"/>
            </w:pPr>
            <w:r>
              <w:t>12</w:t>
            </w:r>
          </w:p>
        </w:tc>
        <w:tc>
          <w:tcPr>
            <w:tcW w:w="0" w:type="auto"/>
            <w:shd w:val="clear" w:color="auto" w:fill="FFFFFF"/>
          </w:tcPr>
          <w:p w14:paraId="3BBCC5F5" w14:textId="075160DD" w:rsidR="00514A00" w:rsidRPr="00F82963" w:rsidRDefault="00FC0B73" w:rsidP="00623A76">
            <w:pPr>
              <w:pStyle w:val="TableText"/>
            </w:pPr>
            <w:r w:rsidRPr="00FC0B73">
              <w:rPr>
                <w:i/>
              </w:rPr>
              <w:t>Julius Caesar</w:t>
            </w:r>
            <w:r>
              <w:t xml:space="preserve"> by William Shakespeare,</w:t>
            </w:r>
            <w:r w:rsidR="003A301F">
              <w:t xml:space="preserve"> Act 3.1, lines 163</w:t>
            </w:r>
            <w:r w:rsidR="00623A76">
              <w:t>–</w:t>
            </w:r>
            <w:r w:rsidR="003A301F">
              <w:t>230</w:t>
            </w:r>
          </w:p>
        </w:tc>
        <w:tc>
          <w:tcPr>
            <w:tcW w:w="5724" w:type="dxa"/>
            <w:shd w:val="clear" w:color="auto" w:fill="FFFFFF"/>
          </w:tcPr>
          <w:p w14:paraId="5403175A" w14:textId="270D5D93" w:rsidR="00514A00" w:rsidRPr="00F82963" w:rsidRDefault="00A716C4" w:rsidP="00623A76">
            <w:pPr>
              <w:pStyle w:val="TableText"/>
            </w:pPr>
            <w:r w:rsidRPr="00F82963">
              <w:t xml:space="preserve">In this </w:t>
            </w:r>
            <w:r>
              <w:t>lesson</w:t>
            </w:r>
            <w:r w:rsidR="00821BC4">
              <w:t xml:space="preserve">, </w:t>
            </w:r>
            <w:r w:rsidR="006C3816">
              <w:t>students read Act 3.1, lines 163</w:t>
            </w:r>
            <w:r w:rsidR="00623A76">
              <w:t>–</w:t>
            </w:r>
            <w:r w:rsidR="006C3816">
              <w:t xml:space="preserve">230 </w:t>
            </w:r>
            <w:r w:rsidR="006A573F">
              <w:t>and consider what Antony’s reactions to Caesar’s death suggest about his opinion of the conspirators and their actions.</w:t>
            </w:r>
          </w:p>
        </w:tc>
      </w:tr>
      <w:tr w:rsidR="00514A00" w:rsidRPr="00F82963" w14:paraId="32005313" w14:textId="77777777">
        <w:trPr>
          <w:cantSplit/>
        </w:trPr>
        <w:tc>
          <w:tcPr>
            <w:tcW w:w="0" w:type="auto"/>
            <w:shd w:val="clear" w:color="auto" w:fill="FFFFFF"/>
          </w:tcPr>
          <w:p w14:paraId="45ECAEC6" w14:textId="77777777" w:rsidR="00514A00" w:rsidRPr="00F82963" w:rsidRDefault="00514A00" w:rsidP="00493A15">
            <w:pPr>
              <w:pStyle w:val="TableText"/>
            </w:pPr>
            <w:r>
              <w:t>13</w:t>
            </w:r>
          </w:p>
        </w:tc>
        <w:tc>
          <w:tcPr>
            <w:tcW w:w="0" w:type="auto"/>
            <w:shd w:val="clear" w:color="auto" w:fill="FFFFFF"/>
          </w:tcPr>
          <w:p w14:paraId="23F9C86F" w14:textId="57FDC05F" w:rsidR="00514A00" w:rsidRPr="00F82963" w:rsidRDefault="00FC0B73" w:rsidP="00C14180">
            <w:pPr>
              <w:pStyle w:val="TableText"/>
            </w:pPr>
            <w:r w:rsidRPr="00FC0B73">
              <w:rPr>
                <w:i/>
              </w:rPr>
              <w:t>Julius Caesar</w:t>
            </w:r>
            <w:r>
              <w:t xml:space="preserve"> by William Shakespeare,</w:t>
            </w:r>
            <w:r w:rsidR="003A301F">
              <w:t xml:space="preserve"> Act</w:t>
            </w:r>
            <w:r w:rsidR="003A301F" w:rsidRPr="00200672">
              <w:t xml:space="preserve"> </w:t>
            </w:r>
            <w:r w:rsidR="003A301F">
              <w:rPr>
                <w:rFonts w:eastAsia="Times New Roman" w:cs="Arial"/>
                <w:color w:val="000000"/>
                <w:shd w:val="clear" w:color="auto" w:fill="FFFFFF"/>
              </w:rPr>
              <w:t>3.1, line</w:t>
            </w:r>
            <w:r w:rsidR="0097578E">
              <w:rPr>
                <w:rFonts w:eastAsia="Times New Roman" w:cs="Arial"/>
                <w:color w:val="000000"/>
                <w:shd w:val="clear" w:color="auto" w:fill="FFFFFF"/>
              </w:rPr>
              <w:t>s</w:t>
            </w:r>
            <w:r w:rsidR="003A301F">
              <w:rPr>
                <w:rFonts w:eastAsia="Times New Roman" w:cs="Arial"/>
                <w:color w:val="000000"/>
                <w:shd w:val="clear" w:color="auto" w:fill="FFFFFF"/>
              </w:rPr>
              <w:t xml:space="preserve"> </w:t>
            </w:r>
            <w:r w:rsidR="003A301F" w:rsidRPr="00200672">
              <w:rPr>
                <w:rFonts w:eastAsia="Times New Roman" w:cs="Arial"/>
                <w:color w:val="000000"/>
                <w:shd w:val="clear" w:color="auto" w:fill="FFFFFF"/>
              </w:rPr>
              <w:t>23</w:t>
            </w:r>
            <w:r w:rsidR="003A301F">
              <w:rPr>
                <w:rFonts w:eastAsia="Times New Roman" w:cs="Arial"/>
                <w:color w:val="000000"/>
                <w:shd w:val="clear" w:color="auto" w:fill="FFFFFF"/>
              </w:rPr>
              <w:t>1</w:t>
            </w:r>
            <w:r w:rsidR="00623A76">
              <w:t>–</w:t>
            </w:r>
            <w:r w:rsidR="003A301F" w:rsidRPr="00200672">
              <w:rPr>
                <w:rFonts w:eastAsia="Times New Roman" w:cs="Arial"/>
                <w:color w:val="000000"/>
                <w:shd w:val="clear" w:color="auto" w:fill="FFFFFF"/>
              </w:rPr>
              <w:t>301</w:t>
            </w:r>
          </w:p>
        </w:tc>
        <w:tc>
          <w:tcPr>
            <w:tcW w:w="5724" w:type="dxa"/>
            <w:shd w:val="clear" w:color="auto" w:fill="FFFFFF"/>
          </w:tcPr>
          <w:p w14:paraId="408B1062" w14:textId="66D9750A" w:rsidR="00514A00" w:rsidRPr="00F82963" w:rsidRDefault="0024038C" w:rsidP="006A573F">
            <w:pPr>
              <w:pStyle w:val="TableText"/>
            </w:pPr>
            <w:r>
              <w:t>In this lesson, s</w:t>
            </w:r>
            <w:r w:rsidRPr="00200672">
              <w:t>tudents read</w:t>
            </w:r>
            <w:r>
              <w:t xml:space="preserve"> Act</w:t>
            </w:r>
            <w:r w:rsidRPr="00200672">
              <w:t xml:space="preserve"> </w:t>
            </w:r>
            <w:r>
              <w:rPr>
                <w:rFonts w:eastAsia="Times New Roman" w:cs="Arial"/>
                <w:color w:val="000000"/>
                <w:shd w:val="clear" w:color="auto" w:fill="FFFFFF"/>
              </w:rPr>
              <w:t>3.1, line</w:t>
            </w:r>
            <w:r w:rsidR="0097578E">
              <w:rPr>
                <w:rFonts w:eastAsia="Times New Roman" w:cs="Arial"/>
                <w:color w:val="000000"/>
                <w:shd w:val="clear" w:color="auto" w:fill="FFFFFF"/>
              </w:rPr>
              <w:t>s</w:t>
            </w:r>
            <w:r>
              <w:rPr>
                <w:rFonts w:eastAsia="Times New Roman" w:cs="Arial"/>
                <w:color w:val="000000"/>
                <w:shd w:val="clear" w:color="auto" w:fill="FFFFFF"/>
              </w:rPr>
              <w:t xml:space="preserve"> </w:t>
            </w:r>
            <w:r w:rsidRPr="00200672">
              <w:rPr>
                <w:rFonts w:eastAsia="Times New Roman" w:cs="Arial"/>
                <w:color w:val="000000"/>
                <w:shd w:val="clear" w:color="auto" w:fill="FFFFFF"/>
              </w:rPr>
              <w:t>23</w:t>
            </w:r>
            <w:r>
              <w:rPr>
                <w:rFonts w:eastAsia="Times New Roman" w:cs="Arial"/>
                <w:color w:val="000000"/>
                <w:shd w:val="clear" w:color="auto" w:fill="FFFFFF"/>
              </w:rPr>
              <w:t>1</w:t>
            </w:r>
            <w:r w:rsidR="00623A76">
              <w:t>–</w:t>
            </w:r>
            <w:r w:rsidRPr="00200672">
              <w:rPr>
                <w:rFonts w:eastAsia="Times New Roman" w:cs="Arial"/>
                <w:color w:val="000000"/>
                <w:shd w:val="clear" w:color="auto" w:fill="FFFFFF"/>
              </w:rPr>
              <w:t>301</w:t>
            </w:r>
            <w:r w:rsidR="0097578E">
              <w:rPr>
                <w:rFonts w:eastAsia="Times New Roman" w:cs="Arial"/>
                <w:color w:val="000000"/>
                <w:shd w:val="clear" w:color="auto" w:fill="FFFFFF"/>
              </w:rPr>
              <w:t>,</w:t>
            </w:r>
            <w:r w:rsidR="000B2CE6">
              <w:rPr>
                <w:rFonts w:eastAsia="Times New Roman" w:cs="Arial"/>
                <w:color w:val="000000"/>
                <w:shd w:val="clear" w:color="auto" w:fill="FFFFFF"/>
              </w:rPr>
              <w:t xml:space="preserve"> </w:t>
            </w:r>
            <w:r>
              <w:rPr>
                <w:rFonts w:eastAsia="Times New Roman" w:cs="Arial"/>
                <w:color w:val="000000"/>
                <w:shd w:val="clear" w:color="auto" w:fill="FFFFFF"/>
              </w:rPr>
              <w:t xml:space="preserve">focusing their analysis on Antony’s soliloquy. </w:t>
            </w:r>
            <w:r w:rsidR="006A573F" w:rsidRPr="001A20FD">
              <w:rPr>
                <w:rFonts w:eastAsia="Times New Roman" w:cs="Arial"/>
                <w:color w:val="000000"/>
                <w:shd w:val="clear" w:color="auto" w:fill="FFFFFF"/>
              </w:rPr>
              <w:t>Students consider</w:t>
            </w:r>
            <w:r w:rsidR="006A573F" w:rsidRPr="001A20FD">
              <w:t xml:space="preserve"> the different ways in which Antony and Brutus interpret Caesar’s death</w:t>
            </w:r>
            <w:r w:rsidR="006A573F">
              <w:t xml:space="preserve"> and the events leading up to it. Students</w:t>
            </w:r>
            <w:r w:rsidR="006A573F" w:rsidRPr="001A20FD">
              <w:t xml:space="preserve"> consider the ways in which these conflicting interpretations of events drive the action of the play.</w:t>
            </w:r>
          </w:p>
        </w:tc>
      </w:tr>
      <w:tr w:rsidR="00514A00" w:rsidRPr="00F82963" w14:paraId="61D24896" w14:textId="77777777">
        <w:trPr>
          <w:cantSplit/>
        </w:trPr>
        <w:tc>
          <w:tcPr>
            <w:tcW w:w="0" w:type="auto"/>
            <w:shd w:val="clear" w:color="auto" w:fill="FFFFFF"/>
          </w:tcPr>
          <w:p w14:paraId="517FC0B7" w14:textId="77777777" w:rsidR="00514A00" w:rsidRPr="00F82963" w:rsidRDefault="00514A00" w:rsidP="00493A15">
            <w:pPr>
              <w:pStyle w:val="TableText"/>
            </w:pPr>
            <w:r>
              <w:lastRenderedPageBreak/>
              <w:t>14</w:t>
            </w:r>
          </w:p>
        </w:tc>
        <w:tc>
          <w:tcPr>
            <w:tcW w:w="0" w:type="auto"/>
            <w:shd w:val="clear" w:color="auto" w:fill="FFFFFF"/>
          </w:tcPr>
          <w:p w14:paraId="2D110AE4" w14:textId="3CC9DE4B" w:rsidR="00514A00" w:rsidRPr="00F82963" w:rsidRDefault="00FC0B73" w:rsidP="00C72184">
            <w:pPr>
              <w:pStyle w:val="TableText"/>
            </w:pPr>
            <w:r w:rsidRPr="00FC0B73">
              <w:rPr>
                <w:i/>
              </w:rPr>
              <w:t>Julius Caesar</w:t>
            </w:r>
            <w:r>
              <w:t xml:space="preserve"> by William Shakespeare,</w:t>
            </w:r>
            <w:r w:rsidR="00623A76">
              <w:t xml:space="preserve"> Act 3.2, lines 1–</w:t>
            </w:r>
            <w:r w:rsidR="003A301F">
              <w:t>67</w:t>
            </w:r>
          </w:p>
        </w:tc>
        <w:tc>
          <w:tcPr>
            <w:tcW w:w="5724" w:type="dxa"/>
            <w:shd w:val="clear" w:color="auto" w:fill="FFFFFF"/>
          </w:tcPr>
          <w:p w14:paraId="01DBA193" w14:textId="299E5063" w:rsidR="00514A00" w:rsidRPr="00F82963" w:rsidRDefault="008D7AD5" w:rsidP="00D45677">
            <w:pPr>
              <w:pStyle w:val="TableText"/>
            </w:pPr>
            <w:r>
              <w:t>In this lesson, students listen to a masterful reading of Act 3.2, lines 1–67</w:t>
            </w:r>
            <w:r w:rsidR="00D45677">
              <w:t xml:space="preserve"> and </w:t>
            </w:r>
            <w:r>
              <w:t>focus on lines 14–49</w:t>
            </w:r>
            <w:r w:rsidR="00D45677">
              <w:t>,</w:t>
            </w:r>
            <w:r>
              <w:t xml:space="preserve"> analyzing Brutus’s use of rhetoric in his speech</w:t>
            </w:r>
            <w:r w:rsidR="00D45677">
              <w:t>,</w:t>
            </w:r>
            <w:r>
              <w:t xml:space="preserve"> in preparation for a similar analysis of Antony’s speech in 12.2.2 Lesson 15.</w:t>
            </w:r>
          </w:p>
        </w:tc>
      </w:tr>
      <w:tr w:rsidR="00514A00" w:rsidRPr="00F82963" w14:paraId="1A9C0C43" w14:textId="77777777">
        <w:trPr>
          <w:cantSplit/>
        </w:trPr>
        <w:tc>
          <w:tcPr>
            <w:tcW w:w="0" w:type="auto"/>
            <w:shd w:val="clear" w:color="auto" w:fill="FFFFFF"/>
          </w:tcPr>
          <w:p w14:paraId="5B378792" w14:textId="77777777" w:rsidR="00514A00" w:rsidRPr="00F82963" w:rsidRDefault="00514A00" w:rsidP="00493A15">
            <w:pPr>
              <w:pStyle w:val="TableText"/>
            </w:pPr>
            <w:r>
              <w:t>15</w:t>
            </w:r>
          </w:p>
        </w:tc>
        <w:tc>
          <w:tcPr>
            <w:tcW w:w="0" w:type="auto"/>
            <w:shd w:val="clear" w:color="auto" w:fill="FFFFFF"/>
          </w:tcPr>
          <w:p w14:paraId="7C58DE27" w14:textId="2761BEA9" w:rsidR="00514A00" w:rsidRPr="00F82963" w:rsidRDefault="00FC0B73" w:rsidP="009251FA">
            <w:pPr>
              <w:pStyle w:val="TableText"/>
            </w:pPr>
            <w:r w:rsidRPr="00FC0B73">
              <w:rPr>
                <w:i/>
              </w:rPr>
              <w:t>Julius Caesar</w:t>
            </w:r>
            <w:r>
              <w:t xml:space="preserve"> by William Shakespeare,</w:t>
            </w:r>
            <w:r w:rsidR="003A301F">
              <w:t xml:space="preserve"> Act 3.2, lines </w:t>
            </w:r>
            <w:r w:rsidR="009251FA">
              <w:t>14</w:t>
            </w:r>
            <w:r w:rsidR="00623A76">
              <w:t>–</w:t>
            </w:r>
            <w:r w:rsidR="003A301F">
              <w:t>149</w:t>
            </w:r>
          </w:p>
        </w:tc>
        <w:tc>
          <w:tcPr>
            <w:tcW w:w="5724" w:type="dxa"/>
            <w:shd w:val="clear" w:color="auto" w:fill="FFFFFF"/>
          </w:tcPr>
          <w:p w14:paraId="784F7081" w14:textId="22CD33EA" w:rsidR="00514A00" w:rsidRPr="00F82963" w:rsidRDefault="009274E5" w:rsidP="006A573F">
            <w:pPr>
              <w:pStyle w:val="TableText"/>
            </w:pPr>
            <w:r>
              <w:t xml:space="preserve">In this lesson, students </w:t>
            </w:r>
            <w:r w:rsidR="006A573F">
              <w:t xml:space="preserve">listen to a masterful reading of </w:t>
            </w:r>
            <w:r w:rsidR="006A573F">
              <w:rPr>
                <w:i/>
              </w:rPr>
              <w:t xml:space="preserve">Julius Caesar </w:t>
            </w:r>
            <w:r w:rsidR="006A573F">
              <w:t xml:space="preserve">Act 3.2, lines 68–149. Students then read and </w:t>
            </w:r>
            <w:r w:rsidR="006A573F" w:rsidRPr="00B011AC">
              <w:t>analyze</w:t>
            </w:r>
            <w:r w:rsidR="006A573F">
              <w:t xml:space="preserve"> lines 82–117, the beginning portion of Antony’s</w:t>
            </w:r>
            <w:r w:rsidR="006A573F" w:rsidRPr="00B011AC">
              <w:t xml:space="preserve"> </w:t>
            </w:r>
            <w:r w:rsidR="006A573F">
              <w:t>speech. Students also reread Brutus’s speech, lines 14–49</w:t>
            </w:r>
            <w:r w:rsidR="003C56AB">
              <w:t>,</w:t>
            </w:r>
            <w:r w:rsidR="006A573F">
              <w:t xml:space="preserve"> before participating in a jigsaw discussion to consider how Brutus and Antony use the words </w:t>
            </w:r>
            <w:r w:rsidR="006A573F">
              <w:rPr>
                <w:i/>
              </w:rPr>
              <w:t xml:space="preserve">ambition </w:t>
            </w:r>
            <w:r w:rsidR="006A573F">
              <w:t xml:space="preserve">and </w:t>
            </w:r>
            <w:r w:rsidR="006A573F">
              <w:rPr>
                <w:i/>
              </w:rPr>
              <w:t xml:space="preserve">honor </w:t>
            </w:r>
            <w:r w:rsidR="006A573F">
              <w:t>in their speeches. Students then discuss Antony’s sincerity in this speech as a whole class.</w:t>
            </w:r>
          </w:p>
        </w:tc>
      </w:tr>
      <w:tr w:rsidR="00514A00" w:rsidRPr="00F82963" w14:paraId="62011BF1" w14:textId="77777777" w:rsidTr="00D14D6B">
        <w:trPr>
          <w:cantSplit/>
          <w:trHeight w:val="1682"/>
        </w:trPr>
        <w:tc>
          <w:tcPr>
            <w:tcW w:w="0" w:type="auto"/>
            <w:shd w:val="clear" w:color="auto" w:fill="FFFFFF"/>
          </w:tcPr>
          <w:p w14:paraId="6F8F2281" w14:textId="77777777" w:rsidR="00514A00" w:rsidRPr="00F82963" w:rsidRDefault="00514A00" w:rsidP="00493A15">
            <w:pPr>
              <w:pStyle w:val="TableText"/>
            </w:pPr>
            <w:r>
              <w:t>16</w:t>
            </w:r>
          </w:p>
        </w:tc>
        <w:tc>
          <w:tcPr>
            <w:tcW w:w="0" w:type="auto"/>
            <w:shd w:val="clear" w:color="auto" w:fill="FFFFFF"/>
          </w:tcPr>
          <w:p w14:paraId="612BA998" w14:textId="6BDC23F2" w:rsidR="00514A00" w:rsidRPr="00F82963" w:rsidRDefault="00FC0B73" w:rsidP="00623A76">
            <w:pPr>
              <w:pStyle w:val="TableText"/>
            </w:pPr>
            <w:r w:rsidRPr="00FC0B73">
              <w:rPr>
                <w:i/>
              </w:rPr>
              <w:t>Julius Caesar</w:t>
            </w:r>
            <w:r>
              <w:t xml:space="preserve"> by William Shakespeare,</w:t>
            </w:r>
            <w:r w:rsidR="003A301F">
              <w:t xml:space="preserve"> Act 3.3, lines 1</w:t>
            </w:r>
            <w:r w:rsidR="00623A76">
              <w:t>–</w:t>
            </w:r>
            <w:r w:rsidR="003A301F">
              <w:t>40</w:t>
            </w:r>
          </w:p>
        </w:tc>
        <w:tc>
          <w:tcPr>
            <w:tcW w:w="5724" w:type="dxa"/>
            <w:shd w:val="clear" w:color="auto" w:fill="FFFFFF"/>
          </w:tcPr>
          <w:p w14:paraId="63161A70" w14:textId="7928F2D9" w:rsidR="00514A00" w:rsidRPr="00F82963" w:rsidRDefault="001C201D" w:rsidP="00D14D6B">
            <w:pPr>
              <w:pStyle w:val="TableText"/>
            </w:pPr>
            <w:r>
              <w:t xml:space="preserve">In this lesson, students </w:t>
            </w:r>
            <w:r w:rsidR="008D7AD5">
              <w:t>read and analyze Act 3.3, lines 1</w:t>
            </w:r>
            <w:r w:rsidR="00623A76">
              <w:t>–</w:t>
            </w:r>
            <w:r w:rsidR="00D14D6B">
              <w:t xml:space="preserve">40, </w:t>
            </w:r>
            <w:r>
              <w:t>consider who is responsible for Cinna’s death, and apply their analysis independently in a written response to the Quick Write prompt at the beginning of the Dramatic Reading and Discussion activity.</w:t>
            </w:r>
          </w:p>
        </w:tc>
      </w:tr>
      <w:tr w:rsidR="00514A00" w:rsidRPr="00F82963" w14:paraId="1F0BAB72" w14:textId="77777777">
        <w:trPr>
          <w:cantSplit/>
        </w:trPr>
        <w:tc>
          <w:tcPr>
            <w:tcW w:w="0" w:type="auto"/>
            <w:shd w:val="clear" w:color="auto" w:fill="FFFFFF"/>
          </w:tcPr>
          <w:p w14:paraId="5F99E3E9" w14:textId="77777777" w:rsidR="00514A00" w:rsidRPr="00F82963" w:rsidRDefault="00514A00" w:rsidP="00493A15">
            <w:pPr>
              <w:pStyle w:val="TableText"/>
            </w:pPr>
            <w:r>
              <w:t>17</w:t>
            </w:r>
          </w:p>
        </w:tc>
        <w:tc>
          <w:tcPr>
            <w:tcW w:w="0" w:type="auto"/>
            <w:shd w:val="clear" w:color="auto" w:fill="FFFFFF"/>
          </w:tcPr>
          <w:p w14:paraId="2DC9490C" w14:textId="775BF0D9" w:rsidR="00514A00" w:rsidRPr="00F82963" w:rsidRDefault="00FC0B73" w:rsidP="00623A76">
            <w:pPr>
              <w:pStyle w:val="TableText"/>
            </w:pPr>
            <w:r w:rsidRPr="00FC0B73">
              <w:rPr>
                <w:i/>
              </w:rPr>
              <w:t>Julius Caesar</w:t>
            </w:r>
            <w:r>
              <w:t xml:space="preserve"> by William Shakespeare,</w:t>
            </w:r>
            <w:r w:rsidR="00623A76">
              <w:t xml:space="preserve"> Act 4.3, lines 317.1–</w:t>
            </w:r>
            <w:r w:rsidR="003A301F">
              <w:t>355.1</w:t>
            </w:r>
          </w:p>
        </w:tc>
        <w:tc>
          <w:tcPr>
            <w:tcW w:w="5724" w:type="dxa"/>
            <w:shd w:val="clear" w:color="auto" w:fill="FFFFFF"/>
          </w:tcPr>
          <w:p w14:paraId="1E041E50" w14:textId="3DB7E7B2" w:rsidR="00514A00" w:rsidRPr="00F82963" w:rsidRDefault="008D7AD5" w:rsidP="00CA69C3">
            <w:pPr>
              <w:pStyle w:val="TableText"/>
            </w:pPr>
            <w:r>
              <w:t>In this lesson, students read and analyze Act 4.3, lines 317.1–355.1. S</w:t>
            </w:r>
            <w:r w:rsidR="009274E5">
              <w:t>tudents</w:t>
            </w:r>
            <w:r w:rsidR="007F15A7">
              <w:t xml:space="preserve"> </w:t>
            </w:r>
            <w:r>
              <w:t xml:space="preserve">then </w:t>
            </w:r>
            <w:r w:rsidR="007F15A7">
              <w:t xml:space="preserve">reread and analyze different descriptions of Caesar’s spirit in Act 2.1 and Act 3.1, to make connections across the text as they consider how the appearance of Caesar’s ghost </w:t>
            </w:r>
            <w:r w:rsidR="007F15A7">
              <w:rPr>
                <w:rFonts w:eastAsia="Times New Roman" w:cs="Arial"/>
                <w:color w:val="000000"/>
                <w:shd w:val="clear" w:color="auto" w:fill="FFFFFF"/>
              </w:rPr>
              <w:t>develops a conflict in the play.</w:t>
            </w:r>
          </w:p>
        </w:tc>
      </w:tr>
      <w:tr w:rsidR="00514A00" w:rsidRPr="00F82963" w14:paraId="61E67363" w14:textId="77777777">
        <w:trPr>
          <w:cantSplit/>
        </w:trPr>
        <w:tc>
          <w:tcPr>
            <w:tcW w:w="0" w:type="auto"/>
            <w:shd w:val="clear" w:color="auto" w:fill="FFFFFF"/>
          </w:tcPr>
          <w:p w14:paraId="1DBCF9BA" w14:textId="77777777" w:rsidR="00514A00" w:rsidRPr="00F82963" w:rsidRDefault="00514A00" w:rsidP="00493A15">
            <w:pPr>
              <w:pStyle w:val="TableText"/>
            </w:pPr>
            <w:r>
              <w:t>18</w:t>
            </w:r>
          </w:p>
        </w:tc>
        <w:tc>
          <w:tcPr>
            <w:tcW w:w="0" w:type="auto"/>
            <w:shd w:val="clear" w:color="auto" w:fill="FFFFFF"/>
          </w:tcPr>
          <w:p w14:paraId="75C508B8" w14:textId="1D33B171" w:rsidR="00514A00" w:rsidRPr="00F82963" w:rsidRDefault="00FC0B73" w:rsidP="00623A76">
            <w:pPr>
              <w:pStyle w:val="TableText"/>
            </w:pPr>
            <w:r w:rsidRPr="00FC0B73">
              <w:rPr>
                <w:i/>
              </w:rPr>
              <w:t>Julius Caesar</w:t>
            </w:r>
            <w:r>
              <w:t xml:space="preserve"> by William Shakespeare,</w:t>
            </w:r>
            <w:r w:rsidR="003A301F">
              <w:t xml:space="preserve"> Act 5.1, lines 1</w:t>
            </w:r>
            <w:r w:rsidR="00623A76">
              <w:t>–</w:t>
            </w:r>
            <w:r w:rsidR="003A301F">
              <w:t>71</w:t>
            </w:r>
          </w:p>
        </w:tc>
        <w:tc>
          <w:tcPr>
            <w:tcW w:w="5724" w:type="dxa"/>
            <w:shd w:val="clear" w:color="auto" w:fill="FFFFFF"/>
          </w:tcPr>
          <w:p w14:paraId="22EC64DF" w14:textId="36BC6ABA" w:rsidR="00514A00" w:rsidRPr="00F82963" w:rsidRDefault="002532B6" w:rsidP="004801BF">
            <w:pPr>
              <w:pStyle w:val="TableText"/>
            </w:pPr>
            <w:r>
              <w:t>In this lesson, st</w:t>
            </w:r>
            <w:r w:rsidR="00623A76">
              <w:t>udents read Act 5.1, lines 1–</w:t>
            </w:r>
            <w:r w:rsidR="007F15A7">
              <w:t>71</w:t>
            </w:r>
            <w:r w:rsidR="00CA69C3">
              <w:t xml:space="preserve"> and </w:t>
            </w:r>
            <w:r w:rsidR="007F15A7">
              <w:t xml:space="preserve">practice their dramatic reading skills as they participate in small-group dramatic readings of the focus excerpt, pausing several times to analyze how the complex interactions </w:t>
            </w:r>
            <w:r w:rsidR="004801BF">
              <w:t>between</w:t>
            </w:r>
            <w:r w:rsidR="007F15A7">
              <w:t xml:space="preserve"> characters in this passage develop a central idea in the text.</w:t>
            </w:r>
          </w:p>
        </w:tc>
      </w:tr>
      <w:tr w:rsidR="00514A00" w:rsidRPr="00F82963" w14:paraId="5B322A2D" w14:textId="77777777">
        <w:trPr>
          <w:cantSplit/>
        </w:trPr>
        <w:tc>
          <w:tcPr>
            <w:tcW w:w="0" w:type="auto"/>
            <w:shd w:val="clear" w:color="auto" w:fill="FFFFFF"/>
          </w:tcPr>
          <w:p w14:paraId="60E57587" w14:textId="77777777" w:rsidR="00514A00" w:rsidRPr="00F82963" w:rsidRDefault="00514A00" w:rsidP="00493A15">
            <w:pPr>
              <w:pStyle w:val="TableText"/>
            </w:pPr>
            <w:r>
              <w:t>19</w:t>
            </w:r>
          </w:p>
        </w:tc>
        <w:tc>
          <w:tcPr>
            <w:tcW w:w="0" w:type="auto"/>
            <w:shd w:val="clear" w:color="auto" w:fill="FFFFFF"/>
          </w:tcPr>
          <w:p w14:paraId="5DDAB0B4" w14:textId="632AF239" w:rsidR="00514A00" w:rsidRPr="00F82963" w:rsidRDefault="00FC0B73" w:rsidP="007243CD">
            <w:pPr>
              <w:pStyle w:val="TableText"/>
            </w:pPr>
            <w:r w:rsidRPr="00FC0B73">
              <w:rPr>
                <w:i/>
              </w:rPr>
              <w:t>Julius Caesar</w:t>
            </w:r>
            <w:r>
              <w:t xml:space="preserve"> by William Shakespeare,</w:t>
            </w:r>
            <w:r w:rsidR="00623A76">
              <w:t xml:space="preserve"> Act 5.3, lines 1–</w:t>
            </w:r>
            <w:r w:rsidR="003A301F">
              <w:t>79</w:t>
            </w:r>
          </w:p>
        </w:tc>
        <w:tc>
          <w:tcPr>
            <w:tcW w:w="5724" w:type="dxa"/>
            <w:shd w:val="clear" w:color="auto" w:fill="FFFFFF"/>
          </w:tcPr>
          <w:p w14:paraId="29B9E27A" w14:textId="2A700C48" w:rsidR="00514A00" w:rsidRPr="004801BF" w:rsidRDefault="00C210F5" w:rsidP="004801BF">
            <w:pPr>
              <w:pStyle w:val="TableText"/>
            </w:pPr>
            <w:r>
              <w:t>In this lesson, students read Act 5.3, lines 1</w:t>
            </w:r>
            <w:r w:rsidR="00623A76">
              <w:t>–</w:t>
            </w:r>
            <w:r>
              <w:t>79</w:t>
            </w:r>
            <w:r w:rsidR="007F15A7">
              <w:t xml:space="preserve"> and participate in an evidence-based discussion as they draw upon their previous work with tragedy to analyze how Cassius’s death contributes to the tragedy of </w:t>
            </w:r>
            <w:r w:rsidR="007F15A7" w:rsidRPr="005255E9">
              <w:rPr>
                <w:i/>
              </w:rPr>
              <w:t>Julius Caesar</w:t>
            </w:r>
            <w:r w:rsidR="007F15A7" w:rsidRPr="004801BF">
              <w:t>.</w:t>
            </w:r>
          </w:p>
        </w:tc>
      </w:tr>
      <w:tr w:rsidR="00514A00" w:rsidRPr="00F82963" w14:paraId="0562029E" w14:textId="77777777">
        <w:trPr>
          <w:cantSplit/>
        </w:trPr>
        <w:tc>
          <w:tcPr>
            <w:tcW w:w="0" w:type="auto"/>
            <w:shd w:val="clear" w:color="auto" w:fill="FFFFFF"/>
          </w:tcPr>
          <w:p w14:paraId="2E88E19B" w14:textId="77777777" w:rsidR="00514A00" w:rsidRPr="00F82963" w:rsidRDefault="00514A00" w:rsidP="00493A15">
            <w:pPr>
              <w:pStyle w:val="TableText"/>
            </w:pPr>
            <w:r>
              <w:lastRenderedPageBreak/>
              <w:t>20</w:t>
            </w:r>
          </w:p>
        </w:tc>
        <w:tc>
          <w:tcPr>
            <w:tcW w:w="0" w:type="auto"/>
            <w:shd w:val="clear" w:color="auto" w:fill="FFFFFF"/>
          </w:tcPr>
          <w:p w14:paraId="5443C84E" w14:textId="019B5B10" w:rsidR="00514A00" w:rsidRPr="00F82963" w:rsidRDefault="00FC0B73" w:rsidP="00386E89">
            <w:pPr>
              <w:pStyle w:val="TableText"/>
            </w:pPr>
            <w:r w:rsidRPr="00FC0B73">
              <w:rPr>
                <w:i/>
              </w:rPr>
              <w:t>Julius Caesar</w:t>
            </w:r>
            <w:r>
              <w:t xml:space="preserve"> by William Shakespeare,</w:t>
            </w:r>
            <w:r w:rsidR="00386E89">
              <w:t xml:space="preserve"> Act 5.5</w:t>
            </w:r>
            <w:r w:rsidR="004801BF">
              <w:t>,</w:t>
            </w:r>
            <w:r w:rsidR="003A301F">
              <w:t xml:space="preserve"> lines </w:t>
            </w:r>
            <w:r w:rsidR="00623A76">
              <w:t>1–</w:t>
            </w:r>
            <w:r w:rsidR="00386E89">
              <w:t>87</w:t>
            </w:r>
          </w:p>
        </w:tc>
        <w:tc>
          <w:tcPr>
            <w:tcW w:w="5724" w:type="dxa"/>
            <w:shd w:val="clear" w:color="auto" w:fill="FFFFFF"/>
          </w:tcPr>
          <w:p w14:paraId="47683FBD" w14:textId="5E347411" w:rsidR="00514A00" w:rsidRPr="00F82963" w:rsidRDefault="003F572B" w:rsidP="004801BF">
            <w:pPr>
              <w:pStyle w:val="TableText"/>
            </w:pPr>
            <w:r>
              <w:t xml:space="preserve">In this lesson, students read Act 5.5, lines 1–87. Student learning is assessed via a Quick Write at the end of the lesson: How do Shakespeare’s choices about how to end </w:t>
            </w:r>
            <w:r>
              <w:rPr>
                <w:i/>
              </w:rPr>
              <w:t>Julius Caesar</w:t>
            </w:r>
            <w:r>
              <w:t xml:space="preserve"> provide a tragic resolution?</w:t>
            </w:r>
          </w:p>
        </w:tc>
      </w:tr>
      <w:tr w:rsidR="00514A00" w:rsidRPr="00F82963" w14:paraId="358EC2BB" w14:textId="77777777">
        <w:trPr>
          <w:cantSplit/>
        </w:trPr>
        <w:tc>
          <w:tcPr>
            <w:tcW w:w="0" w:type="auto"/>
            <w:shd w:val="clear" w:color="auto" w:fill="FFFFFF"/>
          </w:tcPr>
          <w:p w14:paraId="1C0B096B" w14:textId="77777777" w:rsidR="00514A00" w:rsidRPr="00F82963" w:rsidRDefault="00514A00" w:rsidP="00493A15">
            <w:pPr>
              <w:pStyle w:val="TableText"/>
            </w:pPr>
            <w:r>
              <w:t>21</w:t>
            </w:r>
          </w:p>
        </w:tc>
        <w:tc>
          <w:tcPr>
            <w:tcW w:w="0" w:type="auto"/>
            <w:shd w:val="clear" w:color="auto" w:fill="FFFFFF"/>
          </w:tcPr>
          <w:p w14:paraId="6E75132D" w14:textId="40012CEF" w:rsidR="00514A00" w:rsidRPr="00F82963" w:rsidRDefault="00FC0B73" w:rsidP="004801BF">
            <w:pPr>
              <w:pStyle w:val="TableText"/>
            </w:pPr>
            <w:r w:rsidRPr="00FC0B73">
              <w:rPr>
                <w:i/>
              </w:rPr>
              <w:t>Julius Caesar</w:t>
            </w:r>
            <w:r>
              <w:t xml:space="preserve"> by William Shakespeare,</w:t>
            </w:r>
            <w:r w:rsidR="00623A76">
              <w:t xml:space="preserve"> </w:t>
            </w:r>
            <w:r w:rsidR="004801BF">
              <w:t>entire text</w:t>
            </w:r>
          </w:p>
        </w:tc>
        <w:tc>
          <w:tcPr>
            <w:tcW w:w="5724" w:type="dxa"/>
            <w:shd w:val="clear" w:color="auto" w:fill="FFFFFF"/>
          </w:tcPr>
          <w:p w14:paraId="1C6DA63A" w14:textId="2DB8D34E" w:rsidR="00514A00" w:rsidRPr="00F82963" w:rsidRDefault="00386E89" w:rsidP="004801BF">
            <w:pPr>
              <w:pStyle w:val="TableText"/>
            </w:pPr>
            <w:r>
              <w:t xml:space="preserve">In this lesson, the first part of the End-of-Unit Assessment, students perform dramatic readings of scenes from William Shakespeare’s </w:t>
            </w:r>
            <w:r>
              <w:rPr>
                <w:i/>
              </w:rPr>
              <w:t>Julius Caesar</w:t>
            </w:r>
            <w:r>
              <w:t>. After meeting in their small groups for a final rehearsal, students perform their dramatic readings for the whole class. Students then debrief their performances with their groups a</w:t>
            </w:r>
            <w:r w:rsidR="00623A76">
              <w:t>nd complete group assessments.</w:t>
            </w:r>
          </w:p>
        </w:tc>
      </w:tr>
      <w:tr w:rsidR="00514A00" w:rsidRPr="00F82963" w14:paraId="12E01EB3" w14:textId="77777777">
        <w:trPr>
          <w:cantSplit/>
        </w:trPr>
        <w:tc>
          <w:tcPr>
            <w:tcW w:w="0" w:type="auto"/>
            <w:shd w:val="clear" w:color="auto" w:fill="FFFFFF"/>
          </w:tcPr>
          <w:p w14:paraId="40D15A99" w14:textId="77777777" w:rsidR="00514A00" w:rsidRPr="00F82963" w:rsidRDefault="00514A00" w:rsidP="00493A15">
            <w:pPr>
              <w:pStyle w:val="TableText"/>
            </w:pPr>
            <w:r>
              <w:t>22</w:t>
            </w:r>
          </w:p>
        </w:tc>
        <w:tc>
          <w:tcPr>
            <w:tcW w:w="0" w:type="auto"/>
            <w:shd w:val="clear" w:color="auto" w:fill="FFFFFF"/>
          </w:tcPr>
          <w:p w14:paraId="3A8D712E" w14:textId="0825A88B" w:rsidR="00514A00" w:rsidRPr="00F82963" w:rsidRDefault="00FC0B73" w:rsidP="004801BF">
            <w:pPr>
              <w:pStyle w:val="TableText"/>
            </w:pPr>
            <w:r w:rsidRPr="00FC0B73">
              <w:rPr>
                <w:i/>
              </w:rPr>
              <w:t>Julius Caesar</w:t>
            </w:r>
            <w:r>
              <w:t xml:space="preserve"> by William Shakespeare,</w:t>
            </w:r>
            <w:r w:rsidR="003A301F">
              <w:t xml:space="preserve"> </w:t>
            </w:r>
            <w:r w:rsidR="004801BF">
              <w:t>entire text</w:t>
            </w:r>
          </w:p>
        </w:tc>
        <w:tc>
          <w:tcPr>
            <w:tcW w:w="5724" w:type="dxa"/>
            <w:shd w:val="clear" w:color="auto" w:fill="FFFFFF"/>
          </w:tcPr>
          <w:p w14:paraId="5F3BC421" w14:textId="44761E33" w:rsidR="00514A00" w:rsidRPr="00F82963" w:rsidRDefault="00386E89" w:rsidP="004801BF">
            <w:pPr>
              <w:pStyle w:val="TableText"/>
            </w:pPr>
            <w:r>
              <w:t>In this final lesson of the unit, the second part of the End-of-Unit Assessment, students write a multi-paragraph analysis in response to the following prompt: Explain how the title </w:t>
            </w:r>
            <w:r>
              <w:rPr>
                <w:i/>
                <w:iCs/>
              </w:rPr>
              <w:t>The Tragedy of Julius Caesar </w:t>
            </w:r>
            <w:r>
              <w:t>is appropriate for the play, or propose a new title and explain why it is more appropriate.</w:t>
            </w:r>
          </w:p>
        </w:tc>
      </w:tr>
    </w:tbl>
    <w:p w14:paraId="4D3C16DC" w14:textId="77777777" w:rsidR="00CC183D" w:rsidRPr="00F82963" w:rsidRDefault="00CC183D" w:rsidP="00CC183D">
      <w:pPr>
        <w:pStyle w:val="Heading1"/>
      </w:pPr>
      <w:r w:rsidRPr="00F82963">
        <w:t>Preparation, Materials, and Resources</w:t>
      </w:r>
    </w:p>
    <w:p w14:paraId="1545CB45" w14:textId="77777777" w:rsidR="00CC183D" w:rsidRPr="00F82963" w:rsidRDefault="00CC183D" w:rsidP="00CC183D">
      <w:pPr>
        <w:rPr>
          <w:b/>
        </w:rPr>
      </w:pPr>
      <w:r w:rsidRPr="00F82963">
        <w:rPr>
          <w:b/>
        </w:rPr>
        <w:t>Preparation</w:t>
      </w:r>
    </w:p>
    <w:p w14:paraId="3193C546" w14:textId="27BF81AA" w:rsidR="00BB6A3B" w:rsidRPr="00F82963" w:rsidRDefault="00BB6A3B" w:rsidP="00BB6A3B">
      <w:pPr>
        <w:pStyle w:val="BulletedList"/>
      </w:pPr>
      <w:r w:rsidRPr="00F82963">
        <w:t xml:space="preserve">Read and annotate </w:t>
      </w:r>
      <w:r w:rsidR="00FC0B73" w:rsidRPr="00FC0B73">
        <w:rPr>
          <w:i/>
        </w:rPr>
        <w:t>Julius Caesar</w:t>
      </w:r>
      <w:r w:rsidR="00FC0B73">
        <w:t xml:space="preserve"> by William Shakespeare</w:t>
      </w:r>
      <w:r w:rsidR="002A2A81">
        <w:t>.</w:t>
      </w:r>
    </w:p>
    <w:p w14:paraId="0D03D28B" w14:textId="153AB730" w:rsidR="00BB6A3B" w:rsidRDefault="00BB6A3B" w:rsidP="00BB6A3B">
      <w:pPr>
        <w:pStyle w:val="BulletedList"/>
      </w:pPr>
      <w:r w:rsidRPr="00F82963">
        <w:t>Review the Short Response Rubric</w:t>
      </w:r>
      <w:r w:rsidR="003D1EBF" w:rsidRPr="00F82963">
        <w:t xml:space="preserve"> and Checklist</w:t>
      </w:r>
      <w:r w:rsidR="00F54C27">
        <w:t xml:space="preserve"> (optional)</w:t>
      </w:r>
      <w:r w:rsidR="003D1EBF" w:rsidRPr="00F82963">
        <w:t>.</w:t>
      </w:r>
    </w:p>
    <w:p w14:paraId="2069A438" w14:textId="78DE0DD4" w:rsidR="008B6A9F" w:rsidRDefault="00FC0B73" w:rsidP="008B6A9F">
      <w:pPr>
        <w:pStyle w:val="BulletedList"/>
        <w:tabs>
          <w:tab w:val="left" w:pos="1980"/>
        </w:tabs>
      </w:pPr>
      <w:r>
        <w:t>Review the 12.2.2</w:t>
      </w:r>
      <w:r w:rsidR="008B6A9F">
        <w:t xml:space="preserve"> Mid-Unit and </w:t>
      </w:r>
      <w:r w:rsidR="001F0211">
        <w:t xml:space="preserve">Part 2 </w:t>
      </w:r>
      <w:r w:rsidR="008B6A9F">
        <w:t>End-of-Unit Text Analysis Rubrics and Checklists.</w:t>
      </w:r>
    </w:p>
    <w:p w14:paraId="2917E7C2" w14:textId="73A96DAA" w:rsidR="00CC183D" w:rsidRPr="00C15E08" w:rsidRDefault="00BB6A3B" w:rsidP="00C15E08">
      <w:pPr>
        <w:pStyle w:val="BulletedList"/>
      </w:pPr>
      <w:r w:rsidRPr="00F82963">
        <w:t xml:space="preserve">Review all </w:t>
      </w:r>
      <w:r w:rsidR="0059569E">
        <w:t>12.2.2</w:t>
      </w:r>
      <w:r w:rsidRPr="00F82963">
        <w:t xml:space="preserve"> standards</w:t>
      </w:r>
      <w:r w:rsidR="00EC3789">
        <w:t xml:space="preserve"> and post in classroom</w:t>
      </w:r>
      <w:r w:rsidR="003D1EBF" w:rsidRPr="00F82963">
        <w:t>.</w:t>
      </w:r>
    </w:p>
    <w:p w14:paraId="1522D226" w14:textId="77777777" w:rsidR="00CC183D" w:rsidRPr="00F82963" w:rsidRDefault="00CC183D" w:rsidP="00297DE1">
      <w:pPr>
        <w:keepNext/>
        <w:spacing w:before="240"/>
        <w:rPr>
          <w:b/>
        </w:rPr>
      </w:pPr>
      <w:r w:rsidRPr="00F82963">
        <w:rPr>
          <w:b/>
        </w:rPr>
        <w:t>Materials and Resources</w:t>
      </w:r>
    </w:p>
    <w:p w14:paraId="73E4B905" w14:textId="77777777" w:rsidR="00BB6A3B" w:rsidRPr="00F82963" w:rsidRDefault="00BB6A3B" w:rsidP="00BB6A3B">
      <w:pPr>
        <w:pStyle w:val="BulletedList"/>
      </w:pPr>
      <w:r w:rsidRPr="00F82963">
        <w:t>Chart paper</w:t>
      </w:r>
    </w:p>
    <w:p w14:paraId="289ADE04" w14:textId="79C56B42" w:rsidR="00BB6A3B" w:rsidRDefault="00BB6A3B" w:rsidP="00BB6A3B">
      <w:pPr>
        <w:pStyle w:val="BulletedList"/>
      </w:pPr>
      <w:r w:rsidRPr="00F82963">
        <w:t xml:space="preserve">Copies of the text </w:t>
      </w:r>
      <w:r w:rsidR="00FC0B73" w:rsidRPr="00FC0B73">
        <w:rPr>
          <w:i/>
        </w:rPr>
        <w:t>Julius Caesar</w:t>
      </w:r>
      <w:r w:rsidR="00FC0B73">
        <w:t xml:space="preserve"> by William Sha</w:t>
      </w:r>
      <w:r w:rsidR="00297DE1">
        <w:t>kespeare</w:t>
      </w:r>
    </w:p>
    <w:p w14:paraId="08926AEE" w14:textId="7AFCA1C1" w:rsidR="00F54C27" w:rsidRPr="00F82963" w:rsidRDefault="00164DBD" w:rsidP="00BB6A3B">
      <w:pPr>
        <w:pStyle w:val="BulletedList"/>
      </w:pPr>
      <w:r>
        <w:t>Herbert Wise</w:t>
      </w:r>
      <w:r w:rsidR="000E61D0">
        <w:t>’s</w:t>
      </w:r>
      <w:r>
        <w:t xml:space="preserve"> 1979</w:t>
      </w:r>
      <w:r w:rsidR="000E61D0">
        <w:t xml:space="preserve"> BBC version of </w:t>
      </w:r>
      <w:r w:rsidR="000E61D0">
        <w:rPr>
          <w:i/>
        </w:rPr>
        <w:t>Julius Caesar</w:t>
      </w:r>
    </w:p>
    <w:p w14:paraId="58441A31" w14:textId="77777777" w:rsidR="00BB6A3B" w:rsidRPr="00F82963" w:rsidRDefault="00BB6A3B" w:rsidP="00BB6A3B">
      <w:pPr>
        <w:pStyle w:val="BulletedList"/>
      </w:pPr>
      <w:r w:rsidRPr="00F82963">
        <w:t>Writing utensils including pencils, pens, markers, and highlighters</w:t>
      </w:r>
    </w:p>
    <w:p w14:paraId="47ADA25E" w14:textId="77777777" w:rsidR="00BB6A3B" w:rsidRPr="00F82963" w:rsidRDefault="00BB6A3B" w:rsidP="00BB6A3B">
      <w:pPr>
        <w:pStyle w:val="BulletedList"/>
      </w:pPr>
      <w:r w:rsidRPr="00F82963">
        <w:t>Methods for collecting student work: student notebooks, folders, etc.</w:t>
      </w:r>
    </w:p>
    <w:p w14:paraId="6B3ABE72" w14:textId="77777777" w:rsidR="00BB6A3B" w:rsidRDefault="00BB6A3B" w:rsidP="00BB6A3B">
      <w:pPr>
        <w:pStyle w:val="BulletedList"/>
      </w:pPr>
      <w:r w:rsidRPr="00F82963">
        <w:t>Access to technology (if possible): interactive whiteboard, document camera, and LCD projector</w:t>
      </w:r>
    </w:p>
    <w:p w14:paraId="6FE4B86F" w14:textId="77777777" w:rsidR="0051223A" w:rsidRDefault="0051223A" w:rsidP="0051223A">
      <w:pPr>
        <w:pStyle w:val="BulletedList"/>
      </w:pPr>
      <w:r w:rsidRPr="00F82963">
        <w:lastRenderedPageBreak/>
        <w:t>Self-stick notes for students (optional)</w:t>
      </w:r>
    </w:p>
    <w:p w14:paraId="587352FC" w14:textId="77777777" w:rsidR="001F0211" w:rsidRPr="00F82963" w:rsidRDefault="001F0211" w:rsidP="001F0211">
      <w:pPr>
        <w:pStyle w:val="BulletedList"/>
      </w:pPr>
      <w:r w:rsidRPr="004B1FB3">
        <w:t>Copies of handouts and tools for each student: see materials list in individual lesson plans</w:t>
      </w:r>
    </w:p>
    <w:p w14:paraId="47A9147F" w14:textId="0A0ED52C" w:rsidR="00252EC8" w:rsidRPr="00F82963" w:rsidRDefault="00252EC8" w:rsidP="00BB6A3B">
      <w:pPr>
        <w:pStyle w:val="BulletedList"/>
      </w:pPr>
      <w:r w:rsidRPr="00252EC8">
        <w:t>Copies of</w:t>
      </w:r>
      <w:r w:rsidR="00865035">
        <w:t xml:space="preserve"> the</w:t>
      </w:r>
      <w:r w:rsidR="00FC0B73">
        <w:t xml:space="preserve"> 12.2</w:t>
      </w:r>
      <w:r w:rsidRPr="00252EC8">
        <w:t xml:space="preserve"> Common Core Learning Standards Tool</w:t>
      </w:r>
      <w:r w:rsidR="00AE3B5E">
        <w:t xml:space="preserve"> (optional)</w:t>
      </w:r>
    </w:p>
    <w:p w14:paraId="6EA01EFF" w14:textId="2A51909F" w:rsidR="0051223A" w:rsidRPr="00F82963" w:rsidRDefault="0051223A" w:rsidP="0051223A">
      <w:pPr>
        <w:pStyle w:val="BulletedList"/>
        <w:rPr>
          <w:b/>
        </w:rPr>
      </w:pPr>
      <w:r w:rsidRPr="00F82963">
        <w:t>Copies of the Short Response Rubric and Checklist</w:t>
      </w:r>
      <w:r w:rsidR="001C1596">
        <w:t xml:space="preserve"> (optional)</w:t>
      </w:r>
    </w:p>
    <w:p w14:paraId="60272BFF" w14:textId="25B0BCE3" w:rsidR="00BB6A3B" w:rsidRDefault="00BB6A3B" w:rsidP="00BB6A3B">
      <w:pPr>
        <w:pStyle w:val="BulletedList"/>
      </w:pPr>
      <w:r w:rsidRPr="00F82963">
        <w:t xml:space="preserve">Copies of the </w:t>
      </w:r>
      <w:r w:rsidR="00FC0B73">
        <w:t>12.2.2</w:t>
      </w:r>
      <w:r w:rsidR="003D1EBF" w:rsidRPr="00F82963">
        <w:t xml:space="preserve"> </w:t>
      </w:r>
      <w:r w:rsidR="0051223A">
        <w:t xml:space="preserve">Mid-Unit and </w:t>
      </w:r>
      <w:r w:rsidR="001F0211">
        <w:t xml:space="preserve">Part 2 </w:t>
      </w:r>
      <w:r w:rsidR="003D1EBF" w:rsidRPr="00F82963">
        <w:t xml:space="preserve">End-of-Unit </w:t>
      </w:r>
      <w:r w:rsidRPr="00F82963">
        <w:t>Text Analysis Rubric</w:t>
      </w:r>
      <w:r w:rsidR="0051223A">
        <w:t>s</w:t>
      </w:r>
      <w:r w:rsidRPr="00F82963">
        <w:t xml:space="preserve"> and Checklist</w:t>
      </w:r>
      <w:r w:rsidR="0051223A">
        <w:t>s</w:t>
      </w:r>
    </w:p>
    <w:p w14:paraId="5B4372C6" w14:textId="183DC2F5" w:rsidR="001F0211" w:rsidRPr="00F82963" w:rsidRDefault="001F0211" w:rsidP="00BB6A3B">
      <w:pPr>
        <w:pStyle w:val="BulletedList"/>
      </w:pPr>
      <w:r>
        <w:t>Copies of the 12.2.2 Part 1 End-of-Unit Checklist</w:t>
      </w:r>
    </w:p>
    <w:sectPr w:rsidR="001F0211" w:rsidRPr="00F82963"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876FB" w14:textId="77777777" w:rsidR="00387F84" w:rsidRDefault="00387F84">
      <w:r>
        <w:separator/>
      </w:r>
    </w:p>
  </w:endnote>
  <w:endnote w:type="continuationSeparator" w:id="0">
    <w:p w14:paraId="1D099D33" w14:textId="77777777" w:rsidR="00387F84" w:rsidRDefault="0038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229B" w14:textId="77777777" w:rsidR="000B59A7" w:rsidRPr="00563CB8" w:rsidRDefault="000B59A7"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B59A7" w14:paraId="1E0E5093" w14:textId="77777777">
      <w:trPr>
        <w:trHeight w:val="705"/>
      </w:trPr>
      <w:tc>
        <w:tcPr>
          <w:tcW w:w="4609" w:type="dxa"/>
          <w:tcBorders>
            <w:top w:val="single" w:sz="8" w:space="0" w:color="244061"/>
          </w:tcBorders>
          <w:vAlign w:val="center"/>
        </w:tcPr>
        <w:p w14:paraId="603080E1" w14:textId="5997BF63" w:rsidR="000B59A7" w:rsidRPr="00CC183D" w:rsidRDefault="000B59A7" w:rsidP="00CC183D">
          <w:pPr>
            <w:pStyle w:val="FooterText"/>
            <w:rPr>
              <w:rFonts w:ascii="Calibri" w:hAnsi="Calibri"/>
            </w:rPr>
          </w:pPr>
          <w:r w:rsidRPr="00CC183D">
            <w:rPr>
              <w:rFonts w:ascii="Calibri" w:hAnsi="Calibri"/>
            </w:rPr>
            <w:t xml:space="preserve">File: </w:t>
          </w:r>
          <w:r w:rsidR="00297DE1">
            <w:rPr>
              <w:rFonts w:ascii="Calibri" w:hAnsi="Calibri"/>
              <w:b w:val="0"/>
            </w:rPr>
            <w:t>12.2.2</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w:t>
          </w:r>
          <w:r w:rsidRPr="00A23A3B">
            <w:rPr>
              <w:rFonts w:ascii="Calibri" w:hAnsi="Calibri"/>
            </w:rPr>
            <w:t xml:space="preserve">Date: </w:t>
          </w:r>
          <w:r w:rsidR="00800AE9">
            <w:rPr>
              <w:rFonts w:ascii="Calibri" w:hAnsi="Calibri"/>
              <w:b w:val="0"/>
            </w:rPr>
            <w:t>2</w:t>
          </w:r>
          <w:r>
            <w:rPr>
              <w:rFonts w:ascii="Calibri" w:hAnsi="Calibri"/>
              <w:b w:val="0"/>
            </w:rPr>
            <w:t>/</w:t>
          </w:r>
          <w:r w:rsidR="00800AE9">
            <w:rPr>
              <w:rFonts w:ascii="Calibri" w:hAnsi="Calibri"/>
              <w:b w:val="0"/>
            </w:rPr>
            <w:t>13</w:t>
          </w:r>
          <w:r>
            <w:rPr>
              <w:rFonts w:ascii="Calibri" w:hAnsi="Calibri"/>
              <w:b w:val="0"/>
            </w:rPr>
            <w:t>/1</w:t>
          </w:r>
          <w:r w:rsidR="00800AE9">
            <w:rPr>
              <w:rFonts w:ascii="Calibri" w:hAnsi="Calibri"/>
              <w:b w:val="0"/>
            </w:rPr>
            <w:t>5</w:t>
          </w:r>
          <w:r w:rsidRPr="00A23A3B">
            <w:rPr>
              <w:rFonts w:ascii="Calibri" w:hAnsi="Calibri"/>
            </w:rPr>
            <w:t xml:space="preserve"> Classroom Use: </w:t>
          </w:r>
          <w:r w:rsidR="00800AE9">
            <w:rPr>
              <w:rFonts w:ascii="Calibri" w:hAnsi="Calibri"/>
              <w:b w:val="0"/>
            </w:rPr>
            <w:t>2/2015</w:t>
          </w:r>
        </w:p>
        <w:p w14:paraId="3FCD1925" w14:textId="7308873C" w:rsidR="000B59A7" w:rsidRPr="001B2DAB" w:rsidRDefault="00800AE9" w:rsidP="00CC183D">
          <w:pPr>
            <w:pStyle w:val="FooterText"/>
            <w:rPr>
              <w:rFonts w:ascii="Calibri" w:hAnsi="Calibri"/>
              <w:b w:val="0"/>
              <w:i/>
              <w:sz w:val="12"/>
            </w:rPr>
          </w:pPr>
          <w:r>
            <w:rPr>
              <w:rFonts w:ascii="Calibri" w:hAnsi="Calibri"/>
              <w:b w:val="0"/>
              <w:sz w:val="12"/>
            </w:rPr>
            <w:t>© 2015</w:t>
          </w:r>
          <w:r w:rsidR="000B59A7" w:rsidRPr="001B2DAB">
            <w:rPr>
              <w:rFonts w:ascii="Calibri" w:hAnsi="Calibri"/>
              <w:b w:val="0"/>
              <w:sz w:val="12"/>
            </w:rPr>
            <w:t xml:space="preserve"> Public Consulting Group. </w:t>
          </w:r>
          <w:r w:rsidR="000B59A7" w:rsidRPr="001B2DAB">
            <w:rPr>
              <w:rFonts w:ascii="Calibri" w:hAnsi="Calibri"/>
              <w:b w:val="0"/>
              <w:i/>
              <w:sz w:val="12"/>
            </w:rPr>
            <w:t xml:space="preserve">This work is licensed under a </w:t>
          </w:r>
        </w:p>
        <w:p w14:paraId="3A4A7F60" w14:textId="77777777" w:rsidR="000B59A7" w:rsidRPr="001B2DAB" w:rsidRDefault="000B59A7"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57056508" w14:textId="77777777" w:rsidR="000B59A7" w:rsidRPr="00CC183D" w:rsidRDefault="00387F84" w:rsidP="00CC183D">
          <w:pPr>
            <w:pStyle w:val="FooterText"/>
            <w:rPr>
              <w:rFonts w:ascii="Calibri" w:hAnsi="Calibri"/>
            </w:rPr>
          </w:pPr>
          <w:hyperlink r:id="rId1" w:history="1">
            <w:r w:rsidR="000B59A7"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0501D7F9" w14:textId="77777777" w:rsidR="000B59A7" w:rsidRPr="00714725" w:rsidRDefault="000B59A7" w:rsidP="00CC183D">
          <w:pPr>
            <w:pStyle w:val="folio"/>
            <w:pBdr>
              <w:top w:val="none" w:sz="0" w:space="0" w:color="auto"/>
            </w:pBdr>
            <w:tabs>
              <w:tab w:val="clear" w:pos="6480"/>
              <w:tab w:val="clear" w:pos="10080"/>
            </w:tabs>
            <w:jc w:val="center"/>
            <w:rPr>
              <w:rFonts w:ascii="Calibri" w:eastAsia="Calibri" w:hAnsi="Calibri" w:cs="Calibri"/>
              <w:b/>
              <w:sz w:val="14"/>
            </w:rPr>
          </w:pPr>
          <w:r w:rsidRPr="00714725">
            <w:rPr>
              <w:rFonts w:ascii="Calibri" w:eastAsia="Calibri" w:hAnsi="Calibri" w:cs="Calibri"/>
              <w:b/>
              <w:color w:val="1F4E79"/>
              <w:sz w:val="28"/>
            </w:rPr>
            <w:fldChar w:fldCharType="begin"/>
          </w:r>
          <w:r w:rsidRPr="00714725">
            <w:rPr>
              <w:rFonts w:ascii="Calibri" w:eastAsia="Calibri" w:hAnsi="Calibri" w:cs="Calibri"/>
              <w:b/>
              <w:color w:val="1F4E79"/>
              <w:sz w:val="28"/>
            </w:rPr>
            <w:instrText>PAGE</w:instrText>
          </w:r>
          <w:r w:rsidRPr="00714725">
            <w:rPr>
              <w:rFonts w:ascii="Calibri" w:eastAsia="Calibri" w:hAnsi="Calibri" w:cs="Calibri"/>
              <w:b/>
              <w:color w:val="1F4E79"/>
              <w:sz w:val="28"/>
            </w:rPr>
            <w:fldChar w:fldCharType="separate"/>
          </w:r>
          <w:r w:rsidR="00471CB0">
            <w:rPr>
              <w:rFonts w:ascii="Calibri" w:eastAsia="Calibri" w:hAnsi="Calibri" w:cs="Calibri"/>
              <w:b/>
              <w:noProof/>
              <w:color w:val="1F4E79"/>
              <w:sz w:val="28"/>
            </w:rPr>
            <w:t>1</w:t>
          </w:r>
          <w:r w:rsidRPr="00714725">
            <w:rPr>
              <w:rFonts w:ascii="Calibri" w:eastAsia="Calibri" w:hAnsi="Calibri" w:cs="Calibri"/>
              <w:b/>
              <w:color w:val="1F4E79"/>
              <w:sz w:val="28"/>
            </w:rPr>
            <w:fldChar w:fldCharType="end"/>
          </w:r>
        </w:p>
      </w:tc>
      <w:tc>
        <w:tcPr>
          <w:tcW w:w="4325" w:type="dxa"/>
          <w:tcBorders>
            <w:top w:val="single" w:sz="8" w:space="0" w:color="244061"/>
          </w:tcBorders>
          <w:vAlign w:val="bottom"/>
        </w:tcPr>
        <w:p w14:paraId="32C72CCC" w14:textId="77777777" w:rsidR="000B59A7" w:rsidRPr="00714725" w:rsidRDefault="000B59A7"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rPr>
          </w:pPr>
          <w:r>
            <w:rPr>
              <w:rFonts w:ascii="Calibri" w:eastAsia="Calibri" w:hAnsi="Calibri" w:cs="Calibri"/>
              <w:b/>
              <w:noProof/>
              <w:sz w:val="12"/>
              <w:szCs w:val="12"/>
            </w:rPr>
            <w:drawing>
              <wp:inline distT="0" distB="0" distL="0" distR="0" wp14:anchorId="21C375F6" wp14:editId="62911A28">
                <wp:extent cx="1695450" cy="62865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tc>
    </w:tr>
  </w:tbl>
  <w:p w14:paraId="2635CF4D" w14:textId="77777777" w:rsidR="000B59A7" w:rsidRPr="00677A89" w:rsidRDefault="000B59A7"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F454" w14:textId="77777777" w:rsidR="00387F84" w:rsidRDefault="00387F84">
      <w:r>
        <w:separator/>
      </w:r>
    </w:p>
  </w:footnote>
  <w:footnote w:type="continuationSeparator" w:id="0">
    <w:p w14:paraId="76A10EB6" w14:textId="77777777" w:rsidR="00387F84" w:rsidRDefault="0038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430"/>
      <w:gridCol w:w="3438"/>
    </w:tblGrid>
    <w:tr w:rsidR="000B59A7" w14:paraId="6332E245" w14:textId="77777777">
      <w:tc>
        <w:tcPr>
          <w:tcW w:w="3708" w:type="dxa"/>
        </w:tcPr>
        <w:p w14:paraId="14E22FC6" w14:textId="77777777" w:rsidR="000B59A7" w:rsidRPr="00CC183D" w:rsidRDefault="000B59A7" w:rsidP="001B2DAB">
          <w:pPr>
            <w:pStyle w:val="PageHeader"/>
          </w:pPr>
          <w:r w:rsidRPr="00CC183D">
            <w:t>NYS Common Core ELA &amp; Literacy Curriculum</w:t>
          </w:r>
        </w:p>
      </w:tc>
      <w:tc>
        <w:tcPr>
          <w:tcW w:w="2430" w:type="dxa"/>
          <w:vAlign w:val="center"/>
        </w:tcPr>
        <w:p w14:paraId="444F7EFF" w14:textId="77777777" w:rsidR="000B59A7" w:rsidRPr="001B2DAB" w:rsidRDefault="000B59A7" w:rsidP="001B2DAB">
          <w:pPr>
            <w:jc w:val="center"/>
          </w:pPr>
          <w:r w:rsidRPr="001B2DAB">
            <w:t>D R A F T</w:t>
          </w:r>
        </w:p>
      </w:tc>
      <w:tc>
        <w:tcPr>
          <w:tcW w:w="3438" w:type="dxa"/>
        </w:tcPr>
        <w:p w14:paraId="38C7C73B" w14:textId="3CA9E7BB" w:rsidR="000B59A7" w:rsidRPr="001B2DAB" w:rsidRDefault="000B59A7" w:rsidP="0008040C">
          <w:pPr>
            <w:pStyle w:val="PageHeader"/>
            <w:jc w:val="right"/>
            <w:rPr>
              <w:b w:val="0"/>
            </w:rPr>
          </w:pPr>
          <w:r w:rsidRPr="001B2DAB">
            <w:rPr>
              <w:b w:val="0"/>
            </w:rPr>
            <w:t xml:space="preserve">Grade </w:t>
          </w:r>
          <w:r>
            <w:rPr>
              <w:b w:val="0"/>
            </w:rPr>
            <w:t>12</w:t>
          </w:r>
          <w:r w:rsidRPr="001B2DAB">
            <w:rPr>
              <w:b w:val="0"/>
            </w:rPr>
            <w:t xml:space="preserve"> • Module </w:t>
          </w:r>
          <w:r>
            <w:rPr>
              <w:b w:val="0"/>
            </w:rPr>
            <w:t>2</w:t>
          </w:r>
          <w:r w:rsidRPr="001B2DAB">
            <w:rPr>
              <w:b w:val="0"/>
            </w:rPr>
            <w:t xml:space="preserve"> • Unit </w:t>
          </w:r>
          <w:r>
            <w:rPr>
              <w:b w:val="0"/>
            </w:rPr>
            <w:t>2</w:t>
          </w:r>
          <w:r w:rsidRPr="001B2DAB">
            <w:rPr>
              <w:b w:val="0"/>
            </w:rPr>
            <w:t xml:space="preserve"> Overview</w:t>
          </w:r>
        </w:p>
      </w:tc>
    </w:tr>
  </w:tbl>
  <w:p w14:paraId="321F67FB" w14:textId="77777777" w:rsidR="000B59A7" w:rsidRDefault="000B59A7"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722ECEC4"/>
    <w:lvl w:ilvl="0" w:tplc="AF1683AA">
      <w:start w:val="1"/>
      <w:numFmt w:val="bullet"/>
      <w:pStyle w:val="BulletedLis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404883"/>
    <w:multiLevelType w:val="hybridMultilevel"/>
    <w:tmpl w:val="77FA2C28"/>
    <w:lvl w:ilvl="0" w:tplc="5EE4DB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B2932"/>
    <w:multiLevelType w:val="hybridMultilevel"/>
    <w:tmpl w:val="2AD234FE"/>
    <w:lvl w:ilvl="0" w:tplc="D9C28378">
      <w:start w:val="1"/>
      <w:numFmt w:val="lowerLetter"/>
      <w:pStyle w:val="SubStandard"/>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2"/>
    <w:lvlOverride w:ilvl="0">
      <w:startOverride w:val="1"/>
    </w:lvlOverride>
  </w:num>
  <w:num w:numId="5">
    <w:abstractNumId w:val="7"/>
  </w:num>
  <w:num w:numId="6">
    <w:abstractNumId w:val="1"/>
  </w:num>
  <w:num w:numId="7">
    <w:abstractNumId w:val="4"/>
  </w:num>
  <w:num w:numId="8">
    <w:abstractNumId w:val="8"/>
    <w:lvlOverride w:ilvl="0">
      <w:startOverride w:val="1"/>
    </w:lvlOverride>
  </w:num>
  <w:num w:numId="9">
    <w:abstractNumId w:val="8"/>
    <w:lvlOverride w:ilvl="0">
      <w:startOverride w:val="3"/>
    </w:lvlOverride>
  </w:num>
  <w:num w:numId="10">
    <w:abstractNumId w:val="8"/>
    <w:lvlOverride w:ilvl="0">
      <w:startOverride w:val="1"/>
    </w:lvlOverride>
  </w:num>
  <w:num w:numId="11">
    <w:abstractNumId w:val="8"/>
  </w:num>
  <w:num w:numId="12">
    <w:abstractNumId w:val="8"/>
    <w:lvlOverride w:ilvl="0">
      <w:startOverride w:val="1"/>
    </w:lvlOverride>
  </w:num>
  <w:num w:numId="13">
    <w:abstractNumId w:val="8"/>
    <w:lvlOverride w:ilvl="0">
      <w:startOverride w:val="2"/>
    </w:lvlOverride>
  </w:num>
  <w:num w:numId="14">
    <w:abstractNumId w:val="8"/>
  </w:num>
  <w:num w:numId="15">
    <w:abstractNumId w:val="8"/>
    <w:lvlOverride w:ilvl="0">
      <w:startOverride w:val="3"/>
    </w:lvlOverride>
  </w:num>
  <w:num w:numId="16">
    <w:abstractNumId w:val="8"/>
    <w:lvlOverride w:ilvl="0">
      <w:startOverride w:val="1"/>
    </w:lvlOverride>
  </w:num>
  <w:num w:numId="17">
    <w:abstractNumId w:val="6"/>
  </w:num>
  <w:num w:numId="18">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349E"/>
    <w:rsid w:val="000055E6"/>
    <w:rsid w:val="00011F04"/>
    <w:rsid w:val="00014291"/>
    <w:rsid w:val="00026502"/>
    <w:rsid w:val="000306A4"/>
    <w:rsid w:val="000313F1"/>
    <w:rsid w:val="00031B71"/>
    <w:rsid w:val="00034A0D"/>
    <w:rsid w:val="00037B7D"/>
    <w:rsid w:val="00045799"/>
    <w:rsid w:val="00051FED"/>
    <w:rsid w:val="0006160D"/>
    <w:rsid w:val="000675D8"/>
    <w:rsid w:val="000714C2"/>
    <w:rsid w:val="0008040C"/>
    <w:rsid w:val="00081356"/>
    <w:rsid w:val="00084099"/>
    <w:rsid w:val="000859C2"/>
    <w:rsid w:val="000869BB"/>
    <w:rsid w:val="00090020"/>
    <w:rsid w:val="0009763B"/>
    <w:rsid w:val="000A0D39"/>
    <w:rsid w:val="000A1EFF"/>
    <w:rsid w:val="000A3E35"/>
    <w:rsid w:val="000B0AE9"/>
    <w:rsid w:val="000B2CE6"/>
    <w:rsid w:val="000B37EB"/>
    <w:rsid w:val="000B59A7"/>
    <w:rsid w:val="000B708D"/>
    <w:rsid w:val="000C415C"/>
    <w:rsid w:val="000D02CA"/>
    <w:rsid w:val="000D1248"/>
    <w:rsid w:val="000D1A85"/>
    <w:rsid w:val="000D4530"/>
    <w:rsid w:val="000D5259"/>
    <w:rsid w:val="000D77B6"/>
    <w:rsid w:val="000E0CC9"/>
    <w:rsid w:val="000E1EBA"/>
    <w:rsid w:val="000E4FB8"/>
    <w:rsid w:val="000E508D"/>
    <w:rsid w:val="000E61D0"/>
    <w:rsid w:val="000F51EB"/>
    <w:rsid w:val="000F7C63"/>
    <w:rsid w:val="00102220"/>
    <w:rsid w:val="001024D6"/>
    <w:rsid w:val="0012008E"/>
    <w:rsid w:val="00122FB5"/>
    <w:rsid w:val="0012788F"/>
    <w:rsid w:val="00145CEF"/>
    <w:rsid w:val="001505DC"/>
    <w:rsid w:val="0015083C"/>
    <w:rsid w:val="00151CDF"/>
    <w:rsid w:val="00153BD8"/>
    <w:rsid w:val="00156727"/>
    <w:rsid w:val="001613FF"/>
    <w:rsid w:val="00164DBD"/>
    <w:rsid w:val="00182BDB"/>
    <w:rsid w:val="0018402E"/>
    <w:rsid w:val="00195EF4"/>
    <w:rsid w:val="001A4D9E"/>
    <w:rsid w:val="001A7F80"/>
    <w:rsid w:val="001B0CA9"/>
    <w:rsid w:val="001B2DAB"/>
    <w:rsid w:val="001C0EF6"/>
    <w:rsid w:val="001C1596"/>
    <w:rsid w:val="001C201D"/>
    <w:rsid w:val="001C3EDB"/>
    <w:rsid w:val="001C4B7A"/>
    <w:rsid w:val="001D2E0D"/>
    <w:rsid w:val="001D3060"/>
    <w:rsid w:val="001D7FE9"/>
    <w:rsid w:val="001F0061"/>
    <w:rsid w:val="001F0211"/>
    <w:rsid w:val="001F2883"/>
    <w:rsid w:val="001F7CAA"/>
    <w:rsid w:val="002030C5"/>
    <w:rsid w:val="00205FA0"/>
    <w:rsid w:val="00207C50"/>
    <w:rsid w:val="002114A9"/>
    <w:rsid w:val="00213E58"/>
    <w:rsid w:val="00216D8C"/>
    <w:rsid w:val="00216E7F"/>
    <w:rsid w:val="00225CD8"/>
    <w:rsid w:val="0023215D"/>
    <w:rsid w:val="002335F2"/>
    <w:rsid w:val="00234ACE"/>
    <w:rsid w:val="00236891"/>
    <w:rsid w:val="0024038C"/>
    <w:rsid w:val="00241113"/>
    <w:rsid w:val="0025165C"/>
    <w:rsid w:val="00251CC6"/>
    <w:rsid w:val="00252EC8"/>
    <w:rsid w:val="002532B6"/>
    <w:rsid w:val="00264DC0"/>
    <w:rsid w:val="00271C2E"/>
    <w:rsid w:val="002730A1"/>
    <w:rsid w:val="0028414C"/>
    <w:rsid w:val="00285B7F"/>
    <w:rsid w:val="00297DE1"/>
    <w:rsid w:val="002A2A81"/>
    <w:rsid w:val="002A742F"/>
    <w:rsid w:val="002B6493"/>
    <w:rsid w:val="002C0746"/>
    <w:rsid w:val="002C637B"/>
    <w:rsid w:val="002C6FC6"/>
    <w:rsid w:val="002C7A96"/>
    <w:rsid w:val="002D22AF"/>
    <w:rsid w:val="002D39E9"/>
    <w:rsid w:val="002D6C48"/>
    <w:rsid w:val="002E2C92"/>
    <w:rsid w:val="002E7406"/>
    <w:rsid w:val="002F0F79"/>
    <w:rsid w:val="002F433D"/>
    <w:rsid w:val="00306556"/>
    <w:rsid w:val="00324465"/>
    <w:rsid w:val="00331B1E"/>
    <w:rsid w:val="003419A5"/>
    <w:rsid w:val="003449D5"/>
    <w:rsid w:val="003536C8"/>
    <w:rsid w:val="00354EDC"/>
    <w:rsid w:val="00361218"/>
    <w:rsid w:val="00367400"/>
    <w:rsid w:val="003718EC"/>
    <w:rsid w:val="0037743D"/>
    <w:rsid w:val="003808E1"/>
    <w:rsid w:val="00382B14"/>
    <w:rsid w:val="00383DC8"/>
    <w:rsid w:val="00384833"/>
    <w:rsid w:val="00385D6A"/>
    <w:rsid w:val="00386E89"/>
    <w:rsid w:val="00387F84"/>
    <w:rsid w:val="00391501"/>
    <w:rsid w:val="00396C7B"/>
    <w:rsid w:val="003A301F"/>
    <w:rsid w:val="003B51DF"/>
    <w:rsid w:val="003B6D94"/>
    <w:rsid w:val="003C56AB"/>
    <w:rsid w:val="003D1EBF"/>
    <w:rsid w:val="003E0854"/>
    <w:rsid w:val="003E2CD9"/>
    <w:rsid w:val="003E75C2"/>
    <w:rsid w:val="003F2AFD"/>
    <w:rsid w:val="003F572B"/>
    <w:rsid w:val="003F573B"/>
    <w:rsid w:val="00401E53"/>
    <w:rsid w:val="004207AF"/>
    <w:rsid w:val="00431C08"/>
    <w:rsid w:val="004333E8"/>
    <w:rsid w:val="00437454"/>
    <w:rsid w:val="004473DD"/>
    <w:rsid w:val="0045178B"/>
    <w:rsid w:val="00455D9F"/>
    <w:rsid w:val="00456406"/>
    <w:rsid w:val="00465D28"/>
    <w:rsid w:val="00471CB0"/>
    <w:rsid w:val="00471DAE"/>
    <w:rsid w:val="00473B5A"/>
    <w:rsid w:val="00475B3F"/>
    <w:rsid w:val="004801BF"/>
    <w:rsid w:val="00482074"/>
    <w:rsid w:val="00482EB4"/>
    <w:rsid w:val="00492D03"/>
    <w:rsid w:val="00493A15"/>
    <w:rsid w:val="004A0A1E"/>
    <w:rsid w:val="004A5613"/>
    <w:rsid w:val="004B1FB3"/>
    <w:rsid w:val="004B3427"/>
    <w:rsid w:val="004B795E"/>
    <w:rsid w:val="004C4E64"/>
    <w:rsid w:val="004C798D"/>
    <w:rsid w:val="004D4786"/>
    <w:rsid w:val="004E0385"/>
    <w:rsid w:val="004F649E"/>
    <w:rsid w:val="004F734A"/>
    <w:rsid w:val="0050007D"/>
    <w:rsid w:val="005010B4"/>
    <w:rsid w:val="0050702D"/>
    <w:rsid w:val="00507A90"/>
    <w:rsid w:val="0051223A"/>
    <w:rsid w:val="00512AC0"/>
    <w:rsid w:val="00514A00"/>
    <w:rsid w:val="005349EB"/>
    <w:rsid w:val="00542E69"/>
    <w:rsid w:val="005439F0"/>
    <w:rsid w:val="00545369"/>
    <w:rsid w:val="0054643C"/>
    <w:rsid w:val="005479FF"/>
    <w:rsid w:val="00560EF4"/>
    <w:rsid w:val="0057310F"/>
    <w:rsid w:val="005745F9"/>
    <w:rsid w:val="00574DC0"/>
    <w:rsid w:val="00576D4E"/>
    <w:rsid w:val="005779DA"/>
    <w:rsid w:val="005878AD"/>
    <w:rsid w:val="0059013A"/>
    <w:rsid w:val="005911A3"/>
    <w:rsid w:val="0059569E"/>
    <w:rsid w:val="005A393D"/>
    <w:rsid w:val="005A697F"/>
    <w:rsid w:val="005B316C"/>
    <w:rsid w:val="005B4312"/>
    <w:rsid w:val="005C0C08"/>
    <w:rsid w:val="005C2F30"/>
    <w:rsid w:val="005D16B3"/>
    <w:rsid w:val="005E210A"/>
    <w:rsid w:val="005E464D"/>
    <w:rsid w:val="005E59CC"/>
    <w:rsid w:val="005E64D1"/>
    <w:rsid w:val="005E6EB1"/>
    <w:rsid w:val="005E7E9D"/>
    <w:rsid w:val="005F0405"/>
    <w:rsid w:val="005F5614"/>
    <w:rsid w:val="005F6BEC"/>
    <w:rsid w:val="00613577"/>
    <w:rsid w:val="00623A76"/>
    <w:rsid w:val="00643CF9"/>
    <w:rsid w:val="00664E64"/>
    <w:rsid w:val="00667248"/>
    <w:rsid w:val="00692179"/>
    <w:rsid w:val="0069246E"/>
    <w:rsid w:val="006947C0"/>
    <w:rsid w:val="006A2CC3"/>
    <w:rsid w:val="006A3EF8"/>
    <w:rsid w:val="006A573F"/>
    <w:rsid w:val="006A6F27"/>
    <w:rsid w:val="006B350F"/>
    <w:rsid w:val="006B371A"/>
    <w:rsid w:val="006B5F65"/>
    <w:rsid w:val="006B6CB0"/>
    <w:rsid w:val="006C23F3"/>
    <w:rsid w:val="006C3816"/>
    <w:rsid w:val="006F380A"/>
    <w:rsid w:val="006F4CF6"/>
    <w:rsid w:val="007043F0"/>
    <w:rsid w:val="00706E55"/>
    <w:rsid w:val="00710149"/>
    <w:rsid w:val="00714725"/>
    <w:rsid w:val="00717680"/>
    <w:rsid w:val="00720A15"/>
    <w:rsid w:val="007243CD"/>
    <w:rsid w:val="00725636"/>
    <w:rsid w:val="0072655E"/>
    <w:rsid w:val="00726A43"/>
    <w:rsid w:val="007278A4"/>
    <w:rsid w:val="00731ACF"/>
    <w:rsid w:val="0074422F"/>
    <w:rsid w:val="007442D8"/>
    <w:rsid w:val="007556A4"/>
    <w:rsid w:val="00755D04"/>
    <w:rsid w:val="0076694E"/>
    <w:rsid w:val="00772FF2"/>
    <w:rsid w:val="007754B2"/>
    <w:rsid w:val="00780FB5"/>
    <w:rsid w:val="00783FDB"/>
    <w:rsid w:val="00784919"/>
    <w:rsid w:val="00793231"/>
    <w:rsid w:val="00793DCE"/>
    <w:rsid w:val="007A0995"/>
    <w:rsid w:val="007A12D1"/>
    <w:rsid w:val="007A3699"/>
    <w:rsid w:val="007A3A80"/>
    <w:rsid w:val="007A42EF"/>
    <w:rsid w:val="007B3ABF"/>
    <w:rsid w:val="007B3D44"/>
    <w:rsid w:val="007B3FD2"/>
    <w:rsid w:val="007C02CC"/>
    <w:rsid w:val="007D37AE"/>
    <w:rsid w:val="007E29B3"/>
    <w:rsid w:val="007F04B0"/>
    <w:rsid w:val="007F15A7"/>
    <w:rsid w:val="007F7CEB"/>
    <w:rsid w:val="00800464"/>
    <w:rsid w:val="00800AE9"/>
    <w:rsid w:val="0080360C"/>
    <w:rsid w:val="0081229A"/>
    <w:rsid w:val="00814034"/>
    <w:rsid w:val="008161DD"/>
    <w:rsid w:val="008166A1"/>
    <w:rsid w:val="00821BC4"/>
    <w:rsid w:val="00824DC2"/>
    <w:rsid w:val="00832BE7"/>
    <w:rsid w:val="00832BF5"/>
    <w:rsid w:val="00835858"/>
    <w:rsid w:val="00836F57"/>
    <w:rsid w:val="00841E8F"/>
    <w:rsid w:val="00845349"/>
    <w:rsid w:val="00850CC0"/>
    <w:rsid w:val="00857625"/>
    <w:rsid w:val="00865035"/>
    <w:rsid w:val="00865F03"/>
    <w:rsid w:val="00875806"/>
    <w:rsid w:val="00890CD6"/>
    <w:rsid w:val="00896438"/>
    <w:rsid w:val="0089742D"/>
    <w:rsid w:val="008A0B46"/>
    <w:rsid w:val="008A0E7A"/>
    <w:rsid w:val="008A3796"/>
    <w:rsid w:val="008B4B5C"/>
    <w:rsid w:val="008B6A9F"/>
    <w:rsid w:val="008D18E3"/>
    <w:rsid w:val="008D2E50"/>
    <w:rsid w:val="008D7AD5"/>
    <w:rsid w:val="008E6AEB"/>
    <w:rsid w:val="008F107D"/>
    <w:rsid w:val="008F6803"/>
    <w:rsid w:val="009023D9"/>
    <w:rsid w:val="00907A9D"/>
    <w:rsid w:val="00915D40"/>
    <w:rsid w:val="00922C9A"/>
    <w:rsid w:val="00923D6B"/>
    <w:rsid w:val="009251FA"/>
    <w:rsid w:val="009274E5"/>
    <w:rsid w:val="00941628"/>
    <w:rsid w:val="00946581"/>
    <w:rsid w:val="0095067B"/>
    <w:rsid w:val="009612E2"/>
    <w:rsid w:val="00971396"/>
    <w:rsid w:val="009741CC"/>
    <w:rsid w:val="0097578E"/>
    <w:rsid w:val="00976BB0"/>
    <w:rsid w:val="00987FF7"/>
    <w:rsid w:val="00994EE9"/>
    <w:rsid w:val="009A1343"/>
    <w:rsid w:val="009A2096"/>
    <w:rsid w:val="009B23B6"/>
    <w:rsid w:val="009B3AE8"/>
    <w:rsid w:val="009C245C"/>
    <w:rsid w:val="009C7F37"/>
    <w:rsid w:val="009D142B"/>
    <w:rsid w:val="009D5426"/>
    <w:rsid w:val="009E04CD"/>
    <w:rsid w:val="009E68DD"/>
    <w:rsid w:val="009E7713"/>
    <w:rsid w:val="009E7F40"/>
    <w:rsid w:val="009F3025"/>
    <w:rsid w:val="00A0096A"/>
    <w:rsid w:val="00A013EB"/>
    <w:rsid w:val="00A054DD"/>
    <w:rsid w:val="00A05EC5"/>
    <w:rsid w:val="00A07B09"/>
    <w:rsid w:val="00A17F2B"/>
    <w:rsid w:val="00A22A7D"/>
    <w:rsid w:val="00A23A3B"/>
    <w:rsid w:val="00A32DB0"/>
    <w:rsid w:val="00A34BF5"/>
    <w:rsid w:val="00A356B5"/>
    <w:rsid w:val="00A371B7"/>
    <w:rsid w:val="00A40A8A"/>
    <w:rsid w:val="00A446B5"/>
    <w:rsid w:val="00A47525"/>
    <w:rsid w:val="00A5317B"/>
    <w:rsid w:val="00A5564F"/>
    <w:rsid w:val="00A60BDA"/>
    <w:rsid w:val="00A650A7"/>
    <w:rsid w:val="00A7063B"/>
    <w:rsid w:val="00A716C4"/>
    <w:rsid w:val="00A76ACB"/>
    <w:rsid w:val="00A86ABE"/>
    <w:rsid w:val="00A87154"/>
    <w:rsid w:val="00A90249"/>
    <w:rsid w:val="00A95763"/>
    <w:rsid w:val="00AA12B3"/>
    <w:rsid w:val="00AB497E"/>
    <w:rsid w:val="00AC6F21"/>
    <w:rsid w:val="00AC7162"/>
    <w:rsid w:val="00AD1534"/>
    <w:rsid w:val="00AD6018"/>
    <w:rsid w:val="00AE3B5E"/>
    <w:rsid w:val="00AE6015"/>
    <w:rsid w:val="00AF17A3"/>
    <w:rsid w:val="00AF57A9"/>
    <w:rsid w:val="00B0186F"/>
    <w:rsid w:val="00B04EBE"/>
    <w:rsid w:val="00B22893"/>
    <w:rsid w:val="00B26BB5"/>
    <w:rsid w:val="00B35DAC"/>
    <w:rsid w:val="00B420EB"/>
    <w:rsid w:val="00B545F1"/>
    <w:rsid w:val="00B55E52"/>
    <w:rsid w:val="00B674EB"/>
    <w:rsid w:val="00B75B17"/>
    <w:rsid w:val="00B75FF3"/>
    <w:rsid w:val="00B77761"/>
    <w:rsid w:val="00B90309"/>
    <w:rsid w:val="00B91738"/>
    <w:rsid w:val="00B923E2"/>
    <w:rsid w:val="00B96FB7"/>
    <w:rsid w:val="00BA1545"/>
    <w:rsid w:val="00BB004C"/>
    <w:rsid w:val="00BB3480"/>
    <w:rsid w:val="00BB3A62"/>
    <w:rsid w:val="00BB6A3B"/>
    <w:rsid w:val="00BC5835"/>
    <w:rsid w:val="00BC5CC6"/>
    <w:rsid w:val="00BC66F0"/>
    <w:rsid w:val="00BC7478"/>
    <w:rsid w:val="00BE17B8"/>
    <w:rsid w:val="00BE653D"/>
    <w:rsid w:val="00BF4CBF"/>
    <w:rsid w:val="00BF695D"/>
    <w:rsid w:val="00C037AE"/>
    <w:rsid w:val="00C03E39"/>
    <w:rsid w:val="00C12316"/>
    <w:rsid w:val="00C14180"/>
    <w:rsid w:val="00C15E08"/>
    <w:rsid w:val="00C16673"/>
    <w:rsid w:val="00C210F5"/>
    <w:rsid w:val="00C2556B"/>
    <w:rsid w:val="00C25692"/>
    <w:rsid w:val="00C2638D"/>
    <w:rsid w:val="00C31C2D"/>
    <w:rsid w:val="00C34BD1"/>
    <w:rsid w:val="00C43C16"/>
    <w:rsid w:val="00C46F19"/>
    <w:rsid w:val="00C543AF"/>
    <w:rsid w:val="00C54B55"/>
    <w:rsid w:val="00C559E5"/>
    <w:rsid w:val="00C57857"/>
    <w:rsid w:val="00C70890"/>
    <w:rsid w:val="00C72184"/>
    <w:rsid w:val="00C73F60"/>
    <w:rsid w:val="00C812FF"/>
    <w:rsid w:val="00C85862"/>
    <w:rsid w:val="00C86FB8"/>
    <w:rsid w:val="00C939FB"/>
    <w:rsid w:val="00C95335"/>
    <w:rsid w:val="00C97471"/>
    <w:rsid w:val="00CA1F2F"/>
    <w:rsid w:val="00CA6936"/>
    <w:rsid w:val="00CA69C3"/>
    <w:rsid w:val="00CB3C8C"/>
    <w:rsid w:val="00CB79AA"/>
    <w:rsid w:val="00CC183D"/>
    <w:rsid w:val="00CC1939"/>
    <w:rsid w:val="00CC229C"/>
    <w:rsid w:val="00CC2309"/>
    <w:rsid w:val="00CD019E"/>
    <w:rsid w:val="00CD53E9"/>
    <w:rsid w:val="00CE0254"/>
    <w:rsid w:val="00CE6034"/>
    <w:rsid w:val="00CE782B"/>
    <w:rsid w:val="00CF0B5B"/>
    <w:rsid w:val="00D1484B"/>
    <w:rsid w:val="00D14D6B"/>
    <w:rsid w:val="00D15AE0"/>
    <w:rsid w:val="00D16F14"/>
    <w:rsid w:val="00D35A69"/>
    <w:rsid w:val="00D43D97"/>
    <w:rsid w:val="00D448A8"/>
    <w:rsid w:val="00D45677"/>
    <w:rsid w:val="00D46C8E"/>
    <w:rsid w:val="00D46D4F"/>
    <w:rsid w:val="00D511F0"/>
    <w:rsid w:val="00D51882"/>
    <w:rsid w:val="00D525AD"/>
    <w:rsid w:val="00D62732"/>
    <w:rsid w:val="00D7065A"/>
    <w:rsid w:val="00D734ED"/>
    <w:rsid w:val="00D81705"/>
    <w:rsid w:val="00D82A8A"/>
    <w:rsid w:val="00D87C94"/>
    <w:rsid w:val="00D92503"/>
    <w:rsid w:val="00DA156C"/>
    <w:rsid w:val="00DA1612"/>
    <w:rsid w:val="00DB32FB"/>
    <w:rsid w:val="00DC0170"/>
    <w:rsid w:val="00DC35F0"/>
    <w:rsid w:val="00DC6C31"/>
    <w:rsid w:val="00DD6BDE"/>
    <w:rsid w:val="00DD7440"/>
    <w:rsid w:val="00DD787F"/>
    <w:rsid w:val="00DD79A8"/>
    <w:rsid w:val="00E111F9"/>
    <w:rsid w:val="00E12FBF"/>
    <w:rsid w:val="00E14DBA"/>
    <w:rsid w:val="00E17EDA"/>
    <w:rsid w:val="00E21F87"/>
    <w:rsid w:val="00E46FFE"/>
    <w:rsid w:val="00E47875"/>
    <w:rsid w:val="00E5407E"/>
    <w:rsid w:val="00E549A6"/>
    <w:rsid w:val="00E6022C"/>
    <w:rsid w:val="00E60D56"/>
    <w:rsid w:val="00E74C80"/>
    <w:rsid w:val="00E75803"/>
    <w:rsid w:val="00E75EBB"/>
    <w:rsid w:val="00E76B46"/>
    <w:rsid w:val="00E823F9"/>
    <w:rsid w:val="00E85F86"/>
    <w:rsid w:val="00E864E2"/>
    <w:rsid w:val="00E92834"/>
    <w:rsid w:val="00E958F8"/>
    <w:rsid w:val="00EA178D"/>
    <w:rsid w:val="00EB355D"/>
    <w:rsid w:val="00EC3789"/>
    <w:rsid w:val="00ED4A68"/>
    <w:rsid w:val="00EE0149"/>
    <w:rsid w:val="00EE2B2F"/>
    <w:rsid w:val="00EE32DC"/>
    <w:rsid w:val="00EE4CBC"/>
    <w:rsid w:val="00EF4DDE"/>
    <w:rsid w:val="00F0128F"/>
    <w:rsid w:val="00F02C7C"/>
    <w:rsid w:val="00F05C49"/>
    <w:rsid w:val="00F10F7B"/>
    <w:rsid w:val="00F1120E"/>
    <w:rsid w:val="00F150C3"/>
    <w:rsid w:val="00F151F5"/>
    <w:rsid w:val="00F21900"/>
    <w:rsid w:val="00F22C62"/>
    <w:rsid w:val="00F26D57"/>
    <w:rsid w:val="00F373B6"/>
    <w:rsid w:val="00F439F7"/>
    <w:rsid w:val="00F43A51"/>
    <w:rsid w:val="00F54C27"/>
    <w:rsid w:val="00F61E99"/>
    <w:rsid w:val="00F66722"/>
    <w:rsid w:val="00F71782"/>
    <w:rsid w:val="00F72E1D"/>
    <w:rsid w:val="00F766AE"/>
    <w:rsid w:val="00F8118E"/>
    <w:rsid w:val="00F8246A"/>
    <w:rsid w:val="00F82963"/>
    <w:rsid w:val="00F82BE1"/>
    <w:rsid w:val="00F90468"/>
    <w:rsid w:val="00F94107"/>
    <w:rsid w:val="00FA2DEC"/>
    <w:rsid w:val="00FB65C5"/>
    <w:rsid w:val="00FC0B73"/>
    <w:rsid w:val="00FC0E91"/>
    <w:rsid w:val="00FC1456"/>
    <w:rsid w:val="00FD17CB"/>
    <w:rsid w:val="00FE1CA6"/>
    <w:rsid w:val="00FE1E09"/>
    <w:rsid w:val="00FE75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8C5"/>
  <w15:docId w15:val="{BD2D16DB-A6EE-446D-AA9A-99C58103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rPr>
  </w:style>
  <w:style w:type="character" w:customStyle="1" w:styleId="BodyTextChar">
    <w:name w:val="Body Text Char"/>
    <w:link w:val="BodyText"/>
    <w:uiPriority w:val="99"/>
    <w:locked/>
    <w:rsid w:val="00061D2A"/>
    <w:rPr>
      <w:rFonts w:ascii="Calibri" w:eastAsia="Times New Roman" w:hAnsi="Calibri" w:cs="Calibri"/>
      <w:sz w:val="22"/>
      <w:szCs w:val="22"/>
      <w:lang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rPr>
  </w:style>
  <w:style w:type="paragraph" w:styleId="BalloonText">
    <w:name w:val="Balloon Text"/>
    <w:basedOn w:val="Normal"/>
    <w:link w:val="BalloonTextChar"/>
    <w:uiPriority w:val="99"/>
    <w:semiHidden/>
    <w:unhideWhenUsed/>
    <w:rsid w:val="00342015"/>
    <w:rPr>
      <w:rFonts w:ascii="Tahoma" w:eastAsia="MS ??" w:hAnsi="Tahoma"/>
      <w:sz w:val="16"/>
      <w:szCs w:val="16"/>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2-Accent21">
    <w:name w:val="Medium List 2 - Accent 2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link w:val="SASRBulletChar"/>
    <w:uiPriority w:val="99"/>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link w:val="TAChar"/>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Grid1-Accent21">
    <w:name w:val="Medium Grid 1 - Accent 2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ColorfulShading-Accent11">
    <w:name w:val="Colorful Shading - Accent 11"/>
    <w:hidden/>
    <w:uiPriority w:val="99"/>
    <w:semiHidden/>
    <w:rsid w:val="00285B7F"/>
    <w:rPr>
      <w:rFonts w:eastAsia="Calibri"/>
      <w:sz w:val="22"/>
      <w:szCs w:val="22"/>
    </w:rPr>
  </w:style>
  <w:style w:type="paragraph" w:customStyle="1" w:styleId="MediumGrid22">
    <w:name w:val="Medium Grid 22"/>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Normal"/>
    <w:link w:val="SubStandardChar"/>
    <w:qFormat/>
    <w:rsid w:val="00BC5CC6"/>
    <w:pPr>
      <w:numPr>
        <w:numId w:val="14"/>
      </w:numPr>
      <w:spacing w:before="40" w:after="40"/>
    </w:pPr>
  </w:style>
  <w:style w:type="character" w:customStyle="1" w:styleId="SubStandardChar">
    <w:name w:val="*SubStandard Char"/>
    <w:link w:val="SubStandard"/>
    <w:rsid w:val="00BC5CC6"/>
    <w:rPr>
      <w:rFonts w:eastAsia="Calibri"/>
      <w:sz w:val="22"/>
      <w:szCs w:val="22"/>
    </w:rPr>
  </w:style>
  <w:style w:type="character" w:styleId="Emphasis">
    <w:name w:val="Emphasis"/>
    <w:uiPriority w:val="20"/>
    <w:qFormat/>
    <w:rsid w:val="00B96FB7"/>
    <w:rPr>
      <w:i/>
      <w:iCs/>
    </w:rPr>
  </w:style>
  <w:style w:type="paragraph" w:customStyle="1" w:styleId="Default">
    <w:name w:val="Default"/>
    <w:rsid w:val="00BB6A3B"/>
    <w:pPr>
      <w:autoSpaceDE w:val="0"/>
      <w:autoSpaceDN w:val="0"/>
      <w:adjustRightInd w:val="0"/>
    </w:pPr>
    <w:rPr>
      <w:rFonts w:eastAsia="Calibri" w:cs="Calibri"/>
      <w:color w:val="000000"/>
      <w:sz w:val="24"/>
      <w:szCs w:val="24"/>
    </w:rPr>
  </w:style>
  <w:style w:type="character" w:customStyle="1" w:styleId="SASRBulletChar">
    <w:name w:val="*SA/SR Bullet Char"/>
    <w:link w:val="SASRBullet"/>
    <w:uiPriority w:val="99"/>
    <w:rsid w:val="008A0E7A"/>
    <w:rPr>
      <w:rFonts w:eastAsia="Calibri"/>
      <w:sz w:val="22"/>
      <w:szCs w:val="22"/>
    </w:rPr>
  </w:style>
  <w:style w:type="paragraph" w:styleId="DocumentMap">
    <w:name w:val="Document Map"/>
    <w:basedOn w:val="Normal"/>
    <w:link w:val="DocumentMapChar"/>
    <w:uiPriority w:val="99"/>
    <w:semiHidden/>
    <w:unhideWhenUsed/>
    <w:rsid w:val="00B420EB"/>
    <w:rPr>
      <w:rFonts w:ascii="Lucida Grande" w:hAnsi="Lucida Grande"/>
      <w:sz w:val="24"/>
      <w:szCs w:val="24"/>
    </w:rPr>
  </w:style>
  <w:style w:type="character" w:customStyle="1" w:styleId="DocumentMapChar">
    <w:name w:val="Document Map Char"/>
    <w:link w:val="DocumentMap"/>
    <w:uiPriority w:val="99"/>
    <w:semiHidden/>
    <w:rsid w:val="00B420EB"/>
    <w:rPr>
      <w:rFonts w:ascii="Lucida Grande" w:eastAsia="Calibri" w:hAnsi="Lucida Grande"/>
      <w:sz w:val="24"/>
      <w:szCs w:val="24"/>
    </w:rPr>
  </w:style>
  <w:style w:type="paragraph" w:styleId="ListParagraph">
    <w:name w:val="List Paragraph"/>
    <w:basedOn w:val="Normal"/>
    <w:uiPriority w:val="34"/>
    <w:qFormat/>
    <w:rsid w:val="007556A4"/>
    <w:pPr>
      <w:ind w:left="720"/>
    </w:pPr>
  </w:style>
  <w:style w:type="paragraph" w:styleId="Revision">
    <w:name w:val="Revision"/>
    <w:hidden/>
    <w:uiPriority w:val="99"/>
    <w:semiHidden/>
    <w:rsid w:val="00710149"/>
    <w:rPr>
      <w:rFonts w:eastAsia="Calibri"/>
      <w:sz w:val="22"/>
      <w:szCs w:val="22"/>
    </w:rPr>
  </w:style>
  <w:style w:type="character" w:customStyle="1" w:styleId="TAChar">
    <w:name w:val="*TA* Char"/>
    <w:link w:val="TA"/>
    <w:rsid w:val="00386E8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595">
      <w:bodyDiv w:val="1"/>
      <w:marLeft w:val="0"/>
      <w:marRight w:val="0"/>
      <w:marTop w:val="0"/>
      <w:marBottom w:val="0"/>
      <w:divBdr>
        <w:top w:val="none" w:sz="0" w:space="0" w:color="auto"/>
        <w:left w:val="none" w:sz="0" w:space="0" w:color="auto"/>
        <w:bottom w:val="none" w:sz="0" w:space="0" w:color="auto"/>
        <w:right w:val="none" w:sz="0" w:space="0" w:color="auto"/>
      </w:divBdr>
    </w:div>
    <w:div w:id="115217160">
      <w:bodyDiv w:val="1"/>
      <w:marLeft w:val="0"/>
      <w:marRight w:val="0"/>
      <w:marTop w:val="0"/>
      <w:marBottom w:val="0"/>
      <w:divBdr>
        <w:top w:val="none" w:sz="0" w:space="0" w:color="auto"/>
        <w:left w:val="none" w:sz="0" w:space="0" w:color="auto"/>
        <w:bottom w:val="none" w:sz="0" w:space="0" w:color="auto"/>
        <w:right w:val="none" w:sz="0" w:space="0" w:color="auto"/>
      </w:divBdr>
    </w:div>
    <w:div w:id="193270304">
      <w:bodyDiv w:val="1"/>
      <w:marLeft w:val="0"/>
      <w:marRight w:val="0"/>
      <w:marTop w:val="0"/>
      <w:marBottom w:val="0"/>
      <w:divBdr>
        <w:top w:val="none" w:sz="0" w:space="0" w:color="auto"/>
        <w:left w:val="none" w:sz="0" w:space="0" w:color="auto"/>
        <w:bottom w:val="none" w:sz="0" w:space="0" w:color="auto"/>
        <w:right w:val="none" w:sz="0" w:space="0" w:color="auto"/>
      </w:divBdr>
    </w:div>
    <w:div w:id="238558249">
      <w:bodyDiv w:val="1"/>
      <w:marLeft w:val="0"/>
      <w:marRight w:val="0"/>
      <w:marTop w:val="0"/>
      <w:marBottom w:val="0"/>
      <w:divBdr>
        <w:top w:val="none" w:sz="0" w:space="0" w:color="auto"/>
        <w:left w:val="none" w:sz="0" w:space="0" w:color="auto"/>
        <w:bottom w:val="none" w:sz="0" w:space="0" w:color="auto"/>
        <w:right w:val="none" w:sz="0" w:space="0" w:color="auto"/>
      </w:divBdr>
      <w:divsChild>
        <w:div w:id="1827277619">
          <w:marLeft w:val="0"/>
          <w:marRight w:val="0"/>
          <w:marTop w:val="0"/>
          <w:marBottom w:val="0"/>
          <w:divBdr>
            <w:top w:val="none" w:sz="0" w:space="0" w:color="auto"/>
            <w:left w:val="none" w:sz="0" w:space="0" w:color="auto"/>
            <w:bottom w:val="none" w:sz="0" w:space="0" w:color="auto"/>
            <w:right w:val="none" w:sz="0" w:space="0" w:color="auto"/>
          </w:divBdr>
        </w:div>
        <w:div w:id="489247986">
          <w:marLeft w:val="0"/>
          <w:marRight w:val="0"/>
          <w:marTop w:val="0"/>
          <w:marBottom w:val="0"/>
          <w:divBdr>
            <w:top w:val="none" w:sz="0" w:space="0" w:color="auto"/>
            <w:left w:val="none" w:sz="0" w:space="0" w:color="auto"/>
            <w:bottom w:val="none" w:sz="0" w:space="0" w:color="auto"/>
            <w:right w:val="none" w:sz="0" w:space="0" w:color="auto"/>
          </w:divBdr>
        </w:div>
        <w:div w:id="1475563353">
          <w:marLeft w:val="0"/>
          <w:marRight w:val="0"/>
          <w:marTop w:val="0"/>
          <w:marBottom w:val="0"/>
          <w:divBdr>
            <w:top w:val="none" w:sz="0" w:space="0" w:color="auto"/>
            <w:left w:val="none" w:sz="0" w:space="0" w:color="auto"/>
            <w:bottom w:val="none" w:sz="0" w:space="0" w:color="auto"/>
            <w:right w:val="none" w:sz="0" w:space="0" w:color="auto"/>
          </w:divBdr>
        </w:div>
        <w:div w:id="806161766">
          <w:marLeft w:val="0"/>
          <w:marRight w:val="0"/>
          <w:marTop w:val="0"/>
          <w:marBottom w:val="0"/>
          <w:divBdr>
            <w:top w:val="none" w:sz="0" w:space="0" w:color="auto"/>
            <w:left w:val="none" w:sz="0" w:space="0" w:color="auto"/>
            <w:bottom w:val="none" w:sz="0" w:space="0" w:color="auto"/>
            <w:right w:val="none" w:sz="0" w:space="0" w:color="auto"/>
          </w:divBdr>
        </w:div>
      </w:divsChild>
    </w:div>
    <w:div w:id="316349499">
      <w:bodyDiv w:val="1"/>
      <w:marLeft w:val="0"/>
      <w:marRight w:val="0"/>
      <w:marTop w:val="0"/>
      <w:marBottom w:val="0"/>
      <w:divBdr>
        <w:top w:val="none" w:sz="0" w:space="0" w:color="auto"/>
        <w:left w:val="none" w:sz="0" w:space="0" w:color="auto"/>
        <w:bottom w:val="none" w:sz="0" w:space="0" w:color="auto"/>
        <w:right w:val="none" w:sz="0" w:space="0" w:color="auto"/>
      </w:divBdr>
    </w:div>
    <w:div w:id="320158444">
      <w:bodyDiv w:val="1"/>
      <w:marLeft w:val="0"/>
      <w:marRight w:val="0"/>
      <w:marTop w:val="0"/>
      <w:marBottom w:val="0"/>
      <w:divBdr>
        <w:top w:val="none" w:sz="0" w:space="0" w:color="auto"/>
        <w:left w:val="none" w:sz="0" w:space="0" w:color="auto"/>
        <w:bottom w:val="none" w:sz="0" w:space="0" w:color="auto"/>
        <w:right w:val="none" w:sz="0" w:space="0" w:color="auto"/>
      </w:divBdr>
    </w:div>
    <w:div w:id="387843723">
      <w:bodyDiv w:val="1"/>
      <w:marLeft w:val="0"/>
      <w:marRight w:val="0"/>
      <w:marTop w:val="0"/>
      <w:marBottom w:val="0"/>
      <w:divBdr>
        <w:top w:val="none" w:sz="0" w:space="0" w:color="auto"/>
        <w:left w:val="none" w:sz="0" w:space="0" w:color="auto"/>
        <w:bottom w:val="none" w:sz="0" w:space="0" w:color="auto"/>
        <w:right w:val="none" w:sz="0" w:space="0" w:color="auto"/>
      </w:divBdr>
      <w:divsChild>
        <w:div w:id="1583249761">
          <w:marLeft w:val="0"/>
          <w:marRight w:val="0"/>
          <w:marTop w:val="0"/>
          <w:marBottom w:val="0"/>
          <w:divBdr>
            <w:top w:val="none" w:sz="0" w:space="0" w:color="auto"/>
            <w:left w:val="none" w:sz="0" w:space="0" w:color="auto"/>
            <w:bottom w:val="none" w:sz="0" w:space="0" w:color="auto"/>
            <w:right w:val="none" w:sz="0" w:space="0" w:color="auto"/>
          </w:divBdr>
        </w:div>
        <w:div w:id="519316939">
          <w:marLeft w:val="0"/>
          <w:marRight w:val="0"/>
          <w:marTop w:val="0"/>
          <w:marBottom w:val="0"/>
          <w:divBdr>
            <w:top w:val="none" w:sz="0" w:space="0" w:color="auto"/>
            <w:left w:val="none" w:sz="0" w:space="0" w:color="auto"/>
            <w:bottom w:val="none" w:sz="0" w:space="0" w:color="auto"/>
            <w:right w:val="none" w:sz="0" w:space="0" w:color="auto"/>
          </w:divBdr>
        </w:div>
        <w:div w:id="1858960185">
          <w:marLeft w:val="0"/>
          <w:marRight w:val="0"/>
          <w:marTop w:val="0"/>
          <w:marBottom w:val="0"/>
          <w:divBdr>
            <w:top w:val="none" w:sz="0" w:space="0" w:color="auto"/>
            <w:left w:val="none" w:sz="0" w:space="0" w:color="auto"/>
            <w:bottom w:val="none" w:sz="0" w:space="0" w:color="auto"/>
            <w:right w:val="none" w:sz="0" w:space="0" w:color="auto"/>
          </w:divBdr>
        </w:div>
        <w:div w:id="1562908714">
          <w:marLeft w:val="0"/>
          <w:marRight w:val="0"/>
          <w:marTop w:val="0"/>
          <w:marBottom w:val="0"/>
          <w:divBdr>
            <w:top w:val="none" w:sz="0" w:space="0" w:color="auto"/>
            <w:left w:val="none" w:sz="0" w:space="0" w:color="auto"/>
            <w:bottom w:val="none" w:sz="0" w:space="0" w:color="auto"/>
            <w:right w:val="none" w:sz="0" w:space="0" w:color="auto"/>
          </w:divBdr>
        </w:div>
      </w:divsChild>
    </w:div>
    <w:div w:id="458690736">
      <w:bodyDiv w:val="1"/>
      <w:marLeft w:val="0"/>
      <w:marRight w:val="0"/>
      <w:marTop w:val="0"/>
      <w:marBottom w:val="0"/>
      <w:divBdr>
        <w:top w:val="none" w:sz="0" w:space="0" w:color="auto"/>
        <w:left w:val="none" w:sz="0" w:space="0" w:color="auto"/>
        <w:bottom w:val="none" w:sz="0" w:space="0" w:color="auto"/>
        <w:right w:val="none" w:sz="0" w:space="0" w:color="auto"/>
      </w:divBdr>
    </w:div>
    <w:div w:id="480970708">
      <w:bodyDiv w:val="1"/>
      <w:marLeft w:val="0"/>
      <w:marRight w:val="0"/>
      <w:marTop w:val="0"/>
      <w:marBottom w:val="0"/>
      <w:divBdr>
        <w:top w:val="none" w:sz="0" w:space="0" w:color="auto"/>
        <w:left w:val="none" w:sz="0" w:space="0" w:color="auto"/>
        <w:bottom w:val="none" w:sz="0" w:space="0" w:color="auto"/>
        <w:right w:val="none" w:sz="0" w:space="0" w:color="auto"/>
      </w:divBdr>
    </w:div>
    <w:div w:id="614823693">
      <w:bodyDiv w:val="1"/>
      <w:marLeft w:val="0"/>
      <w:marRight w:val="0"/>
      <w:marTop w:val="0"/>
      <w:marBottom w:val="0"/>
      <w:divBdr>
        <w:top w:val="none" w:sz="0" w:space="0" w:color="auto"/>
        <w:left w:val="none" w:sz="0" w:space="0" w:color="auto"/>
        <w:bottom w:val="none" w:sz="0" w:space="0" w:color="auto"/>
        <w:right w:val="none" w:sz="0" w:space="0" w:color="auto"/>
      </w:divBdr>
    </w:div>
    <w:div w:id="654258482">
      <w:bodyDiv w:val="1"/>
      <w:marLeft w:val="0"/>
      <w:marRight w:val="0"/>
      <w:marTop w:val="0"/>
      <w:marBottom w:val="0"/>
      <w:divBdr>
        <w:top w:val="none" w:sz="0" w:space="0" w:color="auto"/>
        <w:left w:val="none" w:sz="0" w:space="0" w:color="auto"/>
        <w:bottom w:val="none" w:sz="0" w:space="0" w:color="auto"/>
        <w:right w:val="none" w:sz="0" w:space="0" w:color="auto"/>
      </w:divBdr>
    </w:div>
    <w:div w:id="662665977">
      <w:bodyDiv w:val="1"/>
      <w:marLeft w:val="0"/>
      <w:marRight w:val="0"/>
      <w:marTop w:val="0"/>
      <w:marBottom w:val="0"/>
      <w:divBdr>
        <w:top w:val="none" w:sz="0" w:space="0" w:color="auto"/>
        <w:left w:val="none" w:sz="0" w:space="0" w:color="auto"/>
        <w:bottom w:val="none" w:sz="0" w:space="0" w:color="auto"/>
        <w:right w:val="none" w:sz="0" w:space="0" w:color="auto"/>
      </w:divBdr>
      <w:divsChild>
        <w:div w:id="923610620">
          <w:marLeft w:val="0"/>
          <w:marRight w:val="0"/>
          <w:marTop w:val="0"/>
          <w:marBottom w:val="0"/>
          <w:divBdr>
            <w:top w:val="none" w:sz="0" w:space="0" w:color="auto"/>
            <w:left w:val="none" w:sz="0" w:space="0" w:color="auto"/>
            <w:bottom w:val="none" w:sz="0" w:space="0" w:color="auto"/>
            <w:right w:val="none" w:sz="0" w:space="0" w:color="auto"/>
          </w:divBdr>
        </w:div>
        <w:div w:id="963002972">
          <w:marLeft w:val="0"/>
          <w:marRight w:val="0"/>
          <w:marTop w:val="0"/>
          <w:marBottom w:val="0"/>
          <w:divBdr>
            <w:top w:val="none" w:sz="0" w:space="0" w:color="auto"/>
            <w:left w:val="none" w:sz="0" w:space="0" w:color="auto"/>
            <w:bottom w:val="none" w:sz="0" w:space="0" w:color="auto"/>
            <w:right w:val="none" w:sz="0" w:space="0" w:color="auto"/>
          </w:divBdr>
        </w:div>
        <w:div w:id="1310135017">
          <w:marLeft w:val="0"/>
          <w:marRight w:val="0"/>
          <w:marTop w:val="0"/>
          <w:marBottom w:val="0"/>
          <w:divBdr>
            <w:top w:val="none" w:sz="0" w:space="0" w:color="auto"/>
            <w:left w:val="none" w:sz="0" w:space="0" w:color="auto"/>
            <w:bottom w:val="none" w:sz="0" w:space="0" w:color="auto"/>
            <w:right w:val="none" w:sz="0" w:space="0" w:color="auto"/>
          </w:divBdr>
        </w:div>
        <w:div w:id="2121143316">
          <w:marLeft w:val="0"/>
          <w:marRight w:val="0"/>
          <w:marTop w:val="0"/>
          <w:marBottom w:val="0"/>
          <w:divBdr>
            <w:top w:val="none" w:sz="0" w:space="0" w:color="auto"/>
            <w:left w:val="none" w:sz="0" w:space="0" w:color="auto"/>
            <w:bottom w:val="none" w:sz="0" w:space="0" w:color="auto"/>
            <w:right w:val="none" w:sz="0" w:space="0" w:color="auto"/>
          </w:divBdr>
        </w:div>
        <w:div w:id="1604679564">
          <w:marLeft w:val="0"/>
          <w:marRight w:val="0"/>
          <w:marTop w:val="0"/>
          <w:marBottom w:val="0"/>
          <w:divBdr>
            <w:top w:val="none" w:sz="0" w:space="0" w:color="auto"/>
            <w:left w:val="none" w:sz="0" w:space="0" w:color="auto"/>
            <w:bottom w:val="none" w:sz="0" w:space="0" w:color="auto"/>
            <w:right w:val="none" w:sz="0" w:space="0" w:color="auto"/>
          </w:divBdr>
        </w:div>
        <w:div w:id="1907453572">
          <w:marLeft w:val="0"/>
          <w:marRight w:val="0"/>
          <w:marTop w:val="0"/>
          <w:marBottom w:val="0"/>
          <w:divBdr>
            <w:top w:val="none" w:sz="0" w:space="0" w:color="auto"/>
            <w:left w:val="none" w:sz="0" w:space="0" w:color="auto"/>
            <w:bottom w:val="none" w:sz="0" w:space="0" w:color="auto"/>
            <w:right w:val="none" w:sz="0" w:space="0" w:color="auto"/>
          </w:divBdr>
        </w:div>
        <w:div w:id="1765805638">
          <w:marLeft w:val="0"/>
          <w:marRight w:val="0"/>
          <w:marTop w:val="0"/>
          <w:marBottom w:val="0"/>
          <w:divBdr>
            <w:top w:val="none" w:sz="0" w:space="0" w:color="auto"/>
            <w:left w:val="none" w:sz="0" w:space="0" w:color="auto"/>
            <w:bottom w:val="none" w:sz="0" w:space="0" w:color="auto"/>
            <w:right w:val="none" w:sz="0" w:space="0" w:color="auto"/>
          </w:divBdr>
        </w:div>
        <w:div w:id="763956730">
          <w:marLeft w:val="0"/>
          <w:marRight w:val="0"/>
          <w:marTop w:val="0"/>
          <w:marBottom w:val="0"/>
          <w:divBdr>
            <w:top w:val="none" w:sz="0" w:space="0" w:color="auto"/>
            <w:left w:val="none" w:sz="0" w:space="0" w:color="auto"/>
            <w:bottom w:val="none" w:sz="0" w:space="0" w:color="auto"/>
            <w:right w:val="none" w:sz="0" w:space="0" w:color="auto"/>
          </w:divBdr>
        </w:div>
        <w:div w:id="1167208595">
          <w:marLeft w:val="0"/>
          <w:marRight w:val="0"/>
          <w:marTop w:val="0"/>
          <w:marBottom w:val="0"/>
          <w:divBdr>
            <w:top w:val="none" w:sz="0" w:space="0" w:color="auto"/>
            <w:left w:val="none" w:sz="0" w:space="0" w:color="auto"/>
            <w:bottom w:val="none" w:sz="0" w:space="0" w:color="auto"/>
            <w:right w:val="none" w:sz="0" w:space="0" w:color="auto"/>
          </w:divBdr>
        </w:div>
        <w:div w:id="513611378">
          <w:marLeft w:val="0"/>
          <w:marRight w:val="0"/>
          <w:marTop w:val="0"/>
          <w:marBottom w:val="0"/>
          <w:divBdr>
            <w:top w:val="none" w:sz="0" w:space="0" w:color="auto"/>
            <w:left w:val="none" w:sz="0" w:space="0" w:color="auto"/>
            <w:bottom w:val="none" w:sz="0" w:space="0" w:color="auto"/>
            <w:right w:val="none" w:sz="0" w:space="0" w:color="auto"/>
          </w:divBdr>
        </w:div>
      </w:divsChild>
    </w:div>
    <w:div w:id="773789160">
      <w:bodyDiv w:val="1"/>
      <w:marLeft w:val="0"/>
      <w:marRight w:val="0"/>
      <w:marTop w:val="0"/>
      <w:marBottom w:val="0"/>
      <w:divBdr>
        <w:top w:val="none" w:sz="0" w:space="0" w:color="auto"/>
        <w:left w:val="none" w:sz="0" w:space="0" w:color="auto"/>
        <w:bottom w:val="none" w:sz="0" w:space="0" w:color="auto"/>
        <w:right w:val="none" w:sz="0" w:space="0" w:color="auto"/>
      </w:divBdr>
    </w:div>
    <w:div w:id="785582523">
      <w:bodyDiv w:val="1"/>
      <w:marLeft w:val="0"/>
      <w:marRight w:val="0"/>
      <w:marTop w:val="0"/>
      <w:marBottom w:val="0"/>
      <w:divBdr>
        <w:top w:val="none" w:sz="0" w:space="0" w:color="auto"/>
        <w:left w:val="none" w:sz="0" w:space="0" w:color="auto"/>
        <w:bottom w:val="none" w:sz="0" w:space="0" w:color="auto"/>
        <w:right w:val="none" w:sz="0" w:space="0" w:color="auto"/>
      </w:divBdr>
    </w:div>
    <w:div w:id="881745688">
      <w:bodyDiv w:val="1"/>
      <w:marLeft w:val="0"/>
      <w:marRight w:val="0"/>
      <w:marTop w:val="0"/>
      <w:marBottom w:val="0"/>
      <w:divBdr>
        <w:top w:val="none" w:sz="0" w:space="0" w:color="auto"/>
        <w:left w:val="none" w:sz="0" w:space="0" w:color="auto"/>
        <w:bottom w:val="none" w:sz="0" w:space="0" w:color="auto"/>
        <w:right w:val="none" w:sz="0" w:space="0" w:color="auto"/>
      </w:divBdr>
    </w:div>
    <w:div w:id="914783466">
      <w:bodyDiv w:val="1"/>
      <w:marLeft w:val="0"/>
      <w:marRight w:val="0"/>
      <w:marTop w:val="0"/>
      <w:marBottom w:val="0"/>
      <w:divBdr>
        <w:top w:val="none" w:sz="0" w:space="0" w:color="auto"/>
        <w:left w:val="none" w:sz="0" w:space="0" w:color="auto"/>
        <w:bottom w:val="none" w:sz="0" w:space="0" w:color="auto"/>
        <w:right w:val="none" w:sz="0" w:space="0" w:color="auto"/>
      </w:divBdr>
    </w:div>
    <w:div w:id="1070269173">
      <w:bodyDiv w:val="1"/>
      <w:marLeft w:val="0"/>
      <w:marRight w:val="0"/>
      <w:marTop w:val="0"/>
      <w:marBottom w:val="0"/>
      <w:divBdr>
        <w:top w:val="none" w:sz="0" w:space="0" w:color="auto"/>
        <w:left w:val="none" w:sz="0" w:space="0" w:color="auto"/>
        <w:bottom w:val="none" w:sz="0" w:space="0" w:color="auto"/>
        <w:right w:val="none" w:sz="0" w:space="0" w:color="auto"/>
      </w:divBdr>
    </w:div>
    <w:div w:id="1120606419">
      <w:bodyDiv w:val="1"/>
      <w:marLeft w:val="0"/>
      <w:marRight w:val="0"/>
      <w:marTop w:val="0"/>
      <w:marBottom w:val="0"/>
      <w:divBdr>
        <w:top w:val="none" w:sz="0" w:space="0" w:color="auto"/>
        <w:left w:val="none" w:sz="0" w:space="0" w:color="auto"/>
        <w:bottom w:val="none" w:sz="0" w:space="0" w:color="auto"/>
        <w:right w:val="none" w:sz="0" w:space="0" w:color="auto"/>
      </w:divBdr>
    </w:div>
    <w:div w:id="1237937974">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56155387">
      <w:bodyDiv w:val="1"/>
      <w:marLeft w:val="0"/>
      <w:marRight w:val="0"/>
      <w:marTop w:val="0"/>
      <w:marBottom w:val="0"/>
      <w:divBdr>
        <w:top w:val="none" w:sz="0" w:space="0" w:color="auto"/>
        <w:left w:val="none" w:sz="0" w:space="0" w:color="auto"/>
        <w:bottom w:val="none" w:sz="0" w:space="0" w:color="auto"/>
        <w:right w:val="none" w:sz="0" w:space="0" w:color="auto"/>
      </w:divBdr>
      <w:divsChild>
        <w:div w:id="1373385409">
          <w:marLeft w:val="0"/>
          <w:marRight w:val="0"/>
          <w:marTop w:val="0"/>
          <w:marBottom w:val="0"/>
          <w:divBdr>
            <w:top w:val="none" w:sz="0" w:space="0" w:color="auto"/>
            <w:left w:val="none" w:sz="0" w:space="0" w:color="auto"/>
            <w:bottom w:val="none" w:sz="0" w:space="0" w:color="auto"/>
            <w:right w:val="none" w:sz="0" w:space="0" w:color="auto"/>
          </w:divBdr>
        </w:div>
        <w:div w:id="942346035">
          <w:marLeft w:val="0"/>
          <w:marRight w:val="0"/>
          <w:marTop w:val="0"/>
          <w:marBottom w:val="0"/>
          <w:divBdr>
            <w:top w:val="none" w:sz="0" w:space="0" w:color="auto"/>
            <w:left w:val="none" w:sz="0" w:space="0" w:color="auto"/>
            <w:bottom w:val="none" w:sz="0" w:space="0" w:color="auto"/>
            <w:right w:val="none" w:sz="0" w:space="0" w:color="auto"/>
          </w:divBdr>
        </w:div>
        <w:div w:id="439909585">
          <w:marLeft w:val="0"/>
          <w:marRight w:val="0"/>
          <w:marTop w:val="0"/>
          <w:marBottom w:val="0"/>
          <w:divBdr>
            <w:top w:val="none" w:sz="0" w:space="0" w:color="auto"/>
            <w:left w:val="none" w:sz="0" w:space="0" w:color="auto"/>
            <w:bottom w:val="none" w:sz="0" w:space="0" w:color="auto"/>
            <w:right w:val="none" w:sz="0" w:space="0" w:color="auto"/>
          </w:divBdr>
        </w:div>
        <w:div w:id="223755400">
          <w:marLeft w:val="0"/>
          <w:marRight w:val="0"/>
          <w:marTop w:val="0"/>
          <w:marBottom w:val="0"/>
          <w:divBdr>
            <w:top w:val="none" w:sz="0" w:space="0" w:color="auto"/>
            <w:left w:val="none" w:sz="0" w:space="0" w:color="auto"/>
            <w:bottom w:val="none" w:sz="0" w:space="0" w:color="auto"/>
            <w:right w:val="none" w:sz="0" w:space="0" w:color="auto"/>
          </w:divBdr>
        </w:div>
        <w:div w:id="1450203229">
          <w:marLeft w:val="0"/>
          <w:marRight w:val="0"/>
          <w:marTop w:val="0"/>
          <w:marBottom w:val="0"/>
          <w:divBdr>
            <w:top w:val="none" w:sz="0" w:space="0" w:color="auto"/>
            <w:left w:val="none" w:sz="0" w:space="0" w:color="auto"/>
            <w:bottom w:val="none" w:sz="0" w:space="0" w:color="auto"/>
            <w:right w:val="none" w:sz="0" w:space="0" w:color="auto"/>
          </w:divBdr>
        </w:div>
        <w:div w:id="332681677">
          <w:marLeft w:val="0"/>
          <w:marRight w:val="0"/>
          <w:marTop w:val="0"/>
          <w:marBottom w:val="0"/>
          <w:divBdr>
            <w:top w:val="none" w:sz="0" w:space="0" w:color="auto"/>
            <w:left w:val="none" w:sz="0" w:space="0" w:color="auto"/>
            <w:bottom w:val="none" w:sz="0" w:space="0" w:color="auto"/>
            <w:right w:val="none" w:sz="0" w:space="0" w:color="auto"/>
          </w:divBdr>
        </w:div>
      </w:divsChild>
    </w:div>
    <w:div w:id="1356494355">
      <w:bodyDiv w:val="1"/>
      <w:marLeft w:val="0"/>
      <w:marRight w:val="0"/>
      <w:marTop w:val="0"/>
      <w:marBottom w:val="0"/>
      <w:divBdr>
        <w:top w:val="none" w:sz="0" w:space="0" w:color="auto"/>
        <w:left w:val="none" w:sz="0" w:space="0" w:color="auto"/>
        <w:bottom w:val="none" w:sz="0" w:space="0" w:color="auto"/>
        <w:right w:val="none" w:sz="0" w:space="0" w:color="auto"/>
      </w:divBdr>
    </w:div>
    <w:div w:id="1364944988">
      <w:bodyDiv w:val="1"/>
      <w:marLeft w:val="0"/>
      <w:marRight w:val="0"/>
      <w:marTop w:val="0"/>
      <w:marBottom w:val="0"/>
      <w:divBdr>
        <w:top w:val="none" w:sz="0" w:space="0" w:color="auto"/>
        <w:left w:val="none" w:sz="0" w:space="0" w:color="auto"/>
        <w:bottom w:val="none" w:sz="0" w:space="0" w:color="auto"/>
        <w:right w:val="none" w:sz="0" w:space="0" w:color="auto"/>
      </w:divBdr>
    </w:div>
    <w:div w:id="1543176434">
      <w:bodyDiv w:val="1"/>
      <w:marLeft w:val="0"/>
      <w:marRight w:val="0"/>
      <w:marTop w:val="0"/>
      <w:marBottom w:val="0"/>
      <w:divBdr>
        <w:top w:val="none" w:sz="0" w:space="0" w:color="auto"/>
        <w:left w:val="none" w:sz="0" w:space="0" w:color="auto"/>
        <w:bottom w:val="none" w:sz="0" w:space="0" w:color="auto"/>
        <w:right w:val="none" w:sz="0" w:space="0" w:color="auto"/>
      </w:divBdr>
    </w:div>
    <w:div w:id="1552694289">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621833810">
      <w:bodyDiv w:val="1"/>
      <w:marLeft w:val="0"/>
      <w:marRight w:val="0"/>
      <w:marTop w:val="0"/>
      <w:marBottom w:val="0"/>
      <w:divBdr>
        <w:top w:val="none" w:sz="0" w:space="0" w:color="auto"/>
        <w:left w:val="none" w:sz="0" w:space="0" w:color="auto"/>
        <w:bottom w:val="none" w:sz="0" w:space="0" w:color="auto"/>
        <w:right w:val="none" w:sz="0" w:space="0" w:color="auto"/>
      </w:divBdr>
    </w:div>
    <w:div w:id="1673724912">
      <w:bodyDiv w:val="1"/>
      <w:marLeft w:val="0"/>
      <w:marRight w:val="0"/>
      <w:marTop w:val="0"/>
      <w:marBottom w:val="0"/>
      <w:divBdr>
        <w:top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none" w:sz="0" w:space="0" w:color="auto"/>
        <w:left w:val="none" w:sz="0" w:space="0" w:color="auto"/>
        <w:bottom w:val="none" w:sz="0" w:space="0" w:color="auto"/>
        <w:right w:val="none" w:sz="0" w:space="0" w:color="auto"/>
      </w:divBdr>
    </w:div>
    <w:div w:id="1697537805">
      <w:bodyDiv w:val="1"/>
      <w:marLeft w:val="0"/>
      <w:marRight w:val="0"/>
      <w:marTop w:val="0"/>
      <w:marBottom w:val="0"/>
      <w:divBdr>
        <w:top w:val="none" w:sz="0" w:space="0" w:color="auto"/>
        <w:left w:val="none" w:sz="0" w:space="0" w:color="auto"/>
        <w:bottom w:val="none" w:sz="0" w:space="0" w:color="auto"/>
        <w:right w:val="none" w:sz="0" w:space="0" w:color="auto"/>
      </w:divBdr>
      <w:divsChild>
        <w:div w:id="2079671600">
          <w:marLeft w:val="450"/>
          <w:marRight w:val="0"/>
          <w:marTop w:val="0"/>
          <w:marBottom w:val="240"/>
          <w:divBdr>
            <w:top w:val="none" w:sz="0" w:space="0" w:color="auto"/>
            <w:left w:val="none" w:sz="0" w:space="0" w:color="auto"/>
            <w:bottom w:val="none" w:sz="0" w:space="0" w:color="auto"/>
            <w:right w:val="none" w:sz="0" w:space="0" w:color="auto"/>
          </w:divBdr>
        </w:div>
      </w:divsChild>
    </w:div>
    <w:div w:id="1790389459">
      <w:bodyDiv w:val="1"/>
      <w:marLeft w:val="0"/>
      <w:marRight w:val="0"/>
      <w:marTop w:val="0"/>
      <w:marBottom w:val="0"/>
      <w:divBdr>
        <w:top w:val="none" w:sz="0" w:space="0" w:color="auto"/>
        <w:left w:val="none" w:sz="0" w:space="0" w:color="auto"/>
        <w:bottom w:val="none" w:sz="0" w:space="0" w:color="auto"/>
        <w:right w:val="none" w:sz="0" w:space="0" w:color="auto"/>
      </w:divBdr>
      <w:divsChild>
        <w:div w:id="1574779010">
          <w:marLeft w:val="0"/>
          <w:marRight w:val="0"/>
          <w:marTop w:val="0"/>
          <w:marBottom w:val="240"/>
          <w:divBdr>
            <w:top w:val="none" w:sz="0" w:space="0" w:color="auto"/>
            <w:left w:val="none" w:sz="0" w:space="0" w:color="auto"/>
            <w:bottom w:val="none" w:sz="0" w:space="0" w:color="auto"/>
            <w:right w:val="none" w:sz="0" w:space="0" w:color="auto"/>
          </w:divBdr>
        </w:div>
      </w:divsChild>
    </w:div>
    <w:div w:id="1918592231">
      <w:bodyDiv w:val="1"/>
      <w:marLeft w:val="0"/>
      <w:marRight w:val="0"/>
      <w:marTop w:val="0"/>
      <w:marBottom w:val="0"/>
      <w:divBdr>
        <w:top w:val="none" w:sz="0" w:space="0" w:color="auto"/>
        <w:left w:val="none" w:sz="0" w:space="0" w:color="auto"/>
        <w:bottom w:val="none" w:sz="0" w:space="0" w:color="auto"/>
        <w:right w:val="none" w:sz="0" w:space="0" w:color="auto"/>
      </w:divBdr>
      <w:divsChild>
        <w:div w:id="1108965350">
          <w:marLeft w:val="0"/>
          <w:marRight w:val="0"/>
          <w:marTop w:val="0"/>
          <w:marBottom w:val="0"/>
          <w:divBdr>
            <w:top w:val="none" w:sz="0" w:space="0" w:color="auto"/>
            <w:left w:val="none" w:sz="0" w:space="0" w:color="auto"/>
            <w:bottom w:val="none" w:sz="0" w:space="0" w:color="auto"/>
            <w:right w:val="none" w:sz="0" w:space="0" w:color="auto"/>
          </w:divBdr>
        </w:div>
        <w:div w:id="1434007485">
          <w:marLeft w:val="0"/>
          <w:marRight w:val="0"/>
          <w:marTop w:val="0"/>
          <w:marBottom w:val="0"/>
          <w:divBdr>
            <w:top w:val="none" w:sz="0" w:space="0" w:color="auto"/>
            <w:left w:val="none" w:sz="0" w:space="0" w:color="auto"/>
            <w:bottom w:val="none" w:sz="0" w:space="0" w:color="auto"/>
            <w:right w:val="none" w:sz="0" w:space="0" w:color="auto"/>
          </w:divBdr>
        </w:div>
        <w:div w:id="1789472642">
          <w:marLeft w:val="0"/>
          <w:marRight w:val="0"/>
          <w:marTop w:val="0"/>
          <w:marBottom w:val="0"/>
          <w:divBdr>
            <w:top w:val="none" w:sz="0" w:space="0" w:color="auto"/>
            <w:left w:val="none" w:sz="0" w:space="0" w:color="auto"/>
            <w:bottom w:val="none" w:sz="0" w:space="0" w:color="auto"/>
            <w:right w:val="none" w:sz="0" w:space="0" w:color="auto"/>
          </w:divBdr>
        </w:div>
        <w:div w:id="292903129">
          <w:marLeft w:val="0"/>
          <w:marRight w:val="0"/>
          <w:marTop w:val="0"/>
          <w:marBottom w:val="0"/>
          <w:divBdr>
            <w:top w:val="none" w:sz="0" w:space="0" w:color="auto"/>
            <w:left w:val="none" w:sz="0" w:space="0" w:color="auto"/>
            <w:bottom w:val="none" w:sz="0" w:space="0" w:color="auto"/>
            <w:right w:val="none" w:sz="0" w:space="0" w:color="auto"/>
          </w:divBdr>
        </w:div>
        <w:div w:id="390471107">
          <w:marLeft w:val="0"/>
          <w:marRight w:val="0"/>
          <w:marTop w:val="0"/>
          <w:marBottom w:val="0"/>
          <w:divBdr>
            <w:top w:val="none" w:sz="0" w:space="0" w:color="auto"/>
            <w:left w:val="none" w:sz="0" w:space="0" w:color="auto"/>
            <w:bottom w:val="none" w:sz="0" w:space="0" w:color="auto"/>
            <w:right w:val="none" w:sz="0" w:space="0" w:color="auto"/>
          </w:divBdr>
        </w:div>
        <w:div w:id="1134253485">
          <w:marLeft w:val="0"/>
          <w:marRight w:val="0"/>
          <w:marTop w:val="0"/>
          <w:marBottom w:val="0"/>
          <w:divBdr>
            <w:top w:val="none" w:sz="0" w:space="0" w:color="auto"/>
            <w:left w:val="none" w:sz="0" w:space="0" w:color="auto"/>
            <w:bottom w:val="none" w:sz="0" w:space="0" w:color="auto"/>
            <w:right w:val="none" w:sz="0" w:space="0" w:color="auto"/>
          </w:divBdr>
        </w:div>
      </w:divsChild>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
    <w:div w:id="1964580329">
      <w:bodyDiv w:val="1"/>
      <w:marLeft w:val="0"/>
      <w:marRight w:val="0"/>
      <w:marTop w:val="0"/>
      <w:marBottom w:val="0"/>
      <w:divBdr>
        <w:top w:val="none" w:sz="0" w:space="0" w:color="auto"/>
        <w:left w:val="none" w:sz="0" w:space="0" w:color="auto"/>
        <w:bottom w:val="none" w:sz="0" w:space="0" w:color="auto"/>
        <w:right w:val="none" w:sz="0" w:space="0" w:color="auto"/>
      </w:divBdr>
    </w:div>
    <w:div w:id="2043162217">
      <w:bodyDiv w:val="1"/>
      <w:marLeft w:val="0"/>
      <w:marRight w:val="0"/>
      <w:marTop w:val="0"/>
      <w:marBottom w:val="0"/>
      <w:divBdr>
        <w:top w:val="none" w:sz="0" w:space="0" w:color="auto"/>
        <w:left w:val="none" w:sz="0" w:space="0" w:color="auto"/>
        <w:bottom w:val="none" w:sz="0" w:space="0" w:color="auto"/>
        <w:right w:val="none" w:sz="0" w:space="0" w:color="auto"/>
      </w:divBdr>
    </w:div>
    <w:div w:id="2082824233">
      <w:bodyDiv w:val="1"/>
      <w:marLeft w:val="0"/>
      <w:marRight w:val="0"/>
      <w:marTop w:val="0"/>
      <w:marBottom w:val="0"/>
      <w:divBdr>
        <w:top w:val="none" w:sz="0" w:space="0" w:color="auto"/>
        <w:left w:val="none" w:sz="0" w:space="0" w:color="auto"/>
        <w:bottom w:val="none" w:sz="0" w:space="0" w:color="auto"/>
        <w:right w:val="none" w:sz="0" w:space="0" w:color="auto"/>
      </w:divBdr>
      <w:divsChild>
        <w:div w:id="262803688">
          <w:marLeft w:val="0"/>
          <w:marRight w:val="0"/>
          <w:marTop w:val="0"/>
          <w:marBottom w:val="0"/>
          <w:divBdr>
            <w:top w:val="none" w:sz="0" w:space="0" w:color="auto"/>
            <w:left w:val="none" w:sz="0" w:space="0" w:color="auto"/>
            <w:bottom w:val="none" w:sz="0" w:space="0" w:color="auto"/>
            <w:right w:val="none" w:sz="0" w:space="0" w:color="auto"/>
          </w:divBdr>
        </w:div>
        <w:div w:id="693699337">
          <w:marLeft w:val="0"/>
          <w:marRight w:val="0"/>
          <w:marTop w:val="0"/>
          <w:marBottom w:val="0"/>
          <w:divBdr>
            <w:top w:val="none" w:sz="0" w:space="0" w:color="auto"/>
            <w:left w:val="none" w:sz="0" w:space="0" w:color="auto"/>
            <w:bottom w:val="none" w:sz="0" w:space="0" w:color="auto"/>
            <w:right w:val="none" w:sz="0" w:space="0" w:color="auto"/>
          </w:divBdr>
        </w:div>
        <w:div w:id="1744523836">
          <w:marLeft w:val="0"/>
          <w:marRight w:val="0"/>
          <w:marTop w:val="0"/>
          <w:marBottom w:val="0"/>
          <w:divBdr>
            <w:top w:val="none" w:sz="0" w:space="0" w:color="auto"/>
            <w:left w:val="none" w:sz="0" w:space="0" w:color="auto"/>
            <w:bottom w:val="none" w:sz="0" w:space="0" w:color="auto"/>
            <w:right w:val="none" w:sz="0" w:space="0" w:color="auto"/>
          </w:divBdr>
        </w:div>
        <w:div w:id="2030251889">
          <w:marLeft w:val="0"/>
          <w:marRight w:val="0"/>
          <w:marTop w:val="0"/>
          <w:marBottom w:val="0"/>
          <w:divBdr>
            <w:top w:val="none" w:sz="0" w:space="0" w:color="auto"/>
            <w:left w:val="none" w:sz="0" w:space="0" w:color="auto"/>
            <w:bottom w:val="none" w:sz="0" w:space="0" w:color="auto"/>
            <w:right w:val="none" w:sz="0" w:space="0" w:color="auto"/>
          </w:divBdr>
        </w:div>
        <w:div w:id="293416583">
          <w:marLeft w:val="0"/>
          <w:marRight w:val="0"/>
          <w:marTop w:val="0"/>
          <w:marBottom w:val="0"/>
          <w:divBdr>
            <w:top w:val="none" w:sz="0" w:space="0" w:color="auto"/>
            <w:left w:val="none" w:sz="0" w:space="0" w:color="auto"/>
            <w:bottom w:val="none" w:sz="0" w:space="0" w:color="auto"/>
            <w:right w:val="none" w:sz="0" w:space="0" w:color="auto"/>
          </w:divBdr>
        </w:div>
        <w:div w:id="241069820">
          <w:marLeft w:val="0"/>
          <w:marRight w:val="0"/>
          <w:marTop w:val="0"/>
          <w:marBottom w:val="0"/>
          <w:divBdr>
            <w:top w:val="none" w:sz="0" w:space="0" w:color="auto"/>
            <w:left w:val="none" w:sz="0" w:space="0" w:color="auto"/>
            <w:bottom w:val="none" w:sz="0" w:space="0" w:color="auto"/>
            <w:right w:val="none" w:sz="0" w:space="0" w:color="auto"/>
          </w:divBdr>
        </w:div>
        <w:div w:id="1447315728">
          <w:marLeft w:val="0"/>
          <w:marRight w:val="0"/>
          <w:marTop w:val="0"/>
          <w:marBottom w:val="0"/>
          <w:divBdr>
            <w:top w:val="none" w:sz="0" w:space="0" w:color="auto"/>
            <w:left w:val="none" w:sz="0" w:space="0" w:color="auto"/>
            <w:bottom w:val="none" w:sz="0" w:space="0" w:color="auto"/>
            <w:right w:val="none" w:sz="0" w:space="0" w:color="auto"/>
          </w:divBdr>
        </w:div>
        <w:div w:id="268783437">
          <w:marLeft w:val="0"/>
          <w:marRight w:val="0"/>
          <w:marTop w:val="0"/>
          <w:marBottom w:val="0"/>
          <w:divBdr>
            <w:top w:val="none" w:sz="0" w:space="0" w:color="auto"/>
            <w:left w:val="none" w:sz="0" w:space="0" w:color="auto"/>
            <w:bottom w:val="none" w:sz="0" w:space="0" w:color="auto"/>
            <w:right w:val="none" w:sz="0" w:space="0" w:color="auto"/>
          </w:divBdr>
        </w:div>
        <w:div w:id="1483735439">
          <w:marLeft w:val="0"/>
          <w:marRight w:val="0"/>
          <w:marTop w:val="0"/>
          <w:marBottom w:val="0"/>
          <w:divBdr>
            <w:top w:val="none" w:sz="0" w:space="0" w:color="auto"/>
            <w:left w:val="none" w:sz="0" w:space="0" w:color="auto"/>
            <w:bottom w:val="none" w:sz="0" w:space="0" w:color="auto"/>
            <w:right w:val="none" w:sz="0" w:space="0" w:color="auto"/>
          </w:divBdr>
        </w:div>
        <w:div w:id="128060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2014-10-10T22:42:00Z</cp:lastPrinted>
  <dcterms:created xsi:type="dcterms:W3CDTF">2015-02-13T20:46:00Z</dcterms:created>
  <dcterms:modified xsi:type="dcterms:W3CDTF">2015-02-13T20:46:00Z</dcterms:modified>
</cp:coreProperties>
</file>