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B9582C" w:rsidRPr="000752C0" w14:paraId="54334F6C" w14:textId="77777777" w:rsidTr="00600078">
        <w:trPr>
          <w:trHeight w:val="1008"/>
        </w:trPr>
        <w:tc>
          <w:tcPr>
            <w:tcW w:w="1980" w:type="dxa"/>
            <w:shd w:val="clear" w:color="auto" w:fill="385623"/>
            <w:vAlign w:val="center"/>
          </w:tcPr>
          <w:p w14:paraId="7A2FD872" w14:textId="77777777" w:rsidR="00B9582C" w:rsidRPr="000752C0" w:rsidRDefault="00B9582C" w:rsidP="00600078">
            <w:pPr>
              <w:pStyle w:val="Header-banner"/>
            </w:pPr>
            <w:r>
              <w:t>12</w:t>
            </w:r>
            <w:r w:rsidRPr="000752C0">
              <w:t>.</w:t>
            </w:r>
            <w:r>
              <w:t>2</w:t>
            </w:r>
            <w:r w:rsidRPr="000752C0">
              <w:t>.</w:t>
            </w:r>
            <w:r>
              <w:t>1</w:t>
            </w:r>
          </w:p>
        </w:tc>
        <w:tc>
          <w:tcPr>
            <w:tcW w:w="7470" w:type="dxa"/>
            <w:shd w:val="clear" w:color="auto" w:fill="76923C"/>
            <w:vAlign w:val="center"/>
          </w:tcPr>
          <w:p w14:paraId="188F8022" w14:textId="77777777" w:rsidR="00B9582C" w:rsidRPr="000752C0" w:rsidRDefault="00B9582C" w:rsidP="00B9582C">
            <w:pPr>
              <w:pStyle w:val="Header2banner"/>
              <w:spacing w:line="240" w:lineRule="auto"/>
            </w:pPr>
            <w:r w:rsidRPr="000752C0">
              <w:t xml:space="preserve">Lesson </w:t>
            </w:r>
            <w:r>
              <w:t>14</w:t>
            </w:r>
          </w:p>
        </w:tc>
      </w:tr>
    </w:tbl>
    <w:p w14:paraId="4F7ACF7B" w14:textId="77777777" w:rsidR="00B9582C" w:rsidRPr="000752C0" w:rsidRDefault="00B9582C" w:rsidP="00B9582C">
      <w:pPr>
        <w:pStyle w:val="Heading1"/>
      </w:pPr>
      <w:r w:rsidRPr="000752C0">
        <w:t>Introduction</w:t>
      </w:r>
    </w:p>
    <w:p w14:paraId="35767514" w14:textId="77777777" w:rsidR="00B9582C" w:rsidRDefault="00B9582C" w:rsidP="00B9582C">
      <w:r w:rsidRPr="000752C0">
        <w:t>In this lesson, students</w:t>
      </w:r>
      <w:r>
        <w:t xml:space="preserve"> read and analyze part </w:t>
      </w:r>
      <w:r w:rsidR="00846925">
        <w:t>3</w:t>
      </w:r>
      <w:r>
        <w:t>, paragraphs 17</w:t>
      </w:r>
      <w:r w:rsidR="00846925">
        <w:t>–</w:t>
      </w:r>
      <w:r>
        <w:t xml:space="preserve">19 of Thoreau’s “Civil Disobedience” </w:t>
      </w:r>
      <w:r w:rsidR="00FB5826">
        <w:t>(from “</w:t>
      </w:r>
      <w:r w:rsidR="00C834E6">
        <w:t xml:space="preserve">They </w:t>
      </w:r>
      <w:r w:rsidR="00FB5826">
        <w:t xml:space="preserve">who know of no purer sources of truth” to “which also I have imagined, but not yet anywhere seen”), </w:t>
      </w:r>
      <w:r>
        <w:t>in which Thoreau suggests that democracy and its values are not necessarily universal truths</w:t>
      </w:r>
      <w:r w:rsidR="007750E3">
        <w:t>,</w:t>
      </w:r>
      <w:r>
        <w:t xml:space="preserve"> but rather steps in human progress</w:t>
      </w:r>
      <w:r w:rsidRPr="000752C0">
        <w:t>.</w:t>
      </w:r>
      <w:r>
        <w:t xml:space="preserve"> Students </w:t>
      </w:r>
      <w:r w:rsidR="00846925">
        <w:t>discuss</w:t>
      </w:r>
      <w:r>
        <w:t xml:space="preserve"> and explore how </w:t>
      </w:r>
      <w:r w:rsidR="00FB5826">
        <w:t>Thoreau</w:t>
      </w:r>
      <w:r>
        <w:t xml:space="preserve"> develops his ideas about democracy</w:t>
      </w:r>
      <w:r w:rsidR="00C90D24">
        <w:t xml:space="preserve"> and government</w:t>
      </w:r>
      <w:r>
        <w:t xml:space="preserve">. </w:t>
      </w:r>
      <w:r w:rsidRPr="000752C0">
        <w:t xml:space="preserve">Student learning is assessed via a Quick Write at the </w:t>
      </w:r>
      <w:bookmarkStart w:id="0" w:name="_GoBack"/>
      <w:bookmarkEnd w:id="0"/>
      <w:r w:rsidRPr="000752C0">
        <w:t xml:space="preserve">end of the lesson: </w:t>
      </w:r>
      <w:r w:rsidR="003C54C1" w:rsidRPr="00F76B63">
        <w:rPr>
          <w:rFonts w:eastAsia="MS Mincho" w:cs="Arial"/>
          <w:lang w:eastAsia="ja-JP"/>
        </w:rPr>
        <w:t>How does Thoreau develop the idea of a “free and enlightened State</w:t>
      </w:r>
      <w:r w:rsidR="008271D3" w:rsidRPr="00F76B63">
        <w:rPr>
          <w:rFonts w:eastAsia="MS Mincho" w:cs="Arial"/>
          <w:lang w:eastAsia="ja-JP"/>
        </w:rPr>
        <w:t>”</w:t>
      </w:r>
      <w:r w:rsidR="003C54C1" w:rsidRPr="00F76B63">
        <w:rPr>
          <w:rFonts w:eastAsia="MS Mincho" w:cs="Arial"/>
          <w:lang w:eastAsia="ja-JP"/>
        </w:rPr>
        <w:t xml:space="preserve"> in </w:t>
      </w:r>
      <w:r w:rsidR="00876FA0">
        <w:rPr>
          <w:rFonts w:eastAsia="MS Mincho" w:cs="Arial"/>
          <w:lang w:eastAsia="ja-JP"/>
        </w:rPr>
        <w:t xml:space="preserve">part 3, </w:t>
      </w:r>
      <w:r w:rsidR="003C54C1" w:rsidRPr="00F76B63">
        <w:rPr>
          <w:rFonts w:eastAsia="MS Mincho" w:cs="Arial"/>
          <w:lang w:eastAsia="ja-JP"/>
        </w:rPr>
        <w:t>paragraphs 17</w:t>
      </w:r>
      <w:r w:rsidR="00846925">
        <w:rPr>
          <w:rFonts w:eastAsia="MS Mincho" w:cs="Arial"/>
          <w:lang w:eastAsia="ja-JP"/>
        </w:rPr>
        <w:t>–</w:t>
      </w:r>
      <w:r w:rsidR="003C54C1" w:rsidRPr="00F76B63">
        <w:rPr>
          <w:rFonts w:eastAsia="MS Mincho" w:cs="Arial"/>
          <w:lang w:eastAsia="ja-JP"/>
        </w:rPr>
        <w:t>19?</w:t>
      </w:r>
    </w:p>
    <w:p w14:paraId="1C76607A" w14:textId="77777777" w:rsidR="00437E2C" w:rsidRPr="005D0C0F" w:rsidRDefault="00B9582C" w:rsidP="00437E2C">
      <w:r w:rsidRPr="00437E2C">
        <w:t xml:space="preserve">For homework, students </w:t>
      </w:r>
      <w:r w:rsidR="000E49F8" w:rsidRPr="00437E2C">
        <w:t xml:space="preserve">add at least two ideas to their </w:t>
      </w:r>
      <w:r w:rsidR="005972CF" w:rsidRPr="00437E2C">
        <w:t xml:space="preserve">Central </w:t>
      </w:r>
      <w:r w:rsidR="000E49F8" w:rsidRPr="00437E2C">
        <w:t>Ideas Tracking Tool</w:t>
      </w:r>
      <w:r w:rsidR="00F65FA2" w:rsidRPr="00437E2C">
        <w:t>s</w:t>
      </w:r>
      <w:r w:rsidR="000E49F8" w:rsidRPr="00437E2C">
        <w:t xml:space="preserve">. </w:t>
      </w:r>
      <w:r w:rsidR="007C7EC9" w:rsidRPr="005B04AB">
        <w:t>In addition</w:t>
      </w:r>
      <w:r w:rsidR="00846925" w:rsidRPr="005B04AB">
        <w:t>,</w:t>
      </w:r>
      <w:r w:rsidR="007C7EC9" w:rsidRPr="005B04AB">
        <w:t xml:space="preserve"> students reread </w:t>
      </w:r>
      <w:r w:rsidR="00876FA0" w:rsidRPr="005F789B">
        <w:t xml:space="preserve">part 3, </w:t>
      </w:r>
      <w:r w:rsidR="007C7EC9" w:rsidRPr="005F789B">
        <w:t>paragraphs 17</w:t>
      </w:r>
      <w:r w:rsidR="00846925" w:rsidRPr="005F789B">
        <w:softHyphen/>
        <w:t>–</w:t>
      </w:r>
      <w:r w:rsidR="007C7EC9" w:rsidRPr="005F789B">
        <w:t xml:space="preserve">19 and answer the following question: </w:t>
      </w:r>
      <w:r w:rsidR="007A4787" w:rsidRPr="005F789B">
        <w:t>Which sentence of</w:t>
      </w:r>
      <w:r w:rsidR="00876FA0" w:rsidRPr="005F789B">
        <w:t xml:space="preserve"> part 3, </w:t>
      </w:r>
      <w:r w:rsidR="007A4787" w:rsidRPr="005F789B">
        <w:t>paragraphs 17</w:t>
      </w:r>
      <w:r w:rsidR="00846925" w:rsidRPr="005F789B">
        <w:t>–</w:t>
      </w:r>
      <w:r w:rsidR="007A4787" w:rsidRPr="005F789B">
        <w:t>19 is most critical to your understanding of “Civil Disobedience” and why?</w:t>
      </w:r>
      <w:r w:rsidR="007C7EC9" w:rsidRPr="005D0C0F">
        <w:t xml:space="preserve"> </w:t>
      </w:r>
      <w:r w:rsidR="00437E2C" w:rsidRPr="005D0C0F">
        <w:t xml:space="preserve">Students may also complete the optional </w:t>
      </w:r>
      <w:r w:rsidR="00437E2C" w:rsidRPr="00437E2C">
        <w:t xml:space="preserve">Accountable Independent Writing </w:t>
      </w:r>
      <w:r w:rsidR="008955E3">
        <w:t xml:space="preserve">(AIW) </w:t>
      </w:r>
      <w:r w:rsidR="00437E2C" w:rsidRPr="00437E2C">
        <w:t xml:space="preserve">assignment: </w:t>
      </w:r>
      <w:r w:rsidR="00437E2C" w:rsidRPr="00437E2C">
        <w:rPr>
          <w:lang w:eastAsia="ja-JP"/>
        </w:rPr>
        <w:t>Compare the approaches Bhutto and Thoreau take on the topic o</w:t>
      </w:r>
      <w:r w:rsidR="00437E2C" w:rsidRPr="005B04AB">
        <w:rPr>
          <w:lang w:eastAsia="ja-JP"/>
        </w:rPr>
        <w:t>f democracy. How do their approaches add to your understanding of their ideas about citizenship?</w:t>
      </w:r>
      <w:r w:rsidR="00437E2C" w:rsidRPr="005F789B">
        <w:rPr>
          <w:lang w:eastAsia="ja-JP"/>
        </w:rPr>
        <w:t xml:space="preserve"> Use evidence from part 3, paragraph 19 of “Civil Disobedience” and Bhutto’s speech to support your response.</w:t>
      </w:r>
    </w:p>
    <w:p w14:paraId="045FE47E" w14:textId="77777777" w:rsidR="00B9582C" w:rsidRPr="000752C0" w:rsidRDefault="00B9582C" w:rsidP="00B9582C">
      <w:pPr>
        <w:pStyle w:val="Heading1"/>
      </w:pPr>
      <w:r w:rsidRPr="000752C0">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B9582C" w:rsidRPr="000752C0" w14:paraId="7B79B75C" w14:textId="77777777" w:rsidTr="00600078">
        <w:tc>
          <w:tcPr>
            <w:tcW w:w="9468" w:type="dxa"/>
            <w:gridSpan w:val="2"/>
            <w:shd w:val="clear" w:color="auto" w:fill="76923C"/>
          </w:tcPr>
          <w:p w14:paraId="6DCD63C7" w14:textId="77777777" w:rsidR="00B9582C" w:rsidRPr="009B5E22" w:rsidRDefault="00B9582C" w:rsidP="00600078">
            <w:pPr>
              <w:pStyle w:val="TableHeaders"/>
              <w:rPr>
                <w:lang w:val="en-US"/>
              </w:rPr>
            </w:pPr>
            <w:r w:rsidRPr="009B5E22">
              <w:rPr>
                <w:lang w:val="en-US"/>
              </w:rPr>
              <w:t>Assessed Standard(s)</w:t>
            </w:r>
          </w:p>
        </w:tc>
      </w:tr>
      <w:tr w:rsidR="00B9582C" w:rsidRPr="000752C0" w14:paraId="3CCBDBC6" w14:textId="77777777" w:rsidTr="00600078">
        <w:tc>
          <w:tcPr>
            <w:tcW w:w="1344" w:type="dxa"/>
          </w:tcPr>
          <w:p w14:paraId="077C3E2F" w14:textId="77777777" w:rsidR="00B9582C" w:rsidRPr="000752C0" w:rsidRDefault="00846925" w:rsidP="00DD28A6">
            <w:pPr>
              <w:pStyle w:val="TableText"/>
            </w:pPr>
            <w:r>
              <w:t>RI</w:t>
            </w:r>
            <w:r w:rsidR="000E49F8">
              <w:t>.11-12.</w:t>
            </w:r>
            <w:r w:rsidR="00DD28A6">
              <w:t>3</w:t>
            </w:r>
          </w:p>
        </w:tc>
        <w:tc>
          <w:tcPr>
            <w:tcW w:w="8124" w:type="dxa"/>
          </w:tcPr>
          <w:p w14:paraId="446A4AFE" w14:textId="77777777" w:rsidR="00B9582C" w:rsidRPr="00AB7F82" w:rsidRDefault="00DD28A6" w:rsidP="00EB6574">
            <w:pPr>
              <w:pStyle w:val="TableText"/>
            </w:pPr>
            <w:r w:rsidRPr="00AB7F82">
              <w:t xml:space="preserve">Analyze a complex set of ideas or sequence of events and explain how specific individuals, ideas, or events interact and develop over the course of the text. </w:t>
            </w:r>
          </w:p>
        </w:tc>
      </w:tr>
      <w:tr w:rsidR="00B9582C" w:rsidRPr="000752C0" w14:paraId="69A8ABCA" w14:textId="77777777" w:rsidTr="00600078">
        <w:tc>
          <w:tcPr>
            <w:tcW w:w="9468" w:type="dxa"/>
            <w:gridSpan w:val="2"/>
            <w:shd w:val="clear" w:color="auto" w:fill="76923C"/>
          </w:tcPr>
          <w:p w14:paraId="73BB0B2D" w14:textId="77777777" w:rsidR="00B9582C" w:rsidRPr="009B5E22" w:rsidRDefault="00B9582C" w:rsidP="00600078">
            <w:pPr>
              <w:pStyle w:val="TableHeaders"/>
              <w:rPr>
                <w:lang w:val="en-US"/>
              </w:rPr>
            </w:pPr>
            <w:r w:rsidRPr="009B5E22">
              <w:rPr>
                <w:lang w:val="en-US"/>
              </w:rPr>
              <w:t>Addressed Standard(s)</w:t>
            </w:r>
          </w:p>
        </w:tc>
      </w:tr>
      <w:tr w:rsidR="00C90D24" w:rsidRPr="000752C0" w14:paraId="5B2C07D7" w14:textId="77777777" w:rsidTr="00600078">
        <w:tc>
          <w:tcPr>
            <w:tcW w:w="1344" w:type="dxa"/>
          </w:tcPr>
          <w:p w14:paraId="06D35AB3" w14:textId="77777777" w:rsidR="00C90D24" w:rsidRDefault="00C90D24" w:rsidP="00F55879">
            <w:pPr>
              <w:pStyle w:val="TableText"/>
            </w:pPr>
            <w:r>
              <w:t>W.11-12.9.b</w:t>
            </w:r>
          </w:p>
        </w:tc>
        <w:tc>
          <w:tcPr>
            <w:tcW w:w="8124" w:type="dxa"/>
          </w:tcPr>
          <w:p w14:paraId="754B313B" w14:textId="77777777" w:rsidR="00C90D24" w:rsidRDefault="00C90D24" w:rsidP="009C352A">
            <w:pPr>
              <w:pStyle w:val="TableText"/>
            </w:pPr>
            <w:r w:rsidRPr="00C90D24">
              <w:t>Draw evidence from literary or informational texts to support analysis, reflection, and research.</w:t>
            </w:r>
          </w:p>
          <w:p w14:paraId="60ACAB14" w14:textId="77777777" w:rsidR="00C90D24" w:rsidRDefault="00C90D24" w:rsidP="00C90D24">
            <w:pPr>
              <w:pStyle w:val="SubStandard"/>
            </w:pPr>
            <w:r w:rsidRPr="00C90D24">
              <w:t xml:space="preserve">Apply </w:t>
            </w:r>
            <w:r w:rsidRPr="00C90D24">
              <w:rPr>
                <w:i/>
              </w:rPr>
              <w:t>grades 11–12 Reading standards</w:t>
            </w:r>
            <w:r w:rsidRPr="00C90D24">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5D0C0F">
              <w:rPr>
                <w:i/>
              </w:rPr>
              <w:t>The Federalist</w:t>
            </w:r>
            <w:r w:rsidRPr="00C90D24">
              <w:t>, presidential addresses]”).</w:t>
            </w:r>
          </w:p>
        </w:tc>
      </w:tr>
      <w:tr w:rsidR="00B9582C" w:rsidRPr="000752C0" w14:paraId="48DD6561" w14:textId="77777777" w:rsidTr="00600078">
        <w:tc>
          <w:tcPr>
            <w:tcW w:w="1344" w:type="dxa"/>
          </w:tcPr>
          <w:p w14:paraId="43359A52" w14:textId="77777777" w:rsidR="00B9582C" w:rsidRPr="000752C0" w:rsidRDefault="00B9582C" w:rsidP="00F55879">
            <w:pPr>
              <w:pStyle w:val="TableText"/>
            </w:pPr>
            <w:r>
              <w:t>L.</w:t>
            </w:r>
            <w:r w:rsidR="00F55879">
              <w:t>11</w:t>
            </w:r>
            <w:r>
              <w:t>-</w:t>
            </w:r>
            <w:r w:rsidR="00F55879">
              <w:t>12</w:t>
            </w:r>
            <w:r>
              <w:t>.5.a</w:t>
            </w:r>
          </w:p>
        </w:tc>
        <w:tc>
          <w:tcPr>
            <w:tcW w:w="8124" w:type="dxa"/>
          </w:tcPr>
          <w:p w14:paraId="7A6E261C" w14:textId="77777777" w:rsidR="00B9582C" w:rsidRDefault="00B9582C" w:rsidP="009C352A">
            <w:pPr>
              <w:pStyle w:val="TableText"/>
            </w:pPr>
            <w:r>
              <w:t xml:space="preserve">Demonstrate understanding of figurative language, word relationships, and nuances in </w:t>
            </w:r>
            <w:r>
              <w:lastRenderedPageBreak/>
              <w:t xml:space="preserve">word meanings. </w:t>
            </w:r>
          </w:p>
          <w:p w14:paraId="6EB8F6B5" w14:textId="77777777" w:rsidR="00B9582C" w:rsidRPr="00C90D24" w:rsidRDefault="00B9582C" w:rsidP="00C90D24">
            <w:pPr>
              <w:pStyle w:val="SubStandard"/>
              <w:numPr>
                <w:ilvl w:val="0"/>
                <w:numId w:val="15"/>
              </w:numPr>
              <w:rPr>
                <w:lang w:val="en-US"/>
              </w:rPr>
            </w:pPr>
            <w:r w:rsidRPr="00C90D24">
              <w:rPr>
                <w:lang w:val="en-US"/>
              </w:rPr>
              <w:t>Inte</w:t>
            </w:r>
            <w:r w:rsidR="00DF5AEF" w:rsidRPr="00C90D24">
              <w:rPr>
                <w:lang w:val="en-US"/>
              </w:rPr>
              <w:t>r</w:t>
            </w:r>
            <w:r w:rsidRPr="00C90D24">
              <w:rPr>
                <w:lang w:val="en-US"/>
              </w:rPr>
              <w:t xml:space="preserve">pret figures of speech (e.g., hyperbole, paradox) in context and analyze their role in the text. </w:t>
            </w:r>
          </w:p>
        </w:tc>
      </w:tr>
    </w:tbl>
    <w:p w14:paraId="70871C2B" w14:textId="77777777" w:rsidR="00B9582C" w:rsidRPr="000752C0" w:rsidRDefault="00B9582C" w:rsidP="00B9582C">
      <w:pPr>
        <w:pStyle w:val="Heading1"/>
      </w:pPr>
      <w:r w:rsidRPr="000752C0">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B9582C" w:rsidRPr="000752C0" w14:paraId="4E56C0EB" w14:textId="77777777" w:rsidTr="00600078">
        <w:tc>
          <w:tcPr>
            <w:tcW w:w="9478" w:type="dxa"/>
            <w:shd w:val="clear" w:color="auto" w:fill="76923C"/>
          </w:tcPr>
          <w:p w14:paraId="0A5086F9" w14:textId="77777777" w:rsidR="00B9582C" w:rsidRPr="009B5E22" w:rsidRDefault="00B9582C" w:rsidP="00600078">
            <w:pPr>
              <w:pStyle w:val="TableHeaders"/>
              <w:rPr>
                <w:lang w:val="en-US"/>
              </w:rPr>
            </w:pPr>
            <w:r w:rsidRPr="009B5E22">
              <w:rPr>
                <w:lang w:val="en-US"/>
              </w:rPr>
              <w:t>Assessment(s)</w:t>
            </w:r>
          </w:p>
        </w:tc>
      </w:tr>
      <w:tr w:rsidR="00B9582C" w:rsidRPr="000752C0" w14:paraId="087D15E6" w14:textId="77777777" w:rsidTr="00600078">
        <w:tc>
          <w:tcPr>
            <w:tcW w:w="9478" w:type="dxa"/>
            <w:tcBorders>
              <w:top w:val="single" w:sz="4" w:space="0" w:color="auto"/>
              <w:left w:val="single" w:sz="4" w:space="0" w:color="auto"/>
              <w:bottom w:val="single" w:sz="4" w:space="0" w:color="auto"/>
              <w:right w:val="single" w:sz="4" w:space="0" w:color="auto"/>
            </w:tcBorders>
          </w:tcPr>
          <w:p w14:paraId="7133D5A1" w14:textId="77777777" w:rsidR="00B9582C" w:rsidRPr="000752C0" w:rsidRDefault="00B9582C" w:rsidP="00600078">
            <w:pPr>
              <w:pStyle w:val="TableText"/>
            </w:pPr>
            <w:r w:rsidRPr="000752C0">
              <w:t>Student learning is assessed via a Quick Write at the end of the lesson. Students respond to the following prompt, citing textual evidence to support analysis and inferences drawn from the text.</w:t>
            </w:r>
          </w:p>
          <w:p w14:paraId="6C976EA8" w14:textId="77777777" w:rsidR="00B9582C" w:rsidRPr="000752C0" w:rsidRDefault="003C54C1" w:rsidP="00846925">
            <w:pPr>
              <w:pStyle w:val="BulletedList"/>
              <w:ind w:left="317" w:hanging="317"/>
            </w:pPr>
            <w:r w:rsidRPr="00F76B63">
              <w:rPr>
                <w:rFonts w:eastAsia="MS Mincho" w:cs="Arial"/>
                <w:lang w:eastAsia="ja-JP"/>
              </w:rPr>
              <w:t xml:space="preserve">How does Thoreau develop the idea of a “free and enlightened State” in </w:t>
            </w:r>
            <w:r w:rsidR="00A473D7">
              <w:rPr>
                <w:rFonts w:eastAsia="MS Mincho" w:cs="Arial"/>
                <w:lang w:eastAsia="ja-JP"/>
              </w:rPr>
              <w:t xml:space="preserve">part 3, </w:t>
            </w:r>
            <w:r w:rsidRPr="00F76B63">
              <w:rPr>
                <w:rFonts w:eastAsia="MS Mincho" w:cs="Arial"/>
                <w:lang w:eastAsia="ja-JP"/>
              </w:rPr>
              <w:t>paragraphs 17</w:t>
            </w:r>
            <w:r w:rsidR="00846925">
              <w:rPr>
                <w:rFonts w:eastAsia="MS Mincho" w:cs="Arial"/>
                <w:lang w:eastAsia="ja-JP"/>
              </w:rPr>
              <w:t>–</w:t>
            </w:r>
            <w:r w:rsidRPr="00F76B63">
              <w:rPr>
                <w:rFonts w:eastAsia="MS Mincho" w:cs="Arial"/>
                <w:lang w:eastAsia="ja-JP"/>
              </w:rPr>
              <w:t>19?</w:t>
            </w:r>
          </w:p>
        </w:tc>
      </w:tr>
      <w:tr w:rsidR="00B9582C" w:rsidRPr="000752C0" w14:paraId="2BE9C251" w14:textId="77777777" w:rsidTr="00600078">
        <w:tc>
          <w:tcPr>
            <w:tcW w:w="9478" w:type="dxa"/>
            <w:shd w:val="clear" w:color="auto" w:fill="76923C"/>
          </w:tcPr>
          <w:p w14:paraId="41BDDD90" w14:textId="77777777" w:rsidR="00B9582C" w:rsidRPr="009B5E22" w:rsidRDefault="00B9582C" w:rsidP="00600078">
            <w:pPr>
              <w:pStyle w:val="TableHeaders"/>
              <w:rPr>
                <w:lang w:val="en-US"/>
              </w:rPr>
            </w:pPr>
            <w:r w:rsidRPr="009B5E22">
              <w:rPr>
                <w:lang w:val="en-US"/>
              </w:rPr>
              <w:t>High Performance Response(s)</w:t>
            </w:r>
          </w:p>
        </w:tc>
      </w:tr>
      <w:tr w:rsidR="00B9582C" w:rsidRPr="000752C0" w14:paraId="7ED0E097" w14:textId="77777777" w:rsidTr="00600078">
        <w:tc>
          <w:tcPr>
            <w:tcW w:w="9478" w:type="dxa"/>
          </w:tcPr>
          <w:p w14:paraId="41D07192" w14:textId="77777777" w:rsidR="00B9582C" w:rsidRDefault="00B9582C" w:rsidP="00600078">
            <w:pPr>
              <w:pStyle w:val="TableText"/>
            </w:pPr>
            <w:r w:rsidRPr="000752C0">
              <w:t>A High Performance Response should:</w:t>
            </w:r>
          </w:p>
          <w:p w14:paraId="74A1C733" w14:textId="77777777" w:rsidR="005031D4" w:rsidRDefault="008271D3" w:rsidP="00600078">
            <w:pPr>
              <w:pStyle w:val="BulletedList"/>
            </w:pPr>
            <w:r>
              <w:t>Describe Thoreau’s idea of a “free and enlightened State” (e.g.</w:t>
            </w:r>
            <w:r w:rsidR="00086C25">
              <w:t>,</w:t>
            </w:r>
            <w:r>
              <w:t xml:space="preserve"> Thoreau’s idea of a “free and enlightened State”</w:t>
            </w:r>
            <w:r w:rsidR="00C834E6">
              <w:t xml:space="preserve"> (part 3</w:t>
            </w:r>
            <w:r w:rsidR="00876FA0">
              <w:t>,</w:t>
            </w:r>
            <w:r w:rsidR="00C834E6">
              <w:t xml:space="preserve"> </w:t>
            </w:r>
            <w:r w:rsidR="00876FA0">
              <w:t>p</w:t>
            </w:r>
            <w:r w:rsidR="00C834E6">
              <w:t>ar. 19)</w:t>
            </w:r>
            <w:r>
              <w:t xml:space="preserve"> is one in which the state respects the individual; Thoreau’s idea of a “free and enlightened State” is one governed by individual ethics rather than by the authority of the </w:t>
            </w:r>
            <w:r w:rsidR="000A2D6B">
              <w:t>s</w:t>
            </w:r>
            <w:r>
              <w:t>tate)</w:t>
            </w:r>
            <w:r w:rsidR="00086C25">
              <w:t>.</w:t>
            </w:r>
            <w:r>
              <w:t xml:space="preserve"> </w:t>
            </w:r>
          </w:p>
          <w:p w14:paraId="7D63F592" w14:textId="77777777" w:rsidR="005031D4" w:rsidRPr="000752C0" w:rsidRDefault="005031D4" w:rsidP="00437E2C">
            <w:pPr>
              <w:pStyle w:val="BulletedList"/>
            </w:pPr>
            <w:r>
              <w:t xml:space="preserve">Discuss </w:t>
            </w:r>
            <w:r w:rsidR="008271D3">
              <w:t>how Thoreau develops this idea</w:t>
            </w:r>
            <w:r>
              <w:t xml:space="preserve"> (e.g.,</w:t>
            </w:r>
            <w:r w:rsidR="00E64416">
              <w:t xml:space="preserve"> Thoreau </w:t>
            </w:r>
            <w:r w:rsidR="008271D3">
              <w:t>develops the idea of a “free and enlightened State</w:t>
            </w:r>
            <w:r w:rsidR="003558A2">
              <w:t>”</w:t>
            </w:r>
            <w:r w:rsidR="008271D3">
              <w:t xml:space="preserve"> </w:t>
            </w:r>
            <w:r w:rsidR="00C5781E">
              <w:t>(</w:t>
            </w:r>
            <w:r w:rsidR="00876FA0">
              <w:t xml:space="preserve">part 3, </w:t>
            </w:r>
            <w:r w:rsidR="00C5781E">
              <w:t xml:space="preserve">par. 19) </w:t>
            </w:r>
            <w:r w:rsidR="008271D3">
              <w:t xml:space="preserve">as one in which the </w:t>
            </w:r>
            <w:r w:rsidR="00437E2C">
              <w:t>s</w:t>
            </w:r>
            <w:r w:rsidR="008271D3">
              <w:t>tate respects the individual. Thoreau sees the progress from absolute monarchy to democracy as “a progress toward a true respect for the individual” (</w:t>
            </w:r>
            <w:r w:rsidR="00876FA0">
              <w:t xml:space="preserve">part 3, </w:t>
            </w:r>
            <w:r w:rsidR="008271D3">
              <w:t>par. 19), but suggests that this</w:t>
            </w:r>
            <w:r w:rsidR="00846925">
              <w:t xml:space="preserve"> progress is still incomplete. He</w:t>
            </w:r>
            <w:r w:rsidR="008271D3">
              <w:t xml:space="preserve"> claim</w:t>
            </w:r>
            <w:r w:rsidR="00846925">
              <w:t>s</w:t>
            </w:r>
            <w:r w:rsidR="008271D3">
              <w:t xml:space="preserve"> that “</w:t>
            </w:r>
            <w:r w:rsidR="008271D3" w:rsidRPr="00F76B63">
              <w:rPr>
                <w:rFonts w:eastAsia="MS Mincho"/>
                <w:lang w:eastAsia="ja-JP"/>
              </w:rPr>
              <w:t>There will never be a really free and enlightened State until the State comes to recognize the individual as a higher and independent power</w:t>
            </w:r>
            <w:r w:rsidR="008271D3">
              <w:t>”</w:t>
            </w:r>
            <w:r w:rsidR="00C5781E">
              <w:t xml:space="preserve"> (</w:t>
            </w:r>
            <w:r w:rsidR="00876FA0">
              <w:t xml:space="preserve">part 3, </w:t>
            </w:r>
            <w:r w:rsidR="00C5781E">
              <w:t>par. 19)</w:t>
            </w:r>
            <w:r w:rsidR="00846925">
              <w:t>,</w:t>
            </w:r>
            <w:r w:rsidR="008271D3">
              <w:t xml:space="preserve"> meaning that a truly just state </w:t>
            </w:r>
            <w:r w:rsidR="00846925">
              <w:t>is</w:t>
            </w:r>
            <w:r w:rsidR="008271D3">
              <w:t xml:space="preserve"> one in which the rights o</w:t>
            </w:r>
            <w:r w:rsidR="007E7A5B">
              <w:t>f the individual are respected</w:t>
            </w:r>
            <w:r w:rsidR="00846925">
              <w:t>.</w:t>
            </w:r>
            <w:r w:rsidR="00C5781E">
              <w:t>).</w:t>
            </w:r>
          </w:p>
        </w:tc>
      </w:tr>
    </w:tbl>
    <w:p w14:paraId="2E44F91E" w14:textId="77777777" w:rsidR="00B9582C" w:rsidRPr="000752C0" w:rsidRDefault="00B9582C" w:rsidP="00B9582C">
      <w:pPr>
        <w:pStyle w:val="Heading1"/>
      </w:pPr>
      <w:r w:rsidRPr="000752C0">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B9582C" w:rsidRPr="000752C0" w14:paraId="07D67C1E" w14:textId="77777777" w:rsidTr="00600078">
        <w:tc>
          <w:tcPr>
            <w:tcW w:w="9450" w:type="dxa"/>
            <w:shd w:val="clear" w:color="auto" w:fill="76923C"/>
          </w:tcPr>
          <w:p w14:paraId="2715BBE8" w14:textId="77777777" w:rsidR="00B9582C" w:rsidRPr="009B5E22" w:rsidRDefault="00B9582C" w:rsidP="00600078">
            <w:pPr>
              <w:pStyle w:val="TableHeaders"/>
              <w:rPr>
                <w:lang w:val="en-US"/>
              </w:rPr>
            </w:pPr>
            <w:r w:rsidRPr="009B5E22">
              <w:rPr>
                <w:lang w:val="en-US"/>
              </w:rPr>
              <w:t>Vocabulary to provide directly (will not include extended instruction)</w:t>
            </w:r>
          </w:p>
        </w:tc>
      </w:tr>
      <w:tr w:rsidR="00B9582C" w:rsidRPr="000752C0" w14:paraId="21DF3C20" w14:textId="77777777" w:rsidTr="00600078">
        <w:tc>
          <w:tcPr>
            <w:tcW w:w="9450" w:type="dxa"/>
          </w:tcPr>
          <w:p w14:paraId="4A642D4A" w14:textId="77777777" w:rsidR="00B9582C" w:rsidRDefault="000158B4" w:rsidP="00600078">
            <w:pPr>
              <w:pStyle w:val="BulletedList"/>
              <w:ind w:left="317" w:hanging="317"/>
            </w:pPr>
            <w:r>
              <w:t>reverence</w:t>
            </w:r>
            <w:r w:rsidR="00F55879">
              <w:t xml:space="preserve"> (n.) – a feeling or attitude of deep respect</w:t>
            </w:r>
          </w:p>
          <w:p w14:paraId="002A580A" w14:textId="77777777" w:rsidR="000158B4" w:rsidRDefault="000158B4" w:rsidP="00600078">
            <w:pPr>
              <w:pStyle w:val="BulletedList"/>
              <w:ind w:left="317" w:hanging="317"/>
            </w:pPr>
            <w:r>
              <w:t>humility</w:t>
            </w:r>
            <w:r w:rsidR="00F55879">
              <w:t xml:space="preserve"> (n.) – modest opinion or estimate of one’s own importance</w:t>
            </w:r>
          </w:p>
          <w:p w14:paraId="7380172D" w14:textId="77777777" w:rsidR="000158B4" w:rsidRDefault="000158B4" w:rsidP="00600078">
            <w:pPr>
              <w:pStyle w:val="BulletedList"/>
              <w:ind w:left="317" w:hanging="317"/>
            </w:pPr>
            <w:r>
              <w:t>gird</w:t>
            </w:r>
            <w:r w:rsidR="00C5781E">
              <w:t xml:space="preserve"> up their loins</w:t>
            </w:r>
            <w:r w:rsidR="00F55879">
              <w:t xml:space="preserve"> (</w:t>
            </w:r>
            <w:r w:rsidR="00F61817">
              <w:t>idiom</w:t>
            </w:r>
            <w:r w:rsidR="00F55879">
              <w:t>) – prepare</w:t>
            </w:r>
            <w:r w:rsidR="00C5781E">
              <w:t xml:space="preserve"> themselves</w:t>
            </w:r>
            <w:r w:rsidR="00F55879">
              <w:t xml:space="preserve"> for </w:t>
            </w:r>
            <w:r w:rsidR="00C5781E">
              <w:t>something requiring readiness, strength, or endurance</w:t>
            </w:r>
          </w:p>
          <w:p w14:paraId="14060540" w14:textId="77777777" w:rsidR="000158B4" w:rsidRDefault="000158B4" w:rsidP="00600078">
            <w:pPr>
              <w:pStyle w:val="BulletedList"/>
              <w:ind w:left="317" w:hanging="317"/>
            </w:pPr>
            <w:r>
              <w:t>fountain-head</w:t>
            </w:r>
            <w:r w:rsidR="009768AF">
              <w:t xml:space="preserve"> (n.) – head or source of a stream</w:t>
            </w:r>
            <w:r w:rsidR="003D6C7B">
              <w:t>; a chief source of anything</w:t>
            </w:r>
          </w:p>
          <w:p w14:paraId="46041954" w14:textId="77777777" w:rsidR="000158B4" w:rsidRDefault="000158B4" w:rsidP="00600078">
            <w:pPr>
              <w:pStyle w:val="BulletedList"/>
              <w:ind w:left="317" w:hanging="317"/>
            </w:pPr>
            <w:r>
              <w:t>legislation</w:t>
            </w:r>
            <w:r w:rsidR="009768AF">
              <w:t xml:space="preserve"> (n.) – </w:t>
            </w:r>
            <w:r w:rsidR="00194BA9">
              <w:t xml:space="preserve">the </w:t>
            </w:r>
            <w:r w:rsidR="009768AF">
              <w:t>act of making or enacting laws</w:t>
            </w:r>
          </w:p>
          <w:p w14:paraId="264C8462" w14:textId="77777777" w:rsidR="000158B4" w:rsidRDefault="000158B4" w:rsidP="00C5781E">
            <w:pPr>
              <w:pStyle w:val="BulletedList"/>
              <w:ind w:left="317" w:hanging="317"/>
            </w:pPr>
            <w:r>
              <w:lastRenderedPageBreak/>
              <w:t>orators</w:t>
            </w:r>
            <w:r w:rsidR="009768AF">
              <w:t xml:space="preserve"> (n.) – people distinguished for skill and power as public speakers</w:t>
            </w:r>
          </w:p>
          <w:p w14:paraId="607F6769" w14:textId="77777777" w:rsidR="000158B4" w:rsidRDefault="000158B4" w:rsidP="00600078">
            <w:pPr>
              <w:pStyle w:val="BulletedList"/>
              <w:ind w:left="317" w:hanging="317"/>
            </w:pPr>
            <w:r>
              <w:t>rectitude</w:t>
            </w:r>
            <w:r w:rsidR="009768AF">
              <w:t xml:space="preserve"> (n.) –  the quality of being honest and morally correct</w:t>
            </w:r>
          </w:p>
          <w:p w14:paraId="12AF0FBF" w14:textId="77777777" w:rsidR="000158B4" w:rsidRDefault="000158B4" w:rsidP="00600078">
            <w:pPr>
              <w:pStyle w:val="BulletedList"/>
              <w:ind w:left="317" w:hanging="317"/>
            </w:pPr>
            <w:r>
              <w:t>sanction</w:t>
            </w:r>
            <w:r w:rsidR="009768AF">
              <w:t xml:space="preserve"> (n.) – official permission or approval</w:t>
            </w:r>
          </w:p>
          <w:p w14:paraId="60FBDBBD" w14:textId="77777777" w:rsidR="000158B4" w:rsidRDefault="000158B4" w:rsidP="00600078">
            <w:pPr>
              <w:pStyle w:val="BulletedList"/>
              <w:ind w:left="317" w:hanging="317"/>
            </w:pPr>
            <w:r>
              <w:t>enlightened</w:t>
            </w:r>
            <w:r w:rsidR="009768AF">
              <w:t xml:space="preserve"> (adj.) – having or showing a good understanding of how people should be treated; not ignorant or narrow in thinking</w:t>
            </w:r>
          </w:p>
          <w:p w14:paraId="3929DB32" w14:textId="77777777" w:rsidR="000158B4" w:rsidRDefault="000158B4" w:rsidP="00600078">
            <w:pPr>
              <w:pStyle w:val="BulletedList"/>
              <w:ind w:left="317" w:hanging="317"/>
            </w:pPr>
            <w:r>
              <w:t>repose</w:t>
            </w:r>
            <w:r w:rsidR="009768AF">
              <w:t xml:space="preserve"> (n.) – a state of resting or not being active</w:t>
            </w:r>
          </w:p>
          <w:p w14:paraId="15CAD878" w14:textId="77777777" w:rsidR="000158B4" w:rsidRPr="000752C0" w:rsidRDefault="000158B4" w:rsidP="00600078">
            <w:pPr>
              <w:pStyle w:val="BulletedList"/>
              <w:ind w:left="317" w:hanging="317"/>
            </w:pPr>
            <w:r>
              <w:t>aloof</w:t>
            </w:r>
            <w:r w:rsidR="009768AF">
              <w:t xml:space="preserve"> (adj.) – indifferent, disinterested</w:t>
            </w:r>
          </w:p>
        </w:tc>
      </w:tr>
      <w:tr w:rsidR="00B9582C" w:rsidRPr="000752C0" w14:paraId="399ABF49" w14:textId="77777777" w:rsidTr="00600078">
        <w:tc>
          <w:tcPr>
            <w:tcW w:w="9450" w:type="dxa"/>
            <w:shd w:val="clear" w:color="auto" w:fill="76923C"/>
          </w:tcPr>
          <w:p w14:paraId="0C126AE0" w14:textId="77777777" w:rsidR="00B9582C" w:rsidRPr="009B5E22" w:rsidRDefault="00B9582C" w:rsidP="00600078">
            <w:pPr>
              <w:pStyle w:val="TableHeaders"/>
              <w:rPr>
                <w:lang w:val="en-US"/>
              </w:rPr>
            </w:pPr>
            <w:r w:rsidRPr="009B5E22">
              <w:rPr>
                <w:lang w:val="en-US"/>
              </w:rPr>
              <w:lastRenderedPageBreak/>
              <w:t>Vocabulary to teach (may include direct word work and/or questions)</w:t>
            </w:r>
          </w:p>
        </w:tc>
      </w:tr>
      <w:tr w:rsidR="00B9582C" w:rsidRPr="000752C0" w14:paraId="7207D914" w14:textId="77777777" w:rsidTr="00600078">
        <w:tc>
          <w:tcPr>
            <w:tcW w:w="9450" w:type="dxa"/>
          </w:tcPr>
          <w:p w14:paraId="00A917EF" w14:textId="77777777" w:rsidR="00B9582C" w:rsidRPr="000752C0" w:rsidRDefault="000158B4" w:rsidP="00600078">
            <w:pPr>
              <w:pStyle w:val="BulletedList"/>
              <w:ind w:left="317" w:hanging="317"/>
            </w:pPr>
            <w:r>
              <w:t>None.</w:t>
            </w:r>
          </w:p>
        </w:tc>
      </w:tr>
      <w:tr w:rsidR="00B9582C" w:rsidRPr="000752C0" w14:paraId="087D7006" w14:textId="77777777" w:rsidTr="00600078">
        <w:tc>
          <w:tcPr>
            <w:tcW w:w="9450" w:type="dxa"/>
            <w:shd w:val="clear" w:color="auto" w:fill="76923C"/>
          </w:tcPr>
          <w:p w14:paraId="321FC962" w14:textId="77777777" w:rsidR="00B9582C" w:rsidRPr="009B5E22" w:rsidRDefault="00B9582C" w:rsidP="00600078">
            <w:pPr>
              <w:pStyle w:val="TableHeaders"/>
              <w:rPr>
                <w:lang w:val="en-US"/>
              </w:rPr>
            </w:pPr>
            <w:r w:rsidRPr="009B5E22">
              <w:rPr>
                <w:lang w:val="en-US"/>
              </w:rPr>
              <w:t xml:space="preserve">Additional vocabulary to support English Language Learners </w:t>
            </w:r>
            <w:r w:rsidR="00494F04" w:rsidRPr="009B5E22">
              <w:rPr>
                <w:lang w:val="en-US"/>
              </w:rPr>
              <w:t xml:space="preserve">(to provide </w:t>
            </w:r>
            <w:r w:rsidRPr="009B5E22">
              <w:rPr>
                <w:lang w:val="en-US"/>
              </w:rPr>
              <w:t>directly</w:t>
            </w:r>
            <w:r w:rsidR="00494F04" w:rsidRPr="009B5E22">
              <w:rPr>
                <w:lang w:val="en-US"/>
              </w:rPr>
              <w:t>)</w:t>
            </w:r>
          </w:p>
        </w:tc>
      </w:tr>
      <w:tr w:rsidR="00B9582C" w:rsidRPr="000752C0" w14:paraId="4A35E0FD" w14:textId="77777777" w:rsidTr="00600078">
        <w:tc>
          <w:tcPr>
            <w:tcW w:w="9450" w:type="dxa"/>
          </w:tcPr>
          <w:p w14:paraId="4F3F4B3A" w14:textId="77777777" w:rsidR="00B9582C" w:rsidRPr="000752C0" w:rsidRDefault="009768AF" w:rsidP="00600078">
            <w:pPr>
              <w:pStyle w:val="BulletedList"/>
              <w:ind w:left="317" w:hanging="317"/>
            </w:pPr>
            <w:r>
              <w:t>authority (n.) – the power to give orders or make decisions; the power or right to direct or control someone or something</w:t>
            </w:r>
          </w:p>
        </w:tc>
      </w:tr>
    </w:tbl>
    <w:p w14:paraId="1005197D" w14:textId="77777777" w:rsidR="00B9582C" w:rsidRPr="000752C0" w:rsidRDefault="00B9582C" w:rsidP="00B9582C">
      <w:pPr>
        <w:pStyle w:val="Heading1"/>
      </w:pPr>
      <w:r w:rsidRPr="000752C0">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B9582C" w:rsidRPr="000752C0" w14:paraId="5D9E0292" w14:textId="77777777" w:rsidTr="00600078">
        <w:tc>
          <w:tcPr>
            <w:tcW w:w="7830" w:type="dxa"/>
            <w:tcBorders>
              <w:bottom w:val="single" w:sz="4" w:space="0" w:color="auto"/>
            </w:tcBorders>
            <w:shd w:val="clear" w:color="auto" w:fill="76923C"/>
          </w:tcPr>
          <w:p w14:paraId="2EAF8024" w14:textId="77777777" w:rsidR="00B9582C" w:rsidRPr="009B5E22" w:rsidRDefault="00B9582C" w:rsidP="00600078">
            <w:pPr>
              <w:pStyle w:val="TableHeaders"/>
              <w:rPr>
                <w:lang w:val="en-US"/>
              </w:rPr>
            </w:pPr>
            <w:r w:rsidRPr="009B5E22">
              <w:rPr>
                <w:lang w:val="en-US"/>
              </w:rPr>
              <w:t>Student-Facing Agenda</w:t>
            </w:r>
          </w:p>
        </w:tc>
        <w:tc>
          <w:tcPr>
            <w:tcW w:w="1638" w:type="dxa"/>
            <w:tcBorders>
              <w:bottom w:val="single" w:sz="4" w:space="0" w:color="auto"/>
            </w:tcBorders>
            <w:shd w:val="clear" w:color="auto" w:fill="76923C"/>
          </w:tcPr>
          <w:p w14:paraId="1DD3B39B" w14:textId="77777777" w:rsidR="00B9582C" w:rsidRPr="009B5E22" w:rsidRDefault="00B9582C" w:rsidP="00600078">
            <w:pPr>
              <w:pStyle w:val="TableHeaders"/>
              <w:rPr>
                <w:lang w:val="en-US"/>
              </w:rPr>
            </w:pPr>
            <w:r w:rsidRPr="009B5E22">
              <w:rPr>
                <w:lang w:val="en-US"/>
              </w:rPr>
              <w:t>% of Lesson</w:t>
            </w:r>
          </w:p>
        </w:tc>
      </w:tr>
      <w:tr w:rsidR="00B9582C" w:rsidRPr="000752C0" w14:paraId="767A5C4B" w14:textId="77777777" w:rsidTr="00600078">
        <w:trPr>
          <w:trHeight w:val="1313"/>
        </w:trPr>
        <w:tc>
          <w:tcPr>
            <w:tcW w:w="7830" w:type="dxa"/>
            <w:tcBorders>
              <w:bottom w:val="nil"/>
            </w:tcBorders>
          </w:tcPr>
          <w:p w14:paraId="11D57CE6" w14:textId="77777777" w:rsidR="00B9582C" w:rsidRPr="000752C0" w:rsidRDefault="00B9582C" w:rsidP="00600078">
            <w:pPr>
              <w:pStyle w:val="TableText"/>
              <w:rPr>
                <w:b/>
              </w:rPr>
            </w:pPr>
            <w:r w:rsidRPr="000752C0">
              <w:rPr>
                <w:b/>
              </w:rPr>
              <w:t>Standards &amp; Text:</w:t>
            </w:r>
          </w:p>
          <w:p w14:paraId="46253F92" w14:textId="035F1594" w:rsidR="00B9582C" w:rsidRDefault="00B9582C" w:rsidP="00600078">
            <w:pPr>
              <w:pStyle w:val="BulletedList"/>
              <w:ind w:left="317" w:hanging="317"/>
            </w:pPr>
            <w:r>
              <w:t xml:space="preserve">Standards: </w:t>
            </w:r>
            <w:r w:rsidR="00C5781E">
              <w:t>R</w:t>
            </w:r>
            <w:r w:rsidR="00B147B1">
              <w:t>I</w:t>
            </w:r>
            <w:r w:rsidR="00C5781E">
              <w:t>.11-12.</w:t>
            </w:r>
            <w:r w:rsidR="00846925">
              <w:t>3</w:t>
            </w:r>
            <w:r w:rsidR="000158B4">
              <w:t xml:space="preserve">, </w:t>
            </w:r>
            <w:r w:rsidR="00C90D24">
              <w:t xml:space="preserve">W.11-12.9.b, </w:t>
            </w:r>
            <w:r w:rsidR="000158B4">
              <w:t>L.11-12.5.a</w:t>
            </w:r>
          </w:p>
          <w:p w14:paraId="1E04B0D6" w14:textId="52BC04C2" w:rsidR="00B9582C" w:rsidRPr="000752C0" w:rsidRDefault="00B9582C" w:rsidP="007A0EF0">
            <w:pPr>
              <w:pStyle w:val="BulletedList"/>
              <w:ind w:left="317" w:hanging="317"/>
            </w:pPr>
            <w:r w:rsidRPr="000752C0">
              <w:t>Text: “</w:t>
            </w:r>
            <w:r>
              <w:t>Civil Disobedience</w:t>
            </w:r>
            <w:r w:rsidRPr="000752C0">
              <w:t xml:space="preserve">” by </w:t>
            </w:r>
            <w:r>
              <w:t>Henry David</w:t>
            </w:r>
            <w:r w:rsidRPr="000752C0">
              <w:t xml:space="preserve"> </w:t>
            </w:r>
            <w:r>
              <w:t>Thoreau</w:t>
            </w:r>
            <w:r w:rsidRPr="000752C0">
              <w:t xml:space="preserve">, </w:t>
            </w:r>
            <w:r w:rsidR="007A0EF0">
              <w:t>P</w:t>
            </w:r>
            <w:r>
              <w:t xml:space="preserve">art 3, </w:t>
            </w:r>
            <w:r w:rsidRPr="000752C0">
              <w:t>paragraphs 1</w:t>
            </w:r>
            <w:r w:rsidR="00600078">
              <w:t>7</w:t>
            </w:r>
            <w:r w:rsidRPr="000752C0">
              <w:softHyphen/>
              <w:t>–</w:t>
            </w:r>
            <w:r w:rsidR="00600078">
              <w:t>19</w:t>
            </w:r>
          </w:p>
        </w:tc>
        <w:tc>
          <w:tcPr>
            <w:tcW w:w="1638" w:type="dxa"/>
            <w:tcBorders>
              <w:bottom w:val="nil"/>
            </w:tcBorders>
          </w:tcPr>
          <w:p w14:paraId="3500D1B1" w14:textId="77777777" w:rsidR="00B9582C" w:rsidRPr="000752C0" w:rsidRDefault="00B9582C" w:rsidP="00600078"/>
          <w:p w14:paraId="7B7945DE" w14:textId="77777777" w:rsidR="00B9582C" w:rsidRPr="000752C0" w:rsidRDefault="00B9582C" w:rsidP="00600078">
            <w:pPr>
              <w:pStyle w:val="NumberedList"/>
              <w:numPr>
                <w:ilvl w:val="0"/>
                <w:numId w:val="0"/>
              </w:numPr>
            </w:pPr>
          </w:p>
        </w:tc>
      </w:tr>
      <w:tr w:rsidR="00B9582C" w:rsidRPr="000752C0" w14:paraId="5499FA7D" w14:textId="77777777" w:rsidTr="00600078">
        <w:tc>
          <w:tcPr>
            <w:tcW w:w="7830" w:type="dxa"/>
            <w:tcBorders>
              <w:top w:val="nil"/>
            </w:tcBorders>
          </w:tcPr>
          <w:p w14:paraId="4F3392D2" w14:textId="77777777" w:rsidR="00B9582C" w:rsidRPr="000752C0" w:rsidRDefault="00B9582C" w:rsidP="00600078">
            <w:pPr>
              <w:pStyle w:val="TableText"/>
              <w:rPr>
                <w:b/>
              </w:rPr>
            </w:pPr>
            <w:r w:rsidRPr="000752C0">
              <w:rPr>
                <w:b/>
              </w:rPr>
              <w:t>Learning Sequence:</w:t>
            </w:r>
          </w:p>
          <w:p w14:paraId="08945996" w14:textId="77777777" w:rsidR="00B9582C" w:rsidRPr="000752C0" w:rsidRDefault="00B9582C" w:rsidP="00600078">
            <w:pPr>
              <w:pStyle w:val="NumberedList"/>
              <w:numPr>
                <w:ilvl w:val="0"/>
                <w:numId w:val="11"/>
              </w:numPr>
            </w:pPr>
            <w:r w:rsidRPr="000752C0">
              <w:t>Introduction of Lesson Agenda</w:t>
            </w:r>
          </w:p>
          <w:p w14:paraId="3E3D740F" w14:textId="77777777" w:rsidR="00B9582C" w:rsidRPr="000752C0" w:rsidRDefault="00B9582C" w:rsidP="00600078">
            <w:pPr>
              <w:pStyle w:val="NumberedList"/>
              <w:numPr>
                <w:ilvl w:val="0"/>
                <w:numId w:val="11"/>
              </w:numPr>
            </w:pPr>
            <w:r w:rsidRPr="000752C0">
              <w:t xml:space="preserve">Homework Accountability </w:t>
            </w:r>
          </w:p>
          <w:p w14:paraId="569A2F80" w14:textId="77777777" w:rsidR="00B9582C" w:rsidRPr="000752C0" w:rsidRDefault="00B9582C" w:rsidP="00600078">
            <w:pPr>
              <w:pStyle w:val="NumberedList"/>
              <w:numPr>
                <w:ilvl w:val="0"/>
                <w:numId w:val="11"/>
              </w:numPr>
            </w:pPr>
            <w:r w:rsidRPr="000752C0">
              <w:t>Reading and Discussion</w:t>
            </w:r>
          </w:p>
          <w:p w14:paraId="741D2959" w14:textId="77777777" w:rsidR="00B9582C" w:rsidRPr="000752C0" w:rsidRDefault="00B9582C" w:rsidP="00600078">
            <w:pPr>
              <w:pStyle w:val="NumberedList"/>
              <w:numPr>
                <w:ilvl w:val="0"/>
                <w:numId w:val="11"/>
              </w:numPr>
            </w:pPr>
            <w:r w:rsidRPr="000752C0">
              <w:t>Quick Write</w:t>
            </w:r>
          </w:p>
          <w:p w14:paraId="1DC83219" w14:textId="77777777" w:rsidR="00B9582C" w:rsidRPr="000752C0" w:rsidRDefault="00B9582C" w:rsidP="00600078">
            <w:pPr>
              <w:pStyle w:val="NumberedList"/>
              <w:numPr>
                <w:ilvl w:val="0"/>
                <w:numId w:val="11"/>
              </w:numPr>
            </w:pPr>
            <w:r w:rsidRPr="000752C0">
              <w:t>Closing</w:t>
            </w:r>
          </w:p>
        </w:tc>
        <w:tc>
          <w:tcPr>
            <w:tcW w:w="1638" w:type="dxa"/>
            <w:tcBorders>
              <w:top w:val="nil"/>
            </w:tcBorders>
          </w:tcPr>
          <w:p w14:paraId="243698D0" w14:textId="77777777" w:rsidR="00B9582C" w:rsidRPr="000752C0" w:rsidRDefault="00B9582C" w:rsidP="00600078">
            <w:pPr>
              <w:pStyle w:val="TableText"/>
            </w:pPr>
          </w:p>
          <w:p w14:paraId="5D913216" w14:textId="77777777" w:rsidR="00B9582C" w:rsidRPr="000752C0" w:rsidRDefault="00B9582C" w:rsidP="00600078">
            <w:pPr>
              <w:pStyle w:val="NumberedList"/>
            </w:pPr>
            <w:r>
              <w:t>5</w:t>
            </w:r>
            <w:r w:rsidRPr="000752C0">
              <w:t>%</w:t>
            </w:r>
          </w:p>
          <w:p w14:paraId="263B5D9F" w14:textId="77777777" w:rsidR="00B9582C" w:rsidRPr="000752C0" w:rsidRDefault="00C5781E" w:rsidP="00600078">
            <w:pPr>
              <w:pStyle w:val="NumberedList"/>
              <w:numPr>
                <w:ilvl w:val="0"/>
                <w:numId w:val="11"/>
              </w:numPr>
            </w:pPr>
            <w:r>
              <w:t>20</w:t>
            </w:r>
            <w:r w:rsidR="00B9582C" w:rsidRPr="000752C0">
              <w:t>%</w:t>
            </w:r>
          </w:p>
          <w:p w14:paraId="4E835841" w14:textId="77777777" w:rsidR="00B9582C" w:rsidRPr="000752C0" w:rsidRDefault="00C5781E" w:rsidP="00600078">
            <w:pPr>
              <w:pStyle w:val="NumberedList"/>
              <w:numPr>
                <w:ilvl w:val="0"/>
                <w:numId w:val="11"/>
              </w:numPr>
            </w:pPr>
            <w:r>
              <w:t>55</w:t>
            </w:r>
            <w:r w:rsidR="00B9582C" w:rsidRPr="000752C0">
              <w:t>%</w:t>
            </w:r>
          </w:p>
          <w:p w14:paraId="1FDD97FF" w14:textId="77777777" w:rsidR="00B9582C" w:rsidRPr="000752C0" w:rsidRDefault="00B9582C" w:rsidP="00600078">
            <w:pPr>
              <w:pStyle w:val="NumberedList"/>
              <w:numPr>
                <w:ilvl w:val="0"/>
                <w:numId w:val="11"/>
              </w:numPr>
            </w:pPr>
            <w:r w:rsidRPr="000752C0">
              <w:t>15%</w:t>
            </w:r>
          </w:p>
          <w:p w14:paraId="131CD813" w14:textId="77777777" w:rsidR="00B9582C" w:rsidRPr="000752C0" w:rsidRDefault="00B9582C" w:rsidP="00600078">
            <w:pPr>
              <w:pStyle w:val="NumberedList"/>
              <w:numPr>
                <w:ilvl w:val="0"/>
                <w:numId w:val="11"/>
              </w:numPr>
            </w:pPr>
            <w:r w:rsidRPr="000752C0">
              <w:t>5%</w:t>
            </w:r>
          </w:p>
        </w:tc>
      </w:tr>
    </w:tbl>
    <w:p w14:paraId="322B5FFB" w14:textId="77777777" w:rsidR="00B9582C" w:rsidRPr="000752C0" w:rsidRDefault="00B9582C" w:rsidP="00B9582C">
      <w:pPr>
        <w:pStyle w:val="Heading1"/>
      </w:pPr>
      <w:r w:rsidRPr="000752C0">
        <w:t>Materials</w:t>
      </w:r>
    </w:p>
    <w:p w14:paraId="450E0077" w14:textId="77777777" w:rsidR="00B9582C" w:rsidRDefault="00B9582C" w:rsidP="00B9582C">
      <w:pPr>
        <w:pStyle w:val="BulletedList"/>
        <w:ind w:left="317" w:hanging="317"/>
      </w:pPr>
      <w:r w:rsidRPr="000752C0">
        <w:t xml:space="preserve">Student copies of the Short Response Rubric and Checklist (refer to </w:t>
      </w:r>
      <w:r>
        <w:t>12</w:t>
      </w:r>
      <w:r w:rsidRPr="000752C0">
        <w:t>.2.1 Lesson 1)</w:t>
      </w:r>
      <w:r w:rsidR="00C5781E">
        <w:t xml:space="preserve"> (optional)</w:t>
      </w:r>
    </w:p>
    <w:p w14:paraId="4534BEBB" w14:textId="6BACEC6F" w:rsidR="00B20F9A" w:rsidRPr="000752C0" w:rsidRDefault="00B20F9A" w:rsidP="007A0EF0">
      <w:pPr>
        <w:pStyle w:val="BulletedList"/>
      </w:pPr>
      <w:r>
        <w:t>Student copies of the Central Ideas Tracking Tool (refer to 12.2.1 Lesson 4)</w:t>
      </w:r>
      <w:r w:rsidR="007A0EF0" w:rsidRPr="007A0EF0">
        <w:t>—students may need additional blank copies</w:t>
      </w:r>
    </w:p>
    <w:p w14:paraId="1385DC2F" w14:textId="77777777" w:rsidR="00B9582C" w:rsidRPr="000752C0" w:rsidRDefault="00B9582C" w:rsidP="00B9582C">
      <w:pPr>
        <w:pStyle w:val="Heading1"/>
      </w:pPr>
      <w:r w:rsidRPr="000752C0">
        <w:lastRenderedPageBreak/>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8562"/>
      </w:tblGrid>
      <w:tr w:rsidR="00B9582C" w:rsidRPr="000752C0" w14:paraId="2E1E3155" w14:textId="77777777" w:rsidTr="00F76B63">
        <w:tc>
          <w:tcPr>
            <w:tcW w:w="9468" w:type="dxa"/>
            <w:gridSpan w:val="2"/>
            <w:shd w:val="clear" w:color="auto" w:fill="76923C"/>
          </w:tcPr>
          <w:p w14:paraId="115CBF29" w14:textId="77777777" w:rsidR="00B9582C" w:rsidRPr="009B5E22" w:rsidRDefault="00B9582C" w:rsidP="00600078">
            <w:pPr>
              <w:pStyle w:val="TableHeaders"/>
              <w:rPr>
                <w:lang w:val="en-US"/>
              </w:rPr>
            </w:pPr>
            <w:r w:rsidRPr="009B5E22">
              <w:rPr>
                <w:lang w:val="en-US"/>
              </w:rPr>
              <w:t>How to Use the Learning Sequence</w:t>
            </w:r>
          </w:p>
        </w:tc>
      </w:tr>
      <w:tr w:rsidR="00B9582C" w:rsidRPr="000752C0" w14:paraId="0481A14A" w14:textId="77777777" w:rsidTr="00744BFE">
        <w:tc>
          <w:tcPr>
            <w:tcW w:w="906" w:type="dxa"/>
            <w:shd w:val="clear" w:color="auto" w:fill="76923C"/>
          </w:tcPr>
          <w:p w14:paraId="57574E83" w14:textId="77777777" w:rsidR="00B9582C" w:rsidRPr="009B5E22" w:rsidRDefault="00B9582C" w:rsidP="00600078">
            <w:pPr>
              <w:pStyle w:val="TableHeaders"/>
              <w:rPr>
                <w:lang w:val="en-US"/>
              </w:rPr>
            </w:pPr>
            <w:r w:rsidRPr="009B5E22">
              <w:rPr>
                <w:lang w:val="en-US"/>
              </w:rPr>
              <w:t>Symbol</w:t>
            </w:r>
          </w:p>
        </w:tc>
        <w:tc>
          <w:tcPr>
            <w:tcW w:w="8562" w:type="dxa"/>
            <w:shd w:val="clear" w:color="auto" w:fill="76923C"/>
          </w:tcPr>
          <w:p w14:paraId="4B6BE01D" w14:textId="77777777" w:rsidR="00B9582C" w:rsidRPr="009B5E22" w:rsidRDefault="00B9582C" w:rsidP="00600078">
            <w:pPr>
              <w:pStyle w:val="TableHeaders"/>
              <w:rPr>
                <w:lang w:val="en-US"/>
              </w:rPr>
            </w:pPr>
            <w:r w:rsidRPr="009B5E22">
              <w:rPr>
                <w:lang w:val="en-US"/>
              </w:rPr>
              <w:t>Type of Text &amp; Interpretation of the Symbol</w:t>
            </w:r>
          </w:p>
        </w:tc>
      </w:tr>
      <w:tr w:rsidR="00B9582C" w:rsidRPr="000752C0" w14:paraId="5C826FD3" w14:textId="77777777" w:rsidTr="00744BFE">
        <w:tc>
          <w:tcPr>
            <w:tcW w:w="906" w:type="dxa"/>
            <w:shd w:val="clear" w:color="auto" w:fill="auto"/>
          </w:tcPr>
          <w:p w14:paraId="7C1544CF" w14:textId="77777777" w:rsidR="00B9582C" w:rsidRPr="00F76B63" w:rsidRDefault="00B9582C" w:rsidP="00F76B63">
            <w:pPr>
              <w:spacing w:before="20" w:after="20" w:line="240" w:lineRule="auto"/>
              <w:jc w:val="center"/>
              <w:rPr>
                <w:b/>
                <w:color w:val="4F81BD"/>
                <w:sz w:val="20"/>
              </w:rPr>
            </w:pPr>
            <w:r w:rsidRPr="00F76B63">
              <w:rPr>
                <w:b/>
                <w:color w:val="4F81BD"/>
                <w:sz w:val="20"/>
              </w:rPr>
              <w:t>10%</w:t>
            </w:r>
          </w:p>
        </w:tc>
        <w:tc>
          <w:tcPr>
            <w:tcW w:w="8562" w:type="dxa"/>
            <w:shd w:val="clear" w:color="auto" w:fill="auto"/>
          </w:tcPr>
          <w:p w14:paraId="56FDAA7D" w14:textId="77777777" w:rsidR="00B9582C" w:rsidRPr="00F76B63" w:rsidRDefault="00B9582C" w:rsidP="00F76B63">
            <w:pPr>
              <w:spacing w:before="20" w:after="20" w:line="240" w:lineRule="auto"/>
              <w:rPr>
                <w:b/>
                <w:color w:val="4F81BD"/>
                <w:sz w:val="20"/>
              </w:rPr>
            </w:pPr>
            <w:r w:rsidRPr="00F76B63">
              <w:rPr>
                <w:b/>
                <w:color w:val="4F81BD"/>
                <w:sz w:val="20"/>
              </w:rPr>
              <w:t>Percentage indicates the percentage of lesson time each activity should take.</w:t>
            </w:r>
          </w:p>
        </w:tc>
      </w:tr>
      <w:tr w:rsidR="00B9582C" w:rsidRPr="000752C0" w14:paraId="1C69B25C" w14:textId="77777777" w:rsidTr="00744BFE">
        <w:tc>
          <w:tcPr>
            <w:tcW w:w="906" w:type="dxa"/>
            <w:vMerge w:val="restart"/>
            <w:shd w:val="clear" w:color="auto" w:fill="auto"/>
            <w:vAlign w:val="center"/>
          </w:tcPr>
          <w:p w14:paraId="1308D982" w14:textId="77777777" w:rsidR="00B9582C" w:rsidRPr="00F76B63" w:rsidRDefault="00B9582C" w:rsidP="00F76B63">
            <w:pPr>
              <w:spacing w:before="20" w:after="20" w:line="240" w:lineRule="auto"/>
              <w:jc w:val="center"/>
              <w:rPr>
                <w:sz w:val="18"/>
              </w:rPr>
            </w:pPr>
            <w:r w:rsidRPr="00F76B63">
              <w:rPr>
                <w:sz w:val="18"/>
              </w:rPr>
              <w:t>no symbol</w:t>
            </w:r>
          </w:p>
        </w:tc>
        <w:tc>
          <w:tcPr>
            <w:tcW w:w="8562" w:type="dxa"/>
            <w:shd w:val="clear" w:color="auto" w:fill="auto"/>
          </w:tcPr>
          <w:p w14:paraId="558CFA43" w14:textId="77777777" w:rsidR="00B9582C" w:rsidRPr="00F76B63" w:rsidRDefault="00B9582C" w:rsidP="00F76B63">
            <w:pPr>
              <w:spacing w:before="20" w:after="20" w:line="240" w:lineRule="auto"/>
              <w:rPr>
                <w:sz w:val="20"/>
              </w:rPr>
            </w:pPr>
            <w:r w:rsidRPr="00F76B63">
              <w:rPr>
                <w:sz w:val="20"/>
              </w:rPr>
              <w:t>Plain text indicates teacher action.</w:t>
            </w:r>
          </w:p>
        </w:tc>
      </w:tr>
      <w:tr w:rsidR="00B9582C" w:rsidRPr="000752C0" w14:paraId="2247C029" w14:textId="77777777" w:rsidTr="00744BFE">
        <w:tc>
          <w:tcPr>
            <w:tcW w:w="906" w:type="dxa"/>
            <w:vMerge/>
            <w:shd w:val="clear" w:color="auto" w:fill="auto"/>
          </w:tcPr>
          <w:p w14:paraId="1DEC3AFB" w14:textId="77777777" w:rsidR="00B9582C" w:rsidRPr="00F76B63" w:rsidRDefault="00B9582C" w:rsidP="00F76B63">
            <w:pPr>
              <w:spacing w:before="20" w:after="20" w:line="240" w:lineRule="auto"/>
              <w:jc w:val="center"/>
              <w:rPr>
                <w:b/>
                <w:color w:val="000000"/>
                <w:sz w:val="20"/>
              </w:rPr>
            </w:pPr>
          </w:p>
        </w:tc>
        <w:tc>
          <w:tcPr>
            <w:tcW w:w="8562" w:type="dxa"/>
            <w:shd w:val="clear" w:color="auto" w:fill="auto"/>
          </w:tcPr>
          <w:p w14:paraId="0A9F7492" w14:textId="77777777" w:rsidR="00B9582C" w:rsidRPr="00F76B63" w:rsidRDefault="00B9582C" w:rsidP="00F76B63">
            <w:pPr>
              <w:spacing w:before="20" w:after="20" w:line="240" w:lineRule="auto"/>
              <w:rPr>
                <w:color w:val="4F81BD"/>
                <w:sz w:val="20"/>
              </w:rPr>
            </w:pPr>
            <w:r w:rsidRPr="00F76B63">
              <w:rPr>
                <w:b/>
                <w:sz w:val="20"/>
              </w:rPr>
              <w:t>Bold text indicates questions for the teacher to ask students.</w:t>
            </w:r>
          </w:p>
        </w:tc>
      </w:tr>
      <w:tr w:rsidR="00B9582C" w:rsidRPr="000752C0" w14:paraId="1EEEEADD" w14:textId="77777777" w:rsidTr="00744BFE">
        <w:tc>
          <w:tcPr>
            <w:tcW w:w="906" w:type="dxa"/>
            <w:vMerge/>
            <w:shd w:val="clear" w:color="auto" w:fill="auto"/>
          </w:tcPr>
          <w:p w14:paraId="35A3A46F" w14:textId="77777777" w:rsidR="00B9582C" w:rsidRPr="00F76B63" w:rsidRDefault="00B9582C" w:rsidP="00F76B63">
            <w:pPr>
              <w:spacing w:before="20" w:after="20" w:line="240" w:lineRule="auto"/>
              <w:jc w:val="center"/>
              <w:rPr>
                <w:b/>
                <w:color w:val="000000"/>
                <w:sz w:val="20"/>
              </w:rPr>
            </w:pPr>
          </w:p>
        </w:tc>
        <w:tc>
          <w:tcPr>
            <w:tcW w:w="8562" w:type="dxa"/>
            <w:shd w:val="clear" w:color="auto" w:fill="auto"/>
          </w:tcPr>
          <w:p w14:paraId="61E8115C" w14:textId="77777777" w:rsidR="00B9582C" w:rsidRPr="00F76B63" w:rsidRDefault="00B9582C" w:rsidP="00F76B63">
            <w:pPr>
              <w:spacing w:before="20" w:after="20" w:line="240" w:lineRule="auto"/>
              <w:rPr>
                <w:i/>
                <w:sz w:val="20"/>
              </w:rPr>
            </w:pPr>
            <w:r w:rsidRPr="00F76B63">
              <w:rPr>
                <w:i/>
                <w:sz w:val="20"/>
              </w:rPr>
              <w:t>Italicized text indicates a vocabulary word.</w:t>
            </w:r>
          </w:p>
        </w:tc>
      </w:tr>
      <w:tr w:rsidR="00B9582C" w:rsidRPr="000752C0" w14:paraId="6197DCE4" w14:textId="77777777" w:rsidTr="00744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shd w:val="clear" w:color="auto" w:fill="auto"/>
            <w:vAlign w:val="bottom"/>
          </w:tcPr>
          <w:p w14:paraId="4EB4DE1A" w14:textId="77777777" w:rsidR="00B9582C" w:rsidRPr="00F76B63" w:rsidRDefault="00B9582C" w:rsidP="00F76B63">
            <w:pPr>
              <w:spacing w:before="40" w:after="0" w:line="240" w:lineRule="auto"/>
              <w:jc w:val="center"/>
              <w:rPr>
                <w:sz w:val="20"/>
              </w:rPr>
            </w:pPr>
            <w:r w:rsidRPr="00F76B63">
              <w:sym w:font="Webdings" w:char="F034"/>
            </w:r>
          </w:p>
        </w:tc>
        <w:tc>
          <w:tcPr>
            <w:tcW w:w="8562" w:type="dxa"/>
            <w:shd w:val="clear" w:color="auto" w:fill="auto"/>
          </w:tcPr>
          <w:p w14:paraId="0BB95FAB" w14:textId="77777777" w:rsidR="00B9582C" w:rsidRPr="00F76B63" w:rsidRDefault="00B9582C" w:rsidP="00F76B63">
            <w:pPr>
              <w:spacing w:before="20" w:after="20" w:line="240" w:lineRule="auto"/>
              <w:rPr>
                <w:sz w:val="20"/>
              </w:rPr>
            </w:pPr>
            <w:r w:rsidRPr="00F76B63">
              <w:rPr>
                <w:sz w:val="20"/>
              </w:rPr>
              <w:t>Indicates student action(s).</w:t>
            </w:r>
          </w:p>
        </w:tc>
      </w:tr>
      <w:tr w:rsidR="00B9582C" w:rsidRPr="000752C0" w14:paraId="7EF1459E" w14:textId="77777777" w:rsidTr="00744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 w:type="dxa"/>
            <w:shd w:val="clear" w:color="auto" w:fill="auto"/>
            <w:vAlign w:val="center"/>
          </w:tcPr>
          <w:p w14:paraId="1A01F265" w14:textId="77777777" w:rsidR="00B9582C" w:rsidRPr="00F76B63" w:rsidRDefault="00B9582C" w:rsidP="00F76B63">
            <w:pPr>
              <w:spacing w:before="80" w:after="0" w:line="240" w:lineRule="auto"/>
              <w:jc w:val="center"/>
              <w:rPr>
                <w:sz w:val="20"/>
              </w:rPr>
            </w:pPr>
            <w:r w:rsidRPr="00F76B63">
              <w:rPr>
                <w:sz w:val="20"/>
              </w:rPr>
              <w:sym w:font="Webdings" w:char="F028"/>
            </w:r>
          </w:p>
        </w:tc>
        <w:tc>
          <w:tcPr>
            <w:tcW w:w="8562" w:type="dxa"/>
            <w:shd w:val="clear" w:color="auto" w:fill="auto"/>
          </w:tcPr>
          <w:p w14:paraId="57BCBED1" w14:textId="77777777" w:rsidR="00B9582C" w:rsidRPr="00F76B63" w:rsidRDefault="00B9582C" w:rsidP="00F76B63">
            <w:pPr>
              <w:spacing w:before="20" w:after="20" w:line="240" w:lineRule="auto"/>
              <w:rPr>
                <w:sz w:val="20"/>
              </w:rPr>
            </w:pPr>
            <w:r w:rsidRPr="00F76B63">
              <w:rPr>
                <w:sz w:val="20"/>
              </w:rPr>
              <w:t>Indicates possible student response(s) to teacher questions.</w:t>
            </w:r>
          </w:p>
        </w:tc>
      </w:tr>
      <w:tr w:rsidR="00B9582C" w:rsidRPr="000752C0" w14:paraId="5E523A08" w14:textId="77777777" w:rsidTr="00744BFE">
        <w:tc>
          <w:tcPr>
            <w:tcW w:w="906" w:type="dxa"/>
            <w:shd w:val="clear" w:color="auto" w:fill="auto"/>
            <w:vAlign w:val="bottom"/>
          </w:tcPr>
          <w:p w14:paraId="0908BB9B" w14:textId="77777777" w:rsidR="00B9582C" w:rsidRPr="00F76B63" w:rsidRDefault="00B9582C" w:rsidP="00F76B63">
            <w:pPr>
              <w:spacing w:after="0" w:line="240" w:lineRule="auto"/>
              <w:jc w:val="center"/>
              <w:rPr>
                <w:color w:val="4F81BD"/>
                <w:sz w:val="20"/>
              </w:rPr>
            </w:pPr>
            <w:r w:rsidRPr="00F76B63">
              <w:rPr>
                <w:color w:val="4F81BD"/>
                <w:sz w:val="20"/>
              </w:rPr>
              <w:sym w:font="Webdings" w:char="F069"/>
            </w:r>
          </w:p>
        </w:tc>
        <w:tc>
          <w:tcPr>
            <w:tcW w:w="8562" w:type="dxa"/>
            <w:shd w:val="clear" w:color="auto" w:fill="auto"/>
          </w:tcPr>
          <w:p w14:paraId="2F11F0DE" w14:textId="77777777" w:rsidR="00B9582C" w:rsidRPr="00F76B63" w:rsidRDefault="00B9582C" w:rsidP="00F76B63">
            <w:pPr>
              <w:spacing w:before="20" w:after="20" w:line="240" w:lineRule="auto"/>
              <w:rPr>
                <w:color w:val="4F81BD"/>
                <w:sz w:val="20"/>
              </w:rPr>
            </w:pPr>
            <w:r w:rsidRPr="00F76B63">
              <w:rPr>
                <w:color w:val="4F81BD"/>
                <w:sz w:val="20"/>
              </w:rPr>
              <w:t>Indicates instructional notes for the teacher.</w:t>
            </w:r>
          </w:p>
        </w:tc>
      </w:tr>
    </w:tbl>
    <w:p w14:paraId="13892664" w14:textId="77777777" w:rsidR="00B9582C" w:rsidRPr="000752C0" w:rsidRDefault="00B9582C" w:rsidP="009C352A">
      <w:pPr>
        <w:spacing w:before="0" w:after="0"/>
      </w:pPr>
    </w:p>
    <w:p w14:paraId="0F9289DF" w14:textId="77777777" w:rsidR="00B9582C" w:rsidRPr="000752C0" w:rsidRDefault="00B9582C" w:rsidP="00B9582C">
      <w:pPr>
        <w:pStyle w:val="LearningSequenceHeader"/>
        <w:rPr>
          <w:rFonts w:ascii="Calibri" w:hAnsi="Calibri"/>
        </w:rPr>
      </w:pPr>
      <w:r w:rsidRPr="000752C0">
        <w:rPr>
          <w:rFonts w:ascii="Calibri" w:hAnsi="Calibri"/>
        </w:rPr>
        <w:t>Activity 1: Introduction of Lesson Agenda</w:t>
      </w:r>
      <w:r w:rsidRPr="000752C0">
        <w:rPr>
          <w:rFonts w:ascii="Calibri" w:hAnsi="Calibri"/>
        </w:rPr>
        <w:tab/>
      </w:r>
      <w:r>
        <w:rPr>
          <w:rFonts w:ascii="Calibri" w:hAnsi="Calibri"/>
        </w:rPr>
        <w:t>5</w:t>
      </w:r>
      <w:r w:rsidRPr="000752C0">
        <w:rPr>
          <w:rFonts w:ascii="Calibri" w:hAnsi="Calibri"/>
        </w:rPr>
        <w:t>%</w:t>
      </w:r>
    </w:p>
    <w:p w14:paraId="03BFE4B1" w14:textId="24F7913A" w:rsidR="00B9582C" w:rsidRPr="000752C0" w:rsidRDefault="00B9582C" w:rsidP="00B9582C">
      <w:pPr>
        <w:pStyle w:val="TA"/>
      </w:pPr>
      <w:r w:rsidRPr="000752C0">
        <w:t xml:space="preserve">Begin by reviewing the agenda and the assessed standard for this lesson: </w:t>
      </w:r>
      <w:r w:rsidR="00C5781E">
        <w:t>R</w:t>
      </w:r>
      <w:r w:rsidR="00B147B1">
        <w:t>I</w:t>
      </w:r>
      <w:r w:rsidR="00C5781E">
        <w:t>.11-12.</w:t>
      </w:r>
      <w:r w:rsidR="00846925">
        <w:t>3</w:t>
      </w:r>
      <w:r w:rsidRPr="000752C0">
        <w:t xml:space="preserve">. In this lesson, students explore how </w:t>
      </w:r>
      <w:r w:rsidR="00600078">
        <w:t>Thoreau develops his ideas about democracy</w:t>
      </w:r>
      <w:r w:rsidR="00C90D24">
        <w:t xml:space="preserve"> and government</w:t>
      </w:r>
      <w:r w:rsidR="00600078">
        <w:t xml:space="preserve"> </w:t>
      </w:r>
      <w:r w:rsidR="00594AA7">
        <w:t>in part 3, paragraphs 17</w:t>
      </w:r>
      <w:r w:rsidR="007A0EF0">
        <w:t>–</w:t>
      </w:r>
      <w:r w:rsidR="00594AA7">
        <w:t xml:space="preserve">19 of </w:t>
      </w:r>
      <w:r w:rsidR="00B430EF">
        <w:t>“Civil Disobedience</w:t>
      </w:r>
      <w:r w:rsidR="0071173B">
        <w:t>.</w:t>
      </w:r>
      <w:r w:rsidR="00B430EF">
        <w:t>”</w:t>
      </w:r>
      <w:r w:rsidR="00600078">
        <w:t xml:space="preserve"> </w:t>
      </w:r>
      <w:r w:rsidRPr="000752C0">
        <w:t xml:space="preserve">Students engage in </w:t>
      </w:r>
      <w:r w:rsidR="005B04AB">
        <w:t xml:space="preserve">an </w:t>
      </w:r>
      <w:r w:rsidRPr="000752C0">
        <w:t>evidence-bas</w:t>
      </w:r>
      <w:r>
        <w:t>ed discussion and complete</w:t>
      </w:r>
      <w:r w:rsidRPr="000752C0">
        <w:t xml:space="preserve"> a brief writing assignment to close the lesson.</w:t>
      </w:r>
    </w:p>
    <w:p w14:paraId="73B50203" w14:textId="77777777" w:rsidR="00B9582C" w:rsidRPr="000752C0" w:rsidRDefault="00B9582C" w:rsidP="00B9582C">
      <w:pPr>
        <w:pStyle w:val="SA"/>
        <w:numPr>
          <w:ilvl w:val="0"/>
          <w:numId w:val="2"/>
        </w:numPr>
      </w:pPr>
      <w:r w:rsidRPr="000752C0">
        <w:t>Students look at the agenda.</w:t>
      </w:r>
    </w:p>
    <w:p w14:paraId="021B1146" w14:textId="77777777" w:rsidR="00B9582C" w:rsidRDefault="00B9582C" w:rsidP="00B9582C">
      <w:pPr>
        <w:pStyle w:val="LearningSequenceHeader"/>
        <w:rPr>
          <w:rFonts w:ascii="Calibri" w:hAnsi="Calibri"/>
        </w:rPr>
      </w:pPr>
      <w:r w:rsidRPr="000752C0">
        <w:rPr>
          <w:rFonts w:ascii="Calibri" w:hAnsi="Calibri"/>
        </w:rPr>
        <w:t>Activity 2: Homework Accountability</w:t>
      </w:r>
      <w:r w:rsidRPr="000752C0">
        <w:rPr>
          <w:rFonts w:ascii="Calibri" w:hAnsi="Calibri"/>
        </w:rPr>
        <w:tab/>
      </w:r>
      <w:r w:rsidR="0009111E">
        <w:rPr>
          <w:rFonts w:ascii="Calibri" w:hAnsi="Calibri"/>
        </w:rPr>
        <w:t>20</w:t>
      </w:r>
      <w:r w:rsidRPr="000752C0">
        <w:rPr>
          <w:rFonts w:ascii="Calibri" w:hAnsi="Calibri"/>
        </w:rPr>
        <w:t>%</w:t>
      </w:r>
    </w:p>
    <w:p w14:paraId="6372585C" w14:textId="77777777" w:rsidR="00FC496E" w:rsidRDefault="00846925" w:rsidP="00FC496E">
      <w:pPr>
        <w:pStyle w:val="TA"/>
      </w:pPr>
      <w:r>
        <w:t xml:space="preserve">Instruct students to take out their responses to the </w:t>
      </w:r>
      <w:r w:rsidR="005F789B">
        <w:t xml:space="preserve">first part of the </w:t>
      </w:r>
      <w:r>
        <w:t>previous</w:t>
      </w:r>
      <w:r w:rsidR="00A016D1">
        <w:t xml:space="preserve"> lesson’s homework assignment. </w:t>
      </w:r>
      <w:r w:rsidR="00FC496E">
        <w:t xml:space="preserve">(Add at least two ideas to your </w:t>
      </w:r>
      <w:r w:rsidR="005972CF">
        <w:t xml:space="preserve">Central </w:t>
      </w:r>
      <w:r w:rsidR="00FC496E">
        <w:t>Ideas Tracking Tool.)</w:t>
      </w:r>
      <w:r w:rsidR="00A016D1">
        <w:t xml:space="preserve"> Instruct students to Turn-and-Talk in pairs to discuss their responses.</w:t>
      </w:r>
    </w:p>
    <w:p w14:paraId="34B4A887" w14:textId="77777777" w:rsidR="00FC496E" w:rsidRDefault="00FC496E" w:rsidP="00DA23B4">
      <w:pPr>
        <w:pStyle w:val="SR"/>
      </w:pPr>
      <w:r>
        <w:t xml:space="preserve">See the Model </w:t>
      </w:r>
      <w:r w:rsidR="005972CF">
        <w:t xml:space="preserve">Central </w:t>
      </w:r>
      <w:r>
        <w:t xml:space="preserve">Ideas Tracking Tool </w:t>
      </w:r>
      <w:r w:rsidR="005F789B">
        <w:t>at the end of this lesson</w:t>
      </w:r>
      <w:r>
        <w:t>.</w:t>
      </w:r>
    </w:p>
    <w:p w14:paraId="11B20B21" w14:textId="77777777" w:rsidR="0060220E" w:rsidRDefault="0060220E" w:rsidP="000E49F8">
      <w:pPr>
        <w:pStyle w:val="BR"/>
      </w:pPr>
    </w:p>
    <w:p w14:paraId="76619A6C" w14:textId="7B83D8BA" w:rsidR="00B32D12" w:rsidRPr="00DC3054" w:rsidRDefault="00B32D12" w:rsidP="00B32D12">
      <w:pPr>
        <w:pStyle w:val="TA"/>
      </w:pPr>
      <w:r w:rsidRPr="00DC3054">
        <w:t xml:space="preserve">Instruct students to take out their </w:t>
      </w:r>
      <w:r w:rsidR="00A016D1">
        <w:t xml:space="preserve">responses to the </w:t>
      </w:r>
      <w:r w:rsidR="005F789B">
        <w:t xml:space="preserve">second part of the </w:t>
      </w:r>
      <w:r w:rsidR="00A016D1">
        <w:t xml:space="preserve">previous lesson’s </w:t>
      </w:r>
      <w:r w:rsidRPr="00DC3054">
        <w:t xml:space="preserve">homework </w:t>
      </w:r>
      <w:r w:rsidR="00A016D1">
        <w:t>assignment</w:t>
      </w:r>
      <w:r>
        <w:t>.</w:t>
      </w:r>
      <w:r w:rsidRPr="00DC3054">
        <w:t xml:space="preserve"> (Read </w:t>
      </w:r>
      <w:r>
        <w:t xml:space="preserve">and annotate </w:t>
      </w:r>
      <w:r w:rsidR="00A12CF5">
        <w:t xml:space="preserve">part 3, </w:t>
      </w:r>
      <w:r>
        <w:t>paragraphs 9</w:t>
      </w:r>
      <w:r w:rsidR="00A016D1">
        <w:t>–</w:t>
      </w:r>
      <w:r>
        <w:t>16 of “Civil Disobedience”</w:t>
      </w:r>
      <w:r w:rsidRPr="00DC3054">
        <w:rPr>
          <w:i/>
          <w:iCs/>
        </w:rPr>
        <w:t xml:space="preserve"> </w:t>
      </w:r>
      <w:r w:rsidRPr="00DC3054">
        <w:t xml:space="preserve">and develop </w:t>
      </w:r>
      <w:r>
        <w:t>2–3</w:t>
      </w:r>
      <w:r w:rsidRPr="00DC3054">
        <w:t xml:space="preserve"> </w:t>
      </w:r>
      <w:r>
        <w:t xml:space="preserve">discussion </w:t>
      </w:r>
      <w:r w:rsidRPr="00DC3054">
        <w:t xml:space="preserve">questions focused on </w:t>
      </w:r>
      <w:r w:rsidRPr="00304593">
        <w:t xml:space="preserve">how </w:t>
      </w:r>
      <w:r w:rsidRPr="00F76B63">
        <w:rPr>
          <w:rFonts w:eastAsia="MS Mincho" w:cs="Perpetua"/>
          <w:color w:val="000000"/>
          <w:lang w:eastAsia="ja-JP"/>
        </w:rPr>
        <w:t>specific individuals, ideas, or events interact and develop over the course of the text</w:t>
      </w:r>
      <w:r w:rsidRPr="00DC3054">
        <w:t>.</w:t>
      </w:r>
      <w:r>
        <w:t xml:space="preserve"> Prepare possible answers to your questions for discussion.</w:t>
      </w:r>
      <w:r w:rsidRPr="00DC3054">
        <w:t>)</w:t>
      </w:r>
    </w:p>
    <w:p w14:paraId="196E0C3C" w14:textId="77777777" w:rsidR="00B32D12" w:rsidRPr="00F76B63" w:rsidRDefault="00B32D12" w:rsidP="009C352A">
      <w:pPr>
        <w:pStyle w:val="TA"/>
      </w:pPr>
      <w:r w:rsidRPr="00F76B63">
        <w:t>Instruct students to talk in pairs about questions they developed for homework, specifically analyzing a complex set of ideas or sequence of events and how specific individuals, ideas, or events interact and develop over the course of these paragraphs</w:t>
      </w:r>
      <w:r w:rsidR="00876FA0">
        <w:t>.</w:t>
      </w:r>
      <w:r w:rsidRPr="00F76B63">
        <w:t xml:space="preserve"> </w:t>
      </w:r>
    </w:p>
    <w:p w14:paraId="2DD81BF6" w14:textId="77777777" w:rsidR="00B32D12" w:rsidRPr="00F13D4C" w:rsidRDefault="00B32D12" w:rsidP="00DA23B4">
      <w:pPr>
        <w:pStyle w:val="SR"/>
      </w:pPr>
      <w:r>
        <w:t>Student questions may include</w:t>
      </w:r>
      <w:r w:rsidRPr="00F13D4C">
        <w:t>:</w:t>
      </w:r>
    </w:p>
    <w:p w14:paraId="56B56EC1" w14:textId="77777777" w:rsidR="00B32D12" w:rsidRDefault="00B32D12" w:rsidP="00C7691F">
      <w:pPr>
        <w:pStyle w:val="Q"/>
        <w:ind w:left="720"/>
      </w:pPr>
      <w:r>
        <w:lastRenderedPageBreak/>
        <w:t>How do</w:t>
      </w:r>
      <w:r w:rsidR="007B7051">
        <w:t xml:space="preserve">es Thoreau develop his claims about taxation? </w:t>
      </w:r>
      <w:r>
        <w:t xml:space="preserve"> </w:t>
      </w:r>
    </w:p>
    <w:p w14:paraId="0966B969" w14:textId="77777777" w:rsidR="00B32D12" w:rsidRDefault="00B32D12" w:rsidP="00C7691F">
      <w:pPr>
        <w:pStyle w:val="SR"/>
        <w:ind w:left="1080"/>
      </w:pPr>
      <w:r w:rsidRPr="00F13D4C">
        <w:t xml:space="preserve"> </w:t>
      </w:r>
      <w:r w:rsidR="007B7051" w:rsidRPr="00DA23B4">
        <w:t>Student</w:t>
      </w:r>
      <w:r w:rsidR="007B7051">
        <w:t xml:space="preserve"> responses may include:</w:t>
      </w:r>
    </w:p>
    <w:p w14:paraId="44E395B6" w14:textId="77777777" w:rsidR="007B7051" w:rsidRDefault="007B7051" w:rsidP="00C7691F">
      <w:pPr>
        <w:pStyle w:val="SASRBullet"/>
        <w:ind w:left="1440"/>
      </w:pPr>
      <w:r w:rsidRPr="00DA23B4">
        <w:t>Thoreau</w:t>
      </w:r>
      <w:r>
        <w:t xml:space="preserve"> explains that he does not pay tax because he does not want to support the state. He </w:t>
      </w:r>
      <w:r w:rsidR="005F789B">
        <w:rPr>
          <w:lang w:val="en-US"/>
        </w:rPr>
        <w:t>says</w:t>
      </w:r>
      <w:r>
        <w:t xml:space="preserve">, “I simply wish to refuse allegiance to the </w:t>
      </w:r>
      <w:r w:rsidR="00F00A94">
        <w:t>S</w:t>
      </w:r>
      <w:r>
        <w:t>tate, to withdraw and stand aloof from it effectually” (</w:t>
      </w:r>
      <w:r w:rsidR="00876FA0">
        <w:t xml:space="preserve">part 3, </w:t>
      </w:r>
      <w:r>
        <w:t xml:space="preserve">par. 9). Thoreau wishes to detach himself from the </w:t>
      </w:r>
      <w:r w:rsidR="00DE6140">
        <w:t>s</w:t>
      </w:r>
      <w:r>
        <w:t>tate, and even oppose it, saying that “[he] quietly declare[s] war with the State”</w:t>
      </w:r>
      <w:r w:rsidR="00876FA0">
        <w:t xml:space="preserve"> (part 3, par. 9)</w:t>
      </w:r>
      <w:r w:rsidR="00A016D1">
        <w:t>.</w:t>
      </w:r>
    </w:p>
    <w:p w14:paraId="69F3332B" w14:textId="77777777" w:rsidR="007B7051" w:rsidRDefault="007B7051" w:rsidP="00C7691F">
      <w:pPr>
        <w:pStyle w:val="SASRBullet"/>
        <w:ind w:left="1440"/>
      </w:pPr>
      <w:r>
        <w:t xml:space="preserve">In </w:t>
      </w:r>
      <w:r w:rsidR="00876FA0">
        <w:t xml:space="preserve">part 3, </w:t>
      </w:r>
      <w:r>
        <w:t>paragraph 12, Thoreau considers the reasons for which he might pay tax and then goes on to refute them. First</w:t>
      </w:r>
      <w:r w:rsidR="00362698">
        <w:t>,</w:t>
      </w:r>
      <w:r>
        <w:t xml:space="preserve"> he suggests </w:t>
      </w:r>
      <w:r w:rsidR="00C3199A">
        <w:t>that people who pay taxes without question</w:t>
      </w:r>
      <w:r>
        <w:t xml:space="preserve"> </w:t>
      </w:r>
      <w:r w:rsidR="00C3199A">
        <w:t>“</w:t>
      </w:r>
      <w:r>
        <w:t>mean well; they are only ignorant; they would do better if they knew how</w:t>
      </w:r>
      <w:r w:rsidR="00A016D1">
        <w:t>.</w:t>
      </w:r>
      <w:r>
        <w:t>”</w:t>
      </w:r>
      <w:r w:rsidR="00C3199A">
        <w:t xml:space="preserve"> </w:t>
      </w:r>
      <w:r w:rsidR="00A016D1">
        <w:t>I</w:t>
      </w:r>
      <w:r w:rsidR="00C3199A">
        <w:t>n other words, such people believe that they are acting virtuously, and would act differently if they knew better.</w:t>
      </w:r>
      <w:r>
        <w:t xml:space="preserve"> </w:t>
      </w:r>
      <w:r w:rsidR="00C3199A">
        <w:t>However, Thoreau</w:t>
      </w:r>
      <w:r>
        <w:t xml:space="preserve"> then points out that </w:t>
      </w:r>
      <w:r w:rsidR="00C3199A">
        <w:t>the good intentions of those who pay taxes are</w:t>
      </w:r>
      <w:r>
        <w:t xml:space="preserve"> not a good reason for following their example: “This is no reason why I should do as they do, or permit others to suffer much greater pain of a different kind” (</w:t>
      </w:r>
      <w:r w:rsidR="00876FA0">
        <w:t xml:space="preserve">part 3, </w:t>
      </w:r>
      <w:r>
        <w:t xml:space="preserve">par. 12). Later, he suggests that the </w:t>
      </w:r>
      <w:r w:rsidR="00A016D1">
        <w:t>s</w:t>
      </w:r>
      <w:r>
        <w:t xml:space="preserve">tate is so powerful that it is as useless to resist “this overwhelming brute force” as it is to resist “cold and hunger; the winds and the </w:t>
      </w:r>
      <w:r w:rsidR="00C834E6">
        <w:t>waves</w:t>
      </w:r>
      <w:r>
        <w:t>” (</w:t>
      </w:r>
      <w:r w:rsidR="00876FA0">
        <w:t xml:space="preserve">part 3, </w:t>
      </w:r>
      <w:r>
        <w:t>par. 12). However, he re</w:t>
      </w:r>
      <w:r w:rsidR="00A016D1">
        <w:t>futes this by stating that the s</w:t>
      </w:r>
      <w:r>
        <w:t xml:space="preserve">tate is not as powerful as the “brute force” of the winds and the </w:t>
      </w:r>
      <w:r w:rsidR="00C834E6">
        <w:t>waves</w:t>
      </w:r>
      <w:r>
        <w:t>, because it is “partly a human force” and that it can be resisted: “appeal is possible” (</w:t>
      </w:r>
      <w:r w:rsidR="00876FA0">
        <w:t xml:space="preserve">part 3, </w:t>
      </w:r>
      <w:r>
        <w:t>par. 12). In other words, unlike the elements or cold and hunger, Thoreau can act against the state. By considering opposing viewpoints in this way, before dismissing them, Thoreau is able to develop</w:t>
      </w:r>
      <w:r w:rsidR="00B87EB4">
        <w:t xml:space="preserve"> and justify</w:t>
      </w:r>
      <w:r>
        <w:t xml:space="preserve"> his own ideas</w:t>
      </w:r>
      <w:r w:rsidR="00C3199A">
        <w:t>.</w:t>
      </w:r>
    </w:p>
    <w:p w14:paraId="31FEE079" w14:textId="77777777" w:rsidR="007B7051" w:rsidRPr="00F13D4C" w:rsidRDefault="007B7051" w:rsidP="007B7051">
      <w:pPr>
        <w:pStyle w:val="TA"/>
      </w:pPr>
      <w:r>
        <w:t xml:space="preserve">Explain to students that this technique of acknowledging a point made by one’s opponent is known as </w:t>
      </w:r>
      <w:r>
        <w:rPr>
          <w:i/>
        </w:rPr>
        <w:t>concession</w:t>
      </w:r>
      <w:r>
        <w:t>.</w:t>
      </w:r>
    </w:p>
    <w:p w14:paraId="19F6525C" w14:textId="77777777" w:rsidR="007B7051" w:rsidRDefault="007B7051" w:rsidP="00C7691F">
      <w:pPr>
        <w:pStyle w:val="Q"/>
        <w:ind w:left="720"/>
      </w:pPr>
      <w:r>
        <w:t xml:space="preserve">What criticism does Thoreau make of Webster in </w:t>
      </w:r>
      <w:r w:rsidR="00876FA0">
        <w:t xml:space="preserve">part 3, </w:t>
      </w:r>
      <w:r>
        <w:t xml:space="preserve">paragraph 16? </w:t>
      </w:r>
    </w:p>
    <w:p w14:paraId="19C24314" w14:textId="77777777" w:rsidR="007B7051" w:rsidRDefault="007B7051" w:rsidP="00C7691F">
      <w:pPr>
        <w:pStyle w:val="SR"/>
        <w:ind w:left="1080"/>
      </w:pPr>
      <w:r>
        <w:t>Student responses may include:</w:t>
      </w:r>
    </w:p>
    <w:p w14:paraId="4C941DD2" w14:textId="77777777" w:rsidR="007B7051" w:rsidRDefault="007B7051" w:rsidP="00C7691F">
      <w:pPr>
        <w:pStyle w:val="SASRBullet"/>
        <w:ind w:left="1440"/>
      </w:pPr>
      <w:r>
        <w:t>Thoreau criticizes Webster because he “never goes behind government, and so cannot speak with authority about it” (</w:t>
      </w:r>
      <w:r w:rsidR="00876FA0">
        <w:t xml:space="preserve">part 3, </w:t>
      </w:r>
      <w:r>
        <w:t xml:space="preserve">par. 16). In other words, Webster only considers existing structures of government as a solution and does not think of serious reform to them. This means that although </w:t>
      </w:r>
      <w:r w:rsidR="00B173B8">
        <w:t xml:space="preserve">Webster </w:t>
      </w:r>
      <w:r>
        <w:t>seems wise to “those legislators who contemplate no essential reform in the existing government” (</w:t>
      </w:r>
      <w:r w:rsidR="00876FA0">
        <w:t xml:space="preserve">part 3, </w:t>
      </w:r>
      <w:r>
        <w:t>par. 16), he cannot satisfy “thinkers, and those who legislate for all time” (</w:t>
      </w:r>
      <w:r w:rsidR="00876FA0">
        <w:t xml:space="preserve">part 3, </w:t>
      </w:r>
      <w:r>
        <w:t xml:space="preserve">par. 16), who imagine more fundamental changes in government. </w:t>
      </w:r>
    </w:p>
    <w:p w14:paraId="6948ED09" w14:textId="77777777" w:rsidR="00B32D12" w:rsidRDefault="007B7051" w:rsidP="00C7691F">
      <w:pPr>
        <w:pStyle w:val="SASRBullet"/>
        <w:ind w:left="1440"/>
      </w:pPr>
      <w:r>
        <w:t>Thoreau suggests that Webster is “not a leader, but a follower” (</w:t>
      </w:r>
      <w:r w:rsidR="00876FA0">
        <w:t xml:space="preserve">part 3, </w:t>
      </w:r>
      <w:r>
        <w:t>par. 16), because he follows the “men of ’87,”</w:t>
      </w:r>
      <w:r w:rsidRPr="00876FA0">
        <w:t xml:space="preserve"> the writers of the Constitution (</w:t>
      </w:r>
      <w:r w:rsidR="00876FA0">
        <w:t xml:space="preserve">part 3, </w:t>
      </w:r>
      <w:r w:rsidRPr="00876FA0">
        <w:t>par. 16), even when the Constitution</w:t>
      </w:r>
      <w:r>
        <w:t xml:space="preserve"> supports great wrongs. For example, he quotes Webster’s </w:t>
      </w:r>
      <w:r>
        <w:lastRenderedPageBreak/>
        <w:t>views on slavery, in which Webster states that because slavery was “part of the original compact</w:t>
      </w:r>
      <w:r w:rsidR="00A016D1">
        <w:t>—</w:t>
      </w:r>
      <w:r>
        <w:t>let it stand” (</w:t>
      </w:r>
      <w:r w:rsidR="00AE0061">
        <w:t xml:space="preserve">part 3, </w:t>
      </w:r>
      <w:r>
        <w:t>par. 16).</w:t>
      </w:r>
    </w:p>
    <w:p w14:paraId="2DBA53C1" w14:textId="77777777" w:rsidR="00600078" w:rsidRDefault="00D538BD" w:rsidP="009C352A">
      <w:pPr>
        <w:pStyle w:val="TA"/>
      </w:pPr>
      <w:r>
        <w:t xml:space="preserve">Lead a brief whole-class discussion of student responses. </w:t>
      </w:r>
    </w:p>
    <w:p w14:paraId="602BD2A7" w14:textId="77777777" w:rsidR="00C5781E" w:rsidRPr="00600078" w:rsidRDefault="00C5781E" w:rsidP="00F61817">
      <w:pPr>
        <w:pStyle w:val="IN"/>
        <w:ind w:left="426" w:hanging="426"/>
      </w:pPr>
      <w:r>
        <w:t>Consider asking students which passages they found difficult or problematic. Lead a brief whole-class discussion of student responses</w:t>
      </w:r>
    </w:p>
    <w:p w14:paraId="0C3D2BB6" w14:textId="77777777" w:rsidR="00B9582C" w:rsidRPr="000752C0" w:rsidRDefault="00494F04" w:rsidP="00B9582C">
      <w:pPr>
        <w:pStyle w:val="LearningSequenceHeader"/>
        <w:rPr>
          <w:rFonts w:ascii="Calibri" w:hAnsi="Calibri"/>
        </w:rPr>
      </w:pPr>
      <w:r>
        <w:rPr>
          <w:rFonts w:ascii="Calibri" w:hAnsi="Calibri"/>
        </w:rPr>
        <w:t>Activity 3</w:t>
      </w:r>
      <w:r w:rsidR="00B9582C" w:rsidRPr="000752C0">
        <w:rPr>
          <w:rFonts w:ascii="Calibri" w:hAnsi="Calibri"/>
        </w:rPr>
        <w:t>: Reading and Discussion</w:t>
      </w:r>
      <w:r w:rsidR="00B9582C" w:rsidRPr="000752C0">
        <w:rPr>
          <w:rFonts w:ascii="Calibri" w:hAnsi="Calibri"/>
        </w:rPr>
        <w:tab/>
      </w:r>
      <w:r w:rsidR="0009111E">
        <w:rPr>
          <w:rFonts w:ascii="Calibri" w:hAnsi="Calibri"/>
        </w:rPr>
        <w:t>55</w:t>
      </w:r>
      <w:r w:rsidR="00B9582C" w:rsidRPr="000752C0">
        <w:rPr>
          <w:rFonts w:ascii="Calibri" w:hAnsi="Calibri"/>
        </w:rPr>
        <w:t>%</w:t>
      </w:r>
    </w:p>
    <w:p w14:paraId="21C28CD5" w14:textId="5D3EAA58" w:rsidR="005F789B" w:rsidRDefault="00B9582C" w:rsidP="00B9582C">
      <w:pPr>
        <w:pStyle w:val="TA"/>
      </w:pPr>
      <w:r w:rsidRPr="000752C0">
        <w:t xml:space="preserve">Instruct students to form </w:t>
      </w:r>
      <w:r w:rsidR="00D538BD">
        <w:t>small groups</w:t>
      </w:r>
      <w:r>
        <w:t>.</w:t>
      </w:r>
      <w:r w:rsidRPr="000752C0">
        <w:t xml:space="preserve"> Post or project each set of questions below for students to discuss. Instruct students to continue to annotate the text as they read and discuss</w:t>
      </w:r>
      <w:r w:rsidR="007A0EF0">
        <w:t xml:space="preserve"> </w:t>
      </w:r>
      <w:r w:rsidR="007A0EF0" w:rsidRPr="007A0EF0">
        <w:rPr>
          <w:color w:val="4F81BD"/>
        </w:rPr>
        <w:t>(W.11-12.9.b)</w:t>
      </w:r>
      <w:r w:rsidRPr="000752C0">
        <w:t>.</w:t>
      </w:r>
    </w:p>
    <w:p w14:paraId="327FA362" w14:textId="77777777" w:rsidR="003D2509" w:rsidRDefault="003D2509" w:rsidP="003D2509">
      <w:pPr>
        <w:pStyle w:val="IN"/>
      </w:pPr>
      <w:r>
        <w:t xml:space="preserve">If necessary to support comprehension and fluency, consider using a masterful reading of the focus excerpt for the lesson. </w:t>
      </w:r>
    </w:p>
    <w:p w14:paraId="65ABC6BC" w14:textId="77777777" w:rsidR="003D2509" w:rsidRDefault="003D2509" w:rsidP="003D2509">
      <w:pPr>
        <w:pStyle w:val="IN"/>
      </w:pPr>
      <w:r>
        <w:rPr>
          <w:b/>
        </w:rPr>
        <w:t>Differentiation Consideration</w:t>
      </w:r>
      <w:r>
        <w:t>: Consider posting or projecting the following guiding question to support students in their reading throughout this lesson:</w:t>
      </w:r>
    </w:p>
    <w:p w14:paraId="09F3F5DD" w14:textId="77777777" w:rsidR="003D2509" w:rsidRDefault="003D2509" w:rsidP="00C642FB">
      <w:pPr>
        <w:pStyle w:val="DCwithQ"/>
      </w:pPr>
      <w:r>
        <w:t>What kind of state does Thoreau imagine in this excerpt?</w:t>
      </w:r>
    </w:p>
    <w:p w14:paraId="6F2BD169" w14:textId="77777777" w:rsidR="00B9582C" w:rsidRDefault="00D538BD" w:rsidP="00B9582C">
      <w:pPr>
        <w:pStyle w:val="TA"/>
      </w:pPr>
      <w:r w:rsidRPr="000752C0">
        <w:t>Instruct studen</w:t>
      </w:r>
      <w:r>
        <w:t>t pai</w:t>
      </w:r>
      <w:r w:rsidR="00FB5826">
        <w:t xml:space="preserve">rs to read part 3, paragraph 17 (from “They who know of no purer sources of truth” to “and continue their </w:t>
      </w:r>
      <w:r w:rsidR="00F814C8">
        <w:t xml:space="preserve">pilgrimage </w:t>
      </w:r>
      <w:r w:rsidR="00FB5826">
        <w:t>toward its fountain-head”)</w:t>
      </w:r>
      <w:r>
        <w:t xml:space="preserve"> </w:t>
      </w:r>
      <w:r w:rsidRPr="000752C0">
        <w:t>and answer the following questions before sharing out with the class.</w:t>
      </w:r>
    </w:p>
    <w:p w14:paraId="7F0D96D6" w14:textId="77777777" w:rsidR="00A016D1" w:rsidRDefault="00A016D1" w:rsidP="00A016D1">
      <w:pPr>
        <w:pStyle w:val="TA"/>
      </w:pPr>
      <w:r>
        <w:t xml:space="preserve">Provide students with the definitions of </w:t>
      </w:r>
      <w:r>
        <w:rPr>
          <w:i/>
        </w:rPr>
        <w:t>reverence</w:t>
      </w:r>
      <w:r>
        <w:t>,</w:t>
      </w:r>
      <w:r>
        <w:rPr>
          <w:i/>
        </w:rPr>
        <w:t xml:space="preserve"> humility</w:t>
      </w:r>
      <w:r>
        <w:t>,</w:t>
      </w:r>
      <w:r>
        <w:rPr>
          <w:i/>
        </w:rPr>
        <w:t xml:space="preserve"> gird up their loins</w:t>
      </w:r>
      <w:r>
        <w:t xml:space="preserve">, and </w:t>
      </w:r>
      <w:r>
        <w:rPr>
          <w:i/>
        </w:rPr>
        <w:t>fountain-head</w:t>
      </w:r>
      <w:r w:rsidRPr="00A473D7">
        <w:t>.</w:t>
      </w:r>
    </w:p>
    <w:p w14:paraId="47608CF2" w14:textId="77777777" w:rsidR="005F789B" w:rsidRPr="00D81076" w:rsidRDefault="005F789B" w:rsidP="005F789B">
      <w:pPr>
        <w:pStyle w:val="IN"/>
      </w:pPr>
      <w:r>
        <w:t>Students may be familiar with some of these words. Consider asking students to volunteer definitions before providing them to the group.</w:t>
      </w:r>
    </w:p>
    <w:p w14:paraId="5E0C0DD5" w14:textId="77777777" w:rsidR="00A016D1" w:rsidRDefault="00A016D1" w:rsidP="00A016D1">
      <w:pPr>
        <w:pStyle w:val="SA"/>
      </w:pPr>
      <w:r>
        <w:t xml:space="preserve">Students write the definitions of </w:t>
      </w:r>
      <w:r>
        <w:rPr>
          <w:i/>
        </w:rPr>
        <w:t>reverence</w:t>
      </w:r>
      <w:r>
        <w:t xml:space="preserve">, </w:t>
      </w:r>
      <w:r>
        <w:rPr>
          <w:i/>
        </w:rPr>
        <w:t>humility</w:t>
      </w:r>
      <w:r>
        <w:t xml:space="preserve">, </w:t>
      </w:r>
      <w:r>
        <w:rPr>
          <w:i/>
        </w:rPr>
        <w:t>gird up their</w:t>
      </w:r>
      <w:r>
        <w:t xml:space="preserve"> </w:t>
      </w:r>
      <w:r>
        <w:rPr>
          <w:i/>
        </w:rPr>
        <w:t>loins</w:t>
      </w:r>
      <w:r>
        <w:t xml:space="preserve">, and </w:t>
      </w:r>
      <w:r>
        <w:rPr>
          <w:i/>
        </w:rPr>
        <w:t>fountain-head</w:t>
      </w:r>
      <w:r>
        <w:t xml:space="preserve"> on their copies of the text or in a vocabulary journal.</w:t>
      </w:r>
    </w:p>
    <w:p w14:paraId="0F7B9021" w14:textId="77777777" w:rsidR="00FB5826" w:rsidRDefault="00C942AB" w:rsidP="00FB5826">
      <w:pPr>
        <w:pStyle w:val="Q"/>
      </w:pPr>
      <w:r>
        <w:t xml:space="preserve">Explain Thoreau’s </w:t>
      </w:r>
      <w:r w:rsidR="00C3199A">
        <w:t xml:space="preserve">use of </w:t>
      </w:r>
      <w:r>
        <w:t>metaphor in</w:t>
      </w:r>
      <w:r w:rsidR="00AE0061">
        <w:t xml:space="preserve"> part 3,</w:t>
      </w:r>
      <w:r w:rsidR="00FB5826">
        <w:t xml:space="preserve"> paragraph 17</w:t>
      </w:r>
      <w:r w:rsidR="00C3199A">
        <w:t xml:space="preserve"> </w:t>
      </w:r>
      <w:r w:rsidR="00C3199A" w:rsidRPr="007A0EF0">
        <w:rPr>
          <w:color w:val="4F81BD"/>
        </w:rPr>
        <w:t>(L.11-12.5.a)</w:t>
      </w:r>
      <w:r>
        <w:t>.</w:t>
      </w:r>
    </w:p>
    <w:p w14:paraId="1254FD1C" w14:textId="77777777" w:rsidR="00B3135E" w:rsidRDefault="004D2F7D" w:rsidP="00DA23B4">
      <w:pPr>
        <w:pStyle w:val="SR"/>
      </w:pPr>
      <w:r>
        <w:t xml:space="preserve">Thoreau uses the metaphor of a stream to refer to truth in </w:t>
      </w:r>
      <w:r w:rsidR="00AE0061">
        <w:t xml:space="preserve">part 3, </w:t>
      </w:r>
      <w:r>
        <w:t>paragraph 17. He speaks o</w:t>
      </w:r>
      <w:r w:rsidR="00B3135E">
        <w:t>f “purer sources of truth” and refers to</w:t>
      </w:r>
      <w:r>
        <w:t xml:space="preserve"> those who have “traced up [truth’s] stream no higher [than]</w:t>
      </w:r>
      <w:r w:rsidR="000A6261">
        <w:t xml:space="preserve"> </w:t>
      </w:r>
      <w:r>
        <w:t>…</w:t>
      </w:r>
      <w:r w:rsidR="000A6261">
        <w:t xml:space="preserve"> </w:t>
      </w:r>
      <w:r>
        <w:t>the Bible a</w:t>
      </w:r>
      <w:r w:rsidR="00B3135E">
        <w:t>nd the Constitution” (</w:t>
      </w:r>
      <w:r w:rsidR="00AE0061">
        <w:t xml:space="preserve">part 3, </w:t>
      </w:r>
      <w:r w:rsidR="00B3135E">
        <w:t>par. 17), meaning those who regard the Bible and the Constitution as the highest sources of truth. Later, he describes those who seek higher sources of truth than the Bible and the Cons</w:t>
      </w:r>
      <w:r w:rsidR="00DF5AEF">
        <w:t>t</w:t>
      </w:r>
      <w:r w:rsidR="00B3135E">
        <w:t>itution as continuing “t</w:t>
      </w:r>
      <w:r>
        <w:t>heir pilgrimage towards [truth’s] fountain-head”</w:t>
      </w:r>
      <w:r w:rsidR="00B3135E">
        <w:t xml:space="preserve"> (</w:t>
      </w:r>
      <w:r w:rsidR="00AE0061">
        <w:t xml:space="preserve">part 3, </w:t>
      </w:r>
      <w:r w:rsidR="00B3135E">
        <w:t xml:space="preserve">par. 17). </w:t>
      </w:r>
    </w:p>
    <w:p w14:paraId="617EDAB6" w14:textId="77777777" w:rsidR="00FB5826" w:rsidRDefault="00FB5826" w:rsidP="00FB5826">
      <w:pPr>
        <w:pStyle w:val="Q"/>
      </w:pPr>
      <w:r>
        <w:t>What does Thoreau’s metaphor suggest about the authority of the Bible and the Constitution in paragraph 17?</w:t>
      </w:r>
      <w:r w:rsidR="00C942AB">
        <w:t xml:space="preserve"> </w:t>
      </w:r>
      <w:r w:rsidR="00C3199A" w:rsidRPr="007A0EF0">
        <w:rPr>
          <w:color w:val="4F81BD"/>
        </w:rPr>
        <w:t>(L.11-12.5.a)</w:t>
      </w:r>
    </w:p>
    <w:p w14:paraId="5A995327" w14:textId="77777777" w:rsidR="00B3135E" w:rsidRDefault="00B3135E" w:rsidP="00DA23B4">
      <w:pPr>
        <w:pStyle w:val="SR"/>
      </w:pPr>
      <w:r>
        <w:lastRenderedPageBreak/>
        <w:t>Thoreau’s metaphor suggests that there may be higher sources of truth than the Bible and the Constitution. Thoreau draws a distinction between those who “know of no purer sources of truth”</w:t>
      </w:r>
      <w:r w:rsidR="00F814C8">
        <w:t xml:space="preserve"> (</w:t>
      </w:r>
      <w:r w:rsidR="00AE0061">
        <w:t xml:space="preserve">part 3, </w:t>
      </w:r>
      <w:r w:rsidR="00F814C8">
        <w:t>par. 17)</w:t>
      </w:r>
      <w:r>
        <w:t xml:space="preserve"> than the Bible and the Constitution, and those who “behold where it comes trickling into this lake or that</w:t>
      </w:r>
      <w:r w:rsidR="00A210C7">
        <w:t xml:space="preserve"> pool”</w:t>
      </w:r>
      <w:r w:rsidR="00F814C8">
        <w:t xml:space="preserve"> (</w:t>
      </w:r>
      <w:r w:rsidR="00AE0061">
        <w:t xml:space="preserve">part 3, </w:t>
      </w:r>
      <w:r w:rsidR="00F814C8">
        <w:t>par. 17)</w:t>
      </w:r>
      <w:r w:rsidR="00A016D1">
        <w:t>,</w:t>
      </w:r>
      <w:r w:rsidR="00A210C7">
        <w:t xml:space="preserve"> or realize that the Bible and the Constitution are not the ultimate sources of truth. These people, in Thoreau’s metaphor, search for truth beyond the Bible and the Constitution as they carry on their “pilgrimage toward [truth’s] fountain-head</w:t>
      </w:r>
      <w:r w:rsidR="00A016D1">
        <w:t>,</w:t>
      </w:r>
      <w:r w:rsidR="00A210C7">
        <w:t xml:space="preserve">” </w:t>
      </w:r>
      <w:r w:rsidR="00B173B8">
        <w:t>or origin</w:t>
      </w:r>
      <w:r w:rsidR="00A016D1">
        <w:t xml:space="preserve"> (part 3, par. 17)</w:t>
      </w:r>
      <w:r w:rsidR="00B173B8">
        <w:t>.</w:t>
      </w:r>
    </w:p>
    <w:p w14:paraId="4717F39B" w14:textId="77777777" w:rsidR="00C942AB" w:rsidRDefault="00C942AB" w:rsidP="00E5711C">
      <w:pPr>
        <w:pStyle w:val="Q"/>
      </w:pPr>
      <w:r>
        <w:t xml:space="preserve">How does Thoreau’s metaphor develop a central idea of the text? </w:t>
      </w:r>
      <w:r w:rsidR="00C3199A" w:rsidRPr="007A0EF0">
        <w:rPr>
          <w:color w:val="4F81BD"/>
        </w:rPr>
        <w:t>(L.11-12.5.a)</w:t>
      </w:r>
    </w:p>
    <w:p w14:paraId="7CE9657C" w14:textId="77777777" w:rsidR="00C942AB" w:rsidRDefault="00C942AB" w:rsidP="00DA23B4">
      <w:pPr>
        <w:pStyle w:val="SR"/>
      </w:pPr>
      <w:r>
        <w:t xml:space="preserve">Thoreau’s metaphor develops the central idea of </w:t>
      </w:r>
      <w:r w:rsidR="0045358C">
        <w:t xml:space="preserve">ethics </w:t>
      </w:r>
      <w:r>
        <w:t xml:space="preserve">because </w:t>
      </w:r>
      <w:r w:rsidR="00290BF0">
        <w:t>he suggests that the Bible and the Constitution are not the ultimate sources of authority, but that there might be “purer sources of truth” (</w:t>
      </w:r>
      <w:r w:rsidR="00AE0061">
        <w:t xml:space="preserve">part 3, </w:t>
      </w:r>
      <w:r w:rsidR="00290BF0">
        <w:t xml:space="preserve">par.17). </w:t>
      </w:r>
      <w:r w:rsidR="00B173B8">
        <w:t xml:space="preserve">He </w:t>
      </w:r>
      <w:r w:rsidR="00290BF0">
        <w:t>suggests that rather than relying on traditional authorities, people should use their own consciences, and make their own “pilgrimage toward [truth’s] fountain-head” (</w:t>
      </w:r>
      <w:r w:rsidR="00AE0061">
        <w:t xml:space="preserve">part 3, </w:t>
      </w:r>
      <w:r w:rsidR="00290BF0">
        <w:t>par. 17)</w:t>
      </w:r>
      <w:r w:rsidR="00B173B8">
        <w:t>.</w:t>
      </w:r>
    </w:p>
    <w:p w14:paraId="20E740A2" w14:textId="77777777" w:rsidR="00B9582C" w:rsidRPr="000752C0" w:rsidRDefault="00B9582C" w:rsidP="00B9582C">
      <w:pPr>
        <w:pStyle w:val="TA"/>
      </w:pPr>
      <w:r>
        <w:t>Lead a brief whole-class discussion of student responses.</w:t>
      </w:r>
    </w:p>
    <w:p w14:paraId="62A7409F" w14:textId="77777777" w:rsidR="00B9582C" w:rsidRPr="000752C0" w:rsidRDefault="00B9582C" w:rsidP="00B9582C">
      <w:pPr>
        <w:pStyle w:val="BR"/>
      </w:pPr>
    </w:p>
    <w:p w14:paraId="4566EF53" w14:textId="77777777" w:rsidR="00AE0061" w:rsidRDefault="00B9582C" w:rsidP="00184ED7">
      <w:pPr>
        <w:pStyle w:val="TA"/>
      </w:pPr>
      <w:r w:rsidRPr="000752C0">
        <w:t xml:space="preserve">Instruct student </w:t>
      </w:r>
      <w:r w:rsidR="00F55879">
        <w:t>groups</w:t>
      </w:r>
      <w:r w:rsidRPr="000752C0">
        <w:t xml:space="preserve"> to read </w:t>
      </w:r>
      <w:r w:rsidR="00AE0061">
        <w:t xml:space="preserve">part 3, </w:t>
      </w:r>
      <w:r>
        <w:t xml:space="preserve">paragraph </w:t>
      </w:r>
      <w:r w:rsidR="00FB5826">
        <w:t>18</w:t>
      </w:r>
      <w:r w:rsidRPr="000752C0">
        <w:t xml:space="preserve"> (from “</w:t>
      </w:r>
      <w:r w:rsidR="00FB5826">
        <w:t>No man with a genius for legislation has appeared in America</w:t>
      </w:r>
      <w:r w:rsidRPr="000752C0">
        <w:t>” to “</w:t>
      </w:r>
      <w:r w:rsidR="00FB5826">
        <w:t>the light which i</w:t>
      </w:r>
      <w:r>
        <w:t>t</w:t>
      </w:r>
      <w:r w:rsidR="00FB5826">
        <w:t xml:space="preserve"> sheds on the science of legislation</w:t>
      </w:r>
      <w:r w:rsidRPr="000752C0">
        <w:t xml:space="preserve">”) and answer the following questions before sharing out with the class. </w:t>
      </w:r>
    </w:p>
    <w:p w14:paraId="18F81BA5" w14:textId="77777777" w:rsidR="0060258F" w:rsidRDefault="00184ED7" w:rsidP="00184ED7">
      <w:pPr>
        <w:pStyle w:val="TA"/>
        <w:rPr>
          <w:i/>
        </w:rPr>
      </w:pPr>
      <w:r>
        <w:t xml:space="preserve">Provide students with </w:t>
      </w:r>
      <w:r w:rsidR="00255196">
        <w:t xml:space="preserve">the </w:t>
      </w:r>
      <w:r>
        <w:t>definitions</w:t>
      </w:r>
      <w:r w:rsidR="00F61817">
        <w:t xml:space="preserve"> </w:t>
      </w:r>
      <w:r w:rsidR="00255196">
        <w:t>of</w:t>
      </w:r>
      <w:r w:rsidR="00F61817">
        <w:t xml:space="preserve"> </w:t>
      </w:r>
      <w:r>
        <w:rPr>
          <w:i/>
        </w:rPr>
        <w:t>legislation</w:t>
      </w:r>
      <w:r w:rsidR="00F61817">
        <w:t>,</w:t>
      </w:r>
      <w:r>
        <w:rPr>
          <w:i/>
        </w:rPr>
        <w:t xml:space="preserve"> orators</w:t>
      </w:r>
      <w:r w:rsidR="00C37414">
        <w:t>,</w:t>
      </w:r>
      <w:r>
        <w:rPr>
          <w:i/>
        </w:rPr>
        <w:t xml:space="preserve"> </w:t>
      </w:r>
      <w:r>
        <w:t xml:space="preserve">and </w:t>
      </w:r>
      <w:r>
        <w:rPr>
          <w:i/>
        </w:rPr>
        <w:t>rectitude</w:t>
      </w:r>
      <w:r w:rsidR="00B939A5">
        <w:t>.</w:t>
      </w:r>
    </w:p>
    <w:p w14:paraId="01495047" w14:textId="77777777" w:rsidR="00184ED7" w:rsidRPr="00184ED7" w:rsidRDefault="0060258F" w:rsidP="005D0C0F">
      <w:pPr>
        <w:pStyle w:val="IN"/>
      </w:pPr>
      <w:r>
        <w:t>Students may be familiar with some of these words. Consider asking students to volunteer definitions before providing them to the group.</w:t>
      </w:r>
    </w:p>
    <w:p w14:paraId="74996445" w14:textId="77777777" w:rsidR="00184ED7" w:rsidRDefault="00184ED7" w:rsidP="00B9582C">
      <w:pPr>
        <w:pStyle w:val="SA"/>
      </w:pPr>
      <w:r>
        <w:t xml:space="preserve">Students write the definitions of </w:t>
      </w:r>
      <w:r>
        <w:rPr>
          <w:i/>
        </w:rPr>
        <w:t>legislation</w:t>
      </w:r>
      <w:r>
        <w:t xml:space="preserve">, </w:t>
      </w:r>
      <w:r w:rsidR="005C5EFE">
        <w:rPr>
          <w:i/>
        </w:rPr>
        <w:t>orators</w:t>
      </w:r>
      <w:r w:rsidR="006D080A">
        <w:t>,</w:t>
      </w:r>
      <w:r>
        <w:t xml:space="preserve"> and </w:t>
      </w:r>
      <w:r>
        <w:rPr>
          <w:i/>
        </w:rPr>
        <w:t>rectitude</w:t>
      </w:r>
      <w:r>
        <w:t xml:space="preserve"> on their copies of the text or in a vocabulary journal.</w:t>
      </w:r>
    </w:p>
    <w:p w14:paraId="3BA898EA" w14:textId="77777777" w:rsidR="00A210C7" w:rsidRDefault="00FB5826" w:rsidP="00FB5826">
      <w:pPr>
        <w:pStyle w:val="Q"/>
      </w:pPr>
      <w:r>
        <w:t xml:space="preserve">What distinction does Thoreau make between the “man with a genius for legislation” and “orators, politicians, and eloquent men” in </w:t>
      </w:r>
      <w:r w:rsidR="00AE0061">
        <w:t xml:space="preserve">part 3, </w:t>
      </w:r>
      <w:r>
        <w:t>paragraph 18?</w:t>
      </w:r>
    </w:p>
    <w:p w14:paraId="4DFF12F6" w14:textId="77777777" w:rsidR="00A210C7" w:rsidRDefault="00A210C7" w:rsidP="00DA23B4">
      <w:pPr>
        <w:pStyle w:val="SR"/>
      </w:pPr>
      <w:r>
        <w:t>Student responses may include:</w:t>
      </w:r>
    </w:p>
    <w:p w14:paraId="4D874BEC" w14:textId="77777777" w:rsidR="00A210C7" w:rsidRDefault="00A210C7" w:rsidP="00DA23B4">
      <w:pPr>
        <w:pStyle w:val="SASRBullet"/>
      </w:pPr>
      <w:r>
        <w:t xml:space="preserve">Thoreau distinguishes between the “man with a genius for legislation” who can solve the problems of the day and those who merely speak well, saying that </w:t>
      </w:r>
      <w:r w:rsidR="00216AD3">
        <w:t>“the speaker has not yet opened his mouth to speak who is capable of settling the much-vexed questions of the day” (</w:t>
      </w:r>
      <w:r w:rsidR="00AE0061">
        <w:t xml:space="preserve">part 3, </w:t>
      </w:r>
      <w:r w:rsidR="00216AD3">
        <w:t xml:space="preserve">par. 18). </w:t>
      </w:r>
      <w:r w:rsidR="00C3199A">
        <w:t xml:space="preserve">Eloquence, then, according to Thoreau, does not make a man a good politician, since eloquent speakers have not been able to solve the problems of the day. </w:t>
      </w:r>
    </w:p>
    <w:p w14:paraId="5A786D6E" w14:textId="77777777" w:rsidR="00A210C7" w:rsidRDefault="00A210C7" w:rsidP="00DA23B4">
      <w:pPr>
        <w:pStyle w:val="SASRBullet"/>
      </w:pPr>
      <w:r>
        <w:t xml:space="preserve">Compared to the “orators, politicians, and eloquent men,” who can be found “by the thousand,” </w:t>
      </w:r>
      <w:r w:rsidR="00B939A5">
        <w:t>those</w:t>
      </w:r>
      <w:r>
        <w:t xml:space="preserve"> “with a genius for legislation” are “r</w:t>
      </w:r>
      <w:r w:rsidR="00216AD3">
        <w:t>are in the history of the world</w:t>
      </w:r>
      <w:r>
        <w:t>”</w:t>
      </w:r>
      <w:r w:rsidR="00224D3B">
        <w:t xml:space="preserve"> and </w:t>
      </w:r>
      <w:r w:rsidR="00224D3B">
        <w:lastRenderedPageBreak/>
        <w:t>non-existent in America,</w:t>
      </w:r>
      <w:r w:rsidR="00216AD3">
        <w:t xml:space="preserve"> according to Thoreau</w:t>
      </w:r>
      <w:r w:rsidR="00224D3B">
        <w:t xml:space="preserve"> (</w:t>
      </w:r>
      <w:r w:rsidR="00AE0061">
        <w:t xml:space="preserve">part 3, </w:t>
      </w:r>
      <w:r w:rsidR="00224D3B">
        <w:t>par. 18)</w:t>
      </w:r>
      <w:r w:rsidR="00216AD3">
        <w:t xml:space="preserve">. In other words, good speakers are common, but </w:t>
      </w:r>
      <w:r w:rsidR="00B939A5">
        <w:t>people</w:t>
      </w:r>
      <w:r w:rsidR="00216AD3">
        <w:t xml:space="preserve"> capable of solving problems of legislation and government are rare. </w:t>
      </w:r>
      <w:r>
        <w:t xml:space="preserve"> </w:t>
      </w:r>
    </w:p>
    <w:p w14:paraId="590B06DA" w14:textId="77777777" w:rsidR="00AB55F0" w:rsidRDefault="00FB5826" w:rsidP="00FB5826">
      <w:pPr>
        <w:pStyle w:val="Q"/>
      </w:pPr>
      <w:r>
        <w:t>What criticism do</w:t>
      </w:r>
      <w:r w:rsidR="00AB55F0">
        <w:t xml:space="preserve">es Thoreau make of legislators in </w:t>
      </w:r>
      <w:r w:rsidR="00AE0061">
        <w:t xml:space="preserve">part 3, </w:t>
      </w:r>
      <w:r w:rsidR="00AB55F0">
        <w:t>paragraph 18?</w:t>
      </w:r>
    </w:p>
    <w:p w14:paraId="1712B6A2" w14:textId="77777777" w:rsidR="00111DC9" w:rsidRDefault="00111DC9" w:rsidP="00DA23B4">
      <w:pPr>
        <w:pStyle w:val="SR"/>
      </w:pPr>
      <w:r>
        <w:t xml:space="preserve">Student responses may include: </w:t>
      </w:r>
    </w:p>
    <w:p w14:paraId="43F52BBC" w14:textId="77777777" w:rsidR="00216AD3" w:rsidRDefault="00216AD3" w:rsidP="00DA23B4">
      <w:pPr>
        <w:pStyle w:val="SASRBullet"/>
      </w:pPr>
      <w:r>
        <w:t>Thoreau critici</w:t>
      </w:r>
      <w:r w:rsidR="00A03839">
        <w:t>z</w:t>
      </w:r>
      <w:r>
        <w:t>es legislators because for all their “wordy wit” (</w:t>
      </w:r>
      <w:r w:rsidR="00AE0061">
        <w:t xml:space="preserve">part 3, </w:t>
      </w:r>
      <w:r>
        <w:t xml:space="preserve">par. 18), they are unable to resolve practical problems </w:t>
      </w:r>
      <w:r w:rsidR="00D22F53">
        <w:t xml:space="preserve">as they </w:t>
      </w:r>
      <w:r>
        <w:t>“have no genius or talent for comparatively humble questions of taxation and finance, commerce and manufacturers and agriculture” (</w:t>
      </w:r>
      <w:r w:rsidR="00AE0061">
        <w:t xml:space="preserve">part 3, </w:t>
      </w:r>
      <w:r>
        <w:t xml:space="preserve">par. 18). </w:t>
      </w:r>
    </w:p>
    <w:p w14:paraId="2F9B9EB2" w14:textId="77777777" w:rsidR="00111DC9" w:rsidRDefault="00111DC9" w:rsidP="00DA23B4">
      <w:pPr>
        <w:pStyle w:val="SASRBullet"/>
      </w:pPr>
      <w:r>
        <w:t>Thoreau criticizes legislators because they fundamentally misunderstand what is of value to people: “Our legislators have not yet learned the comparative value of free-trade and of freedom, of union, and of rectitude, to a nation” (</w:t>
      </w:r>
      <w:r w:rsidR="00AE0061">
        <w:t xml:space="preserve">part 3, </w:t>
      </w:r>
      <w:r>
        <w:t xml:space="preserve">par. 18). In other words, they prioritize freedom of trade over freedom, and union over morality, choosing what is </w:t>
      </w:r>
      <w:r w:rsidR="00C3199A">
        <w:t>expedient</w:t>
      </w:r>
      <w:r>
        <w:t xml:space="preserve"> and profitable over what is right. </w:t>
      </w:r>
    </w:p>
    <w:p w14:paraId="0023CC83" w14:textId="77777777" w:rsidR="006E50E4" w:rsidRDefault="006E50E4" w:rsidP="00E5711C">
      <w:pPr>
        <w:pStyle w:val="Q"/>
      </w:pPr>
      <w:r>
        <w:t xml:space="preserve">How does Thoreau’s criticism of </w:t>
      </w:r>
      <w:r w:rsidR="001E62E3">
        <w:t xml:space="preserve">legislators develop </w:t>
      </w:r>
      <w:r w:rsidR="004F2FA6">
        <w:t>his ideas</w:t>
      </w:r>
      <w:r w:rsidR="001E62E3">
        <w:t xml:space="preserve"> </w:t>
      </w:r>
      <w:r w:rsidR="004F2FA6">
        <w:t>about the exercise of power</w:t>
      </w:r>
      <w:r w:rsidR="001E62E3">
        <w:t xml:space="preserve"> in </w:t>
      </w:r>
      <w:r w:rsidR="00AE0061">
        <w:t xml:space="preserve">part 3, </w:t>
      </w:r>
      <w:r w:rsidR="001E62E3">
        <w:t>paragraph 18?</w:t>
      </w:r>
    </w:p>
    <w:p w14:paraId="786979C1" w14:textId="77777777" w:rsidR="001E62E3" w:rsidRDefault="001E62E3" w:rsidP="00DA23B4">
      <w:pPr>
        <w:pStyle w:val="SR"/>
      </w:pPr>
      <w:r>
        <w:t>By criticizing legislators, Thoreau develops the central idea of the exercise of power, in particular the exercise of power through language. Thoreau suggests that the “wordy wit” of “orators, politicians and eloquent men” is not enough to deal with society’s real problems, showing that the exercise of power through language is not sufficient if it is not accompanied by “wisdom and practical talent” (</w:t>
      </w:r>
      <w:r w:rsidR="00AE0061">
        <w:t xml:space="preserve">part 3, </w:t>
      </w:r>
      <w:r>
        <w:t xml:space="preserve">par. 18). </w:t>
      </w:r>
    </w:p>
    <w:p w14:paraId="0170DBDA" w14:textId="77777777" w:rsidR="00B9582C" w:rsidRPr="000752C0" w:rsidRDefault="00B9582C" w:rsidP="00B9582C">
      <w:pPr>
        <w:pStyle w:val="TA"/>
      </w:pPr>
      <w:r>
        <w:t>Lead a brief whole-class discussion of student responses.</w:t>
      </w:r>
    </w:p>
    <w:p w14:paraId="61AEE9EC" w14:textId="77777777" w:rsidR="00B9582C" w:rsidRPr="000752C0" w:rsidRDefault="00B9582C" w:rsidP="00B9582C">
      <w:pPr>
        <w:pStyle w:val="BR"/>
      </w:pPr>
    </w:p>
    <w:p w14:paraId="0E50F7A1" w14:textId="77777777" w:rsidR="00AE0061" w:rsidRDefault="00B9582C" w:rsidP="00184ED7">
      <w:pPr>
        <w:pStyle w:val="TA"/>
      </w:pPr>
      <w:r>
        <w:t xml:space="preserve">Instruct student </w:t>
      </w:r>
      <w:r w:rsidR="00F55879">
        <w:t>group</w:t>
      </w:r>
      <w:r>
        <w:t xml:space="preserve">s to </w:t>
      </w:r>
      <w:r w:rsidRPr="000752C0">
        <w:t xml:space="preserve">read </w:t>
      </w:r>
      <w:r w:rsidR="00AE0061">
        <w:t xml:space="preserve">part 3, </w:t>
      </w:r>
      <w:r>
        <w:t xml:space="preserve">paragraph </w:t>
      </w:r>
      <w:r w:rsidR="00AB55F0">
        <w:t>19</w:t>
      </w:r>
      <w:r>
        <w:t xml:space="preserve"> (from “</w:t>
      </w:r>
      <w:r w:rsidR="00AB55F0">
        <w:t>The authority of government, even such as I am willing to submit to</w:t>
      </w:r>
      <w:r>
        <w:t>” to “</w:t>
      </w:r>
      <w:r w:rsidR="00AB55F0">
        <w:t>which also I have imagined but not yet anywhere seen</w:t>
      </w:r>
      <w:r>
        <w:t>”)</w:t>
      </w:r>
      <w:r w:rsidRPr="000752C0">
        <w:t xml:space="preserve"> and answer the following questions before sharing out with the class.</w:t>
      </w:r>
    </w:p>
    <w:p w14:paraId="533881DA" w14:textId="77777777" w:rsidR="00184ED7" w:rsidRDefault="00184ED7" w:rsidP="00184ED7">
      <w:pPr>
        <w:pStyle w:val="TA"/>
        <w:rPr>
          <w:i/>
        </w:rPr>
      </w:pPr>
      <w:r>
        <w:t xml:space="preserve">Provide students with </w:t>
      </w:r>
      <w:r w:rsidR="00255196">
        <w:t xml:space="preserve">the </w:t>
      </w:r>
      <w:r>
        <w:t>definitions</w:t>
      </w:r>
      <w:r w:rsidR="00F61817">
        <w:t xml:space="preserve"> </w:t>
      </w:r>
      <w:r w:rsidR="00255196">
        <w:t>of</w:t>
      </w:r>
      <w:r w:rsidR="00F61817">
        <w:t xml:space="preserve"> </w:t>
      </w:r>
      <w:r>
        <w:rPr>
          <w:i/>
        </w:rPr>
        <w:t>sanction</w:t>
      </w:r>
      <w:r w:rsidR="00F61817">
        <w:t>,</w:t>
      </w:r>
      <w:r>
        <w:rPr>
          <w:i/>
        </w:rPr>
        <w:t xml:space="preserve"> enlightened</w:t>
      </w:r>
      <w:r w:rsidR="00F61817">
        <w:t>,</w:t>
      </w:r>
      <w:r>
        <w:rPr>
          <w:i/>
        </w:rPr>
        <w:t xml:space="preserve"> repose</w:t>
      </w:r>
      <w:r w:rsidR="00B953DD">
        <w:t>,</w:t>
      </w:r>
      <w:r>
        <w:t xml:space="preserve"> and </w:t>
      </w:r>
      <w:r>
        <w:rPr>
          <w:i/>
        </w:rPr>
        <w:t>aloof</w:t>
      </w:r>
      <w:r w:rsidR="00B939A5">
        <w:t>.</w:t>
      </w:r>
      <w:r>
        <w:rPr>
          <w:i/>
        </w:rPr>
        <w:t xml:space="preserve"> </w:t>
      </w:r>
    </w:p>
    <w:p w14:paraId="39DA6209" w14:textId="77777777" w:rsidR="0060258F" w:rsidRPr="00184ED7" w:rsidRDefault="0060258F" w:rsidP="005D0C0F">
      <w:pPr>
        <w:pStyle w:val="IN"/>
      </w:pPr>
      <w:r>
        <w:t>Students may be familiar with some of these words. Consider asking students to volunteer definitions before providing them to the group.</w:t>
      </w:r>
    </w:p>
    <w:p w14:paraId="09EFC4F2" w14:textId="77777777" w:rsidR="00184ED7" w:rsidRDefault="00184ED7" w:rsidP="00184ED7">
      <w:pPr>
        <w:pStyle w:val="SA"/>
      </w:pPr>
      <w:r>
        <w:t xml:space="preserve">Students write the definitions of </w:t>
      </w:r>
      <w:r>
        <w:rPr>
          <w:i/>
        </w:rPr>
        <w:t>sanction</w:t>
      </w:r>
      <w:r>
        <w:t xml:space="preserve">, </w:t>
      </w:r>
      <w:r>
        <w:rPr>
          <w:i/>
        </w:rPr>
        <w:t>enlightened</w:t>
      </w:r>
      <w:r>
        <w:t xml:space="preserve">, </w:t>
      </w:r>
      <w:r>
        <w:rPr>
          <w:i/>
        </w:rPr>
        <w:t>repose</w:t>
      </w:r>
      <w:r w:rsidR="00EA5C04">
        <w:t>,</w:t>
      </w:r>
      <w:r>
        <w:t xml:space="preserve"> and </w:t>
      </w:r>
      <w:r>
        <w:rPr>
          <w:i/>
        </w:rPr>
        <w:t>aloof</w:t>
      </w:r>
      <w:r>
        <w:t xml:space="preserve"> on their copies of the text or in a vocabulary journal.</w:t>
      </w:r>
    </w:p>
    <w:p w14:paraId="4E632AF1" w14:textId="77777777" w:rsidR="00184ED7" w:rsidRDefault="00184ED7" w:rsidP="00184ED7">
      <w:pPr>
        <w:pStyle w:val="IN"/>
        <w:ind w:left="426" w:hanging="426"/>
      </w:pPr>
      <w:r>
        <w:rPr>
          <w:b/>
        </w:rPr>
        <w:t xml:space="preserve">Differentiation Consideration: </w:t>
      </w:r>
      <w:r>
        <w:t xml:space="preserve">Consider providing students with </w:t>
      </w:r>
      <w:r w:rsidR="00F61817">
        <w:t xml:space="preserve">the </w:t>
      </w:r>
      <w:r>
        <w:t>definition</w:t>
      </w:r>
      <w:r w:rsidR="00F61817">
        <w:t xml:space="preserve"> </w:t>
      </w:r>
      <w:r w:rsidR="000A6261">
        <w:t>of</w:t>
      </w:r>
      <w:r>
        <w:t xml:space="preserve"> </w:t>
      </w:r>
      <w:r w:rsidR="00F61817">
        <w:rPr>
          <w:i/>
        </w:rPr>
        <w:t>authority</w:t>
      </w:r>
      <w:r w:rsidR="00E74C7A" w:rsidRPr="00E74C7A">
        <w:t>.</w:t>
      </w:r>
    </w:p>
    <w:p w14:paraId="4D732DC7" w14:textId="77777777" w:rsidR="005610C0" w:rsidRDefault="00184ED7" w:rsidP="0051608B">
      <w:pPr>
        <w:pStyle w:val="DCwithSA"/>
      </w:pPr>
      <w:r w:rsidRPr="00F76B63">
        <w:lastRenderedPageBreak/>
        <w:t xml:space="preserve">Students write the definition of </w:t>
      </w:r>
      <w:r w:rsidRPr="00F76B63">
        <w:rPr>
          <w:i/>
        </w:rPr>
        <w:t xml:space="preserve">authority </w:t>
      </w:r>
      <w:r w:rsidRPr="00F76B63">
        <w:t>on their copies of the text or in a vocabulary journal.</w:t>
      </w:r>
    </w:p>
    <w:p w14:paraId="56AFF70B" w14:textId="77777777" w:rsidR="00B9582C" w:rsidRDefault="00AB55F0" w:rsidP="00B9582C">
      <w:pPr>
        <w:pStyle w:val="Q"/>
      </w:pPr>
      <w:r>
        <w:t>What wou</w:t>
      </w:r>
      <w:r w:rsidR="00A03839">
        <w:t>l</w:t>
      </w:r>
      <w:r>
        <w:t xml:space="preserve">d make the authority of a government “just,” according to Thoreau in </w:t>
      </w:r>
      <w:r w:rsidR="00AE0061">
        <w:t xml:space="preserve">part 3, </w:t>
      </w:r>
      <w:r>
        <w:t xml:space="preserve">paragraph 19? </w:t>
      </w:r>
    </w:p>
    <w:p w14:paraId="37A55356" w14:textId="77777777" w:rsidR="00216AD3" w:rsidRDefault="00216AD3" w:rsidP="00DA23B4">
      <w:pPr>
        <w:pStyle w:val="SR"/>
      </w:pPr>
      <w:r>
        <w:t>In order for the authority of a government to be just, Thoreau suggests, it must have the approval and agreement of</w:t>
      </w:r>
      <w:r w:rsidR="00DE0C54">
        <w:t xml:space="preserve"> those whom it seeks to govern: “it must have the sanction and consent of the governed” (</w:t>
      </w:r>
      <w:r w:rsidR="00AE0061">
        <w:t xml:space="preserve">part 3, </w:t>
      </w:r>
      <w:r w:rsidR="00DE0C54">
        <w:t>par. 19). No government can take anything from an individual citizen that he or she does not agree to give up</w:t>
      </w:r>
      <w:r w:rsidR="00AE0061">
        <w:t xml:space="preserve"> because</w:t>
      </w:r>
      <w:r w:rsidR="00DB49CB">
        <w:t>, as Thoreau states,</w:t>
      </w:r>
      <w:r w:rsidR="00AE0061">
        <w:t xml:space="preserve"> </w:t>
      </w:r>
      <w:r w:rsidR="00DE0C54">
        <w:t xml:space="preserve"> </w:t>
      </w:r>
      <w:r w:rsidR="00A03839">
        <w:t>“</w:t>
      </w:r>
      <w:r w:rsidR="00DE0C54">
        <w:t xml:space="preserve">[the government] can have no </w:t>
      </w:r>
      <w:r w:rsidR="00F814C8">
        <w:t xml:space="preserve">pure </w:t>
      </w:r>
      <w:r w:rsidR="00DE0C54">
        <w:t xml:space="preserve">right over my person </w:t>
      </w:r>
      <w:r w:rsidR="00F814C8">
        <w:t xml:space="preserve">and </w:t>
      </w:r>
      <w:r w:rsidR="00DE0C54">
        <w:t>property but what I concede to it” (</w:t>
      </w:r>
      <w:r w:rsidR="00AE0061">
        <w:t xml:space="preserve">part 3, </w:t>
      </w:r>
      <w:r w:rsidR="00DE0C54">
        <w:t xml:space="preserve">par. 19). </w:t>
      </w:r>
    </w:p>
    <w:p w14:paraId="5C7AEB20" w14:textId="77777777" w:rsidR="00B9582C" w:rsidRDefault="00AB55F0" w:rsidP="00B9582C">
      <w:pPr>
        <w:pStyle w:val="Q"/>
      </w:pPr>
      <w:r>
        <w:t xml:space="preserve">What is Thoreau’s view of democracy in </w:t>
      </w:r>
      <w:r w:rsidR="00A473D7">
        <w:t xml:space="preserve">part 3, </w:t>
      </w:r>
      <w:r>
        <w:t>paragraph 19?</w:t>
      </w:r>
    </w:p>
    <w:p w14:paraId="729AFF24" w14:textId="77777777" w:rsidR="00DE0C54" w:rsidRDefault="00DE0C54" w:rsidP="00DA23B4">
      <w:pPr>
        <w:pStyle w:val="SR"/>
      </w:pPr>
      <w:r>
        <w:t>Student responses may include:</w:t>
      </w:r>
    </w:p>
    <w:p w14:paraId="3F3B0416" w14:textId="77777777" w:rsidR="00DE0C54" w:rsidRDefault="00DE0C54" w:rsidP="00DA23B4">
      <w:pPr>
        <w:pStyle w:val="SASRBullet"/>
      </w:pPr>
      <w:r>
        <w:t>Thoreau believes that the progress from absolute monarchy to democracy represents progress “toward a true respect for the individual” (</w:t>
      </w:r>
      <w:r w:rsidR="00A473D7">
        <w:t xml:space="preserve">part 3, </w:t>
      </w:r>
      <w:r>
        <w:t xml:space="preserve">par. 19), meaning that he believes that democracy represents a positive shift towards a government that recognizes the rights of the individual. </w:t>
      </w:r>
    </w:p>
    <w:p w14:paraId="56188B25" w14:textId="77777777" w:rsidR="00DE0C54" w:rsidRDefault="00DE0C54" w:rsidP="00DA23B4">
      <w:pPr>
        <w:pStyle w:val="SASRBullet"/>
      </w:pPr>
      <w:r>
        <w:t>Although he believes that democracy represents progress, Thoreau does not believe that democracy is necessarily the end</w:t>
      </w:r>
      <w:r w:rsidR="00B939A5">
        <w:t xml:space="preserve"> </w:t>
      </w:r>
      <w:r>
        <w:t>point of progress: he asks</w:t>
      </w:r>
      <w:r w:rsidR="00B939A5">
        <w:t>,</w:t>
      </w:r>
      <w:r>
        <w:t xml:space="preserve"> “Is </w:t>
      </w:r>
      <w:r w:rsidR="00F814C8">
        <w:t xml:space="preserve">a </w:t>
      </w:r>
      <w:r>
        <w:t>democracy, such as we know it, the last improvement possible in government?” (</w:t>
      </w:r>
      <w:r w:rsidR="00A473D7">
        <w:t xml:space="preserve">part 3, </w:t>
      </w:r>
      <w:r>
        <w:t xml:space="preserve">par. 19). </w:t>
      </w:r>
    </w:p>
    <w:p w14:paraId="069EEB67" w14:textId="77777777" w:rsidR="00DE0C54" w:rsidRDefault="00AB55F0" w:rsidP="00B9582C">
      <w:pPr>
        <w:pStyle w:val="Q"/>
      </w:pPr>
      <w:r>
        <w:t xml:space="preserve">What does Thoreau suggest is the basis of a “free and enlightened” state in </w:t>
      </w:r>
      <w:r w:rsidR="00A473D7">
        <w:t xml:space="preserve">part 3, </w:t>
      </w:r>
      <w:r>
        <w:t>paragraph 19?</w:t>
      </w:r>
    </w:p>
    <w:p w14:paraId="19B9838B" w14:textId="77777777" w:rsidR="00DE0C54" w:rsidRDefault="00DE0C54" w:rsidP="00DA23B4">
      <w:pPr>
        <w:pStyle w:val="SR"/>
      </w:pPr>
      <w:r>
        <w:t>Student responses may include:</w:t>
      </w:r>
    </w:p>
    <w:p w14:paraId="7CF83D04" w14:textId="77777777" w:rsidR="00DE0C54" w:rsidRDefault="00DE0C54" w:rsidP="00DA23B4">
      <w:pPr>
        <w:pStyle w:val="SASRBullet"/>
      </w:pPr>
      <w:r>
        <w:t>Thoreau believes that respect for the individual is the basis of a “free and enlightened State,” saying that no such state is possible until “the State comes to recognize the individual as a higher and independent power, from which all its own power and authority are derived” (</w:t>
      </w:r>
      <w:r w:rsidR="00A473D7">
        <w:t xml:space="preserve">part 3, </w:t>
      </w:r>
      <w:r>
        <w:t>par. 1</w:t>
      </w:r>
      <w:r w:rsidR="004A6ED8">
        <w:t xml:space="preserve">9). A “free and enlightened State” is one in which the individual is treated with respect by the </w:t>
      </w:r>
      <w:r w:rsidR="00267A56">
        <w:t>s</w:t>
      </w:r>
      <w:r w:rsidR="004A6ED8">
        <w:t>tate</w:t>
      </w:r>
      <w:r w:rsidR="00712E56">
        <w:t>,</w:t>
      </w:r>
      <w:r w:rsidR="004A6ED8">
        <w:t xml:space="preserve"> which recognize</w:t>
      </w:r>
      <w:r w:rsidR="00712E56">
        <w:t>s</w:t>
      </w:r>
      <w:r w:rsidR="004A6ED8">
        <w:t xml:space="preserve"> that the consent of the individual is the basis of its power, and which “treats [the individual] accordingly” (</w:t>
      </w:r>
      <w:r w:rsidR="00A473D7">
        <w:t xml:space="preserve">part 3, </w:t>
      </w:r>
      <w:r w:rsidR="004A6ED8">
        <w:t>par. 19)</w:t>
      </w:r>
      <w:r w:rsidR="00A473D7">
        <w:t>.</w:t>
      </w:r>
    </w:p>
    <w:p w14:paraId="5A49B445" w14:textId="77777777" w:rsidR="004A6ED8" w:rsidRDefault="004A6ED8" w:rsidP="00DA23B4">
      <w:pPr>
        <w:pStyle w:val="SASRBullet"/>
      </w:pPr>
      <w:r>
        <w:t>A “free and enlightened State” would not be threatened by individuals who choose no</w:t>
      </w:r>
      <w:r w:rsidR="00B939A5">
        <w:t>t to participate in it.</w:t>
      </w:r>
      <w:r>
        <w:t xml:space="preserve"> </w:t>
      </w:r>
      <w:r w:rsidR="00B939A5">
        <w:t>S</w:t>
      </w:r>
      <w:r>
        <w:t>uch a state “would not think it inconsistent with its own repose if a few were to live aloof from it, not meddling with it, nor embraced by it” (</w:t>
      </w:r>
      <w:r w:rsidR="00A473D7">
        <w:t xml:space="preserve">part 3, </w:t>
      </w:r>
      <w:r>
        <w:t xml:space="preserve">par. 19). </w:t>
      </w:r>
    </w:p>
    <w:p w14:paraId="5895919B" w14:textId="77777777" w:rsidR="00B9582C" w:rsidRDefault="00B9582C" w:rsidP="00DE0C54">
      <w:pPr>
        <w:pStyle w:val="TA"/>
      </w:pPr>
      <w:r>
        <w:t>Lead a brief whole-class discussion of student responses.</w:t>
      </w:r>
    </w:p>
    <w:p w14:paraId="7CFFDFA4" w14:textId="77777777" w:rsidR="00F61817" w:rsidRDefault="00F61817" w:rsidP="00F61817">
      <w:pPr>
        <w:pStyle w:val="IN"/>
      </w:pPr>
      <w:r>
        <w:t xml:space="preserve">Consider asking students which passages they found difficult or problematic. Lead a brief whole-class discussion of student responses. </w:t>
      </w:r>
    </w:p>
    <w:p w14:paraId="7F338BD6" w14:textId="77777777" w:rsidR="00B9582C" w:rsidRPr="000752C0" w:rsidRDefault="00494F04" w:rsidP="00C7691F">
      <w:pPr>
        <w:pStyle w:val="LearningSequenceHeader"/>
        <w:keepNext/>
        <w:rPr>
          <w:rFonts w:ascii="Calibri" w:hAnsi="Calibri"/>
        </w:rPr>
      </w:pPr>
      <w:r>
        <w:rPr>
          <w:rFonts w:ascii="Calibri" w:hAnsi="Calibri"/>
        </w:rPr>
        <w:lastRenderedPageBreak/>
        <w:t>Activity 4</w:t>
      </w:r>
      <w:r w:rsidR="00B9582C" w:rsidRPr="000752C0">
        <w:rPr>
          <w:rFonts w:ascii="Calibri" w:hAnsi="Calibri"/>
        </w:rPr>
        <w:t>: Quick Write</w:t>
      </w:r>
      <w:r w:rsidR="00B9582C" w:rsidRPr="000752C0">
        <w:rPr>
          <w:rFonts w:ascii="Calibri" w:hAnsi="Calibri"/>
        </w:rPr>
        <w:tab/>
        <w:t>15%</w:t>
      </w:r>
    </w:p>
    <w:p w14:paraId="77889B48" w14:textId="77777777" w:rsidR="00B9582C" w:rsidRPr="000752C0" w:rsidRDefault="00B9582C" w:rsidP="00B9582C">
      <w:pPr>
        <w:pStyle w:val="TA"/>
      </w:pPr>
      <w:r w:rsidRPr="000752C0">
        <w:t>Instruct students to respond briefly in writing to the following prompt:</w:t>
      </w:r>
    </w:p>
    <w:p w14:paraId="4EBA13D0" w14:textId="77777777" w:rsidR="00AB55F0" w:rsidRDefault="003C54C1" w:rsidP="00AB55F0">
      <w:pPr>
        <w:pStyle w:val="Q"/>
        <w:rPr>
          <w:lang w:eastAsia="ja-JP"/>
        </w:rPr>
      </w:pPr>
      <w:r>
        <w:rPr>
          <w:lang w:eastAsia="ja-JP"/>
        </w:rPr>
        <w:t xml:space="preserve">How does Thoreau develop the idea of a “free and enlightened State” in </w:t>
      </w:r>
      <w:r w:rsidR="00A473D7">
        <w:rPr>
          <w:lang w:eastAsia="ja-JP"/>
        </w:rPr>
        <w:t xml:space="preserve">part 3, </w:t>
      </w:r>
      <w:r>
        <w:rPr>
          <w:lang w:eastAsia="ja-JP"/>
        </w:rPr>
        <w:t>paragraphs 17</w:t>
      </w:r>
      <w:r w:rsidR="00B939A5">
        <w:rPr>
          <w:lang w:eastAsia="ja-JP"/>
        </w:rPr>
        <w:t>–</w:t>
      </w:r>
      <w:r>
        <w:rPr>
          <w:lang w:eastAsia="ja-JP"/>
        </w:rPr>
        <w:t>19?</w:t>
      </w:r>
    </w:p>
    <w:p w14:paraId="5396F9BD" w14:textId="77777777" w:rsidR="00B9582C" w:rsidRPr="000752C0" w:rsidRDefault="00B9582C" w:rsidP="00B9582C">
      <w:pPr>
        <w:pStyle w:val="TA"/>
      </w:pPr>
      <w:r w:rsidRPr="000752C0">
        <w:t xml:space="preserve">Instruct students to look at their annotations to find evidence. Ask students to use this lesson’s vocabulary wherever possible in their written responses. </w:t>
      </w:r>
    </w:p>
    <w:p w14:paraId="61F7A611" w14:textId="77777777" w:rsidR="00B9582C" w:rsidRPr="000752C0" w:rsidRDefault="00B9582C" w:rsidP="00B9582C">
      <w:pPr>
        <w:pStyle w:val="SA"/>
        <w:numPr>
          <w:ilvl w:val="0"/>
          <w:numId w:val="2"/>
        </w:numPr>
      </w:pPr>
      <w:r w:rsidRPr="000752C0">
        <w:t>Students listen and read the Quick Write prompt.</w:t>
      </w:r>
    </w:p>
    <w:p w14:paraId="74AAD548" w14:textId="77777777" w:rsidR="00B9582C" w:rsidRPr="000752C0" w:rsidRDefault="00B9582C" w:rsidP="00B9582C">
      <w:pPr>
        <w:pStyle w:val="IN"/>
      </w:pPr>
      <w:r w:rsidRPr="000752C0">
        <w:t>Display the prompt for students to see, or provide the prompt in hard copy.</w:t>
      </w:r>
    </w:p>
    <w:p w14:paraId="58C515B4" w14:textId="77777777" w:rsidR="00B9582C" w:rsidRPr="000752C0" w:rsidRDefault="00B9582C" w:rsidP="00B9582C">
      <w:pPr>
        <w:pStyle w:val="TA"/>
        <w:rPr>
          <w:rFonts w:cs="Cambria"/>
        </w:rPr>
      </w:pPr>
      <w:r w:rsidRPr="000752C0">
        <w:rPr>
          <w:rFonts w:cs="Cambria"/>
        </w:rPr>
        <w:t>Transition to the independent Quick Write.</w:t>
      </w:r>
      <w:r w:rsidRPr="000752C0">
        <w:t xml:space="preserve"> </w:t>
      </w:r>
    </w:p>
    <w:p w14:paraId="1BDE7F9F" w14:textId="77777777" w:rsidR="00B9582C" w:rsidRPr="000752C0" w:rsidRDefault="00B9582C" w:rsidP="00B9582C">
      <w:pPr>
        <w:pStyle w:val="SA"/>
        <w:numPr>
          <w:ilvl w:val="0"/>
          <w:numId w:val="2"/>
        </w:numPr>
      </w:pPr>
      <w:r w:rsidRPr="000752C0">
        <w:t xml:space="preserve">Students independently answer the prompt using evidence from the text. </w:t>
      </w:r>
    </w:p>
    <w:p w14:paraId="41D2B973" w14:textId="77777777" w:rsidR="00B9582C" w:rsidRDefault="00B9582C" w:rsidP="00DA23B4">
      <w:pPr>
        <w:pStyle w:val="SR"/>
      </w:pPr>
      <w:r w:rsidRPr="000752C0">
        <w:t>See the High Performance Response at the beginning of this lesson.</w:t>
      </w:r>
    </w:p>
    <w:p w14:paraId="4C213D94" w14:textId="77777777" w:rsidR="00C5781E" w:rsidRPr="000752C0" w:rsidRDefault="00C5781E" w:rsidP="00F61817">
      <w:pPr>
        <w:pStyle w:val="IN"/>
        <w:ind w:left="426" w:hanging="426"/>
      </w:pPr>
      <w:r>
        <w:t>Consider using the Short Response Rubric to assess students’ writing. Students may use the Short Response Rubric and Checklist to guide their written responses</w:t>
      </w:r>
    </w:p>
    <w:p w14:paraId="32443793" w14:textId="77777777" w:rsidR="00B9582C" w:rsidRPr="000752C0" w:rsidRDefault="00B9582C" w:rsidP="00B9582C">
      <w:pPr>
        <w:pStyle w:val="LearningSequenceHeader"/>
        <w:rPr>
          <w:rFonts w:ascii="Calibri" w:hAnsi="Calibri"/>
        </w:rPr>
      </w:pPr>
      <w:r w:rsidRPr="000752C0">
        <w:rPr>
          <w:rFonts w:ascii="Calibri" w:hAnsi="Calibri"/>
        </w:rPr>
        <w:t>Activ</w:t>
      </w:r>
      <w:r w:rsidR="00494F04">
        <w:rPr>
          <w:rFonts w:ascii="Calibri" w:hAnsi="Calibri"/>
        </w:rPr>
        <w:t>ity 5</w:t>
      </w:r>
      <w:r w:rsidRPr="000752C0">
        <w:rPr>
          <w:rFonts w:ascii="Calibri" w:hAnsi="Calibri"/>
        </w:rPr>
        <w:t>: Closing</w:t>
      </w:r>
      <w:r w:rsidRPr="000752C0">
        <w:rPr>
          <w:rFonts w:ascii="Calibri" w:hAnsi="Calibri"/>
        </w:rPr>
        <w:tab/>
        <w:t>5%</w:t>
      </w:r>
    </w:p>
    <w:p w14:paraId="7E14CFF3" w14:textId="77777777" w:rsidR="003D2509" w:rsidRDefault="00B9582C" w:rsidP="00DB368F">
      <w:pPr>
        <w:pStyle w:val="TA"/>
      </w:pPr>
      <w:r w:rsidRPr="000752C0">
        <w:rPr>
          <w:szCs w:val="20"/>
          <w:shd w:val="clear" w:color="auto" w:fill="FFFFFF"/>
        </w:rPr>
        <w:t xml:space="preserve">Display and distribute the homework assignment. For homework, </w:t>
      </w:r>
      <w:r w:rsidR="000158B4">
        <w:rPr>
          <w:szCs w:val="20"/>
          <w:shd w:val="clear" w:color="auto" w:fill="FFFFFF"/>
        </w:rPr>
        <w:t xml:space="preserve">instruct </w:t>
      </w:r>
      <w:r w:rsidRPr="00FA3127">
        <w:t xml:space="preserve">students to </w:t>
      </w:r>
      <w:r w:rsidR="003D2509">
        <w:t xml:space="preserve">add at least two ideas to their </w:t>
      </w:r>
      <w:r w:rsidR="005972CF">
        <w:t xml:space="preserve">Central </w:t>
      </w:r>
      <w:r w:rsidR="003D2509">
        <w:t>Ideas Tracking Tool.</w:t>
      </w:r>
    </w:p>
    <w:p w14:paraId="7F7A9D67" w14:textId="77777777" w:rsidR="00C5781E" w:rsidRDefault="00C5781E" w:rsidP="00C5781E">
      <w:pPr>
        <w:pStyle w:val="TA"/>
      </w:pPr>
      <w:r>
        <w:t xml:space="preserve">Additionally, instruct students to reread </w:t>
      </w:r>
      <w:r w:rsidR="00A473D7">
        <w:t xml:space="preserve">part 3, </w:t>
      </w:r>
      <w:r>
        <w:t>paragraphs 17</w:t>
      </w:r>
      <w:r w:rsidR="00B939A5">
        <w:t>–</w:t>
      </w:r>
      <w:r>
        <w:t>19 and answer the following question:</w:t>
      </w:r>
    </w:p>
    <w:p w14:paraId="1DF569A3" w14:textId="77777777" w:rsidR="00C5781E" w:rsidRDefault="00C5781E" w:rsidP="00C5781E">
      <w:pPr>
        <w:pStyle w:val="Q"/>
      </w:pPr>
      <w:r>
        <w:t xml:space="preserve">Which sentence of </w:t>
      </w:r>
      <w:r w:rsidR="00A473D7">
        <w:t xml:space="preserve">part 3, </w:t>
      </w:r>
      <w:r>
        <w:t>paragraphs 17</w:t>
      </w:r>
      <w:r w:rsidR="000A29AE">
        <w:t>–</w:t>
      </w:r>
      <w:r>
        <w:t xml:space="preserve">19 is most critical to your understanding of “Civil Disobedience” and why? </w:t>
      </w:r>
    </w:p>
    <w:p w14:paraId="6AE2575F" w14:textId="77777777" w:rsidR="00C5781E" w:rsidRDefault="00C5781E" w:rsidP="00C5781E">
      <w:pPr>
        <w:pStyle w:val="TA"/>
      </w:pPr>
      <w:r>
        <w:t>Instruct students to look at their annotations to find evidence. Ask students to use this lesson’s vocabulary wherever possible in their written responses.</w:t>
      </w:r>
    </w:p>
    <w:p w14:paraId="083ECA75" w14:textId="77777777" w:rsidR="003C54C1" w:rsidRDefault="00C5781E" w:rsidP="00DB368F">
      <w:pPr>
        <w:pStyle w:val="IN"/>
      </w:pPr>
      <w:r>
        <w:t xml:space="preserve">Consider reminding </w:t>
      </w:r>
      <w:r w:rsidR="00C642FB">
        <w:t xml:space="preserve">students of the </w:t>
      </w:r>
      <w:r>
        <w:t>alternative End-of-Unit Assessment</w:t>
      </w:r>
      <w:r w:rsidR="00C642FB">
        <w:t xml:space="preserve"> prompt</w:t>
      </w:r>
      <w:r>
        <w:t>.</w:t>
      </w:r>
      <w:r w:rsidR="00C642FB">
        <w:t xml:space="preserve"> </w:t>
      </w:r>
      <w:r>
        <w:t>P</w:t>
      </w:r>
      <w:r w:rsidR="00C642FB">
        <w:t>rovide the following scaffolding question</w:t>
      </w:r>
      <w:r>
        <w:t xml:space="preserve"> as an optional </w:t>
      </w:r>
      <w:r w:rsidR="008955E3">
        <w:t>AIW</w:t>
      </w:r>
      <w:r>
        <w:t xml:space="preserve"> </w:t>
      </w:r>
      <w:r w:rsidR="00E10305">
        <w:t>a</w:t>
      </w:r>
      <w:r>
        <w:t xml:space="preserve">ssignment. </w:t>
      </w:r>
    </w:p>
    <w:p w14:paraId="6BE99031" w14:textId="77777777" w:rsidR="003C54C1" w:rsidRDefault="00C5781E" w:rsidP="00DB368F">
      <w:pPr>
        <w:pStyle w:val="DCwithQ"/>
      </w:pPr>
      <w:r w:rsidRPr="00B9582C">
        <w:rPr>
          <w:lang w:eastAsia="ja-JP"/>
        </w:rPr>
        <w:t>Compare the approach</w:t>
      </w:r>
      <w:r w:rsidR="005974BA">
        <w:rPr>
          <w:lang w:eastAsia="ja-JP"/>
        </w:rPr>
        <w:t>es</w:t>
      </w:r>
      <w:r w:rsidRPr="00B9582C">
        <w:rPr>
          <w:lang w:eastAsia="ja-JP"/>
        </w:rPr>
        <w:t xml:space="preserve"> Bhutto and Thoreau take on the topic o</w:t>
      </w:r>
      <w:r>
        <w:rPr>
          <w:lang w:eastAsia="ja-JP"/>
        </w:rPr>
        <w:t>f democracy. How do their approaches add to your understanding o</w:t>
      </w:r>
      <w:r w:rsidR="00876FA0">
        <w:rPr>
          <w:lang w:eastAsia="ja-JP"/>
        </w:rPr>
        <w:t>f their ideas about citizenship?</w:t>
      </w:r>
      <w:r>
        <w:rPr>
          <w:lang w:eastAsia="ja-JP"/>
        </w:rPr>
        <w:t xml:space="preserve"> Use evidence from p</w:t>
      </w:r>
      <w:r w:rsidRPr="00B9582C">
        <w:rPr>
          <w:lang w:eastAsia="ja-JP"/>
        </w:rPr>
        <w:t>art 3</w:t>
      </w:r>
      <w:r>
        <w:rPr>
          <w:lang w:eastAsia="ja-JP"/>
        </w:rPr>
        <w:t>,</w:t>
      </w:r>
      <w:r w:rsidRPr="00B9582C">
        <w:rPr>
          <w:lang w:eastAsia="ja-JP"/>
        </w:rPr>
        <w:t xml:space="preserve"> paragraph 19 of </w:t>
      </w:r>
      <w:r w:rsidR="000A29AE">
        <w:rPr>
          <w:lang w:eastAsia="ja-JP"/>
        </w:rPr>
        <w:t>“</w:t>
      </w:r>
      <w:r w:rsidRPr="00B9582C">
        <w:rPr>
          <w:lang w:eastAsia="ja-JP"/>
        </w:rPr>
        <w:t>Civil Disobedience</w:t>
      </w:r>
      <w:r w:rsidR="000A29AE">
        <w:rPr>
          <w:lang w:eastAsia="ja-JP"/>
        </w:rPr>
        <w:t>”</w:t>
      </w:r>
      <w:r w:rsidR="000A29AE" w:rsidRPr="00B9582C">
        <w:rPr>
          <w:lang w:eastAsia="ja-JP"/>
        </w:rPr>
        <w:t xml:space="preserve"> </w:t>
      </w:r>
      <w:r w:rsidRPr="00B9582C">
        <w:rPr>
          <w:lang w:eastAsia="ja-JP"/>
        </w:rPr>
        <w:t xml:space="preserve">and </w:t>
      </w:r>
      <w:r w:rsidR="000A29AE" w:rsidRPr="00B9582C">
        <w:rPr>
          <w:lang w:eastAsia="ja-JP"/>
        </w:rPr>
        <w:t>Bhutto</w:t>
      </w:r>
      <w:r w:rsidR="000A29AE">
        <w:rPr>
          <w:lang w:eastAsia="ja-JP"/>
        </w:rPr>
        <w:t>’</w:t>
      </w:r>
      <w:r w:rsidR="000A29AE" w:rsidRPr="00B9582C">
        <w:rPr>
          <w:lang w:eastAsia="ja-JP"/>
        </w:rPr>
        <w:t xml:space="preserve">s </w:t>
      </w:r>
      <w:r w:rsidRPr="00B9582C">
        <w:rPr>
          <w:lang w:eastAsia="ja-JP"/>
        </w:rPr>
        <w:t>speech to support your response.</w:t>
      </w:r>
    </w:p>
    <w:p w14:paraId="7A4D8FA6" w14:textId="77777777" w:rsidR="005925C4" w:rsidRPr="000752C0" w:rsidRDefault="005925C4">
      <w:pPr>
        <w:pStyle w:val="SA"/>
      </w:pPr>
      <w:r>
        <w:t xml:space="preserve">Students follow along. </w:t>
      </w:r>
    </w:p>
    <w:p w14:paraId="0C8CCA38" w14:textId="77777777" w:rsidR="00B9582C" w:rsidRPr="000752C0" w:rsidRDefault="00B9582C" w:rsidP="00744BFE">
      <w:pPr>
        <w:pStyle w:val="Heading1"/>
      </w:pPr>
      <w:r w:rsidRPr="00744BFE">
        <w:lastRenderedPageBreak/>
        <w:t>Homework</w:t>
      </w:r>
    </w:p>
    <w:p w14:paraId="10368403" w14:textId="77777777" w:rsidR="00577923" w:rsidRPr="00F76B63" w:rsidRDefault="003C54C1" w:rsidP="00912D67">
      <w:r>
        <w:t>Add at least two ideas to your</w:t>
      </w:r>
      <w:r w:rsidR="005972CF">
        <w:t xml:space="preserve"> Central</w:t>
      </w:r>
      <w:r>
        <w:t xml:space="preserve"> Ideas Tracking Tool</w:t>
      </w:r>
      <w:r w:rsidR="00912D67" w:rsidRPr="00F76B63">
        <w:t>.</w:t>
      </w:r>
    </w:p>
    <w:p w14:paraId="16732D60" w14:textId="77777777" w:rsidR="00C5781E" w:rsidRDefault="00C5781E" w:rsidP="00B04D83">
      <w:r>
        <w:t xml:space="preserve">Reread </w:t>
      </w:r>
      <w:r w:rsidR="00A473D7">
        <w:t xml:space="preserve">part 3, </w:t>
      </w:r>
      <w:r>
        <w:t>paragraphs 17</w:t>
      </w:r>
      <w:r w:rsidR="00DB7A82">
        <w:t>–</w:t>
      </w:r>
      <w:r>
        <w:t>19 and answer the following question:</w:t>
      </w:r>
    </w:p>
    <w:p w14:paraId="5BA07DE3" w14:textId="77777777" w:rsidR="00C5781E" w:rsidRDefault="00C5781E" w:rsidP="00C7691F">
      <w:pPr>
        <w:pStyle w:val="Q"/>
        <w:spacing w:after="240"/>
      </w:pPr>
      <w:r>
        <w:t xml:space="preserve">Which sentence of </w:t>
      </w:r>
      <w:r w:rsidR="00A473D7">
        <w:t xml:space="preserve">part 3, </w:t>
      </w:r>
      <w:r>
        <w:t>paragraphs 17</w:t>
      </w:r>
      <w:r w:rsidR="00DB7A82">
        <w:t>–</w:t>
      </w:r>
      <w:r>
        <w:t>19 is most critical to your understanding of “Civil Disobedience” and why?</w:t>
      </w:r>
    </w:p>
    <w:p w14:paraId="370A4847" w14:textId="77777777" w:rsidR="00DA23B4" w:rsidRDefault="00C5781E" w:rsidP="00C5781E">
      <w:pPr>
        <w:sectPr w:rsidR="00DA23B4" w:rsidSect="00600078">
          <w:headerReference w:type="default" r:id="rId8"/>
          <w:footerReference w:type="even" r:id="rId9"/>
          <w:footerReference w:type="default" r:id="rId10"/>
          <w:pgSz w:w="12240" w:h="15840"/>
          <w:pgMar w:top="1440" w:right="1440" w:bottom="1440" w:left="1440" w:header="432" w:footer="648" w:gutter="0"/>
          <w:cols w:space="720"/>
          <w:docGrid w:linePitch="299"/>
        </w:sectPr>
      </w:pPr>
      <w:r>
        <w:t>Look at your annotations to find evidence. Use this lesson’s vocabulary wherever possible in your written responses.</w:t>
      </w:r>
    </w:p>
    <w:p w14:paraId="2083AB54" w14:textId="77777777" w:rsidR="004C0AF6" w:rsidRPr="00F76B63" w:rsidRDefault="004C0AF6" w:rsidP="00577923">
      <w:pPr>
        <w:pStyle w:val="ToolHeader"/>
        <w:rPr>
          <w:rFonts w:ascii="Calibri" w:hAnsi="Calibri"/>
        </w:rPr>
      </w:pPr>
      <w:r w:rsidRPr="00F76B63">
        <w:rPr>
          <w:rFonts w:ascii="Calibri" w:hAnsi="Calibri"/>
        </w:rPr>
        <w:lastRenderedPageBreak/>
        <w:t xml:space="preserve">Model </w:t>
      </w:r>
      <w:r w:rsidR="005972CF" w:rsidRPr="00F76B63">
        <w:rPr>
          <w:rFonts w:ascii="Calibri" w:hAnsi="Calibri"/>
        </w:rPr>
        <w:t xml:space="preserve">Central </w:t>
      </w:r>
      <w:r w:rsidRPr="00F76B63">
        <w:rPr>
          <w:rFonts w:ascii="Calibri" w:hAnsi="Calibri"/>
        </w:rPr>
        <w:t>Ideas Tracking Tool</w:t>
      </w: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68"/>
        <w:gridCol w:w="739"/>
        <w:gridCol w:w="3026"/>
        <w:gridCol w:w="727"/>
        <w:gridCol w:w="1366"/>
      </w:tblGrid>
      <w:tr w:rsidR="00A81D1D" w:rsidRPr="00E74C7A" w14:paraId="3721EF38" w14:textId="77777777" w:rsidTr="00394EB8">
        <w:trPr>
          <w:trHeight w:val="562"/>
        </w:trPr>
        <w:tc>
          <w:tcPr>
            <w:tcW w:w="820" w:type="dxa"/>
            <w:shd w:val="clear" w:color="auto" w:fill="D9D9D9"/>
            <w:vAlign w:val="center"/>
          </w:tcPr>
          <w:p w14:paraId="76507FB1" w14:textId="77777777" w:rsidR="00A81D1D" w:rsidRPr="00E74C7A" w:rsidRDefault="00A81D1D" w:rsidP="00B32D12">
            <w:pPr>
              <w:pStyle w:val="TableText"/>
              <w:rPr>
                <w:b/>
              </w:rPr>
            </w:pPr>
            <w:r w:rsidRPr="00E74C7A">
              <w:rPr>
                <w:b/>
              </w:rPr>
              <w:t>Name:</w:t>
            </w:r>
          </w:p>
        </w:tc>
        <w:tc>
          <w:tcPr>
            <w:tcW w:w="2768" w:type="dxa"/>
            <w:shd w:val="clear" w:color="auto" w:fill="auto"/>
            <w:vAlign w:val="center"/>
          </w:tcPr>
          <w:p w14:paraId="093FA2C3" w14:textId="77777777" w:rsidR="00A81D1D" w:rsidRPr="00E74C7A" w:rsidRDefault="00A81D1D" w:rsidP="00B32D12">
            <w:pPr>
              <w:pStyle w:val="TableText"/>
              <w:rPr>
                <w:b/>
              </w:rPr>
            </w:pPr>
          </w:p>
        </w:tc>
        <w:tc>
          <w:tcPr>
            <w:tcW w:w="739" w:type="dxa"/>
            <w:shd w:val="clear" w:color="auto" w:fill="D9D9D9"/>
            <w:vAlign w:val="center"/>
          </w:tcPr>
          <w:p w14:paraId="6953D73F" w14:textId="77777777" w:rsidR="00A81D1D" w:rsidRPr="00E74C7A" w:rsidRDefault="00A81D1D" w:rsidP="00B32D12">
            <w:pPr>
              <w:pStyle w:val="TableText"/>
              <w:rPr>
                <w:b/>
              </w:rPr>
            </w:pPr>
            <w:r w:rsidRPr="00E74C7A">
              <w:rPr>
                <w:b/>
              </w:rPr>
              <w:t>Class:</w:t>
            </w:r>
          </w:p>
        </w:tc>
        <w:tc>
          <w:tcPr>
            <w:tcW w:w="3026" w:type="dxa"/>
            <w:shd w:val="clear" w:color="auto" w:fill="auto"/>
            <w:vAlign w:val="center"/>
          </w:tcPr>
          <w:p w14:paraId="507585DF" w14:textId="77777777" w:rsidR="00A81D1D" w:rsidRPr="00E74C7A" w:rsidRDefault="00A81D1D" w:rsidP="00B32D12">
            <w:pPr>
              <w:pStyle w:val="TableText"/>
              <w:rPr>
                <w:b/>
              </w:rPr>
            </w:pPr>
          </w:p>
        </w:tc>
        <w:tc>
          <w:tcPr>
            <w:tcW w:w="727" w:type="dxa"/>
            <w:shd w:val="clear" w:color="auto" w:fill="D9D9D9"/>
            <w:vAlign w:val="center"/>
          </w:tcPr>
          <w:p w14:paraId="479D8AC3" w14:textId="77777777" w:rsidR="00A81D1D" w:rsidRPr="00E74C7A" w:rsidRDefault="00A81D1D" w:rsidP="00B32D12">
            <w:pPr>
              <w:pStyle w:val="TableText"/>
              <w:rPr>
                <w:b/>
              </w:rPr>
            </w:pPr>
            <w:r w:rsidRPr="00E74C7A">
              <w:rPr>
                <w:b/>
              </w:rPr>
              <w:t>Date:</w:t>
            </w:r>
          </w:p>
        </w:tc>
        <w:tc>
          <w:tcPr>
            <w:tcW w:w="1366" w:type="dxa"/>
            <w:shd w:val="clear" w:color="auto" w:fill="auto"/>
            <w:vAlign w:val="center"/>
          </w:tcPr>
          <w:p w14:paraId="01E13103" w14:textId="77777777" w:rsidR="00A81D1D" w:rsidRPr="00E74C7A" w:rsidRDefault="00A81D1D" w:rsidP="00B32D12">
            <w:pPr>
              <w:pStyle w:val="TableText"/>
              <w:rPr>
                <w:b/>
              </w:rPr>
            </w:pPr>
          </w:p>
        </w:tc>
      </w:tr>
    </w:tbl>
    <w:p w14:paraId="2BE31ADA" w14:textId="77777777" w:rsidR="00A81D1D" w:rsidRPr="00017227" w:rsidRDefault="00A81D1D" w:rsidP="00A81D1D">
      <w:pPr>
        <w:spacing w:before="0" w:after="0"/>
        <w:rPr>
          <w:sz w:val="10"/>
        </w:rPr>
      </w:pP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A81D1D" w:rsidRPr="008E247B" w:rsidDel="002A5AC0" w14:paraId="40CB91F8" w14:textId="77777777" w:rsidTr="00394EB8">
        <w:trPr>
          <w:trHeight w:val="1007"/>
        </w:trPr>
        <w:tc>
          <w:tcPr>
            <w:tcW w:w="9468" w:type="dxa"/>
            <w:shd w:val="clear" w:color="auto" w:fill="D9D9D9"/>
          </w:tcPr>
          <w:p w14:paraId="4289F011" w14:textId="77777777" w:rsidR="00A81D1D" w:rsidRPr="008E247B" w:rsidDel="002A5AC0" w:rsidRDefault="00A81D1D" w:rsidP="00B32D12">
            <w:pPr>
              <w:pStyle w:val="ToolTableText"/>
            </w:pPr>
            <w:r w:rsidRPr="00F76B63">
              <w:rPr>
                <w:b/>
              </w:rPr>
              <w:t xml:space="preserve">Directions: </w:t>
            </w:r>
            <w:r w:rsidRPr="00017227">
              <w:t>Identify the ideas that you encounter throughout the text. Trace the development of those ideas by noting how the author introduces, develops, or refines these ideas in the text. Cite textual evidence to support your work.</w:t>
            </w:r>
          </w:p>
        </w:tc>
      </w:tr>
    </w:tbl>
    <w:p w14:paraId="5CABB01B" w14:textId="77777777" w:rsidR="00A81D1D" w:rsidRDefault="00A81D1D" w:rsidP="00A81D1D">
      <w:pPr>
        <w:spacing w:before="0" w:after="0"/>
        <w:rPr>
          <w:sz w:val="10"/>
        </w:rPr>
      </w:pP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772"/>
      </w:tblGrid>
      <w:tr w:rsidR="00A81D1D" w:rsidRPr="00B81916" w14:paraId="2C77F60A" w14:textId="77777777" w:rsidTr="00394EB8">
        <w:trPr>
          <w:trHeight w:val="557"/>
        </w:trPr>
        <w:tc>
          <w:tcPr>
            <w:tcW w:w="674" w:type="dxa"/>
            <w:shd w:val="clear" w:color="auto" w:fill="D9D9D9"/>
            <w:vAlign w:val="center"/>
          </w:tcPr>
          <w:p w14:paraId="418FF3EB" w14:textId="77777777" w:rsidR="00A81D1D" w:rsidRPr="00F76B63" w:rsidRDefault="00A81D1D" w:rsidP="00B32D12">
            <w:pPr>
              <w:pStyle w:val="ToolTableText"/>
              <w:rPr>
                <w:b/>
              </w:rPr>
            </w:pPr>
            <w:r w:rsidRPr="00F76B63">
              <w:rPr>
                <w:b/>
              </w:rPr>
              <w:t>Text:</w:t>
            </w:r>
          </w:p>
        </w:tc>
        <w:tc>
          <w:tcPr>
            <w:tcW w:w="8794" w:type="dxa"/>
            <w:shd w:val="clear" w:color="auto" w:fill="auto"/>
            <w:vAlign w:val="center"/>
          </w:tcPr>
          <w:p w14:paraId="4A8D5EBB" w14:textId="77777777" w:rsidR="00A81D1D" w:rsidRPr="004C2275" w:rsidRDefault="00A81D1D" w:rsidP="00B32D12">
            <w:pPr>
              <w:pStyle w:val="ToolTableText"/>
            </w:pPr>
            <w:r>
              <w:t>“Civil Disobedience” by Henry David Thoreau</w:t>
            </w:r>
          </w:p>
        </w:tc>
      </w:tr>
    </w:tbl>
    <w:p w14:paraId="1126A9C3" w14:textId="77777777" w:rsidR="00E00446" w:rsidRPr="00E00446" w:rsidRDefault="00E00446" w:rsidP="00E00446">
      <w:pPr>
        <w:spacing w:before="0" w:after="0"/>
        <w:rPr>
          <w:vanish/>
        </w:rPr>
      </w:pPr>
    </w:p>
    <w:tbl>
      <w:tblPr>
        <w:tblpPr w:leftFromText="180" w:rightFromText="180" w:vertAnchor="text" w:horzAnchor="page" w:tblpX="1567" w:tblpY="178"/>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375"/>
        <w:gridCol w:w="3049"/>
        <w:gridCol w:w="5022"/>
      </w:tblGrid>
      <w:tr w:rsidR="00DA23B4" w:rsidRPr="00317D7B" w14:paraId="7B67D2F4" w14:textId="77777777" w:rsidTr="00394EB8">
        <w:trPr>
          <w:trHeight w:val="665"/>
        </w:trPr>
        <w:tc>
          <w:tcPr>
            <w:tcW w:w="1375" w:type="dxa"/>
            <w:shd w:val="clear" w:color="auto" w:fill="D9D9D9"/>
          </w:tcPr>
          <w:p w14:paraId="134B664C" w14:textId="480A3CB6" w:rsidR="00DA23B4" w:rsidRPr="00DA23B4" w:rsidRDefault="007A0EF0" w:rsidP="007A0EF0">
            <w:pPr>
              <w:pStyle w:val="ToolTableText"/>
              <w:jc w:val="center"/>
              <w:rPr>
                <w:b/>
              </w:rPr>
            </w:pPr>
            <w:r>
              <w:rPr>
                <w:b/>
              </w:rPr>
              <w:t xml:space="preserve">Part and </w:t>
            </w:r>
            <w:r w:rsidR="00DA23B4" w:rsidRPr="00DA23B4">
              <w:rPr>
                <w:b/>
              </w:rPr>
              <w:t>Paragraph #</w:t>
            </w:r>
          </w:p>
        </w:tc>
        <w:tc>
          <w:tcPr>
            <w:tcW w:w="3049" w:type="dxa"/>
            <w:shd w:val="clear" w:color="auto" w:fill="D9D9D9"/>
          </w:tcPr>
          <w:p w14:paraId="4EA03DE3" w14:textId="77777777" w:rsidR="00DA23B4" w:rsidRPr="00DA23B4" w:rsidRDefault="00DA23B4" w:rsidP="007A0EF0">
            <w:pPr>
              <w:pStyle w:val="ToolTableText"/>
              <w:jc w:val="center"/>
              <w:rPr>
                <w:b/>
              </w:rPr>
            </w:pPr>
            <w:r w:rsidRPr="00DA23B4">
              <w:rPr>
                <w:b/>
              </w:rPr>
              <w:t>Central Ideas</w:t>
            </w:r>
          </w:p>
        </w:tc>
        <w:tc>
          <w:tcPr>
            <w:tcW w:w="5022" w:type="dxa"/>
            <w:shd w:val="clear" w:color="auto" w:fill="D9D9D9"/>
          </w:tcPr>
          <w:p w14:paraId="747303DB" w14:textId="77777777" w:rsidR="00DA23B4" w:rsidRPr="00DA23B4" w:rsidRDefault="00DA23B4" w:rsidP="007A0EF0">
            <w:pPr>
              <w:pStyle w:val="ToolTableText"/>
              <w:jc w:val="center"/>
              <w:rPr>
                <w:b/>
              </w:rPr>
            </w:pPr>
            <w:r w:rsidRPr="00DA23B4">
              <w:rPr>
                <w:b/>
              </w:rPr>
              <w:t>Notes and Connections</w:t>
            </w:r>
          </w:p>
        </w:tc>
      </w:tr>
      <w:tr w:rsidR="00DA23B4" w14:paraId="15709DB7" w14:textId="77777777" w:rsidTr="00394EB8">
        <w:trPr>
          <w:trHeight w:val="1440"/>
        </w:trPr>
        <w:tc>
          <w:tcPr>
            <w:tcW w:w="1375" w:type="dxa"/>
          </w:tcPr>
          <w:p w14:paraId="5914D825" w14:textId="77777777" w:rsidR="00DA23B4" w:rsidRDefault="008955E3" w:rsidP="00394EB8">
            <w:pPr>
              <w:pStyle w:val="ToolTableText"/>
            </w:pPr>
            <w:r>
              <w:t>P</w:t>
            </w:r>
            <w:r w:rsidR="00A473D7">
              <w:t xml:space="preserve">art 3, par. </w:t>
            </w:r>
            <w:r w:rsidR="00DA23B4">
              <w:t>4</w:t>
            </w:r>
          </w:p>
        </w:tc>
        <w:tc>
          <w:tcPr>
            <w:tcW w:w="3049" w:type="dxa"/>
          </w:tcPr>
          <w:p w14:paraId="0FB4E6E0" w14:textId="77777777" w:rsidR="00DA23B4" w:rsidRDefault="000A29AE" w:rsidP="00394EB8">
            <w:pPr>
              <w:pStyle w:val="ToolTableText"/>
            </w:pPr>
            <w:r>
              <w:t xml:space="preserve">The relationship </w:t>
            </w:r>
            <w:r w:rsidR="00DA23B4">
              <w:t>between the individual and the state</w:t>
            </w:r>
          </w:p>
        </w:tc>
        <w:tc>
          <w:tcPr>
            <w:tcW w:w="5022" w:type="dxa"/>
          </w:tcPr>
          <w:p w14:paraId="2A09D447" w14:textId="77777777" w:rsidR="00DA23B4" w:rsidRDefault="00DA23B4" w:rsidP="00394EB8">
            <w:pPr>
              <w:pStyle w:val="ToolTableText"/>
            </w:pPr>
            <w:r>
              <w:t xml:space="preserve">While in prison, Thoreau is able to see the state more clearly and in a completely different light: he has “a wholly new and rare experience” of the state and its institutions. This changes his relationship to the state by allowing him to perceive its institutions as if they were new and unfamiliar to him. </w:t>
            </w:r>
            <w:r w:rsidR="005974BA">
              <w:t xml:space="preserve">As a result, he sees the state and its weaknesses more clearly, so that the state begins to have less power over him. </w:t>
            </w:r>
          </w:p>
          <w:p w14:paraId="56216469" w14:textId="77777777" w:rsidR="00DA23B4" w:rsidRDefault="00DA23B4" w:rsidP="00394EB8">
            <w:pPr>
              <w:pStyle w:val="ToolTableText"/>
            </w:pPr>
          </w:p>
          <w:p w14:paraId="5A15E7F6" w14:textId="77777777" w:rsidR="00DA23B4" w:rsidRDefault="00DA23B4" w:rsidP="00394EB8">
            <w:pPr>
              <w:pStyle w:val="ToolTableText"/>
              <w:rPr>
                <w:sz w:val="20"/>
                <w:szCs w:val="20"/>
              </w:rPr>
            </w:pPr>
          </w:p>
        </w:tc>
      </w:tr>
      <w:tr w:rsidR="00DA23B4" w14:paraId="3DF994D4" w14:textId="77777777" w:rsidTr="00394EB8">
        <w:trPr>
          <w:trHeight w:val="1440"/>
        </w:trPr>
        <w:tc>
          <w:tcPr>
            <w:tcW w:w="1375" w:type="dxa"/>
          </w:tcPr>
          <w:p w14:paraId="1C5F24B0" w14:textId="77777777" w:rsidR="00DA23B4" w:rsidRDefault="008955E3" w:rsidP="008955E3">
            <w:pPr>
              <w:pStyle w:val="ToolTableText"/>
            </w:pPr>
            <w:r>
              <w:t>P</w:t>
            </w:r>
            <w:r w:rsidR="00A473D7">
              <w:t>art 3</w:t>
            </w:r>
            <w:r w:rsidR="00114939">
              <w:t xml:space="preserve">, </w:t>
            </w:r>
            <w:r w:rsidR="00A473D7">
              <w:t xml:space="preserve">par. </w:t>
            </w:r>
            <w:r w:rsidR="00DA23B4">
              <w:t>6</w:t>
            </w:r>
          </w:p>
        </w:tc>
        <w:tc>
          <w:tcPr>
            <w:tcW w:w="3049" w:type="dxa"/>
          </w:tcPr>
          <w:p w14:paraId="090F380D" w14:textId="77777777" w:rsidR="00DA23B4" w:rsidRDefault="000A29AE" w:rsidP="00394EB8">
            <w:pPr>
              <w:pStyle w:val="ToolTableText"/>
            </w:pPr>
            <w:r>
              <w:t>The r</w:t>
            </w:r>
            <w:r w:rsidR="00DA23B4">
              <w:t>elationship between the individual and the state</w:t>
            </w:r>
          </w:p>
        </w:tc>
        <w:tc>
          <w:tcPr>
            <w:tcW w:w="5022" w:type="dxa"/>
          </w:tcPr>
          <w:p w14:paraId="27E60279" w14:textId="77777777" w:rsidR="00DA23B4" w:rsidRDefault="00DA23B4" w:rsidP="008955E3">
            <w:pPr>
              <w:pStyle w:val="ToolTableText"/>
            </w:pPr>
            <w:r>
              <w:t xml:space="preserve">Upon leaving prison, Thoreau immediately perceives that “a change had to [his] eyes come over the scene </w:t>
            </w:r>
            <w:r w:rsidR="00DB7A82">
              <w:t>—</w:t>
            </w:r>
            <w:r>
              <w:t>the town, and State, and country</w:t>
            </w:r>
            <w:r w:rsidR="00DB7A82">
              <w:t>—</w:t>
            </w:r>
            <w:r>
              <w:t>greater than any that mere time could effect</w:t>
            </w:r>
            <w:r w:rsidR="00DB7A82">
              <w:t>.</w:t>
            </w:r>
            <w:r>
              <w:t>” This</w:t>
            </w:r>
            <w:r w:rsidR="005974BA">
              <w:t xml:space="preserve"> statement</w:t>
            </w:r>
            <w:r>
              <w:t xml:space="preserve"> shows how Thoreau’s relationship to the state has changed through his time in jail, because he “saw yet more distinctly the State in which [he] lived</w:t>
            </w:r>
            <w:r w:rsidR="00DB7A82">
              <w:t>.</w:t>
            </w:r>
            <w:r>
              <w:t>”</w:t>
            </w:r>
            <w:r w:rsidR="005974BA">
              <w:t xml:space="preserve"> Following his night in jail, Thoreau does not see the state in the same way, but recognizes the weakness of its authority</w:t>
            </w:r>
            <w:r w:rsidR="008955E3">
              <w:t>;</w:t>
            </w:r>
            <w:r w:rsidR="005974BA">
              <w:t xml:space="preserve"> </w:t>
            </w:r>
            <w:r w:rsidR="008955E3">
              <w:t xml:space="preserve">thus, </w:t>
            </w:r>
            <w:r w:rsidR="005974BA">
              <w:t xml:space="preserve">the relationship between the individual and the state has changed, because Thoreau no longer views himself as bound by the state. Thoreau begins to distance himself from the state and from those who serve it unquestioningly, saying that such people are </w:t>
            </w:r>
            <w:r w:rsidR="00260D75" w:rsidRPr="00AF15C2">
              <w:t>“</w:t>
            </w:r>
            <w:r w:rsidR="00260D75" w:rsidRPr="00AF15C2">
              <w:rPr>
                <w:rFonts w:eastAsia="MS Mincho"/>
              </w:rPr>
              <w:t>a distinct race from me by their prejudices and superstitions</w:t>
            </w:r>
            <w:r w:rsidR="00DB7A82">
              <w:rPr>
                <w:rFonts w:eastAsia="MS Mincho"/>
              </w:rPr>
              <w:t>.</w:t>
            </w:r>
            <w:r w:rsidR="00260D75" w:rsidRPr="00AF15C2">
              <w:rPr>
                <w:rFonts w:eastAsia="MS Mincho"/>
              </w:rPr>
              <w:t>”</w:t>
            </w:r>
            <w:r w:rsidR="00744BFE">
              <w:rPr>
                <w:rFonts w:eastAsia="MS Mincho"/>
              </w:rPr>
              <w:t xml:space="preserve"> </w:t>
            </w:r>
          </w:p>
        </w:tc>
      </w:tr>
      <w:tr w:rsidR="00DA23B4" w14:paraId="0C64A3E4" w14:textId="77777777" w:rsidTr="00394EB8">
        <w:trPr>
          <w:trHeight w:val="1440"/>
        </w:trPr>
        <w:tc>
          <w:tcPr>
            <w:tcW w:w="1375" w:type="dxa"/>
          </w:tcPr>
          <w:p w14:paraId="2ACF5DB0" w14:textId="77777777" w:rsidR="00DA23B4" w:rsidRDefault="008955E3" w:rsidP="008955E3">
            <w:pPr>
              <w:pStyle w:val="ToolTableText"/>
            </w:pPr>
            <w:r>
              <w:lastRenderedPageBreak/>
              <w:t>P</w:t>
            </w:r>
            <w:r w:rsidR="00A473D7">
              <w:t xml:space="preserve">art 3, par. </w:t>
            </w:r>
            <w:r w:rsidR="00DA23B4">
              <w:t>6</w:t>
            </w:r>
          </w:p>
        </w:tc>
        <w:tc>
          <w:tcPr>
            <w:tcW w:w="3049" w:type="dxa"/>
          </w:tcPr>
          <w:p w14:paraId="7049E627" w14:textId="77777777" w:rsidR="00DA23B4" w:rsidRDefault="00DA23B4" w:rsidP="00C90D24">
            <w:pPr>
              <w:pStyle w:val="ToolTableText"/>
            </w:pPr>
            <w:r>
              <w:t>Ethics</w:t>
            </w:r>
            <w:r w:rsidR="000A29AE">
              <w:t xml:space="preserve"> </w:t>
            </w:r>
          </w:p>
        </w:tc>
        <w:tc>
          <w:tcPr>
            <w:tcW w:w="5022" w:type="dxa"/>
          </w:tcPr>
          <w:p w14:paraId="5E0F4F5E" w14:textId="77777777" w:rsidR="00DA23B4" w:rsidRPr="00580A4D" w:rsidRDefault="00DA23B4" w:rsidP="00DB7A82">
            <w:pPr>
              <w:pStyle w:val="ToolTableText"/>
              <w:rPr>
                <w:sz w:val="20"/>
                <w:szCs w:val="20"/>
              </w:rPr>
            </w:pPr>
            <w:r w:rsidRPr="00260D75">
              <w:t>Thoreau’s time in prison makes him</w:t>
            </w:r>
            <w:r w:rsidR="005B062B" w:rsidRPr="00260D75">
              <w:t xml:space="preserve"> see</w:t>
            </w:r>
            <w:r w:rsidRPr="00260D75">
              <w:t xml:space="preserve"> those around more clearly:</w:t>
            </w:r>
            <w:r>
              <w:rPr>
                <w:sz w:val="20"/>
                <w:szCs w:val="20"/>
              </w:rPr>
              <w:t xml:space="preserve"> </w:t>
            </w:r>
            <w:r>
              <w:t>“I saw to what extent the people among whom I lived could be trusted as good neighbors and friends</w:t>
            </w:r>
            <w:r w:rsidR="00DB7A82">
              <w:t>.</w:t>
            </w:r>
            <w:r>
              <w:t>” He is critical of his neighbors and friends because they do not live ethically</w:t>
            </w:r>
            <w:r w:rsidR="00114939">
              <w:t>,</w:t>
            </w:r>
            <w:r>
              <w:t xml:space="preserve"> remarking that they “did not greatly propose to do right,” and “ran no risks” in “their sacrifices to humanity,” suggesting that they do not act ethically</w:t>
            </w:r>
            <w:r w:rsidR="005B062B">
              <w:t>,</w:t>
            </w:r>
            <w:r>
              <w:t xml:space="preserve"> but rather for the sake of expediency</w:t>
            </w:r>
            <w:r w:rsidR="005974BA">
              <w:t>, obeying the law rather than their consciences, even when they know the law to be wrong.</w:t>
            </w:r>
          </w:p>
        </w:tc>
      </w:tr>
    </w:tbl>
    <w:p w14:paraId="143D4536" w14:textId="77777777" w:rsidR="004C0AF6" w:rsidRDefault="004C0AF6"/>
    <w:sectPr w:rsidR="004C0AF6" w:rsidSect="00600078">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57F05" w14:textId="77777777" w:rsidR="00023CCF" w:rsidRDefault="00023CCF" w:rsidP="00B9582C">
      <w:pPr>
        <w:spacing w:before="0" w:after="0" w:line="240" w:lineRule="auto"/>
      </w:pPr>
      <w:r>
        <w:separator/>
      </w:r>
    </w:p>
  </w:endnote>
  <w:endnote w:type="continuationSeparator" w:id="0">
    <w:p w14:paraId="0FA5EB3D" w14:textId="77777777" w:rsidR="00023CCF" w:rsidRDefault="00023CCF" w:rsidP="00B958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9426C" w14:textId="77777777" w:rsidR="0078428E" w:rsidRDefault="0078428E" w:rsidP="00600078">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5AC5D597" w14:textId="77777777" w:rsidR="0078428E" w:rsidRDefault="0078428E" w:rsidP="00600078">
    <w:pPr>
      <w:pStyle w:val="Footer"/>
    </w:pPr>
  </w:p>
  <w:p w14:paraId="729FF012" w14:textId="77777777" w:rsidR="0078428E" w:rsidRDefault="0078428E" w:rsidP="00600078"/>
  <w:p w14:paraId="7CC9EA28" w14:textId="77777777" w:rsidR="0078428E" w:rsidRDefault="0078428E" w:rsidP="006000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08D0B" w14:textId="77777777" w:rsidR="0078428E" w:rsidRPr="00563CB8" w:rsidRDefault="0078428E" w:rsidP="00600078">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8428E" w14:paraId="76673E66" w14:textId="77777777">
      <w:trPr>
        <w:trHeight w:val="705"/>
      </w:trPr>
      <w:tc>
        <w:tcPr>
          <w:tcW w:w="4609" w:type="dxa"/>
          <w:shd w:val="clear" w:color="auto" w:fill="auto"/>
          <w:vAlign w:val="center"/>
        </w:tcPr>
        <w:p w14:paraId="6CEFD109" w14:textId="6178E3C5" w:rsidR="0078428E" w:rsidRPr="009B5E22" w:rsidRDefault="0078428E" w:rsidP="00600078">
          <w:pPr>
            <w:pStyle w:val="FooterText"/>
            <w:rPr>
              <w:rFonts w:cs="Calibri"/>
            </w:rPr>
          </w:pPr>
          <w:r w:rsidRPr="009B5E22">
            <w:rPr>
              <w:rFonts w:cs="Calibri"/>
            </w:rPr>
            <w:t>File:</w:t>
          </w:r>
          <w:r w:rsidRPr="009B5E22">
            <w:rPr>
              <w:rFonts w:cs="Calibri"/>
              <w:b w:val="0"/>
            </w:rPr>
            <w:t xml:space="preserve"> 12.2.1 Lesson 14</w:t>
          </w:r>
          <w:r w:rsidRPr="009B5E22">
            <w:rPr>
              <w:rFonts w:cs="Calibri"/>
            </w:rPr>
            <w:t xml:space="preserve"> Date:</w:t>
          </w:r>
          <w:r w:rsidR="001B34F7">
            <w:rPr>
              <w:rFonts w:cs="Calibri"/>
              <w:b w:val="0"/>
            </w:rPr>
            <w:t xml:space="preserve"> 2</w:t>
          </w:r>
          <w:r w:rsidRPr="009B5E22">
            <w:rPr>
              <w:rFonts w:cs="Calibri"/>
              <w:b w:val="0"/>
            </w:rPr>
            <w:t>/</w:t>
          </w:r>
          <w:r w:rsidR="00E03DAE">
            <w:rPr>
              <w:rFonts w:cs="Calibri"/>
              <w:b w:val="0"/>
            </w:rPr>
            <w:t>13</w:t>
          </w:r>
          <w:r w:rsidRPr="009B5E22">
            <w:rPr>
              <w:rFonts w:cs="Calibri"/>
              <w:b w:val="0"/>
            </w:rPr>
            <w:t xml:space="preserve">/15 </w:t>
          </w:r>
          <w:r w:rsidRPr="009B5E22">
            <w:rPr>
              <w:rFonts w:cs="Calibri"/>
            </w:rPr>
            <w:t>Classroom Use:</w:t>
          </w:r>
          <w:r w:rsidR="001B34F7">
            <w:rPr>
              <w:rFonts w:cs="Calibri"/>
              <w:b w:val="0"/>
            </w:rPr>
            <w:t xml:space="preserve"> Starting 2</w:t>
          </w:r>
          <w:r w:rsidRPr="009B5E22">
            <w:rPr>
              <w:rFonts w:cs="Calibri"/>
              <w:b w:val="0"/>
            </w:rPr>
            <w:t xml:space="preserve">/2015 </w:t>
          </w:r>
        </w:p>
        <w:p w14:paraId="473331A4" w14:textId="77777777" w:rsidR="0078428E" w:rsidRPr="009B5E22" w:rsidRDefault="0078428E" w:rsidP="00600078">
          <w:pPr>
            <w:pStyle w:val="FooterText"/>
            <w:rPr>
              <w:rFonts w:cs="Calibri"/>
              <w:b w:val="0"/>
              <w:i/>
              <w:sz w:val="12"/>
            </w:rPr>
          </w:pPr>
          <w:r w:rsidRPr="009B5E22">
            <w:rPr>
              <w:rFonts w:cs="Calibri"/>
              <w:b w:val="0"/>
              <w:sz w:val="12"/>
            </w:rPr>
            <w:t>© 2015 Public Consulting Group.</w:t>
          </w:r>
          <w:r w:rsidRPr="009B5E22">
            <w:rPr>
              <w:rFonts w:cs="Calibri"/>
              <w:b w:val="0"/>
              <w:i/>
              <w:sz w:val="12"/>
            </w:rPr>
            <w:t xml:space="preserve"> This work is licensed under a </w:t>
          </w:r>
        </w:p>
        <w:p w14:paraId="120445A9" w14:textId="77777777" w:rsidR="0078428E" w:rsidRPr="009B5E22" w:rsidRDefault="0078428E" w:rsidP="00600078">
          <w:pPr>
            <w:pStyle w:val="FooterText"/>
            <w:rPr>
              <w:rFonts w:cs="Calibri"/>
              <w:b w:val="0"/>
              <w:i/>
            </w:rPr>
          </w:pPr>
          <w:r w:rsidRPr="009B5E22">
            <w:rPr>
              <w:rFonts w:cs="Calibri"/>
              <w:b w:val="0"/>
              <w:i/>
              <w:sz w:val="12"/>
            </w:rPr>
            <w:t>Creative Commons Attribution-NonCommercial-ShareAlike 3.0 Unported License</w:t>
          </w:r>
        </w:p>
        <w:p w14:paraId="48F11925" w14:textId="77777777" w:rsidR="0078428E" w:rsidRPr="009B5E22" w:rsidRDefault="00023CCF" w:rsidP="00600078">
          <w:pPr>
            <w:pStyle w:val="FooterText"/>
            <w:rPr>
              <w:rFonts w:cs="Calibri"/>
            </w:rPr>
          </w:pPr>
          <w:hyperlink r:id="rId1" w:history="1">
            <w:r w:rsidR="0078428E" w:rsidRPr="00F76B63">
              <w:rPr>
                <w:rStyle w:val="Hyperlink"/>
                <w:rFonts w:ascii="Cambria" w:hAnsi="Cambria" w:cs="Cambria"/>
                <w:sz w:val="12"/>
                <w:szCs w:val="12"/>
              </w:rPr>
              <w:t>http://creativecommons.org/licenses/by-nc-sa/3.0/</w:t>
            </w:r>
          </w:hyperlink>
        </w:p>
      </w:tc>
      <w:tc>
        <w:tcPr>
          <w:tcW w:w="625" w:type="dxa"/>
          <w:shd w:val="clear" w:color="auto" w:fill="auto"/>
          <w:vAlign w:val="center"/>
        </w:tcPr>
        <w:p w14:paraId="645E757C" w14:textId="77777777" w:rsidR="0078428E" w:rsidRPr="009B5E22" w:rsidRDefault="0078428E" w:rsidP="00600078">
          <w:pPr>
            <w:pStyle w:val="folio"/>
            <w:pBdr>
              <w:top w:val="none" w:sz="0" w:space="0" w:color="auto"/>
            </w:pBdr>
            <w:tabs>
              <w:tab w:val="clear" w:pos="6480"/>
              <w:tab w:val="clear" w:pos="10080"/>
            </w:tabs>
            <w:jc w:val="center"/>
            <w:rPr>
              <w:rFonts w:ascii="Calibri" w:hAnsi="Calibri" w:cs="Calibri"/>
              <w:b/>
              <w:sz w:val="14"/>
              <w:lang w:val="en-US"/>
            </w:rPr>
          </w:pPr>
          <w:r w:rsidRPr="009B5E22">
            <w:rPr>
              <w:rFonts w:ascii="Calibri" w:hAnsi="Calibri" w:cs="Calibri"/>
              <w:b/>
              <w:color w:val="1F4E79"/>
              <w:sz w:val="28"/>
              <w:lang w:val="en-US"/>
            </w:rPr>
            <w:fldChar w:fldCharType="begin"/>
          </w:r>
          <w:r w:rsidRPr="009B5E22">
            <w:rPr>
              <w:rFonts w:ascii="Calibri" w:hAnsi="Calibri" w:cs="Calibri"/>
              <w:b/>
              <w:color w:val="1F4E79"/>
              <w:sz w:val="28"/>
              <w:lang w:val="en-US"/>
            </w:rPr>
            <w:instrText>PAGE</w:instrText>
          </w:r>
          <w:r w:rsidRPr="009B5E22">
            <w:rPr>
              <w:rFonts w:ascii="Calibri" w:hAnsi="Calibri" w:cs="Calibri"/>
              <w:b/>
              <w:color w:val="1F4E79"/>
              <w:sz w:val="28"/>
              <w:lang w:val="en-US"/>
            </w:rPr>
            <w:fldChar w:fldCharType="separate"/>
          </w:r>
          <w:r w:rsidR="00E03DAE">
            <w:rPr>
              <w:rFonts w:ascii="Calibri" w:hAnsi="Calibri" w:cs="Calibri"/>
              <w:b/>
              <w:noProof/>
              <w:color w:val="1F4E79"/>
              <w:sz w:val="28"/>
              <w:lang w:val="en-US"/>
            </w:rPr>
            <w:t>1</w:t>
          </w:r>
          <w:r w:rsidRPr="009B5E22">
            <w:rPr>
              <w:rFonts w:ascii="Calibri" w:hAnsi="Calibri" w:cs="Calibri"/>
              <w:b/>
              <w:color w:val="1F4E79"/>
              <w:sz w:val="28"/>
              <w:lang w:val="en-US"/>
            </w:rPr>
            <w:fldChar w:fldCharType="end"/>
          </w:r>
        </w:p>
      </w:tc>
      <w:tc>
        <w:tcPr>
          <w:tcW w:w="4325" w:type="dxa"/>
          <w:shd w:val="clear" w:color="auto" w:fill="auto"/>
          <w:vAlign w:val="bottom"/>
        </w:tcPr>
        <w:p w14:paraId="16CDF61C" w14:textId="77777777" w:rsidR="0078428E" w:rsidRPr="009B5E22" w:rsidRDefault="00E03DAE" w:rsidP="00600078">
          <w:pPr>
            <w:pStyle w:val="folio"/>
            <w:pBdr>
              <w:top w:val="none" w:sz="0" w:space="0" w:color="auto"/>
            </w:pBdr>
            <w:tabs>
              <w:tab w:val="clear" w:pos="6480"/>
              <w:tab w:val="clear" w:pos="10080"/>
            </w:tabs>
            <w:spacing w:before="20"/>
            <w:ind w:right="-103"/>
            <w:jc w:val="right"/>
            <w:rPr>
              <w:rFonts w:ascii="Calibri" w:hAnsi="Calibri" w:cs="Calibri"/>
              <w:b/>
              <w:sz w:val="12"/>
              <w:szCs w:val="12"/>
              <w:lang w:val="en-US"/>
            </w:rPr>
          </w:pPr>
          <w:r>
            <w:rPr>
              <w:rFonts w:ascii="Calibri" w:hAnsi="Calibri" w:cs="Calibri"/>
              <w:b/>
              <w:noProof/>
              <w:sz w:val="12"/>
              <w:szCs w:val="12"/>
              <w:lang w:val="en-US"/>
            </w:rPr>
            <w:pict w14:anchorId="5EA24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3.5pt;height:50.25pt;visibility:visible">
                <v:imagedata r:id="rId2" o:title="PCG-CC-NY"/>
              </v:shape>
            </w:pict>
          </w:r>
        </w:p>
      </w:tc>
    </w:tr>
  </w:tbl>
  <w:p w14:paraId="71D1D207" w14:textId="77777777" w:rsidR="0078428E" w:rsidRPr="0039525B" w:rsidRDefault="0078428E" w:rsidP="00600078">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B28E8" w14:textId="77777777" w:rsidR="00023CCF" w:rsidRDefault="00023CCF" w:rsidP="00B9582C">
      <w:pPr>
        <w:spacing w:before="0" w:after="0" w:line="240" w:lineRule="auto"/>
      </w:pPr>
      <w:r>
        <w:separator/>
      </w:r>
    </w:p>
  </w:footnote>
  <w:footnote w:type="continuationSeparator" w:id="0">
    <w:p w14:paraId="54B8789B" w14:textId="77777777" w:rsidR="00023CCF" w:rsidRDefault="00023CCF" w:rsidP="00B9582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8428E" w:rsidRPr="00563CB8" w14:paraId="457C6B9C" w14:textId="77777777">
      <w:tc>
        <w:tcPr>
          <w:tcW w:w="3708" w:type="dxa"/>
          <w:shd w:val="clear" w:color="auto" w:fill="auto"/>
        </w:tcPr>
        <w:p w14:paraId="0DB6AA7B" w14:textId="77777777" w:rsidR="0078428E" w:rsidRPr="00563CB8" w:rsidRDefault="0078428E" w:rsidP="00600078">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3B6DEFE" w14:textId="77777777" w:rsidR="0078428E" w:rsidRPr="00563CB8" w:rsidRDefault="0078428E" w:rsidP="00600078">
          <w:pPr>
            <w:jc w:val="center"/>
          </w:pPr>
          <w:r w:rsidRPr="00563CB8">
            <w:t>D R A F T</w:t>
          </w:r>
        </w:p>
      </w:tc>
      <w:tc>
        <w:tcPr>
          <w:tcW w:w="3438" w:type="dxa"/>
          <w:shd w:val="clear" w:color="auto" w:fill="auto"/>
        </w:tcPr>
        <w:p w14:paraId="0995737E" w14:textId="77777777" w:rsidR="0078428E" w:rsidRPr="00E946A0" w:rsidRDefault="0078428E" w:rsidP="00B9582C">
          <w:pPr>
            <w:pStyle w:val="PageHeader"/>
            <w:jc w:val="right"/>
            <w:rPr>
              <w:b w:val="0"/>
            </w:rPr>
          </w:pPr>
          <w:r>
            <w:rPr>
              <w:b w:val="0"/>
            </w:rPr>
            <w:t>Grade 12 • Module 2</w:t>
          </w:r>
          <w:r w:rsidRPr="00E946A0">
            <w:rPr>
              <w:b w:val="0"/>
            </w:rPr>
            <w:t xml:space="preserve"> • Unit </w:t>
          </w:r>
          <w:r>
            <w:rPr>
              <w:b w:val="0"/>
            </w:rPr>
            <w:t>1</w:t>
          </w:r>
          <w:r w:rsidRPr="00E946A0">
            <w:rPr>
              <w:b w:val="0"/>
            </w:rPr>
            <w:t xml:space="preserve"> • Lesson </w:t>
          </w:r>
          <w:r>
            <w:rPr>
              <w:b w:val="0"/>
            </w:rPr>
            <w:t>14</w:t>
          </w:r>
        </w:p>
      </w:tc>
    </w:tr>
  </w:tbl>
  <w:p w14:paraId="51391A69" w14:textId="77777777" w:rsidR="0078428E" w:rsidRDefault="0078428E" w:rsidP="006000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51C5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67A6E8F2"/>
    <w:lvl w:ilvl="0" w:tplc="4F469282">
      <w:start w:val="1"/>
      <w:numFmt w:val="bullet"/>
      <w:lvlText w:val=""/>
      <w:lvlJc w:val="left"/>
      <w:pPr>
        <w:ind w:left="1440" w:hanging="360"/>
      </w:pPr>
      <w:rPr>
        <w:rFonts w:ascii="Wingdings" w:hAnsi="Wingdings" w:hint="default"/>
      </w:rPr>
    </w:lvl>
    <w:lvl w:ilvl="1" w:tplc="1BBC4C86">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72D82"/>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831B4B"/>
    <w:multiLevelType w:val="multilevel"/>
    <w:tmpl w:val="1B0CE2A8"/>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939C6"/>
    <w:multiLevelType w:val="hybridMultilevel"/>
    <w:tmpl w:val="F586D63A"/>
    <w:lvl w:ilvl="0" w:tplc="2800E8D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1732A"/>
    <w:multiLevelType w:val="hybridMultilevel"/>
    <w:tmpl w:val="7A0A5EA4"/>
    <w:lvl w:ilvl="0" w:tplc="8CD2C24C">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10"/>
  </w:num>
  <w:num w:numId="4">
    <w:abstractNumId w:val="8"/>
  </w:num>
  <w:num w:numId="5">
    <w:abstractNumId w:val="3"/>
  </w:num>
  <w:num w:numId="6">
    <w:abstractNumId w:val="1"/>
  </w:num>
  <w:num w:numId="7">
    <w:abstractNumId w:val="9"/>
  </w:num>
  <w:num w:numId="8">
    <w:abstractNumId w:val="5"/>
    <w:lvlOverride w:ilvl="0">
      <w:startOverride w:val="1"/>
    </w:lvlOverride>
  </w:num>
  <w:num w:numId="9">
    <w:abstractNumId w:val="2"/>
  </w:num>
  <w:num w:numId="10">
    <w:abstractNumId w:val="11"/>
  </w:num>
  <w:num w:numId="11">
    <w:abstractNumId w:val="5"/>
  </w:num>
  <w:num w:numId="12">
    <w:abstractNumId w:val="0"/>
  </w:num>
  <w:num w:numId="13">
    <w:abstractNumId w:val="4"/>
  </w:num>
  <w:num w:numId="14">
    <w:abstractNumId w:val="6"/>
  </w:num>
  <w:num w:numId="15">
    <w:abstractNumId w:val="11"/>
    <w:lvlOverride w:ilvl="0">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82C"/>
    <w:rsid w:val="000009C1"/>
    <w:rsid w:val="000158B4"/>
    <w:rsid w:val="00020F95"/>
    <w:rsid w:val="00023CCF"/>
    <w:rsid w:val="0004761F"/>
    <w:rsid w:val="000478C9"/>
    <w:rsid w:val="0005112F"/>
    <w:rsid w:val="00065CC3"/>
    <w:rsid w:val="00086C25"/>
    <w:rsid w:val="0009111E"/>
    <w:rsid w:val="00095CB4"/>
    <w:rsid w:val="00096BBC"/>
    <w:rsid w:val="000A29AE"/>
    <w:rsid w:val="000A2D6B"/>
    <w:rsid w:val="000A3ABC"/>
    <w:rsid w:val="000A6261"/>
    <w:rsid w:val="000E49F8"/>
    <w:rsid w:val="000F07A9"/>
    <w:rsid w:val="000F1E40"/>
    <w:rsid w:val="00111BDB"/>
    <w:rsid w:val="00111DC9"/>
    <w:rsid w:val="00114939"/>
    <w:rsid w:val="00116280"/>
    <w:rsid w:val="00130051"/>
    <w:rsid w:val="00135755"/>
    <w:rsid w:val="00145E87"/>
    <w:rsid w:val="0017427B"/>
    <w:rsid w:val="00184ED7"/>
    <w:rsid w:val="00185AFE"/>
    <w:rsid w:val="00194601"/>
    <w:rsid w:val="00194BA9"/>
    <w:rsid w:val="001B0851"/>
    <w:rsid w:val="001B2F7A"/>
    <w:rsid w:val="001B34F7"/>
    <w:rsid w:val="001C349D"/>
    <w:rsid w:val="001C4201"/>
    <w:rsid w:val="001E62E3"/>
    <w:rsid w:val="00216AD3"/>
    <w:rsid w:val="00220E17"/>
    <w:rsid w:val="00224D3B"/>
    <w:rsid w:val="00243022"/>
    <w:rsid w:val="00251083"/>
    <w:rsid w:val="00255196"/>
    <w:rsid w:val="00260D75"/>
    <w:rsid w:val="002616D1"/>
    <w:rsid w:val="00267A56"/>
    <w:rsid w:val="00267B45"/>
    <w:rsid w:val="00277EA9"/>
    <w:rsid w:val="00280BC6"/>
    <w:rsid w:val="002904E2"/>
    <w:rsid w:val="00290BF0"/>
    <w:rsid w:val="002924AB"/>
    <w:rsid w:val="002B1226"/>
    <w:rsid w:val="002B777E"/>
    <w:rsid w:val="002C5A90"/>
    <w:rsid w:val="002D0C83"/>
    <w:rsid w:val="002D5CB6"/>
    <w:rsid w:val="002E33DF"/>
    <w:rsid w:val="00306EE7"/>
    <w:rsid w:val="0032038F"/>
    <w:rsid w:val="00332776"/>
    <w:rsid w:val="00334581"/>
    <w:rsid w:val="003467FF"/>
    <w:rsid w:val="0035009A"/>
    <w:rsid w:val="003558A2"/>
    <w:rsid w:val="00362698"/>
    <w:rsid w:val="00371597"/>
    <w:rsid w:val="003929A9"/>
    <w:rsid w:val="00394EB8"/>
    <w:rsid w:val="003C54C1"/>
    <w:rsid w:val="003D2509"/>
    <w:rsid w:val="003D6C7B"/>
    <w:rsid w:val="003F3951"/>
    <w:rsid w:val="004214C7"/>
    <w:rsid w:val="004219EA"/>
    <w:rsid w:val="00437E2C"/>
    <w:rsid w:val="004406DD"/>
    <w:rsid w:val="0045358C"/>
    <w:rsid w:val="00464514"/>
    <w:rsid w:val="004803BD"/>
    <w:rsid w:val="00494F04"/>
    <w:rsid w:val="00495629"/>
    <w:rsid w:val="004A6ED8"/>
    <w:rsid w:val="004B1224"/>
    <w:rsid w:val="004C0AF6"/>
    <w:rsid w:val="004C259E"/>
    <w:rsid w:val="004C320B"/>
    <w:rsid w:val="004D2F7D"/>
    <w:rsid w:val="004D3146"/>
    <w:rsid w:val="004E2BF0"/>
    <w:rsid w:val="004F1F4F"/>
    <w:rsid w:val="004F2FA6"/>
    <w:rsid w:val="004F59F3"/>
    <w:rsid w:val="005031D4"/>
    <w:rsid w:val="0051608B"/>
    <w:rsid w:val="00516BD1"/>
    <w:rsid w:val="00526714"/>
    <w:rsid w:val="00526B6D"/>
    <w:rsid w:val="005300BE"/>
    <w:rsid w:val="00534CD8"/>
    <w:rsid w:val="00540827"/>
    <w:rsid w:val="00556081"/>
    <w:rsid w:val="005610C0"/>
    <w:rsid w:val="005640AD"/>
    <w:rsid w:val="00564DB6"/>
    <w:rsid w:val="00567C7B"/>
    <w:rsid w:val="00577923"/>
    <w:rsid w:val="0058134E"/>
    <w:rsid w:val="005925C4"/>
    <w:rsid w:val="00594AA7"/>
    <w:rsid w:val="005972CF"/>
    <w:rsid w:val="005974BA"/>
    <w:rsid w:val="005A0785"/>
    <w:rsid w:val="005B04AB"/>
    <w:rsid w:val="005B062B"/>
    <w:rsid w:val="005B0909"/>
    <w:rsid w:val="005C40A4"/>
    <w:rsid w:val="005C5EFE"/>
    <w:rsid w:val="005D0C0F"/>
    <w:rsid w:val="005D3A99"/>
    <w:rsid w:val="005D56A2"/>
    <w:rsid w:val="005E235B"/>
    <w:rsid w:val="005F789B"/>
    <w:rsid w:val="00600078"/>
    <w:rsid w:val="00600A94"/>
    <w:rsid w:val="0060220E"/>
    <w:rsid w:val="0060258F"/>
    <w:rsid w:val="00624E0C"/>
    <w:rsid w:val="0064158C"/>
    <w:rsid w:val="00642BBF"/>
    <w:rsid w:val="0064391E"/>
    <w:rsid w:val="006520DA"/>
    <w:rsid w:val="006544DB"/>
    <w:rsid w:val="00661561"/>
    <w:rsid w:val="006756FA"/>
    <w:rsid w:val="00675E84"/>
    <w:rsid w:val="006774CB"/>
    <w:rsid w:val="006A28E0"/>
    <w:rsid w:val="006B2858"/>
    <w:rsid w:val="006C19E9"/>
    <w:rsid w:val="006C5009"/>
    <w:rsid w:val="006D080A"/>
    <w:rsid w:val="006D7D14"/>
    <w:rsid w:val="006E50E4"/>
    <w:rsid w:val="00700696"/>
    <w:rsid w:val="00702F96"/>
    <w:rsid w:val="00707E3F"/>
    <w:rsid w:val="0071173B"/>
    <w:rsid w:val="00712E56"/>
    <w:rsid w:val="00713535"/>
    <w:rsid w:val="0072025B"/>
    <w:rsid w:val="00720274"/>
    <w:rsid w:val="007205C0"/>
    <w:rsid w:val="00744BFE"/>
    <w:rsid w:val="00754BFD"/>
    <w:rsid w:val="007640E1"/>
    <w:rsid w:val="007750B2"/>
    <w:rsid w:val="007750E3"/>
    <w:rsid w:val="00777FED"/>
    <w:rsid w:val="00783132"/>
    <w:rsid w:val="0078428E"/>
    <w:rsid w:val="007A0EF0"/>
    <w:rsid w:val="007A305D"/>
    <w:rsid w:val="007A4787"/>
    <w:rsid w:val="007B6891"/>
    <w:rsid w:val="007B7051"/>
    <w:rsid w:val="007C7EC9"/>
    <w:rsid w:val="007E7A5B"/>
    <w:rsid w:val="007E7C06"/>
    <w:rsid w:val="007F3EFE"/>
    <w:rsid w:val="00810DB5"/>
    <w:rsid w:val="00812928"/>
    <w:rsid w:val="008131A5"/>
    <w:rsid w:val="0081533D"/>
    <w:rsid w:val="008271D3"/>
    <w:rsid w:val="00831301"/>
    <w:rsid w:val="00841FE7"/>
    <w:rsid w:val="00846925"/>
    <w:rsid w:val="00876FA0"/>
    <w:rsid w:val="00894BBB"/>
    <w:rsid w:val="008955E3"/>
    <w:rsid w:val="008A155F"/>
    <w:rsid w:val="008E52A5"/>
    <w:rsid w:val="008F37E3"/>
    <w:rsid w:val="008F5FFC"/>
    <w:rsid w:val="008F64FE"/>
    <w:rsid w:val="008F7C9C"/>
    <w:rsid w:val="00900395"/>
    <w:rsid w:val="00906486"/>
    <w:rsid w:val="00912D67"/>
    <w:rsid w:val="009266EC"/>
    <w:rsid w:val="0093351A"/>
    <w:rsid w:val="009768AF"/>
    <w:rsid w:val="00987EFD"/>
    <w:rsid w:val="009A7953"/>
    <w:rsid w:val="009B5E22"/>
    <w:rsid w:val="009B752B"/>
    <w:rsid w:val="009C352A"/>
    <w:rsid w:val="009C3892"/>
    <w:rsid w:val="009C41AD"/>
    <w:rsid w:val="009D2393"/>
    <w:rsid w:val="009F0AD8"/>
    <w:rsid w:val="009F2FCD"/>
    <w:rsid w:val="009F54E0"/>
    <w:rsid w:val="009F739D"/>
    <w:rsid w:val="00A016D1"/>
    <w:rsid w:val="00A031DD"/>
    <w:rsid w:val="00A03839"/>
    <w:rsid w:val="00A105C5"/>
    <w:rsid w:val="00A125F5"/>
    <w:rsid w:val="00A12948"/>
    <w:rsid w:val="00A12CF5"/>
    <w:rsid w:val="00A210C7"/>
    <w:rsid w:val="00A44653"/>
    <w:rsid w:val="00A473D7"/>
    <w:rsid w:val="00A81D1D"/>
    <w:rsid w:val="00A826A4"/>
    <w:rsid w:val="00AB55F0"/>
    <w:rsid w:val="00AB7F82"/>
    <w:rsid w:val="00AE0061"/>
    <w:rsid w:val="00AF15C2"/>
    <w:rsid w:val="00B04D83"/>
    <w:rsid w:val="00B1003F"/>
    <w:rsid w:val="00B147B1"/>
    <w:rsid w:val="00B173B8"/>
    <w:rsid w:val="00B20F9A"/>
    <w:rsid w:val="00B24C74"/>
    <w:rsid w:val="00B3135E"/>
    <w:rsid w:val="00B32D12"/>
    <w:rsid w:val="00B430EF"/>
    <w:rsid w:val="00B46C81"/>
    <w:rsid w:val="00B53975"/>
    <w:rsid w:val="00B60D82"/>
    <w:rsid w:val="00B625A7"/>
    <w:rsid w:val="00B82AF2"/>
    <w:rsid w:val="00B836A1"/>
    <w:rsid w:val="00B844AF"/>
    <w:rsid w:val="00B87EB4"/>
    <w:rsid w:val="00B911C5"/>
    <w:rsid w:val="00B939A5"/>
    <w:rsid w:val="00B94138"/>
    <w:rsid w:val="00B953DD"/>
    <w:rsid w:val="00B9582C"/>
    <w:rsid w:val="00B977F5"/>
    <w:rsid w:val="00BB46E9"/>
    <w:rsid w:val="00BB77B3"/>
    <w:rsid w:val="00BF2945"/>
    <w:rsid w:val="00C00937"/>
    <w:rsid w:val="00C26FB1"/>
    <w:rsid w:val="00C3199A"/>
    <w:rsid w:val="00C32E06"/>
    <w:rsid w:val="00C37414"/>
    <w:rsid w:val="00C43EF4"/>
    <w:rsid w:val="00C5781E"/>
    <w:rsid w:val="00C642FB"/>
    <w:rsid w:val="00C6560D"/>
    <w:rsid w:val="00C67DD5"/>
    <w:rsid w:val="00C701D2"/>
    <w:rsid w:val="00C7691F"/>
    <w:rsid w:val="00C82051"/>
    <w:rsid w:val="00C834E6"/>
    <w:rsid w:val="00C83C94"/>
    <w:rsid w:val="00C90D24"/>
    <w:rsid w:val="00C92BA2"/>
    <w:rsid w:val="00C940BA"/>
    <w:rsid w:val="00C942AB"/>
    <w:rsid w:val="00C962C1"/>
    <w:rsid w:val="00CB21A9"/>
    <w:rsid w:val="00CB356C"/>
    <w:rsid w:val="00CC5352"/>
    <w:rsid w:val="00CD384F"/>
    <w:rsid w:val="00CE1A2B"/>
    <w:rsid w:val="00CE22B0"/>
    <w:rsid w:val="00D17599"/>
    <w:rsid w:val="00D22F53"/>
    <w:rsid w:val="00D26021"/>
    <w:rsid w:val="00D32200"/>
    <w:rsid w:val="00D33E4A"/>
    <w:rsid w:val="00D45DB3"/>
    <w:rsid w:val="00D50AEC"/>
    <w:rsid w:val="00D538BD"/>
    <w:rsid w:val="00D67A61"/>
    <w:rsid w:val="00D71103"/>
    <w:rsid w:val="00D76F7C"/>
    <w:rsid w:val="00D9640D"/>
    <w:rsid w:val="00DA23B4"/>
    <w:rsid w:val="00DB368F"/>
    <w:rsid w:val="00DB49CB"/>
    <w:rsid w:val="00DB7A82"/>
    <w:rsid w:val="00DD1F76"/>
    <w:rsid w:val="00DD28A6"/>
    <w:rsid w:val="00DE0C54"/>
    <w:rsid w:val="00DE5BFD"/>
    <w:rsid w:val="00DE6140"/>
    <w:rsid w:val="00DF5AEF"/>
    <w:rsid w:val="00DF6642"/>
    <w:rsid w:val="00E00446"/>
    <w:rsid w:val="00E02A30"/>
    <w:rsid w:val="00E03DAE"/>
    <w:rsid w:val="00E10305"/>
    <w:rsid w:val="00E12A05"/>
    <w:rsid w:val="00E20B86"/>
    <w:rsid w:val="00E2430D"/>
    <w:rsid w:val="00E36E9B"/>
    <w:rsid w:val="00E5711C"/>
    <w:rsid w:val="00E64416"/>
    <w:rsid w:val="00E7372D"/>
    <w:rsid w:val="00E74C7A"/>
    <w:rsid w:val="00E7670F"/>
    <w:rsid w:val="00E933E3"/>
    <w:rsid w:val="00EA27BA"/>
    <w:rsid w:val="00EA5C04"/>
    <w:rsid w:val="00EA5D20"/>
    <w:rsid w:val="00EB0A97"/>
    <w:rsid w:val="00EB6574"/>
    <w:rsid w:val="00EC4F7E"/>
    <w:rsid w:val="00EC6F4C"/>
    <w:rsid w:val="00EC6F81"/>
    <w:rsid w:val="00ED171B"/>
    <w:rsid w:val="00EE1556"/>
    <w:rsid w:val="00EF3D30"/>
    <w:rsid w:val="00F00A94"/>
    <w:rsid w:val="00F40747"/>
    <w:rsid w:val="00F55879"/>
    <w:rsid w:val="00F55A0A"/>
    <w:rsid w:val="00F61817"/>
    <w:rsid w:val="00F656A7"/>
    <w:rsid w:val="00F65FA2"/>
    <w:rsid w:val="00F701CF"/>
    <w:rsid w:val="00F76B63"/>
    <w:rsid w:val="00F814C8"/>
    <w:rsid w:val="00F900BF"/>
    <w:rsid w:val="00F9361D"/>
    <w:rsid w:val="00FA439B"/>
    <w:rsid w:val="00FA7282"/>
    <w:rsid w:val="00FB5826"/>
    <w:rsid w:val="00FB78D9"/>
    <w:rsid w:val="00FC2F11"/>
    <w:rsid w:val="00FC496E"/>
    <w:rsid w:val="00FE45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C30896"/>
  <w15:chartTrackingRefBased/>
  <w15:docId w15:val="{0D11A981-C0BE-4B54-BC14-1919B7C5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B9582C"/>
    <w:pPr>
      <w:spacing w:before="60" w:after="180" w:line="276" w:lineRule="auto"/>
    </w:pPr>
    <w:rPr>
      <w:rFonts w:ascii="Calibri" w:eastAsia="Calibri" w:hAnsi="Calibri"/>
      <w:sz w:val="22"/>
      <w:szCs w:val="22"/>
    </w:rPr>
  </w:style>
  <w:style w:type="paragraph" w:styleId="Heading1">
    <w:name w:val="heading 1"/>
    <w:aliases w:val="*Headers"/>
    <w:basedOn w:val="Normal"/>
    <w:next w:val="Normal"/>
    <w:link w:val="Heading1Char"/>
    <w:uiPriority w:val="9"/>
    <w:qFormat/>
    <w:rsid w:val="00744BFE"/>
    <w:pPr>
      <w:keepNext/>
      <w:keepLines/>
      <w:spacing w:before="480" w:after="120"/>
      <w:outlineLvl w:val="0"/>
    </w:pPr>
    <w:rPr>
      <w:b/>
      <w:bCs/>
      <w:color w:val="365F91"/>
      <w:sz w:val="32"/>
      <w:szCs w:val="28"/>
      <w:lang w:val="x-none"/>
    </w:rPr>
  </w:style>
  <w:style w:type="paragraph" w:styleId="Heading2">
    <w:name w:val="heading 2"/>
    <w:basedOn w:val="Normal"/>
    <w:next w:val="Normal"/>
    <w:link w:val="Heading2Char"/>
    <w:uiPriority w:val="9"/>
    <w:qFormat/>
    <w:rsid w:val="00B911C5"/>
    <w:pPr>
      <w:keepNext/>
      <w:keepLines/>
      <w:spacing w:before="360"/>
      <w:outlineLvl w:val="1"/>
    </w:pPr>
    <w:rPr>
      <w:rFonts w:ascii="Cambria" w:hAnsi="Cambria"/>
      <w:b/>
      <w:bCs/>
      <w:i/>
      <w:color w:val="4F81BD"/>
      <w:sz w:val="26"/>
      <w:szCs w:val="26"/>
      <w:lang w:val="x-none"/>
    </w:rPr>
  </w:style>
  <w:style w:type="paragraph" w:styleId="Heading3">
    <w:name w:val="heading 3"/>
    <w:basedOn w:val="Normal"/>
    <w:next w:val="Normal"/>
    <w:link w:val="Heading3Char"/>
    <w:uiPriority w:val="9"/>
    <w:qFormat/>
    <w:rsid w:val="00B911C5"/>
    <w:pPr>
      <w:keepNext/>
      <w:keepLines/>
      <w:pBdr>
        <w:top w:val="dotted" w:sz="4" w:space="1" w:color="808080"/>
      </w:pBdr>
      <w:spacing w:before="200" w:after="120"/>
      <w:outlineLvl w:val="2"/>
    </w:pPr>
    <w:rPr>
      <w:rFonts w:ascii="Cambria" w:hAnsi="Cambria"/>
      <w:b/>
      <w:bCs/>
      <w:i/>
      <w:color w:val="7F7F7F"/>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B911C5"/>
    <w:pPr>
      <w:pBdr>
        <w:bottom w:val="single" w:sz="12" w:space="1" w:color="7F7F7F"/>
      </w:pBdr>
      <w:spacing w:after="360"/>
      <w:ind w:left="2880" w:right="2880"/>
    </w:pPr>
    <w:rPr>
      <w:rFonts w:ascii="Calibri" w:eastAsia="Calibri" w:hAnsi="Calibri"/>
      <w:sz w:val="18"/>
      <w:szCs w:val="22"/>
    </w:rPr>
  </w:style>
  <w:style w:type="character" w:customStyle="1" w:styleId="BRChar">
    <w:name w:val="*BR* Char"/>
    <w:link w:val="BR"/>
    <w:rsid w:val="00B911C5"/>
    <w:rPr>
      <w:rFonts w:ascii="Calibri" w:eastAsia="Calibri" w:hAnsi="Calibri"/>
      <w:sz w:val="18"/>
      <w:szCs w:val="22"/>
      <w:lang w:eastAsia="en-US" w:bidi="ar-SA"/>
    </w:rPr>
  </w:style>
  <w:style w:type="paragraph" w:customStyle="1" w:styleId="BulletedList">
    <w:name w:val="*Bulleted List"/>
    <w:link w:val="BulletedListChar"/>
    <w:qFormat/>
    <w:rsid w:val="00DA23B4"/>
    <w:pPr>
      <w:numPr>
        <w:numId w:val="1"/>
      </w:numPr>
      <w:spacing w:before="60" w:after="60" w:line="276" w:lineRule="auto"/>
      <w:ind w:left="360"/>
    </w:pPr>
    <w:rPr>
      <w:rFonts w:ascii="Calibri" w:eastAsia="Calibri" w:hAnsi="Calibri"/>
      <w:sz w:val="22"/>
      <w:szCs w:val="22"/>
    </w:rPr>
  </w:style>
  <w:style w:type="character" w:customStyle="1" w:styleId="BulletedListChar">
    <w:name w:val="*Bulleted List Char"/>
    <w:link w:val="BulletedList"/>
    <w:rsid w:val="00DA23B4"/>
    <w:rPr>
      <w:rFonts w:ascii="Calibri" w:eastAsia="Calibri" w:hAnsi="Calibri"/>
      <w:sz w:val="22"/>
      <w:szCs w:val="22"/>
      <w:lang w:bidi="ar-SA"/>
    </w:rPr>
  </w:style>
  <w:style w:type="paragraph" w:customStyle="1" w:styleId="Q">
    <w:name w:val="*Q*"/>
    <w:link w:val="QChar"/>
    <w:qFormat/>
    <w:rsid w:val="00B911C5"/>
    <w:pPr>
      <w:spacing w:before="240" w:line="276" w:lineRule="auto"/>
    </w:pPr>
    <w:rPr>
      <w:rFonts w:ascii="Calibri" w:eastAsia="Calibri" w:hAnsi="Calibri"/>
      <w:b/>
      <w:sz w:val="22"/>
      <w:szCs w:val="22"/>
    </w:rPr>
  </w:style>
  <w:style w:type="character" w:customStyle="1" w:styleId="QChar">
    <w:name w:val="*Q* Char"/>
    <w:link w:val="Q"/>
    <w:rsid w:val="00B911C5"/>
    <w:rPr>
      <w:rFonts w:ascii="Calibri" w:eastAsia="Calibri" w:hAnsi="Calibri"/>
      <w:b/>
      <w:sz w:val="22"/>
      <w:szCs w:val="22"/>
      <w:lang w:eastAsia="en-US" w:bidi="ar-SA"/>
    </w:rPr>
  </w:style>
  <w:style w:type="paragraph" w:customStyle="1" w:styleId="DCwithQ">
    <w:name w:val="*DC* with *Q*"/>
    <w:basedOn w:val="Q"/>
    <w:qFormat/>
    <w:rsid w:val="00B911C5"/>
    <w:pPr>
      <w:ind w:left="360"/>
    </w:pPr>
    <w:rPr>
      <w:color w:val="4F81BD"/>
    </w:rPr>
  </w:style>
  <w:style w:type="paragraph" w:customStyle="1" w:styleId="SA">
    <w:name w:val="*SA*"/>
    <w:link w:val="SAChar"/>
    <w:qFormat/>
    <w:rsid w:val="00B911C5"/>
    <w:pPr>
      <w:numPr>
        <w:numId w:val="16"/>
      </w:numPr>
      <w:spacing w:before="120" w:line="276" w:lineRule="auto"/>
    </w:pPr>
    <w:rPr>
      <w:rFonts w:ascii="Calibri" w:eastAsia="Calibri" w:hAnsi="Calibri"/>
      <w:sz w:val="22"/>
      <w:szCs w:val="22"/>
    </w:rPr>
  </w:style>
  <w:style w:type="character" w:customStyle="1" w:styleId="SAChar">
    <w:name w:val="*SA* Char"/>
    <w:link w:val="SA"/>
    <w:rsid w:val="00B911C5"/>
    <w:rPr>
      <w:rFonts w:ascii="Calibri" w:eastAsia="Calibri" w:hAnsi="Calibri"/>
      <w:sz w:val="22"/>
      <w:szCs w:val="22"/>
      <w:lang w:eastAsia="en-US" w:bidi="ar-SA"/>
    </w:rPr>
  </w:style>
  <w:style w:type="paragraph" w:customStyle="1" w:styleId="DCwithSA">
    <w:name w:val="*DC* with *SA*"/>
    <w:basedOn w:val="SA"/>
    <w:qFormat/>
    <w:rsid w:val="0051608B"/>
    <w:rPr>
      <w:color w:val="4F81BD"/>
    </w:rPr>
  </w:style>
  <w:style w:type="paragraph" w:customStyle="1" w:styleId="SR">
    <w:name w:val="*SR*"/>
    <w:link w:val="SRChar"/>
    <w:qFormat/>
    <w:rsid w:val="00DA23B4"/>
    <w:pPr>
      <w:numPr>
        <w:numId w:val="4"/>
      </w:numPr>
      <w:spacing w:before="120" w:line="276" w:lineRule="auto"/>
      <w:ind w:left="720"/>
    </w:pPr>
    <w:rPr>
      <w:rFonts w:ascii="Calibri" w:eastAsia="Calibri" w:hAnsi="Calibri"/>
      <w:sz w:val="22"/>
      <w:szCs w:val="22"/>
    </w:rPr>
  </w:style>
  <w:style w:type="character" w:customStyle="1" w:styleId="SRChar">
    <w:name w:val="*SR* Char"/>
    <w:link w:val="SR"/>
    <w:rsid w:val="00DA23B4"/>
    <w:rPr>
      <w:rFonts w:ascii="Calibri" w:eastAsia="Calibri" w:hAnsi="Calibri"/>
      <w:sz w:val="22"/>
      <w:szCs w:val="22"/>
      <w:lang w:bidi="ar-SA"/>
    </w:rPr>
  </w:style>
  <w:style w:type="paragraph" w:customStyle="1" w:styleId="DCwithSR">
    <w:name w:val="*DC* with *SR*"/>
    <w:basedOn w:val="SR"/>
    <w:qFormat/>
    <w:rsid w:val="00DA23B4"/>
    <w:pPr>
      <w:numPr>
        <w:numId w:val="5"/>
      </w:numPr>
      <w:ind w:left="720"/>
    </w:pPr>
    <w:rPr>
      <w:color w:val="4F81BD"/>
    </w:rPr>
  </w:style>
  <w:style w:type="paragraph" w:customStyle="1" w:styleId="ExcerptAuthor">
    <w:name w:val="*ExcerptAuthor"/>
    <w:basedOn w:val="Normal"/>
    <w:link w:val="ExcerptAuthorChar"/>
    <w:qFormat/>
    <w:rsid w:val="00B911C5"/>
    <w:pPr>
      <w:jc w:val="center"/>
    </w:pPr>
    <w:rPr>
      <w:b/>
      <w:lang w:val="x-none"/>
    </w:rPr>
  </w:style>
  <w:style w:type="character" w:customStyle="1" w:styleId="ExcerptAuthorChar">
    <w:name w:val="*ExcerptAuthor Char"/>
    <w:link w:val="ExcerptAuthor"/>
    <w:rsid w:val="00B911C5"/>
    <w:rPr>
      <w:rFonts w:ascii="Calibri" w:eastAsia="Calibri" w:hAnsi="Calibr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 w:val="24"/>
      <w:szCs w:val="17"/>
      <w:lang w:val="x-none"/>
    </w:rPr>
  </w:style>
  <w:style w:type="character" w:customStyle="1" w:styleId="ExcerptBodyChar">
    <w:name w:val="*ExcerptBody Char"/>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b/>
      <w:smallCaps/>
      <w:sz w:val="32"/>
      <w:lang w:val="x-none"/>
    </w:rPr>
  </w:style>
  <w:style w:type="character" w:customStyle="1" w:styleId="ExcerptTitleChar">
    <w:name w:val="*ExcerptTitle Char"/>
    <w:link w:val="ExcerptTitle"/>
    <w:rsid w:val="00B911C5"/>
    <w:rPr>
      <w:rFonts w:ascii="Calibri" w:eastAsia="Calibri" w:hAnsi="Calibri" w:cs="Times New Roman"/>
      <w:b/>
      <w:smallCaps/>
      <w:sz w:val="32"/>
      <w:szCs w:val="22"/>
      <w:lang w:eastAsia="en-US"/>
    </w:rPr>
  </w:style>
  <w:style w:type="paragraph" w:customStyle="1" w:styleId="FooterText">
    <w:name w:val="*FooterText"/>
    <w:link w:val="FooterTextChar"/>
    <w:qFormat/>
    <w:rsid w:val="00B911C5"/>
    <w:pPr>
      <w:spacing w:line="200" w:lineRule="exact"/>
    </w:pPr>
    <w:rPr>
      <w:rFonts w:ascii="Calibri" w:eastAsia="Verdana" w:hAnsi="Calibri"/>
      <w:b/>
      <w:color w:val="595959"/>
      <w:sz w:val="14"/>
      <w:szCs w:val="22"/>
    </w:rPr>
  </w:style>
  <w:style w:type="character" w:customStyle="1" w:styleId="FooterTextChar">
    <w:name w:val="FooterText Char"/>
    <w:link w:val="FooterText"/>
    <w:rsid w:val="00B911C5"/>
    <w:rPr>
      <w:rFonts w:ascii="Calibri" w:eastAsia="Verdana" w:hAnsi="Calibri"/>
      <w:b/>
      <w:color w:val="595959"/>
      <w:sz w:val="14"/>
      <w:szCs w:val="22"/>
      <w:lang w:eastAsia="en-US" w:bidi="ar-SA"/>
    </w:rPr>
  </w:style>
  <w:style w:type="paragraph" w:customStyle="1" w:styleId="IN">
    <w:name w:val="*IN*"/>
    <w:link w:val="INChar"/>
    <w:qFormat/>
    <w:rsid w:val="00DA23B4"/>
    <w:pPr>
      <w:numPr>
        <w:numId w:val="6"/>
      </w:numPr>
      <w:spacing w:before="120" w:after="60" w:line="276" w:lineRule="auto"/>
      <w:ind w:left="360"/>
    </w:pPr>
    <w:rPr>
      <w:rFonts w:ascii="Calibri" w:eastAsia="Calibri" w:hAnsi="Calibri"/>
      <w:color w:val="4F81BD"/>
      <w:sz w:val="22"/>
      <w:szCs w:val="22"/>
    </w:rPr>
  </w:style>
  <w:style w:type="character" w:customStyle="1" w:styleId="INChar">
    <w:name w:val="*IN* Char"/>
    <w:link w:val="IN"/>
    <w:rsid w:val="00DA23B4"/>
    <w:rPr>
      <w:rFonts w:ascii="Calibri" w:eastAsia="Calibri" w:hAnsi="Calibri"/>
      <w:color w:val="4F81BD"/>
      <w:sz w:val="22"/>
      <w:szCs w:val="22"/>
      <w:lang w:bidi="ar-SA"/>
    </w:rPr>
  </w:style>
  <w:style w:type="paragraph" w:customStyle="1" w:styleId="INBullet">
    <w:name w:val="*IN* Bullet"/>
    <w:link w:val="INBulletChar"/>
    <w:qFormat/>
    <w:rsid w:val="00DA23B4"/>
    <w:pPr>
      <w:numPr>
        <w:numId w:val="7"/>
      </w:numPr>
      <w:spacing w:after="60" w:line="276" w:lineRule="auto"/>
      <w:ind w:left="720"/>
    </w:pPr>
    <w:rPr>
      <w:rFonts w:ascii="Calibri" w:eastAsia="Calibri" w:hAnsi="Calibri"/>
      <w:color w:val="4F81BD"/>
      <w:sz w:val="22"/>
      <w:szCs w:val="22"/>
    </w:rPr>
  </w:style>
  <w:style w:type="character" w:customStyle="1" w:styleId="INBulletChar">
    <w:name w:val="*IN* Bullet Char"/>
    <w:link w:val="INBullet"/>
    <w:rsid w:val="00DA23B4"/>
    <w:rPr>
      <w:rFonts w:ascii="Calibri" w:eastAsia="Calibri" w:hAnsi="Calibri"/>
      <w:color w:val="4F81BD"/>
      <w:sz w:val="22"/>
      <w:szCs w:val="22"/>
      <w:lang w:bidi="ar-SA"/>
    </w:rPr>
  </w:style>
  <w:style w:type="paragraph" w:customStyle="1" w:styleId="LearningSequenceHeader">
    <w:name w:val="*Learning Sequence Header"/>
    <w:next w:val="Normal"/>
    <w:link w:val="LearningSequenceHeaderChar"/>
    <w:qFormat/>
    <w:rsid w:val="00B911C5"/>
    <w:pPr>
      <w:pBdr>
        <w:bottom w:val="single" w:sz="12" w:space="1" w:color="9BBB59"/>
      </w:pBdr>
      <w:tabs>
        <w:tab w:val="right" w:pos="9360"/>
      </w:tabs>
      <w:spacing w:before="480"/>
    </w:pPr>
    <w:rPr>
      <w:rFonts w:eastAsia="Calibri"/>
      <w:b/>
      <w:bCs/>
      <w:color w:val="4F81BD"/>
      <w:sz w:val="28"/>
      <w:szCs w:val="26"/>
    </w:rPr>
  </w:style>
  <w:style w:type="character" w:customStyle="1" w:styleId="LearningSequenceHeaderChar">
    <w:name w:val="*Learning Sequence Header Char"/>
    <w:link w:val="LearningSequenceHeader"/>
    <w:rsid w:val="00B911C5"/>
    <w:rPr>
      <w:rFonts w:eastAsia="Calibri"/>
      <w:b/>
      <w:bCs/>
      <w:color w:val="4F81BD"/>
      <w:sz w:val="28"/>
      <w:szCs w:val="26"/>
      <w:lang w:eastAsia="en-US" w:bidi="ar-SA"/>
    </w:rPr>
  </w:style>
  <w:style w:type="paragraph" w:customStyle="1" w:styleId="NumberedList">
    <w:name w:val="*Numbered List"/>
    <w:link w:val="NumberedListChar"/>
    <w:qFormat/>
    <w:rsid w:val="00B911C5"/>
    <w:pPr>
      <w:numPr>
        <w:numId w:val="8"/>
      </w:numPr>
      <w:spacing w:after="60"/>
    </w:pPr>
    <w:rPr>
      <w:rFonts w:ascii="Calibri" w:eastAsia="Calibri" w:hAnsi="Calibri"/>
      <w:sz w:val="22"/>
      <w:szCs w:val="22"/>
    </w:rPr>
  </w:style>
  <w:style w:type="character" w:customStyle="1" w:styleId="NumberedListChar">
    <w:name w:val="*Numbered List Char"/>
    <w:link w:val="NumberedList"/>
    <w:rsid w:val="00B911C5"/>
    <w:rPr>
      <w:rFonts w:ascii="Calibri" w:eastAsia="Calibri" w:hAnsi="Calibri"/>
      <w:sz w:val="22"/>
      <w:szCs w:val="22"/>
      <w:lang w:eastAsia="en-US" w:bidi="ar-SA"/>
    </w:rPr>
  </w:style>
  <w:style w:type="paragraph" w:customStyle="1" w:styleId="PageHeader">
    <w:name w:val="*PageHeader"/>
    <w:link w:val="PageHeaderChar"/>
    <w:qFormat/>
    <w:rsid w:val="00B911C5"/>
    <w:pPr>
      <w:spacing w:before="120"/>
    </w:pPr>
    <w:rPr>
      <w:rFonts w:ascii="Calibri" w:eastAsia="Calibri" w:hAnsi="Calibri"/>
      <w:b/>
      <w:sz w:val="18"/>
      <w:szCs w:val="22"/>
    </w:rPr>
  </w:style>
  <w:style w:type="character" w:customStyle="1" w:styleId="PageHeaderChar">
    <w:name w:val="*PageHeader Char"/>
    <w:link w:val="PageHeader"/>
    <w:rsid w:val="00B911C5"/>
    <w:rPr>
      <w:rFonts w:ascii="Calibri" w:eastAsia="Calibri" w:hAnsi="Calibri"/>
      <w:b/>
      <w:sz w:val="18"/>
      <w:szCs w:val="22"/>
      <w:lang w:eastAsia="en-US" w:bidi="ar-SA"/>
    </w:rPr>
  </w:style>
  <w:style w:type="paragraph" w:customStyle="1" w:styleId="SASRBullet">
    <w:name w:val="*SA/SR Bullet"/>
    <w:basedOn w:val="Normal"/>
    <w:link w:val="SASRBulletChar"/>
    <w:qFormat/>
    <w:rsid w:val="00DA23B4"/>
    <w:pPr>
      <w:numPr>
        <w:ilvl w:val="1"/>
        <w:numId w:val="9"/>
      </w:numPr>
      <w:spacing w:before="120"/>
      <w:ind w:left="1080"/>
      <w:contextualSpacing/>
    </w:pPr>
    <w:rPr>
      <w:lang w:val="x-none" w:eastAsia="x-none"/>
    </w:rPr>
  </w:style>
  <w:style w:type="character" w:customStyle="1" w:styleId="SASRBulletChar">
    <w:name w:val="*SA/SR Bullet Char"/>
    <w:link w:val="SASRBullet"/>
    <w:rsid w:val="00DA23B4"/>
    <w:rPr>
      <w:rFonts w:ascii="Calibri" w:eastAsia="Calibri" w:hAnsi="Calibri"/>
      <w:sz w:val="22"/>
      <w:szCs w:val="22"/>
    </w:rPr>
  </w:style>
  <w:style w:type="paragraph" w:customStyle="1" w:styleId="TableText">
    <w:name w:val="*TableText"/>
    <w:link w:val="TableTextChar"/>
    <w:qFormat/>
    <w:rsid w:val="00B911C5"/>
    <w:pPr>
      <w:spacing w:before="40" w:after="40" w:line="276" w:lineRule="auto"/>
    </w:pPr>
    <w:rPr>
      <w:rFonts w:ascii="Calibri" w:eastAsia="Calibri" w:hAnsi="Calibri"/>
      <w:sz w:val="22"/>
      <w:szCs w:val="22"/>
    </w:rPr>
  </w:style>
  <w:style w:type="character" w:customStyle="1" w:styleId="TableTextChar">
    <w:name w:val="*TableText Char"/>
    <w:link w:val="TableText"/>
    <w:rsid w:val="00B911C5"/>
    <w:rPr>
      <w:rFonts w:ascii="Calibri" w:eastAsia="Calibri" w:hAnsi="Calibri"/>
      <w:sz w:val="22"/>
      <w:szCs w:val="22"/>
      <w:lang w:eastAsia="en-US" w:bidi="ar-SA"/>
    </w:rPr>
  </w:style>
  <w:style w:type="paragraph" w:customStyle="1" w:styleId="SubStandard">
    <w:name w:val="*SubStandard"/>
    <w:basedOn w:val="TableText"/>
    <w:link w:val="SubStandardChar"/>
    <w:qFormat/>
    <w:rsid w:val="00B911C5"/>
    <w:pPr>
      <w:numPr>
        <w:numId w:val="10"/>
      </w:numPr>
    </w:pPr>
    <w:rPr>
      <w:lang w:val="x-none"/>
    </w:rPr>
  </w:style>
  <w:style w:type="character" w:customStyle="1" w:styleId="SubStandardChar">
    <w:name w:val="*SubStandard Char"/>
    <w:link w:val="SubStandard"/>
    <w:rsid w:val="00B911C5"/>
    <w:rPr>
      <w:rFonts w:ascii="Calibri" w:eastAsia="Calibri" w:hAnsi="Calibri"/>
      <w:sz w:val="22"/>
      <w:szCs w:val="22"/>
      <w:lang w:val="x-none"/>
    </w:rPr>
  </w:style>
  <w:style w:type="paragraph" w:customStyle="1" w:styleId="TA">
    <w:name w:val="*TA*"/>
    <w:link w:val="TAChar"/>
    <w:qFormat/>
    <w:rsid w:val="00B911C5"/>
    <w:pPr>
      <w:spacing w:before="180" w:after="180"/>
    </w:pPr>
    <w:rPr>
      <w:rFonts w:ascii="Calibri" w:eastAsia="Calibri" w:hAnsi="Calibri"/>
      <w:sz w:val="22"/>
      <w:szCs w:val="22"/>
    </w:rPr>
  </w:style>
  <w:style w:type="character" w:customStyle="1" w:styleId="TAChar">
    <w:name w:val="*TA* Char"/>
    <w:link w:val="TA"/>
    <w:rsid w:val="00B911C5"/>
    <w:rPr>
      <w:rFonts w:ascii="Calibri" w:eastAsia="Calibri" w:hAnsi="Calibri"/>
      <w:sz w:val="22"/>
      <w:szCs w:val="22"/>
      <w:lang w:eastAsia="en-US" w:bidi="ar-SA"/>
    </w:rPr>
  </w:style>
  <w:style w:type="paragraph" w:customStyle="1" w:styleId="TableHeaders">
    <w:name w:val="*TableHeaders"/>
    <w:basedOn w:val="Normal"/>
    <w:link w:val="TableHeadersChar"/>
    <w:qFormat/>
    <w:rsid w:val="00B911C5"/>
    <w:pPr>
      <w:spacing w:before="40" w:after="40"/>
    </w:pPr>
    <w:rPr>
      <w:b/>
      <w:color w:val="FFFFFF"/>
      <w:lang w:val="x-none"/>
    </w:rPr>
  </w:style>
  <w:style w:type="character" w:customStyle="1" w:styleId="TableHeadersChar">
    <w:name w:val="*TableHeaders Char"/>
    <w:link w:val="TableHeaders"/>
    <w:rsid w:val="00B911C5"/>
    <w:rPr>
      <w:rFonts w:ascii="Calibri" w:eastAsia="Calibri" w:hAnsi="Calibri" w:cs="Times New Roman"/>
      <w:b/>
      <w:color w:val="FFFFFF"/>
      <w:sz w:val="22"/>
      <w:szCs w:val="22"/>
      <w:lang w:eastAsia="en-US"/>
    </w:rPr>
  </w:style>
  <w:style w:type="paragraph" w:customStyle="1" w:styleId="ToolHeader">
    <w:name w:val="*ToolHeader"/>
    <w:qFormat/>
    <w:rsid w:val="00B911C5"/>
    <w:pPr>
      <w:spacing w:after="120"/>
    </w:pPr>
    <w:rPr>
      <w:rFonts w:eastAsia="Calibri"/>
      <w:b/>
      <w:bCs/>
      <w:color w:val="365F91"/>
      <w:sz w:val="32"/>
      <w:szCs w:val="28"/>
    </w:rPr>
  </w:style>
  <w:style w:type="paragraph" w:customStyle="1" w:styleId="ToolTableText">
    <w:name w:val="*ToolTableText"/>
    <w:qFormat/>
    <w:rsid w:val="00B911C5"/>
    <w:pPr>
      <w:spacing w:before="40" w:after="120"/>
    </w:pPr>
    <w:rPr>
      <w:rFonts w:ascii="Calibri" w:eastAsia="Calibri" w:hAnsi="Calibri"/>
      <w:sz w:val="22"/>
      <w:szCs w:val="22"/>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lang w:val="x-none"/>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rPr>
      <w:lang w:val="x-none"/>
    </w:r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lang w:val="x-none"/>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olor w:val="595959"/>
      <w:sz w:val="16"/>
      <w:lang w:val="x-none"/>
    </w:rPr>
  </w:style>
  <w:style w:type="character" w:customStyle="1" w:styleId="folioChar">
    <w:name w:val="folio Char"/>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lang w:val="x-none"/>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lang w:val="x-none"/>
    </w:rPr>
  </w:style>
  <w:style w:type="character" w:customStyle="1" w:styleId="FootnoteTextChar">
    <w:name w:val="Footnote Text Char"/>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lang w:val="x-none"/>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ind w:left="43" w:right="43"/>
      <w:jc w:val="center"/>
    </w:pPr>
    <w:rPr>
      <w:rFonts w:ascii="Calibri" w:eastAsia="Calibri" w:hAnsi="Calibri" w:cs="Calibri"/>
      <w:b/>
      <w:bCs/>
      <w:caps/>
      <w:color w:val="FFFFFF"/>
      <w:sz w:val="44"/>
      <w:szCs w:val="22"/>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744BFE"/>
    <w:rPr>
      <w:rFonts w:ascii="Calibri" w:eastAsia="Calibri" w:hAnsi="Calibri"/>
      <w:b/>
      <w:bCs/>
      <w:color w:val="365F91"/>
      <w:sz w:val="32"/>
      <w:szCs w:val="28"/>
      <w:lang w:val="x-none"/>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customStyle="1" w:styleId="MediumList2-Accent41">
    <w:name w:val="Medium List 2 - Accent 41"/>
    <w:basedOn w:val="Normal"/>
    <w:link w:val="MediumList2-Accent4Char"/>
    <w:uiPriority w:val="34"/>
    <w:rsid w:val="00B911C5"/>
    <w:pPr>
      <w:ind w:left="720"/>
      <w:contextualSpacing/>
    </w:pPr>
    <w:rPr>
      <w:lang w:val="x-none"/>
    </w:rPr>
  </w:style>
  <w:style w:type="character" w:customStyle="1" w:styleId="MediumList2-Accent4Char">
    <w:name w:val="Medium List 2 - Accent 4 Char"/>
    <w:link w:val="MediumList2-Accent41"/>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0">
    <w:name w:val="Medium List 2 - Accent 41"/>
    <w:basedOn w:val="Normal"/>
    <w:link w:val="MediumList2-Accent41Char"/>
    <w:uiPriority w:val="34"/>
    <w:rsid w:val="00B911C5"/>
    <w:pPr>
      <w:ind w:left="720"/>
      <w:contextualSpacing/>
    </w:pPr>
    <w:rPr>
      <w:lang w:val="x-none"/>
    </w:rPr>
  </w:style>
  <w:style w:type="character" w:customStyle="1" w:styleId="MediumList2-Accent41Char">
    <w:name w:val="Medium List 2 - Accent 41 Char"/>
    <w:link w:val="MediumList2-Accent410"/>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rPr>
      <w:rFonts w:ascii="Tahoma" w:eastAsia="Calibri" w:hAnsi="Tahoma"/>
      <w:sz w:val="19"/>
      <w:szCs w:val="22"/>
    </w:rPr>
  </w:style>
  <w:style w:type="character" w:customStyle="1" w:styleId="NoSpacingChar">
    <w:name w:val="No Spacing Char"/>
    <w:link w:val="NoSpacing1"/>
    <w:rsid w:val="00B911C5"/>
    <w:rPr>
      <w:rFonts w:ascii="Tahoma" w:eastAsia="Calibri" w:hAnsi="Tahoma"/>
      <w:sz w:val="19"/>
      <w:szCs w:val="22"/>
      <w:lang w:eastAsia="en-US" w:bidi="ar-SA"/>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911C5"/>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paragraph" w:customStyle="1" w:styleId="MediumList1-Accent41">
    <w:name w:val="Medium List 1 - Accent 41"/>
    <w:hidden/>
    <w:uiPriority w:val="99"/>
    <w:semiHidden/>
    <w:rsid w:val="00B24C74"/>
    <w:rPr>
      <w:rFonts w:ascii="Calibri" w:eastAsia="Calibri" w:hAnsi="Calibri"/>
      <w:sz w:val="22"/>
      <w:szCs w:val="22"/>
    </w:rPr>
  </w:style>
  <w:style w:type="paragraph" w:customStyle="1" w:styleId="Default">
    <w:name w:val="Default"/>
    <w:rsid w:val="000E49F8"/>
    <w:pPr>
      <w:widowControl w:val="0"/>
      <w:autoSpaceDE w:val="0"/>
      <w:autoSpaceDN w:val="0"/>
      <w:adjustRightInd w:val="0"/>
    </w:pPr>
    <w:rPr>
      <w:rFonts w:ascii="Perpetua" w:hAnsi="Perpetua" w:cs="Perpetua"/>
      <w:color w:val="000000"/>
      <w:sz w:val="24"/>
      <w:szCs w:val="24"/>
      <w:lang w:eastAsia="ja-JP"/>
    </w:rPr>
  </w:style>
  <w:style w:type="paragraph" w:customStyle="1" w:styleId="01-LevelA">
    <w:name w:val="01-Level A"/>
    <w:basedOn w:val="Normal"/>
    <w:qFormat/>
    <w:rsid w:val="00DA23B4"/>
    <w:pPr>
      <w:widowControl w:val="0"/>
      <w:autoSpaceDE w:val="0"/>
      <w:autoSpaceDN w:val="0"/>
      <w:adjustRightInd w:val="0"/>
      <w:spacing w:before="0" w:after="0" w:line="240" w:lineRule="auto"/>
      <w:jc w:val="center"/>
    </w:pPr>
    <w:rPr>
      <w:rFonts w:ascii="Franklin Gothic Book" w:eastAsia="Times New Roman" w:hAnsi="Franklin Gothic Book" w:cs="Cambria"/>
      <w:color w:val="007AB2"/>
      <w:sz w:val="28"/>
      <w:szCs w:val="24"/>
    </w:rPr>
  </w:style>
  <w:style w:type="character" w:customStyle="1" w:styleId="oneclick-link">
    <w:name w:val="oneclick-link"/>
    <w:rsid w:val="00DA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5CF0B-1C7A-4A80-AADC-614198F7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23897</CharactersWithSpaces>
  <SharedDoc>false</SharedDoc>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2014-09-29T15:46:00Z</cp:lastPrinted>
  <dcterms:created xsi:type="dcterms:W3CDTF">2015-02-10T17:57:00Z</dcterms:created>
  <dcterms:modified xsi:type="dcterms:W3CDTF">2015-02-10T17:57:00Z</dcterms:modified>
</cp:coreProperties>
</file>