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C23017">
        <w:trPr>
          <w:trHeight w:val="1008"/>
        </w:trPr>
        <w:tc>
          <w:tcPr>
            <w:tcW w:w="1872" w:type="dxa"/>
            <w:shd w:val="clear" w:color="auto" w:fill="385623"/>
            <w:vAlign w:val="center"/>
          </w:tcPr>
          <w:p w:rsidR="00790BCC" w:rsidRPr="00E21CE6" w:rsidRDefault="00C606F0" w:rsidP="00D31F4D">
            <w:pPr>
              <w:pStyle w:val="Header-banner"/>
            </w:pPr>
            <w:r w:rsidRPr="00E21CE6">
              <w:t>12.2</w:t>
            </w:r>
            <w:r w:rsidR="00790BCC" w:rsidRPr="00E21CE6">
              <w:t>.</w:t>
            </w:r>
            <w:r w:rsidRPr="00E21CE6">
              <w:t>1</w:t>
            </w:r>
          </w:p>
        </w:tc>
        <w:tc>
          <w:tcPr>
            <w:tcW w:w="7578" w:type="dxa"/>
            <w:shd w:val="clear" w:color="auto" w:fill="76923C"/>
            <w:vAlign w:val="center"/>
          </w:tcPr>
          <w:p w:rsidR="00790BCC" w:rsidRPr="00E21CE6" w:rsidRDefault="00790BCC" w:rsidP="00D31F4D">
            <w:pPr>
              <w:pStyle w:val="Header2banner"/>
            </w:pPr>
            <w:r w:rsidRPr="00E21CE6">
              <w:t xml:space="preserve">Lesson </w:t>
            </w:r>
            <w:r w:rsidR="00C606F0" w:rsidRPr="00E21CE6">
              <w:t>1</w:t>
            </w:r>
            <w:r w:rsidR="001A5A77" w:rsidRPr="00E21CE6">
              <w:t>5</w:t>
            </w:r>
          </w:p>
        </w:tc>
      </w:tr>
    </w:tbl>
    <w:p w:rsidR="00790BCC" w:rsidRPr="00790BCC" w:rsidRDefault="00790BCC" w:rsidP="00D31F4D">
      <w:pPr>
        <w:pStyle w:val="Heading1"/>
      </w:pPr>
      <w:r w:rsidRPr="00790BCC">
        <w:t>Introduction</w:t>
      </w:r>
    </w:p>
    <w:p w:rsidR="006E07FB" w:rsidRDefault="00537A7C" w:rsidP="00A15458">
      <w:r>
        <w:t xml:space="preserve">In this lesson, students </w:t>
      </w:r>
      <w:r w:rsidR="001A5A77">
        <w:t xml:space="preserve">prepare for the </w:t>
      </w:r>
      <w:r w:rsidR="00380A5D">
        <w:t xml:space="preserve">12.2.1 </w:t>
      </w:r>
      <w:r w:rsidR="001A5A77">
        <w:t xml:space="preserve">End-of-Unit Assessment </w:t>
      </w:r>
      <w:r w:rsidR="001A1C7A">
        <w:t>b</w:t>
      </w:r>
      <w:r w:rsidR="001A5A77">
        <w:t>y collect</w:t>
      </w:r>
      <w:r w:rsidR="001A1C7A">
        <w:t>ing</w:t>
      </w:r>
      <w:r w:rsidR="001A5A77">
        <w:t xml:space="preserve"> evidence</w:t>
      </w:r>
      <w:r w:rsidR="009E2439">
        <w:t xml:space="preserve"> from throughout </w:t>
      </w:r>
      <w:r w:rsidR="00E0495C">
        <w:t>“Civil Disobedience”</w:t>
      </w:r>
      <w:r w:rsidR="001A5A77">
        <w:t xml:space="preserve"> about Thoreau’s </w:t>
      </w:r>
      <w:r w:rsidR="00E0495C">
        <w:t>opinion</w:t>
      </w:r>
      <w:r w:rsidR="001A5A77">
        <w:t xml:space="preserve"> </w:t>
      </w:r>
      <w:r w:rsidR="00C83CFC">
        <w:t>of “</w:t>
      </w:r>
      <w:r w:rsidR="007C3936">
        <w:t xml:space="preserve">a </w:t>
      </w:r>
      <w:r w:rsidR="00C83CFC">
        <w:t>better go</w:t>
      </w:r>
      <w:bookmarkStart w:id="0" w:name="_GoBack"/>
      <w:bookmarkEnd w:id="0"/>
      <w:r w:rsidR="00C83CFC">
        <w:t>vernment</w:t>
      </w:r>
      <w:r w:rsidR="007A6A37">
        <w:t xml:space="preserve">” </w:t>
      </w:r>
      <w:r w:rsidR="00C83CFC">
        <w:t xml:space="preserve">(part 1, par. 3). </w:t>
      </w:r>
      <w:r w:rsidR="007A6A37">
        <w:t xml:space="preserve">After independently collecting and organizing evidence on the Better Government Evidence Gathering Tool, </w:t>
      </w:r>
      <w:r w:rsidR="001A5A77">
        <w:t>students p</w:t>
      </w:r>
      <w:r w:rsidR="00E0495C">
        <w:t xml:space="preserve">articipate in a </w:t>
      </w:r>
      <w:r w:rsidR="007A6A37">
        <w:t>Round Robin D</w:t>
      </w:r>
      <w:r w:rsidR="001A5A77">
        <w:t xml:space="preserve">iscussion </w:t>
      </w:r>
      <w:r w:rsidR="00C83CFC">
        <w:t>of</w:t>
      </w:r>
      <w:r w:rsidR="001A5A77">
        <w:t xml:space="preserve"> the followin</w:t>
      </w:r>
      <w:r w:rsidR="00E0495C">
        <w:t xml:space="preserve">g prompt: Choose one central idea and analyze how it </w:t>
      </w:r>
      <w:r w:rsidR="006805A1">
        <w:t xml:space="preserve">relates to </w:t>
      </w:r>
      <w:r w:rsidR="00E0495C">
        <w:t xml:space="preserve">Thoreau’s opinion of </w:t>
      </w:r>
      <w:r w:rsidR="00C83CFC">
        <w:t>“</w:t>
      </w:r>
      <w:r w:rsidR="007C3936">
        <w:t xml:space="preserve">a </w:t>
      </w:r>
      <w:r w:rsidR="00E0495C">
        <w:t>better government</w:t>
      </w:r>
      <w:r w:rsidR="00C83CFC">
        <w:t>.”</w:t>
      </w:r>
      <w:r w:rsidR="00E0495C">
        <w:t xml:space="preserve"> </w:t>
      </w:r>
      <w:r w:rsidR="005416B9">
        <w:t xml:space="preserve">Student learning is assessed via the Round Robin Discussion. </w:t>
      </w:r>
      <w:r w:rsidR="001A5A77">
        <w:t xml:space="preserve">Students </w:t>
      </w:r>
      <w:r w:rsidR="005416B9">
        <w:t>also</w:t>
      </w:r>
      <w:r w:rsidR="001A5A77">
        <w:t xml:space="preserve"> </w:t>
      </w:r>
      <w:r w:rsidR="001A1C7A">
        <w:t>self-</w:t>
      </w:r>
      <w:r w:rsidR="001A5A77">
        <w:t>assess their own contributions to the discussion</w:t>
      </w:r>
      <w:r w:rsidR="001A1C7A">
        <w:t>,</w:t>
      </w:r>
      <w:r w:rsidR="001A5A77">
        <w:t xml:space="preserve"> and complete the 12.2.1 Lesson 15 Exit Slip in which they analyze how the </w:t>
      </w:r>
      <w:r w:rsidR="006805A1">
        <w:t xml:space="preserve">analyses </w:t>
      </w:r>
      <w:r w:rsidR="001A5A77">
        <w:t xml:space="preserve">and evidence presented during discussion changed or confirmed their </w:t>
      </w:r>
      <w:r w:rsidR="007A6A37">
        <w:t>own</w:t>
      </w:r>
      <w:r w:rsidR="001A5A77">
        <w:t xml:space="preserve"> thinking. </w:t>
      </w:r>
    </w:p>
    <w:p w:rsidR="00D170AF" w:rsidRPr="00A26825" w:rsidRDefault="005E766B" w:rsidP="005E766B">
      <w:r>
        <w:t xml:space="preserve">For homework, </w:t>
      </w:r>
      <w:r w:rsidR="007A6A37">
        <w:t xml:space="preserve">students </w:t>
      </w:r>
      <w:r w:rsidR="001A5A77">
        <w:t>complete</w:t>
      </w:r>
      <w:r w:rsidR="007A6A37">
        <w:t xml:space="preserve"> the Better Government Evidence Gathering Tool</w:t>
      </w:r>
      <w:r w:rsidR="009973FF">
        <w:t xml:space="preserve"> </w:t>
      </w:r>
      <w:r w:rsidR="009973FF" w:rsidRPr="009973FF">
        <w:t>by selecting a second central idea in “Civil Disobedience” and collecting evidence o</w:t>
      </w:r>
      <w:r w:rsidR="00187C48">
        <w:t>f</w:t>
      </w:r>
      <w:r w:rsidR="009973FF" w:rsidRPr="009973FF">
        <w:t xml:space="preserve"> how this idea </w:t>
      </w:r>
      <w:r w:rsidR="006805A1">
        <w:t>relates to</w:t>
      </w:r>
      <w:r w:rsidR="009973FF" w:rsidRPr="009973FF">
        <w:t xml:space="preserve"> Thoreau’s</w:t>
      </w:r>
      <w:r w:rsidR="0095514D">
        <w:t xml:space="preserve"> </w:t>
      </w:r>
      <w:r w:rsidR="009973FF" w:rsidRPr="009973FF">
        <w:t>opinion of “</w:t>
      </w:r>
      <w:r w:rsidR="007C3936">
        <w:t xml:space="preserve">a </w:t>
      </w:r>
      <w:r w:rsidR="009973FF" w:rsidRPr="009973FF">
        <w:t>better government.”</w:t>
      </w:r>
      <w:r w:rsidR="00D170AF">
        <w:t xml:space="preserve"> </w:t>
      </w:r>
      <w:r w:rsidR="00D170AF" w:rsidRPr="00581EE3">
        <w:t>A</w:t>
      </w:r>
      <w:r w:rsidR="00D170AF">
        <w:t>lso for homework</w:t>
      </w:r>
      <w:r w:rsidR="00D170AF" w:rsidRPr="00581EE3">
        <w:t>, students review and expand their notes and annotations in preparation for the 12.2.1 End-of-Unit Assessment.</w:t>
      </w:r>
    </w:p>
    <w:p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rsidTr="00C23017">
        <w:tc>
          <w:tcPr>
            <w:tcW w:w="9450" w:type="dxa"/>
            <w:gridSpan w:val="2"/>
            <w:shd w:val="clear" w:color="auto" w:fill="76923C"/>
          </w:tcPr>
          <w:p w:rsidR="00790BCC" w:rsidRPr="00E21CE6" w:rsidRDefault="00790BCC" w:rsidP="007017EB">
            <w:pPr>
              <w:pStyle w:val="TableHeaders"/>
            </w:pPr>
            <w:r w:rsidRPr="00E21CE6">
              <w:t>Assessed Standard(s)</w:t>
            </w:r>
          </w:p>
        </w:tc>
      </w:tr>
      <w:tr w:rsidR="00537A7C" w:rsidRPr="00790BCC" w:rsidTr="00C23017">
        <w:tc>
          <w:tcPr>
            <w:tcW w:w="1214" w:type="dxa"/>
          </w:tcPr>
          <w:p w:rsidR="00537A7C" w:rsidRDefault="00542863" w:rsidP="00537A7C">
            <w:pPr>
              <w:pStyle w:val="TableText"/>
            </w:pPr>
            <w:r>
              <w:t>RI.11-12</w:t>
            </w:r>
            <w:r w:rsidR="00537A7C">
              <w:t>.</w:t>
            </w:r>
            <w:r w:rsidR="006805A1">
              <w:t>2</w:t>
            </w:r>
          </w:p>
        </w:tc>
        <w:tc>
          <w:tcPr>
            <w:tcW w:w="8236" w:type="dxa"/>
          </w:tcPr>
          <w:p w:rsidR="00537A7C" w:rsidRPr="00D9789E" w:rsidRDefault="006805A1" w:rsidP="00D9789E">
            <w:pPr>
              <w:pStyle w:val="TableText"/>
            </w:pPr>
            <w:r>
              <w:t>Determine two or more central ideas of a text</w:t>
            </w:r>
            <w:r w:rsidR="00D26A4D">
              <w:t xml:space="preserve"> </w:t>
            </w:r>
            <w:r>
              <w:t xml:space="preserve">and analyze their development over the course of the text, including how they interact and build on one another to provide a complex analysis; provide an objective summary of the text. </w:t>
            </w:r>
          </w:p>
        </w:tc>
      </w:tr>
      <w:tr w:rsidR="00BA0076" w:rsidRPr="00790BCC" w:rsidTr="00C23017">
        <w:tc>
          <w:tcPr>
            <w:tcW w:w="1214" w:type="dxa"/>
          </w:tcPr>
          <w:p w:rsidR="00BA0076" w:rsidRDefault="00BA0076" w:rsidP="00537A7C">
            <w:pPr>
              <w:pStyle w:val="TableText"/>
            </w:pPr>
            <w:r>
              <w:t>RI.11-12.3</w:t>
            </w:r>
          </w:p>
        </w:tc>
        <w:tc>
          <w:tcPr>
            <w:tcW w:w="8236" w:type="dxa"/>
          </w:tcPr>
          <w:p w:rsidR="00BA0076" w:rsidRPr="00B32C15" w:rsidDel="006805A1" w:rsidRDefault="00BA0076" w:rsidP="001A5758">
            <w:pPr>
              <w:pStyle w:val="TableText"/>
            </w:pPr>
            <w:r w:rsidRPr="00B32C15">
              <w:t xml:space="preserve">Analyze a complex set of ideas or sequence of events and explain how specific individuals, ideas, or events interact and develop over the course of the text. </w:t>
            </w:r>
          </w:p>
        </w:tc>
      </w:tr>
      <w:tr w:rsidR="00D26A4D" w:rsidRPr="00790BCC" w:rsidTr="00C23017">
        <w:tc>
          <w:tcPr>
            <w:tcW w:w="1214" w:type="dxa"/>
          </w:tcPr>
          <w:p w:rsidR="00D26A4D" w:rsidRDefault="00D26A4D" w:rsidP="00863E02">
            <w:pPr>
              <w:pStyle w:val="TableText"/>
            </w:pPr>
            <w:r>
              <w:t>SL.11-12.1.</w:t>
            </w:r>
            <w:r w:rsidR="00690873">
              <w:t>a</w:t>
            </w:r>
            <w:r w:rsidR="00DC33DE">
              <w:t xml:space="preserve">, </w:t>
            </w:r>
            <w:r w:rsidR="00863E02">
              <w:t>c</w:t>
            </w:r>
          </w:p>
        </w:tc>
        <w:tc>
          <w:tcPr>
            <w:tcW w:w="8236" w:type="dxa"/>
          </w:tcPr>
          <w:p w:rsidR="00D26A4D" w:rsidRDefault="00690873" w:rsidP="00690873">
            <w:pPr>
              <w:pStyle w:val="TableText"/>
            </w:pPr>
            <w:r>
              <w:t xml:space="preserve">Initiate and participate effectively in a range of collaborative discussions (one-on-one, in groups, and teacher-led) with diverse partners on </w:t>
            </w:r>
            <w:r w:rsidR="00A51F8B" w:rsidRPr="001A0745">
              <w:rPr>
                <w:i/>
              </w:rPr>
              <w:t>grades 11</w:t>
            </w:r>
            <w:r w:rsidR="00501057">
              <w:rPr>
                <w:i/>
              </w:rPr>
              <w:t>–</w:t>
            </w:r>
            <w:r w:rsidR="00A51F8B" w:rsidRPr="001A0745">
              <w:rPr>
                <w:i/>
              </w:rPr>
              <w:t>12</w:t>
            </w:r>
            <w:r w:rsidR="00501057">
              <w:rPr>
                <w:i/>
              </w:rPr>
              <w:t xml:space="preserve"> </w:t>
            </w:r>
            <w:r w:rsidR="00A51F8B" w:rsidRPr="001A0745">
              <w:rPr>
                <w:i/>
              </w:rPr>
              <w:t>topics, texts, and issues</w:t>
            </w:r>
            <w:r>
              <w:t xml:space="preserve">, building on </w:t>
            </w:r>
            <w:r w:rsidR="001F1F31">
              <w:t xml:space="preserve">others’ </w:t>
            </w:r>
            <w:r>
              <w:t>ideas and expressing their own clearly and persuasively.</w:t>
            </w:r>
          </w:p>
          <w:p w:rsidR="007049E2" w:rsidRDefault="00690873" w:rsidP="00690873">
            <w:pPr>
              <w:pStyle w:val="SubStandard"/>
            </w:pPr>
            <w:r>
              <w:t>Come to discussions prepared, having read and researched material under study; explicitly draw on that preparation by referring to evidence from texts and other research on the topic or issue to stimulate a thoughtful, well-reasoned exchange of ideas.</w:t>
            </w:r>
          </w:p>
          <w:p w:rsidR="00690873" w:rsidRPr="00D027B3" w:rsidRDefault="00DB5109" w:rsidP="00D027B3">
            <w:pPr>
              <w:pStyle w:val="SubStandard"/>
              <w:numPr>
                <w:ilvl w:val="0"/>
                <w:numId w:val="33"/>
              </w:numPr>
              <w:rPr>
                <w:rFonts w:ascii="Perpetua" w:hAnsi="Perpetua" w:cs="Perpetua"/>
                <w:color w:val="000000"/>
                <w:sz w:val="20"/>
                <w:szCs w:val="20"/>
              </w:rPr>
            </w:pPr>
            <w:r w:rsidRPr="00D027B3">
              <w:rPr>
                <w:rStyle w:val="SubStandardChar"/>
              </w:rPr>
              <w:t xml:space="preserve">Propel conversations by posing and responding to questions that probe reasoning </w:t>
            </w:r>
            <w:r w:rsidRPr="00D027B3">
              <w:rPr>
                <w:rStyle w:val="SubStandardChar"/>
              </w:rPr>
              <w:lastRenderedPageBreak/>
              <w:t>and evidence; ensure a hearing for a full range of positions on a topic or issue; clarify, verify, or challenge ideas and conclusions; and promote divergent and creative perspectives</w:t>
            </w:r>
            <w:r w:rsidRPr="00D027B3">
              <w:rPr>
                <w:rFonts w:ascii="Perpetua" w:hAnsi="Perpetua" w:cs="Perpetua"/>
                <w:color w:val="000000"/>
                <w:sz w:val="20"/>
                <w:szCs w:val="20"/>
              </w:rPr>
              <w:t xml:space="preserve">. </w:t>
            </w:r>
          </w:p>
        </w:tc>
      </w:tr>
      <w:tr w:rsidR="00790BCC" w:rsidRPr="00790BCC" w:rsidTr="00C23017">
        <w:tc>
          <w:tcPr>
            <w:tcW w:w="9450" w:type="dxa"/>
            <w:gridSpan w:val="2"/>
            <w:shd w:val="clear" w:color="auto" w:fill="76923C"/>
          </w:tcPr>
          <w:p w:rsidR="00790BCC" w:rsidRPr="00E21CE6" w:rsidRDefault="00790BCC" w:rsidP="007017EB">
            <w:pPr>
              <w:pStyle w:val="TableHeaders"/>
            </w:pPr>
            <w:r w:rsidRPr="00E21CE6">
              <w:lastRenderedPageBreak/>
              <w:t>Addressed Standard(s)</w:t>
            </w:r>
          </w:p>
        </w:tc>
      </w:tr>
      <w:tr w:rsidR="00790BCC" w:rsidRPr="00790BCC" w:rsidTr="00C23017">
        <w:tc>
          <w:tcPr>
            <w:tcW w:w="1214" w:type="dxa"/>
          </w:tcPr>
          <w:p w:rsidR="00790BCC" w:rsidRPr="00790BCC" w:rsidRDefault="000C08D3" w:rsidP="007017EB">
            <w:pPr>
              <w:pStyle w:val="TableText"/>
            </w:pPr>
            <w:r>
              <w:t>W.11-12.9.b</w:t>
            </w:r>
          </w:p>
        </w:tc>
        <w:tc>
          <w:tcPr>
            <w:tcW w:w="8236" w:type="dxa"/>
          </w:tcPr>
          <w:p w:rsidR="000C08D3" w:rsidRDefault="000C08D3" w:rsidP="000C08D3">
            <w:pPr>
              <w:pStyle w:val="TableText"/>
            </w:pPr>
            <w:r w:rsidRPr="00980D65">
              <w:t>Draw evidence from literary or informational texts to support analysis, reflection, and research.</w:t>
            </w:r>
          </w:p>
          <w:p w:rsidR="00790BCC" w:rsidRPr="00790BCC" w:rsidRDefault="000C08D3" w:rsidP="001F1F31">
            <w:pPr>
              <w:pStyle w:val="SubStandard"/>
              <w:numPr>
                <w:ilvl w:val="0"/>
                <w:numId w:val="27"/>
              </w:numPr>
            </w:pPr>
            <w:r w:rsidRPr="00980D65">
              <w:t>Apply </w:t>
            </w:r>
            <w:r w:rsidRPr="00980D65">
              <w:rPr>
                <w:i/>
                <w:iCs/>
              </w:rPr>
              <w:t>grades 11</w:t>
            </w:r>
            <w:r>
              <w:rPr>
                <w:i/>
                <w:iCs/>
              </w:rPr>
              <w:t>–</w:t>
            </w:r>
            <w:r w:rsidRPr="00980D65">
              <w:rPr>
                <w:i/>
                <w:iCs/>
              </w:rPr>
              <w:t>12 Reading standards</w:t>
            </w:r>
            <w:r w:rsidRPr="00980D65">
              <w:t xml:space="preserve"> to literary nonfiction (e.g., </w:t>
            </w:r>
            <w:r w:rsidR="001F1F31">
              <w:t>“</w:t>
            </w:r>
            <w:r w:rsidRPr="00980D65">
              <w:t>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980D65">
              <w:rPr>
                <w:i/>
                <w:iCs/>
              </w:rPr>
              <w:t>The Federalist</w:t>
            </w:r>
            <w:r w:rsidRPr="00980D65">
              <w:t>, presidential addresses</w:t>
            </w:r>
            <w:r w:rsidR="001F1F31" w:rsidRPr="00980D65">
              <w:t>]</w:t>
            </w:r>
            <w:r w:rsidR="001F1F31">
              <w:t>”</w:t>
            </w:r>
            <w:r w:rsidR="001F1F31" w:rsidRPr="00980D65">
              <w:t>).</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C23017">
        <w:tc>
          <w:tcPr>
            <w:tcW w:w="9450" w:type="dxa"/>
            <w:shd w:val="clear" w:color="auto" w:fill="76923C"/>
          </w:tcPr>
          <w:p w:rsidR="00790BCC" w:rsidRPr="00E21CE6" w:rsidRDefault="00790BCC" w:rsidP="007017EB">
            <w:pPr>
              <w:pStyle w:val="TableHeaders"/>
            </w:pPr>
            <w:r w:rsidRPr="00E21CE6">
              <w:t>Assessment(s)</w:t>
            </w:r>
          </w:p>
        </w:tc>
      </w:tr>
      <w:tr w:rsidR="00790BCC" w:rsidRPr="00790BCC" w:rsidTr="00C23017">
        <w:tc>
          <w:tcPr>
            <w:tcW w:w="9450" w:type="dxa"/>
            <w:tcBorders>
              <w:top w:val="single" w:sz="4" w:space="0" w:color="auto"/>
              <w:left w:val="single" w:sz="4" w:space="0" w:color="auto"/>
              <w:bottom w:val="single" w:sz="4" w:space="0" w:color="auto"/>
              <w:right w:val="single" w:sz="4" w:space="0" w:color="auto"/>
            </w:tcBorders>
          </w:tcPr>
          <w:p w:rsidR="00537A7C" w:rsidRDefault="00537A7C" w:rsidP="00537A7C">
            <w:pPr>
              <w:pStyle w:val="TableText"/>
            </w:pPr>
            <w:r>
              <w:t xml:space="preserve">Student learning is assessed via </w:t>
            </w:r>
            <w:r w:rsidR="001B562E">
              <w:t>a</w:t>
            </w:r>
            <w:r w:rsidR="002139D3">
              <w:t xml:space="preserve">n Exit Slip </w:t>
            </w:r>
            <w:r w:rsidR="00383F16">
              <w:t xml:space="preserve">following </w:t>
            </w:r>
            <w:r w:rsidR="002139D3">
              <w:t>a</w:t>
            </w:r>
            <w:r w:rsidR="001B562E">
              <w:t xml:space="preserve"> Round Robin discussion </w:t>
            </w:r>
            <w:r>
              <w:t>at the end of the lesson. Students</w:t>
            </w:r>
            <w:r w:rsidR="002139D3">
              <w:t xml:space="preserve"> explain how the discussion confirmed or changed their</w:t>
            </w:r>
            <w:r>
              <w:t xml:space="preserve"> respon</w:t>
            </w:r>
            <w:r w:rsidR="002139D3">
              <w:t>se</w:t>
            </w:r>
            <w:r>
              <w:t xml:space="preserve"> to the following prompt, citing textual evidence to support analysis and</w:t>
            </w:r>
            <w:r w:rsidR="001A5758">
              <w:t xml:space="preserve"> inferences drawn from the text.</w:t>
            </w:r>
          </w:p>
          <w:p w:rsidR="00790BCC" w:rsidRPr="001A5758" w:rsidRDefault="009E4404" w:rsidP="009912DC">
            <w:pPr>
              <w:pStyle w:val="BulletedList"/>
            </w:pPr>
            <w:r w:rsidRPr="001A5758">
              <w:t>Choose one central idea and analyze how it relates to Thoreau’s idea of “a better government.”</w:t>
            </w:r>
          </w:p>
        </w:tc>
      </w:tr>
      <w:tr w:rsidR="00790BCC" w:rsidRPr="00790BCC" w:rsidTr="00C23017">
        <w:tc>
          <w:tcPr>
            <w:tcW w:w="9450" w:type="dxa"/>
            <w:shd w:val="clear" w:color="auto" w:fill="76923C"/>
          </w:tcPr>
          <w:p w:rsidR="00790BCC" w:rsidRPr="00E21CE6" w:rsidRDefault="00790BCC" w:rsidP="007017EB">
            <w:pPr>
              <w:pStyle w:val="TableHeaders"/>
            </w:pPr>
            <w:r w:rsidRPr="00E21CE6">
              <w:t>High Performance Response(s)</w:t>
            </w:r>
          </w:p>
        </w:tc>
      </w:tr>
      <w:tr w:rsidR="00790BCC" w:rsidRPr="00790BCC" w:rsidTr="00C23017">
        <w:tc>
          <w:tcPr>
            <w:tcW w:w="9450" w:type="dxa"/>
          </w:tcPr>
          <w:p w:rsidR="001A0745" w:rsidRDefault="001A0745" w:rsidP="007356E7">
            <w:pPr>
              <w:pStyle w:val="TableText"/>
            </w:pPr>
            <w:r>
              <w:t xml:space="preserve">A </w:t>
            </w:r>
            <w:r w:rsidR="00912B90">
              <w:t>High Performance Response should:</w:t>
            </w:r>
          </w:p>
          <w:p w:rsidR="00912B90" w:rsidRDefault="00912B90" w:rsidP="00912B90">
            <w:pPr>
              <w:pStyle w:val="BulletedList"/>
            </w:pPr>
            <w:r>
              <w:t>Identify a central idea in Thoreau’s “Civil Disobedience” (e.g., ethics; the relationship between the individual and the state)</w:t>
            </w:r>
            <w:r w:rsidR="00DD53E6">
              <w:t>.</w:t>
            </w:r>
          </w:p>
          <w:p w:rsidR="00912B90" w:rsidRDefault="00912B90" w:rsidP="00912B90">
            <w:pPr>
              <w:pStyle w:val="BulletedList"/>
            </w:pPr>
            <w:r>
              <w:t xml:space="preserve">Analyze how this central idea </w:t>
            </w:r>
            <w:r w:rsidR="006805A1">
              <w:t>relates to</w:t>
            </w:r>
            <w:r>
              <w:t xml:space="preserve"> Thoreau’s opinion of “</w:t>
            </w:r>
            <w:r w:rsidR="007C3936">
              <w:t xml:space="preserve">a </w:t>
            </w:r>
            <w:r>
              <w:t>better government</w:t>
            </w:r>
            <w:r w:rsidR="005B4F86">
              <w:t>.</w:t>
            </w:r>
            <w:r>
              <w:t xml:space="preserve">” </w:t>
            </w:r>
          </w:p>
          <w:p w:rsidR="003E2F2C" w:rsidRPr="00790BCC" w:rsidRDefault="002139D3" w:rsidP="001A5758">
            <w:pPr>
              <w:pStyle w:val="IN"/>
            </w:pPr>
            <w:r>
              <w:t xml:space="preserve">See Model </w:t>
            </w:r>
            <w:r w:rsidR="00912B90">
              <w:t>Better Government Evidence Gathering Tool</w:t>
            </w:r>
            <w:r>
              <w:t xml:space="preserve"> </w:t>
            </w:r>
            <w:r w:rsidR="001A5758">
              <w:t>at the end of this lesson</w:t>
            </w:r>
            <w:r>
              <w:t xml:space="preserve">. </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C23017">
        <w:tc>
          <w:tcPr>
            <w:tcW w:w="9450" w:type="dxa"/>
            <w:shd w:val="clear" w:color="auto" w:fill="76923C"/>
          </w:tcPr>
          <w:p w:rsidR="00790BCC" w:rsidRPr="00E21CE6" w:rsidRDefault="00790BCC" w:rsidP="00D31F4D">
            <w:pPr>
              <w:pStyle w:val="TableHeaders"/>
            </w:pPr>
            <w:r w:rsidRPr="00E21CE6">
              <w:t>Vocabulary to provide directly (will not include extended instruction)</w:t>
            </w:r>
          </w:p>
        </w:tc>
      </w:tr>
      <w:tr w:rsidR="00790BCC" w:rsidRPr="00790BCC" w:rsidTr="00C23017">
        <w:tc>
          <w:tcPr>
            <w:tcW w:w="9450" w:type="dxa"/>
          </w:tcPr>
          <w:p w:rsidR="0096159E" w:rsidRPr="00790BCC" w:rsidRDefault="00D26A4D" w:rsidP="009B0386">
            <w:pPr>
              <w:pStyle w:val="BulletedList"/>
            </w:pPr>
            <w:r>
              <w:t>None.*</w:t>
            </w:r>
            <w:r w:rsidR="00BB32B0">
              <w:t xml:space="preserve"> </w:t>
            </w:r>
          </w:p>
        </w:tc>
      </w:tr>
      <w:tr w:rsidR="00790BCC" w:rsidRPr="00790BCC" w:rsidTr="00C23017">
        <w:tc>
          <w:tcPr>
            <w:tcW w:w="9450" w:type="dxa"/>
            <w:shd w:val="clear" w:color="auto" w:fill="76923C"/>
          </w:tcPr>
          <w:p w:rsidR="00790BCC" w:rsidRPr="00E21CE6" w:rsidRDefault="00790BCC" w:rsidP="00D31F4D">
            <w:pPr>
              <w:pStyle w:val="TableHeaders"/>
            </w:pPr>
            <w:r w:rsidRPr="00E21CE6">
              <w:t>Vocabulary to teach (may include direct word work and/or questions)</w:t>
            </w:r>
          </w:p>
        </w:tc>
      </w:tr>
      <w:tr w:rsidR="00790BCC" w:rsidRPr="00790BCC" w:rsidTr="00C23017">
        <w:tc>
          <w:tcPr>
            <w:tcW w:w="9450" w:type="dxa"/>
          </w:tcPr>
          <w:p w:rsidR="00D948BA" w:rsidRPr="00790BCC" w:rsidRDefault="00D26A4D" w:rsidP="00812B2B">
            <w:pPr>
              <w:pStyle w:val="BulletedList"/>
            </w:pPr>
            <w:r>
              <w:t>None.*</w:t>
            </w:r>
          </w:p>
        </w:tc>
      </w:tr>
      <w:tr w:rsidR="00790BCC" w:rsidRPr="00790BCC" w:rsidTr="00C23017">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E21CE6" w:rsidRDefault="00790BCC" w:rsidP="00D31F4D">
            <w:pPr>
              <w:pStyle w:val="TableHeaders"/>
            </w:pPr>
            <w:r w:rsidRPr="00E21CE6">
              <w:lastRenderedPageBreak/>
              <w:t>Additional vocabulary to support English Language Learners (to provide directly)</w:t>
            </w:r>
          </w:p>
        </w:tc>
      </w:tr>
      <w:tr w:rsidR="00790BCC" w:rsidRPr="00790BCC" w:rsidTr="00C23017">
        <w:tc>
          <w:tcPr>
            <w:tcW w:w="9450" w:type="dxa"/>
            <w:tcBorders>
              <w:top w:val="single" w:sz="4" w:space="0" w:color="auto"/>
              <w:left w:val="single" w:sz="4" w:space="0" w:color="auto"/>
              <w:bottom w:val="single" w:sz="4" w:space="0" w:color="auto"/>
              <w:right w:val="single" w:sz="4" w:space="0" w:color="auto"/>
            </w:tcBorders>
          </w:tcPr>
          <w:p w:rsidR="00790BCC" w:rsidRPr="00790BCC" w:rsidRDefault="00D26A4D" w:rsidP="00D948BA">
            <w:pPr>
              <w:pStyle w:val="BulletedList"/>
            </w:pPr>
            <w:r>
              <w:t>None.*</w:t>
            </w:r>
            <w:r w:rsidR="00E775C6">
              <w:t xml:space="preserve"> </w:t>
            </w:r>
          </w:p>
        </w:tc>
      </w:tr>
    </w:tbl>
    <w:p w:rsidR="00D26A4D" w:rsidRPr="00D26A4D" w:rsidRDefault="00D26A4D" w:rsidP="00D26A4D">
      <w:pPr>
        <w:rPr>
          <w:sz w:val="18"/>
        </w:rPr>
      </w:pPr>
      <w:r w:rsidRPr="00D174EB">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5B5363">
        <w:rPr>
          <w:sz w:val="18"/>
        </w:rPr>
        <w:t>e</w:t>
      </w:r>
      <w:r w:rsidRPr="00D174EB">
        <w:rPr>
          <w:sz w:val="18"/>
        </w:rPr>
        <w:t xml:space="preserve"> of this document</w:t>
      </w:r>
      <w:r w:rsidR="00380A5D">
        <w:rPr>
          <w:sz w:val="18"/>
        </w:rPr>
        <w:t>:</w:t>
      </w:r>
      <w:r w:rsidRPr="00D174EB">
        <w:rPr>
          <w:sz w:val="18"/>
        </w:rPr>
        <w:t xml:space="preserve"> </w:t>
      </w:r>
      <w:hyperlink r:id="rId7" w:history="1">
        <w:r w:rsidRPr="00B914C0">
          <w:rPr>
            <w:rStyle w:val="Hyperlink"/>
            <w:sz w:val="18"/>
            <w:szCs w:val="18"/>
          </w:rPr>
          <w:t>http://www.engageny.org/sites/default/files/resource/attachments/9-12_ela_prefatory_material.pdf</w:t>
        </w:r>
      </w:hyperlink>
      <w:r w:rsidRPr="001A5758">
        <w:rPr>
          <w:rStyle w:val="Hyperlink"/>
          <w:sz w:val="18"/>
          <w:szCs w:val="18"/>
        </w:rPr>
        <w:t xml:space="preserve"> </w:t>
      </w:r>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rsidTr="00C23017">
        <w:tc>
          <w:tcPr>
            <w:tcW w:w="7542" w:type="dxa"/>
            <w:tcBorders>
              <w:bottom w:val="single" w:sz="4" w:space="0" w:color="auto"/>
            </w:tcBorders>
            <w:shd w:val="clear" w:color="auto" w:fill="76923C"/>
          </w:tcPr>
          <w:p w:rsidR="00790BCC" w:rsidRPr="00E21CE6" w:rsidRDefault="00790BCC" w:rsidP="00D31F4D">
            <w:pPr>
              <w:pStyle w:val="TableHeaders"/>
            </w:pPr>
            <w:r w:rsidRPr="00E21CE6">
              <w:t>Student-Facing Agenda</w:t>
            </w:r>
          </w:p>
        </w:tc>
        <w:tc>
          <w:tcPr>
            <w:tcW w:w="1908" w:type="dxa"/>
            <w:tcBorders>
              <w:bottom w:val="single" w:sz="4" w:space="0" w:color="auto"/>
            </w:tcBorders>
            <w:shd w:val="clear" w:color="auto" w:fill="76923C"/>
          </w:tcPr>
          <w:p w:rsidR="00790BCC" w:rsidRPr="00E21CE6" w:rsidRDefault="00790BCC" w:rsidP="00D31F4D">
            <w:pPr>
              <w:pStyle w:val="TableHeaders"/>
            </w:pPr>
            <w:r w:rsidRPr="00E21CE6">
              <w:t>% of Lesson</w:t>
            </w:r>
          </w:p>
        </w:tc>
      </w:tr>
      <w:tr w:rsidR="00790BCC" w:rsidRPr="00790BCC" w:rsidTr="00C23017">
        <w:trPr>
          <w:trHeight w:val="1313"/>
        </w:trPr>
        <w:tc>
          <w:tcPr>
            <w:tcW w:w="7542"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3E2F2C" w:rsidP="008D6789">
            <w:pPr>
              <w:pStyle w:val="BulletedList"/>
            </w:pPr>
            <w:r>
              <w:t xml:space="preserve">Standards: </w:t>
            </w:r>
            <w:r w:rsidR="00542863">
              <w:t>RI.11-12.</w:t>
            </w:r>
            <w:r w:rsidR="006805A1">
              <w:t>2</w:t>
            </w:r>
            <w:r w:rsidR="00DC33DE">
              <w:t xml:space="preserve">, </w:t>
            </w:r>
            <w:r w:rsidR="007049E2">
              <w:t xml:space="preserve">RI.11-12.3, </w:t>
            </w:r>
            <w:r w:rsidR="00DC33DE">
              <w:t>SL.11-12.1.a,</w:t>
            </w:r>
            <w:r w:rsidR="007049E2">
              <w:t xml:space="preserve"> c</w:t>
            </w:r>
            <w:r w:rsidR="00E0495C">
              <w:t>, W.11-12.9.b</w:t>
            </w:r>
          </w:p>
          <w:p w:rsidR="00790BCC" w:rsidRPr="00790BCC" w:rsidRDefault="00790BCC" w:rsidP="005B5363">
            <w:pPr>
              <w:pStyle w:val="BulletedList"/>
            </w:pPr>
            <w:r w:rsidRPr="00790BCC">
              <w:t xml:space="preserve">Text: </w:t>
            </w:r>
            <w:r w:rsidR="00542863" w:rsidRPr="00090996">
              <w:t>“Civil Disobedience”</w:t>
            </w:r>
            <w:r w:rsidR="003E2F2C">
              <w:t xml:space="preserve"> by </w:t>
            </w:r>
            <w:r w:rsidR="00542863">
              <w:t>Henry</w:t>
            </w:r>
            <w:r w:rsidR="00C83CFC">
              <w:t xml:space="preserve"> David</w:t>
            </w:r>
            <w:r w:rsidR="00542863">
              <w:t xml:space="preserve"> Thoreau</w:t>
            </w:r>
            <w:r w:rsidR="002A0646">
              <w:t xml:space="preserve"> </w:t>
            </w:r>
          </w:p>
        </w:tc>
        <w:tc>
          <w:tcPr>
            <w:tcW w:w="1908"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C23017">
        <w:tc>
          <w:tcPr>
            <w:tcW w:w="7542"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Default="007A6A37" w:rsidP="00D31F4D">
            <w:pPr>
              <w:pStyle w:val="NumberedList"/>
            </w:pPr>
            <w:r>
              <w:t>Evidence Gathering Activity</w:t>
            </w:r>
          </w:p>
          <w:p w:rsidR="007A6A37" w:rsidRDefault="007A6A37" w:rsidP="00D31F4D">
            <w:pPr>
              <w:pStyle w:val="NumberedList"/>
            </w:pPr>
            <w:r>
              <w:t>Round Robin Discussion</w:t>
            </w:r>
          </w:p>
          <w:p w:rsidR="003E2F2C" w:rsidRPr="00790BCC" w:rsidRDefault="00C23017" w:rsidP="00D31F4D">
            <w:pPr>
              <w:pStyle w:val="NumberedList"/>
            </w:pPr>
            <w:r>
              <w:t>12.2.1</w:t>
            </w:r>
            <w:r w:rsidR="007A6A37">
              <w:t xml:space="preserve"> Lesson 15 Exit Slip</w:t>
            </w:r>
            <w:r w:rsidR="00D170AF">
              <w:t xml:space="preserve"> and Assessment</w:t>
            </w:r>
          </w:p>
          <w:p w:rsidR="00790BCC" w:rsidRPr="00790BCC" w:rsidRDefault="00790BCC" w:rsidP="00D31F4D">
            <w:pPr>
              <w:pStyle w:val="NumberedList"/>
            </w:pPr>
            <w:r w:rsidRPr="00790BCC">
              <w:t>Closing</w:t>
            </w:r>
          </w:p>
        </w:tc>
        <w:tc>
          <w:tcPr>
            <w:tcW w:w="1908"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3E2F2C" w:rsidRDefault="003576E9" w:rsidP="00D31F4D">
            <w:pPr>
              <w:pStyle w:val="NumberedList"/>
              <w:numPr>
                <w:ilvl w:val="0"/>
                <w:numId w:val="13"/>
              </w:numPr>
            </w:pPr>
            <w:r>
              <w:t>45</w:t>
            </w:r>
            <w:r w:rsidR="00691712">
              <w:t>%</w:t>
            </w:r>
          </w:p>
          <w:p w:rsidR="00790BCC" w:rsidRDefault="003576E9" w:rsidP="00D31F4D">
            <w:pPr>
              <w:pStyle w:val="NumberedList"/>
              <w:numPr>
                <w:ilvl w:val="0"/>
                <w:numId w:val="13"/>
              </w:numPr>
            </w:pPr>
            <w:r>
              <w:t>30</w:t>
            </w:r>
            <w:r w:rsidR="007A6A37">
              <w:t>%</w:t>
            </w:r>
          </w:p>
          <w:p w:rsidR="007A6A37" w:rsidRPr="00790BCC" w:rsidRDefault="003576E9" w:rsidP="00D31F4D">
            <w:pPr>
              <w:pStyle w:val="NumberedList"/>
              <w:numPr>
                <w:ilvl w:val="0"/>
                <w:numId w:val="13"/>
              </w:numPr>
            </w:pPr>
            <w:r>
              <w:t>5</w:t>
            </w:r>
            <w:r w:rsidR="007A6A37">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31633F" w:rsidRPr="0031633F" w:rsidRDefault="0031633F" w:rsidP="0031633F">
      <w:pPr>
        <w:pStyle w:val="BulletedList"/>
      </w:pPr>
      <w:r w:rsidRPr="0031633F">
        <w:rPr>
          <w:shd w:val="clear" w:color="auto" w:fill="FFFFFF"/>
        </w:rPr>
        <w:t xml:space="preserve">Student copies of their Central Ideas Tracking Tools from </w:t>
      </w:r>
      <w:r w:rsidR="00D170AF">
        <w:rPr>
          <w:shd w:val="clear" w:color="auto" w:fill="FFFFFF"/>
        </w:rPr>
        <w:t>12.2.1</w:t>
      </w:r>
    </w:p>
    <w:p w:rsidR="003E2F2C" w:rsidRDefault="007A6A37" w:rsidP="003E2F2C">
      <w:pPr>
        <w:pStyle w:val="BulletedList"/>
      </w:pPr>
      <w:r>
        <w:t>Copies of the Better Government Evidence Gathering Tool for each student</w:t>
      </w:r>
    </w:p>
    <w:p w:rsidR="00D07534" w:rsidRDefault="00D07534" w:rsidP="00D07534">
      <w:pPr>
        <w:pStyle w:val="BulletedList"/>
      </w:pPr>
      <w:r>
        <w:t>Copies of the 12.2</w:t>
      </w:r>
      <w:r w:rsidR="00577ECD">
        <w:t>.1</w:t>
      </w:r>
      <w:r>
        <w:t xml:space="preserve"> Speaking and Listening Rubric and Checklist for standard SL.11-12.1.a</w:t>
      </w:r>
      <w:r w:rsidR="001F1F31">
        <w:t>,</w:t>
      </w:r>
      <w:r>
        <w:t xml:space="preserve"> c for each student</w:t>
      </w:r>
    </w:p>
    <w:p w:rsidR="00AF5F36" w:rsidRDefault="007A6A37" w:rsidP="00282F7B">
      <w:pPr>
        <w:pStyle w:val="BulletedList"/>
      </w:pPr>
      <w:r>
        <w:t>Copies of the 12.</w:t>
      </w:r>
      <w:r w:rsidR="00345AF6">
        <w:t>2</w:t>
      </w:r>
      <w:r w:rsidR="00A47425">
        <w:t>.</w:t>
      </w:r>
      <w:r w:rsidR="00345AF6">
        <w:t>1</w:t>
      </w:r>
      <w:r w:rsidR="00A47425">
        <w:t xml:space="preserve"> </w:t>
      </w:r>
      <w:r>
        <w:t>Lesson 15 Exit Slip for each student</w:t>
      </w:r>
    </w:p>
    <w:p w:rsidR="00790BCC" w:rsidRDefault="00790BCC" w:rsidP="00282F7B">
      <w:pPr>
        <w:pStyle w:val="Heading1"/>
        <w:keepLines w:val="0"/>
        <w:pageBreakBefore/>
        <w:widowControl w:val="0"/>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C23017">
        <w:tc>
          <w:tcPr>
            <w:tcW w:w="9450" w:type="dxa"/>
            <w:gridSpan w:val="2"/>
            <w:shd w:val="clear" w:color="auto" w:fill="76923C"/>
          </w:tcPr>
          <w:p w:rsidR="00D31F4D" w:rsidRPr="00E21CE6" w:rsidRDefault="00D31F4D" w:rsidP="009450B7">
            <w:pPr>
              <w:pStyle w:val="TableHeaders"/>
              <w:rPr>
                <w:sz w:val="20"/>
                <w:szCs w:val="20"/>
              </w:rPr>
            </w:pPr>
            <w:r w:rsidRPr="00E21CE6">
              <w:rPr>
                <w:szCs w:val="20"/>
              </w:rPr>
              <w:t>How to Use the Learning Sequence</w:t>
            </w:r>
          </w:p>
        </w:tc>
      </w:tr>
      <w:tr w:rsidR="00D31F4D" w:rsidRPr="00D31F4D" w:rsidTr="00C23017">
        <w:tc>
          <w:tcPr>
            <w:tcW w:w="894" w:type="dxa"/>
            <w:shd w:val="clear" w:color="auto" w:fill="76923C"/>
          </w:tcPr>
          <w:p w:rsidR="00D31F4D" w:rsidRPr="00E21CE6" w:rsidRDefault="00D31F4D" w:rsidP="00D31F4D">
            <w:pPr>
              <w:pStyle w:val="TableHeaders"/>
              <w:rPr>
                <w:szCs w:val="20"/>
              </w:rPr>
            </w:pPr>
            <w:r w:rsidRPr="00E21CE6">
              <w:rPr>
                <w:szCs w:val="20"/>
              </w:rPr>
              <w:t>Symbol</w:t>
            </w:r>
          </w:p>
        </w:tc>
        <w:tc>
          <w:tcPr>
            <w:tcW w:w="8556" w:type="dxa"/>
            <w:shd w:val="clear" w:color="auto" w:fill="76923C"/>
          </w:tcPr>
          <w:p w:rsidR="00D31F4D" w:rsidRPr="00E21CE6" w:rsidRDefault="00D31F4D" w:rsidP="00D31F4D">
            <w:pPr>
              <w:pStyle w:val="TableHeaders"/>
              <w:rPr>
                <w:szCs w:val="20"/>
              </w:rPr>
            </w:pPr>
            <w:r w:rsidRPr="00E21CE6">
              <w:rPr>
                <w:szCs w:val="20"/>
              </w:rPr>
              <w:t>Type of Text &amp; Interpretation of the Symbol</w:t>
            </w:r>
          </w:p>
        </w:tc>
      </w:tr>
      <w:tr w:rsidR="00D31F4D" w:rsidRPr="00D31F4D" w:rsidTr="00C23017">
        <w:tc>
          <w:tcPr>
            <w:tcW w:w="894" w:type="dxa"/>
            <w:shd w:val="clear" w:color="auto" w:fill="auto"/>
          </w:tcPr>
          <w:p w:rsidR="00D31F4D" w:rsidRPr="00E21CE6" w:rsidRDefault="00D31F4D" w:rsidP="00E21CE6">
            <w:pPr>
              <w:spacing w:before="20" w:after="20" w:line="240" w:lineRule="auto"/>
              <w:jc w:val="center"/>
              <w:rPr>
                <w:b/>
                <w:color w:val="4F81BD"/>
                <w:sz w:val="20"/>
                <w:szCs w:val="20"/>
              </w:rPr>
            </w:pPr>
            <w:r w:rsidRPr="00E21CE6">
              <w:rPr>
                <w:b/>
                <w:color w:val="4F81BD"/>
                <w:sz w:val="20"/>
                <w:szCs w:val="20"/>
              </w:rPr>
              <w:t>10%</w:t>
            </w:r>
          </w:p>
        </w:tc>
        <w:tc>
          <w:tcPr>
            <w:tcW w:w="8556" w:type="dxa"/>
            <w:shd w:val="clear" w:color="auto" w:fill="auto"/>
          </w:tcPr>
          <w:p w:rsidR="00D31F4D" w:rsidRPr="00E21CE6" w:rsidRDefault="00D31F4D" w:rsidP="00E21CE6">
            <w:pPr>
              <w:spacing w:before="20" w:after="20" w:line="240" w:lineRule="auto"/>
              <w:rPr>
                <w:b/>
                <w:color w:val="4F81BD"/>
                <w:sz w:val="20"/>
                <w:szCs w:val="20"/>
              </w:rPr>
            </w:pPr>
            <w:r w:rsidRPr="00E21CE6">
              <w:rPr>
                <w:b/>
                <w:color w:val="4F81BD"/>
                <w:sz w:val="20"/>
                <w:szCs w:val="20"/>
              </w:rPr>
              <w:t>Percentage indicates the percentage of lesson time each activity should take.</w:t>
            </w:r>
          </w:p>
        </w:tc>
      </w:tr>
      <w:tr w:rsidR="00D31F4D" w:rsidRPr="00D31F4D" w:rsidTr="00C23017">
        <w:tc>
          <w:tcPr>
            <w:tcW w:w="894" w:type="dxa"/>
            <w:vMerge w:val="restart"/>
            <w:shd w:val="clear" w:color="auto" w:fill="auto"/>
            <w:vAlign w:val="center"/>
          </w:tcPr>
          <w:p w:rsidR="00D31F4D" w:rsidRPr="00E21CE6" w:rsidRDefault="00D31F4D" w:rsidP="00E21CE6">
            <w:pPr>
              <w:spacing w:before="20" w:after="20" w:line="240" w:lineRule="auto"/>
              <w:jc w:val="center"/>
              <w:rPr>
                <w:sz w:val="18"/>
                <w:szCs w:val="20"/>
              </w:rPr>
            </w:pPr>
            <w:r w:rsidRPr="00E21CE6">
              <w:rPr>
                <w:sz w:val="18"/>
                <w:szCs w:val="20"/>
              </w:rPr>
              <w:t>no symbol</w:t>
            </w:r>
          </w:p>
        </w:tc>
        <w:tc>
          <w:tcPr>
            <w:tcW w:w="8556" w:type="dxa"/>
            <w:shd w:val="clear" w:color="auto" w:fill="auto"/>
          </w:tcPr>
          <w:p w:rsidR="00D31F4D" w:rsidRPr="00E21CE6" w:rsidRDefault="00D31F4D" w:rsidP="00E21CE6">
            <w:pPr>
              <w:spacing w:before="20" w:after="20" w:line="240" w:lineRule="auto"/>
              <w:rPr>
                <w:sz w:val="20"/>
                <w:szCs w:val="20"/>
              </w:rPr>
            </w:pPr>
            <w:r w:rsidRPr="00E21CE6">
              <w:rPr>
                <w:sz w:val="20"/>
                <w:szCs w:val="20"/>
              </w:rPr>
              <w:t>Plain text indicates teacher action.</w:t>
            </w:r>
          </w:p>
        </w:tc>
      </w:tr>
      <w:tr w:rsidR="00D31F4D" w:rsidRPr="00D31F4D" w:rsidTr="00C23017">
        <w:tc>
          <w:tcPr>
            <w:tcW w:w="894" w:type="dxa"/>
            <w:vMerge/>
            <w:shd w:val="clear" w:color="auto" w:fill="auto"/>
          </w:tcPr>
          <w:p w:rsidR="00D31F4D" w:rsidRPr="00E21CE6" w:rsidRDefault="00D31F4D" w:rsidP="00E21CE6">
            <w:pPr>
              <w:spacing w:before="20" w:after="20" w:line="240" w:lineRule="auto"/>
              <w:jc w:val="center"/>
              <w:rPr>
                <w:b/>
                <w:color w:val="000000"/>
                <w:sz w:val="20"/>
                <w:szCs w:val="20"/>
              </w:rPr>
            </w:pPr>
          </w:p>
        </w:tc>
        <w:tc>
          <w:tcPr>
            <w:tcW w:w="8556" w:type="dxa"/>
            <w:shd w:val="clear" w:color="auto" w:fill="auto"/>
          </w:tcPr>
          <w:p w:rsidR="00D31F4D" w:rsidRPr="00E21CE6" w:rsidRDefault="00D31F4D" w:rsidP="00E21CE6">
            <w:pPr>
              <w:spacing w:before="20" w:after="20" w:line="240" w:lineRule="auto"/>
              <w:rPr>
                <w:color w:val="4F81BD"/>
                <w:sz w:val="20"/>
                <w:szCs w:val="20"/>
              </w:rPr>
            </w:pPr>
            <w:r w:rsidRPr="00E21CE6">
              <w:rPr>
                <w:b/>
                <w:sz w:val="20"/>
                <w:szCs w:val="20"/>
              </w:rPr>
              <w:t>Bold text indicates questions for the teacher to ask students.</w:t>
            </w:r>
          </w:p>
        </w:tc>
      </w:tr>
      <w:tr w:rsidR="00D31F4D" w:rsidRPr="00D31F4D" w:rsidTr="00C23017">
        <w:tc>
          <w:tcPr>
            <w:tcW w:w="894" w:type="dxa"/>
            <w:vMerge/>
            <w:shd w:val="clear" w:color="auto" w:fill="auto"/>
          </w:tcPr>
          <w:p w:rsidR="00D31F4D" w:rsidRPr="00E21CE6" w:rsidRDefault="00D31F4D" w:rsidP="00E21CE6">
            <w:pPr>
              <w:spacing w:before="20" w:after="20" w:line="240" w:lineRule="auto"/>
              <w:jc w:val="center"/>
              <w:rPr>
                <w:b/>
                <w:color w:val="000000"/>
                <w:sz w:val="20"/>
                <w:szCs w:val="20"/>
              </w:rPr>
            </w:pPr>
          </w:p>
        </w:tc>
        <w:tc>
          <w:tcPr>
            <w:tcW w:w="8556" w:type="dxa"/>
            <w:shd w:val="clear" w:color="auto" w:fill="auto"/>
          </w:tcPr>
          <w:p w:rsidR="00D31F4D" w:rsidRPr="00E21CE6" w:rsidRDefault="00D31F4D" w:rsidP="00E21CE6">
            <w:pPr>
              <w:spacing w:before="20" w:after="20" w:line="240" w:lineRule="auto"/>
              <w:rPr>
                <w:i/>
                <w:sz w:val="20"/>
                <w:szCs w:val="20"/>
              </w:rPr>
            </w:pPr>
            <w:r w:rsidRPr="00E21CE6">
              <w:rPr>
                <w:i/>
                <w:sz w:val="20"/>
                <w:szCs w:val="20"/>
              </w:rPr>
              <w:t>Italicized text indicates a vocabulary word.</w:t>
            </w:r>
          </w:p>
        </w:tc>
      </w:tr>
      <w:tr w:rsidR="00D31F4D" w:rsidRPr="00D31F4D" w:rsidTr="00C23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E21CE6" w:rsidRDefault="00D31F4D" w:rsidP="00E21CE6">
            <w:pPr>
              <w:spacing w:before="40" w:after="0" w:line="240" w:lineRule="auto"/>
              <w:jc w:val="center"/>
              <w:rPr>
                <w:sz w:val="20"/>
                <w:szCs w:val="20"/>
              </w:rPr>
            </w:pPr>
            <w:r w:rsidRPr="00E21CE6">
              <w:rPr>
                <w:sz w:val="20"/>
                <w:szCs w:val="20"/>
              </w:rPr>
              <w:sym w:font="Webdings" w:char="F034"/>
            </w:r>
          </w:p>
        </w:tc>
        <w:tc>
          <w:tcPr>
            <w:tcW w:w="8556" w:type="dxa"/>
            <w:shd w:val="clear" w:color="auto" w:fill="auto"/>
          </w:tcPr>
          <w:p w:rsidR="00D31F4D" w:rsidRPr="00E21CE6" w:rsidRDefault="00D31F4D" w:rsidP="00E21CE6">
            <w:pPr>
              <w:spacing w:before="20" w:after="20" w:line="240" w:lineRule="auto"/>
              <w:rPr>
                <w:sz w:val="20"/>
                <w:szCs w:val="20"/>
              </w:rPr>
            </w:pPr>
            <w:r w:rsidRPr="00E21CE6">
              <w:rPr>
                <w:sz w:val="20"/>
                <w:szCs w:val="20"/>
              </w:rPr>
              <w:t>Indicates student action(s).</w:t>
            </w:r>
          </w:p>
        </w:tc>
      </w:tr>
      <w:tr w:rsidR="00D31F4D" w:rsidRPr="00D31F4D" w:rsidTr="00C23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E21CE6" w:rsidRDefault="00D31F4D" w:rsidP="00E21CE6">
            <w:pPr>
              <w:spacing w:before="80" w:after="0" w:line="240" w:lineRule="auto"/>
              <w:jc w:val="center"/>
              <w:rPr>
                <w:sz w:val="20"/>
                <w:szCs w:val="20"/>
              </w:rPr>
            </w:pPr>
            <w:r w:rsidRPr="00E21CE6">
              <w:rPr>
                <w:sz w:val="20"/>
                <w:szCs w:val="20"/>
              </w:rPr>
              <w:sym w:font="Webdings" w:char="F028"/>
            </w:r>
          </w:p>
        </w:tc>
        <w:tc>
          <w:tcPr>
            <w:tcW w:w="8556" w:type="dxa"/>
            <w:shd w:val="clear" w:color="auto" w:fill="auto"/>
          </w:tcPr>
          <w:p w:rsidR="00D31F4D" w:rsidRPr="00E21CE6" w:rsidRDefault="00D31F4D" w:rsidP="00E21CE6">
            <w:pPr>
              <w:spacing w:before="20" w:after="20" w:line="240" w:lineRule="auto"/>
              <w:rPr>
                <w:sz w:val="20"/>
                <w:szCs w:val="20"/>
              </w:rPr>
            </w:pPr>
            <w:r w:rsidRPr="00E21CE6">
              <w:rPr>
                <w:sz w:val="20"/>
                <w:szCs w:val="20"/>
              </w:rPr>
              <w:t>Indicates possible student response(s) to teacher questions.</w:t>
            </w:r>
          </w:p>
        </w:tc>
      </w:tr>
      <w:tr w:rsidR="00D31F4D" w:rsidRPr="00D31F4D" w:rsidTr="00C23017">
        <w:tc>
          <w:tcPr>
            <w:tcW w:w="894" w:type="dxa"/>
            <w:shd w:val="clear" w:color="auto" w:fill="auto"/>
            <w:vAlign w:val="bottom"/>
          </w:tcPr>
          <w:p w:rsidR="00D31F4D" w:rsidRPr="00E21CE6" w:rsidRDefault="00D31F4D" w:rsidP="00E21CE6">
            <w:pPr>
              <w:spacing w:after="0" w:line="240" w:lineRule="auto"/>
              <w:jc w:val="center"/>
              <w:rPr>
                <w:color w:val="4F81BD"/>
                <w:sz w:val="20"/>
                <w:szCs w:val="20"/>
              </w:rPr>
            </w:pPr>
            <w:r w:rsidRPr="00E21CE6">
              <w:rPr>
                <w:color w:val="4F81BD"/>
                <w:sz w:val="20"/>
                <w:szCs w:val="20"/>
              </w:rPr>
              <w:sym w:font="Webdings" w:char="F069"/>
            </w:r>
          </w:p>
        </w:tc>
        <w:tc>
          <w:tcPr>
            <w:tcW w:w="8556" w:type="dxa"/>
            <w:shd w:val="clear" w:color="auto" w:fill="auto"/>
          </w:tcPr>
          <w:p w:rsidR="00D31F4D" w:rsidRPr="00E21CE6" w:rsidRDefault="00D31F4D" w:rsidP="00E21CE6">
            <w:pPr>
              <w:spacing w:before="20" w:after="20" w:line="240" w:lineRule="auto"/>
              <w:rPr>
                <w:color w:val="4F81BD"/>
                <w:sz w:val="20"/>
                <w:szCs w:val="20"/>
              </w:rPr>
            </w:pPr>
            <w:r w:rsidRPr="00E21CE6">
              <w:rPr>
                <w:color w:val="4F81BD"/>
                <w:sz w:val="20"/>
                <w:szCs w:val="20"/>
              </w:rPr>
              <w:t>Indicates instructional notes for the teacher.</w:t>
            </w:r>
          </w:p>
        </w:tc>
      </w:tr>
    </w:tbl>
    <w:p w:rsidR="00790BCC" w:rsidRPr="00790BCC" w:rsidRDefault="00790BCC" w:rsidP="00581EE3">
      <w:pPr>
        <w:pStyle w:val="LearningSequenceHeader"/>
      </w:pPr>
      <w:r w:rsidRPr="00790BCC">
        <w:t>Activity 1: Introduction of Lesson Agenda</w:t>
      </w:r>
      <w:r w:rsidRPr="00790BCC">
        <w:tab/>
        <w:t>5%</w:t>
      </w:r>
    </w:p>
    <w:p w:rsidR="0089321B" w:rsidRDefault="003108B7" w:rsidP="0089321B">
      <w:pPr>
        <w:pStyle w:val="TA"/>
      </w:pPr>
      <w:r w:rsidRPr="006705A3">
        <w:t>Begin by reviewing the agenda and the</w:t>
      </w:r>
      <w:r w:rsidR="00916298">
        <w:t xml:space="preserve"> assessed standard</w:t>
      </w:r>
      <w:r w:rsidR="007D3676">
        <w:t>s</w:t>
      </w:r>
      <w:r w:rsidRPr="006705A3">
        <w:t xml:space="preserve"> for this lesson:</w:t>
      </w:r>
      <w:r w:rsidR="00C83CFC">
        <w:t xml:space="preserve"> RI.11-12.</w:t>
      </w:r>
      <w:r w:rsidR="006805A1">
        <w:t>2</w:t>
      </w:r>
      <w:r w:rsidR="00C83CFC">
        <w:t xml:space="preserve">, </w:t>
      </w:r>
      <w:r w:rsidR="007049E2">
        <w:t xml:space="preserve">RI.11-12.3, </w:t>
      </w:r>
      <w:r w:rsidR="005E31ED">
        <w:t xml:space="preserve">and </w:t>
      </w:r>
      <w:r w:rsidR="00C83CFC">
        <w:t>SL.11-12.1.a</w:t>
      </w:r>
      <w:r w:rsidR="001F1F31">
        <w:t>,</w:t>
      </w:r>
      <w:r w:rsidR="00C83CFC">
        <w:t xml:space="preserve"> </w:t>
      </w:r>
      <w:r w:rsidR="007049E2">
        <w:t>c</w:t>
      </w:r>
      <w:r w:rsidR="001A1C7A">
        <w:t>.</w:t>
      </w:r>
      <w:r>
        <w:t xml:space="preserve"> In this lesson, students </w:t>
      </w:r>
      <w:r w:rsidR="002E6180">
        <w:t xml:space="preserve">gather evidence about </w:t>
      </w:r>
      <w:r w:rsidR="009E4404">
        <w:t xml:space="preserve">how a central idea relates to </w:t>
      </w:r>
      <w:r w:rsidR="002E6180">
        <w:t xml:space="preserve">Thoreau’s </w:t>
      </w:r>
      <w:r w:rsidR="009E4404">
        <w:t>idea</w:t>
      </w:r>
      <w:r w:rsidR="002E6180">
        <w:t xml:space="preserve"> of “</w:t>
      </w:r>
      <w:r w:rsidR="007C3936">
        <w:t xml:space="preserve">a </w:t>
      </w:r>
      <w:r w:rsidR="00D5131E">
        <w:t>better government</w:t>
      </w:r>
      <w:r w:rsidR="002E6180">
        <w:t>”</w:t>
      </w:r>
      <w:r w:rsidR="00C83CFC">
        <w:t xml:space="preserve"> (par</w:t>
      </w:r>
      <w:r w:rsidR="00991A16">
        <w:t>t</w:t>
      </w:r>
      <w:r w:rsidR="00C83CFC">
        <w:t xml:space="preserve"> 1, par. 3)</w:t>
      </w:r>
      <w:r w:rsidR="00D5131E">
        <w:t xml:space="preserve"> in preparation for the End-of-Unit Assessment.</w:t>
      </w:r>
      <w:r w:rsidR="00DB09F6">
        <w:t xml:space="preserve"> </w:t>
      </w:r>
      <w:r w:rsidR="002E6180">
        <w:t>Students engage in an assessed Round Robin discussion and complete an Exit Slip to close the lesson.</w:t>
      </w:r>
      <w:r w:rsidR="00046A18">
        <w:t xml:space="preserve"> </w:t>
      </w:r>
    </w:p>
    <w:p w:rsidR="00FD4EFA" w:rsidRPr="001735F1" w:rsidRDefault="003108B7" w:rsidP="0089321B">
      <w:pPr>
        <w:pStyle w:val="SA"/>
      </w:pPr>
      <w:r>
        <w:t>Students look at the agenda.</w:t>
      </w:r>
    </w:p>
    <w:p w:rsidR="00D5131E" w:rsidRDefault="00790BCC" w:rsidP="007017EB">
      <w:pPr>
        <w:pStyle w:val="LearningSequenceHeader"/>
      </w:pPr>
      <w:r w:rsidRPr="00790BCC">
        <w:t>Activity 2: Homework Accountability</w:t>
      </w:r>
      <w:r w:rsidRPr="00790BCC">
        <w:tab/>
        <w:t>10%</w:t>
      </w:r>
    </w:p>
    <w:p w:rsidR="005E31ED" w:rsidRDefault="005E31ED" w:rsidP="005E31ED">
      <w:pPr>
        <w:pStyle w:val="TA"/>
      </w:pPr>
      <w:r>
        <w:t xml:space="preserve">Instruct students to take out their responses to the first part of the previous lesson’s homework assignment. (Add at least two ideas to your </w:t>
      </w:r>
      <w:r w:rsidRPr="001A5758">
        <w:t>Central Ideas Tracking Tool</w:t>
      </w:r>
      <w:r>
        <w:t>.) Instruct students to Turn-and-Talk in pairs about their responses to the homework assignment.</w:t>
      </w:r>
    </w:p>
    <w:p w:rsidR="005E31ED" w:rsidRDefault="005E31ED" w:rsidP="005E31ED">
      <w:pPr>
        <w:pStyle w:val="SR"/>
      </w:pPr>
      <w:r>
        <w:t>See Model Central Ideas Tracking Tool at the end of this lesson.</w:t>
      </w:r>
    </w:p>
    <w:p w:rsidR="005E31ED" w:rsidRPr="009D0C40" w:rsidRDefault="005E31ED" w:rsidP="005E31ED">
      <w:pPr>
        <w:pStyle w:val="TA"/>
      </w:pPr>
      <w:r>
        <w:t xml:space="preserve">Lead a brief whole-class discussion of student responses. </w:t>
      </w:r>
      <w:r w:rsidRPr="00E21CE6">
        <w:rPr>
          <w:rFonts w:eastAsia="MS Mincho"/>
          <w:lang w:eastAsia="ja-JP"/>
        </w:rPr>
        <w:t xml:space="preserve"> </w:t>
      </w:r>
    </w:p>
    <w:p w:rsidR="005E31ED" w:rsidRDefault="005E31ED" w:rsidP="00577ECD">
      <w:pPr>
        <w:pStyle w:val="BR"/>
      </w:pPr>
    </w:p>
    <w:p w:rsidR="00934072" w:rsidRDefault="00934072" w:rsidP="00FA2D02">
      <w:pPr>
        <w:pStyle w:val="TA"/>
      </w:pPr>
      <w:r>
        <w:t xml:space="preserve">Instruct students to </w:t>
      </w:r>
      <w:r w:rsidR="001A5758">
        <w:t xml:space="preserve">take out their responses to the </w:t>
      </w:r>
      <w:r w:rsidR="005E31ED">
        <w:t xml:space="preserve">second part of the </w:t>
      </w:r>
      <w:r w:rsidR="001A5758">
        <w:t xml:space="preserve">previous lesson’s homework assignment. </w:t>
      </w:r>
      <w:r>
        <w:t xml:space="preserve">(Reread part </w:t>
      </w:r>
      <w:r w:rsidR="00383F16">
        <w:t>3</w:t>
      </w:r>
      <w:r>
        <w:t>, paragraphs 17</w:t>
      </w:r>
      <w:r w:rsidR="001A5758">
        <w:t>–</w:t>
      </w:r>
      <w:r>
        <w:t>19 of “Civil Disobedience” and answer the following question: Which sentence of paragraphs 17</w:t>
      </w:r>
      <w:r w:rsidR="001A5758">
        <w:t>–</w:t>
      </w:r>
      <w:r>
        <w:t>19 is most critical to your understanding of “Civil Disobedience” and why?)</w:t>
      </w:r>
      <w:r w:rsidR="001A5758">
        <w:t xml:space="preserve"> Instruct students to Turn-and-Talk in pairs about their responses.</w:t>
      </w:r>
    </w:p>
    <w:p w:rsidR="00934072" w:rsidRDefault="00934072" w:rsidP="00A15458">
      <w:pPr>
        <w:pStyle w:val="SR"/>
      </w:pPr>
      <w:r>
        <w:t>Student responses may include:</w:t>
      </w:r>
    </w:p>
    <w:p w:rsidR="007525A3" w:rsidRDefault="007525A3" w:rsidP="00A15458">
      <w:pPr>
        <w:pStyle w:val="SASRBullet"/>
      </w:pPr>
      <w:r>
        <w:lastRenderedPageBreak/>
        <w:t>The sentence “The progress from an absolute to a limited monarchy, from a limited monarchy to a democracy, is a progress toward a true respect for the individual” (part 3, par. 19) is critical to understanding “Civil Disobedience</w:t>
      </w:r>
      <w:r w:rsidR="005E31ED">
        <w:t>.</w:t>
      </w:r>
      <w:r>
        <w:t xml:space="preserve">” </w:t>
      </w:r>
      <w:r w:rsidR="005E31ED">
        <w:t>T</w:t>
      </w:r>
      <w:r w:rsidR="002D36F1">
        <w:t xml:space="preserve">his sentence demonstrates that </w:t>
      </w:r>
      <w:r>
        <w:t xml:space="preserve">Thoreau </w:t>
      </w:r>
      <w:r w:rsidR="002D36F1">
        <w:t>understands history as a linear progression towards a more enlightened state, and sees a direct correlation between this political progress</w:t>
      </w:r>
      <w:r>
        <w:t xml:space="preserve"> and</w:t>
      </w:r>
      <w:r w:rsidR="002D36F1">
        <w:t xml:space="preserve"> increased</w:t>
      </w:r>
      <w:r>
        <w:t xml:space="preserve"> respect for the individual.</w:t>
      </w:r>
    </w:p>
    <w:p w:rsidR="00934072" w:rsidRDefault="007525A3" w:rsidP="00A15458">
      <w:pPr>
        <w:pStyle w:val="SASRBullet"/>
      </w:pPr>
      <w:r>
        <w:t>The sentence “There will never be a really free and enlightened State until the State comes to recognize the individual as a higher and independent power, from which all its own power and authority are derive</w:t>
      </w:r>
      <w:r w:rsidR="006D082E">
        <w:t>d</w:t>
      </w:r>
      <w:r>
        <w:t xml:space="preserve">, and treats him accordingly” (part 3, par. 19) is critical to understanding “Civil Disobedience” because it explains why </w:t>
      </w:r>
      <w:r w:rsidR="002D36F1">
        <w:t xml:space="preserve">Thoreau believes that </w:t>
      </w:r>
      <w:r>
        <w:t xml:space="preserve">political progress must go hand in had with respect for the individual. The state has power </w:t>
      </w:r>
      <w:r w:rsidR="001A5758">
        <w:t xml:space="preserve">only </w:t>
      </w:r>
      <w:r>
        <w:t>because individuals grant the state power, so a truly free state must re</w:t>
      </w:r>
      <w:r w:rsidR="002D36F1">
        <w:t>cognize this</w:t>
      </w:r>
      <w:r>
        <w:t xml:space="preserve"> dependence and treat the individual with respect. </w:t>
      </w:r>
    </w:p>
    <w:p w:rsidR="007525A3" w:rsidRDefault="007525A3">
      <w:pPr>
        <w:pStyle w:val="TA"/>
      </w:pPr>
      <w:r>
        <w:t>Lead a brief whole-class discussion of student responses.</w:t>
      </w:r>
    </w:p>
    <w:p w:rsidR="00790BCC" w:rsidRPr="00790BCC" w:rsidRDefault="00EA30D0" w:rsidP="007017EB">
      <w:pPr>
        <w:pStyle w:val="LearningSequenceHeader"/>
      </w:pPr>
      <w:r>
        <w:t>Activity 3</w:t>
      </w:r>
      <w:r w:rsidR="00771333">
        <w:t xml:space="preserve">: </w:t>
      </w:r>
      <w:r w:rsidR="003576E9">
        <w:t>Evidence Gathering Activity</w:t>
      </w:r>
      <w:r w:rsidR="003576E9">
        <w:tab/>
        <w:t>45</w:t>
      </w:r>
      <w:r w:rsidR="00790BCC" w:rsidRPr="00790BCC">
        <w:t>%</w:t>
      </w:r>
    </w:p>
    <w:p w:rsidR="00700E3F" w:rsidRDefault="00700E3F" w:rsidP="00755D08">
      <w:pPr>
        <w:pStyle w:val="TA"/>
        <w:tabs>
          <w:tab w:val="left" w:pos="5760"/>
          <w:tab w:val="left" w:pos="5850"/>
        </w:tabs>
      </w:pPr>
      <w:r>
        <w:t xml:space="preserve">Introduce the </w:t>
      </w:r>
      <w:r w:rsidR="00380A5D">
        <w:t xml:space="preserve">12.2.1 </w:t>
      </w:r>
      <w:r>
        <w:t xml:space="preserve">End-of-Unit Assessment prompt: </w:t>
      </w:r>
    </w:p>
    <w:p w:rsidR="00700E3F" w:rsidRDefault="00700E3F" w:rsidP="00700E3F">
      <w:pPr>
        <w:pStyle w:val="Q"/>
      </w:pPr>
      <w:r>
        <w:t>What does Thoreau mean by “</w:t>
      </w:r>
      <w:r w:rsidR="007C3936">
        <w:t xml:space="preserve">a </w:t>
      </w:r>
      <w:r>
        <w:t xml:space="preserve">better government”? </w:t>
      </w:r>
    </w:p>
    <w:p w:rsidR="00700E3F" w:rsidRDefault="00700E3F" w:rsidP="00700E3F">
      <w:pPr>
        <w:pStyle w:val="IN"/>
      </w:pPr>
      <w:r>
        <w:t>Display the prompt for students to see, or provide the prompt in hard copy.</w:t>
      </w:r>
    </w:p>
    <w:p w:rsidR="00700E3F" w:rsidRDefault="00700E3F" w:rsidP="00700E3F">
      <w:pPr>
        <w:pStyle w:val="SA"/>
      </w:pPr>
      <w:r>
        <w:t>Students independently read the End-of-Unit Assessment prompt.</w:t>
      </w:r>
    </w:p>
    <w:p w:rsidR="001A1C7A" w:rsidRDefault="00700E3F" w:rsidP="00700E3F">
      <w:pPr>
        <w:pStyle w:val="TA"/>
      </w:pPr>
      <w:r>
        <w:t xml:space="preserve">Distribute the Better Government Evidence Gathering Tool. Instruct students to complete the tool by selecting one central idea and gathering evidence from </w:t>
      </w:r>
      <w:r w:rsidR="001A1C7A">
        <w:t>the text</w:t>
      </w:r>
      <w:r>
        <w:t xml:space="preserve"> </w:t>
      </w:r>
      <w:r w:rsidR="00187C48">
        <w:t xml:space="preserve">as a whole that demonstrates </w:t>
      </w:r>
      <w:r>
        <w:t>how this central idea</w:t>
      </w:r>
      <w:r w:rsidR="006805A1">
        <w:t xml:space="preserve"> relates to</w:t>
      </w:r>
      <w:r>
        <w:t xml:space="preserve"> Thoreau’s opinion of </w:t>
      </w:r>
      <w:r w:rsidR="00442F6B">
        <w:t>“</w:t>
      </w:r>
      <w:r w:rsidR="007C3936">
        <w:t xml:space="preserve">a </w:t>
      </w:r>
      <w:r>
        <w:t>better government.</w:t>
      </w:r>
      <w:r w:rsidR="001A1C7A">
        <w:t>”</w:t>
      </w:r>
      <w:r w:rsidR="000832EC">
        <w:t xml:space="preserve"> </w:t>
      </w:r>
    </w:p>
    <w:p w:rsidR="000832EC" w:rsidRDefault="00187C48" w:rsidP="00700E3F">
      <w:pPr>
        <w:pStyle w:val="TA"/>
      </w:pPr>
      <w:r>
        <w:t xml:space="preserve">Explain to </w:t>
      </w:r>
      <w:r w:rsidR="000832EC">
        <w:t xml:space="preserve">students that they should use their </w:t>
      </w:r>
      <w:r w:rsidR="001E6434">
        <w:t xml:space="preserve">Central </w:t>
      </w:r>
      <w:r w:rsidR="000832EC">
        <w:t xml:space="preserve">Ideas Tracking Tools from throughout the module to guide this evidence collection activity. </w:t>
      </w:r>
    </w:p>
    <w:p w:rsidR="00700E3F" w:rsidRDefault="001A5758" w:rsidP="001A1C7A">
      <w:pPr>
        <w:pStyle w:val="IN"/>
      </w:pPr>
      <w:r>
        <w:t>S</w:t>
      </w:r>
      <w:r w:rsidR="00C84E65">
        <w:t>tudents complete the to</w:t>
      </w:r>
      <w:r w:rsidR="001A1C7A">
        <w:t xml:space="preserve">ol </w:t>
      </w:r>
      <w:r>
        <w:t xml:space="preserve">for homework </w:t>
      </w:r>
      <w:r w:rsidR="001A1C7A">
        <w:t>by gathering evidence about how a</w:t>
      </w:r>
      <w:r w:rsidR="00C84E65">
        <w:t xml:space="preserve"> second central idea</w:t>
      </w:r>
      <w:r w:rsidR="001A1C7A">
        <w:t xml:space="preserve"> </w:t>
      </w:r>
      <w:r w:rsidR="006805A1">
        <w:t>relates to</w:t>
      </w:r>
      <w:r w:rsidR="001A1C7A">
        <w:t xml:space="preserve"> Thoreau’s </w:t>
      </w:r>
      <w:r w:rsidR="009E4404">
        <w:t>idea</w:t>
      </w:r>
      <w:r w:rsidR="00282F7B">
        <w:t xml:space="preserve"> </w:t>
      </w:r>
      <w:r w:rsidR="00FA2D02">
        <w:t xml:space="preserve">of </w:t>
      </w:r>
      <w:r w:rsidR="00442F6B">
        <w:t>“</w:t>
      </w:r>
      <w:r w:rsidR="007C3936">
        <w:t xml:space="preserve">a </w:t>
      </w:r>
      <w:r w:rsidR="00FA2D02">
        <w:t>better government</w:t>
      </w:r>
      <w:r w:rsidR="00187C48">
        <w:t>.</w:t>
      </w:r>
      <w:r w:rsidR="00FA2D02">
        <w:t>”</w:t>
      </w:r>
      <w:r w:rsidR="00C84E65">
        <w:t xml:space="preserve"> </w:t>
      </w:r>
    </w:p>
    <w:p w:rsidR="00700E3F" w:rsidRDefault="00700E3F" w:rsidP="00700E3F">
      <w:pPr>
        <w:pStyle w:val="SA"/>
      </w:pPr>
      <w:r>
        <w:t xml:space="preserve">Students use the Better Government Evidence Gathering Tool to collect and organize evidence. </w:t>
      </w:r>
    </w:p>
    <w:p w:rsidR="00EA30D0" w:rsidRDefault="00C84E65" w:rsidP="00771333">
      <w:pPr>
        <w:pStyle w:val="SR"/>
      </w:pPr>
      <w:r>
        <w:t xml:space="preserve">See Model Better Government Evidence Gathering Tool </w:t>
      </w:r>
      <w:r w:rsidR="005E31ED">
        <w:t>at the end of this lesson</w:t>
      </w:r>
      <w:r>
        <w:t xml:space="preserve">. </w:t>
      </w:r>
    </w:p>
    <w:p w:rsidR="00EA30D0" w:rsidRDefault="00EA30D0" w:rsidP="00581EE3">
      <w:pPr>
        <w:pStyle w:val="LearningSequenceHeader"/>
        <w:keepNext/>
      </w:pPr>
      <w:r>
        <w:lastRenderedPageBreak/>
        <w:t>Activity 4: Round Robin Discussion</w:t>
      </w:r>
      <w:r w:rsidR="003576E9">
        <w:t xml:space="preserve"> </w:t>
      </w:r>
      <w:r w:rsidR="003576E9">
        <w:tab/>
        <w:t>30</w:t>
      </w:r>
      <w:r>
        <w:t>%</w:t>
      </w:r>
      <w:r w:rsidR="002533D0">
        <w:t xml:space="preserve"> </w:t>
      </w:r>
    </w:p>
    <w:p w:rsidR="00D137F0" w:rsidRDefault="00187C48" w:rsidP="00D137F0">
      <w:pPr>
        <w:pStyle w:val="TA"/>
      </w:pPr>
      <w:r>
        <w:t xml:space="preserve">Explain to </w:t>
      </w:r>
      <w:r w:rsidR="00D137F0">
        <w:t xml:space="preserve">students that they will present the evidence and analysis </w:t>
      </w:r>
      <w:r w:rsidR="001A5758">
        <w:t>from</w:t>
      </w:r>
      <w:r w:rsidR="00D137F0">
        <w:t xml:space="preserve"> their Better Government Evidence Collection Tools in a Round Robin Discussion on the following prompt: </w:t>
      </w:r>
    </w:p>
    <w:p w:rsidR="009E4404" w:rsidRDefault="009E4404" w:rsidP="00D137F0">
      <w:pPr>
        <w:pStyle w:val="TA"/>
        <w:rPr>
          <w:b/>
        </w:rPr>
      </w:pPr>
      <w:r w:rsidRPr="005B4F86">
        <w:rPr>
          <w:b/>
        </w:rPr>
        <w:t xml:space="preserve">Choose one central idea and analyze how it relates to Thoreau’s </w:t>
      </w:r>
      <w:r>
        <w:rPr>
          <w:b/>
        </w:rPr>
        <w:t>idea of</w:t>
      </w:r>
      <w:r w:rsidRPr="005B4F86">
        <w:rPr>
          <w:b/>
        </w:rPr>
        <w:t xml:space="preserve"> “a better government.”</w:t>
      </w:r>
    </w:p>
    <w:p w:rsidR="00D137F0" w:rsidRDefault="00D137F0" w:rsidP="00D137F0">
      <w:pPr>
        <w:pStyle w:val="TA"/>
      </w:pPr>
      <w:r>
        <w:t xml:space="preserve">Distribute the </w:t>
      </w:r>
      <w:r w:rsidR="000A1A47">
        <w:t xml:space="preserve">12.2.1 </w:t>
      </w:r>
      <w:r>
        <w:t>Speaking and Listening Rubric and Checklist for S</w:t>
      </w:r>
      <w:r w:rsidR="00C83CFC">
        <w:t>L.11-12.1.a</w:t>
      </w:r>
      <w:r w:rsidR="001F1F31">
        <w:t>,</w:t>
      </w:r>
      <w:r w:rsidR="00C83CFC">
        <w:t xml:space="preserve"> </w:t>
      </w:r>
      <w:r w:rsidR="007049E2">
        <w:t>c</w:t>
      </w:r>
      <w:r>
        <w:t>. Explain to students that this lesson requires students to come to discussion</w:t>
      </w:r>
      <w:r w:rsidR="005E31ED">
        <w:t>s</w:t>
      </w:r>
      <w:r>
        <w:t xml:space="preserve"> prepared, </w:t>
      </w:r>
      <w:r w:rsidR="00DC33DE">
        <w:t>build on others</w:t>
      </w:r>
      <w:r w:rsidR="001F1F31">
        <w:t>’</w:t>
      </w:r>
      <w:r w:rsidR="00DC33DE">
        <w:t xml:space="preserve"> ideas and express their own clearly,</w:t>
      </w:r>
      <w:r w:rsidR="001A1C7A">
        <w:t xml:space="preserve"> and</w:t>
      </w:r>
      <w:r w:rsidR="00DC33DE">
        <w:t xml:space="preserve"> synthesize</w:t>
      </w:r>
      <w:r w:rsidR="001A1C7A">
        <w:t xml:space="preserve"> comments, claims, and evidence</w:t>
      </w:r>
      <w:r w:rsidR="00DC33DE">
        <w:t xml:space="preserve">. Explain that at the end of the Round Robin Discussion, students </w:t>
      </w:r>
      <w:r>
        <w:t xml:space="preserve">self-assess their mastery of these skills. </w:t>
      </w:r>
    </w:p>
    <w:p w:rsidR="00B55CDC" w:rsidRDefault="00B55CDC" w:rsidP="00F476CB">
      <w:pPr>
        <w:pStyle w:val="IN"/>
      </w:pPr>
      <w:r>
        <w:t xml:space="preserve">Consider reminding students that the group activity is an opportunity to apply standards SL.11-12.1.a, </w:t>
      </w:r>
      <w:r w:rsidR="00DB5109">
        <w:t>c</w:t>
      </w:r>
      <w:r>
        <w:t xml:space="preserve"> by participating effectively in a collaborative discussion. Students may focus on drawing effectively on their preparation for the discussion</w:t>
      </w:r>
      <w:r w:rsidR="00D24022">
        <w:t xml:space="preserve"> </w:t>
      </w:r>
      <w:r>
        <w:t xml:space="preserve">and </w:t>
      </w:r>
      <w:r w:rsidR="008D6789">
        <w:t>propelling discussions by posing an</w:t>
      </w:r>
      <w:r w:rsidR="00544860">
        <w:t>d</w:t>
      </w:r>
      <w:r w:rsidR="008D6789">
        <w:t xml:space="preserve"> answering questions</w:t>
      </w:r>
      <w:r>
        <w:t xml:space="preserve">. </w:t>
      </w:r>
      <w:r w:rsidR="009E4404">
        <w:t xml:space="preserve">Students were introduced to </w:t>
      </w:r>
      <w:r w:rsidR="00DB5109">
        <w:t>SL.11-12.</w:t>
      </w:r>
      <w:r w:rsidR="00577ECD">
        <w:t>1.</w:t>
      </w:r>
      <w:r w:rsidR="00DB5109">
        <w:t>a</w:t>
      </w:r>
      <w:r w:rsidR="001F1F31">
        <w:t xml:space="preserve">, </w:t>
      </w:r>
      <w:r w:rsidR="00DB5109">
        <w:t>c</w:t>
      </w:r>
      <w:r w:rsidR="009E4404">
        <w:t xml:space="preserve"> in 12.1.</w:t>
      </w:r>
      <w:r w:rsidR="00DB5109">
        <w:t>1</w:t>
      </w:r>
      <w:r w:rsidR="009E4404">
        <w:t xml:space="preserve"> Lesson </w:t>
      </w:r>
      <w:r w:rsidR="00BA0076">
        <w:t>13.</w:t>
      </w:r>
    </w:p>
    <w:p w:rsidR="00DC33DE" w:rsidRDefault="00DC33DE" w:rsidP="00D137F0">
      <w:pPr>
        <w:pStyle w:val="TA"/>
      </w:pPr>
      <w:r>
        <w:t xml:space="preserve">Review the </w:t>
      </w:r>
      <w:r w:rsidR="000A1A47">
        <w:t xml:space="preserve">12.2.1 </w:t>
      </w:r>
      <w:r>
        <w:t>Speaking and Listening Rubric and Checklist with students, pausing to allow students to pose any questions they may have.</w:t>
      </w:r>
    </w:p>
    <w:p w:rsidR="00DC33DE" w:rsidRDefault="00DC33DE" w:rsidP="00DC33DE">
      <w:pPr>
        <w:pStyle w:val="IN"/>
      </w:pPr>
      <w:r>
        <w:t xml:space="preserve">Consider asking students to read the </w:t>
      </w:r>
      <w:r w:rsidR="000A1A47">
        <w:t xml:space="preserve">12.2.1 </w:t>
      </w:r>
      <w:r>
        <w:t xml:space="preserve">Speaking and Listening Rubric and Checklist independently or in groups. </w:t>
      </w:r>
    </w:p>
    <w:p w:rsidR="00DC33DE" w:rsidRDefault="00DC33DE" w:rsidP="00DC33DE">
      <w:pPr>
        <w:pStyle w:val="SA"/>
      </w:pPr>
      <w:r>
        <w:t xml:space="preserve">Students review the </w:t>
      </w:r>
      <w:r w:rsidR="000A1A47">
        <w:t xml:space="preserve">12.2.1 </w:t>
      </w:r>
      <w:r>
        <w:t xml:space="preserve">Speaking and Listening Rubric and Checklist. </w:t>
      </w:r>
    </w:p>
    <w:p w:rsidR="00DC33DE" w:rsidRDefault="00DC33DE" w:rsidP="00DC33DE">
      <w:pPr>
        <w:pStyle w:val="TA"/>
      </w:pPr>
      <w:r>
        <w:t>Instruct students to review th</w:t>
      </w:r>
      <w:r w:rsidR="00C83CFC">
        <w:t>eir Better Government Evidence Gathering</w:t>
      </w:r>
      <w:r>
        <w:t xml:space="preserve"> Tool</w:t>
      </w:r>
      <w:r w:rsidR="008D6789">
        <w:t xml:space="preserve"> </w:t>
      </w:r>
      <w:r>
        <w:t xml:space="preserve">and </w:t>
      </w:r>
      <w:r w:rsidR="00187C48">
        <w:t>refer to</w:t>
      </w:r>
      <w:r w:rsidR="00F573FD">
        <w:t xml:space="preserve"> the </w:t>
      </w:r>
      <w:r>
        <w:t xml:space="preserve">evidence they have collected </w:t>
      </w:r>
      <w:r w:rsidR="00F573FD">
        <w:t xml:space="preserve">on their tools </w:t>
      </w:r>
      <w:r w:rsidR="00C83CFC">
        <w:t xml:space="preserve">to </w:t>
      </w:r>
      <w:r w:rsidR="005E31ED">
        <w:t>in</w:t>
      </w:r>
      <w:r w:rsidR="00A01AEA">
        <w:t xml:space="preserve">form </w:t>
      </w:r>
      <w:r>
        <w:t>the following discussion</w:t>
      </w:r>
      <w:r w:rsidR="008D6789">
        <w:t xml:space="preserve"> </w:t>
      </w:r>
      <w:r w:rsidR="008D6789" w:rsidRPr="00380A5D">
        <w:rPr>
          <w:color w:val="4F81BD"/>
        </w:rPr>
        <w:t>(W.11-12.9.b)</w:t>
      </w:r>
      <w:r>
        <w:t>.</w:t>
      </w:r>
    </w:p>
    <w:p w:rsidR="00DC33DE" w:rsidRDefault="00DC33DE" w:rsidP="00DC33DE">
      <w:pPr>
        <w:pStyle w:val="TA"/>
      </w:pPr>
      <w:r>
        <w:t>Instruct students to arrange themselves in two concentric circles.</w:t>
      </w:r>
    </w:p>
    <w:p w:rsidR="00DC33DE" w:rsidRDefault="00DC33DE" w:rsidP="00DC33DE">
      <w:pPr>
        <w:pStyle w:val="IN"/>
      </w:pPr>
      <w:r>
        <w:t xml:space="preserve">Each circle should contain the same number of students, creating pairs between the two circles. Student pairs should face each other. </w:t>
      </w:r>
    </w:p>
    <w:p w:rsidR="00DC33DE" w:rsidRDefault="00DC33DE" w:rsidP="00DC33DE">
      <w:pPr>
        <w:pStyle w:val="TA"/>
      </w:pPr>
      <w:r>
        <w:t xml:space="preserve">Explain to students that the Round Robin Discussion begins with each student in the inner circle discussing their answer to the prompt for one minute. Students in the outer circle first listen and then respond with their own answer to the prompt for one minute. </w:t>
      </w:r>
    </w:p>
    <w:p w:rsidR="00DC33DE" w:rsidRDefault="00DC33DE" w:rsidP="00DC33DE">
      <w:pPr>
        <w:pStyle w:val="TA"/>
      </w:pPr>
      <w:r>
        <w:t xml:space="preserve">After one minute, instruct students in the outer circle to rotate one place to the right and repeat the established protocols with a new </w:t>
      </w:r>
      <w:r w:rsidR="00FD29CD">
        <w:t>classmate</w:t>
      </w:r>
      <w:r>
        <w:t>.</w:t>
      </w:r>
    </w:p>
    <w:p w:rsidR="00DC33DE" w:rsidRDefault="00DC33DE" w:rsidP="00DC33DE">
      <w:pPr>
        <w:pStyle w:val="IN"/>
      </w:pPr>
      <w:r>
        <w:t>This Rou</w:t>
      </w:r>
      <w:r w:rsidR="00C83CFC">
        <w:t xml:space="preserve">nd Robin Discussion includes </w:t>
      </w:r>
      <w:r w:rsidR="000832EC">
        <w:t xml:space="preserve">two </w:t>
      </w:r>
      <w:r>
        <w:t>rotation</w:t>
      </w:r>
      <w:r w:rsidR="000832EC">
        <w:t>s</w:t>
      </w:r>
      <w:r>
        <w:t xml:space="preserve"> so </w:t>
      </w:r>
      <w:r w:rsidR="0044185A">
        <w:t xml:space="preserve">that </w:t>
      </w:r>
      <w:r>
        <w:t xml:space="preserve">each student </w:t>
      </w:r>
      <w:r w:rsidR="00C83CFC">
        <w:t>present</w:t>
      </w:r>
      <w:r w:rsidR="00FD29CD">
        <w:t>s</w:t>
      </w:r>
      <w:r w:rsidR="00C83CFC">
        <w:t xml:space="preserve"> their ideas to t</w:t>
      </w:r>
      <w:r w:rsidR="000832EC">
        <w:t>hree</w:t>
      </w:r>
      <w:r>
        <w:t xml:space="preserve"> peers. </w:t>
      </w:r>
    </w:p>
    <w:p w:rsidR="00DC33DE" w:rsidRDefault="00DC33DE" w:rsidP="00DC33DE">
      <w:pPr>
        <w:pStyle w:val="SR"/>
      </w:pPr>
      <w:r>
        <w:t xml:space="preserve">See the High Performance </w:t>
      </w:r>
      <w:r w:rsidR="0044185A">
        <w:t>R</w:t>
      </w:r>
      <w:r>
        <w:t>esponse at the beginning of this lesson.</w:t>
      </w:r>
    </w:p>
    <w:p w:rsidR="00C83CFC" w:rsidRDefault="00DC33DE" w:rsidP="00C83CFC">
      <w:pPr>
        <w:pStyle w:val="TA"/>
      </w:pPr>
      <w:r>
        <w:lastRenderedPageBreak/>
        <w:t>Instruct students to briefly self-assess their applic</w:t>
      </w:r>
      <w:r w:rsidR="00F573FD">
        <w:t>ation of standard SL.11-12.1.a</w:t>
      </w:r>
      <w:r w:rsidR="001F1F31">
        <w:t>,</w:t>
      </w:r>
      <w:r w:rsidR="00F573FD">
        <w:t xml:space="preserve"> </w:t>
      </w:r>
      <w:r w:rsidR="007049E2">
        <w:t xml:space="preserve">c </w:t>
      </w:r>
      <w:r>
        <w:t>d</w:t>
      </w:r>
      <w:r w:rsidR="00C83CFC">
        <w:t>uring the Round Robin Discussion using</w:t>
      </w:r>
      <w:r w:rsidR="00FC6097">
        <w:t xml:space="preserve"> the </w:t>
      </w:r>
      <w:r w:rsidR="000A1A47">
        <w:t xml:space="preserve">12.2.1 </w:t>
      </w:r>
      <w:r w:rsidR="00FC6097">
        <w:t>Speaking and</w:t>
      </w:r>
      <w:r w:rsidR="00C83CFC">
        <w:t xml:space="preserve"> Listening Rubric and Checklist. </w:t>
      </w:r>
    </w:p>
    <w:p w:rsidR="00FC6097" w:rsidRDefault="00FC6097" w:rsidP="00C83CFC">
      <w:pPr>
        <w:pStyle w:val="SA"/>
      </w:pPr>
      <w:r>
        <w:t>Students self-assess th</w:t>
      </w:r>
      <w:r w:rsidR="00F573FD">
        <w:t>eir application of SL.11-12.1.a</w:t>
      </w:r>
      <w:r w:rsidR="001F1F31">
        <w:t>,</w:t>
      </w:r>
      <w:r>
        <w:t xml:space="preserve"> </w:t>
      </w:r>
      <w:r w:rsidR="002734E9">
        <w:t>c</w:t>
      </w:r>
      <w:r>
        <w:t xml:space="preserve"> using the </w:t>
      </w:r>
      <w:r w:rsidR="000A1A47">
        <w:t xml:space="preserve">12.2.1 </w:t>
      </w:r>
      <w:r>
        <w:t>Speaking and Listening Rubric and Checklist.</w:t>
      </w:r>
    </w:p>
    <w:p w:rsidR="00FC6097" w:rsidRDefault="00FC6097" w:rsidP="00FC6097">
      <w:pPr>
        <w:pStyle w:val="TA"/>
      </w:pPr>
      <w:r>
        <w:t>Collect student</w:t>
      </w:r>
      <w:r w:rsidR="00C83CFC">
        <w:t xml:space="preserve"> self-assessments</w:t>
      </w:r>
      <w:r>
        <w:t xml:space="preserve"> for accountability.</w:t>
      </w:r>
    </w:p>
    <w:p w:rsidR="000832EC" w:rsidRDefault="000832EC" w:rsidP="00FC6097">
      <w:pPr>
        <w:pStyle w:val="TA"/>
      </w:pPr>
      <w:r>
        <w:t xml:space="preserve">Lead a brief whole-class discussion of student responses. </w:t>
      </w:r>
    </w:p>
    <w:p w:rsidR="00771333" w:rsidRDefault="00771333" w:rsidP="00771333">
      <w:pPr>
        <w:pStyle w:val="LearningSequenceHeader"/>
      </w:pPr>
      <w:r>
        <w:t xml:space="preserve">Activity </w:t>
      </w:r>
      <w:r w:rsidR="00A15458">
        <w:t>5</w:t>
      </w:r>
      <w:r>
        <w:t xml:space="preserve">: </w:t>
      </w:r>
      <w:r w:rsidR="00EA30D0">
        <w:t>12.2.1 Lesson 15 Exit Slip</w:t>
      </w:r>
      <w:r w:rsidR="003576E9">
        <w:t xml:space="preserve"> </w:t>
      </w:r>
      <w:r w:rsidR="00D170AF">
        <w:t>and Assessment</w:t>
      </w:r>
      <w:r w:rsidR="003576E9">
        <w:tab/>
        <w:t>5</w:t>
      </w:r>
      <w:r>
        <w:t>%</w:t>
      </w:r>
    </w:p>
    <w:p w:rsidR="00EA30D0" w:rsidRDefault="003576E9" w:rsidP="00EA30D0">
      <w:pPr>
        <w:pStyle w:val="TA"/>
      </w:pPr>
      <w:r>
        <w:t xml:space="preserve">Distribute the 12.2.1 Lesson 15 Exit Slip. Instruct students to complete </w:t>
      </w:r>
      <w:r w:rsidR="00F573FD">
        <w:t>the Ex</w:t>
      </w:r>
      <w:r w:rsidR="00C83CFC">
        <w:t xml:space="preserve">it Slip independently. </w:t>
      </w:r>
    </w:p>
    <w:p w:rsidR="003576E9" w:rsidRDefault="003576E9" w:rsidP="003576E9">
      <w:pPr>
        <w:pStyle w:val="SR"/>
      </w:pPr>
      <w:r>
        <w:t xml:space="preserve">See the Model 12.2.1 Lesson 15 Exit Slip </w:t>
      </w:r>
      <w:r w:rsidR="0044185A">
        <w:t>at the end of this lesson</w:t>
      </w:r>
      <w:r>
        <w:t xml:space="preserve">. </w:t>
      </w:r>
    </w:p>
    <w:p w:rsidR="00C83CFC" w:rsidRDefault="00C83CFC" w:rsidP="00C83CFC">
      <w:pPr>
        <w:pStyle w:val="TA"/>
      </w:pPr>
      <w:r>
        <w:t>Collect student Exit Slips.</w:t>
      </w:r>
    </w:p>
    <w:p w:rsidR="00790BCC" w:rsidRPr="00790BCC" w:rsidRDefault="00790BCC" w:rsidP="007017EB">
      <w:pPr>
        <w:pStyle w:val="LearningSequenceHeader"/>
      </w:pPr>
      <w:r w:rsidRPr="00790BCC">
        <w:t>Activity 6: Closing</w:t>
      </w:r>
      <w:r w:rsidRPr="00790BCC">
        <w:tab/>
        <w:t>5%</w:t>
      </w:r>
    </w:p>
    <w:p w:rsidR="00EA30D0" w:rsidRDefault="005E766B" w:rsidP="00A15458">
      <w:pPr>
        <w:pStyle w:val="TA"/>
      </w:pPr>
      <w:r>
        <w:t xml:space="preserve">Display and distribute the homework assignment. For homework, </w:t>
      </w:r>
      <w:r w:rsidR="00BD1F3E">
        <w:t>instruct students to</w:t>
      </w:r>
      <w:r w:rsidR="00EA30D0">
        <w:t xml:space="preserve"> complete the</w:t>
      </w:r>
      <w:r w:rsidR="00F573FD">
        <w:t>ir</w:t>
      </w:r>
      <w:r w:rsidR="00EA30D0">
        <w:t xml:space="preserve"> Better Government Evidence Gathering Tool</w:t>
      </w:r>
      <w:r w:rsidR="008D6789">
        <w:t xml:space="preserve"> </w:t>
      </w:r>
      <w:r w:rsidR="00F573FD">
        <w:t xml:space="preserve">by </w:t>
      </w:r>
      <w:r w:rsidR="004958E8">
        <w:t>selecting</w:t>
      </w:r>
      <w:r w:rsidR="00EA30D0">
        <w:t xml:space="preserve"> a</w:t>
      </w:r>
      <w:r w:rsidR="004958E8">
        <w:t xml:space="preserve"> second</w:t>
      </w:r>
      <w:r w:rsidR="00EA30D0">
        <w:t xml:space="preserve"> central idea</w:t>
      </w:r>
      <w:r w:rsidR="004958E8">
        <w:t xml:space="preserve"> in “Civil Disobedience”</w:t>
      </w:r>
      <w:r w:rsidR="00EA30D0">
        <w:t xml:space="preserve"> and collecting evidence o</w:t>
      </w:r>
      <w:r w:rsidR="00187C48">
        <w:t>f</w:t>
      </w:r>
      <w:r w:rsidR="00EA30D0">
        <w:t xml:space="preserve"> how this idea</w:t>
      </w:r>
      <w:r w:rsidR="006805A1">
        <w:t xml:space="preserve"> relates to</w:t>
      </w:r>
      <w:r w:rsidR="00EA30D0">
        <w:t xml:space="preserve"> Thoreau’s opinion of “</w:t>
      </w:r>
      <w:r w:rsidR="007C3936">
        <w:t xml:space="preserve">a </w:t>
      </w:r>
      <w:r w:rsidR="00EA30D0">
        <w:t>better government.”</w:t>
      </w:r>
    </w:p>
    <w:p w:rsidR="00A15458" w:rsidRPr="00581EE3" w:rsidRDefault="00A15458" w:rsidP="00581EE3">
      <w:pPr>
        <w:pStyle w:val="TA"/>
      </w:pPr>
      <w:r w:rsidRPr="00581EE3">
        <w:t>Additionally, instruct students to review and expand their notes and annotations in preparation for the 12.2.1 End-of-Unit Assessment.</w:t>
      </w:r>
    </w:p>
    <w:p w:rsidR="000F53CF" w:rsidRPr="00790BCC" w:rsidRDefault="000F53CF" w:rsidP="00EA30D0">
      <w:pPr>
        <w:pStyle w:val="SA"/>
      </w:pPr>
      <w:r>
        <w:t xml:space="preserve">Students follow along. </w:t>
      </w:r>
    </w:p>
    <w:p w:rsidR="005E766B" w:rsidRPr="00790BCC" w:rsidRDefault="005E766B" w:rsidP="005E766B">
      <w:pPr>
        <w:pStyle w:val="Heading1"/>
      </w:pPr>
      <w:r w:rsidRPr="00790BCC">
        <w:t>Homework</w:t>
      </w:r>
    </w:p>
    <w:p w:rsidR="007E484F" w:rsidRDefault="002637FE" w:rsidP="00A15458">
      <w:r>
        <w:t>Complete your</w:t>
      </w:r>
      <w:r w:rsidR="00EA30D0">
        <w:t xml:space="preserve"> Better Government Evidence Gathering Tool by selecting </w:t>
      </w:r>
      <w:r w:rsidR="004958E8">
        <w:t>a second</w:t>
      </w:r>
      <w:r w:rsidR="00EA30D0">
        <w:t xml:space="preserve"> central idea</w:t>
      </w:r>
      <w:r w:rsidR="004958E8">
        <w:t xml:space="preserve"> in “Civil Disobedience”</w:t>
      </w:r>
      <w:r w:rsidR="00EA30D0">
        <w:t xml:space="preserve"> and c</w:t>
      </w:r>
      <w:r>
        <w:t>ollecting evidence o</w:t>
      </w:r>
      <w:r w:rsidR="00187C48">
        <w:t>f</w:t>
      </w:r>
      <w:r>
        <w:t xml:space="preserve"> how this</w:t>
      </w:r>
      <w:r w:rsidR="00EA30D0">
        <w:t xml:space="preserve"> idea </w:t>
      </w:r>
      <w:r w:rsidR="006805A1">
        <w:t xml:space="preserve">relates to </w:t>
      </w:r>
      <w:r w:rsidR="00EA30D0">
        <w:t>Thoreau’s opinion of “</w:t>
      </w:r>
      <w:r w:rsidR="00993F77">
        <w:t xml:space="preserve">a </w:t>
      </w:r>
      <w:r w:rsidR="00EA30D0">
        <w:t>better government.”</w:t>
      </w:r>
    </w:p>
    <w:p w:rsidR="00A15458" w:rsidRDefault="00A15458" w:rsidP="00581EE3">
      <w:r w:rsidRPr="00E21CE6">
        <w:t>Review and expand your notes and annotations in preparation for the 12.2.1 End-of-Unit Assessment.</w:t>
      </w:r>
    </w:p>
    <w:p w:rsidR="00442F6B" w:rsidRDefault="006C539D" w:rsidP="00442F6B">
      <w:pPr>
        <w:pStyle w:val="ToolHeader"/>
      </w:pPr>
      <w:r>
        <w:br w:type="page"/>
      </w:r>
      <w:r w:rsidR="00442F6B" w:rsidRPr="00580A4D">
        <w:lastRenderedPageBreak/>
        <w:t xml:space="preserve">Model </w:t>
      </w:r>
      <w:r w:rsidR="001E6434">
        <w:t xml:space="preserve">Central </w:t>
      </w:r>
      <w:r w:rsidR="00442F6B" w:rsidRPr="00580A4D">
        <w:t>Ideas Tracking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77"/>
        <w:gridCol w:w="739"/>
        <w:gridCol w:w="3035"/>
        <w:gridCol w:w="727"/>
        <w:gridCol w:w="1370"/>
      </w:tblGrid>
      <w:tr w:rsidR="00442F6B" w:rsidRPr="005B5363" w:rsidTr="00C23017">
        <w:trPr>
          <w:trHeight w:val="562"/>
        </w:trPr>
        <w:tc>
          <w:tcPr>
            <w:tcW w:w="720" w:type="dxa"/>
            <w:shd w:val="clear" w:color="auto" w:fill="D9D9D9"/>
            <w:vAlign w:val="center"/>
          </w:tcPr>
          <w:p w:rsidR="00442F6B" w:rsidRPr="005B5363" w:rsidRDefault="00442F6B" w:rsidP="00442F6B">
            <w:pPr>
              <w:pStyle w:val="TableText"/>
              <w:rPr>
                <w:b/>
              </w:rPr>
            </w:pPr>
            <w:r w:rsidRPr="005B5363">
              <w:rPr>
                <w:b/>
              </w:rPr>
              <w:t>Name:</w:t>
            </w:r>
          </w:p>
        </w:tc>
        <w:tc>
          <w:tcPr>
            <w:tcW w:w="2816" w:type="dxa"/>
            <w:shd w:val="clear" w:color="auto" w:fill="auto"/>
            <w:vAlign w:val="center"/>
          </w:tcPr>
          <w:p w:rsidR="00442F6B" w:rsidRPr="005B5363" w:rsidRDefault="00442F6B" w:rsidP="00442F6B">
            <w:pPr>
              <w:pStyle w:val="TableText"/>
              <w:rPr>
                <w:b/>
              </w:rPr>
            </w:pPr>
          </w:p>
        </w:tc>
        <w:tc>
          <w:tcPr>
            <w:tcW w:w="739" w:type="dxa"/>
            <w:shd w:val="clear" w:color="auto" w:fill="D9D9D9"/>
            <w:vAlign w:val="center"/>
          </w:tcPr>
          <w:p w:rsidR="00442F6B" w:rsidRPr="005B5363" w:rsidRDefault="00442F6B" w:rsidP="00442F6B">
            <w:pPr>
              <w:pStyle w:val="TableText"/>
              <w:rPr>
                <w:b/>
              </w:rPr>
            </w:pPr>
            <w:r w:rsidRPr="005B5363">
              <w:rPr>
                <w:b/>
              </w:rPr>
              <w:t>Class:</w:t>
            </w:r>
          </w:p>
        </w:tc>
        <w:tc>
          <w:tcPr>
            <w:tcW w:w="3078" w:type="dxa"/>
            <w:shd w:val="clear" w:color="auto" w:fill="auto"/>
            <w:vAlign w:val="center"/>
          </w:tcPr>
          <w:p w:rsidR="00442F6B" w:rsidRPr="005B5363" w:rsidRDefault="00442F6B" w:rsidP="00442F6B">
            <w:pPr>
              <w:pStyle w:val="TableText"/>
              <w:rPr>
                <w:b/>
              </w:rPr>
            </w:pPr>
          </w:p>
        </w:tc>
        <w:tc>
          <w:tcPr>
            <w:tcW w:w="727" w:type="dxa"/>
            <w:shd w:val="clear" w:color="auto" w:fill="D9D9D9"/>
            <w:vAlign w:val="center"/>
          </w:tcPr>
          <w:p w:rsidR="00442F6B" w:rsidRPr="005B5363" w:rsidRDefault="00442F6B" w:rsidP="00442F6B">
            <w:pPr>
              <w:pStyle w:val="TableText"/>
              <w:rPr>
                <w:b/>
              </w:rPr>
            </w:pPr>
            <w:r w:rsidRPr="005B5363">
              <w:rPr>
                <w:b/>
              </w:rPr>
              <w:t>Date:</w:t>
            </w:r>
          </w:p>
        </w:tc>
        <w:tc>
          <w:tcPr>
            <w:tcW w:w="1387" w:type="dxa"/>
            <w:shd w:val="clear" w:color="auto" w:fill="auto"/>
            <w:vAlign w:val="center"/>
          </w:tcPr>
          <w:p w:rsidR="00442F6B" w:rsidRPr="005B5363" w:rsidRDefault="00442F6B" w:rsidP="00442F6B">
            <w:pPr>
              <w:pStyle w:val="TableText"/>
              <w:rPr>
                <w:b/>
              </w:rPr>
            </w:pPr>
          </w:p>
        </w:tc>
      </w:tr>
    </w:tbl>
    <w:p w:rsidR="00442F6B" w:rsidRPr="005B5363" w:rsidRDefault="00442F6B" w:rsidP="00442F6B">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42F6B" w:rsidRPr="00442F6B" w:rsidDel="002A5AC0" w:rsidTr="00C23017">
        <w:trPr>
          <w:trHeight w:val="1007"/>
        </w:trPr>
        <w:tc>
          <w:tcPr>
            <w:tcW w:w="9468" w:type="dxa"/>
            <w:shd w:val="clear" w:color="auto" w:fill="D9D9D9"/>
          </w:tcPr>
          <w:p w:rsidR="00442F6B" w:rsidRPr="00211F2A" w:rsidDel="002A5AC0" w:rsidRDefault="00442F6B" w:rsidP="00DD14F7">
            <w:pPr>
              <w:pStyle w:val="ToolTableText"/>
            </w:pPr>
            <w:r w:rsidRPr="00E21CE6">
              <w:rPr>
                <w:b/>
              </w:rPr>
              <w:t xml:space="preserve">Directions: </w:t>
            </w:r>
            <w:r w:rsidRPr="00211F2A">
              <w:t xml:space="preserve">Identify the ideas that you encounter throughout the text. Trace the development of </w:t>
            </w:r>
            <w:r w:rsidR="00DD14F7">
              <w:t>these</w:t>
            </w:r>
            <w:r w:rsidR="00DD14F7" w:rsidRPr="00211F2A">
              <w:t xml:space="preserve"> </w:t>
            </w:r>
            <w:r w:rsidRPr="00211F2A">
              <w:t>ideas by noting how the author introduces, develops, or refines these ideas in the text. Cite textual evidence to support your work.</w:t>
            </w:r>
          </w:p>
        </w:tc>
      </w:tr>
    </w:tbl>
    <w:p w:rsidR="00442F6B" w:rsidRPr="005B5363" w:rsidRDefault="00442F6B" w:rsidP="00442F6B">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794"/>
      </w:tblGrid>
      <w:tr w:rsidR="00442F6B" w:rsidRPr="00442F6B" w:rsidTr="00C23017">
        <w:trPr>
          <w:trHeight w:val="557"/>
        </w:trPr>
        <w:tc>
          <w:tcPr>
            <w:tcW w:w="665" w:type="dxa"/>
            <w:shd w:val="clear" w:color="auto" w:fill="D9D9D9"/>
            <w:vAlign w:val="center"/>
          </w:tcPr>
          <w:p w:rsidR="00442F6B" w:rsidRPr="00E21CE6" w:rsidRDefault="00442F6B" w:rsidP="00442F6B">
            <w:pPr>
              <w:pStyle w:val="ToolTableText"/>
              <w:rPr>
                <w:b/>
              </w:rPr>
            </w:pPr>
            <w:r w:rsidRPr="00E21CE6">
              <w:rPr>
                <w:b/>
              </w:rPr>
              <w:t>Text:</w:t>
            </w:r>
          </w:p>
        </w:tc>
        <w:tc>
          <w:tcPr>
            <w:tcW w:w="8803" w:type="dxa"/>
            <w:shd w:val="clear" w:color="auto" w:fill="auto"/>
            <w:vAlign w:val="center"/>
          </w:tcPr>
          <w:p w:rsidR="00442F6B" w:rsidRPr="00211F2A" w:rsidRDefault="00442F6B" w:rsidP="00442F6B">
            <w:pPr>
              <w:pStyle w:val="ToolTableText"/>
            </w:pPr>
            <w:r w:rsidRPr="00211F2A">
              <w:t>“Civil Disobedience” by Henry David Thoreau</w:t>
            </w:r>
          </w:p>
        </w:tc>
      </w:tr>
    </w:tbl>
    <w:p w:rsidR="00442F6B" w:rsidRPr="005B5363" w:rsidRDefault="00442F6B" w:rsidP="00211F2A">
      <w:pPr>
        <w:pStyle w:val="TA"/>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891"/>
        <w:gridCol w:w="5313"/>
      </w:tblGrid>
      <w:tr w:rsidR="00442F6B" w:rsidRPr="00317D7B" w:rsidTr="003A326E">
        <w:trPr>
          <w:trHeight w:val="665"/>
        </w:trPr>
        <w:tc>
          <w:tcPr>
            <w:tcW w:w="1246" w:type="dxa"/>
            <w:shd w:val="clear" w:color="auto" w:fill="D9D9D9"/>
          </w:tcPr>
          <w:p w:rsidR="00442F6B" w:rsidRPr="003A326E" w:rsidRDefault="00380A5D" w:rsidP="00380A5D">
            <w:pPr>
              <w:pStyle w:val="ToolTableText"/>
              <w:jc w:val="center"/>
              <w:rPr>
                <w:b/>
              </w:rPr>
            </w:pPr>
            <w:r>
              <w:rPr>
                <w:b/>
              </w:rPr>
              <w:t xml:space="preserve">Part and </w:t>
            </w:r>
            <w:r w:rsidR="00442F6B" w:rsidRPr="003A326E">
              <w:rPr>
                <w:b/>
              </w:rPr>
              <w:t>Paragraph #</w:t>
            </w:r>
          </w:p>
        </w:tc>
        <w:tc>
          <w:tcPr>
            <w:tcW w:w="2891" w:type="dxa"/>
            <w:shd w:val="clear" w:color="auto" w:fill="D9D9D9"/>
          </w:tcPr>
          <w:p w:rsidR="00442F6B" w:rsidRPr="003A326E" w:rsidRDefault="00442F6B" w:rsidP="00380A5D">
            <w:pPr>
              <w:pStyle w:val="ToolTableText"/>
              <w:jc w:val="center"/>
              <w:rPr>
                <w:b/>
              </w:rPr>
            </w:pPr>
            <w:r w:rsidRPr="003A326E">
              <w:rPr>
                <w:b/>
              </w:rPr>
              <w:t>Central Ideas</w:t>
            </w:r>
          </w:p>
        </w:tc>
        <w:tc>
          <w:tcPr>
            <w:tcW w:w="5313" w:type="dxa"/>
            <w:shd w:val="clear" w:color="auto" w:fill="D9D9D9"/>
          </w:tcPr>
          <w:p w:rsidR="00442F6B" w:rsidRPr="003A326E" w:rsidRDefault="00442F6B" w:rsidP="00380A5D">
            <w:pPr>
              <w:pStyle w:val="ToolTableText"/>
              <w:jc w:val="center"/>
              <w:rPr>
                <w:b/>
              </w:rPr>
            </w:pPr>
            <w:r w:rsidRPr="003A326E">
              <w:rPr>
                <w:b/>
              </w:rPr>
              <w:t>Notes and Connections</w:t>
            </w:r>
          </w:p>
        </w:tc>
      </w:tr>
      <w:tr w:rsidR="00442F6B" w:rsidTr="003A326E">
        <w:trPr>
          <w:trHeight w:val="1440"/>
        </w:trPr>
        <w:tc>
          <w:tcPr>
            <w:tcW w:w="1246" w:type="dxa"/>
            <w:shd w:val="clear" w:color="auto" w:fill="auto"/>
          </w:tcPr>
          <w:p w:rsidR="00442F6B" w:rsidRDefault="00353609" w:rsidP="00C23017">
            <w:pPr>
              <w:pStyle w:val="ToolTableText"/>
            </w:pPr>
            <w:r>
              <w:t>P</w:t>
            </w:r>
            <w:r w:rsidR="001A0745">
              <w:t xml:space="preserve">art 3, par. </w:t>
            </w:r>
            <w:r w:rsidR="00442F6B">
              <w:t>17</w:t>
            </w:r>
          </w:p>
        </w:tc>
        <w:tc>
          <w:tcPr>
            <w:tcW w:w="2891" w:type="dxa"/>
            <w:shd w:val="clear" w:color="auto" w:fill="auto"/>
          </w:tcPr>
          <w:p w:rsidR="00442F6B" w:rsidRDefault="00442F6B" w:rsidP="008D6789">
            <w:pPr>
              <w:pStyle w:val="ToolTableText"/>
            </w:pPr>
            <w:r>
              <w:t>Ethics</w:t>
            </w:r>
            <w:r w:rsidR="001F1F31">
              <w:t xml:space="preserve"> </w:t>
            </w:r>
          </w:p>
        </w:tc>
        <w:tc>
          <w:tcPr>
            <w:tcW w:w="5313" w:type="dxa"/>
            <w:shd w:val="clear" w:color="auto" w:fill="auto"/>
          </w:tcPr>
          <w:p w:rsidR="00442F6B" w:rsidRPr="00B914C0" w:rsidRDefault="00442F6B" w:rsidP="00FD29CD">
            <w:pPr>
              <w:pStyle w:val="ToolTableText"/>
            </w:pPr>
            <w:r w:rsidRPr="00A15458">
              <w:t>Thoreau distinguishes between those “</w:t>
            </w:r>
            <w:r w:rsidRPr="003A326E">
              <w:rPr>
                <w:rFonts w:eastAsia="MS Mincho"/>
                <w:lang w:eastAsia="ja-JP"/>
              </w:rPr>
              <w:t>who know of no purer sources of truth” than the Bible and the Constitution and those who seek a higher source of truth, and undertake a “pilgrimage toward [truth’s] fountain-head</w:t>
            </w:r>
            <w:r w:rsidR="00FD29CD">
              <w:rPr>
                <w:rFonts w:eastAsia="MS Mincho"/>
                <w:lang w:eastAsia="ja-JP"/>
              </w:rPr>
              <w:t>,</w:t>
            </w:r>
            <w:r w:rsidRPr="003A326E">
              <w:rPr>
                <w:rFonts w:eastAsia="MS Mincho"/>
                <w:lang w:eastAsia="ja-JP"/>
              </w:rPr>
              <w:t xml:space="preserve">” suggesting that Thoreau believes that the traditional authorities of the Bible and the Constitution are not necessarily the only sources of authority and that it is up to individuals to seek their </w:t>
            </w:r>
            <w:r w:rsidR="00B914C0">
              <w:rPr>
                <w:rFonts w:eastAsia="MS Mincho"/>
                <w:lang w:eastAsia="ja-JP"/>
              </w:rPr>
              <w:t>own truth.</w:t>
            </w:r>
          </w:p>
        </w:tc>
      </w:tr>
      <w:tr w:rsidR="00442F6B" w:rsidTr="003A326E">
        <w:trPr>
          <w:trHeight w:val="1440"/>
        </w:trPr>
        <w:tc>
          <w:tcPr>
            <w:tcW w:w="1246" w:type="dxa"/>
            <w:shd w:val="clear" w:color="auto" w:fill="auto"/>
          </w:tcPr>
          <w:p w:rsidR="00442F6B" w:rsidRDefault="00353609" w:rsidP="00353609">
            <w:pPr>
              <w:pStyle w:val="ToolTableText"/>
            </w:pPr>
            <w:r>
              <w:t>P</w:t>
            </w:r>
            <w:r w:rsidR="001A0745">
              <w:t xml:space="preserve">art 3, par. </w:t>
            </w:r>
            <w:r w:rsidR="00442F6B">
              <w:t>18</w:t>
            </w:r>
          </w:p>
        </w:tc>
        <w:tc>
          <w:tcPr>
            <w:tcW w:w="2891" w:type="dxa"/>
            <w:shd w:val="clear" w:color="auto" w:fill="auto"/>
          </w:tcPr>
          <w:p w:rsidR="00442F6B" w:rsidRDefault="00353609" w:rsidP="00353609">
            <w:pPr>
              <w:pStyle w:val="ToolTableText"/>
            </w:pPr>
            <w:r>
              <w:t>The e</w:t>
            </w:r>
            <w:r w:rsidR="00442F6B">
              <w:t>xercise of power</w:t>
            </w:r>
          </w:p>
        </w:tc>
        <w:tc>
          <w:tcPr>
            <w:tcW w:w="5313" w:type="dxa"/>
            <w:shd w:val="clear" w:color="auto" w:fill="auto"/>
          </w:tcPr>
          <w:p w:rsidR="00442F6B" w:rsidRDefault="00442F6B" w:rsidP="00FD29CD">
            <w:pPr>
              <w:pStyle w:val="ToolTableText"/>
            </w:pPr>
            <w:r>
              <w:t xml:space="preserve">Thoreau criticizes legislators because they rely too much on the exercise of power through language and rhetoric, and do not have enough practical </w:t>
            </w:r>
            <w:r w:rsidRPr="009D0C40">
              <w:t>understanding of the important problems facing the people: “[Legislators]</w:t>
            </w:r>
            <w:r w:rsidR="00730318">
              <w:t xml:space="preserve"> </w:t>
            </w:r>
            <w:r w:rsidRPr="003A326E">
              <w:rPr>
                <w:rFonts w:eastAsia="MS Mincho"/>
                <w:lang w:eastAsia="ja-JP"/>
              </w:rPr>
              <w:t>have no genius or talent for comparatively humble questions of taxation and finance, commerce and manufacturers and agriculture</w:t>
            </w:r>
            <w:r w:rsidR="00FD29CD">
              <w:rPr>
                <w:rFonts w:eastAsia="MS Mincho"/>
                <w:lang w:eastAsia="ja-JP"/>
              </w:rPr>
              <w:t xml:space="preserve">.” </w:t>
            </w:r>
            <w:r w:rsidRPr="003A326E">
              <w:rPr>
                <w:rFonts w:eastAsia="MS Mincho"/>
                <w:lang w:eastAsia="ja-JP"/>
              </w:rPr>
              <w:t>He suggests that the exercise of power through language is insufficient, because, if government were left to the “wordy wit” of legislators</w:t>
            </w:r>
            <w:r w:rsidR="00B55CDC">
              <w:rPr>
                <w:rFonts w:eastAsia="MS Mincho"/>
                <w:lang w:eastAsia="ja-JP"/>
              </w:rPr>
              <w:t>” who are eloquent but ineffective at resolving practical issues,</w:t>
            </w:r>
            <w:r w:rsidRPr="003A326E">
              <w:rPr>
                <w:rFonts w:eastAsia="MS Mincho"/>
                <w:lang w:eastAsia="ja-JP"/>
              </w:rPr>
              <w:t xml:space="preserve"> “America would not long retain her rank among the nations</w:t>
            </w:r>
            <w:r w:rsidR="00FD29CD">
              <w:rPr>
                <w:rFonts w:eastAsia="MS Mincho"/>
                <w:lang w:eastAsia="ja-JP"/>
              </w:rPr>
              <w:t>.</w:t>
            </w:r>
            <w:r w:rsidRPr="003A326E">
              <w:rPr>
                <w:rFonts w:eastAsia="MS Mincho"/>
                <w:lang w:eastAsia="ja-JP"/>
              </w:rPr>
              <w:t xml:space="preserve">” </w:t>
            </w:r>
          </w:p>
        </w:tc>
      </w:tr>
      <w:tr w:rsidR="00442F6B" w:rsidTr="003A326E">
        <w:trPr>
          <w:trHeight w:val="1440"/>
        </w:trPr>
        <w:tc>
          <w:tcPr>
            <w:tcW w:w="1246" w:type="dxa"/>
            <w:shd w:val="clear" w:color="auto" w:fill="auto"/>
          </w:tcPr>
          <w:p w:rsidR="00442F6B" w:rsidRDefault="00353609" w:rsidP="00353609">
            <w:pPr>
              <w:pStyle w:val="ToolTableText"/>
            </w:pPr>
            <w:r>
              <w:t>P</w:t>
            </w:r>
            <w:r w:rsidR="001A0745">
              <w:t xml:space="preserve">art 3, par. </w:t>
            </w:r>
            <w:r w:rsidR="00442F6B">
              <w:t>19</w:t>
            </w:r>
          </w:p>
        </w:tc>
        <w:tc>
          <w:tcPr>
            <w:tcW w:w="2891" w:type="dxa"/>
            <w:shd w:val="clear" w:color="auto" w:fill="auto"/>
          </w:tcPr>
          <w:p w:rsidR="00442F6B" w:rsidRDefault="001F1F31" w:rsidP="00C23017">
            <w:pPr>
              <w:pStyle w:val="ToolTableText"/>
            </w:pPr>
            <w:r>
              <w:t xml:space="preserve">The relationship </w:t>
            </w:r>
            <w:r w:rsidR="00442F6B">
              <w:t>between the individual and the state</w:t>
            </w:r>
          </w:p>
        </w:tc>
        <w:tc>
          <w:tcPr>
            <w:tcW w:w="5313" w:type="dxa"/>
            <w:shd w:val="clear" w:color="auto" w:fill="auto"/>
          </w:tcPr>
          <w:p w:rsidR="00442F6B" w:rsidRPr="003A326E" w:rsidRDefault="00442F6B" w:rsidP="00FD29CD">
            <w:pPr>
              <w:pStyle w:val="ToolTableText"/>
              <w:rPr>
                <w:rFonts w:ascii="Calibri Light" w:hAnsi="Calibri Light"/>
              </w:rPr>
            </w:pPr>
            <w:r w:rsidRPr="00D74A09">
              <w:t xml:space="preserve">Thoreau suggests that the basis of a “just” state is the </w:t>
            </w:r>
            <w:r w:rsidRPr="009D0C40">
              <w:t>respect of the state for the individual: democracy is part of, but not the endpoint of “</w:t>
            </w:r>
            <w:r w:rsidRPr="003A326E">
              <w:rPr>
                <w:rFonts w:eastAsia="MS Mincho"/>
                <w:lang w:eastAsia="ja-JP"/>
              </w:rPr>
              <w:t>a progress toward a true respect for the individual</w:t>
            </w:r>
            <w:r w:rsidR="00FD29CD">
              <w:rPr>
                <w:rFonts w:eastAsia="MS Mincho"/>
                <w:lang w:eastAsia="ja-JP"/>
              </w:rPr>
              <w:t>.</w:t>
            </w:r>
            <w:r w:rsidRPr="003A326E">
              <w:rPr>
                <w:rFonts w:eastAsia="MS Mincho"/>
                <w:lang w:eastAsia="ja-JP"/>
              </w:rPr>
              <w:t xml:space="preserve">” Thoreau imagines a “still more perfect and glorious state” </w:t>
            </w:r>
            <w:r w:rsidR="00B55CDC">
              <w:rPr>
                <w:rFonts w:eastAsia="MS Mincho"/>
                <w:lang w:eastAsia="ja-JP"/>
              </w:rPr>
              <w:t>which</w:t>
            </w:r>
            <w:r w:rsidRPr="003A326E">
              <w:rPr>
                <w:rFonts w:eastAsia="MS Mincho"/>
                <w:lang w:eastAsia="ja-JP"/>
              </w:rPr>
              <w:t xml:space="preserve"> would “treat the individual with respect as a neighbor; which even would </w:t>
            </w:r>
            <w:r w:rsidRPr="003A326E">
              <w:rPr>
                <w:rFonts w:eastAsia="MS Mincho"/>
                <w:lang w:eastAsia="ja-JP"/>
              </w:rPr>
              <w:lastRenderedPageBreak/>
              <w:t>not think it inconsistent with its own repose if a few were to live aloof from it, not meddling with it, nor embraced by it, who fulfilled all the duties of neighbors and fellow-men</w:t>
            </w:r>
            <w:r w:rsidR="00FD29CD">
              <w:rPr>
                <w:rFonts w:eastAsia="MS Mincho"/>
                <w:lang w:eastAsia="ja-JP"/>
              </w:rPr>
              <w:t xml:space="preserve">.” </w:t>
            </w:r>
            <w:r w:rsidRPr="003A326E">
              <w:rPr>
                <w:rFonts w:eastAsia="MS Mincho"/>
                <w:lang w:eastAsia="ja-JP"/>
              </w:rPr>
              <w:t>In other words, Thoreau proposes as an ideal a state that allows the individual to flourish</w:t>
            </w:r>
            <w:r w:rsidR="00B55CDC">
              <w:rPr>
                <w:rFonts w:eastAsia="MS Mincho"/>
                <w:lang w:eastAsia="ja-JP"/>
              </w:rPr>
              <w:t>, and does not feel threatened when people choose not to interact with the state, provided that they do not harm those around them</w:t>
            </w:r>
            <w:r w:rsidRPr="003A326E">
              <w:rPr>
                <w:rFonts w:eastAsia="MS Mincho"/>
                <w:lang w:eastAsia="ja-JP"/>
              </w:rPr>
              <w:t>.</w:t>
            </w:r>
            <w:r w:rsidRPr="003A326E">
              <w:rPr>
                <w:rFonts w:ascii="Calibri Light" w:eastAsia="MS Mincho" w:hAnsi="Calibri Light"/>
                <w:lang w:eastAsia="ja-JP"/>
              </w:rPr>
              <w:t xml:space="preserve"> </w:t>
            </w:r>
          </w:p>
        </w:tc>
      </w:tr>
    </w:tbl>
    <w:p w:rsidR="00C23017" w:rsidRDefault="00C23017" w:rsidP="006C539D">
      <w:pPr>
        <w:pStyle w:val="ToolHeader"/>
        <w:sectPr w:rsidR="00C23017"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6C539D" w:rsidRPr="006C539D" w:rsidRDefault="006C539D" w:rsidP="006C539D">
      <w:pPr>
        <w:pStyle w:val="ToolHeader"/>
      </w:pPr>
      <w:r>
        <w:lastRenderedPageBreak/>
        <w:t>Better Government</w:t>
      </w:r>
      <w:r w:rsidRPr="006C539D">
        <w:t xml:space="preserve"> Evidence Gathering Tool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52"/>
      </w:tblGrid>
      <w:tr w:rsidR="006C539D" w:rsidRPr="005B5363" w:rsidTr="00330818">
        <w:trPr>
          <w:trHeight w:val="557"/>
        </w:trPr>
        <w:tc>
          <w:tcPr>
            <w:tcW w:w="820" w:type="dxa"/>
            <w:shd w:val="clear" w:color="auto" w:fill="D9D9D9"/>
            <w:vAlign w:val="center"/>
          </w:tcPr>
          <w:p w:rsidR="006C539D" w:rsidRPr="005B5363" w:rsidRDefault="006C539D" w:rsidP="006C539D">
            <w:pPr>
              <w:pStyle w:val="TableText"/>
              <w:rPr>
                <w:b/>
              </w:rPr>
            </w:pPr>
            <w:r w:rsidRPr="005B5363">
              <w:rPr>
                <w:b/>
              </w:rPr>
              <w:t>Name:</w:t>
            </w:r>
          </w:p>
        </w:tc>
        <w:tc>
          <w:tcPr>
            <w:tcW w:w="2780" w:type="dxa"/>
            <w:shd w:val="clear" w:color="auto" w:fill="auto"/>
            <w:vAlign w:val="center"/>
          </w:tcPr>
          <w:p w:rsidR="006C539D" w:rsidRPr="005B5363" w:rsidRDefault="006C539D" w:rsidP="006C539D">
            <w:pPr>
              <w:pStyle w:val="TableText"/>
              <w:rPr>
                <w:b/>
              </w:rPr>
            </w:pPr>
          </w:p>
        </w:tc>
        <w:tc>
          <w:tcPr>
            <w:tcW w:w="732" w:type="dxa"/>
            <w:shd w:val="clear" w:color="auto" w:fill="D9D9D9"/>
            <w:vAlign w:val="center"/>
          </w:tcPr>
          <w:p w:rsidR="006C539D" w:rsidRPr="005B5363" w:rsidRDefault="006C539D" w:rsidP="006C539D">
            <w:pPr>
              <w:pStyle w:val="TableText"/>
              <w:rPr>
                <w:b/>
              </w:rPr>
            </w:pPr>
            <w:r w:rsidRPr="005B5363">
              <w:rPr>
                <w:b/>
              </w:rPr>
              <w:t>Class:</w:t>
            </w:r>
          </w:p>
        </w:tc>
        <w:tc>
          <w:tcPr>
            <w:tcW w:w="3039" w:type="dxa"/>
            <w:shd w:val="clear" w:color="auto" w:fill="auto"/>
            <w:vAlign w:val="center"/>
          </w:tcPr>
          <w:p w:rsidR="006C539D" w:rsidRPr="005B5363" w:rsidRDefault="006C539D" w:rsidP="006C539D">
            <w:pPr>
              <w:pStyle w:val="TableText"/>
              <w:rPr>
                <w:b/>
              </w:rPr>
            </w:pPr>
          </w:p>
        </w:tc>
        <w:tc>
          <w:tcPr>
            <w:tcW w:w="720" w:type="dxa"/>
            <w:shd w:val="clear" w:color="auto" w:fill="D9D9D9"/>
            <w:vAlign w:val="center"/>
          </w:tcPr>
          <w:p w:rsidR="006C539D" w:rsidRPr="005B5363" w:rsidRDefault="006C539D" w:rsidP="006C539D">
            <w:pPr>
              <w:pStyle w:val="TableText"/>
              <w:rPr>
                <w:b/>
              </w:rPr>
            </w:pPr>
            <w:r w:rsidRPr="005B5363">
              <w:rPr>
                <w:b/>
              </w:rPr>
              <w:t>Date:</w:t>
            </w:r>
          </w:p>
        </w:tc>
        <w:tc>
          <w:tcPr>
            <w:tcW w:w="1352" w:type="dxa"/>
            <w:shd w:val="clear" w:color="auto" w:fill="auto"/>
            <w:vAlign w:val="center"/>
          </w:tcPr>
          <w:p w:rsidR="006C539D" w:rsidRPr="005B5363" w:rsidRDefault="006C539D" w:rsidP="006C539D">
            <w:pPr>
              <w:pStyle w:val="TableText"/>
              <w:rPr>
                <w:b/>
              </w:rPr>
            </w:pPr>
          </w:p>
        </w:tc>
      </w:tr>
    </w:tbl>
    <w:p w:rsidR="006C539D" w:rsidRPr="005B5363" w:rsidRDefault="006C539D" w:rsidP="006C539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6C539D" w:rsidRPr="006C539D" w:rsidTr="00330818">
        <w:trPr>
          <w:trHeight w:val="557"/>
        </w:trPr>
        <w:tc>
          <w:tcPr>
            <w:tcW w:w="9443" w:type="dxa"/>
            <w:shd w:val="clear" w:color="auto" w:fill="D9D9D9"/>
            <w:vAlign w:val="center"/>
          </w:tcPr>
          <w:p w:rsidR="006C539D" w:rsidRPr="00C23017" w:rsidRDefault="006C539D" w:rsidP="00702A79">
            <w:pPr>
              <w:pStyle w:val="TableText"/>
            </w:pPr>
            <w:r w:rsidRPr="00C23017">
              <w:rPr>
                <w:b/>
              </w:rPr>
              <w:t xml:space="preserve">Directions: </w:t>
            </w:r>
            <w:r w:rsidRPr="00C23017">
              <w:t xml:space="preserve">Explain how a central idea in “Civil Disobedience” </w:t>
            </w:r>
            <w:r w:rsidR="006805A1">
              <w:t>relates to</w:t>
            </w:r>
            <w:r w:rsidR="006805A1" w:rsidRPr="00C23017">
              <w:t xml:space="preserve"> </w:t>
            </w:r>
            <w:r w:rsidRPr="00C23017">
              <w:t xml:space="preserve">Thoreau’s </w:t>
            </w:r>
            <w:r w:rsidR="00702A79">
              <w:t>idea</w:t>
            </w:r>
            <w:r w:rsidR="00702A79" w:rsidRPr="00C23017">
              <w:t xml:space="preserve"> </w:t>
            </w:r>
            <w:r w:rsidRPr="00C23017">
              <w:t>of “</w:t>
            </w:r>
            <w:r w:rsidR="00993F77">
              <w:t xml:space="preserve">a </w:t>
            </w:r>
            <w:r w:rsidRPr="00C23017">
              <w:t xml:space="preserve">better government.” Review your </w:t>
            </w:r>
            <w:r w:rsidR="001E6434" w:rsidRPr="00C23017">
              <w:t xml:space="preserve">Central </w:t>
            </w:r>
            <w:r w:rsidRPr="00C23017">
              <w:t>Ideas Tracking Tools, notes, and annotations from throughout the unit, and provide textual evidence to support your response.</w:t>
            </w:r>
          </w:p>
        </w:tc>
      </w:tr>
    </w:tbl>
    <w:p w:rsidR="006C539D" w:rsidRPr="005B5363" w:rsidRDefault="006C539D" w:rsidP="006C539D">
      <w:pPr>
        <w:spacing w:before="0" w:after="0"/>
        <w:rPr>
          <w:sz w:val="10"/>
          <w:szCs w:val="10"/>
        </w:rPr>
      </w:pP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347"/>
      </w:tblGrid>
      <w:tr w:rsidR="006C539D" w:rsidRPr="00C23017" w:rsidTr="005B5363">
        <w:trPr>
          <w:tblHeader/>
        </w:trPr>
        <w:tc>
          <w:tcPr>
            <w:tcW w:w="9443" w:type="dxa"/>
            <w:gridSpan w:val="2"/>
            <w:shd w:val="clear" w:color="auto" w:fill="D9D9D9"/>
          </w:tcPr>
          <w:p w:rsidR="006C539D" w:rsidRPr="00C23017" w:rsidRDefault="006C539D" w:rsidP="00577ECD">
            <w:pPr>
              <w:pStyle w:val="ToolTableText"/>
            </w:pPr>
            <w:r w:rsidRPr="00577ECD">
              <w:rPr>
                <w:b/>
              </w:rPr>
              <w:t>Prompt</w:t>
            </w:r>
            <w:r w:rsidR="00FD29CD" w:rsidRPr="00577ECD">
              <w:rPr>
                <w:b/>
              </w:rPr>
              <w:t>:</w:t>
            </w:r>
            <w:r w:rsidR="009E4404" w:rsidRPr="005B4F86">
              <w:rPr>
                <w:b/>
              </w:rPr>
              <w:t xml:space="preserve"> </w:t>
            </w:r>
            <w:r w:rsidR="009E4404" w:rsidRPr="00DB5109">
              <w:t>Choose one central idea and analyze how it relates to Thoreau’s idea of “a better government.”</w:t>
            </w:r>
          </w:p>
        </w:tc>
      </w:tr>
      <w:tr w:rsidR="006C539D" w:rsidRPr="00C23017" w:rsidTr="00330818">
        <w:trPr>
          <w:tblHeader/>
        </w:trPr>
        <w:tc>
          <w:tcPr>
            <w:tcW w:w="3096" w:type="dxa"/>
            <w:shd w:val="clear" w:color="auto" w:fill="D9D9D9"/>
          </w:tcPr>
          <w:p w:rsidR="006C539D" w:rsidRPr="00C23017" w:rsidRDefault="006C539D" w:rsidP="006C539D">
            <w:pPr>
              <w:pStyle w:val="ToolTableText"/>
              <w:rPr>
                <w:b/>
              </w:rPr>
            </w:pPr>
            <w:r w:rsidRPr="00C23017">
              <w:rPr>
                <w:b/>
              </w:rPr>
              <w:t xml:space="preserve">Central Idea </w:t>
            </w:r>
          </w:p>
        </w:tc>
        <w:tc>
          <w:tcPr>
            <w:tcW w:w="6347" w:type="dxa"/>
            <w:shd w:val="clear" w:color="auto" w:fill="D9D9D9"/>
          </w:tcPr>
          <w:p w:rsidR="006C539D" w:rsidRPr="00C23017" w:rsidRDefault="006C539D" w:rsidP="00702A79">
            <w:pPr>
              <w:pStyle w:val="ToolTableText"/>
              <w:rPr>
                <w:b/>
              </w:rPr>
            </w:pPr>
            <w:r w:rsidRPr="00C23017">
              <w:rPr>
                <w:b/>
              </w:rPr>
              <w:t xml:space="preserve">How does this central idea </w:t>
            </w:r>
            <w:r w:rsidR="006805A1">
              <w:rPr>
                <w:b/>
              </w:rPr>
              <w:t>relate to</w:t>
            </w:r>
            <w:r w:rsidR="006805A1" w:rsidRPr="00C23017">
              <w:rPr>
                <w:b/>
              </w:rPr>
              <w:t xml:space="preserve"> </w:t>
            </w:r>
            <w:r w:rsidRPr="00C23017">
              <w:rPr>
                <w:b/>
              </w:rPr>
              <w:t xml:space="preserve">Thoreau’s </w:t>
            </w:r>
            <w:r w:rsidR="00702A79">
              <w:rPr>
                <w:b/>
              </w:rPr>
              <w:t>idea</w:t>
            </w:r>
            <w:r w:rsidR="00702A79" w:rsidRPr="00C23017">
              <w:rPr>
                <w:b/>
              </w:rPr>
              <w:t xml:space="preserve"> </w:t>
            </w:r>
            <w:r w:rsidRPr="00C23017">
              <w:rPr>
                <w:b/>
              </w:rPr>
              <w:t>of “</w:t>
            </w:r>
            <w:r w:rsidR="00993F77">
              <w:rPr>
                <w:b/>
              </w:rPr>
              <w:t xml:space="preserve">a </w:t>
            </w:r>
            <w:r w:rsidRPr="00C23017">
              <w:rPr>
                <w:b/>
              </w:rPr>
              <w:t>better government?” Provide textual evidence to support your response.</w:t>
            </w:r>
          </w:p>
        </w:tc>
      </w:tr>
      <w:tr w:rsidR="006C539D" w:rsidRPr="00C23017" w:rsidTr="00330818">
        <w:trPr>
          <w:trHeight w:val="3744"/>
        </w:trPr>
        <w:tc>
          <w:tcPr>
            <w:tcW w:w="3096" w:type="dxa"/>
            <w:shd w:val="clear" w:color="auto" w:fill="auto"/>
          </w:tcPr>
          <w:p w:rsidR="006C539D" w:rsidRPr="00C23017" w:rsidRDefault="006C539D" w:rsidP="006C539D">
            <w:pPr>
              <w:pStyle w:val="ToolTableText"/>
              <w:rPr>
                <w:b/>
              </w:rPr>
            </w:pPr>
          </w:p>
        </w:tc>
        <w:tc>
          <w:tcPr>
            <w:tcW w:w="6347" w:type="dxa"/>
            <w:shd w:val="clear" w:color="auto" w:fill="auto"/>
          </w:tcPr>
          <w:p w:rsidR="006C539D" w:rsidRPr="00C23017" w:rsidRDefault="006C539D" w:rsidP="006C539D">
            <w:pPr>
              <w:pStyle w:val="ToolTableText"/>
            </w:pPr>
          </w:p>
        </w:tc>
      </w:tr>
      <w:tr w:rsidR="006C539D" w:rsidRPr="00C23017" w:rsidTr="00330818">
        <w:trPr>
          <w:trHeight w:val="3744"/>
        </w:trPr>
        <w:tc>
          <w:tcPr>
            <w:tcW w:w="3096" w:type="dxa"/>
            <w:shd w:val="clear" w:color="auto" w:fill="auto"/>
          </w:tcPr>
          <w:p w:rsidR="006C539D" w:rsidRPr="00C23017" w:rsidRDefault="006C539D" w:rsidP="006C539D">
            <w:pPr>
              <w:pStyle w:val="ToolTableText"/>
              <w:rPr>
                <w:rFonts w:ascii="Calibri Light" w:hAnsi="Calibri Light"/>
                <w:b/>
              </w:rPr>
            </w:pPr>
          </w:p>
          <w:p w:rsidR="006C539D" w:rsidRPr="00C23017" w:rsidRDefault="006C539D" w:rsidP="006C539D">
            <w:pPr>
              <w:pStyle w:val="ToolTableText"/>
              <w:rPr>
                <w:rFonts w:ascii="Calibri Light" w:hAnsi="Calibri Light"/>
                <w:b/>
              </w:rPr>
            </w:pPr>
          </w:p>
        </w:tc>
        <w:tc>
          <w:tcPr>
            <w:tcW w:w="6347" w:type="dxa"/>
            <w:shd w:val="clear" w:color="auto" w:fill="auto"/>
          </w:tcPr>
          <w:p w:rsidR="006C539D" w:rsidRPr="00C23017" w:rsidRDefault="006C539D" w:rsidP="006C539D">
            <w:pPr>
              <w:pStyle w:val="ToolTableText"/>
            </w:pPr>
          </w:p>
          <w:p w:rsidR="006C539D" w:rsidRPr="00C23017" w:rsidRDefault="006C539D" w:rsidP="006C539D">
            <w:pPr>
              <w:pStyle w:val="ToolTableText"/>
            </w:pPr>
          </w:p>
        </w:tc>
      </w:tr>
    </w:tbl>
    <w:p w:rsidR="006C539D" w:rsidRPr="006C539D" w:rsidRDefault="006C539D" w:rsidP="006C539D">
      <w:pPr>
        <w:pStyle w:val="ToolHeader"/>
      </w:pPr>
      <w:r>
        <w:br w:type="page"/>
      </w:r>
      <w:r>
        <w:lastRenderedPageBreak/>
        <w:t>Model Better Government</w:t>
      </w:r>
      <w:r w:rsidRPr="006C539D">
        <w:t xml:space="preserve"> Evidence Gathering Tool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52"/>
      </w:tblGrid>
      <w:tr w:rsidR="006C539D" w:rsidRPr="005B5363" w:rsidTr="00330818">
        <w:trPr>
          <w:trHeight w:val="557"/>
        </w:trPr>
        <w:tc>
          <w:tcPr>
            <w:tcW w:w="820" w:type="dxa"/>
            <w:shd w:val="clear" w:color="auto" w:fill="D9D9D9"/>
            <w:vAlign w:val="center"/>
          </w:tcPr>
          <w:p w:rsidR="006C539D" w:rsidRPr="005B5363" w:rsidRDefault="006C539D" w:rsidP="006C539D">
            <w:pPr>
              <w:pStyle w:val="TableText"/>
              <w:rPr>
                <w:b/>
              </w:rPr>
            </w:pPr>
            <w:r w:rsidRPr="005B5363">
              <w:rPr>
                <w:b/>
              </w:rPr>
              <w:t>Name:</w:t>
            </w:r>
          </w:p>
        </w:tc>
        <w:tc>
          <w:tcPr>
            <w:tcW w:w="2780" w:type="dxa"/>
            <w:shd w:val="clear" w:color="auto" w:fill="auto"/>
            <w:vAlign w:val="center"/>
          </w:tcPr>
          <w:p w:rsidR="006C539D" w:rsidRPr="005B5363" w:rsidRDefault="006C539D" w:rsidP="006C539D">
            <w:pPr>
              <w:pStyle w:val="TableText"/>
              <w:rPr>
                <w:b/>
              </w:rPr>
            </w:pPr>
          </w:p>
        </w:tc>
        <w:tc>
          <w:tcPr>
            <w:tcW w:w="732" w:type="dxa"/>
            <w:shd w:val="clear" w:color="auto" w:fill="D9D9D9"/>
            <w:vAlign w:val="center"/>
          </w:tcPr>
          <w:p w:rsidR="006C539D" w:rsidRPr="005B5363" w:rsidRDefault="006C539D" w:rsidP="006C539D">
            <w:pPr>
              <w:pStyle w:val="TableText"/>
              <w:rPr>
                <w:b/>
              </w:rPr>
            </w:pPr>
            <w:r w:rsidRPr="005B5363">
              <w:rPr>
                <w:b/>
              </w:rPr>
              <w:t>Class:</w:t>
            </w:r>
          </w:p>
        </w:tc>
        <w:tc>
          <w:tcPr>
            <w:tcW w:w="3039" w:type="dxa"/>
            <w:shd w:val="clear" w:color="auto" w:fill="auto"/>
            <w:vAlign w:val="center"/>
          </w:tcPr>
          <w:p w:rsidR="006C539D" w:rsidRPr="005B5363" w:rsidRDefault="006C539D" w:rsidP="006C539D">
            <w:pPr>
              <w:pStyle w:val="TableText"/>
              <w:rPr>
                <w:b/>
              </w:rPr>
            </w:pPr>
          </w:p>
        </w:tc>
        <w:tc>
          <w:tcPr>
            <w:tcW w:w="720" w:type="dxa"/>
            <w:shd w:val="clear" w:color="auto" w:fill="D9D9D9"/>
            <w:vAlign w:val="center"/>
          </w:tcPr>
          <w:p w:rsidR="006C539D" w:rsidRPr="005B5363" w:rsidRDefault="006C539D" w:rsidP="006C539D">
            <w:pPr>
              <w:pStyle w:val="TableText"/>
              <w:rPr>
                <w:b/>
              </w:rPr>
            </w:pPr>
            <w:r w:rsidRPr="005B5363">
              <w:rPr>
                <w:b/>
              </w:rPr>
              <w:t>Date:</w:t>
            </w:r>
          </w:p>
        </w:tc>
        <w:tc>
          <w:tcPr>
            <w:tcW w:w="1352" w:type="dxa"/>
            <w:shd w:val="clear" w:color="auto" w:fill="auto"/>
            <w:vAlign w:val="center"/>
          </w:tcPr>
          <w:p w:rsidR="006C539D" w:rsidRPr="005B5363" w:rsidRDefault="006C539D" w:rsidP="006C539D">
            <w:pPr>
              <w:pStyle w:val="TableText"/>
              <w:rPr>
                <w:b/>
              </w:rPr>
            </w:pPr>
          </w:p>
        </w:tc>
      </w:tr>
    </w:tbl>
    <w:p w:rsidR="006C539D" w:rsidRPr="00435493" w:rsidRDefault="006C539D" w:rsidP="006C539D">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6C539D" w:rsidRPr="006C539D" w:rsidTr="00330818">
        <w:trPr>
          <w:trHeight w:val="557"/>
        </w:trPr>
        <w:tc>
          <w:tcPr>
            <w:tcW w:w="9443" w:type="dxa"/>
            <w:shd w:val="clear" w:color="auto" w:fill="D9D9D9"/>
            <w:vAlign w:val="center"/>
          </w:tcPr>
          <w:p w:rsidR="006C539D" w:rsidRPr="00330818" w:rsidRDefault="006C539D" w:rsidP="00702A79">
            <w:pPr>
              <w:pStyle w:val="TableText"/>
              <w:rPr>
                <w:b/>
              </w:rPr>
            </w:pPr>
            <w:r w:rsidRPr="00330818">
              <w:rPr>
                <w:b/>
              </w:rPr>
              <w:t xml:space="preserve">Directions: </w:t>
            </w:r>
            <w:r w:rsidRPr="00330818">
              <w:t xml:space="preserve">Explain how a central idea in “Civil Disobedience” </w:t>
            </w:r>
            <w:r w:rsidR="006805A1">
              <w:t>relates to</w:t>
            </w:r>
            <w:r w:rsidRPr="00330818">
              <w:t xml:space="preserve"> Thoreau’s </w:t>
            </w:r>
            <w:r w:rsidR="00702A79">
              <w:t>idea</w:t>
            </w:r>
            <w:r w:rsidR="00702A79" w:rsidRPr="00330818">
              <w:t xml:space="preserve"> </w:t>
            </w:r>
            <w:r w:rsidRPr="00330818">
              <w:t xml:space="preserve">of a “better government.” Review your </w:t>
            </w:r>
            <w:r w:rsidR="001E6434" w:rsidRPr="00330818">
              <w:t xml:space="preserve">Central </w:t>
            </w:r>
            <w:r w:rsidRPr="00330818">
              <w:t>Ideas Tracking Tools, notes, and annotations from throughout the unit, and provide textual evidence to support your response.</w:t>
            </w:r>
          </w:p>
        </w:tc>
      </w:tr>
    </w:tbl>
    <w:p w:rsidR="006C539D" w:rsidRPr="00435493" w:rsidRDefault="006C539D" w:rsidP="006C539D">
      <w:pPr>
        <w:spacing w:before="0" w:after="0"/>
        <w:rPr>
          <w:sz w:val="10"/>
          <w:szCs w:val="10"/>
        </w:rPr>
      </w:pP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347"/>
      </w:tblGrid>
      <w:tr w:rsidR="006C539D" w:rsidRPr="00330818" w:rsidTr="005B5363">
        <w:tc>
          <w:tcPr>
            <w:tcW w:w="9443" w:type="dxa"/>
            <w:gridSpan w:val="2"/>
            <w:shd w:val="clear" w:color="auto" w:fill="D9D9D9"/>
          </w:tcPr>
          <w:p w:rsidR="006C539D" w:rsidRPr="00577ECD" w:rsidRDefault="006C539D" w:rsidP="00577ECD">
            <w:pPr>
              <w:pStyle w:val="ToolTableText"/>
              <w:rPr>
                <w:b/>
              </w:rPr>
            </w:pPr>
            <w:r w:rsidRPr="00577ECD">
              <w:rPr>
                <w:b/>
              </w:rPr>
              <w:t xml:space="preserve">Prompt: </w:t>
            </w:r>
            <w:r w:rsidR="009E4404" w:rsidRPr="00353609">
              <w:t xml:space="preserve">Choose one central idea and analyze how it relates to Thoreau’s </w:t>
            </w:r>
            <w:r w:rsidR="009E4404" w:rsidRPr="00991A16">
              <w:t>idea of “a better government.”</w:t>
            </w:r>
          </w:p>
        </w:tc>
      </w:tr>
      <w:tr w:rsidR="006C539D" w:rsidRPr="00330818" w:rsidTr="005B5363">
        <w:tc>
          <w:tcPr>
            <w:tcW w:w="3096" w:type="dxa"/>
            <w:shd w:val="clear" w:color="auto" w:fill="D9D9D9"/>
          </w:tcPr>
          <w:p w:rsidR="006C539D" w:rsidRPr="00330818" w:rsidRDefault="006C539D" w:rsidP="006C539D">
            <w:pPr>
              <w:pStyle w:val="ToolTableText"/>
              <w:rPr>
                <w:b/>
              </w:rPr>
            </w:pPr>
            <w:r w:rsidRPr="00330818">
              <w:rPr>
                <w:b/>
              </w:rPr>
              <w:t xml:space="preserve">Central Idea </w:t>
            </w:r>
          </w:p>
        </w:tc>
        <w:tc>
          <w:tcPr>
            <w:tcW w:w="6347" w:type="dxa"/>
            <w:shd w:val="clear" w:color="auto" w:fill="D9D9D9"/>
          </w:tcPr>
          <w:p w:rsidR="006C539D" w:rsidRPr="00330818" w:rsidRDefault="006C539D" w:rsidP="00702A79">
            <w:pPr>
              <w:pStyle w:val="ToolTableText"/>
              <w:rPr>
                <w:b/>
              </w:rPr>
            </w:pPr>
            <w:r w:rsidRPr="00330818">
              <w:rPr>
                <w:b/>
              </w:rPr>
              <w:t xml:space="preserve">How does this central idea </w:t>
            </w:r>
            <w:r w:rsidR="006805A1">
              <w:rPr>
                <w:b/>
              </w:rPr>
              <w:t>relate to</w:t>
            </w:r>
            <w:r w:rsidR="006805A1" w:rsidRPr="00330818">
              <w:rPr>
                <w:b/>
              </w:rPr>
              <w:t xml:space="preserve"> </w:t>
            </w:r>
            <w:r w:rsidRPr="00330818">
              <w:rPr>
                <w:b/>
              </w:rPr>
              <w:t xml:space="preserve">Thoreau’s </w:t>
            </w:r>
            <w:r w:rsidR="00702A79">
              <w:rPr>
                <w:b/>
              </w:rPr>
              <w:t>idea</w:t>
            </w:r>
            <w:r w:rsidR="00702A79" w:rsidRPr="00330818">
              <w:rPr>
                <w:b/>
              </w:rPr>
              <w:t xml:space="preserve"> </w:t>
            </w:r>
            <w:r w:rsidRPr="00330818">
              <w:rPr>
                <w:b/>
              </w:rPr>
              <w:t>of “</w:t>
            </w:r>
            <w:r w:rsidR="00993F77">
              <w:rPr>
                <w:b/>
              </w:rPr>
              <w:t xml:space="preserve">a </w:t>
            </w:r>
            <w:r w:rsidRPr="00330818">
              <w:rPr>
                <w:b/>
              </w:rPr>
              <w:t>better government?” Provide textual evidence to support your response.</w:t>
            </w:r>
          </w:p>
        </w:tc>
      </w:tr>
      <w:tr w:rsidR="006C539D" w:rsidRPr="00330818" w:rsidTr="005B5363">
        <w:trPr>
          <w:trHeight w:val="3744"/>
        </w:trPr>
        <w:tc>
          <w:tcPr>
            <w:tcW w:w="3096" w:type="dxa"/>
            <w:shd w:val="clear" w:color="auto" w:fill="auto"/>
          </w:tcPr>
          <w:p w:rsidR="006C539D" w:rsidRPr="00330818" w:rsidRDefault="006C539D" w:rsidP="006C539D">
            <w:pPr>
              <w:pStyle w:val="ToolTableText"/>
            </w:pPr>
            <w:r w:rsidRPr="00330818">
              <w:t>The relationship between the individual and the state</w:t>
            </w:r>
          </w:p>
        </w:tc>
        <w:tc>
          <w:tcPr>
            <w:tcW w:w="6347" w:type="dxa"/>
            <w:shd w:val="clear" w:color="auto" w:fill="auto"/>
          </w:tcPr>
          <w:p w:rsidR="006C539D" w:rsidRPr="00330818" w:rsidRDefault="00356608" w:rsidP="00353609">
            <w:pPr>
              <w:pStyle w:val="ToolTableText"/>
            </w:pPr>
            <w:r w:rsidRPr="00330818">
              <w:t>Thoreau’s</w:t>
            </w:r>
            <w:r w:rsidR="00362BBB" w:rsidRPr="00330818">
              <w:t xml:space="preserve"> “better government”</w:t>
            </w:r>
            <w:r w:rsidR="003653BD" w:rsidRPr="00330818">
              <w:t xml:space="preserve"> (part 1, par.</w:t>
            </w:r>
            <w:r w:rsidR="00FD29CD">
              <w:t xml:space="preserve"> </w:t>
            </w:r>
            <w:r w:rsidR="003653BD" w:rsidRPr="00330818">
              <w:t>3)</w:t>
            </w:r>
            <w:r w:rsidR="00362BBB" w:rsidRPr="00330818">
              <w:t xml:space="preserve"> is one in which the</w:t>
            </w:r>
            <w:r w:rsidR="003653BD" w:rsidRPr="00330818">
              <w:t xml:space="preserve"> state </w:t>
            </w:r>
            <w:r w:rsidR="005C318E" w:rsidRPr="00330818">
              <w:t>has a “true respect” for</w:t>
            </w:r>
            <w:r w:rsidR="003653BD" w:rsidRPr="00330818">
              <w:t xml:space="preserve"> the individual</w:t>
            </w:r>
            <w:r w:rsidR="005C318E" w:rsidRPr="00330818">
              <w:t xml:space="preserve"> (part 3, par. 19)</w:t>
            </w:r>
            <w:r w:rsidR="003653BD" w:rsidRPr="00330818">
              <w:t xml:space="preserve">. In </w:t>
            </w:r>
            <w:r w:rsidR="009771CC">
              <w:t>p</w:t>
            </w:r>
            <w:r w:rsidR="003653BD" w:rsidRPr="00330818">
              <w:t>art 3, par</w:t>
            </w:r>
            <w:r w:rsidR="00FD29CD">
              <w:t>agraph</w:t>
            </w:r>
            <w:r w:rsidR="003653BD" w:rsidRPr="00330818">
              <w:t xml:space="preserve"> 19, </w:t>
            </w:r>
            <w:r w:rsidR="000A1761" w:rsidRPr="00330818">
              <w:t xml:space="preserve">Thoreau </w:t>
            </w:r>
            <w:r w:rsidR="003653BD" w:rsidRPr="00330818">
              <w:t xml:space="preserve">states that the authority of the government is </w:t>
            </w:r>
            <w:r w:rsidR="005C318E" w:rsidRPr="00330818">
              <w:t>“</w:t>
            </w:r>
            <w:r w:rsidR="003653BD" w:rsidRPr="00330818">
              <w:t>just</w:t>
            </w:r>
            <w:r w:rsidR="005C318E" w:rsidRPr="00330818">
              <w:t>”</w:t>
            </w:r>
            <w:r w:rsidR="003653BD" w:rsidRPr="00330818">
              <w:t xml:space="preserve"> only if it has</w:t>
            </w:r>
            <w:r w:rsidR="000A1761" w:rsidRPr="00330818">
              <w:t xml:space="preserve"> “the sanction and consent of the governed. It can have no pure right over my person and property but what I concede to it</w:t>
            </w:r>
            <w:r w:rsidR="00FD29CD">
              <w:t>.</w:t>
            </w:r>
            <w:r w:rsidR="000A1761" w:rsidRPr="00330818">
              <w:t xml:space="preserve">” </w:t>
            </w:r>
            <w:r w:rsidR="00FD29CD">
              <w:t>Th</w:t>
            </w:r>
            <w:r w:rsidR="003653BD" w:rsidRPr="00330818">
              <w:t>is means that</w:t>
            </w:r>
            <w:r w:rsidR="004958E8" w:rsidRPr="00330818">
              <w:t xml:space="preserve"> Thoreau believes that </w:t>
            </w:r>
            <w:r w:rsidR="003653BD" w:rsidRPr="00330818">
              <w:t>“</w:t>
            </w:r>
            <w:r w:rsidR="00993F77">
              <w:t xml:space="preserve">a </w:t>
            </w:r>
            <w:r w:rsidR="003653BD" w:rsidRPr="00330818">
              <w:t xml:space="preserve">better government” (part 1, par. 3) </w:t>
            </w:r>
            <w:r w:rsidR="004958E8" w:rsidRPr="00330818">
              <w:t>will</w:t>
            </w:r>
            <w:r w:rsidR="000A1761" w:rsidRPr="00330818">
              <w:t xml:space="preserve"> recognize the individual as</w:t>
            </w:r>
            <w:r w:rsidR="003653BD" w:rsidRPr="00330818">
              <w:t xml:space="preserve"> independent from a</w:t>
            </w:r>
            <w:r w:rsidR="004958E8" w:rsidRPr="00330818">
              <w:t>nd more powerful than itself, because</w:t>
            </w:r>
            <w:r w:rsidR="003653BD" w:rsidRPr="00330818">
              <w:t xml:space="preserve"> all the power and authority of the state come from the individual. Because the state is dependent </w:t>
            </w:r>
            <w:r w:rsidR="005C318E" w:rsidRPr="00330818">
              <w:t>up</w:t>
            </w:r>
            <w:r w:rsidR="003653BD" w:rsidRPr="00330818">
              <w:t>on the individual, it must</w:t>
            </w:r>
            <w:r w:rsidR="000A1761" w:rsidRPr="00330818">
              <w:t xml:space="preserve"> </w:t>
            </w:r>
            <w:r w:rsidR="005C318E" w:rsidRPr="00330818">
              <w:t>“</w:t>
            </w:r>
            <w:r w:rsidR="000A1761" w:rsidRPr="00330818">
              <w:t xml:space="preserve">treat[] him accordingly” </w:t>
            </w:r>
            <w:r w:rsidR="007C3936">
              <w:t>and</w:t>
            </w:r>
            <w:r w:rsidR="004958E8" w:rsidRPr="00330818">
              <w:t xml:space="preserve"> “recognize the individual as</w:t>
            </w:r>
            <w:r w:rsidR="005C318E" w:rsidRPr="00330818">
              <w:t xml:space="preserve"> a higher and independent power” (part 3, par. 19)</w:t>
            </w:r>
            <w:r w:rsidR="000A1761" w:rsidRPr="00330818">
              <w:t xml:space="preserve">. </w:t>
            </w:r>
            <w:r w:rsidR="005C318E" w:rsidRPr="00330818">
              <w:t>Therefor</w:t>
            </w:r>
            <w:r w:rsidR="00AF0A06" w:rsidRPr="00330818">
              <w:t>e</w:t>
            </w:r>
            <w:r w:rsidR="005C318E" w:rsidRPr="00330818">
              <w:t xml:space="preserve">, the basis of the “better government” that </w:t>
            </w:r>
            <w:r w:rsidR="000A1761" w:rsidRPr="00330818">
              <w:t xml:space="preserve">Thoreau </w:t>
            </w:r>
            <w:r w:rsidR="005C318E" w:rsidRPr="00330818">
              <w:t>advocates for i</w:t>
            </w:r>
            <w:r w:rsidR="000A1761" w:rsidRPr="00330818">
              <w:t>s a</w:t>
            </w:r>
            <w:r w:rsidR="005C318E" w:rsidRPr="00330818">
              <w:t xml:space="preserve"> relationship between the individual and the state in which the state respects </w:t>
            </w:r>
            <w:r w:rsidR="000A1761" w:rsidRPr="00330818">
              <w:t xml:space="preserve">the </w:t>
            </w:r>
            <w:r w:rsidR="005C318E" w:rsidRPr="00330818">
              <w:t xml:space="preserve">individual. </w:t>
            </w:r>
          </w:p>
        </w:tc>
      </w:tr>
      <w:tr w:rsidR="006C539D" w:rsidRPr="00330818" w:rsidTr="005B5363">
        <w:trPr>
          <w:cantSplit/>
          <w:trHeight w:val="3941"/>
        </w:trPr>
        <w:tc>
          <w:tcPr>
            <w:tcW w:w="3096" w:type="dxa"/>
            <w:shd w:val="clear" w:color="auto" w:fill="auto"/>
          </w:tcPr>
          <w:p w:rsidR="006C539D" w:rsidRPr="00330818" w:rsidRDefault="006C539D" w:rsidP="008D6789">
            <w:pPr>
              <w:pStyle w:val="ToolTableText"/>
            </w:pPr>
            <w:r w:rsidRPr="00330818">
              <w:lastRenderedPageBreak/>
              <w:t>Ethics</w:t>
            </w:r>
            <w:r w:rsidR="001F1F31">
              <w:t xml:space="preserve"> </w:t>
            </w:r>
          </w:p>
        </w:tc>
        <w:tc>
          <w:tcPr>
            <w:tcW w:w="6347" w:type="dxa"/>
            <w:shd w:val="clear" w:color="auto" w:fill="auto"/>
          </w:tcPr>
          <w:p w:rsidR="006C539D" w:rsidRPr="00330818" w:rsidRDefault="005C318E" w:rsidP="007C3936">
            <w:pPr>
              <w:pStyle w:val="ToolTableText"/>
            </w:pPr>
            <w:r w:rsidRPr="00330818">
              <w:t>In t</w:t>
            </w:r>
            <w:r w:rsidR="00356608" w:rsidRPr="00330818">
              <w:t>he “b</w:t>
            </w:r>
            <w:r w:rsidRPr="00330818">
              <w:t xml:space="preserve">etter government” </w:t>
            </w:r>
            <w:r w:rsidR="009912DC">
              <w:t>for which</w:t>
            </w:r>
            <w:r w:rsidR="009912DC" w:rsidRPr="00330818">
              <w:t xml:space="preserve"> </w:t>
            </w:r>
            <w:r w:rsidRPr="00330818">
              <w:t>Thoreau advocates</w:t>
            </w:r>
            <w:r w:rsidR="007C3936">
              <w:t xml:space="preserve"> (part 1, par. 3)</w:t>
            </w:r>
            <w:r w:rsidRPr="00330818">
              <w:t xml:space="preserve">, authority </w:t>
            </w:r>
            <w:r w:rsidR="006674C5" w:rsidRPr="00330818">
              <w:t xml:space="preserve">does not </w:t>
            </w:r>
            <w:r w:rsidRPr="00330818">
              <w:t xml:space="preserve">come from the will of the majority, </w:t>
            </w:r>
            <w:r w:rsidR="007C3936">
              <w:t>as it does</w:t>
            </w:r>
            <w:r w:rsidRPr="00330818">
              <w:t xml:space="preserve"> in a democracy. Instead, it comes from the individual</w:t>
            </w:r>
            <w:r w:rsidR="00DB7423" w:rsidRPr="00330818">
              <w:t>’</w:t>
            </w:r>
            <w:r w:rsidRPr="00330818">
              <w:t xml:space="preserve">s belief in what is right or wrong, or the conscience of the individual. Thoreau argues that men </w:t>
            </w:r>
            <w:r w:rsidR="009912DC">
              <w:t>“</w:t>
            </w:r>
            <w:r w:rsidR="006D082E" w:rsidRPr="00330818">
              <w:t>should be men first</w:t>
            </w:r>
            <w:r w:rsidR="000A1761" w:rsidRPr="00330818">
              <w:t>, and subjects afterward” (part 1, par.</w:t>
            </w:r>
            <w:r w:rsidR="00353609">
              <w:t xml:space="preserve"> </w:t>
            </w:r>
            <w:r w:rsidR="000A1761" w:rsidRPr="00330818">
              <w:t>4). In other words, they sho</w:t>
            </w:r>
            <w:r w:rsidR="00DB7423" w:rsidRPr="00330818">
              <w:t xml:space="preserve">uld act on their consciences </w:t>
            </w:r>
            <w:r w:rsidR="000A1761" w:rsidRPr="00330818">
              <w:t>rather than according t</w:t>
            </w:r>
            <w:r w:rsidR="00DB7423" w:rsidRPr="00330818">
              <w:t>o the law determined by the will</w:t>
            </w:r>
            <w:r w:rsidR="000A1761" w:rsidRPr="00330818">
              <w:t xml:space="preserve"> of the major</w:t>
            </w:r>
            <w:r w:rsidR="004958E8" w:rsidRPr="00330818">
              <w:t>ity. Thoreau develops this idea</w:t>
            </w:r>
            <w:r w:rsidR="00DB7423" w:rsidRPr="00330818">
              <w:t xml:space="preserve"> in part 2</w:t>
            </w:r>
            <w:r w:rsidR="007C3936">
              <w:t>,</w:t>
            </w:r>
            <w:r w:rsidR="00DB7423" w:rsidRPr="00330818">
              <w:t xml:space="preserve"> paragraph 2 when he states that, “[a]ction from principle</w:t>
            </w:r>
            <w:r w:rsidR="007C3936">
              <w:t>—</w:t>
            </w:r>
            <w:r w:rsidR="00DB7423" w:rsidRPr="00330818">
              <w:t xml:space="preserve">the perception and </w:t>
            </w:r>
            <w:r w:rsidR="006D082E" w:rsidRPr="00330818">
              <w:t xml:space="preserve">the </w:t>
            </w:r>
            <w:r w:rsidR="007C3936">
              <w:t>performance of right—</w:t>
            </w:r>
            <w:r w:rsidR="00DB7423" w:rsidRPr="00330818">
              <w:t xml:space="preserve">changes things and relations; it is essentially revolutionary.” </w:t>
            </w:r>
            <w:r w:rsidR="006805A1">
              <w:t xml:space="preserve">Thoreau’s explanation of action from principle </w:t>
            </w:r>
            <w:r w:rsidR="00DB7423" w:rsidRPr="00330818">
              <w:t xml:space="preserve">suggests </w:t>
            </w:r>
            <w:r w:rsidR="000A1761" w:rsidRPr="00330818">
              <w:t>that when men disagree with the actions of the state, they have a duty to act on their conscience by withdrawing their support from it</w:t>
            </w:r>
            <w:r w:rsidR="00DB7423" w:rsidRPr="00330818">
              <w:t>. Thoreau tells the story of his own night in jail after refusing to pay his taxes in part 3</w:t>
            </w:r>
            <w:r w:rsidR="001D49C9">
              <w:t>,</w:t>
            </w:r>
            <w:r w:rsidR="00DB7423" w:rsidRPr="00330818">
              <w:t xml:space="preserve"> paragraphs 1</w:t>
            </w:r>
            <w:r w:rsidR="007C3936">
              <w:t>–</w:t>
            </w:r>
            <w:r w:rsidR="00DB7423" w:rsidRPr="00330818">
              <w:t>8 as an example of “action from principle” that will ultimately lead to a “peaceable revolution” (part 2, par.</w:t>
            </w:r>
            <w:r w:rsidR="00353609">
              <w:t xml:space="preserve"> </w:t>
            </w:r>
            <w:r w:rsidR="00DB7423" w:rsidRPr="00330818">
              <w:t xml:space="preserve">9). </w:t>
            </w:r>
          </w:p>
        </w:tc>
      </w:tr>
    </w:tbl>
    <w:p w:rsidR="00330818" w:rsidRDefault="00330818" w:rsidP="006C539D">
      <w:pPr>
        <w:sectPr w:rsidR="00330818" w:rsidSect="00537A7C">
          <w:pgSz w:w="12240" w:h="15840"/>
          <w:pgMar w:top="1440" w:right="1440" w:bottom="1440" w:left="1440" w:header="432" w:footer="648" w:gutter="0"/>
          <w:cols w:space="720"/>
          <w:docGrid w:linePitch="299"/>
        </w:sectPr>
      </w:pPr>
    </w:p>
    <w:p w:rsidR="005B5363" w:rsidRDefault="005B5363" w:rsidP="005B5363">
      <w:pPr>
        <w:pStyle w:val="ToolHeader"/>
      </w:pPr>
      <w:r>
        <w:lastRenderedPageBreak/>
        <w:t>12.2.1 Lesson 15 Exit Slip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348"/>
      </w:tblGrid>
      <w:tr w:rsidR="005B5363" w:rsidRPr="005B5363" w:rsidTr="00D47511">
        <w:trPr>
          <w:trHeight w:val="557"/>
        </w:trPr>
        <w:tc>
          <w:tcPr>
            <w:tcW w:w="816" w:type="dxa"/>
            <w:shd w:val="clear" w:color="auto" w:fill="D9D9D9"/>
            <w:vAlign w:val="center"/>
          </w:tcPr>
          <w:p w:rsidR="005B5363" w:rsidRPr="005B5363" w:rsidRDefault="005B5363" w:rsidP="00D47511">
            <w:pPr>
              <w:pStyle w:val="ToolTableText"/>
              <w:rPr>
                <w:b/>
              </w:rPr>
            </w:pPr>
            <w:r w:rsidRPr="005B5363">
              <w:rPr>
                <w:b/>
              </w:rPr>
              <w:t>Name:</w:t>
            </w:r>
          </w:p>
        </w:tc>
        <w:tc>
          <w:tcPr>
            <w:tcW w:w="2786" w:type="dxa"/>
            <w:shd w:val="clear" w:color="auto" w:fill="auto"/>
            <w:vAlign w:val="center"/>
          </w:tcPr>
          <w:p w:rsidR="005B5363" w:rsidRPr="005B5363" w:rsidRDefault="005B5363" w:rsidP="00D47511">
            <w:pPr>
              <w:pStyle w:val="ToolTableText"/>
              <w:rPr>
                <w:b/>
              </w:rPr>
            </w:pPr>
          </w:p>
        </w:tc>
        <w:tc>
          <w:tcPr>
            <w:tcW w:w="728" w:type="dxa"/>
            <w:shd w:val="clear" w:color="auto" w:fill="D9D9D9"/>
            <w:vAlign w:val="center"/>
          </w:tcPr>
          <w:p w:rsidR="005B5363" w:rsidRPr="005B5363" w:rsidRDefault="005B5363" w:rsidP="00D47511">
            <w:pPr>
              <w:pStyle w:val="ToolTableText"/>
              <w:rPr>
                <w:b/>
              </w:rPr>
            </w:pPr>
            <w:r w:rsidRPr="005B5363">
              <w:rPr>
                <w:b/>
              </w:rPr>
              <w:t>Class:</w:t>
            </w:r>
          </w:p>
        </w:tc>
        <w:tc>
          <w:tcPr>
            <w:tcW w:w="3045" w:type="dxa"/>
            <w:shd w:val="clear" w:color="auto" w:fill="auto"/>
            <w:vAlign w:val="center"/>
          </w:tcPr>
          <w:p w:rsidR="005B5363" w:rsidRPr="005B5363" w:rsidRDefault="005B5363" w:rsidP="00D47511">
            <w:pPr>
              <w:pStyle w:val="ToolTableText"/>
              <w:rPr>
                <w:b/>
              </w:rPr>
            </w:pPr>
          </w:p>
        </w:tc>
        <w:tc>
          <w:tcPr>
            <w:tcW w:w="720" w:type="dxa"/>
            <w:shd w:val="clear" w:color="auto" w:fill="D9D9D9"/>
            <w:vAlign w:val="center"/>
          </w:tcPr>
          <w:p w:rsidR="005B5363" w:rsidRPr="005B5363" w:rsidRDefault="005B5363" w:rsidP="00D47511">
            <w:pPr>
              <w:pStyle w:val="ToolTableText"/>
              <w:rPr>
                <w:b/>
              </w:rPr>
            </w:pPr>
            <w:r w:rsidRPr="005B5363">
              <w:rPr>
                <w:b/>
              </w:rPr>
              <w:t>Date:</w:t>
            </w:r>
          </w:p>
        </w:tc>
        <w:tc>
          <w:tcPr>
            <w:tcW w:w="1348" w:type="dxa"/>
            <w:shd w:val="clear" w:color="auto" w:fill="auto"/>
            <w:vAlign w:val="center"/>
          </w:tcPr>
          <w:p w:rsidR="005B5363" w:rsidRPr="005B5363" w:rsidRDefault="005B5363" w:rsidP="00D47511">
            <w:pPr>
              <w:pStyle w:val="ToolTableText"/>
              <w:rPr>
                <w:b/>
              </w:rPr>
            </w:pPr>
          </w:p>
        </w:tc>
      </w:tr>
    </w:tbl>
    <w:p w:rsidR="005B5363" w:rsidRPr="005B5363" w:rsidRDefault="005B5363" w:rsidP="005B5363">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5B5363" w:rsidRPr="00DC3A6D" w:rsidTr="00D47511">
        <w:trPr>
          <w:trHeight w:val="557"/>
        </w:trPr>
        <w:tc>
          <w:tcPr>
            <w:tcW w:w="9443" w:type="dxa"/>
            <w:shd w:val="clear" w:color="auto" w:fill="D9D9D9"/>
            <w:vAlign w:val="center"/>
          </w:tcPr>
          <w:p w:rsidR="005B5363" w:rsidRPr="00085333" w:rsidRDefault="005B5363" w:rsidP="00D47511">
            <w:pPr>
              <w:pStyle w:val="ToolTableText"/>
              <w:rPr>
                <w:b/>
              </w:rPr>
            </w:pPr>
            <w:r w:rsidRPr="00085333">
              <w:rPr>
                <w:b/>
              </w:rPr>
              <w:t>Directions:</w:t>
            </w:r>
            <w:r w:rsidRPr="00DC3A6D">
              <w:t xml:space="preserve"> </w:t>
            </w:r>
            <w:r>
              <w:t>Explain how the discussion confirmed or changed your ideas about the prompt.</w:t>
            </w:r>
          </w:p>
        </w:tc>
      </w:tr>
    </w:tbl>
    <w:p w:rsidR="005B5363" w:rsidRPr="005B5363" w:rsidRDefault="005B5363" w:rsidP="005B5363">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640"/>
      </w:tblGrid>
      <w:tr w:rsidR="005B5363" w:rsidRPr="0053566B" w:rsidTr="00435493">
        <w:trPr>
          <w:trHeight w:val="562"/>
        </w:trPr>
        <w:tc>
          <w:tcPr>
            <w:tcW w:w="803" w:type="dxa"/>
            <w:shd w:val="clear" w:color="auto" w:fill="D9D9D9"/>
            <w:vAlign w:val="center"/>
          </w:tcPr>
          <w:p w:rsidR="005B5363" w:rsidRPr="00F158B0" w:rsidRDefault="005B5363" w:rsidP="00435493">
            <w:pPr>
              <w:pStyle w:val="ToolTableText"/>
            </w:pPr>
            <w:r w:rsidRPr="00085333">
              <w:rPr>
                <w:b/>
              </w:rPr>
              <w:t>Text:</w:t>
            </w:r>
            <w:r w:rsidRPr="00DC3A6D">
              <w:t xml:space="preserve"> </w:t>
            </w:r>
          </w:p>
        </w:tc>
        <w:tc>
          <w:tcPr>
            <w:tcW w:w="8640" w:type="dxa"/>
            <w:shd w:val="clear" w:color="auto" w:fill="auto"/>
            <w:vAlign w:val="center"/>
          </w:tcPr>
          <w:p w:rsidR="005B5363" w:rsidRPr="00F158B0" w:rsidRDefault="005B5363" w:rsidP="00435493">
            <w:pPr>
              <w:pStyle w:val="ToolTableText"/>
            </w:pPr>
            <w:r>
              <w:t>“</w:t>
            </w:r>
            <w:r w:rsidRPr="006C539D">
              <w:t>Civil Disobedience</w:t>
            </w:r>
            <w:r>
              <w:t>”</w:t>
            </w:r>
            <w:r>
              <w:rPr>
                <w:i/>
              </w:rPr>
              <w:t xml:space="preserve"> </w:t>
            </w:r>
            <w:r w:rsidRPr="006C539D">
              <w:t>by Henry David Thoreau</w:t>
            </w:r>
          </w:p>
        </w:tc>
      </w:tr>
    </w:tbl>
    <w:p w:rsidR="005B5363" w:rsidRPr="005B5363" w:rsidRDefault="005B5363" w:rsidP="005B5363">
      <w:pPr>
        <w:spacing w:after="0" w:line="240" w:lineRule="auto"/>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5B5363" w:rsidRPr="0053566B" w:rsidTr="00D47511">
        <w:tc>
          <w:tcPr>
            <w:tcW w:w="9443" w:type="dxa"/>
            <w:shd w:val="clear" w:color="auto" w:fill="D9D9D9"/>
          </w:tcPr>
          <w:p w:rsidR="005B5363" w:rsidRPr="00DC3A6D" w:rsidRDefault="005B5363" w:rsidP="00993F77">
            <w:pPr>
              <w:pStyle w:val="ToolTableText"/>
            </w:pPr>
            <w:r w:rsidRPr="00085333">
              <w:rPr>
                <w:rFonts w:eastAsia="Times New Roman" w:cs="Arial"/>
                <w:b/>
                <w:color w:val="000000"/>
              </w:rPr>
              <w:t>Prompt:</w:t>
            </w:r>
            <w:r w:rsidRPr="00085333">
              <w:rPr>
                <w:rFonts w:eastAsia="Times New Roman" w:cs="Arial"/>
                <w:color w:val="000000"/>
              </w:rPr>
              <w:t xml:space="preserve"> </w:t>
            </w:r>
            <w:r w:rsidR="009E4404" w:rsidRPr="00577ECD">
              <w:t>Choose one central idea and analyze how it relates to Thoreau’s idea of “</w:t>
            </w:r>
            <w:r w:rsidR="00993F77" w:rsidRPr="00577ECD">
              <w:t xml:space="preserve">a </w:t>
            </w:r>
            <w:r w:rsidR="009E4404" w:rsidRPr="00577ECD">
              <w:t>better government.”</w:t>
            </w:r>
          </w:p>
        </w:tc>
      </w:tr>
      <w:tr w:rsidR="005B5363" w:rsidRPr="00790BCC" w:rsidTr="00D47511">
        <w:tc>
          <w:tcPr>
            <w:tcW w:w="9443" w:type="dxa"/>
            <w:shd w:val="clear" w:color="auto" w:fill="D9D9D9"/>
          </w:tcPr>
          <w:p w:rsidR="005B5363" w:rsidRPr="00085333" w:rsidRDefault="005B5363" w:rsidP="00D47511">
            <w:pPr>
              <w:pStyle w:val="ToolTableText"/>
              <w:rPr>
                <w:b/>
              </w:rPr>
            </w:pPr>
            <w:r w:rsidRPr="00085333">
              <w:rPr>
                <w:b/>
              </w:rPr>
              <w:t xml:space="preserve">Provide evidence of how the discussion changed or confirmed </w:t>
            </w:r>
            <w:r>
              <w:rPr>
                <w:b/>
              </w:rPr>
              <w:t>your ideas on the Better Government Evidence Collection Tool.</w:t>
            </w:r>
          </w:p>
        </w:tc>
      </w:tr>
      <w:tr w:rsidR="005B5363" w:rsidRPr="00790BCC" w:rsidTr="00D47511">
        <w:trPr>
          <w:trHeight w:val="5040"/>
        </w:trPr>
        <w:tc>
          <w:tcPr>
            <w:tcW w:w="9443" w:type="dxa"/>
            <w:shd w:val="clear" w:color="auto" w:fill="auto"/>
          </w:tcPr>
          <w:p w:rsidR="005B5363" w:rsidRPr="00C44654" w:rsidRDefault="005B5363" w:rsidP="00D47511">
            <w:pPr>
              <w:pStyle w:val="ToolTableText"/>
            </w:pPr>
          </w:p>
        </w:tc>
      </w:tr>
    </w:tbl>
    <w:p w:rsidR="005B5363" w:rsidRDefault="005B5363" w:rsidP="005B5363">
      <w:pPr>
        <w:pStyle w:val="TA"/>
      </w:pPr>
    </w:p>
    <w:p w:rsidR="00762B0D" w:rsidRDefault="005B5363" w:rsidP="00762B0D">
      <w:pPr>
        <w:pStyle w:val="ToolHeader"/>
      </w:pPr>
      <w:r>
        <w:br w:type="page"/>
      </w:r>
      <w:r w:rsidR="002139D3">
        <w:lastRenderedPageBreak/>
        <w:t xml:space="preserve">Model </w:t>
      </w:r>
      <w:r w:rsidR="006C539D">
        <w:t>12.2.1 Lesson 15</w:t>
      </w:r>
      <w:r w:rsidR="00762B0D">
        <w:t xml:space="preserve"> Exit Slip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348"/>
      </w:tblGrid>
      <w:tr w:rsidR="00762B0D" w:rsidRPr="005B5363" w:rsidTr="00330818">
        <w:trPr>
          <w:trHeight w:val="557"/>
        </w:trPr>
        <w:tc>
          <w:tcPr>
            <w:tcW w:w="816" w:type="dxa"/>
            <w:shd w:val="clear" w:color="auto" w:fill="D9D9D9"/>
            <w:vAlign w:val="center"/>
          </w:tcPr>
          <w:p w:rsidR="00762B0D" w:rsidRPr="005B5363" w:rsidRDefault="00762B0D" w:rsidP="00762B0D">
            <w:pPr>
              <w:pStyle w:val="ToolTableText"/>
              <w:rPr>
                <w:b/>
              </w:rPr>
            </w:pPr>
            <w:r w:rsidRPr="005B5363">
              <w:rPr>
                <w:b/>
              </w:rPr>
              <w:t>Name:</w:t>
            </w:r>
          </w:p>
        </w:tc>
        <w:tc>
          <w:tcPr>
            <w:tcW w:w="2786" w:type="dxa"/>
            <w:shd w:val="clear" w:color="auto" w:fill="auto"/>
            <w:vAlign w:val="center"/>
          </w:tcPr>
          <w:p w:rsidR="00762B0D" w:rsidRPr="005B5363" w:rsidRDefault="00762B0D" w:rsidP="00762B0D">
            <w:pPr>
              <w:pStyle w:val="ToolTableText"/>
              <w:rPr>
                <w:b/>
              </w:rPr>
            </w:pPr>
          </w:p>
        </w:tc>
        <w:tc>
          <w:tcPr>
            <w:tcW w:w="728" w:type="dxa"/>
            <w:shd w:val="clear" w:color="auto" w:fill="D9D9D9"/>
            <w:vAlign w:val="center"/>
          </w:tcPr>
          <w:p w:rsidR="00762B0D" w:rsidRPr="005B5363" w:rsidRDefault="00762B0D" w:rsidP="00762B0D">
            <w:pPr>
              <w:pStyle w:val="ToolTableText"/>
              <w:rPr>
                <w:b/>
              </w:rPr>
            </w:pPr>
            <w:r w:rsidRPr="005B5363">
              <w:rPr>
                <w:b/>
              </w:rPr>
              <w:t>Class:</w:t>
            </w:r>
          </w:p>
        </w:tc>
        <w:tc>
          <w:tcPr>
            <w:tcW w:w="3045" w:type="dxa"/>
            <w:shd w:val="clear" w:color="auto" w:fill="auto"/>
            <w:vAlign w:val="center"/>
          </w:tcPr>
          <w:p w:rsidR="00762B0D" w:rsidRPr="005B5363" w:rsidRDefault="00762B0D" w:rsidP="00762B0D">
            <w:pPr>
              <w:pStyle w:val="ToolTableText"/>
              <w:rPr>
                <w:b/>
              </w:rPr>
            </w:pPr>
          </w:p>
        </w:tc>
        <w:tc>
          <w:tcPr>
            <w:tcW w:w="720" w:type="dxa"/>
            <w:shd w:val="clear" w:color="auto" w:fill="D9D9D9"/>
            <w:vAlign w:val="center"/>
          </w:tcPr>
          <w:p w:rsidR="00762B0D" w:rsidRPr="005B5363" w:rsidRDefault="00762B0D" w:rsidP="00762B0D">
            <w:pPr>
              <w:pStyle w:val="ToolTableText"/>
              <w:rPr>
                <w:b/>
              </w:rPr>
            </w:pPr>
            <w:r w:rsidRPr="005B5363">
              <w:rPr>
                <w:b/>
              </w:rPr>
              <w:t>Date:</w:t>
            </w:r>
          </w:p>
        </w:tc>
        <w:tc>
          <w:tcPr>
            <w:tcW w:w="1348" w:type="dxa"/>
            <w:shd w:val="clear" w:color="auto" w:fill="auto"/>
            <w:vAlign w:val="center"/>
          </w:tcPr>
          <w:p w:rsidR="00762B0D" w:rsidRPr="005B5363" w:rsidRDefault="00762B0D" w:rsidP="00762B0D">
            <w:pPr>
              <w:pStyle w:val="ToolTableText"/>
              <w:rPr>
                <w:b/>
              </w:rPr>
            </w:pPr>
          </w:p>
        </w:tc>
      </w:tr>
    </w:tbl>
    <w:p w:rsidR="00762B0D" w:rsidRPr="005B5363" w:rsidRDefault="00762B0D" w:rsidP="00762B0D">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62B0D" w:rsidRPr="00DC3A6D" w:rsidTr="00330818">
        <w:trPr>
          <w:trHeight w:val="557"/>
        </w:trPr>
        <w:tc>
          <w:tcPr>
            <w:tcW w:w="9443" w:type="dxa"/>
            <w:shd w:val="clear" w:color="auto" w:fill="D9D9D9"/>
            <w:vAlign w:val="center"/>
          </w:tcPr>
          <w:p w:rsidR="00762B0D" w:rsidRPr="00085333" w:rsidRDefault="00762B0D" w:rsidP="00762B0D">
            <w:pPr>
              <w:pStyle w:val="ToolTableText"/>
              <w:rPr>
                <w:b/>
              </w:rPr>
            </w:pPr>
            <w:r w:rsidRPr="00085333">
              <w:rPr>
                <w:b/>
              </w:rPr>
              <w:t>Directions:</w:t>
            </w:r>
            <w:r w:rsidRPr="00DC3A6D">
              <w:t xml:space="preserve"> </w:t>
            </w:r>
            <w:r>
              <w:t>Explain how the discussion confirmed or changed your ideas about the prompt.</w:t>
            </w:r>
          </w:p>
        </w:tc>
      </w:tr>
    </w:tbl>
    <w:p w:rsidR="00762B0D" w:rsidRPr="005B5363" w:rsidRDefault="00762B0D" w:rsidP="00762B0D">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640"/>
      </w:tblGrid>
      <w:tr w:rsidR="00762B0D" w:rsidRPr="0053566B" w:rsidTr="00435493">
        <w:trPr>
          <w:trHeight w:val="562"/>
        </w:trPr>
        <w:tc>
          <w:tcPr>
            <w:tcW w:w="803" w:type="dxa"/>
            <w:shd w:val="clear" w:color="auto" w:fill="D9D9D9"/>
            <w:vAlign w:val="center"/>
          </w:tcPr>
          <w:p w:rsidR="00762B0D" w:rsidRPr="00F158B0" w:rsidRDefault="00762B0D" w:rsidP="00435493">
            <w:pPr>
              <w:pStyle w:val="ToolTableText"/>
            </w:pPr>
            <w:r w:rsidRPr="00085333">
              <w:rPr>
                <w:b/>
              </w:rPr>
              <w:t>Text:</w:t>
            </w:r>
            <w:r w:rsidRPr="00DC3A6D">
              <w:t xml:space="preserve"> </w:t>
            </w:r>
          </w:p>
        </w:tc>
        <w:tc>
          <w:tcPr>
            <w:tcW w:w="8640" w:type="dxa"/>
            <w:shd w:val="clear" w:color="auto" w:fill="auto"/>
            <w:vAlign w:val="center"/>
          </w:tcPr>
          <w:p w:rsidR="00762B0D" w:rsidRPr="00F158B0" w:rsidRDefault="006C539D" w:rsidP="00435493">
            <w:pPr>
              <w:pStyle w:val="ToolTableText"/>
            </w:pPr>
            <w:r>
              <w:t>“</w:t>
            </w:r>
            <w:r w:rsidRPr="006C539D">
              <w:t>Civil Disobedience</w:t>
            </w:r>
            <w:r>
              <w:t>”</w:t>
            </w:r>
            <w:r>
              <w:rPr>
                <w:i/>
              </w:rPr>
              <w:t xml:space="preserve"> </w:t>
            </w:r>
            <w:r w:rsidRPr="006C539D">
              <w:t>by Henry David Thoreau</w:t>
            </w:r>
          </w:p>
        </w:tc>
      </w:tr>
    </w:tbl>
    <w:p w:rsidR="00762B0D" w:rsidRPr="005B5363" w:rsidRDefault="00762B0D" w:rsidP="00762B0D">
      <w:pPr>
        <w:spacing w:after="0" w:line="240" w:lineRule="auto"/>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62B0D" w:rsidRPr="0053566B" w:rsidTr="00330818">
        <w:tc>
          <w:tcPr>
            <w:tcW w:w="9443" w:type="dxa"/>
            <w:shd w:val="clear" w:color="auto" w:fill="D9D9D9"/>
          </w:tcPr>
          <w:p w:rsidR="00762B0D" w:rsidRPr="00DC3A6D" w:rsidRDefault="00762B0D" w:rsidP="00993F77">
            <w:pPr>
              <w:pStyle w:val="ToolTableText"/>
            </w:pPr>
            <w:r w:rsidRPr="00085333">
              <w:rPr>
                <w:rFonts w:eastAsia="Times New Roman" w:cs="Arial"/>
                <w:b/>
                <w:color w:val="000000"/>
              </w:rPr>
              <w:t>Prompt:</w:t>
            </w:r>
            <w:r w:rsidRPr="00085333">
              <w:rPr>
                <w:rFonts w:eastAsia="Times New Roman" w:cs="Arial"/>
                <w:color w:val="000000"/>
              </w:rPr>
              <w:t xml:space="preserve"> </w:t>
            </w:r>
            <w:r w:rsidR="009E4404" w:rsidRPr="00577ECD">
              <w:t>Choose one central idea and analyze how it relates to Thoreau’s idea of</w:t>
            </w:r>
            <w:r w:rsidR="007C3936" w:rsidRPr="00577ECD">
              <w:t xml:space="preserve"> </w:t>
            </w:r>
            <w:r w:rsidR="009E4404" w:rsidRPr="00577ECD">
              <w:t>“</w:t>
            </w:r>
            <w:r w:rsidR="00993F77" w:rsidRPr="00577ECD">
              <w:t xml:space="preserve">a </w:t>
            </w:r>
            <w:r w:rsidR="009E4404" w:rsidRPr="00577ECD">
              <w:t>better government.”</w:t>
            </w:r>
          </w:p>
        </w:tc>
      </w:tr>
      <w:tr w:rsidR="00762B0D" w:rsidRPr="00790BCC" w:rsidTr="00330818">
        <w:tc>
          <w:tcPr>
            <w:tcW w:w="9443" w:type="dxa"/>
            <w:shd w:val="clear" w:color="auto" w:fill="D9D9D9"/>
          </w:tcPr>
          <w:p w:rsidR="00762B0D" w:rsidRPr="00085333" w:rsidRDefault="00762B0D" w:rsidP="003E0C13">
            <w:pPr>
              <w:pStyle w:val="ToolTableText"/>
              <w:rPr>
                <w:b/>
              </w:rPr>
            </w:pPr>
            <w:r w:rsidRPr="00085333">
              <w:rPr>
                <w:b/>
              </w:rPr>
              <w:t>Provide evidence of how the discussion changed or confirmed</w:t>
            </w:r>
            <w:r w:rsidR="002139D3">
              <w:rPr>
                <w:b/>
              </w:rPr>
              <w:t xml:space="preserve"> your</w:t>
            </w:r>
            <w:r w:rsidRPr="00085333">
              <w:rPr>
                <w:b/>
              </w:rPr>
              <w:t xml:space="preserve"> </w:t>
            </w:r>
            <w:r w:rsidR="003E0C13">
              <w:rPr>
                <w:b/>
              </w:rPr>
              <w:t>ideas on the Better Government Evidence Collection Tool</w:t>
            </w:r>
            <w:r w:rsidR="00353609">
              <w:rPr>
                <w:b/>
              </w:rPr>
              <w:t>.</w:t>
            </w:r>
          </w:p>
        </w:tc>
      </w:tr>
      <w:tr w:rsidR="00762B0D" w:rsidRPr="00790BCC" w:rsidTr="005B5363">
        <w:trPr>
          <w:trHeight w:val="5040"/>
        </w:trPr>
        <w:tc>
          <w:tcPr>
            <w:tcW w:w="9443" w:type="dxa"/>
            <w:shd w:val="clear" w:color="auto" w:fill="auto"/>
          </w:tcPr>
          <w:p w:rsidR="00762B0D" w:rsidRPr="00C44654" w:rsidRDefault="003E0C13" w:rsidP="00353609">
            <w:pPr>
              <w:pStyle w:val="ToolTableText"/>
            </w:pPr>
            <w:r>
              <w:t xml:space="preserve">The </w:t>
            </w:r>
            <w:r w:rsidR="00353609">
              <w:t>R</w:t>
            </w:r>
            <w:r>
              <w:t xml:space="preserve">ound </w:t>
            </w:r>
            <w:r w:rsidR="00353609">
              <w:t>R</w:t>
            </w:r>
            <w:r>
              <w:t xml:space="preserve">obin </w:t>
            </w:r>
            <w:r w:rsidR="00353609">
              <w:t>D</w:t>
            </w:r>
            <w:r>
              <w:t>iscussion</w:t>
            </w:r>
            <w:r w:rsidR="004958E8">
              <w:t xml:space="preserve"> supported </w:t>
            </w:r>
            <w:r w:rsidR="00141375">
              <w:t>my analysis</w:t>
            </w:r>
            <w:r>
              <w:t xml:space="preserve"> that Thoreau’s idea of “</w:t>
            </w:r>
            <w:r w:rsidR="00993F77">
              <w:t xml:space="preserve">a </w:t>
            </w:r>
            <w:r>
              <w:t xml:space="preserve">better government” </w:t>
            </w:r>
            <w:r w:rsidR="00602411">
              <w:t xml:space="preserve">(part 1, par. 3) </w:t>
            </w:r>
            <w:r w:rsidR="004958E8">
              <w:t>is one in which the individual is</w:t>
            </w:r>
            <w:r w:rsidR="0081139A">
              <w:t xml:space="preserve"> indepe</w:t>
            </w:r>
            <w:r w:rsidR="004958E8">
              <w:t>nde</w:t>
            </w:r>
            <w:r w:rsidR="0081139A">
              <w:t>n</w:t>
            </w:r>
            <w:r w:rsidR="004958E8">
              <w:t>t of and superior to</w:t>
            </w:r>
            <w:r w:rsidR="0081139A">
              <w:t xml:space="preserve"> the state,</w:t>
            </w:r>
            <w:r w:rsidR="00141375">
              <w:t xml:space="preserve"> because it provided me with more supporting evidence </w:t>
            </w:r>
            <w:r w:rsidR="007C3936">
              <w:t>of</w:t>
            </w:r>
            <w:r w:rsidR="004958E8">
              <w:t xml:space="preserve"> what recognizing and respecting the independence of the individual looks like</w:t>
            </w:r>
            <w:r w:rsidR="00141375">
              <w:t xml:space="preserve">. In </w:t>
            </w:r>
            <w:r w:rsidR="0081139A">
              <w:t xml:space="preserve">part 1, paragraph 1, Thoreau states that </w:t>
            </w:r>
            <w:r>
              <w:t>“[t]hat government is best which governs not at all,” and that “when men are prepared for [no government], that will be the kind of government which they will have</w:t>
            </w:r>
            <w:r w:rsidR="007C3936">
              <w:t>.</w:t>
            </w:r>
            <w:r>
              <w:t xml:space="preserve">” </w:t>
            </w:r>
            <w:r w:rsidR="0081139A">
              <w:t xml:space="preserve">This </w:t>
            </w:r>
            <w:r>
              <w:t xml:space="preserve">suggests that </w:t>
            </w:r>
            <w:r w:rsidR="0081139A">
              <w:t>Thoreau’s idea of “</w:t>
            </w:r>
            <w:r w:rsidR="00993F77">
              <w:t xml:space="preserve">a </w:t>
            </w:r>
            <w:r w:rsidR="0081139A">
              <w:t xml:space="preserve">better government” is for there to be no government, or a situation in which the individual has total independence from the state because the state no longer exists. In </w:t>
            </w:r>
            <w:r w:rsidR="006D60F6">
              <w:t xml:space="preserve">part 1, </w:t>
            </w:r>
            <w:r w:rsidR="0081139A">
              <w:t>paragraph 2, Thoreau</w:t>
            </w:r>
            <w:r>
              <w:t xml:space="preserve"> develops this idea by arguing that “government never of itself furthered any enterprise, but by the alacrity with which it got out of its way” (part 1, par. 2), suggesting that </w:t>
            </w:r>
            <w:r w:rsidR="0081139A">
              <w:t xml:space="preserve">government </w:t>
            </w:r>
            <w:r w:rsidR="00141375">
              <w:t>hinder</w:t>
            </w:r>
            <w:r w:rsidR="0081139A">
              <w:t xml:space="preserve">s </w:t>
            </w:r>
            <w:r w:rsidR="00141375">
              <w:t xml:space="preserve">rather than helps </w:t>
            </w:r>
            <w:r w:rsidR="0081139A">
              <w:t>with the progress achieved by individual</w:t>
            </w:r>
            <w:r w:rsidR="00141375">
              <w:t>s</w:t>
            </w:r>
            <w:r>
              <w:t>. Thoreau’s “better government” is one that</w:t>
            </w:r>
            <w:r w:rsidR="0081139A">
              <w:t xml:space="preserve"> grants the individual independence and power </w:t>
            </w:r>
            <w:r w:rsidR="00141375">
              <w:t xml:space="preserve">by </w:t>
            </w:r>
            <w:r w:rsidR="00936E52">
              <w:t xml:space="preserve">not interfering </w:t>
            </w:r>
            <w:r>
              <w:t>with those whom it governs.</w:t>
            </w:r>
          </w:p>
        </w:tc>
      </w:tr>
    </w:tbl>
    <w:p w:rsidR="00762B0D" w:rsidRDefault="00762B0D" w:rsidP="00762B0D">
      <w:pPr>
        <w:rPr>
          <w:rFonts w:ascii="Calibri Light" w:hAnsi="Calibri Light"/>
        </w:rPr>
      </w:pPr>
    </w:p>
    <w:p w:rsidR="00D94597" w:rsidRDefault="00D94597" w:rsidP="00762B0D">
      <w:pPr>
        <w:rPr>
          <w:rFonts w:ascii="Calibri Light" w:hAnsi="Calibri Light"/>
        </w:rPr>
        <w:sectPr w:rsidR="00D94597" w:rsidSect="00537A7C">
          <w:pgSz w:w="12240" w:h="15840"/>
          <w:pgMar w:top="1440" w:right="1440" w:bottom="1440" w:left="1440" w:header="432" w:footer="648" w:gutter="0"/>
          <w:cols w:space="720"/>
          <w:docGrid w:linePitch="299"/>
        </w:sectPr>
      </w:pPr>
    </w:p>
    <w:p w:rsidR="00D94597" w:rsidRDefault="00D94597" w:rsidP="00D94597">
      <w:pPr>
        <w:pStyle w:val="ToolHeader"/>
        <w:rPr>
          <w:sz w:val="24"/>
        </w:rPr>
      </w:pPr>
      <w:r>
        <w:lastRenderedPageBreak/>
        <w:t>12.2</w:t>
      </w:r>
      <w:r w:rsidR="00DB6203">
        <w:t>.1</w:t>
      </w:r>
      <w:r>
        <w:t xml:space="preserve"> Speaking and Listening Rubric</w:t>
      </w:r>
      <w:r>
        <w:tab/>
      </w:r>
      <w:r w:rsidRPr="00D20E7B">
        <w:tab/>
      </w:r>
      <w:r w:rsidRPr="00D20E7B">
        <w:tab/>
      </w:r>
      <w:r w:rsidRPr="00D20E7B">
        <w:tab/>
      </w:r>
      <w:r w:rsidRPr="00D20E7B">
        <w:tab/>
      </w:r>
      <w:r>
        <w:tab/>
      </w:r>
      <w:r>
        <w:tab/>
      </w:r>
      <w:r w:rsidRPr="00D20E7B">
        <w:rPr>
          <w:u w:val="single"/>
        </w:rPr>
        <w:tab/>
      </w:r>
      <w:r w:rsidRPr="00AA776C">
        <w:t xml:space="preserve"> </w:t>
      </w:r>
      <w:r w:rsidRPr="00D20E7B">
        <w:t>/</w:t>
      </w:r>
      <w:r w:rsidRPr="00D20E7B">
        <w:rPr>
          <w:u w:val="single"/>
        </w:rPr>
        <w:t xml:space="preserve"> </w:t>
      </w:r>
      <w:r w:rsidRPr="00D20E7B">
        <w:rPr>
          <w:u w:val="single"/>
        </w:rPr>
        <w:tab/>
        <w:t xml:space="preserve">   </w:t>
      </w:r>
      <w:r>
        <w:rPr>
          <w:u w:val="single"/>
        </w:rPr>
        <w:t xml:space="preserve"> </w:t>
      </w:r>
      <w:r w:rsidRPr="00AA776C">
        <w:t xml:space="preserve"> </w:t>
      </w:r>
      <w:r w:rsidRPr="002F0DE0">
        <w:rPr>
          <w:sz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D94597" w:rsidRPr="00D20E7B" w:rsidTr="004F1C07">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D94597" w:rsidRPr="00D20E7B" w:rsidRDefault="00D94597" w:rsidP="00ED4E85">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D94597" w:rsidRPr="00D20E7B" w:rsidRDefault="00D94597" w:rsidP="00ED4E85">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D94597" w:rsidRPr="00D20E7B" w:rsidRDefault="00D94597" w:rsidP="00ED4E85">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D94597" w:rsidRPr="00D20E7B" w:rsidRDefault="00D94597" w:rsidP="00ED4E85">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D94597" w:rsidRPr="00D20E7B" w:rsidRDefault="00D94597" w:rsidP="00ED4E85">
            <w:pPr>
              <w:pStyle w:val="ToolTableText"/>
              <w:rPr>
                <w:b/>
                <w:sz w:val="16"/>
                <w:szCs w:val="13"/>
              </w:rPr>
            </w:pPr>
            <w:r w:rsidRPr="00D20E7B">
              <w:rPr>
                <w:b/>
                <w:sz w:val="16"/>
                <w:szCs w:val="13"/>
              </w:rPr>
              <w:t>1 – Responses at this Level:</w:t>
            </w:r>
          </w:p>
        </w:tc>
      </w:tr>
      <w:tr w:rsidR="00D94597" w:rsidRPr="00D20E7B" w:rsidTr="004F1C07">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rsidR="00D94597" w:rsidRPr="00D20E7B" w:rsidRDefault="00D94597" w:rsidP="00ED4E85">
            <w:pPr>
              <w:pStyle w:val="ToolTableText"/>
              <w:rPr>
                <w:b/>
                <w:sz w:val="16"/>
                <w:szCs w:val="13"/>
              </w:rPr>
            </w:pPr>
            <w:r w:rsidRPr="00D20E7B">
              <w:rPr>
                <w:b/>
                <w:sz w:val="16"/>
                <w:szCs w:val="13"/>
              </w:rPr>
              <w:t>Command of Evidence and Reasoning</w:t>
            </w:r>
          </w:p>
          <w:p w:rsidR="00D94597" w:rsidRPr="00D20E7B" w:rsidRDefault="00D94597" w:rsidP="00ED4E85">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rsidR="00D94597" w:rsidRPr="00D20E7B" w:rsidRDefault="00D94597" w:rsidP="00ED4E85">
            <w:pPr>
              <w:pStyle w:val="ToolTableText"/>
              <w:rPr>
                <w:b/>
                <w:sz w:val="16"/>
                <w:szCs w:val="13"/>
              </w:rPr>
            </w:pPr>
            <w:r w:rsidRPr="00D20E7B">
              <w:rPr>
                <w:b/>
                <w:sz w:val="16"/>
                <w:szCs w:val="13"/>
              </w:rPr>
              <w:t>CCSS.ELA-Literacy.SL.11-12.1</w:t>
            </w:r>
          </w:p>
          <w:p w:rsidR="00D94597" w:rsidRPr="00D20E7B" w:rsidRDefault="00D94597" w:rsidP="00ED4E85">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rsidR="00D94597" w:rsidRPr="00D20E7B" w:rsidRDefault="00D94597" w:rsidP="00ED4E85">
            <w:pPr>
              <w:pStyle w:val="ToolTableText"/>
              <w:rPr>
                <w:b/>
                <w:sz w:val="16"/>
                <w:szCs w:val="13"/>
              </w:rPr>
            </w:pPr>
            <w:r w:rsidRPr="00D20E7B">
              <w:rPr>
                <w:b/>
                <w:sz w:val="16"/>
                <w:szCs w:val="13"/>
              </w:rPr>
              <w:t>CCSS.ELA-Literacy.SL.11-12.1.a</w:t>
            </w:r>
          </w:p>
          <w:p w:rsidR="00D94597" w:rsidRPr="00D20E7B" w:rsidRDefault="00D94597" w:rsidP="00ED4E85">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rsidR="00D94597" w:rsidRPr="00D20E7B" w:rsidRDefault="00D94597" w:rsidP="00ED4E85">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w:t>
            </w:r>
            <w:r w:rsidRPr="00D20E7B">
              <w:rPr>
                <w:b/>
                <w:sz w:val="16"/>
                <w:szCs w:val="13"/>
              </w:rPr>
              <w:lastRenderedPageBreak/>
              <w:t>clarifies, verifies, or challenges ideas and conclusions; and promotes divergent and creative perspectives.</w:t>
            </w:r>
          </w:p>
          <w:p w:rsidR="00D94597" w:rsidRPr="00D20E7B" w:rsidRDefault="00D94597" w:rsidP="00ED4E85">
            <w:pPr>
              <w:pStyle w:val="ToolTableText"/>
              <w:rPr>
                <w:b/>
                <w:sz w:val="16"/>
                <w:szCs w:val="13"/>
              </w:rPr>
            </w:pPr>
            <w:r w:rsidRPr="00D20E7B">
              <w:rPr>
                <w:b/>
                <w:sz w:val="16"/>
                <w:szCs w:val="13"/>
              </w:rPr>
              <w:t>CCSS.ELA-Literacy.SL.11-12.1.c</w:t>
            </w:r>
          </w:p>
          <w:p w:rsidR="00D94597" w:rsidRPr="00D20E7B" w:rsidRDefault="00D94597" w:rsidP="00ED4E85">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rsidR="00D94597" w:rsidRPr="00D94597" w:rsidRDefault="00D94597" w:rsidP="00ED4E85">
            <w:pPr>
              <w:pStyle w:val="ToolTableText"/>
              <w:rPr>
                <w:color w:val="000000"/>
                <w:sz w:val="16"/>
                <w:szCs w:val="13"/>
              </w:rPr>
            </w:pPr>
            <w:r w:rsidRPr="00D94597">
              <w:rPr>
                <w:color w:val="000000"/>
                <w:sz w:val="16"/>
                <w:szCs w:val="13"/>
              </w:rPr>
              <w:lastRenderedPageBreak/>
              <w:t>Demonstrate thorough preparation for the discussion by explicitly drawing on precise and sufficient evidence from texts and other research on the topic or issue to stimulate a thoughtful, well-reasoned exchange of ideas. (SL.11-12.1.a)</w:t>
            </w:r>
          </w:p>
          <w:p w:rsidR="00D94597" w:rsidRPr="00D94597" w:rsidRDefault="00D94597" w:rsidP="00ED4E85">
            <w:pPr>
              <w:pStyle w:val="ToolTableText"/>
              <w:rPr>
                <w:color w:val="000000"/>
                <w:sz w:val="16"/>
                <w:szCs w:val="13"/>
              </w:rPr>
            </w:pPr>
            <w:r w:rsidRPr="00D94597">
              <w:rPr>
                <w:color w:val="000000"/>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rsidR="00D94597" w:rsidRPr="00D94597" w:rsidRDefault="00D94597" w:rsidP="00ED4E85">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rsidR="00D94597" w:rsidRPr="00D94597" w:rsidRDefault="00D94597" w:rsidP="00ED4E85">
            <w:pPr>
              <w:spacing w:before="40" w:after="120" w:line="240" w:lineRule="auto"/>
              <w:rPr>
                <w:color w:val="000000"/>
                <w:sz w:val="16"/>
                <w:szCs w:val="16"/>
              </w:rPr>
            </w:pPr>
            <w:r w:rsidRPr="00D94597">
              <w:rPr>
                <w:color w:val="000000"/>
                <w:sz w:val="16"/>
                <w:szCs w:val="16"/>
              </w:rPr>
              <w:t>Demonstrate preparation for the discussion by explicitly drawing on relevant and sufficient evidence from texts and other research on the topic or issue to stimulate a thoughtful, well-reasoned exchange of ideas. (SL.11-12.1.a)</w:t>
            </w:r>
          </w:p>
          <w:p w:rsidR="00D94597" w:rsidRPr="00D94597" w:rsidRDefault="00D94597" w:rsidP="00ED4E85">
            <w:pPr>
              <w:pStyle w:val="ToolTableText"/>
              <w:rPr>
                <w:color w:val="000000"/>
                <w:sz w:val="16"/>
                <w:szCs w:val="13"/>
              </w:rPr>
            </w:pPr>
            <w:r w:rsidRPr="00D94597">
              <w:rPr>
                <w:color w:val="000000"/>
                <w:sz w:val="16"/>
                <w:szCs w:val="16"/>
              </w:rPr>
              <w:t>Propel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rsidR="00D94597" w:rsidRPr="00D94597" w:rsidRDefault="00D94597" w:rsidP="00ED4E85">
            <w:pPr>
              <w:spacing w:before="40" w:after="120" w:line="240" w:lineRule="auto"/>
              <w:rPr>
                <w:color w:val="000000"/>
                <w:sz w:val="16"/>
                <w:szCs w:val="16"/>
              </w:rPr>
            </w:pPr>
            <w:r w:rsidRPr="00D94597">
              <w:rPr>
                <w:color w:val="000000"/>
                <w:sz w:val="16"/>
                <w:szCs w:val="16"/>
              </w:rPr>
              <w:t>Demonstrate partial preparation for the discussion by inconsistently drawing on relevant or sufficient evidence from texts and other research on the topic or issue, occasionally stimulating a thoughtful, well-reasoned exchange of ideas. (SL.11-12.1.a)</w:t>
            </w:r>
          </w:p>
          <w:p w:rsidR="00D94597" w:rsidRPr="00D94597" w:rsidRDefault="00D94597" w:rsidP="00ED4E85">
            <w:pPr>
              <w:spacing w:before="40" w:after="120" w:line="240" w:lineRule="auto"/>
              <w:rPr>
                <w:color w:val="000000"/>
                <w:sz w:val="16"/>
                <w:szCs w:val="16"/>
              </w:rPr>
            </w:pPr>
            <w:r w:rsidRPr="00D94597">
              <w:rPr>
                <w:color w:val="000000"/>
                <w:sz w:val="16"/>
                <w:szCs w:val="16"/>
              </w:rPr>
              <w:t>Somewhat effectively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rsidR="00D94597" w:rsidRPr="00D94597" w:rsidRDefault="00D94597" w:rsidP="00ED4E85">
            <w:pPr>
              <w:spacing w:before="40" w:after="120" w:line="240" w:lineRule="auto"/>
              <w:rPr>
                <w:color w:val="000000"/>
                <w:sz w:val="16"/>
                <w:szCs w:val="16"/>
              </w:rPr>
            </w:pPr>
            <w:r w:rsidRPr="00D94597">
              <w:rPr>
                <w:color w:val="000000"/>
                <w:sz w:val="16"/>
                <w:szCs w:val="16"/>
              </w:rPr>
              <w:t>Demonstrate a lack of preparation for the discussion by rarely drawing on relevant or sufficient evidence from texts or other research on the topic or issue, rarely stimulating a thoughtful or well-reasoned exchange of ideas. (SL.11-12.1.a)</w:t>
            </w:r>
          </w:p>
          <w:p w:rsidR="00D94597" w:rsidRPr="00D94597" w:rsidRDefault="00D94597" w:rsidP="00ED4E85">
            <w:pPr>
              <w:spacing w:before="40" w:after="120" w:line="240" w:lineRule="auto"/>
              <w:rPr>
                <w:color w:val="000000"/>
                <w:sz w:val="16"/>
                <w:szCs w:val="16"/>
              </w:rPr>
            </w:pPr>
            <w:r w:rsidRPr="00D94597">
              <w:rPr>
                <w:color w:val="000000"/>
                <w:sz w:val="16"/>
                <w:szCs w:val="16"/>
              </w:rPr>
              <w:t>Ineffectively propel conversations by rarely posing or responding to questions that probe reasoning and evidence; rarely ensure a hearing for a full range of positions on a topic or issue; rarely clarify, verify, or challenge ideas and conclusions; and prevent divergent and creative perspectives. (SL.11-12.1.c)</w:t>
            </w:r>
          </w:p>
        </w:tc>
      </w:tr>
    </w:tbl>
    <w:p w:rsidR="00D94597" w:rsidRPr="005441FF" w:rsidRDefault="00D94597" w:rsidP="00D94597">
      <w:pPr>
        <w:pStyle w:val="BulletedList"/>
        <w:numPr>
          <w:ilvl w:val="0"/>
          <w:numId w:val="34"/>
        </w:numPr>
        <w:spacing w:before="0" w:after="0" w:line="240" w:lineRule="auto"/>
        <w:ind w:left="360"/>
        <w:rPr>
          <w:sz w:val="16"/>
          <w:szCs w:val="16"/>
        </w:rPr>
      </w:pPr>
      <w:r w:rsidRPr="005441FF">
        <w:rPr>
          <w:sz w:val="16"/>
          <w:szCs w:val="16"/>
        </w:rPr>
        <w:lastRenderedPageBreak/>
        <w:t xml:space="preserve">A response that is a personal response and makes little or no reference to the task or text can be scored no higher than a 1. </w:t>
      </w:r>
    </w:p>
    <w:p w:rsidR="00D94597" w:rsidRPr="005441FF" w:rsidRDefault="00D94597" w:rsidP="00D94597">
      <w:pPr>
        <w:pStyle w:val="BulletedList"/>
        <w:numPr>
          <w:ilvl w:val="0"/>
          <w:numId w:val="34"/>
        </w:numPr>
        <w:spacing w:before="0" w:after="0" w:line="240" w:lineRule="auto"/>
        <w:ind w:left="360"/>
        <w:rPr>
          <w:sz w:val="16"/>
          <w:szCs w:val="16"/>
        </w:rPr>
      </w:pPr>
      <w:r w:rsidRPr="005441FF">
        <w:rPr>
          <w:sz w:val="16"/>
          <w:szCs w:val="16"/>
        </w:rPr>
        <w:t xml:space="preserve">A response that is totally copied from the text with no original writing must be given a 0. </w:t>
      </w:r>
    </w:p>
    <w:p w:rsidR="00D94597" w:rsidRPr="005441FF" w:rsidRDefault="00D94597" w:rsidP="00D94597">
      <w:pPr>
        <w:pStyle w:val="BulletedList"/>
        <w:numPr>
          <w:ilvl w:val="0"/>
          <w:numId w:val="34"/>
        </w:numPr>
        <w:spacing w:before="0" w:line="240" w:lineRule="auto"/>
        <w:ind w:left="360"/>
        <w:rPr>
          <w:sz w:val="16"/>
          <w:szCs w:val="16"/>
          <w:u w:val="single"/>
        </w:rPr>
      </w:pPr>
      <w:r w:rsidRPr="005441FF">
        <w:rPr>
          <w:sz w:val="16"/>
          <w:szCs w:val="16"/>
        </w:rPr>
        <w:t xml:space="preserve">A response that is totally unrelated to the task, illegible, incoherent, blank, or unrecognizable as English must be scored as a 0. </w:t>
      </w:r>
      <w:r w:rsidRPr="005441FF">
        <w:rPr>
          <w:sz w:val="16"/>
          <w:szCs w:val="16"/>
        </w:rPr>
        <w:tab/>
      </w:r>
    </w:p>
    <w:p w:rsidR="00D94597" w:rsidRDefault="00D94597" w:rsidP="00762B0D">
      <w:pPr>
        <w:rPr>
          <w:rFonts w:ascii="Calibri Light" w:hAnsi="Calibri Light"/>
        </w:rPr>
        <w:sectPr w:rsidR="00D94597" w:rsidSect="00D94597">
          <w:headerReference w:type="default" r:id="rId11"/>
          <w:footerReference w:type="default" r:id="rId12"/>
          <w:pgSz w:w="15840" w:h="12240" w:orient="landscape"/>
          <w:pgMar w:top="1440" w:right="1440" w:bottom="1440" w:left="1440" w:header="432" w:footer="648" w:gutter="0"/>
          <w:cols w:space="720"/>
          <w:docGrid w:linePitch="299"/>
        </w:sectPr>
      </w:pPr>
    </w:p>
    <w:p w:rsidR="00D94597" w:rsidRPr="00D20E7B" w:rsidRDefault="00D94597" w:rsidP="00D94597">
      <w:pPr>
        <w:pStyle w:val="ToolHeader"/>
      </w:pPr>
      <w:r>
        <w:lastRenderedPageBreak/>
        <w:t>12.2</w:t>
      </w:r>
      <w:r w:rsidR="00DB6203">
        <w:t>.1</w:t>
      </w:r>
      <w:r>
        <w:t xml:space="preserve"> Speaking and Listening Checklist</w:t>
      </w:r>
    </w:p>
    <w:p w:rsidR="00D94597" w:rsidRPr="008C436A" w:rsidRDefault="00D94597" w:rsidP="00D94597">
      <w:pPr>
        <w:pStyle w:val="ToolTableText"/>
        <w:spacing w:before="0" w:after="0"/>
        <w:rPr>
          <w:b/>
          <w:sz w:val="10"/>
          <w:szCs w:val="10"/>
        </w:rPr>
      </w:pPr>
    </w:p>
    <w:p w:rsidR="00D94597" w:rsidRPr="00D20E7B" w:rsidRDefault="00D94597" w:rsidP="00D94597">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D94597" w:rsidRPr="00D94597" w:rsidTr="00ED4E85">
        <w:trPr>
          <w:trHeight w:val="368"/>
        </w:trPr>
        <w:tc>
          <w:tcPr>
            <w:tcW w:w="2561" w:type="dxa"/>
            <w:tcBorders>
              <w:bottom w:val="single" w:sz="4" w:space="0" w:color="auto"/>
            </w:tcBorders>
            <w:shd w:val="clear" w:color="auto" w:fill="D9D9D9"/>
            <w:vAlign w:val="center"/>
          </w:tcPr>
          <w:p w:rsidR="00D94597" w:rsidRPr="00ED4E85" w:rsidRDefault="00D94597" w:rsidP="00ED4E85">
            <w:pPr>
              <w:pStyle w:val="ToolTableText"/>
              <w:jc w:val="center"/>
              <w:rPr>
                <w:b/>
              </w:rPr>
            </w:pPr>
          </w:p>
        </w:tc>
        <w:tc>
          <w:tcPr>
            <w:tcW w:w="5647" w:type="dxa"/>
            <w:shd w:val="clear" w:color="auto" w:fill="D9D9D9"/>
            <w:vAlign w:val="center"/>
          </w:tcPr>
          <w:p w:rsidR="00D94597" w:rsidRPr="00ED4E85" w:rsidRDefault="00D94597" w:rsidP="00ED4E85">
            <w:pPr>
              <w:pStyle w:val="ToolTableText"/>
              <w:jc w:val="center"/>
              <w:rPr>
                <w:b/>
              </w:rPr>
            </w:pPr>
            <w:r w:rsidRPr="00ED4E85">
              <w:rPr>
                <w:b/>
              </w:rPr>
              <w:t>Does my response…</w:t>
            </w:r>
          </w:p>
        </w:tc>
        <w:tc>
          <w:tcPr>
            <w:tcW w:w="1316" w:type="dxa"/>
            <w:shd w:val="clear" w:color="auto" w:fill="D9D9D9"/>
            <w:vAlign w:val="center"/>
          </w:tcPr>
          <w:p w:rsidR="00D94597" w:rsidRPr="00ED4E85" w:rsidRDefault="00D94597" w:rsidP="00ED4E85">
            <w:pPr>
              <w:pStyle w:val="ToolTableText"/>
              <w:jc w:val="center"/>
              <w:rPr>
                <w:b/>
              </w:rPr>
            </w:pPr>
            <w:r w:rsidRPr="00ED4E85">
              <w:rPr>
                <w:rFonts w:ascii="MS Mincho" w:eastAsia="MS Mincho" w:hAnsi="MS Mincho" w:cs="MS Mincho" w:hint="eastAsia"/>
                <w:b/>
              </w:rPr>
              <w:t>✔</w:t>
            </w:r>
          </w:p>
        </w:tc>
      </w:tr>
      <w:tr w:rsidR="00D94597" w:rsidRPr="00D94597" w:rsidTr="00ED4E85">
        <w:trPr>
          <w:trHeight w:val="305"/>
        </w:trPr>
        <w:tc>
          <w:tcPr>
            <w:tcW w:w="2561" w:type="dxa"/>
            <w:tcBorders>
              <w:top w:val="single" w:sz="4" w:space="0" w:color="auto"/>
              <w:bottom w:val="nil"/>
            </w:tcBorders>
            <w:shd w:val="clear" w:color="auto" w:fill="auto"/>
          </w:tcPr>
          <w:p w:rsidR="00D94597" w:rsidRPr="00ED4E85" w:rsidRDefault="00D94597" w:rsidP="00ED4E85">
            <w:pPr>
              <w:pStyle w:val="ToolTableText"/>
              <w:rPr>
                <w:b/>
              </w:rPr>
            </w:pPr>
            <w:r w:rsidRPr="00ED4E85">
              <w:rPr>
                <w:b/>
              </w:rPr>
              <w:t>Command of Evidence and Reasoning</w:t>
            </w:r>
          </w:p>
        </w:tc>
        <w:tc>
          <w:tcPr>
            <w:tcW w:w="5647" w:type="dxa"/>
            <w:tcBorders>
              <w:top w:val="single" w:sz="4" w:space="0" w:color="auto"/>
            </w:tcBorders>
            <w:shd w:val="clear" w:color="auto" w:fill="auto"/>
          </w:tcPr>
          <w:p w:rsidR="00D94597" w:rsidRPr="00ED4E85" w:rsidRDefault="00D94597" w:rsidP="00ED4E85">
            <w:pPr>
              <w:pStyle w:val="ToolTableText"/>
              <w:keepNext/>
              <w:rPr>
                <w:b/>
                <w:color w:val="000000"/>
              </w:rPr>
            </w:pPr>
            <w:r w:rsidRPr="00D94597">
              <w:t xml:space="preserve">Explicitly draw on evidence from texts and other research on the topic or issue? </w:t>
            </w:r>
            <w:r w:rsidRPr="00ED4E85">
              <w:rPr>
                <w:b/>
              </w:rPr>
              <w:t>(SL.11-12.1.a)</w:t>
            </w:r>
          </w:p>
        </w:tc>
        <w:tc>
          <w:tcPr>
            <w:tcW w:w="1316" w:type="dxa"/>
            <w:tcBorders>
              <w:top w:val="single" w:sz="4" w:space="0" w:color="auto"/>
            </w:tcBorders>
            <w:shd w:val="clear" w:color="auto" w:fill="auto"/>
            <w:vAlign w:val="center"/>
          </w:tcPr>
          <w:p w:rsidR="00D94597" w:rsidRPr="00D94597" w:rsidRDefault="00D94597" w:rsidP="00ED4E85">
            <w:pPr>
              <w:pStyle w:val="ToolTableText"/>
              <w:spacing w:before="0" w:after="0"/>
              <w:jc w:val="center"/>
            </w:pPr>
            <w:r w:rsidRPr="00ED4E85">
              <w:sym w:font="Wingdings 2" w:char="F0A3"/>
            </w:r>
          </w:p>
        </w:tc>
      </w:tr>
      <w:tr w:rsidR="00D94597" w:rsidRPr="00D94597" w:rsidTr="00ED4E85">
        <w:trPr>
          <w:trHeight w:val="305"/>
        </w:trPr>
        <w:tc>
          <w:tcPr>
            <w:tcW w:w="2561" w:type="dxa"/>
            <w:tcBorders>
              <w:top w:val="nil"/>
              <w:bottom w:val="nil"/>
            </w:tcBorders>
            <w:shd w:val="clear" w:color="auto" w:fill="auto"/>
          </w:tcPr>
          <w:p w:rsidR="00D94597" w:rsidRPr="00ED4E85" w:rsidRDefault="00D94597" w:rsidP="00ED4E85">
            <w:pPr>
              <w:pStyle w:val="ToolTableText"/>
              <w:rPr>
                <w:b/>
              </w:rPr>
            </w:pPr>
          </w:p>
        </w:tc>
        <w:tc>
          <w:tcPr>
            <w:tcW w:w="5647" w:type="dxa"/>
            <w:tcBorders>
              <w:top w:val="single" w:sz="4" w:space="0" w:color="auto"/>
            </w:tcBorders>
            <w:shd w:val="clear" w:color="auto" w:fill="auto"/>
          </w:tcPr>
          <w:p w:rsidR="00D94597" w:rsidRPr="00ED4E85" w:rsidRDefault="00D94597" w:rsidP="00ED4E85">
            <w:pPr>
              <w:pStyle w:val="ToolTableText"/>
              <w:keepNext/>
              <w:rPr>
                <w:b/>
              </w:rPr>
            </w:pPr>
            <w:r w:rsidRPr="00D94597">
              <w:t xml:space="preserve">Pose and respond to questions that probe reasoning and evidence? </w:t>
            </w:r>
            <w:r w:rsidRPr="00ED4E85">
              <w:rPr>
                <w:b/>
              </w:rPr>
              <w:t>(SL.11-12.1.c)</w:t>
            </w:r>
          </w:p>
        </w:tc>
        <w:tc>
          <w:tcPr>
            <w:tcW w:w="1316" w:type="dxa"/>
            <w:tcBorders>
              <w:top w:val="single" w:sz="4" w:space="0" w:color="auto"/>
            </w:tcBorders>
            <w:shd w:val="clear" w:color="auto" w:fill="auto"/>
            <w:vAlign w:val="center"/>
          </w:tcPr>
          <w:p w:rsidR="00D94597" w:rsidRPr="00D94597" w:rsidRDefault="00D94597" w:rsidP="00ED4E85">
            <w:pPr>
              <w:pStyle w:val="ToolTableText"/>
              <w:spacing w:before="0" w:after="0"/>
              <w:jc w:val="center"/>
            </w:pPr>
            <w:r w:rsidRPr="00ED4E85">
              <w:sym w:font="Wingdings 2" w:char="F0A3"/>
            </w:r>
          </w:p>
        </w:tc>
      </w:tr>
      <w:tr w:rsidR="00D94597" w:rsidRPr="00D94597" w:rsidTr="00ED4E85">
        <w:trPr>
          <w:trHeight w:val="305"/>
        </w:trPr>
        <w:tc>
          <w:tcPr>
            <w:tcW w:w="2561" w:type="dxa"/>
            <w:tcBorders>
              <w:top w:val="nil"/>
              <w:bottom w:val="nil"/>
            </w:tcBorders>
            <w:shd w:val="clear" w:color="auto" w:fill="auto"/>
          </w:tcPr>
          <w:p w:rsidR="00D94597" w:rsidRPr="00ED4E85" w:rsidRDefault="00D94597" w:rsidP="00ED4E85">
            <w:pPr>
              <w:pStyle w:val="ToolTableText"/>
              <w:rPr>
                <w:b/>
              </w:rPr>
            </w:pPr>
          </w:p>
        </w:tc>
        <w:tc>
          <w:tcPr>
            <w:tcW w:w="5647" w:type="dxa"/>
            <w:tcBorders>
              <w:top w:val="single" w:sz="4" w:space="0" w:color="auto"/>
            </w:tcBorders>
            <w:shd w:val="clear" w:color="auto" w:fill="auto"/>
          </w:tcPr>
          <w:p w:rsidR="00D94597" w:rsidRPr="00ED4E85" w:rsidRDefault="00D94597" w:rsidP="00ED4E85">
            <w:pPr>
              <w:pStyle w:val="ToolTableText"/>
              <w:keepNext/>
              <w:rPr>
                <w:b/>
              </w:rPr>
            </w:pPr>
            <w:r w:rsidRPr="00D94597">
              <w:t xml:space="preserve">Ensure a hearing for a full range of positions on a topic or issue? </w:t>
            </w:r>
            <w:r w:rsidRPr="00ED4E85">
              <w:rPr>
                <w:b/>
              </w:rPr>
              <w:t>(SL.11-12.1.c)</w:t>
            </w:r>
          </w:p>
        </w:tc>
        <w:tc>
          <w:tcPr>
            <w:tcW w:w="1316" w:type="dxa"/>
            <w:tcBorders>
              <w:top w:val="single" w:sz="4" w:space="0" w:color="auto"/>
            </w:tcBorders>
            <w:shd w:val="clear" w:color="auto" w:fill="auto"/>
            <w:vAlign w:val="center"/>
          </w:tcPr>
          <w:p w:rsidR="00D94597" w:rsidRPr="00D94597" w:rsidRDefault="00D94597" w:rsidP="00ED4E85">
            <w:pPr>
              <w:pStyle w:val="ToolTableText"/>
              <w:spacing w:before="0" w:after="0"/>
              <w:jc w:val="center"/>
            </w:pPr>
            <w:r w:rsidRPr="00ED4E85">
              <w:sym w:font="Wingdings 2" w:char="F0A3"/>
            </w:r>
          </w:p>
        </w:tc>
      </w:tr>
      <w:tr w:rsidR="00D94597" w:rsidRPr="00D94597" w:rsidTr="00ED4E85">
        <w:trPr>
          <w:trHeight w:val="305"/>
        </w:trPr>
        <w:tc>
          <w:tcPr>
            <w:tcW w:w="2561" w:type="dxa"/>
            <w:tcBorders>
              <w:top w:val="nil"/>
              <w:bottom w:val="nil"/>
            </w:tcBorders>
            <w:shd w:val="clear" w:color="auto" w:fill="auto"/>
          </w:tcPr>
          <w:p w:rsidR="00D94597" w:rsidRPr="00ED4E85" w:rsidRDefault="00D94597" w:rsidP="00ED4E85">
            <w:pPr>
              <w:pStyle w:val="ToolTableText"/>
              <w:rPr>
                <w:b/>
              </w:rPr>
            </w:pPr>
          </w:p>
        </w:tc>
        <w:tc>
          <w:tcPr>
            <w:tcW w:w="5647" w:type="dxa"/>
            <w:tcBorders>
              <w:top w:val="single" w:sz="4" w:space="0" w:color="auto"/>
            </w:tcBorders>
            <w:shd w:val="clear" w:color="auto" w:fill="auto"/>
          </w:tcPr>
          <w:p w:rsidR="00D94597" w:rsidRPr="00D94597" w:rsidRDefault="00D94597" w:rsidP="00ED4E85">
            <w:pPr>
              <w:pStyle w:val="ToolTableText"/>
              <w:keepNext/>
            </w:pPr>
            <w:r w:rsidRPr="00D94597">
              <w:t xml:space="preserve">Clarify, verify, or challenge ideas and conclusions? </w:t>
            </w:r>
            <w:r w:rsidRPr="00ED4E85">
              <w:rPr>
                <w:b/>
              </w:rPr>
              <w:t>(SL.11-12.1.c)</w:t>
            </w:r>
            <w:r w:rsidRPr="00D94597">
              <w:t xml:space="preserve"> </w:t>
            </w:r>
          </w:p>
        </w:tc>
        <w:tc>
          <w:tcPr>
            <w:tcW w:w="1316" w:type="dxa"/>
            <w:tcBorders>
              <w:top w:val="single" w:sz="4" w:space="0" w:color="auto"/>
            </w:tcBorders>
            <w:shd w:val="clear" w:color="auto" w:fill="auto"/>
            <w:vAlign w:val="center"/>
          </w:tcPr>
          <w:p w:rsidR="00D94597" w:rsidRPr="00D94597" w:rsidRDefault="00D94597" w:rsidP="00ED4E85">
            <w:pPr>
              <w:pStyle w:val="ToolTableText"/>
              <w:spacing w:before="0" w:after="0"/>
              <w:jc w:val="center"/>
            </w:pPr>
            <w:r w:rsidRPr="00ED4E85">
              <w:sym w:font="Wingdings 2" w:char="F0A3"/>
            </w:r>
          </w:p>
        </w:tc>
      </w:tr>
      <w:tr w:rsidR="00D94597" w:rsidRPr="00D94597" w:rsidTr="00ED4E85">
        <w:trPr>
          <w:trHeight w:val="305"/>
        </w:trPr>
        <w:tc>
          <w:tcPr>
            <w:tcW w:w="2561" w:type="dxa"/>
            <w:tcBorders>
              <w:top w:val="nil"/>
              <w:left w:val="single" w:sz="4" w:space="0" w:color="auto"/>
              <w:bottom w:val="single" w:sz="4" w:space="0" w:color="auto"/>
              <w:right w:val="single" w:sz="4" w:space="0" w:color="auto"/>
            </w:tcBorders>
            <w:shd w:val="clear" w:color="auto" w:fill="auto"/>
          </w:tcPr>
          <w:p w:rsidR="00D94597" w:rsidRPr="00ED4E85" w:rsidRDefault="00D94597" w:rsidP="00ED4E85">
            <w:pPr>
              <w:pStyle w:val="ToolTableText"/>
              <w:rPr>
                <w:b/>
              </w:rPr>
            </w:pPr>
          </w:p>
        </w:tc>
        <w:tc>
          <w:tcPr>
            <w:tcW w:w="5647" w:type="dxa"/>
            <w:tcBorders>
              <w:left w:val="single" w:sz="4" w:space="0" w:color="auto"/>
            </w:tcBorders>
            <w:shd w:val="clear" w:color="auto" w:fill="auto"/>
          </w:tcPr>
          <w:p w:rsidR="00D94597" w:rsidRPr="00D94597" w:rsidRDefault="00D94597" w:rsidP="00ED4E85">
            <w:pPr>
              <w:pStyle w:val="ToolTableText"/>
            </w:pPr>
            <w:r w:rsidRPr="00D94597">
              <w:t xml:space="preserve">Promote divergent and creative perspectives? </w:t>
            </w:r>
            <w:r w:rsidRPr="00ED4E85">
              <w:rPr>
                <w:b/>
              </w:rPr>
              <w:t>(SL.11-12.1.c)</w:t>
            </w:r>
          </w:p>
        </w:tc>
        <w:tc>
          <w:tcPr>
            <w:tcW w:w="1316" w:type="dxa"/>
            <w:shd w:val="clear" w:color="auto" w:fill="auto"/>
            <w:vAlign w:val="center"/>
          </w:tcPr>
          <w:p w:rsidR="00D94597" w:rsidRPr="00D94597" w:rsidRDefault="00D94597" w:rsidP="00ED4E85">
            <w:pPr>
              <w:pStyle w:val="ToolTableText"/>
              <w:spacing w:before="0" w:after="0"/>
              <w:jc w:val="center"/>
            </w:pPr>
            <w:r w:rsidRPr="00ED4E85">
              <w:sym w:font="Wingdings 2" w:char="F0A3"/>
            </w:r>
          </w:p>
        </w:tc>
      </w:tr>
    </w:tbl>
    <w:p w:rsidR="00330818" w:rsidRDefault="00330818" w:rsidP="00762B0D">
      <w:pPr>
        <w:rPr>
          <w:rFonts w:ascii="Calibri Light" w:hAnsi="Calibri Light"/>
        </w:rPr>
      </w:pPr>
    </w:p>
    <w:p w:rsidR="00330818" w:rsidRDefault="00330818" w:rsidP="00762B0D">
      <w:pPr>
        <w:rPr>
          <w:rFonts w:ascii="Calibri Light" w:hAnsi="Calibri Light"/>
        </w:rPr>
      </w:pPr>
    </w:p>
    <w:p w:rsidR="00330818" w:rsidRDefault="00330818" w:rsidP="00762B0D">
      <w:pPr>
        <w:rPr>
          <w:rFonts w:ascii="Calibri Light" w:hAnsi="Calibri Light"/>
        </w:rPr>
      </w:pPr>
    </w:p>
    <w:p w:rsidR="00330818" w:rsidRDefault="00330818" w:rsidP="00762B0D">
      <w:pPr>
        <w:rPr>
          <w:rFonts w:ascii="Calibri Light" w:hAnsi="Calibri Light"/>
        </w:rPr>
      </w:pPr>
    </w:p>
    <w:sectPr w:rsidR="00330818" w:rsidSect="00537A7C">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C5" w:rsidRDefault="00E370C5">
      <w:pPr>
        <w:spacing w:before="0" w:after="0" w:line="240" w:lineRule="auto"/>
      </w:pPr>
      <w:r>
        <w:separator/>
      </w:r>
    </w:p>
  </w:endnote>
  <w:endnote w:type="continuationSeparator" w:id="0">
    <w:p w:rsidR="00E370C5" w:rsidRDefault="00E370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30" w:rsidRDefault="00115D30"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15D30" w:rsidRDefault="00115D30" w:rsidP="00537A7C">
    <w:pPr>
      <w:pStyle w:val="Footer"/>
    </w:pPr>
  </w:p>
  <w:p w:rsidR="00115D30" w:rsidRDefault="00115D30" w:rsidP="00537A7C"/>
  <w:p w:rsidR="00115D30" w:rsidRDefault="00115D30"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30" w:rsidRPr="00563CB8" w:rsidRDefault="00115D30"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115D30" w:rsidTr="001B31FF">
      <w:trPr>
        <w:trHeight w:val="705"/>
      </w:trPr>
      <w:tc>
        <w:tcPr>
          <w:tcW w:w="4680" w:type="dxa"/>
          <w:shd w:val="clear" w:color="auto" w:fill="auto"/>
          <w:vAlign w:val="center"/>
        </w:tcPr>
        <w:p w:rsidR="00115D30" w:rsidRPr="002E4C92" w:rsidRDefault="00115D30" w:rsidP="008D5B21">
          <w:pPr>
            <w:pStyle w:val="FooterText"/>
          </w:pPr>
          <w:r w:rsidRPr="002E4C92">
            <w:t>File:</w:t>
          </w:r>
          <w:r>
            <w:rPr>
              <w:b w:val="0"/>
            </w:rPr>
            <w:t xml:space="preserve"> 12.2.1 Lesson 15</w:t>
          </w:r>
          <w:r w:rsidRPr="002E4C92">
            <w:t xml:space="preserve"> Date:</w:t>
          </w:r>
          <w:r>
            <w:rPr>
              <w:b w:val="0"/>
            </w:rPr>
            <w:t xml:space="preserve"> </w:t>
          </w:r>
          <w:r w:rsidR="00380A5D">
            <w:rPr>
              <w:b w:val="0"/>
            </w:rPr>
            <w:t>2</w:t>
          </w:r>
          <w:r>
            <w:rPr>
              <w:b w:val="0"/>
            </w:rPr>
            <w:t>/</w:t>
          </w:r>
          <w:r w:rsidR="004F1C07">
            <w:rPr>
              <w:b w:val="0"/>
            </w:rPr>
            <w:t>13</w:t>
          </w:r>
          <w:r w:rsidRPr="0039525B">
            <w:rPr>
              <w:b w:val="0"/>
            </w:rPr>
            <w:t>/1</w:t>
          </w:r>
          <w:r>
            <w:rPr>
              <w:b w:val="0"/>
            </w:rPr>
            <w:t>5</w:t>
          </w:r>
          <w:r w:rsidRPr="0039525B">
            <w:rPr>
              <w:b w:val="0"/>
            </w:rPr>
            <w:t xml:space="preserve"> </w:t>
          </w:r>
          <w:r w:rsidRPr="002E4C92">
            <w:t>Classroom Use:</w:t>
          </w:r>
          <w:r w:rsidR="00380A5D">
            <w:rPr>
              <w:b w:val="0"/>
            </w:rPr>
            <w:t xml:space="preserve"> Starting 2</w:t>
          </w:r>
          <w:r w:rsidRPr="0039525B">
            <w:rPr>
              <w:b w:val="0"/>
            </w:rPr>
            <w:t>/201</w:t>
          </w:r>
          <w:r>
            <w:rPr>
              <w:b w:val="0"/>
            </w:rPr>
            <w:t>5</w:t>
          </w:r>
          <w:r w:rsidRPr="0039525B">
            <w:rPr>
              <w:b w:val="0"/>
            </w:rPr>
            <w:t xml:space="preserve"> </w:t>
          </w:r>
        </w:p>
        <w:p w:rsidR="00115D30" w:rsidRPr="0039525B" w:rsidRDefault="00115D30"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115D30" w:rsidRPr="0039525B" w:rsidRDefault="00115D30" w:rsidP="008D5B21">
          <w:pPr>
            <w:pStyle w:val="FooterText"/>
            <w:rPr>
              <w:b w:val="0"/>
              <w:i/>
            </w:rPr>
          </w:pPr>
          <w:r w:rsidRPr="0039525B">
            <w:rPr>
              <w:b w:val="0"/>
              <w:i/>
              <w:sz w:val="12"/>
            </w:rPr>
            <w:t>Creative Commons Attribution-NonCommercial-ShareAlike 3.0 Unported License</w:t>
          </w:r>
        </w:p>
        <w:p w:rsidR="00115D30" w:rsidRPr="002E4C92" w:rsidRDefault="00E370C5" w:rsidP="008D5B21">
          <w:pPr>
            <w:pStyle w:val="FooterText"/>
          </w:pPr>
          <w:hyperlink r:id="rId1" w:history="1">
            <w:r w:rsidR="00115D30" w:rsidRPr="00E21CE6">
              <w:rPr>
                <w:rStyle w:val="Hyperlink"/>
                <w:sz w:val="12"/>
                <w:szCs w:val="12"/>
              </w:rPr>
              <w:t>http://creativecommons.org/licenses/by-nc-sa/3.0/</w:t>
            </w:r>
          </w:hyperlink>
        </w:p>
      </w:tc>
      <w:tc>
        <w:tcPr>
          <w:tcW w:w="594" w:type="dxa"/>
          <w:shd w:val="clear" w:color="auto" w:fill="auto"/>
          <w:vAlign w:val="center"/>
        </w:tcPr>
        <w:p w:rsidR="00115D30" w:rsidRPr="002E4C92" w:rsidRDefault="00115D30"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F1C07">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115D30" w:rsidRPr="002E4C92" w:rsidRDefault="004F1C07"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115D30" w:rsidRPr="008D5B21" w:rsidRDefault="00115D30" w:rsidP="008D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97" w:rsidRPr="00563CB8" w:rsidRDefault="00D94597"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6589"/>
      <w:gridCol w:w="836"/>
      <w:gridCol w:w="5983"/>
    </w:tblGrid>
    <w:tr w:rsidR="00D94597" w:rsidTr="001B31FF">
      <w:trPr>
        <w:trHeight w:val="705"/>
      </w:trPr>
      <w:tc>
        <w:tcPr>
          <w:tcW w:w="4680" w:type="dxa"/>
          <w:shd w:val="clear" w:color="auto" w:fill="auto"/>
          <w:vAlign w:val="center"/>
        </w:tcPr>
        <w:p w:rsidR="00D94597" w:rsidRPr="002E4C92" w:rsidRDefault="00D94597" w:rsidP="008D5B21">
          <w:pPr>
            <w:pStyle w:val="FooterText"/>
          </w:pPr>
          <w:r w:rsidRPr="002E4C92">
            <w:t>File:</w:t>
          </w:r>
          <w:r>
            <w:rPr>
              <w:b w:val="0"/>
            </w:rPr>
            <w:t xml:space="preserve"> 12.2.1 Lesson 15</w:t>
          </w:r>
          <w:r w:rsidRPr="002E4C92">
            <w:t xml:space="preserve"> Date:</w:t>
          </w:r>
          <w:r w:rsidR="00380A5D">
            <w:rPr>
              <w:b w:val="0"/>
            </w:rPr>
            <w:t xml:space="preserve"> 2</w:t>
          </w:r>
          <w:r>
            <w:rPr>
              <w:b w:val="0"/>
            </w:rPr>
            <w:t>/</w:t>
          </w:r>
          <w:r w:rsidR="004F1C07">
            <w:rPr>
              <w:b w:val="0"/>
            </w:rPr>
            <w:t>13</w:t>
          </w:r>
          <w:r w:rsidRPr="0039525B">
            <w:rPr>
              <w:b w:val="0"/>
            </w:rPr>
            <w:t>/1</w:t>
          </w:r>
          <w:r>
            <w:rPr>
              <w:b w:val="0"/>
            </w:rPr>
            <w:t>5</w:t>
          </w:r>
          <w:r w:rsidRPr="0039525B">
            <w:rPr>
              <w:b w:val="0"/>
            </w:rPr>
            <w:t xml:space="preserve"> </w:t>
          </w:r>
          <w:r w:rsidRPr="002E4C92">
            <w:t>Classroom Use:</w:t>
          </w:r>
          <w:r w:rsidR="00380A5D">
            <w:rPr>
              <w:b w:val="0"/>
            </w:rPr>
            <w:t xml:space="preserve"> Starting 2</w:t>
          </w:r>
          <w:r w:rsidRPr="0039525B">
            <w:rPr>
              <w:b w:val="0"/>
            </w:rPr>
            <w:t>/201</w:t>
          </w:r>
          <w:r>
            <w:rPr>
              <w:b w:val="0"/>
            </w:rPr>
            <w:t>5</w:t>
          </w:r>
          <w:r w:rsidRPr="0039525B">
            <w:rPr>
              <w:b w:val="0"/>
            </w:rPr>
            <w:t xml:space="preserve"> </w:t>
          </w:r>
        </w:p>
        <w:p w:rsidR="00D94597" w:rsidRPr="0039525B" w:rsidRDefault="00D94597"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D94597" w:rsidRPr="0039525B" w:rsidRDefault="00D94597" w:rsidP="008D5B21">
          <w:pPr>
            <w:pStyle w:val="FooterText"/>
            <w:rPr>
              <w:b w:val="0"/>
              <w:i/>
            </w:rPr>
          </w:pPr>
          <w:r w:rsidRPr="0039525B">
            <w:rPr>
              <w:b w:val="0"/>
              <w:i/>
              <w:sz w:val="12"/>
            </w:rPr>
            <w:t>Creative Commons Attribution-NonCommercial-ShareAlike 3.0 Unported License</w:t>
          </w:r>
        </w:p>
        <w:p w:rsidR="00D94597" w:rsidRPr="002E4C92" w:rsidRDefault="00E370C5" w:rsidP="008D5B21">
          <w:pPr>
            <w:pStyle w:val="FooterText"/>
          </w:pPr>
          <w:hyperlink r:id="rId1" w:history="1">
            <w:r w:rsidR="00D94597" w:rsidRPr="00E21CE6">
              <w:rPr>
                <w:rStyle w:val="Hyperlink"/>
                <w:sz w:val="12"/>
                <w:szCs w:val="12"/>
              </w:rPr>
              <w:t>http://creativecommons.org/licenses/by-nc-sa/3.0/</w:t>
            </w:r>
          </w:hyperlink>
        </w:p>
      </w:tc>
      <w:tc>
        <w:tcPr>
          <w:tcW w:w="594" w:type="dxa"/>
          <w:shd w:val="clear" w:color="auto" w:fill="auto"/>
          <w:vAlign w:val="center"/>
        </w:tcPr>
        <w:p w:rsidR="00D94597" w:rsidRPr="002E4C92" w:rsidRDefault="00D94597"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F1C07">
            <w:rPr>
              <w:rFonts w:ascii="Calibri" w:hAnsi="Calibri" w:cs="Calibri"/>
              <w:b/>
              <w:noProof/>
              <w:color w:val="1F4E79"/>
              <w:sz w:val="28"/>
            </w:rPr>
            <w:t>16</w:t>
          </w:r>
          <w:r w:rsidRPr="002E4C92">
            <w:rPr>
              <w:rFonts w:ascii="Calibri" w:hAnsi="Calibri" w:cs="Calibri"/>
              <w:b/>
              <w:color w:val="1F4E79"/>
              <w:sz w:val="28"/>
            </w:rPr>
            <w:fldChar w:fldCharType="end"/>
          </w:r>
        </w:p>
      </w:tc>
      <w:tc>
        <w:tcPr>
          <w:tcW w:w="4250" w:type="dxa"/>
          <w:shd w:val="clear" w:color="auto" w:fill="auto"/>
          <w:vAlign w:val="bottom"/>
        </w:tcPr>
        <w:p w:rsidR="00D94597" w:rsidRPr="002E4C92" w:rsidRDefault="004F1C07"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PCG-CC-NY.png" style="width:133.5pt;height:50.25pt;visibility:visible">
                <v:imagedata r:id="rId2" o:title="PCG-CC-NY"/>
              </v:shape>
            </w:pict>
          </w:r>
        </w:p>
      </w:tc>
    </w:tr>
  </w:tbl>
  <w:p w:rsidR="00D94597" w:rsidRPr="008D5B21" w:rsidRDefault="00D94597" w:rsidP="008D5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97" w:rsidRPr="00563CB8" w:rsidRDefault="00D94597"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94597" w:rsidTr="001B31FF">
      <w:trPr>
        <w:trHeight w:val="705"/>
      </w:trPr>
      <w:tc>
        <w:tcPr>
          <w:tcW w:w="4680" w:type="dxa"/>
          <w:shd w:val="clear" w:color="auto" w:fill="auto"/>
          <w:vAlign w:val="center"/>
        </w:tcPr>
        <w:p w:rsidR="00D94597" w:rsidRPr="002E4C92" w:rsidRDefault="00D94597" w:rsidP="008D5B21">
          <w:pPr>
            <w:pStyle w:val="FooterText"/>
          </w:pPr>
          <w:r w:rsidRPr="002E4C92">
            <w:t>File:</w:t>
          </w:r>
          <w:r>
            <w:rPr>
              <w:b w:val="0"/>
            </w:rPr>
            <w:t xml:space="preserve"> 12.2.1 Lesson 15</w:t>
          </w:r>
          <w:r w:rsidRPr="002E4C92">
            <w:t xml:space="preserve"> Date:</w:t>
          </w:r>
          <w:r w:rsidR="00380A5D">
            <w:rPr>
              <w:b w:val="0"/>
            </w:rPr>
            <w:t xml:space="preserve"> 2</w:t>
          </w:r>
          <w:r>
            <w:rPr>
              <w:b w:val="0"/>
            </w:rPr>
            <w:t>/</w:t>
          </w:r>
          <w:r w:rsidR="004F1C07">
            <w:rPr>
              <w:b w:val="0"/>
            </w:rPr>
            <w:t>13</w:t>
          </w:r>
          <w:r w:rsidRPr="0039525B">
            <w:rPr>
              <w:b w:val="0"/>
            </w:rPr>
            <w:t>/1</w:t>
          </w:r>
          <w:r>
            <w:rPr>
              <w:b w:val="0"/>
            </w:rPr>
            <w:t>5</w:t>
          </w:r>
          <w:r w:rsidRPr="0039525B">
            <w:rPr>
              <w:b w:val="0"/>
            </w:rPr>
            <w:t xml:space="preserve"> </w:t>
          </w:r>
          <w:r w:rsidRPr="002E4C92">
            <w:t>Classroom Use:</w:t>
          </w:r>
          <w:r w:rsidR="00380A5D">
            <w:rPr>
              <w:b w:val="0"/>
            </w:rPr>
            <w:t xml:space="preserve"> Starting 2</w:t>
          </w:r>
          <w:r w:rsidRPr="0039525B">
            <w:rPr>
              <w:b w:val="0"/>
            </w:rPr>
            <w:t>/201</w:t>
          </w:r>
          <w:r>
            <w:rPr>
              <w:b w:val="0"/>
            </w:rPr>
            <w:t>5</w:t>
          </w:r>
          <w:r w:rsidRPr="0039525B">
            <w:rPr>
              <w:b w:val="0"/>
            </w:rPr>
            <w:t xml:space="preserve"> </w:t>
          </w:r>
        </w:p>
        <w:p w:rsidR="00D94597" w:rsidRPr="0039525B" w:rsidRDefault="00D94597"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D94597" w:rsidRPr="0039525B" w:rsidRDefault="00D94597" w:rsidP="008D5B21">
          <w:pPr>
            <w:pStyle w:val="FooterText"/>
            <w:rPr>
              <w:b w:val="0"/>
              <w:i/>
            </w:rPr>
          </w:pPr>
          <w:r w:rsidRPr="0039525B">
            <w:rPr>
              <w:b w:val="0"/>
              <w:i/>
              <w:sz w:val="12"/>
            </w:rPr>
            <w:t>Creative Commons Attribution-NonCommercial-ShareAlike 3.0 Unported License</w:t>
          </w:r>
        </w:p>
        <w:p w:rsidR="00D94597" w:rsidRPr="002E4C92" w:rsidRDefault="00E370C5" w:rsidP="008D5B21">
          <w:pPr>
            <w:pStyle w:val="FooterText"/>
          </w:pPr>
          <w:hyperlink r:id="rId1" w:history="1">
            <w:r w:rsidR="00D94597" w:rsidRPr="00E21CE6">
              <w:rPr>
                <w:rStyle w:val="Hyperlink"/>
                <w:sz w:val="12"/>
                <w:szCs w:val="12"/>
              </w:rPr>
              <w:t>http://creativecommons.org/licenses/by-nc-sa/3.0/</w:t>
            </w:r>
          </w:hyperlink>
        </w:p>
      </w:tc>
      <w:tc>
        <w:tcPr>
          <w:tcW w:w="594" w:type="dxa"/>
          <w:shd w:val="clear" w:color="auto" w:fill="auto"/>
          <w:vAlign w:val="center"/>
        </w:tcPr>
        <w:p w:rsidR="00D94597" w:rsidRPr="002E4C92" w:rsidRDefault="00D94597"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F1C07">
            <w:rPr>
              <w:rFonts w:ascii="Calibri" w:hAnsi="Calibri" w:cs="Calibri"/>
              <w:b/>
              <w:noProof/>
              <w:color w:val="1F4E79"/>
              <w:sz w:val="28"/>
            </w:rPr>
            <w:t>17</w:t>
          </w:r>
          <w:r w:rsidRPr="002E4C92">
            <w:rPr>
              <w:rFonts w:ascii="Calibri" w:hAnsi="Calibri" w:cs="Calibri"/>
              <w:b/>
              <w:color w:val="1F4E79"/>
              <w:sz w:val="28"/>
            </w:rPr>
            <w:fldChar w:fldCharType="end"/>
          </w:r>
        </w:p>
      </w:tc>
      <w:tc>
        <w:tcPr>
          <w:tcW w:w="4250" w:type="dxa"/>
          <w:shd w:val="clear" w:color="auto" w:fill="auto"/>
          <w:vAlign w:val="bottom"/>
        </w:tcPr>
        <w:p w:rsidR="00D94597" w:rsidRPr="002E4C92" w:rsidRDefault="004F1C07"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PCG-CC-NY.png" style="width:133.5pt;height:50.25pt;visibility:visible">
                <v:imagedata r:id="rId2" o:title="PCG-CC-NY"/>
              </v:shape>
            </w:pict>
          </w:r>
        </w:p>
      </w:tc>
    </w:tr>
  </w:tbl>
  <w:p w:rsidR="00D94597" w:rsidRPr="008D5B21" w:rsidRDefault="00D94597"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C5" w:rsidRDefault="00E370C5">
      <w:pPr>
        <w:spacing w:before="0" w:after="0" w:line="240" w:lineRule="auto"/>
      </w:pPr>
      <w:r>
        <w:separator/>
      </w:r>
    </w:p>
  </w:footnote>
  <w:footnote w:type="continuationSeparator" w:id="0">
    <w:p w:rsidR="00E370C5" w:rsidRDefault="00E370C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115D30" w:rsidRPr="00563CB8" w:rsidTr="00352B48">
      <w:tc>
        <w:tcPr>
          <w:tcW w:w="3630" w:type="dxa"/>
          <w:shd w:val="clear" w:color="auto" w:fill="auto"/>
        </w:tcPr>
        <w:p w:rsidR="00115D30" w:rsidRPr="00563CB8" w:rsidRDefault="00115D30"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115D30" w:rsidRPr="00563CB8" w:rsidRDefault="00115D30" w:rsidP="007017EB">
          <w:pPr>
            <w:jc w:val="center"/>
          </w:pPr>
          <w:r w:rsidRPr="00563CB8">
            <w:t>D R A F T</w:t>
          </w:r>
        </w:p>
      </w:tc>
      <w:tc>
        <w:tcPr>
          <w:tcW w:w="3541" w:type="dxa"/>
          <w:shd w:val="clear" w:color="auto" w:fill="auto"/>
        </w:tcPr>
        <w:p w:rsidR="00115D30" w:rsidRPr="00E946A0" w:rsidRDefault="00115D30" w:rsidP="00A5478B">
          <w:pPr>
            <w:pStyle w:val="PageHeader"/>
            <w:jc w:val="right"/>
            <w:rPr>
              <w:b w:val="0"/>
            </w:rPr>
          </w:pPr>
          <w:r>
            <w:rPr>
              <w:b w:val="0"/>
            </w:rPr>
            <w:t>Grade 12 • Module 2 • Unit 1 • Lesson 15</w:t>
          </w:r>
        </w:p>
      </w:tc>
    </w:tr>
  </w:tbl>
  <w:p w:rsidR="00115D30" w:rsidRPr="007017EB" w:rsidRDefault="00115D30"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5110"/>
      <w:gridCol w:w="3335"/>
      <w:gridCol w:w="4984"/>
    </w:tblGrid>
    <w:tr w:rsidR="00D94597" w:rsidRPr="00563CB8" w:rsidTr="00352B48">
      <w:tc>
        <w:tcPr>
          <w:tcW w:w="3630" w:type="dxa"/>
          <w:shd w:val="clear" w:color="auto" w:fill="auto"/>
        </w:tcPr>
        <w:p w:rsidR="00D94597" w:rsidRPr="00563CB8" w:rsidRDefault="00D94597"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D94597" w:rsidRPr="00563CB8" w:rsidRDefault="00D94597" w:rsidP="007017EB">
          <w:pPr>
            <w:jc w:val="center"/>
          </w:pPr>
          <w:r w:rsidRPr="00563CB8">
            <w:t>D R A F T</w:t>
          </w:r>
        </w:p>
      </w:tc>
      <w:tc>
        <w:tcPr>
          <w:tcW w:w="3541" w:type="dxa"/>
          <w:shd w:val="clear" w:color="auto" w:fill="auto"/>
        </w:tcPr>
        <w:p w:rsidR="00D94597" w:rsidRPr="00E946A0" w:rsidRDefault="00D94597" w:rsidP="00A5478B">
          <w:pPr>
            <w:pStyle w:val="PageHeader"/>
            <w:jc w:val="right"/>
            <w:rPr>
              <w:b w:val="0"/>
            </w:rPr>
          </w:pPr>
          <w:r>
            <w:rPr>
              <w:b w:val="0"/>
            </w:rPr>
            <w:t>Grade 12 • Module 2 • Unit 1 • Lesson 15</w:t>
          </w:r>
        </w:p>
      </w:tc>
    </w:tr>
  </w:tbl>
  <w:p w:rsidR="00D94597" w:rsidRPr="007017EB" w:rsidRDefault="00D94597"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94597" w:rsidRPr="00563CB8" w:rsidTr="00352B48">
      <w:tc>
        <w:tcPr>
          <w:tcW w:w="3630" w:type="dxa"/>
          <w:shd w:val="clear" w:color="auto" w:fill="auto"/>
        </w:tcPr>
        <w:p w:rsidR="00D94597" w:rsidRPr="00563CB8" w:rsidRDefault="00D94597"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D94597" w:rsidRPr="00563CB8" w:rsidRDefault="00D94597" w:rsidP="007017EB">
          <w:pPr>
            <w:jc w:val="center"/>
          </w:pPr>
          <w:r w:rsidRPr="00563CB8">
            <w:t>D R A F T</w:t>
          </w:r>
        </w:p>
      </w:tc>
      <w:tc>
        <w:tcPr>
          <w:tcW w:w="3541" w:type="dxa"/>
          <w:shd w:val="clear" w:color="auto" w:fill="auto"/>
        </w:tcPr>
        <w:p w:rsidR="00D94597" w:rsidRPr="00E946A0" w:rsidRDefault="00D94597" w:rsidP="00A5478B">
          <w:pPr>
            <w:pStyle w:val="PageHeader"/>
            <w:jc w:val="right"/>
            <w:rPr>
              <w:b w:val="0"/>
            </w:rPr>
          </w:pPr>
          <w:r>
            <w:rPr>
              <w:b w:val="0"/>
            </w:rPr>
            <w:t>Grade 12 • Module 2 • Unit 1 • Lesson 15</w:t>
          </w:r>
        </w:p>
      </w:tc>
    </w:tr>
  </w:tbl>
  <w:p w:rsidR="00D94597" w:rsidRPr="007017EB" w:rsidRDefault="00D9459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AE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80"/>
    <w:multiLevelType w:val="multilevel"/>
    <w:tmpl w:val="12B04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AE74C01"/>
    <w:multiLevelType w:val="hybridMultilevel"/>
    <w:tmpl w:val="8CF878B6"/>
    <w:lvl w:ilvl="0" w:tplc="D9C28F4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E6908"/>
    <w:multiLevelType w:val="hybridMultilevel"/>
    <w:tmpl w:val="4EE408DC"/>
    <w:lvl w:ilvl="0" w:tplc="210417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8746C"/>
    <w:multiLevelType w:val="hybridMultilevel"/>
    <w:tmpl w:val="2DC2E340"/>
    <w:lvl w:ilvl="0" w:tplc="B288BA9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22378"/>
    <w:multiLevelType w:val="multilevel"/>
    <w:tmpl w:val="7BEEC3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82B349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0E507B8"/>
    <w:multiLevelType w:val="hybridMultilevel"/>
    <w:tmpl w:val="9EDAAA52"/>
    <w:lvl w:ilvl="0" w:tplc="86D2C1AE">
      <w:start w:val="1"/>
      <w:numFmt w:val="none"/>
      <w:lvlText w:val="b."/>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B07C70"/>
    <w:multiLevelType w:val="multilevel"/>
    <w:tmpl w:val="6AB28F72"/>
    <w:lvl w:ilvl="0">
      <w:start w:val="1"/>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621C4C00"/>
    <w:lvl w:ilvl="0" w:tplc="0986DD14">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27A83"/>
    <w:multiLevelType w:val="multilevel"/>
    <w:tmpl w:val="7BEEC3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num>
  <w:num w:numId="2">
    <w:abstractNumId w:val="10"/>
    <w:lvlOverride w:ilvl="0">
      <w:startOverride w:val="1"/>
    </w:lvlOverride>
  </w:num>
  <w:num w:numId="3">
    <w:abstractNumId w:val="16"/>
  </w:num>
  <w:num w:numId="4">
    <w:abstractNumId w:val="17"/>
  </w:num>
  <w:num w:numId="5">
    <w:abstractNumId w:val="3"/>
  </w:num>
  <w:num w:numId="6">
    <w:abstractNumId w:val="19"/>
  </w:num>
  <w:num w:numId="7">
    <w:abstractNumId w:val="10"/>
    <w:lvlOverride w:ilvl="0">
      <w:startOverride w:val="1"/>
    </w:lvlOverride>
  </w:num>
  <w:num w:numId="8">
    <w:abstractNumId w:val="22"/>
  </w:num>
  <w:num w:numId="9">
    <w:abstractNumId w:val="4"/>
  </w:num>
  <w:num w:numId="10">
    <w:abstractNumId w:val="18"/>
  </w:num>
  <w:num w:numId="11">
    <w:abstractNumId w:val="23"/>
  </w:num>
  <w:num w:numId="12">
    <w:abstractNumId w:val="10"/>
  </w:num>
  <w:num w:numId="13">
    <w:abstractNumId w:val="10"/>
    <w:lvlOverride w:ilvl="0">
      <w:startOverride w:val="1"/>
    </w:lvlOverride>
  </w:num>
  <w:num w:numId="14">
    <w:abstractNumId w:val="7"/>
    <w:lvlOverride w:ilvl="0">
      <w:startOverride w:val="1"/>
    </w:lvlOverride>
  </w:num>
  <w:num w:numId="15">
    <w:abstractNumId w:val="22"/>
  </w:num>
  <w:num w:numId="16">
    <w:abstractNumId w:val="6"/>
  </w:num>
  <w:num w:numId="17">
    <w:abstractNumId w:val="2"/>
  </w:num>
  <w:num w:numId="18">
    <w:abstractNumId w:val="5"/>
  </w:num>
  <w:num w:numId="19">
    <w:abstractNumId w:val="21"/>
  </w:num>
  <w:num w:numId="20">
    <w:abstractNumId w:val="25"/>
  </w:num>
  <w:num w:numId="21">
    <w:abstractNumId w:val="15"/>
  </w:num>
  <w:num w:numId="22">
    <w:abstractNumId w:val="23"/>
    <w:lvlOverride w:ilvl="0">
      <w:startOverride w:val="3"/>
    </w:lvlOverride>
  </w:num>
  <w:num w:numId="23">
    <w:abstractNumId w:val="23"/>
    <w:lvlOverride w:ilvl="0">
      <w:startOverride w:val="4"/>
    </w:lvlOverride>
  </w:num>
  <w:num w:numId="24">
    <w:abstractNumId w:val="8"/>
  </w:num>
  <w:num w:numId="25">
    <w:abstractNumId w:val="1"/>
  </w:num>
  <w:num w:numId="26">
    <w:abstractNumId w:val="13"/>
  </w:num>
  <w:num w:numId="27">
    <w:abstractNumId w:val="14"/>
  </w:num>
  <w:num w:numId="28">
    <w:abstractNumId w:val="12"/>
  </w:num>
  <w:num w:numId="29">
    <w:abstractNumId w:val="24"/>
  </w:num>
  <w:num w:numId="30">
    <w:abstractNumId w:val="0"/>
  </w:num>
  <w:num w:numId="31">
    <w:abstractNumId w:val="11"/>
  </w:num>
  <w:num w:numId="32">
    <w:abstractNumId w:val="20"/>
  </w:num>
  <w:num w:numId="33">
    <w:abstractNumId w:val="23"/>
    <w:lvlOverride w:ilvl="0">
      <w:startOverride w:val="3"/>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31D1"/>
    <w:rsid w:val="0002642D"/>
    <w:rsid w:val="00031EC1"/>
    <w:rsid w:val="0003387A"/>
    <w:rsid w:val="0004438F"/>
    <w:rsid w:val="00046A18"/>
    <w:rsid w:val="000543E1"/>
    <w:rsid w:val="0005676B"/>
    <w:rsid w:val="00057BDB"/>
    <w:rsid w:val="0006165A"/>
    <w:rsid w:val="00080BC0"/>
    <w:rsid w:val="000832EC"/>
    <w:rsid w:val="00083E23"/>
    <w:rsid w:val="000855BC"/>
    <w:rsid w:val="00090996"/>
    <w:rsid w:val="000A1761"/>
    <w:rsid w:val="000A1A47"/>
    <w:rsid w:val="000B3273"/>
    <w:rsid w:val="000B3A6F"/>
    <w:rsid w:val="000C08D3"/>
    <w:rsid w:val="000C2AE1"/>
    <w:rsid w:val="000D77A5"/>
    <w:rsid w:val="000F3FF6"/>
    <w:rsid w:val="000F53CF"/>
    <w:rsid w:val="001015C9"/>
    <w:rsid w:val="001019B9"/>
    <w:rsid w:val="00112B0B"/>
    <w:rsid w:val="00115A38"/>
    <w:rsid w:val="00115D30"/>
    <w:rsid w:val="001238B7"/>
    <w:rsid w:val="0012429B"/>
    <w:rsid w:val="00141375"/>
    <w:rsid w:val="00144B97"/>
    <w:rsid w:val="00146AF9"/>
    <w:rsid w:val="00154D96"/>
    <w:rsid w:val="001572AB"/>
    <w:rsid w:val="00161799"/>
    <w:rsid w:val="001732F0"/>
    <w:rsid w:val="001735F1"/>
    <w:rsid w:val="00185274"/>
    <w:rsid w:val="00187013"/>
    <w:rsid w:val="00187C48"/>
    <w:rsid w:val="001A0745"/>
    <w:rsid w:val="001A1C7A"/>
    <w:rsid w:val="001A5758"/>
    <w:rsid w:val="001A5A77"/>
    <w:rsid w:val="001B31FF"/>
    <w:rsid w:val="001B4243"/>
    <w:rsid w:val="001B562E"/>
    <w:rsid w:val="001B6135"/>
    <w:rsid w:val="001B7319"/>
    <w:rsid w:val="001C62CF"/>
    <w:rsid w:val="001D110C"/>
    <w:rsid w:val="001D2D9E"/>
    <w:rsid w:val="001D49C9"/>
    <w:rsid w:val="001D7577"/>
    <w:rsid w:val="001E4CD3"/>
    <w:rsid w:val="001E6434"/>
    <w:rsid w:val="001E6ED4"/>
    <w:rsid w:val="001F1F31"/>
    <w:rsid w:val="001F3D1E"/>
    <w:rsid w:val="001F49AB"/>
    <w:rsid w:val="001F6272"/>
    <w:rsid w:val="001F672B"/>
    <w:rsid w:val="00204A9B"/>
    <w:rsid w:val="00204F11"/>
    <w:rsid w:val="00211F2A"/>
    <w:rsid w:val="002139D3"/>
    <w:rsid w:val="00220394"/>
    <w:rsid w:val="00225FF2"/>
    <w:rsid w:val="00227ED3"/>
    <w:rsid w:val="00234614"/>
    <w:rsid w:val="00236C1E"/>
    <w:rsid w:val="002533D0"/>
    <w:rsid w:val="0026030B"/>
    <w:rsid w:val="002637FE"/>
    <w:rsid w:val="00263BC0"/>
    <w:rsid w:val="002649F5"/>
    <w:rsid w:val="002734E9"/>
    <w:rsid w:val="00282F7B"/>
    <w:rsid w:val="00295974"/>
    <w:rsid w:val="002A0646"/>
    <w:rsid w:val="002A36CB"/>
    <w:rsid w:val="002B735A"/>
    <w:rsid w:val="002D35D2"/>
    <w:rsid w:val="002D36F1"/>
    <w:rsid w:val="002D4F22"/>
    <w:rsid w:val="002D716A"/>
    <w:rsid w:val="002E6180"/>
    <w:rsid w:val="002E792A"/>
    <w:rsid w:val="002F054E"/>
    <w:rsid w:val="002F09AF"/>
    <w:rsid w:val="00302A12"/>
    <w:rsid w:val="00303DC6"/>
    <w:rsid w:val="003108B7"/>
    <w:rsid w:val="0031633F"/>
    <w:rsid w:val="00320528"/>
    <w:rsid w:val="003252AE"/>
    <w:rsid w:val="00326C8C"/>
    <w:rsid w:val="00330818"/>
    <w:rsid w:val="00337387"/>
    <w:rsid w:val="00337EAD"/>
    <w:rsid w:val="00341F48"/>
    <w:rsid w:val="00345AF6"/>
    <w:rsid w:val="00352B48"/>
    <w:rsid w:val="00353609"/>
    <w:rsid w:val="0035650C"/>
    <w:rsid w:val="00356608"/>
    <w:rsid w:val="003576E9"/>
    <w:rsid w:val="00362BBB"/>
    <w:rsid w:val="003653BD"/>
    <w:rsid w:val="00377A21"/>
    <w:rsid w:val="00380A5D"/>
    <w:rsid w:val="00383F16"/>
    <w:rsid w:val="00387015"/>
    <w:rsid w:val="003967C0"/>
    <w:rsid w:val="00397B54"/>
    <w:rsid w:val="003A29A0"/>
    <w:rsid w:val="003A326E"/>
    <w:rsid w:val="003A3E60"/>
    <w:rsid w:val="003B6FFF"/>
    <w:rsid w:val="003C4892"/>
    <w:rsid w:val="003D0C23"/>
    <w:rsid w:val="003D2FDB"/>
    <w:rsid w:val="003D3952"/>
    <w:rsid w:val="003D4268"/>
    <w:rsid w:val="003E0C13"/>
    <w:rsid w:val="003E0CF3"/>
    <w:rsid w:val="003E2F2C"/>
    <w:rsid w:val="003F6B6D"/>
    <w:rsid w:val="003F6F3F"/>
    <w:rsid w:val="00410CA1"/>
    <w:rsid w:val="004140B1"/>
    <w:rsid w:val="004165E9"/>
    <w:rsid w:val="00427054"/>
    <w:rsid w:val="00434BC9"/>
    <w:rsid w:val="00435493"/>
    <w:rsid w:val="0043754F"/>
    <w:rsid w:val="0044185A"/>
    <w:rsid w:val="00442F6B"/>
    <w:rsid w:val="00445E46"/>
    <w:rsid w:val="004471FA"/>
    <w:rsid w:val="0046482B"/>
    <w:rsid w:val="00465CC8"/>
    <w:rsid w:val="00470293"/>
    <w:rsid w:val="0047332C"/>
    <w:rsid w:val="0047422E"/>
    <w:rsid w:val="00493973"/>
    <w:rsid w:val="004958E8"/>
    <w:rsid w:val="004A0718"/>
    <w:rsid w:val="004A20E9"/>
    <w:rsid w:val="004B4E58"/>
    <w:rsid w:val="004C0095"/>
    <w:rsid w:val="004D51F2"/>
    <w:rsid w:val="004D6F8E"/>
    <w:rsid w:val="004E0EAC"/>
    <w:rsid w:val="004E10BB"/>
    <w:rsid w:val="004F1C07"/>
    <w:rsid w:val="00501057"/>
    <w:rsid w:val="00516331"/>
    <w:rsid w:val="00537A7C"/>
    <w:rsid w:val="005416B9"/>
    <w:rsid w:val="00542863"/>
    <w:rsid w:val="00544860"/>
    <w:rsid w:val="00553E95"/>
    <w:rsid w:val="00557E1C"/>
    <w:rsid w:val="0056074C"/>
    <w:rsid w:val="005609E0"/>
    <w:rsid w:val="00563356"/>
    <w:rsid w:val="00567532"/>
    <w:rsid w:val="005715B0"/>
    <w:rsid w:val="00573C8B"/>
    <w:rsid w:val="00577ECD"/>
    <w:rsid w:val="0058036A"/>
    <w:rsid w:val="00581EE3"/>
    <w:rsid w:val="00586A55"/>
    <w:rsid w:val="005A1989"/>
    <w:rsid w:val="005B4F86"/>
    <w:rsid w:val="005B5363"/>
    <w:rsid w:val="005B6A81"/>
    <w:rsid w:val="005C318E"/>
    <w:rsid w:val="005C5619"/>
    <w:rsid w:val="005C6449"/>
    <w:rsid w:val="005C6EE8"/>
    <w:rsid w:val="005E0BBB"/>
    <w:rsid w:val="005E31ED"/>
    <w:rsid w:val="005E766B"/>
    <w:rsid w:val="00602411"/>
    <w:rsid w:val="006038B1"/>
    <w:rsid w:val="00604719"/>
    <w:rsid w:val="00626163"/>
    <w:rsid w:val="00627231"/>
    <w:rsid w:val="00643C8E"/>
    <w:rsid w:val="00644A8E"/>
    <w:rsid w:val="0065536D"/>
    <w:rsid w:val="00656C37"/>
    <w:rsid w:val="00663BE5"/>
    <w:rsid w:val="006674C5"/>
    <w:rsid w:val="0067054B"/>
    <w:rsid w:val="00680581"/>
    <w:rsid w:val="006805A1"/>
    <w:rsid w:val="006828B4"/>
    <w:rsid w:val="00690873"/>
    <w:rsid w:val="0069091C"/>
    <w:rsid w:val="00691712"/>
    <w:rsid w:val="006919CF"/>
    <w:rsid w:val="00695F0B"/>
    <w:rsid w:val="006A5C67"/>
    <w:rsid w:val="006B3579"/>
    <w:rsid w:val="006C539D"/>
    <w:rsid w:val="006C546E"/>
    <w:rsid w:val="006C6D2A"/>
    <w:rsid w:val="006D082E"/>
    <w:rsid w:val="006D60F6"/>
    <w:rsid w:val="006E07FB"/>
    <w:rsid w:val="006E7923"/>
    <w:rsid w:val="006F0555"/>
    <w:rsid w:val="006F07FF"/>
    <w:rsid w:val="006F1E5E"/>
    <w:rsid w:val="00700E3F"/>
    <w:rsid w:val="007017EB"/>
    <w:rsid w:val="00702A79"/>
    <w:rsid w:val="007049E2"/>
    <w:rsid w:val="00730318"/>
    <w:rsid w:val="007356E7"/>
    <w:rsid w:val="007525A3"/>
    <w:rsid w:val="0075290E"/>
    <w:rsid w:val="00755D08"/>
    <w:rsid w:val="00762B0D"/>
    <w:rsid w:val="007656D7"/>
    <w:rsid w:val="00766031"/>
    <w:rsid w:val="00771333"/>
    <w:rsid w:val="00790BCC"/>
    <w:rsid w:val="007935C6"/>
    <w:rsid w:val="00794082"/>
    <w:rsid w:val="007A6A37"/>
    <w:rsid w:val="007B29F9"/>
    <w:rsid w:val="007C05DE"/>
    <w:rsid w:val="007C3936"/>
    <w:rsid w:val="007D2598"/>
    <w:rsid w:val="007D3676"/>
    <w:rsid w:val="007E211F"/>
    <w:rsid w:val="007E484F"/>
    <w:rsid w:val="00805FBC"/>
    <w:rsid w:val="00807F20"/>
    <w:rsid w:val="0081139A"/>
    <w:rsid w:val="00812B2B"/>
    <w:rsid w:val="0083406B"/>
    <w:rsid w:val="00853A55"/>
    <w:rsid w:val="00853A7F"/>
    <w:rsid w:val="00854920"/>
    <w:rsid w:val="00863E02"/>
    <w:rsid w:val="008710E9"/>
    <w:rsid w:val="008765B2"/>
    <w:rsid w:val="008828C5"/>
    <w:rsid w:val="008874D0"/>
    <w:rsid w:val="00890FB4"/>
    <w:rsid w:val="00892DB4"/>
    <w:rsid w:val="0089321B"/>
    <w:rsid w:val="008A0FC9"/>
    <w:rsid w:val="008A0FF2"/>
    <w:rsid w:val="008B4E29"/>
    <w:rsid w:val="008B7D47"/>
    <w:rsid w:val="008C44C4"/>
    <w:rsid w:val="008C5560"/>
    <w:rsid w:val="008D5543"/>
    <w:rsid w:val="008D5B21"/>
    <w:rsid w:val="008D6789"/>
    <w:rsid w:val="008E0122"/>
    <w:rsid w:val="008E4DDA"/>
    <w:rsid w:val="008F46C1"/>
    <w:rsid w:val="00902CF8"/>
    <w:rsid w:val="00912B90"/>
    <w:rsid w:val="00916298"/>
    <w:rsid w:val="00921FF0"/>
    <w:rsid w:val="009272BB"/>
    <w:rsid w:val="00930E2C"/>
    <w:rsid w:val="00932408"/>
    <w:rsid w:val="0093255E"/>
    <w:rsid w:val="00934072"/>
    <w:rsid w:val="00936E52"/>
    <w:rsid w:val="00941265"/>
    <w:rsid w:val="00944A3C"/>
    <w:rsid w:val="009450B7"/>
    <w:rsid w:val="009450F1"/>
    <w:rsid w:val="00946287"/>
    <w:rsid w:val="009504F8"/>
    <w:rsid w:val="00951397"/>
    <w:rsid w:val="0095514D"/>
    <w:rsid w:val="0096031F"/>
    <w:rsid w:val="0096159E"/>
    <w:rsid w:val="009643BF"/>
    <w:rsid w:val="00970C2B"/>
    <w:rsid w:val="00973319"/>
    <w:rsid w:val="00974151"/>
    <w:rsid w:val="009771CC"/>
    <w:rsid w:val="00982AD5"/>
    <w:rsid w:val="0098497B"/>
    <w:rsid w:val="009912DC"/>
    <w:rsid w:val="00991A16"/>
    <w:rsid w:val="00993F77"/>
    <w:rsid w:val="009973FF"/>
    <w:rsid w:val="009A1945"/>
    <w:rsid w:val="009B0386"/>
    <w:rsid w:val="009B08B3"/>
    <w:rsid w:val="009B1C72"/>
    <w:rsid w:val="009B1F5D"/>
    <w:rsid w:val="009B7466"/>
    <w:rsid w:val="009B7546"/>
    <w:rsid w:val="009C6E6D"/>
    <w:rsid w:val="009D0840"/>
    <w:rsid w:val="009D0C40"/>
    <w:rsid w:val="009D1D0F"/>
    <w:rsid w:val="009D62E0"/>
    <w:rsid w:val="009E2439"/>
    <w:rsid w:val="009E4404"/>
    <w:rsid w:val="009F2BFC"/>
    <w:rsid w:val="00A01AEA"/>
    <w:rsid w:val="00A11587"/>
    <w:rsid w:val="00A15458"/>
    <w:rsid w:val="00A16356"/>
    <w:rsid w:val="00A27948"/>
    <w:rsid w:val="00A326C4"/>
    <w:rsid w:val="00A33219"/>
    <w:rsid w:val="00A332B1"/>
    <w:rsid w:val="00A33F54"/>
    <w:rsid w:val="00A374FE"/>
    <w:rsid w:val="00A47425"/>
    <w:rsid w:val="00A51F8B"/>
    <w:rsid w:val="00A5478B"/>
    <w:rsid w:val="00A63D55"/>
    <w:rsid w:val="00A72D7E"/>
    <w:rsid w:val="00A72DE3"/>
    <w:rsid w:val="00A81DFC"/>
    <w:rsid w:val="00A96E87"/>
    <w:rsid w:val="00AB758D"/>
    <w:rsid w:val="00AB7898"/>
    <w:rsid w:val="00AC170B"/>
    <w:rsid w:val="00AC41C1"/>
    <w:rsid w:val="00AC74AA"/>
    <w:rsid w:val="00AD75AD"/>
    <w:rsid w:val="00AE3CFF"/>
    <w:rsid w:val="00AF0A06"/>
    <w:rsid w:val="00AF125B"/>
    <w:rsid w:val="00AF5F36"/>
    <w:rsid w:val="00B178B0"/>
    <w:rsid w:val="00B210BF"/>
    <w:rsid w:val="00B324BD"/>
    <w:rsid w:val="00B32C15"/>
    <w:rsid w:val="00B55CDC"/>
    <w:rsid w:val="00B5736D"/>
    <w:rsid w:val="00B577BE"/>
    <w:rsid w:val="00B616E0"/>
    <w:rsid w:val="00B67B03"/>
    <w:rsid w:val="00B73CF5"/>
    <w:rsid w:val="00B75C38"/>
    <w:rsid w:val="00B77CEC"/>
    <w:rsid w:val="00B914C0"/>
    <w:rsid w:val="00B963A6"/>
    <w:rsid w:val="00BA0076"/>
    <w:rsid w:val="00BA663F"/>
    <w:rsid w:val="00BB32B0"/>
    <w:rsid w:val="00BB6895"/>
    <w:rsid w:val="00BB7F2A"/>
    <w:rsid w:val="00BC0B23"/>
    <w:rsid w:val="00BC5C4B"/>
    <w:rsid w:val="00BD1F3E"/>
    <w:rsid w:val="00BD2179"/>
    <w:rsid w:val="00BD610F"/>
    <w:rsid w:val="00BD7E9F"/>
    <w:rsid w:val="00BE0053"/>
    <w:rsid w:val="00BE5374"/>
    <w:rsid w:val="00C2030C"/>
    <w:rsid w:val="00C216B4"/>
    <w:rsid w:val="00C23017"/>
    <w:rsid w:val="00C33A0E"/>
    <w:rsid w:val="00C36251"/>
    <w:rsid w:val="00C414BE"/>
    <w:rsid w:val="00C442BB"/>
    <w:rsid w:val="00C5268D"/>
    <w:rsid w:val="00C606F0"/>
    <w:rsid w:val="00C6566B"/>
    <w:rsid w:val="00C8152A"/>
    <w:rsid w:val="00C83CFC"/>
    <w:rsid w:val="00C84E65"/>
    <w:rsid w:val="00C93328"/>
    <w:rsid w:val="00CB3228"/>
    <w:rsid w:val="00CB44F8"/>
    <w:rsid w:val="00CC1FD7"/>
    <w:rsid w:val="00CD1B80"/>
    <w:rsid w:val="00CD7FBB"/>
    <w:rsid w:val="00CF2B2F"/>
    <w:rsid w:val="00D027B3"/>
    <w:rsid w:val="00D07534"/>
    <w:rsid w:val="00D137F0"/>
    <w:rsid w:val="00D170AF"/>
    <w:rsid w:val="00D24022"/>
    <w:rsid w:val="00D26A4D"/>
    <w:rsid w:val="00D31F4D"/>
    <w:rsid w:val="00D43571"/>
    <w:rsid w:val="00D47511"/>
    <w:rsid w:val="00D5131E"/>
    <w:rsid w:val="00D5249D"/>
    <w:rsid w:val="00D639DF"/>
    <w:rsid w:val="00D944DF"/>
    <w:rsid w:val="00D94597"/>
    <w:rsid w:val="00D948BA"/>
    <w:rsid w:val="00D9789E"/>
    <w:rsid w:val="00DA39AC"/>
    <w:rsid w:val="00DB09F6"/>
    <w:rsid w:val="00DB2964"/>
    <w:rsid w:val="00DB4294"/>
    <w:rsid w:val="00DB5109"/>
    <w:rsid w:val="00DB6203"/>
    <w:rsid w:val="00DB7423"/>
    <w:rsid w:val="00DC33DE"/>
    <w:rsid w:val="00DD14F7"/>
    <w:rsid w:val="00DD1CFC"/>
    <w:rsid w:val="00DD3D95"/>
    <w:rsid w:val="00DD53E6"/>
    <w:rsid w:val="00DE395A"/>
    <w:rsid w:val="00DE6A82"/>
    <w:rsid w:val="00DF381E"/>
    <w:rsid w:val="00DF55FE"/>
    <w:rsid w:val="00DF7B5A"/>
    <w:rsid w:val="00E0495C"/>
    <w:rsid w:val="00E050E1"/>
    <w:rsid w:val="00E21CE6"/>
    <w:rsid w:val="00E24344"/>
    <w:rsid w:val="00E357F0"/>
    <w:rsid w:val="00E370C5"/>
    <w:rsid w:val="00E423F9"/>
    <w:rsid w:val="00E462AD"/>
    <w:rsid w:val="00E5169F"/>
    <w:rsid w:val="00E54A92"/>
    <w:rsid w:val="00E5768E"/>
    <w:rsid w:val="00E775C6"/>
    <w:rsid w:val="00EA30D0"/>
    <w:rsid w:val="00EA5069"/>
    <w:rsid w:val="00EB0C20"/>
    <w:rsid w:val="00EC08FB"/>
    <w:rsid w:val="00ED4E85"/>
    <w:rsid w:val="00ED74D4"/>
    <w:rsid w:val="00EE64BD"/>
    <w:rsid w:val="00F023B9"/>
    <w:rsid w:val="00F04004"/>
    <w:rsid w:val="00F10569"/>
    <w:rsid w:val="00F11E43"/>
    <w:rsid w:val="00F4450B"/>
    <w:rsid w:val="00F476CB"/>
    <w:rsid w:val="00F50ED4"/>
    <w:rsid w:val="00F568C3"/>
    <w:rsid w:val="00F573FD"/>
    <w:rsid w:val="00F81543"/>
    <w:rsid w:val="00F850E2"/>
    <w:rsid w:val="00F92737"/>
    <w:rsid w:val="00FA2D02"/>
    <w:rsid w:val="00FB30D9"/>
    <w:rsid w:val="00FC5E1E"/>
    <w:rsid w:val="00FC6097"/>
    <w:rsid w:val="00FD29CD"/>
    <w:rsid w:val="00FD4EFA"/>
    <w:rsid w:val="00FE3869"/>
    <w:rsid w:val="00FE5855"/>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02132C7-D8AD-4817-8C4C-A20F2FD2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762B0D"/>
    <w:rPr>
      <w:rFonts w:eastAsia="Calibri" w:cs="Times New Roman"/>
      <w:b/>
      <w:bCs/>
      <w:color w:val="365F91"/>
      <w:sz w:val="32"/>
      <w:szCs w:val="28"/>
    </w:rPr>
  </w:style>
  <w:style w:type="paragraph" w:customStyle="1" w:styleId="LightShading-Accent51">
    <w:name w:val="Light Shading - Accent 51"/>
    <w:hidden/>
    <w:uiPriority w:val="99"/>
    <w:semiHidden/>
    <w:rsid w:val="000832EC"/>
    <w:rPr>
      <w:sz w:val="22"/>
      <w:szCs w:val="22"/>
    </w:rPr>
  </w:style>
  <w:style w:type="paragraph" w:customStyle="1" w:styleId="MediumList2-Accent21">
    <w:name w:val="Medium List 2 - Accent 21"/>
    <w:hidden/>
    <w:uiPriority w:val="99"/>
    <w:semiHidden/>
    <w:rsid w:val="008D6789"/>
    <w:rPr>
      <w:sz w:val="22"/>
      <w:szCs w:val="22"/>
    </w:rPr>
  </w:style>
  <w:style w:type="character" w:customStyle="1" w:styleId="ToolTableTextChar">
    <w:name w:val="*ToolTableText Char"/>
    <w:link w:val="ToolTableText"/>
    <w:rsid w:val="00D945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917059950">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14</vt:i4>
      </vt:variant>
      <vt:variant>
        <vt:i4>0</vt:i4>
      </vt:variant>
      <vt:variant>
        <vt:i4>5</vt:i4>
      </vt:variant>
      <vt:variant>
        <vt:lpwstr>http://creativecommons.org/licenses/by-nc-sa/3.0/</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2014-06-30T22:20:00Z</cp:lastPrinted>
  <dcterms:created xsi:type="dcterms:W3CDTF">2015-02-10T17:59:00Z</dcterms:created>
  <dcterms:modified xsi:type="dcterms:W3CDTF">2015-02-10T17:59:00Z</dcterms:modified>
</cp:coreProperties>
</file>