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94E76" w14:textId="77777777" w:rsidR="008D185C" w:rsidRDefault="008D185C" w:rsidP="008D185C">
      <w:pPr>
        <w:pStyle w:val="ToolHeader"/>
      </w:pPr>
      <w:r>
        <w:t xml:space="preserve">12.2 </w:t>
      </w:r>
      <w:r w:rsidRPr="00BD0A44">
        <w:t>Common Core Learning Standards Tool</w:t>
      </w:r>
      <w:bookmarkStart w:id="0" w:name="_GoBack"/>
      <w:bookmarkEnd w:id="0"/>
    </w:p>
    <w:tbl>
      <w:tblPr>
        <w:tblW w:w="1296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638"/>
        <w:gridCol w:w="3402"/>
        <w:gridCol w:w="2700"/>
        <w:gridCol w:w="2700"/>
        <w:gridCol w:w="2520"/>
      </w:tblGrid>
      <w:tr w:rsidR="008D185C" w:rsidRPr="00383F3C" w14:paraId="0F1658AE" w14:textId="77777777" w:rsidTr="00A71C56">
        <w:trPr>
          <w:cantSplit/>
          <w:tblHeader/>
        </w:trPr>
        <w:tc>
          <w:tcPr>
            <w:tcW w:w="5040" w:type="dxa"/>
            <w:gridSpan w:val="2"/>
            <w:shd w:val="clear" w:color="auto" w:fill="D9D9D9"/>
          </w:tcPr>
          <w:p w14:paraId="4DD3D770" w14:textId="77777777" w:rsidR="008D185C" w:rsidRPr="006C4FA7" w:rsidRDefault="008D185C" w:rsidP="00692956">
            <w:pPr>
              <w:pStyle w:val="ToolTableText"/>
              <w:ind w:left="72"/>
              <w:rPr>
                <w:rFonts w:cs="Perpetua"/>
                <w:b/>
              </w:rPr>
            </w:pPr>
            <w:r>
              <w:rPr>
                <w:rFonts w:cs="Perpetua"/>
                <w:b/>
              </w:rPr>
              <w:t>College and Career Readiness Anchor Standards</w:t>
            </w:r>
            <w:r w:rsidRPr="00645AB7">
              <w:rPr>
                <w:rFonts w:cs="Tahoma"/>
                <w:b/>
                <w:bCs/>
              </w:rPr>
              <w:t>—</w:t>
            </w:r>
            <w:r>
              <w:rPr>
                <w:rFonts w:cs="Perpetua"/>
                <w:b/>
              </w:rPr>
              <w:t>Reading</w:t>
            </w:r>
          </w:p>
        </w:tc>
        <w:tc>
          <w:tcPr>
            <w:tcW w:w="2700" w:type="dxa"/>
            <w:shd w:val="clear" w:color="auto" w:fill="D9D9D9"/>
          </w:tcPr>
          <w:p w14:paraId="52FCC3F8" w14:textId="77777777" w:rsidR="008D185C" w:rsidRPr="00383F3C" w:rsidRDefault="008D185C" w:rsidP="00692956">
            <w:pPr>
              <w:ind w:left="115"/>
              <w:rPr>
                <w:rFonts w:cs="Tahoma"/>
                <w:b/>
                <w:bCs/>
                <w:color w:val="2D2D2C"/>
              </w:rPr>
            </w:pPr>
            <w:r w:rsidRPr="00645AB7">
              <w:rPr>
                <w:rFonts w:cs="Tahoma"/>
                <w:b/>
                <w:bCs/>
              </w:rPr>
              <w:t>I know what this is asking and I can do this.</w:t>
            </w:r>
          </w:p>
        </w:tc>
        <w:tc>
          <w:tcPr>
            <w:tcW w:w="2700" w:type="dxa"/>
            <w:shd w:val="clear" w:color="auto" w:fill="D9D9D9"/>
            <w:tcMar>
              <w:top w:w="100" w:type="dxa"/>
              <w:left w:w="115" w:type="dxa"/>
              <w:bottom w:w="100" w:type="dxa"/>
              <w:right w:w="115" w:type="dxa"/>
            </w:tcMar>
          </w:tcPr>
          <w:p w14:paraId="45F6EA98" w14:textId="77777777" w:rsidR="008D185C" w:rsidRPr="00383F3C" w:rsidRDefault="008D185C" w:rsidP="00692956">
            <w:pPr>
              <w:ind w:right="-194"/>
              <w:rPr>
                <w:rFonts w:cs="Tahoma"/>
                <w:b/>
                <w:bCs/>
                <w:color w:val="2D2D2C"/>
              </w:rPr>
            </w:pPr>
            <w:r w:rsidRPr="00645AB7">
              <w:rPr>
                <w:rFonts w:cs="Tahoma"/>
                <w:b/>
                <w:bCs/>
              </w:rPr>
              <w:t>This standard has familiar language, but I haven’t mastered it.</w:t>
            </w:r>
          </w:p>
        </w:tc>
        <w:tc>
          <w:tcPr>
            <w:tcW w:w="2520" w:type="dxa"/>
            <w:shd w:val="clear" w:color="auto" w:fill="D9D9D9"/>
            <w:tcMar>
              <w:left w:w="115" w:type="dxa"/>
              <w:right w:w="115" w:type="dxa"/>
            </w:tcMar>
          </w:tcPr>
          <w:p w14:paraId="2C929978" w14:textId="77777777" w:rsidR="008D185C" w:rsidRPr="00383F3C" w:rsidRDefault="008D185C" w:rsidP="00692956">
            <w:pPr>
              <w:rPr>
                <w:rFonts w:cs="Tahoma"/>
                <w:b/>
                <w:bCs/>
                <w:color w:val="2D2D2C"/>
              </w:rPr>
            </w:pPr>
            <w:r w:rsidRPr="00645AB7">
              <w:rPr>
                <w:rFonts w:cs="Tahoma"/>
                <w:b/>
                <w:bCs/>
              </w:rPr>
              <w:t>I am not familiar with this standard.</w:t>
            </w:r>
          </w:p>
        </w:tc>
      </w:tr>
      <w:tr w:rsidR="00134C76" w:rsidRPr="00383F3C" w14:paraId="029C12BD" w14:textId="77777777" w:rsidTr="00A71C56">
        <w:trPr>
          <w:cantSplit/>
        </w:trPr>
        <w:tc>
          <w:tcPr>
            <w:tcW w:w="1638" w:type="dxa"/>
            <w:shd w:val="clear" w:color="auto" w:fill="FFFFFF"/>
            <w:tcMar>
              <w:top w:w="100" w:type="dxa"/>
              <w:left w:w="108" w:type="dxa"/>
              <w:bottom w:w="100" w:type="dxa"/>
              <w:right w:w="108" w:type="dxa"/>
            </w:tcMar>
          </w:tcPr>
          <w:p w14:paraId="6754B4A5" w14:textId="77777777" w:rsidR="00134C76" w:rsidRPr="00AE4D0A" w:rsidRDefault="00134C76" w:rsidP="00AE4D0A">
            <w:pPr>
              <w:pStyle w:val="ToolTableText"/>
              <w:rPr>
                <w:b/>
              </w:rPr>
            </w:pPr>
            <w:r w:rsidRPr="00AE4D0A">
              <w:rPr>
                <w:b/>
              </w:rPr>
              <w:t>CCRA.R.6</w:t>
            </w:r>
          </w:p>
        </w:tc>
        <w:tc>
          <w:tcPr>
            <w:tcW w:w="3402" w:type="dxa"/>
            <w:shd w:val="clear" w:color="auto" w:fill="FFFFFF"/>
            <w:tcMar>
              <w:top w:w="100" w:type="dxa"/>
              <w:left w:w="108" w:type="dxa"/>
              <w:bottom w:w="100" w:type="dxa"/>
              <w:right w:w="108" w:type="dxa"/>
            </w:tcMar>
          </w:tcPr>
          <w:p w14:paraId="049AC7B7" w14:textId="17D044DE" w:rsidR="00134C76" w:rsidRPr="00F558E9" w:rsidRDefault="00134C76" w:rsidP="00AE4D0A">
            <w:pPr>
              <w:pStyle w:val="ToolTableText"/>
            </w:pPr>
            <w:r w:rsidRPr="00134C76">
              <w:t>Assess how point of view or purpose shapes the content and style of a text.</w:t>
            </w:r>
          </w:p>
        </w:tc>
        <w:tc>
          <w:tcPr>
            <w:tcW w:w="2700" w:type="dxa"/>
            <w:shd w:val="clear" w:color="auto" w:fill="FFFFFF"/>
          </w:tcPr>
          <w:p w14:paraId="40EC79DE" w14:textId="77777777" w:rsidR="00134C76" w:rsidRPr="00383F3C" w:rsidRDefault="00134C76" w:rsidP="00AE4D0A">
            <w:pPr>
              <w:pStyle w:val="ToolTableText"/>
              <w:rPr>
                <w:rFonts w:cs="Tahoma"/>
                <w:bCs/>
                <w:color w:val="2D2D2C"/>
              </w:rPr>
            </w:pPr>
          </w:p>
        </w:tc>
        <w:tc>
          <w:tcPr>
            <w:tcW w:w="2700" w:type="dxa"/>
            <w:shd w:val="clear" w:color="auto" w:fill="FFFFFF"/>
          </w:tcPr>
          <w:p w14:paraId="4B0C10F1" w14:textId="77777777" w:rsidR="00134C76" w:rsidRPr="00383F3C" w:rsidRDefault="00134C76" w:rsidP="00AE4D0A">
            <w:pPr>
              <w:pStyle w:val="ToolTableText"/>
              <w:rPr>
                <w:rFonts w:cs="Tahoma"/>
                <w:bCs/>
                <w:color w:val="2D2D2C"/>
              </w:rPr>
            </w:pPr>
          </w:p>
        </w:tc>
        <w:tc>
          <w:tcPr>
            <w:tcW w:w="2520" w:type="dxa"/>
            <w:shd w:val="clear" w:color="auto" w:fill="FFFFFF"/>
          </w:tcPr>
          <w:p w14:paraId="28F2B87B" w14:textId="77777777" w:rsidR="00134C76" w:rsidRPr="00383F3C" w:rsidRDefault="00134C76" w:rsidP="00AE4D0A">
            <w:pPr>
              <w:pStyle w:val="ToolTableText"/>
              <w:rPr>
                <w:rFonts w:cs="Tahoma"/>
                <w:bCs/>
                <w:color w:val="2D2D2C"/>
              </w:rPr>
            </w:pPr>
          </w:p>
        </w:tc>
      </w:tr>
      <w:tr w:rsidR="008D185C" w:rsidRPr="00383F3C" w14:paraId="72B72728" w14:textId="77777777" w:rsidTr="00A71C56">
        <w:trPr>
          <w:cantSplit/>
        </w:trPr>
        <w:tc>
          <w:tcPr>
            <w:tcW w:w="1638" w:type="dxa"/>
            <w:shd w:val="clear" w:color="auto" w:fill="FFFFFF"/>
            <w:tcMar>
              <w:top w:w="100" w:type="dxa"/>
              <w:left w:w="108" w:type="dxa"/>
              <w:bottom w:w="100" w:type="dxa"/>
              <w:right w:w="108" w:type="dxa"/>
            </w:tcMar>
          </w:tcPr>
          <w:p w14:paraId="38879E26" w14:textId="77777777" w:rsidR="008D185C" w:rsidRPr="002418BB" w:rsidRDefault="008D185C" w:rsidP="00692956">
            <w:pPr>
              <w:pStyle w:val="ToolTableText"/>
              <w:rPr>
                <w:b/>
              </w:rPr>
            </w:pPr>
            <w:r w:rsidRPr="002418BB">
              <w:rPr>
                <w:b/>
              </w:rPr>
              <w:t>CCRA.R.8</w:t>
            </w:r>
          </w:p>
        </w:tc>
        <w:tc>
          <w:tcPr>
            <w:tcW w:w="3402" w:type="dxa"/>
            <w:shd w:val="clear" w:color="auto" w:fill="FFFFFF"/>
            <w:tcMar>
              <w:top w:w="100" w:type="dxa"/>
              <w:left w:w="108" w:type="dxa"/>
              <w:bottom w:w="100" w:type="dxa"/>
              <w:right w:w="108" w:type="dxa"/>
            </w:tcMar>
          </w:tcPr>
          <w:p w14:paraId="45CAE834" w14:textId="77777777" w:rsidR="008D185C" w:rsidRPr="00F558E9" w:rsidRDefault="008D185C" w:rsidP="00692956">
            <w:pPr>
              <w:pStyle w:val="ToolTableText"/>
            </w:pPr>
            <w:r w:rsidRPr="00F558E9">
              <w:t xml:space="preserve">Delineate and evaluate the argument and specific claims in a text, including the validity of the reasoning as well as the relevance and sufficiency of the evidence. </w:t>
            </w:r>
          </w:p>
        </w:tc>
        <w:tc>
          <w:tcPr>
            <w:tcW w:w="2700" w:type="dxa"/>
            <w:shd w:val="clear" w:color="auto" w:fill="FFFFFF"/>
          </w:tcPr>
          <w:p w14:paraId="143AFFEA" w14:textId="77777777" w:rsidR="008D185C" w:rsidRPr="00383F3C" w:rsidRDefault="008D185C" w:rsidP="00692956">
            <w:pPr>
              <w:rPr>
                <w:rFonts w:cs="Tahoma"/>
                <w:b/>
                <w:bCs/>
                <w:color w:val="2D2D2C"/>
              </w:rPr>
            </w:pPr>
          </w:p>
        </w:tc>
        <w:tc>
          <w:tcPr>
            <w:tcW w:w="2700" w:type="dxa"/>
            <w:shd w:val="clear" w:color="auto" w:fill="FFFFFF"/>
          </w:tcPr>
          <w:p w14:paraId="36787280" w14:textId="77777777" w:rsidR="008D185C" w:rsidRPr="00383F3C" w:rsidRDefault="008D185C" w:rsidP="00692956">
            <w:pPr>
              <w:ind w:right="-194"/>
              <w:rPr>
                <w:rFonts w:cs="Tahoma"/>
                <w:b/>
                <w:bCs/>
                <w:color w:val="2D2D2C"/>
              </w:rPr>
            </w:pPr>
          </w:p>
        </w:tc>
        <w:tc>
          <w:tcPr>
            <w:tcW w:w="2520" w:type="dxa"/>
            <w:shd w:val="clear" w:color="auto" w:fill="FFFFFF"/>
          </w:tcPr>
          <w:p w14:paraId="45CD5EB5" w14:textId="77777777" w:rsidR="008D185C" w:rsidRPr="00383F3C" w:rsidRDefault="008D185C" w:rsidP="00692956">
            <w:pPr>
              <w:rPr>
                <w:rFonts w:cs="Tahoma"/>
                <w:b/>
                <w:bCs/>
                <w:color w:val="2D2D2C"/>
              </w:rPr>
            </w:pPr>
          </w:p>
        </w:tc>
      </w:tr>
      <w:tr w:rsidR="008D185C" w:rsidRPr="00383F3C" w14:paraId="55EC0EC5" w14:textId="77777777" w:rsidTr="00A71C56">
        <w:trPr>
          <w:cantSplit/>
        </w:trPr>
        <w:tc>
          <w:tcPr>
            <w:tcW w:w="1638" w:type="dxa"/>
            <w:shd w:val="clear" w:color="auto" w:fill="FFFFFF"/>
            <w:tcMar>
              <w:top w:w="100" w:type="dxa"/>
              <w:left w:w="108" w:type="dxa"/>
              <w:bottom w:w="100" w:type="dxa"/>
              <w:right w:w="108" w:type="dxa"/>
            </w:tcMar>
          </w:tcPr>
          <w:p w14:paraId="77662ED3" w14:textId="77777777" w:rsidR="008D185C" w:rsidRPr="002418BB" w:rsidRDefault="008D185C" w:rsidP="00692956">
            <w:pPr>
              <w:pStyle w:val="ToolTableText"/>
              <w:rPr>
                <w:b/>
              </w:rPr>
            </w:pPr>
            <w:r w:rsidRPr="002418BB">
              <w:rPr>
                <w:b/>
              </w:rPr>
              <w:t>CCRA.R.9</w:t>
            </w:r>
          </w:p>
        </w:tc>
        <w:tc>
          <w:tcPr>
            <w:tcW w:w="3402" w:type="dxa"/>
            <w:shd w:val="clear" w:color="auto" w:fill="FFFFFF"/>
            <w:tcMar>
              <w:top w:w="100" w:type="dxa"/>
              <w:left w:w="108" w:type="dxa"/>
              <w:bottom w:w="100" w:type="dxa"/>
              <w:right w:w="108" w:type="dxa"/>
            </w:tcMar>
          </w:tcPr>
          <w:p w14:paraId="261F5A40" w14:textId="77777777" w:rsidR="008D185C" w:rsidRPr="00F558E9" w:rsidRDefault="008D185C" w:rsidP="00692956">
            <w:pPr>
              <w:pStyle w:val="ToolTableText"/>
            </w:pPr>
            <w:r w:rsidRPr="00F558E9">
              <w:t xml:space="preserve">Analyze how two or more texts address similar themes or topics in order to build knowledge or to compare the approaches the authors take.  </w:t>
            </w:r>
          </w:p>
        </w:tc>
        <w:tc>
          <w:tcPr>
            <w:tcW w:w="2700" w:type="dxa"/>
            <w:shd w:val="clear" w:color="auto" w:fill="FFFFFF"/>
          </w:tcPr>
          <w:p w14:paraId="1BD61DFF" w14:textId="77777777" w:rsidR="008D185C" w:rsidRPr="00383F3C" w:rsidRDefault="008D185C" w:rsidP="00692956">
            <w:pPr>
              <w:rPr>
                <w:rFonts w:cs="Tahoma"/>
                <w:b/>
                <w:bCs/>
                <w:color w:val="2D2D2C"/>
              </w:rPr>
            </w:pPr>
          </w:p>
        </w:tc>
        <w:tc>
          <w:tcPr>
            <w:tcW w:w="2700" w:type="dxa"/>
            <w:shd w:val="clear" w:color="auto" w:fill="FFFFFF"/>
          </w:tcPr>
          <w:p w14:paraId="004983D3" w14:textId="77777777" w:rsidR="008D185C" w:rsidRPr="00383F3C" w:rsidRDefault="008D185C" w:rsidP="00692956">
            <w:pPr>
              <w:ind w:right="-194"/>
              <w:rPr>
                <w:rFonts w:cs="Tahoma"/>
                <w:b/>
                <w:bCs/>
                <w:color w:val="2D2D2C"/>
              </w:rPr>
            </w:pPr>
          </w:p>
        </w:tc>
        <w:tc>
          <w:tcPr>
            <w:tcW w:w="2520" w:type="dxa"/>
            <w:shd w:val="clear" w:color="auto" w:fill="FFFFFF"/>
          </w:tcPr>
          <w:p w14:paraId="1F52F45F" w14:textId="77777777" w:rsidR="008D185C" w:rsidRDefault="008D185C" w:rsidP="00692956">
            <w:pPr>
              <w:rPr>
                <w:rFonts w:cs="Tahoma"/>
                <w:b/>
                <w:bCs/>
                <w:color w:val="2D2D2C"/>
              </w:rPr>
            </w:pPr>
          </w:p>
          <w:p w14:paraId="4C759543" w14:textId="77777777" w:rsidR="008D185C" w:rsidRPr="00383F3C" w:rsidRDefault="008D185C" w:rsidP="00692956">
            <w:pPr>
              <w:rPr>
                <w:rFonts w:cs="Tahoma"/>
                <w:b/>
                <w:bCs/>
                <w:color w:val="2D2D2C"/>
              </w:rPr>
            </w:pPr>
          </w:p>
        </w:tc>
      </w:tr>
    </w:tbl>
    <w:p w14:paraId="5BFF76D4" w14:textId="77777777" w:rsidR="008D185C" w:rsidRDefault="008D185C" w:rsidP="008D185C">
      <w:pPr>
        <w:pStyle w:val="ToolHeader"/>
        <w:rPr>
          <w:sz w:val="10"/>
          <w:szCs w:val="10"/>
        </w:rPr>
      </w:pPr>
    </w:p>
    <w:p w14:paraId="727E85FE" w14:textId="77777777" w:rsidR="008D185C" w:rsidRDefault="008D185C" w:rsidP="008D185C">
      <w:pPr>
        <w:pStyle w:val="ToolHeader"/>
        <w:rPr>
          <w:sz w:val="10"/>
          <w:szCs w:val="10"/>
        </w:rPr>
      </w:pPr>
    </w:p>
    <w:p w14:paraId="7AE75F73" w14:textId="77777777" w:rsidR="008D185C" w:rsidRDefault="008D185C" w:rsidP="008D185C">
      <w:pPr>
        <w:pStyle w:val="ToolHeader"/>
        <w:rPr>
          <w:sz w:val="10"/>
          <w:szCs w:val="10"/>
        </w:rPr>
      </w:pPr>
    </w:p>
    <w:p w14:paraId="1945BA7D" w14:textId="77777777" w:rsidR="008D185C" w:rsidRDefault="008D185C" w:rsidP="008D185C">
      <w:pPr>
        <w:pStyle w:val="ToolHeader"/>
        <w:rPr>
          <w:sz w:val="10"/>
          <w:szCs w:val="10"/>
        </w:rPr>
      </w:pPr>
    </w:p>
    <w:p w14:paraId="230FFCB1" w14:textId="77777777" w:rsidR="008D185C" w:rsidRPr="00B43812" w:rsidRDefault="008D185C" w:rsidP="008D185C">
      <w:pPr>
        <w:pStyle w:val="ToolHeader"/>
        <w:rPr>
          <w:sz w:val="10"/>
          <w:szCs w:val="10"/>
        </w:rPr>
      </w:pPr>
    </w:p>
    <w:tbl>
      <w:tblPr>
        <w:tblW w:w="1296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638"/>
        <w:gridCol w:w="3402"/>
        <w:gridCol w:w="2700"/>
        <w:gridCol w:w="2700"/>
        <w:gridCol w:w="2520"/>
      </w:tblGrid>
      <w:tr w:rsidR="008D185C" w:rsidRPr="00383F3C" w14:paraId="7ABED865" w14:textId="77777777" w:rsidTr="00AE4D0A">
        <w:trPr>
          <w:cantSplit/>
          <w:trHeight w:val="889"/>
          <w:tblHeader/>
        </w:trPr>
        <w:tc>
          <w:tcPr>
            <w:tcW w:w="5040" w:type="dxa"/>
            <w:gridSpan w:val="2"/>
            <w:shd w:val="clear" w:color="auto" w:fill="D9D9D9"/>
          </w:tcPr>
          <w:p w14:paraId="375DDD61" w14:textId="77777777" w:rsidR="008D185C" w:rsidRPr="006C4FA7" w:rsidRDefault="008D185C" w:rsidP="00692956">
            <w:pPr>
              <w:pStyle w:val="ToolTableText"/>
              <w:ind w:left="72"/>
              <w:rPr>
                <w:rFonts w:cs="Perpetua"/>
                <w:b/>
              </w:rPr>
            </w:pPr>
            <w:r>
              <w:rPr>
                <w:rFonts w:cs="Perpetua"/>
                <w:b/>
              </w:rPr>
              <w:lastRenderedPageBreak/>
              <w:t>CCS Standards: Reading</w:t>
            </w:r>
            <w:r w:rsidRPr="00645AB7">
              <w:rPr>
                <w:rFonts w:cs="Tahoma"/>
                <w:b/>
                <w:bCs/>
              </w:rPr>
              <w:t>—</w:t>
            </w:r>
            <w:r>
              <w:rPr>
                <w:rFonts w:cs="Perpetua"/>
                <w:b/>
              </w:rPr>
              <w:t xml:space="preserve">Literature </w:t>
            </w:r>
          </w:p>
        </w:tc>
        <w:tc>
          <w:tcPr>
            <w:tcW w:w="2700" w:type="dxa"/>
            <w:shd w:val="clear" w:color="auto" w:fill="D9D9D9"/>
          </w:tcPr>
          <w:p w14:paraId="2702AC3B" w14:textId="77777777" w:rsidR="008D185C" w:rsidRPr="00383F3C" w:rsidRDefault="008D185C" w:rsidP="00692956">
            <w:pPr>
              <w:ind w:left="115"/>
              <w:rPr>
                <w:rFonts w:cs="Tahoma"/>
                <w:b/>
                <w:bCs/>
                <w:color w:val="2D2D2C"/>
              </w:rPr>
            </w:pPr>
            <w:r w:rsidRPr="00645AB7">
              <w:rPr>
                <w:rFonts w:cs="Tahoma"/>
                <w:b/>
                <w:bCs/>
              </w:rPr>
              <w:t>I know what this is asking and I can do this.</w:t>
            </w:r>
          </w:p>
        </w:tc>
        <w:tc>
          <w:tcPr>
            <w:tcW w:w="2700" w:type="dxa"/>
            <w:shd w:val="clear" w:color="auto" w:fill="D9D9D9"/>
            <w:tcMar>
              <w:top w:w="100" w:type="dxa"/>
              <w:left w:w="115" w:type="dxa"/>
              <w:bottom w:w="100" w:type="dxa"/>
              <w:right w:w="115" w:type="dxa"/>
            </w:tcMar>
          </w:tcPr>
          <w:p w14:paraId="2C960CAE" w14:textId="77777777" w:rsidR="008D185C" w:rsidRPr="00383F3C" w:rsidRDefault="008D185C" w:rsidP="00692956">
            <w:pPr>
              <w:ind w:right="-194"/>
              <w:rPr>
                <w:rFonts w:cs="Tahoma"/>
                <w:b/>
                <w:bCs/>
                <w:color w:val="2D2D2C"/>
              </w:rPr>
            </w:pPr>
            <w:r w:rsidRPr="00645AB7">
              <w:rPr>
                <w:rFonts w:cs="Tahoma"/>
                <w:b/>
                <w:bCs/>
              </w:rPr>
              <w:t>This standard has familiar language, but I haven’t mastered it.</w:t>
            </w:r>
          </w:p>
        </w:tc>
        <w:tc>
          <w:tcPr>
            <w:tcW w:w="2520" w:type="dxa"/>
            <w:shd w:val="clear" w:color="auto" w:fill="D9D9D9"/>
            <w:tcMar>
              <w:left w:w="115" w:type="dxa"/>
              <w:right w:w="115" w:type="dxa"/>
            </w:tcMar>
          </w:tcPr>
          <w:p w14:paraId="1371405C" w14:textId="77777777" w:rsidR="008D185C" w:rsidRPr="00383F3C" w:rsidRDefault="008D185C" w:rsidP="00692956">
            <w:pPr>
              <w:rPr>
                <w:rFonts w:cs="Tahoma"/>
                <w:b/>
                <w:bCs/>
                <w:color w:val="2D2D2C"/>
              </w:rPr>
            </w:pPr>
            <w:r w:rsidRPr="00645AB7">
              <w:rPr>
                <w:rFonts w:cs="Tahoma"/>
                <w:b/>
                <w:bCs/>
              </w:rPr>
              <w:t>I am not familiar with this standard.</w:t>
            </w:r>
          </w:p>
        </w:tc>
      </w:tr>
      <w:tr w:rsidR="008D185C" w:rsidRPr="00383F3C" w14:paraId="06CF8AA3" w14:textId="77777777" w:rsidTr="00AE4D0A">
        <w:trPr>
          <w:cantSplit/>
        </w:trPr>
        <w:tc>
          <w:tcPr>
            <w:tcW w:w="1638" w:type="dxa"/>
            <w:shd w:val="clear" w:color="auto" w:fill="FFFFFF"/>
            <w:tcMar>
              <w:top w:w="100" w:type="dxa"/>
              <w:left w:w="108" w:type="dxa"/>
              <w:bottom w:w="100" w:type="dxa"/>
              <w:right w:w="108" w:type="dxa"/>
            </w:tcMar>
          </w:tcPr>
          <w:p w14:paraId="068085C5" w14:textId="77777777" w:rsidR="008D185C" w:rsidRPr="00BD0A44" w:rsidRDefault="008D185C" w:rsidP="00692956">
            <w:pPr>
              <w:pStyle w:val="ToolTableText"/>
              <w:rPr>
                <w:b/>
              </w:rPr>
            </w:pPr>
            <w:r>
              <w:rPr>
                <w:b/>
              </w:rPr>
              <w:t>RL.11-12.2</w:t>
            </w:r>
          </w:p>
        </w:tc>
        <w:tc>
          <w:tcPr>
            <w:tcW w:w="3402" w:type="dxa"/>
            <w:shd w:val="clear" w:color="auto" w:fill="FFFFFF"/>
            <w:tcMar>
              <w:top w:w="100" w:type="dxa"/>
              <w:left w:w="108" w:type="dxa"/>
              <w:bottom w:w="100" w:type="dxa"/>
              <w:right w:w="108" w:type="dxa"/>
            </w:tcMar>
          </w:tcPr>
          <w:p w14:paraId="0B987969" w14:textId="77777777" w:rsidR="008D185C" w:rsidRPr="002418BB" w:rsidRDefault="008D185C" w:rsidP="00692956">
            <w:pPr>
              <w:pStyle w:val="ToolTableText"/>
            </w:pPr>
            <w:r w:rsidRPr="002418BB">
              <w:t xml:space="preserve">Determine two or more themes or central ideas of a text and analyze their development over the course of the text, including how they interact and build on one another to produce a complex account; provide an objective summary of the text. </w:t>
            </w:r>
          </w:p>
        </w:tc>
        <w:tc>
          <w:tcPr>
            <w:tcW w:w="2700" w:type="dxa"/>
            <w:shd w:val="clear" w:color="auto" w:fill="FFFFFF"/>
          </w:tcPr>
          <w:p w14:paraId="73767660" w14:textId="77777777" w:rsidR="008D185C" w:rsidRPr="00383F3C" w:rsidRDefault="008D185C" w:rsidP="00692956">
            <w:pPr>
              <w:rPr>
                <w:rFonts w:cs="Tahoma"/>
                <w:b/>
                <w:bCs/>
                <w:color w:val="2D2D2C"/>
              </w:rPr>
            </w:pPr>
          </w:p>
        </w:tc>
        <w:tc>
          <w:tcPr>
            <w:tcW w:w="2700" w:type="dxa"/>
            <w:shd w:val="clear" w:color="auto" w:fill="FFFFFF"/>
          </w:tcPr>
          <w:p w14:paraId="22A83AC9" w14:textId="77777777" w:rsidR="008D185C" w:rsidRPr="00383F3C" w:rsidRDefault="008D185C" w:rsidP="00692956">
            <w:pPr>
              <w:ind w:right="-194"/>
              <w:rPr>
                <w:rFonts w:cs="Tahoma"/>
                <w:b/>
                <w:bCs/>
                <w:color w:val="2D2D2C"/>
              </w:rPr>
            </w:pPr>
          </w:p>
        </w:tc>
        <w:tc>
          <w:tcPr>
            <w:tcW w:w="2520" w:type="dxa"/>
            <w:shd w:val="clear" w:color="auto" w:fill="FFFFFF"/>
          </w:tcPr>
          <w:p w14:paraId="2AE3F8E1" w14:textId="77777777" w:rsidR="008D185C" w:rsidRPr="00383F3C" w:rsidRDefault="008D185C" w:rsidP="00692956">
            <w:pPr>
              <w:rPr>
                <w:rFonts w:cs="Tahoma"/>
                <w:b/>
                <w:bCs/>
                <w:color w:val="2D2D2C"/>
              </w:rPr>
            </w:pPr>
          </w:p>
        </w:tc>
      </w:tr>
      <w:tr w:rsidR="008D185C" w:rsidRPr="00383F3C" w14:paraId="0B061419" w14:textId="77777777" w:rsidTr="00AE4D0A">
        <w:trPr>
          <w:cantSplit/>
        </w:trPr>
        <w:tc>
          <w:tcPr>
            <w:tcW w:w="1638" w:type="dxa"/>
            <w:shd w:val="clear" w:color="auto" w:fill="FFFFFF"/>
            <w:tcMar>
              <w:top w:w="100" w:type="dxa"/>
              <w:left w:w="108" w:type="dxa"/>
              <w:bottom w:w="100" w:type="dxa"/>
              <w:right w:w="108" w:type="dxa"/>
            </w:tcMar>
          </w:tcPr>
          <w:p w14:paraId="630639D9" w14:textId="77777777" w:rsidR="008D185C" w:rsidRDefault="008D185C" w:rsidP="00692956">
            <w:pPr>
              <w:pStyle w:val="ToolTableText"/>
              <w:rPr>
                <w:b/>
              </w:rPr>
            </w:pPr>
            <w:r>
              <w:rPr>
                <w:b/>
              </w:rPr>
              <w:t>RL.11-12.3</w:t>
            </w:r>
          </w:p>
        </w:tc>
        <w:tc>
          <w:tcPr>
            <w:tcW w:w="3402" w:type="dxa"/>
            <w:shd w:val="clear" w:color="auto" w:fill="FFFFFF"/>
            <w:tcMar>
              <w:top w:w="100" w:type="dxa"/>
              <w:left w:w="108" w:type="dxa"/>
              <w:bottom w:w="100" w:type="dxa"/>
              <w:right w:w="108" w:type="dxa"/>
            </w:tcMar>
          </w:tcPr>
          <w:p w14:paraId="00E6213D" w14:textId="77777777" w:rsidR="008D185C" w:rsidRPr="002418BB" w:rsidRDefault="008D185C" w:rsidP="00692956">
            <w:pPr>
              <w:pStyle w:val="ToolTableText"/>
            </w:pPr>
            <w:r w:rsidRPr="002418BB">
              <w:t>Analyze the impact of the author’s choices regarding how to develop and relate elements of a story or drama (e.g., where a story is set, how the action is ordered, how the characters are introduced and developed).</w:t>
            </w:r>
          </w:p>
        </w:tc>
        <w:tc>
          <w:tcPr>
            <w:tcW w:w="2700" w:type="dxa"/>
            <w:shd w:val="clear" w:color="auto" w:fill="FFFFFF"/>
          </w:tcPr>
          <w:p w14:paraId="1795C7C0" w14:textId="77777777" w:rsidR="008D185C" w:rsidRPr="00383F3C" w:rsidRDefault="008D185C" w:rsidP="00692956">
            <w:pPr>
              <w:rPr>
                <w:rFonts w:cs="Tahoma"/>
                <w:b/>
                <w:bCs/>
                <w:color w:val="2D2D2C"/>
              </w:rPr>
            </w:pPr>
          </w:p>
        </w:tc>
        <w:tc>
          <w:tcPr>
            <w:tcW w:w="2700" w:type="dxa"/>
            <w:shd w:val="clear" w:color="auto" w:fill="FFFFFF"/>
          </w:tcPr>
          <w:p w14:paraId="681CD921" w14:textId="77777777" w:rsidR="008D185C" w:rsidRPr="00383F3C" w:rsidRDefault="008D185C" w:rsidP="00692956">
            <w:pPr>
              <w:ind w:right="-194"/>
              <w:rPr>
                <w:rFonts w:cs="Tahoma"/>
                <w:b/>
                <w:bCs/>
                <w:color w:val="2D2D2C"/>
              </w:rPr>
            </w:pPr>
          </w:p>
        </w:tc>
        <w:tc>
          <w:tcPr>
            <w:tcW w:w="2520" w:type="dxa"/>
            <w:shd w:val="clear" w:color="auto" w:fill="FFFFFF"/>
          </w:tcPr>
          <w:p w14:paraId="35C2BE2A" w14:textId="77777777" w:rsidR="008D185C" w:rsidRPr="00383F3C" w:rsidRDefault="008D185C" w:rsidP="00692956">
            <w:pPr>
              <w:rPr>
                <w:rFonts w:cs="Tahoma"/>
                <w:b/>
                <w:bCs/>
                <w:color w:val="2D2D2C"/>
              </w:rPr>
            </w:pPr>
          </w:p>
        </w:tc>
      </w:tr>
      <w:tr w:rsidR="008D185C" w:rsidRPr="00383F3C" w14:paraId="36FD1ADA" w14:textId="77777777" w:rsidTr="00AE4D0A">
        <w:trPr>
          <w:cantSplit/>
        </w:trPr>
        <w:tc>
          <w:tcPr>
            <w:tcW w:w="1638" w:type="dxa"/>
            <w:shd w:val="clear" w:color="auto" w:fill="FFFFFF"/>
            <w:tcMar>
              <w:top w:w="100" w:type="dxa"/>
              <w:left w:w="108" w:type="dxa"/>
              <w:bottom w:w="100" w:type="dxa"/>
              <w:right w:w="108" w:type="dxa"/>
            </w:tcMar>
          </w:tcPr>
          <w:p w14:paraId="033DB776" w14:textId="77777777" w:rsidR="008D185C" w:rsidRDefault="008D185C" w:rsidP="00692956">
            <w:pPr>
              <w:pStyle w:val="ToolTableText"/>
              <w:rPr>
                <w:b/>
              </w:rPr>
            </w:pPr>
            <w:r>
              <w:rPr>
                <w:b/>
              </w:rPr>
              <w:lastRenderedPageBreak/>
              <w:t>RL.11-12.4</w:t>
            </w:r>
          </w:p>
        </w:tc>
        <w:tc>
          <w:tcPr>
            <w:tcW w:w="3402" w:type="dxa"/>
            <w:shd w:val="clear" w:color="auto" w:fill="FFFFFF"/>
            <w:tcMar>
              <w:top w:w="100" w:type="dxa"/>
              <w:left w:w="108" w:type="dxa"/>
              <w:bottom w:w="100" w:type="dxa"/>
              <w:right w:w="108" w:type="dxa"/>
            </w:tcMar>
          </w:tcPr>
          <w:p w14:paraId="71B3DC11" w14:textId="77777777" w:rsidR="008D185C" w:rsidRDefault="008D185C" w:rsidP="00692956">
            <w:pPr>
              <w:pStyle w:val="ToolTableText"/>
              <w:rPr>
                <w:rFonts w:cs="Perpetua"/>
              </w:rPr>
            </w:pPr>
            <w:r w:rsidRPr="00B94450">
              <w:t>Determine the meaning of words and phrases as they are used in the text</w:t>
            </w:r>
            <w:r>
              <w:t>, including figurative and connotative meanings;</w:t>
            </w:r>
            <w:r w:rsidRPr="00B94450">
              <w:t xml:space="preserve"> analyze the impact of specific word choices on meaning and tone, including words with multiple meanings or language that is particularly fresh, engaging, or beautiful. (Include Shakespeare as well as other authors.)</w:t>
            </w:r>
          </w:p>
        </w:tc>
        <w:tc>
          <w:tcPr>
            <w:tcW w:w="2700" w:type="dxa"/>
            <w:shd w:val="clear" w:color="auto" w:fill="FFFFFF"/>
          </w:tcPr>
          <w:p w14:paraId="1C0E6CD8" w14:textId="77777777" w:rsidR="008D185C" w:rsidRPr="00383F3C" w:rsidRDefault="008D185C" w:rsidP="00692956">
            <w:pPr>
              <w:rPr>
                <w:rFonts w:cs="Tahoma"/>
                <w:b/>
                <w:bCs/>
                <w:color w:val="2D2D2C"/>
              </w:rPr>
            </w:pPr>
          </w:p>
        </w:tc>
        <w:tc>
          <w:tcPr>
            <w:tcW w:w="2700" w:type="dxa"/>
            <w:shd w:val="clear" w:color="auto" w:fill="FFFFFF"/>
          </w:tcPr>
          <w:p w14:paraId="70725DD4" w14:textId="77777777" w:rsidR="008D185C" w:rsidRPr="00383F3C" w:rsidRDefault="008D185C" w:rsidP="00692956">
            <w:pPr>
              <w:ind w:right="-194"/>
              <w:rPr>
                <w:rFonts w:cs="Tahoma"/>
                <w:b/>
                <w:bCs/>
                <w:color w:val="2D2D2C"/>
              </w:rPr>
            </w:pPr>
          </w:p>
        </w:tc>
        <w:tc>
          <w:tcPr>
            <w:tcW w:w="2520" w:type="dxa"/>
            <w:shd w:val="clear" w:color="auto" w:fill="FFFFFF"/>
          </w:tcPr>
          <w:p w14:paraId="6E86732B" w14:textId="77777777" w:rsidR="008D185C" w:rsidRPr="00383F3C" w:rsidRDefault="008D185C" w:rsidP="00692956">
            <w:pPr>
              <w:rPr>
                <w:rFonts w:cs="Tahoma"/>
                <w:b/>
                <w:bCs/>
                <w:color w:val="2D2D2C"/>
              </w:rPr>
            </w:pPr>
          </w:p>
        </w:tc>
      </w:tr>
      <w:tr w:rsidR="008D185C" w:rsidRPr="00383F3C" w14:paraId="6A5209F9" w14:textId="77777777" w:rsidTr="00AE4D0A">
        <w:trPr>
          <w:cantSplit/>
        </w:trPr>
        <w:tc>
          <w:tcPr>
            <w:tcW w:w="1638" w:type="dxa"/>
            <w:shd w:val="clear" w:color="auto" w:fill="FFFFFF"/>
            <w:tcMar>
              <w:top w:w="100" w:type="dxa"/>
              <w:left w:w="108" w:type="dxa"/>
              <w:bottom w:w="100" w:type="dxa"/>
              <w:right w:w="108" w:type="dxa"/>
            </w:tcMar>
          </w:tcPr>
          <w:p w14:paraId="26FBFC22" w14:textId="77777777" w:rsidR="008D185C" w:rsidRDefault="008D185C" w:rsidP="00692956">
            <w:pPr>
              <w:pStyle w:val="ToolTableText"/>
              <w:rPr>
                <w:b/>
              </w:rPr>
            </w:pPr>
            <w:r>
              <w:rPr>
                <w:b/>
              </w:rPr>
              <w:t>RL.11-12.5</w:t>
            </w:r>
          </w:p>
        </w:tc>
        <w:tc>
          <w:tcPr>
            <w:tcW w:w="3402" w:type="dxa"/>
            <w:shd w:val="clear" w:color="auto" w:fill="FFFFFF"/>
            <w:tcMar>
              <w:top w:w="100" w:type="dxa"/>
              <w:left w:w="108" w:type="dxa"/>
              <w:bottom w:w="100" w:type="dxa"/>
              <w:right w:w="108" w:type="dxa"/>
            </w:tcMar>
          </w:tcPr>
          <w:p w14:paraId="2C045D26" w14:textId="77777777" w:rsidR="008D185C" w:rsidRPr="002418BB" w:rsidRDefault="008D185C" w:rsidP="00692956">
            <w:pPr>
              <w:pStyle w:val="ToolTableText"/>
            </w:pPr>
            <w:r w:rsidRPr="002418BB">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c>
          <w:tcPr>
            <w:tcW w:w="2700" w:type="dxa"/>
            <w:shd w:val="clear" w:color="auto" w:fill="FFFFFF"/>
          </w:tcPr>
          <w:p w14:paraId="3E764881" w14:textId="77777777" w:rsidR="008D185C" w:rsidRPr="00383F3C" w:rsidRDefault="008D185C" w:rsidP="00692956">
            <w:pPr>
              <w:rPr>
                <w:rFonts w:cs="Tahoma"/>
                <w:b/>
                <w:bCs/>
                <w:color w:val="2D2D2C"/>
              </w:rPr>
            </w:pPr>
          </w:p>
        </w:tc>
        <w:tc>
          <w:tcPr>
            <w:tcW w:w="2700" w:type="dxa"/>
            <w:shd w:val="clear" w:color="auto" w:fill="FFFFFF"/>
          </w:tcPr>
          <w:p w14:paraId="5AC86490" w14:textId="77777777" w:rsidR="008D185C" w:rsidRPr="00383F3C" w:rsidRDefault="008D185C" w:rsidP="00692956">
            <w:pPr>
              <w:ind w:right="-194"/>
              <w:rPr>
                <w:rFonts w:cs="Tahoma"/>
                <w:b/>
                <w:bCs/>
                <w:color w:val="2D2D2C"/>
              </w:rPr>
            </w:pPr>
          </w:p>
        </w:tc>
        <w:tc>
          <w:tcPr>
            <w:tcW w:w="2520" w:type="dxa"/>
            <w:shd w:val="clear" w:color="auto" w:fill="FFFFFF"/>
          </w:tcPr>
          <w:p w14:paraId="54C6D123" w14:textId="77777777" w:rsidR="008D185C" w:rsidRPr="00383F3C" w:rsidRDefault="008D185C" w:rsidP="00692956">
            <w:pPr>
              <w:rPr>
                <w:rFonts w:cs="Tahoma"/>
                <w:b/>
                <w:bCs/>
                <w:color w:val="2D2D2C"/>
              </w:rPr>
            </w:pPr>
          </w:p>
        </w:tc>
      </w:tr>
      <w:tr w:rsidR="008D185C" w:rsidRPr="00383F3C" w14:paraId="1AECFBF8" w14:textId="77777777" w:rsidTr="00AE4D0A">
        <w:trPr>
          <w:cantSplit/>
        </w:trPr>
        <w:tc>
          <w:tcPr>
            <w:tcW w:w="1638" w:type="dxa"/>
            <w:shd w:val="clear" w:color="auto" w:fill="FFFFFF"/>
            <w:tcMar>
              <w:top w:w="100" w:type="dxa"/>
              <w:left w:w="108" w:type="dxa"/>
              <w:bottom w:w="100" w:type="dxa"/>
              <w:right w:w="108" w:type="dxa"/>
            </w:tcMar>
          </w:tcPr>
          <w:p w14:paraId="685582A0" w14:textId="77777777" w:rsidR="008D185C" w:rsidRDefault="008D185C" w:rsidP="00692956">
            <w:pPr>
              <w:pStyle w:val="ToolTableText"/>
              <w:rPr>
                <w:b/>
              </w:rPr>
            </w:pPr>
            <w:r>
              <w:rPr>
                <w:b/>
              </w:rPr>
              <w:lastRenderedPageBreak/>
              <w:t>RL.11-12.6</w:t>
            </w:r>
          </w:p>
        </w:tc>
        <w:tc>
          <w:tcPr>
            <w:tcW w:w="3402" w:type="dxa"/>
            <w:shd w:val="clear" w:color="auto" w:fill="FFFFFF"/>
            <w:tcMar>
              <w:top w:w="100" w:type="dxa"/>
              <w:left w:w="108" w:type="dxa"/>
              <w:bottom w:w="100" w:type="dxa"/>
              <w:right w:w="108" w:type="dxa"/>
            </w:tcMar>
          </w:tcPr>
          <w:p w14:paraId="338126EB" w14:textId="77777777" w:rsidR="008D185C" w:rsidRDefault="008D185C" w:rsidP="00692956">
            <w:pPr>
              <w:pStyle w:val="ToolTableText"/>
              <w:rPr>
                <w:rFonts w:cs="Perpetua"/>
              </w:rPr>
            </w:pPr>
            <w:r w:rsidRPr="00B94450">
              <w:t xml:space="preserve">Analyze </w:t>
            </w:r>
            <w:r>
              <w:t>a case</w:t>
            </w:r>
            <w:r w:rsidRPr="00B94450">
              <w:t xml:space="preserve"> in which grasping</w:t>
            </w:r>
            <w:r>
              <w:t xml:space="preserve"> </w:t>
            </w:r>
            <w:r w:rsidRPr="00B94450">
              <w:t xml:space="preserve">point of view requires distinguishing what is directly stated </w:t>
            </w:r>
            <w:r>
              <w:t xml:space="preserve">in a text </w:t>
            </w:r>
            <w:r w:rsidRPr="00B94450">
              <w:t xml:space="preserve">from what is </w:t>
            </w:r>
            <w:r>
              <w:t xml:space="preserve">really meant (e.g., </w:t>
            </w:r>
            <w:r w:rsidRPr="00B94450">
              <w:t>satire, sarcasm, irony, or understatement).</w:t>
            </w:r>
          </w:p>
        </w:tc>
        <w:tc>
          <w:tcPr>
            <w:tcW w:w="2700" w:type="dxa"/>
            <w:shd w:val="clear" w:color="auto" w:fill="FFFFFF"/>
          </w:tcPr>
          <w:p w14:paraId="7CBEC355" w14:textId="77777777" w:rsidR="008D185C" w:rsidRPr="00383F3C" w:rsidRDefault="008D185C" w:rsidP="00692956">
            <w:pPr>
              <w:rPr>
                <w:rFonts w:cs="Tahoma"/>
                <w:b/>
                <w:bCs/>
                <w:color w:val="2D2D2C"/>
              </w:rPr>
            </w:pPr>
          </w:p>
        </w:tc>
        <w:tc>
          <w:tcPr>
            <w:tcW w:w="2700" w:type="dxa"/>
            <w:shd w:val="clear" w:color="auto" w:fill="FFFFFF"/>
          </w:tcPr>
          <w:p w14:paraId="3D589C66" w14:textId="77777777" w:rsidR="008D185C" w:rsidRPr="00383F3C" w:rsidRDefault="008D185C" w:rsidP="00692956">
            <w:pPr>
              <w:ind w:right="-194"/>
              <w:rPr>
                <w:rFonts w:cs="Tahoma"/>
                <w:b/>
                <w:bCs/>
                <w:color w:val="2D2D2C"/>
              </w:rPr>
            </w:pPr>
          </w:p>
        </w:tc>
        <w:tc>
          <w:tcPr>
            <w:tcW w:w="2520" w:type="dxa"/>
            <w:shd w:val="clear" w:color="auto" w:fill="FFFFFF"/>
          </w:tcPr>
          <w:p w14:paraId="0B74CD19" w14:textId="77777777" w:rsidR="008D185C" w:rsidRPr="00383F3C" w:rsidRDefault="008D185C" w:rsidP="00692956">
            <w:pPr>
              <w:rPr>
                <w:rFonts w:cs="Tahoma"/>
                <w:b/>
                <w:bCs/>
                <w:color w:val="2D2D2C"/>
              </w:rPr>
            </w:pPr>
          </w:p>
        </w:tc>
      </w:tr>
    </w:tbl>
    <w:p w14:paraId="3F6539F4" w14:textId="4DA4A2A2" w:rsidR="00AE4D0A" w:rsidRDefault="00AE4D0A"/>
    <w:p w14:paraId="5D8E43F3" w14:textId="77777777" w:rsidR="00AE4D0A" w:rsidRDefault="00AE4D0A"/>
    <w:p w14:paraId="35D1AAB4" w14:textId="77777777" w:rsidR="00AE4D0A" w:rsidRDefault="00AE4D0A"/>
    <w:p w14:paraId="478E84AC" w14:textId="77777777" w:rsidR="00AE4D0A" w:rsidRDefault="00AE4D0A"/>
    <w:p w14:paraId="418486B0" w14:textId="77777777" w:rsidR="00AE4D0A" w:rsidRDefault="00AE4D0A"/>
    <w:p w14:paraId="142FDD5D" w14:textId="77777777" w:rsidR="00AE4D0A" w:rsidRDefault="00AE4D0A"/>
    <w:p w14:paraId="0B4C00F2" w14:textId="77777777" w:rsidR="00AE4D0A" w:rsidRDefault="00AE4D0A"/>
    <w:tbl>
      <w:tblPr>
        <w:tblW w:w="1296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610"/>
      </w:tblGrid>
      <w:tr w:rsidR="008D185C" w:rsidRPr="00383F3C" w14:paraId="44E0F5D1" w14:textId="77777777" w:rsidTr="00AE4D0A">
        <w:trPr>
          <w:cantSplit/>
          <w:trHeight w:val="1178"/>
          <w:tblHeader/>
        </w:trPr>
        <w:tc>
          <w:tcPr>
            <w:tcW w:w="4950" w:type="dxa"/>
            <w:gridSpan w:val="2"/>
            <w:tcBorders>
              <w:top w:val="single" w:sz="4" w:space="0" w:color="auto"/>
              <w:left w:val="single" w:sz="4" w:space="0" w:color="auto"/>
              <w:bottom w:val="single" w:sz="6" w:space="0" w:color="auto"/>
              <w:right w:val="single" w:sz="6" w:space="0" w:color="auto"/>
            </w:tcBorders>
            <w:shd w:val="clear" w:color="auto" w:fill="D9D9D9"/>
            <w:tcMar>
              <w:top w:w="100" w:type="dxa"/>
              <w:left w:w="108" w:type="dxa"/>
              <w:bottom w:w="100" w:type="dxa"/>
              <w:right w:w="108" w:type="dxa"/>
            </w:tcMar>
          </w:tcPr>
          <w:p w14:paraId="27DCCFD5" w14:textId="400010B8" w:rsidR="008D185C" w:rsidRPr="00540BAC" w:rsidRDefault="00AE4D0A" w:rsidP="00692956">
            <w:pPr>
              <w:tabs>
                <w:tab w:val="left" w:pos="2067"/>
              </w:tabs>
              <w:spacing w:after="60"/>
              <w:ind w:left="72" w:hanging="72"/>
              <w:rPr>
                <w:rFonts w:cs="Tahoma"/>
                <w:b/>
                <w:bCs/>
              </w:rPr>
            </w:pPr>
            <w:r>
              <w:lastRenderedPageBreak/>
              <w:br w:type="page"/>
            </w:r>
            <w:r>
              <w:br w:type="page"/>
            </w:r>
            <w:r>
              <w:br w:type="page"/>
            </w:r>
            <w:r w:rsidR="008D185C" w:rsidRPr="00540BAC">
              <w:rPr>
                <w:rFonts w:cs="Tahoma"/>
                <w:b/>
                <w:bCs/>
              </w:rPr>
              <w:t xml:space="preserve">CCS Standards: </w:t>
            </w:r>
            <w:r w:rsidR="008D185C">
              <w:rPr>
                <w:rFonts w:cs="Tahoma"/>
                <w:b/>
                <w:bCs/>
              </w:rPr>
              <w:t>Writing</w:t>
            </w:r>
          </w:p>
        </w:tc>
        <w:tc>
          <w:tcPr>
            <w:tcW w:w="2700" w:type="dxa"/>
            <w:tcBorders>
              <w:top w:val="single" w:sz="4" w:space="0" w:color="auto"/>
              <w:left w:val="single" w:sz="6" w:space="0" w:color="auto"/>
              <w:bottom w:val="single" w:sz="6" w:space="0" w:color="auto"/>
              <w:right w:val="single" w:sz="6" w:space="0" w:color="auto"/>
            </w:tcBorders>
            <w:shd w:val="clear" w:color="auto" w:fill="D9D9D9"/>
          </w:tcPr>
          <w:p w14:paraId="5D1DDB12" w14:textId="77777777" w:rsidR="008D185C" w:rsidRPr="00540BAC" w:rsidRDefault="008D185C" w:rsidP="00692956">
            <w:pPr>
              <w:spacing w:after="60"/>
              <w:ind w:left="116"/>
              <w:rPr>
                <w:rFonts w:cs="Tahoma"/>
                <w:b/>
                <w:bCs/>
              </w:rPr>
            </w:pPr>
            <w:r w:rsidRPr="00645AB7">
              <w:rPr>
                <w:rFonts w:cs="Tahoma"/>
                <w:b/>
                <w:bCs/>
              </w:rPr>
              <w:t>I know what this is asking and I can do this.</w:t>
            </w:r>
          </w:p>
        </w:tc>
        <w:tc>
          <w:tcPr>
            <w:tcW w:w="2700" w:type="dxa"/>
            <w:tcBorders>
              <w:top w:val="single" w:sz="4" w:space="0" w:color="auto"/>
              <w:left w:val="single" w:sz="6" w:space="0" w:color="auto"/>
              <w:bottom w:val="single" w:sz="6" w:space="0" w:color="auto"/>
              <w:right w:val="single" w:sz="6" w:space="0" w:color="auto"/>
            </w:tcBorders>
            <w:shd w:val="clear" w:color="auto" w:fill="D9D9D9"/>
          </w:tcPr>
          <w:p w14:paraId="5D6A2052" w14:textId="77777777" w:rsidR="008D185C" w:rsidRPr="00540BAC" w:rsidRDefault="008D185C" w:rsidP="00692956">
            <w:pPr>
              <w:spacing w:after="60"/>
              <w:ind w:left="104" w:right="-194"/>
              <w:rPr>
                <w:rFonts w:cs="Tahoma"/>
                <w:b/>
                <w:bCs/>
              </w:rPr>
            </w:pPr>
            <w:r w:rsidRPr="00645AB7">
              <w:rPr>
                <w:rFonts w:cs="Tahoma"/>
                <w:b/>
                <w:bCs/>
              </w:rPr>
              <w:t>This standard has familiar language, but I haven’t mastered it.</w:t>
            </w:r>
          </w:p>
        </w:tc>
        <w:tc>
          <w:tcPr>
            <w:tcW w:w="2610" w:type="dxa"/>
            <w:tcBorders>
              <w:top w:val="single" w:sz="4" w:space="0" w:color="auto"/>
              <w:left w:val="single" w:sz="6" w:space="0" w:color="auto"/>
              <w:bottom w:val="single" w:sz="6" w:space="0" w:color="auto"/>
              <w:right w:val="single" w:sz="4" w:space="0" w:color="auto"/>
            </w:tcBorders>
            <w:shd w:val="clear" w:color="auto" w:fill="D9D9D9"/>
          </w:tcPr>
          <w:p w14:paraId="4B66E160" w14:textId="77777777" w:rsidR="008D185C" w:rsidRPr="00540BAC" w:rsidRDefault="008D185C" w:rsidP="00692956">
            <w:pPr>
              <w:spacing w:after="60"/>
              <w:ind w:left="92"/>
              <w:rPr>
                <w:rFonts w:cs="Tahoma"/>
                <w:b/>
                <w:bCs/>
              </w:rPr>
            </w:pPr>
            <w:r w:rsidRPr="00645AB7">
              <w:rPr>
                <w:rFonts w:cs="Tahoma"/>
                <w:b/>
                <w:bCs/>
              </w:rPr>
              <w:t>I am not familiar with this standard.</w:t>
            </w:r>
          </w:p>
        </w:tc>
      </w:tr>
      <w:tr w:rsidR="008D185C" w:rsidRPr="00383F3C" w14:paraId="58C5026A" w14:textId="77777777" w:rsidTr="00AE4D0A">
        <w:trPr>
          <w:cantSplit/>
        </w:trPr>
        <w:tc>
          <w:tcPr>
            <w:tcW w:w="1548" w:type="dxa"/>
            <w:shd w:val="clear" w:color="auto" w:fill="FFFFFF"/>
            <w:tcMar>
              <w:top w:w="100" w:type="dxa"/>
              <w:left w:w="108" w:type="dxa"/>
              <w:bottom w:w="100" w:type="dxa"/>
              <w:right w:w="108" w:type="dxa"/>
            </w:tcMar>
          </w:tcPr>
          <w:p w14:paraId="054339E2" w14:textId="77777777" w:rsidR="008D185C" w:rsidRPr="00BD0A44" w:rsidRDefault="008D185C" w:rsidP="00692956">
            <w:pPr>
              <w:pStyle w:val="ToolTableText"/>
              <w:rPr>
                <w:b/>
              </w:rPr>
            </w:pPr>
            <w:r>
              <w:rPr>
                <w:b/>
              </w:rPr>
              <w:t>W.11-12.9.a</w:t>
            </w:r>
          </w:p>
        </w:tc>
        <w:tc>
          <w:tcPr>
            <w:tcW w:w="3402" w:type="dxa"/>
            <w:shd w:val="clear" w:color="auto" w:fill="FFFFFF"/>
            <w:tcMar>
              <w:top w:w="100" w:type="dxa"/>
              <w:left w:w="108" w:type="dxa"/>
              <w:bottom w:w="100" w:type="dxa"/>
              <w:right w:w="108" w:type="dxa"/>
            </w:tcMar>
          </w:tcPr>
          <w:p w14:paraId="7F10363D" w14:textId="77777777" w:rsidR="00662645" w:rsidRDefault="00662645" w:rsidP="00662645">
            <w:pPr>
              <w:pStyle w:val="TableText"/>
            </w:pPr>
            <w:r w:rsidRPr="009F485E">
              <w:t>Draw evidence from literary or informationa</w:t>
            </w:r>
            <w:r w:rsidR="00563B78">
              <w:t xml:space="preserve">l </w:t>
            </w:r>
            <w:r w:rsidRPr="009F485E">
              <w:t>texts to support analysis, reflection, and research.</w:t>
            </w:r>
          </w:p>
          <w:p w14:paraId="2BFDC9A2" w14:textId="77777777" w:rsidR="008D185C" w:rsidRPr="00696E60" w:rsidRDefault="008D185C" w:rsidP="00A71C56">
            <w:pPr>
              <w:pStyle w:val="SubStandard"/>
              <w:numPr>
                <w:ilvl w:val="0"/>
                <w:numId w:val="0"/>
              </w:numPr>
            </w:pPr>
            <w:r w:rsidRPr="00662645">
              <w:rPr>
                <w:color w:val="000000"/>
                <w:szCs w:val="28"/>
              </w:rPr>
              <w:t xml:space="preserve">Apply </w:t>
            </w:r>
            <w:r w:rsidRPr="00662645">
              <w:rPr>
                <w:i/>
                <w:color w:val="000000"/>
                <w:szCs w:val="28"/>
              </w:rPr>
              <w:t>grades 11–12 Reading standards</w:t>
            </w:r>
            <w:r w:rsidRPr="00662645">
              <w:rPr>
                <w:color w:val="000000"/>
                <w:szCs w:val="28"/>
              </w:rPr>
              <w:t xml:space="preserve"> to literature (e.g., “</w:t>
            </w:r>
            <w:r w:rsidRPr="00B94450">
              <w:t xml:space="preserve">Demonstrate knowledge of eighteenth-, nineteenth- and early-twentieth-century foundational works of American literature, </w:t>
            </w:r>
            <w:r>
              <w:t>including</w:t>
            </w:r>
            <w:r w:rsidRPr="00B94450">
              <w:t xml:space="preserve"> how two or more texts from the same period treat similar themes or topics</w:t>
            </w:r>
            <w:r w:rsidRPr="00662645">
              <w:rPr>
                <w:color w:val="000000"/>
                <w:szCs w:val="28"/>
              </w:rPr>
              <w:t>”).</w:t>
            </w:r>
            <w:r w:rsidRPr="00662645" w:rsidDel="003D5739">
              <w:rPr>
                <w:color w:val="000000"/>
                <w:szCs w:val="28"/>
              </w:rPr>
              <w:t xml:space="preserve"> </w:t>
            </w:r>
          </w:p>
        </w:tc>
        <w:tc>
          <w:tcPr>
            <w:tcW w:w="2700" w:type="dxa"/>
            <w:shd w:val="clear" w:color="auto" w:fill="FFFFFF"/>
          </w:tcPr>
          <w:p w14:paraId="422D0EEA" w14:textId="77777777" w:rsidR="008D185C" w:rsidRPr="00383F3C" w:rsidRDefault="008D185C" w:rsidP="00692956">
            <w:pPr>
              <w:pStyle w:val="ToolTableText"/>
            </w:pPr>
          </w:p>
        </w:tc>
        <w:tc>
          <w:tcPr>
            <w:tcW w:w="2700" w:type="dxa"/>
            <w:shd w:val="clear" w:color="auto" w:fill="FFFFFF"/>
          </w:tcPr>
          <w:p w14:paraId="55A1F049" w14:textId="77777777" w:rsidR="008D185C" w:rsidRPr="00383F3C" w:rsidRDefault="008D185C" w:rsidP="00692956">
            <w:pPr>
              <w:pStyle w:val="ToolTableText"/>
            </w:pPr>
          </w:p>
        </w:tc>
        <w:tc>
          <w:tcPr>
            <w:tcW w:w="2610" w:type="dxa"/>
            <w:shd w:val="clear" w:color="auto" w:fill="FFFFFF"/>
          </w:tcPr>
          <w:p w14:paraId="408C1316" w14:textId="77777777" w:rsidR="008D185C" w:rsidRPr="00383F3C" w:rsidRDefault="008D185C" w:rsidP="00692956">
            <w:pPr>
              <w:pStyle w:val="ToolTableText"/>
            </w:pPr>
          </w:p>
        </w:tc>
      </w:tr>
    </w:tbl>
    <w:p w14:paraId="2015D368" w14:textId="77777777" w:rsidR="008D185C" w:rsidRDefault="008D185C" w:rsidP="008D185C">
      <w:pPr>
        <w:spacing w:line="240" w:lineRule="auto"/>
        <w:rPr>
          <w:sz w:val="10"/>
          <w:szCs w:val="10"/>
        </w:rPr>
      </w:pPr>
    </w:p>
    <w:p w14:paraId="005C12F4" w14:textId="77777777" w:rsidR="008D185C" w:rsidRDefault="008D185C" w:rsidP="008D185C">
      <w:pPr>
        <w:spacing w:line="240" w:lineRule="auto"/>
        <w:rPr>
          <w:sz w:val="10"/>
          <w:szCs w:val="10"/>
        </w:rPr>
      </w:pPr>
    </w:p>
    <w:p w14:paraId="674FC9C5" w14:textId="77777777" w:rsidR="008D185C" w:rsidRDefault="008D185C" w:rsidP="008D185C">
      <w:pPr>
        <w:spacing w:line="240" w:lineRule="auto"/>
        <w:rPr>
          <w:sz w:val="10"/>
          <w:szCs w:val="10"/>
        </w:rPr>
      </w:pPr>
    </w:p>
    <w:tbl>
      <w:tblPr>
        <w:tblW w:w="1296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636"/>
        <w:gridCol w:w="3362"/>
        <w:gridCol w:w="2668"/>
        <w:gridCol w:w="2668"/>
        <w:gridCol w:w="2626"/>
      </w:tblGrid>
      <w:tr w:rsidR="008D185C" w:rsidRPr="00383F3C" w14:paraId="54573707" w14:textId="77777777" w:rsidTr="00AE4D0A">
        <w:trPr>
          <w:cantSplit/>
          <w:trHeight w:val="1358"/>
          <w:tblHeader/>
        </w:trPr>
        <w:tc>
          <w:tcPr>
            <w:tcW w:w="4998" w:type="dxa"/>
            <w:gridSpan w:val="2"/>
            <w:shd w:val="clear" w:color="auto" w:fill="D9D9D9"/>
          </w:tcPr>
          <w:p w14:paraId="7AFC6E12" w14:textId="77777777" w:rsidR="008D185C" w:rsidRPr="00645AB7" w:rsidRDefault="008D185C" w:rsidP="00692956">
            <w:pPr>
              <w:spacing w:after="60"/>
              <w:ind w:left="115"/>
              <w:rPr>
                <w:rFonts w:cs="Tahoma"/>
                <w:b/>
              </w:rPr>
            </w:pPr>
            <w:r w:rsidRPr="00645AB7">
              <w:rPr>
                <w:rFonts w:cs="Tahoma"/>
                <w:b/>
              </w:rPr>
              <w:lastRenderedPageBreak/>
              <w:t>CCS Standards: Language</w:t>
            </w:r>
          </w:p>
        </w:tc>
        <w:tc>
          <w:tcPr>
            <w:tcW w:w="2668" w:type="dxa"/>
            <w:shd w:val="clear" w:color="auto" w:fill="D9D9D9"/>
            <w:tcMar>
              <w:top w:w="100" w:type="dxa"/>
              <w:left w:w="115" w:type="dxa"/>
              <w:bottom w:w="100" w:type="dxa"/>
              <w:right w:w="115" w:type="dxa"/>
            </w:tcMar>
          </w:tcPr>
          <w:p w14:paraId="41179928" w14:textId="77777777" w:rsidR="008D185C" w:rsidRPr="00645AB7" w:rsidRDefault="008D185C" w:rsidP="00692956">
            <w:pPr>
              <w:spacing w:after="60"/>
              <w:rPr>
                <w:rFonts w:cs="Tahoma"/>
              </w:rPr>
            </w:pPr>
            <w:r w:rsidRPr="00645AB7">
              <w:rPr>
                <w:rFonts w:cs="Tahoma"/>
                <w:b/>
                <w:bCs/>
              </w:rPr>
              <w:t>I know what this is asking and I can do this.</w:t>
            </w:r>
          </w:p>
        </w:tc>
        <w:tc>
          <w:tcPr>
            <w:tcW w:w="2668" w:type="dxa"/>
            <w:shd w:val="clear" w:color="auto" w:fill="D9D9D9"/>
            <w:tcMar>
              <w:top w:w="100" w:type="dxa"/>
              <w:left w:w="108" w:type="dxa"/>
              <w:bottom w:w="100" w:type="dxa"/>
              <w:right w:w="108" w:type="dxa"/>
            </w:tcMar>
          </w:tcPr>
          <w:p w14:paraId="415B6DAC" w14:textId="77777777" w:rsidR="008D185C" w:rsidRPr="00645AB7" w:rsidRDefault="008D185C" w:rsidP="00692956">
            <w:pPr>
              <w:spacing w:after="60"/>
              <w:rPr>
                <w:rFonts w:cs="Tahoma"/>
              </w:rPr>
            </w:pPr>
            <w:r w:rsidRPr="00645AB7">
              <w:rPr>
                <w:rFonts w:cs="Tahoma"/>
                <w:b/>
                <w:bCs/>
              </w:rPr>
              <w:t>This standard has familiar language, but I haven’t mastered it.</w:t>
            </w:r>
          </w:p>
        </w:tc>
        <w:tc>
          <w:tcPr>
            <w:tcW w:w="2626" w:type="dxa"/>
            <w:shd w:val="clear" w:color="auto" w:fill="D9D9D9"/>
            <w:tcMar>
              <w:left w:w="108" w:type="dxa"/>
              <w:right w:w="108" w:type="dxa"/>
            </w:tcMar>
          </w:tcPr>
          <w:p w14:paraId="6B8B26AA" w14:textId="77777777" w:rsidR="008D185C" w:rsidRPr="00645AB7" w:rsidRDefault="008D185C" w:rsidP="00692956">
            <w:pPr>
              <w:tabs>
                <w:tab w:val="left" w:pos="2392"/>
              </w:tabs>
              <w:spacing w:after="60"/>
              <w:ind w:right="120"/>
              <w:rPr>
                <w:rFonts w:cs="Tahoma"/>
              </w:rPr>
            </w:pPr>
            <w:r w:rsidRPr="00645AB7">
              <w:rPr>
                <w:rFonts w:cs="Tahoma"/>
                <w:b/>
                <w:bCs/>
              </w:rPr>
              <w:t>I am not familiar with this standard.</w:t>
            </w:r>
          </w:p>
        </w:tc>
      </w:tr>
      <w:tr w:rsidR="008D185C" w:rsidRPr="00383F3C" w14:paraId="09452D68" w14:textId="77777777" w:rsidTr="00AE4D0A">
        <w:trPr>
          <w:cantSplit/>
          <w:trHeight w:val="720"/>
        </w:trPr>
        <w:tc>
          <w:tcPr>
            <w:tcW w:w="1636" w:type="dxa"/>
            <w:shd w:val="clear" w:color="auto" w:fill="FFFFFF"/>
            <w:tcMar>
              <w:top w:w="100" w:type="dxa"/>
              <w:left w:w="108" w:type="dxa"/>
              <w:bottom w:w="100" w:type="dxa"/>
              <w:right w:w="108" w:type="dxa"/>
            </w:tcMar>
          </w:tcPr>
          <w:p w14:paraId="353964C0" w14:textId="77777777" w:rsidR="008D185C" w:rsidRPr="00BD0A44" w:rsidRDefault="008D185C" w:rsidP="00692956">
            <w:pPr>
              <w:pStyle w:val="ToolTableText"/>
              <w:rPr>
                <w:b/>
              </w:rPr>
            </w:pPr>
            <w:r>
              <w:rPr>
                <w:b/>
              </w:rPr>
              <w:t>L.11-12.5.b</w:t>
            </w:r>
          </w:p>
        </w:tc>
        <w:tc>
          <w:tcPr>
            <w:tcW w:w="3362" w:type="dxa"/>
            <w:shd w:val="clear" w:color="auto" w:fill="FFFFFF"/>
            <w:tcMar>
              <w:top w:w="100" w:type="dxa"/>
              <w:left w:w="108" w:type="dxa"/>
              <w:bottom w:w="100" w:type="dxa"/>
              <w:right w:w="108" w:type="dxa"/>
            </w:tcMar>
          </w:tcPr>
          <w:p w14:paraId="75DAEA25" w14:textId="77777777" w:rsidR="0025368F" w:rsidRPr="0025368F" w:rsidRDefault="0025368F" w:rsidP="0025368F">
            <w:pPr>
              <w:pStyle w:val="ToolTableText"/>
            </w:pPr>
            <w:r w:rsidRPr="0025368F">
              <w:t>Demonstrate understanding of figurative language, word relationships, and nuances in word meanings.</w:t>
            </w:r>
          </w:p>
          <w:p w14:paraId="6A5589D2" w14:textId="77777777" w:rsidR="008D185C" w:rsidRPr="002B3E6F" w:rsidRDefault="008D185C" w:rsidP="00A71C56">
            <w:pPr>
              <w:pStyle w:val="SubStandard"/>
              <w:numPr>
                <w:ilvl w:val="0"/>
                <w:numId w:val="0"/>
              </w:numPr>
            </w:pPr>
            <w:r w:rsidRPr="008F6BB8">
              <w:t>Analyze nuances in the meaning of words with similar denotations</w:t>
            </w:r>
            <w:r w:rsidRPr="0025368F">
              <w:rPr>
                <w:rFonts w:ascii="Perpetua" w:eastAsia="Times New Roman" w:hAnsi="Perpetua"/>
                <w:color w:val="000000"/>
                <w:sz w:val="20"/>
              </w:rPr>
              <w:t>.</w:t>
            </w:r>
          </w:p>
        </w:tc>
        <w:tc>
          <w:tcPr>
            <w:tcW w:w="2668" w:type="dxa"/>
            <w:shd w:val="clear" w:color="auto" w:fill="FFFFFF"/>
          </w:tcPr>
          <w:p w14:paraId="6E952B35" w14:textId="77777777" w:rsidR="008D185C" w:rsidRPr="00383F3C" w:rsidRDefault="008D185C" w:rsidP="00692956">
            <w:pPr>
              <w:pStyle w:val="ToolTableText"/>
            </w:pPr>
          </w:p>
        </w:tc>
        <w:tc>
          <w:tcPr>
            <w:tcW w:w="2668" w:type="dxa"/>
            <w:shd w:val="clear" w:color="auto" w:fill="FFFFFF"/>
          </w:tcPr>
          <w:p w14:paraId="6BA77C00" w14:textId="77777777" w:rsidR="008D185C" w:rsidRPr="00383F3C" w:rsidRDefault="008D185C" w:rsidP="00692956">
            <w:pPr>
              <w:pStyle w:val="ToolTableText"/>
            </w:pPr>
          </w:p>
        </w:tc>
        <w:tc>
          <w:tcPr>
            <w:tcW w:w="2626" w:type="dxa"/>
            <w:shd w:val="clear" w:color="auto" w:fill="FFFFFF"/>
          </w:tcPr>
          <w:p w14:paraId="134CEDA2" w14:textId="77777777" w:rsidR="008D185C" w:rsidRPr="00383F3C" w:rsidRDefault="008D185C" w:rsidP="00692956">
            <w:pPr>
              <w:pStyle w:val="ToolTableText"/>
            </w:pPr>
          </w:p>
        </w:tc>
      </w:tr>
    </w:tbl>
    <w:p w14:paraId="3DEBA22F" w14:textId="77777777" w:rsidR="008D185C" w:rsidRPr="00A71C56" w:rsidRDefault="008D185C" w:rsidP="008D185C">
      <w:pPr>
        <w:pStyle w:val="Heading1"/>
        <w:rPr>
          <w:sz w:val="2"/>
          <w:szCs w:val="2"/>
        </w:rPr>
      </w:pPr>
    </w:p>
    <w:sectPr w:rsidR="008D185C" w:rsidRPr="00A71C56" w:rsidSect="00692956">
      <w:headerReference w:type="default" r:id="rId8"/>
      <w:footerReference w:type="default" r:id="rId9"/>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0AE0C" w14:textId="77777777" w:rsidR="009C4A4E" w:rsidRDefault="009C4A4E">
      <w:pPr>
        <w:spacing w:before="0" w:after="0" w:line="240" w:lineRule="auto"/>
      </w:pPr>
      <w:r>
        <w:separator/>
      </w:r>
    </w:p>
  </w:endnote>
  <w:endnote w:type="continuationSeparator" w:id="0">
    <w:p w14:paraId="3A4BE28C" w14:textId="77777777" w:rsidR="009C4A4E" w:rsidRDefault="009C4A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61C3" w14:textId="77777777" w:rsidR="00E07876" w:rsidRPr="00C14CFD" w:rsidRDefault="00E07876" w:rsidP="00692956">
    <w:pPr>
      <w:rPr>
        <w:sz w:val="14"/>
        <w:szCs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E07876" w:rsidRPr="002E4C92" w14:paraId="04746D9E" w14:textId="77777777">
      <w:trPr>
        <w:trHeight w:val="705"/>
      </w:trPr>
      <w:tc>
        <w:tcPr>
          <w:tcW w:w="4609" w:type="dxa"/>
          <w:shd w:val="clear" w:color="auto" w:fill="auto"/>
          <w:vAlign w:val="center"/>
        </w:tcPr>
        <w:p w14:paraId="5C6F4E67" w14:textId="2B96E19F" w:rsidR="00E07876" w:rsidRPr="002E4C92" w:rsidRDefault="00E07876" w:rsidP="00692956">
          <w:pPr>
            <w:pStyle w:val="FooterText"/>
          </w:pPr>
          <w:r w:rsidRPr="002E4C92">
            <w:t>File:</w:t>
          </w:r>
          <w:r>
            <w:rPr>
              <w:b w:val="0"/>
            </w:rPr>
            <w:t xml:space="preserve"> 12.2.1 Lesson </w:t>
          </w:r>
          <w:r w:rsidR="00E74D05">
            <w:rPr>
              <w:b w:val="0"/>
            </w:rPr>
            <w:t>4</w:t>
          </w:r>
          <w:r w:rsidRPr="002E4C92">
            <w:t xml:space="preserve"> Date:</w:t>
          </w:r>
          <w:r w:rsidRPr="0039525B">
            <w:rPr>
              <w:b w:val="0"/>
            </w:rPr>
            <w:t xml:space="preserve"> </w:t>
          </w:r>
          <w:r>
            <w:rPr>
              <w:b w:val="0"/>
            </w:rPr>
            <w:t>2</w:t>
          </w:r>
          <w:r w:rsidRPr="0039525B">
            <w:rPr>
              <w:b w:val="0"/>
            </w:rPr>
            <w:t>/</w:t>
          </w:r>
          <w:r w:rsidR="005E3EC6">
            <w:rPr>
              <w:b w:val="0"/>
            </w:rPr>
            <w:t>13</w:t>
          </w:r>
          <w:r>
            <w:rPr>
              <w:b w:val="0"/>
            </w:rPr>
            <w:t>/20</w:t>
          </w:r>
          <w:r w:rsidRPr="0039525B">
            <w:rPr>
              <w:b w:val="0"/>
            </w:rPr>
            <w:t>1</w:t>
          </w:r>
          <w:r>
            <w:rPr>
              <w:b w:val="0"/>
            </w:rPr>
            <w:t>5</w:t>
          </w:r>
          <w:r w:rsidRPr="0039525B">
            <w:rPr>
              <w:b w:val="0"/>
            </w:rPr>
            <w:t xml:space="preserve"> </w:t>
          </w:r>
          <w:r w:rsidRPr="002E4C92">
            <w:t>Classroom Use:</w:t>
          </w:r>
          <w:r>
            <w:rPr>
              <w:b w:val="0"/>
            </w:rPr>
            <w:t xml:space="preserve"> Starting 2</w:t>
          </w:r>
          <w:r w:rsidRPr="0039525B">
            <w:rPr>
              <w:b w:val="0"/>
            </w:rPr>
            <w:t>/201</w:t>
          </w:r>
          <w:r>
            <w:rPr>
              <w:b w:val="0"/>
            </w:rPr>
            <w:t>5</w:t>
          </w:r>
          <w:r w:rsidRPr="0039525B">
            <w:rPr>
              <w:b w:val="0"/>
            </w:rPr>
            <w:t xml:space="preserve"> </w:t>
          </w:r>
        </w:p>
        <w:p w14:paraId="351FBA15" w14:textId="77777777" w:rsidR="00E07876" w:rsidRPr="0039525B" w:rsidRDefault="00E07876" w:rsidP="00692956">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D328A5A" w14:textId="77777777" w:rsidR="00E07876" w:rsidRPr="0039525B" w:rsidRDefault="00E07876" w:rsidP="00692956">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36F2668D" w14:textId="77777777" w:rsidR="00E07876" w:rsidRPr="002E4C92" w:rsidRDefault="009C4A4E" w:rsidP="00692956">
          <w:pPr>
            <w:pStyle w:val="FooterText"/>
          </w:pPr>
          <w:hyperlink r:id="rId1" w:history="1">
            <w:r w:rsidR="00E07876" w:rsidRPr="008D185C">
              <w:rPr>
                <w:rStyle w:val="Hyperlink"/>
                <w:sz w:val="12"/>
                <w:szCs w:val="12"/>
              </w:rPr>
              <w:t>http://creativecommons.org/licenses/by-nc-sa/3.0/</w:t>
            </w:r>
          </w:hyperlink>
        </w:p>
      </w:tc>
      <w:tc>
        <w:tcPr>
          <w:tcW w:w="625" w:type="dxa"/>
          <w:shd w:val="clear" w:color="auto" w:fill="auto"/>
          <w:vAlign w:val="center"/>
        </w:tcPr>
        <w:p w14:paraId="0C55107C" w14:textId="77777777" w:rsidR="00E07876" w:rsidRPr="002E4C92" w:rsidRDefault="00E07876" w:rsidP="00692956">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36660FAF" w14:textId="77777777" w:rsidR="00E07876" w:rsidRPr="002E4C92" w:rsidRDefault="009C4A4E" w:rsidP="0069295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10E1C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CG-CC-NY.png" style="width:133.5pt;height:50.25pt;visibility:visible">
                <v:imagedata r:id="rId2" o:title="PCG-CC-NY"/>
              </v:shape>
            </w:pict>
          </w:r>
        </w:p>
      </w:tc>
    </w:tr>
  </w:tbl>
  <w:p w14:paraId="019DECFE" w14:textId="77777777" w:rsidR="00E07876" w:rsidRPr="007017EB" w:rsidRDefault="00E07876" w:rsidP="00692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C83B" w14:textId="77777777" w:rsidR="009C4A4E" w:rsidRDefault="009C4A4E">
      <w:pPr>
        <w:spacing w:before="0" w:after="0" w:line="240" w:lineRule="auto"/>
      </w:pPr>
      <w:r>
        <w:separator/>
      </w:r>
    </w:p>
  </w:footnote>
  <w:footnote w:type="continuationSeparator" w:id="0">
    <w:p w14:paraId="1C18374D" w14:textId="77777777" w:rsidR="009C4A4E" w:rsidRDefault="009C4A4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E07876" w:rsidRPr="00563CB8" w14:paraId="4B5E5C99" w14:textId="77777777">
      <w:tc>
        <w:tcPr>
          <w:tcW w:w="3708" w:type="dxa"/>
          <w:shd w:val="clear" w:color="auto" w:fill="auto"/>
        </w:tcPr>
        <w:p w14:paraId="6298F66B" w14:textId="77777777" w:rsidR="00E07876" w:rsidRPr="00563CB8" w:rsidRDefault="00E07876"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1325A30" w14:textId="77777777" w:rsidR="00E07876" w:rsidRPr="00563CB8" w:rsidRDefault="00E07876" w:rsidP="007017EB">
          <w:pPr>
            <w:jc w:val="center"/>
          </w:pPr>
          <w:r w:rsidRPr="00563CB8">
            <w:t>D R A F T</w:t>
          </w:r>
        </w:p>
      </w:tc>
      <w:tc>
        <w:tcPr>
          <w:tcW w:w="3438" w:type="dxa"/>
          <w:shd w:val="clear" w:color="auto" w:fill="auto"/>
        </w:tcPr>
        <w:p w14:paraId="23BAABD2" w14:textId="5B60A7D4" w:rsidR="00E07876" w:rsidRPr="00E946A0" w:rsidRDefault="00E07876" w:rsidP="00E74D05">
          <w:pPr>
            <w:pStyle w:val="PageHeader"/>
            <w:jc w:val="right"/>
            <w:rPr>
              <w:b w:val="0"/>
            </w:rPr>
          </w:pPr>
          <w:r>
            <w:rPr>
              <w:b w:val="0"/>
            </w:rPr>
            <w:t>Grade 12 • Module 2</w:t>
          </w:r>
          <w:r w:rsidRPr="00E946A0">
            <w:rPr>
              <w:b w:val="0"/>
            </w:rPr>
            <w:t xml:space="preserve"> • Unit </w:t>
          </w:r>
          <w:r>
            <w:rPr>
              <w:b w:val="0"/>
            </w:rPr>
            <w:t>1</w:t>
          </w:r>
          <w:r w:rsidRPr="00E946A0">
            <w:rPr>
              <w:b w:val="0"/>
            </w:rPr>
            <w:t xml:space="preserve"> • Lesson </w:t>
          </w:r>
          <w:r w:rsidR="00E74D05">
            <w:rPr>
              <w:b w:val="0"/>
            </w:rPr>
            <w:t>4</w:t>
          </w:r>
        </w:p>
      </w:tc>
    </w:tr>
  </w:tbl>
  <w:p w14:paraId="7E133418" w14:textId="77777777" w:rsidR="00E07876" w:rsidRPr="007017EB" w:rsidRDefault="00E07876"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A4C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B20E3"/>
    <w:multiLevelType w:val="multilevel"/>
    <w:tmpl w:val="49220A30"/>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4B06BB"/>
    <w:multiLevelType w:val="multilevel"/>
    <w:tmpl w:val="C204A886"/>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887211"/>
    <w:multiLevelType w:val="multilevel"/>
    <w:tmpl w:val="1198523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2075C"/>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0416111"/>
    <w:multiLevelType w:val="multilevel"/>
    <w:tmpl w:val="7EFCFB44"/>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55B21016"/>
    <w:lvl w:ilvl="0" w:tplc="00F88990">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B27093"/>
    <w:multiLevelType w:val="hybridMultilevel"/>
    <w:tmpl w:val="0836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23411"/>
    <w:multiLevelType w:val="multilevel"/>
    <w:tmpl w:val="C868B992"/>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2"/>
  </w:num>
  <w:num w:numId="5">
    <w:abstractNumId w:val="2"/>
  </w:num>
  <w:num w:numId="6">
    <w:abstractNumId w:val="16"/>
  </w:num>
  <w:num w:numId="7">
    <w:abstractNumId w:val="8"/>
    <w:lvlOverride w:ilvl="0">
      <w:startOverride w:val="1"/>
    </w:lvlOverride>
  </w:num>
  <w:num w:numId="8">
    <w:abstractNumId w:val="18"/>
  </w:num>
  <w:num w:numId="9">
    <w:abstractNumId w:val="3"/>
  </w:num>
  <w:num w:numId="10">
    <w:abstractNumId w:val="13"/>
  </w:num>
  <w:num w:numId="11">
    <w:abstractNumId w:val="19"/>
  </w:num>
  <w:num w:numId="12">
    <w:abstractNumId w:val="8"/>
  </w:num>
  <w:num w:numId="13">
    <w:abstractNumId w:val="8"/>
    <w:lvlOverride w:ilvl="0">
      <w:startOverride w:val="1"/>
    </w:lvlOverride>
  </w:num>
  <w:num w:numId="14">
    <w:abstractNumId w:val="7"/>
    <w:lvlOverride w:ilvl="0">
      <w:startOverride w:val="1"/>
    </w:lvlOverride>
  </w:num>
  <w:num w:numId="15">
    <w:abstractNumId w:val="18"/>
  </w:num>
  <w:num w:numId="16">
    <w:abstractNumId w:val="5"/>
  </w:num>
  <w:num w:numId="17">
    <w:abstractNumId w:val="1"/>
  </w:num>
  <w:num w:numId="18">
    <w:abstractNumId w:val="4"/>
  </w:num>
  <w:num w:numId="19">
    <w:abstractNumId w:val="17"/>
  </w:num>
  <w:num w:numId="20">
    <w:abstractNumId w:val="20"/>
  </w:num>
  <w:num w:numId="21">
    <w:abstractNumId w:val="14"/>
  </w:num>
  <w:num w:numId="22">
    <w:abstractNumId w:val="19"/>
    <w:lvlOverride w:ilvl="0">
      <w:startOverride w:val="1"/>
    </w:lvlOverride>
  </w:num>
  <w:num w:numId="23">
    <w:abstractNumId w:val="12"/>
  </w:num>
  <w:num w:numId="24">
    <w:abstractNumId w:val="0"/>
  </w:num>
  <w:num w:numId="25">
    <w:abstractNumId w:val="11"/>
  </w:num>
  <w:num w:numId="26">
    <w:abstractNumId w:val="15"/>
  </w:num>
  <w:num w:numId="27">
    <w:abstractNumId w:val="19"/>
    <w:lvlOverride w:ilvl="0">
      <w:startOverride w:val="1"/>
    </w:lvlOverride>
  </w:num>
  <w:num w:numId="28">
    <w:abstractNumId w:val="6"/>
  </w:num>
  <w:num w:numId="29">
    <w:abstractNumId w:val="19"/>
    <w:lvlOverride w:ilvl="0">
      <w:startOverride w:val="4"/>
    </w:lvlOverride>
  </w:num>
  <w:num w:numId="30">
    <w:abstractNumId w:val="9"/>
  </w:num>
  <w:num w:numId="31">
    <w:abstractNumId w:val="19"/>
    <w:lvlOverride w:ilvl="0">
      <w:startOverride w:val="4"/>
    </w:lvlOverride>
  </w:num>
  <w:num w:numId="32">
    <w:abstractNumId w:val="21"/>
  </w:num>
  <w:num w:numId="33">
    <w:abstractNumId w:val="19"/>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312"/>
    <w:rsid w:val="0000199B"/>
    <w:rsid w:val="00007025"/>
    <w:rsid w:val="00011CAE"/>
    <w:rsid w:val="00012525"/>
    <w:rsid w:val="00017D7A"/>
    <w:rsid w:val="00022C98"/>
    <w:rsid w:val="00031EC1"/>
    <w:rsid w:val="00032858"/>
    <w:rsid w:val="00034528"/>
    <w:rsid w:val="000404F4"/>
    <w:rsid w:val="000410BC"/>
    <w:rsid w:val="00052BC1"/>
    <w:rsid w:val="0005399A"/>
    <w:rsid w:val="00060429"/>
    <w:rsid w:val="00065093"/>
    <w:rsid w:val="00065B1A"/>
    <w:rsid w:val="00072E78"/>
    <w:rsid w:val="0007618A"/>
    <w:rsid w:val="00076ACB"/>
    <w:rsid w:val="00081679"/>
    <w:rsid w:val="00092716"/>
    <w:rsid w:val="00093AA3"/>
    <w:rsid w:val="00095331"/>
    <w:rsid w:val="000A00CC"/>
    <w:rsid w:val="000A0798"/>
    <w:rsid w:val="000A5A41"/>
    <w:rsid w:val="000A6C98"/>
    <w:rsid w:val="000B0161"/>
    <w:rsid w:val="000B3273"/>
    <w:rsid w:val="000B3A6F"/>
    <w:rsid w:val="000B496A"/>
    <w:rsid w:val="000B5594"/>
    <w:rsid w:val="000B765C"/>
    <w:rsid w:val="000C0001"/>
    <w:rsid w:val="000C19D9"/>
    <w:rsid w:val="000C64BF"/>
    <w:rsid w:val="000D165E"/>
    <w:rsid w:val="000D1863"/>
    <w:rsid w:val="000D436C"/>
    <w:rsid w:val="000E038C"/>
    <w:rsid w:val="000E0788"/>
    <w:rsid w:val="000E07C3"/>
    <w:rsid w:val="000E083A"/>
    <w:rsid w:val="000E14E2"/>
    <w:rsid w:val="000E6BA1"/>
    <w:rsid w:val="000F17C4"/>
    <w:rsid w:val="000F3EEF"/>
    <w:rsid w:val="000F4134"/>
    <w:rsid w:val="000F7080"/>
    <w:rsid w:val="000F73B7"/>
    <w:rsid w:val="00105705"/>
    <w:rsid w:val="00107F10"/>
    <w:rsid w:val="00113B55"/>
    <w:rsid w:val="00115A38"/>
    <w:rsid w:val="0012429B"/>
    <w:rsid w:val="00134C76"/>
    <w:rsid w:val="0013517A"/>
    <w:rsid w:val="0014282C"/>
    <w:rsid w:val="00143E71"/>
    <w:rsid w:val="00144020"/>
    <w:rsid w:val="00144B97"/>
    <w:rsid w:val="00146AF9"/>
    <w:rsid w:val="001519E4"/>
    <w:rsid w:val="00151E81"/>
    <w:rsid w:val="00153CD0"/>
    <w:rsid w:val="00154D96"/>
    <w:rsid w:val="00161414"/>
    <w:rsid w:val="001657B5"/>
    <w:rsid w:val="00170244"/>
    <w:rsid w:val="001735F1"/>
    <w:rsid w:val="00184EAC"/>
    <w:rsid w:val="00187493"/>
    <w:rsid w:val="00194A7F"/>
    <w:rsid w:val="001A1AD9"/>
    <w:rsid w:val="001A3F41"/>
    <w:rsid w:val="001B0E81"/>
    <w:rsid w:val="001B31FF"/>
    <w:rsid w:val="001B5D8C"/>
    <w:rsid w:val="001B6764"/>
    <w:rsid w:val="001C40B2"/>
    <w:rsid w:val="001C40B5"/>
    <w:rsid w:val="001D4548"/>
    <w:rsid w:val="001D535D"/>
    <w:rsid w:val="001D710D"/>
    <w:rsid w:val="001D7577"/>
    <w:rsid w:val="001E6ED4"/>
    <w:rsid w:val="001F2C9B"/>
    <w:rsid w:val="001F43D2"/>
    <w:rsid w:val="001F6F20"/>
    <w:rsid w:val="001F6F3A"/>
    <w:rsid w:val="00202FB6"/>
    <w:rsid w:val="00206ACB"/>
    <w:rsid w:val="0021053B"/>
    <w:rsid w:val="002130DB"/>
    <w:rsid w:val="002142AD"/>
    <w:rsid w:val="00217CA4"/>
    <w:rsid w:val="00227663"/>
    <w:rsid w:val="00227874"/>
    <w:rsid w:val="00227ED3"/>
    <w:rsid w:val="00232DDC"/>
    <w:rsid w:val="002375BE"/>
    <w:rsid w:val="00245D7B"/>
    <w:rsid w:val="00245E13"/>
    <w:rsid w:val="00252DE9"/>
    <w:rsid w:val="0025368F"/>
    <w:rsid w:val="00256EA5"/>
    <w:rsid w:val="00257B48"/>
    <w:rsid w:val="002665E0"/>
    <w:rsid w:val="00271D44"/>
    <w:rsid w:val="00272C59"/>
    <w:rsid w:val="00273DA6"/>
    <w:rsid w:val="00275D24"/>
    <w:rsid w:val="00277DC0"/>
    <w:rsid w:val="002858D2"/>
    <w:rsid w:val="00291820"/>
    <w:rsid w:val="00294330"/>
    <w:rsid w:val="00295974"/>
    <w:rsid w:val="00296961"/>
    <w:rsid w:val="002A191B"/>
    <w:rsid w:val="002A4DE0"/>
    <w:rsid w:val="002A67D6"/>
    <w:rsid w:val="002B2C39"/>
    <w:rsid w:val="002B4EEC"/>
    <w:rsid w:val="002D1525"/>
    <w:rsid w:val="002D35D2"/>
    <w:rsid w:val="002D4ACC"/>
    <w:rsid w:val="002E47D9"/>
    <w:rsid w:val="002E47DC"/>
    <w:rsid w:val="002F09AF"/>
    <w:rsid w:val="002F3968"/>
    <w:rsid w:val="002F48DF"/>
    <w:rsid w:val="00307B1D"/>
    <w:rsid w:val="00307C04"/>
    <w:rsid w:val="003108B7"/>
    <w:rsid w:val="0032018C"/>
    <w:rsid w:val="00320974"/>
    <w:rsid w:val="003221A9"/>
    <w:rsid w:val="003252AE"/>
    <w:rsid w:val="0032542E"/>
    <w:rsid w:val="00325875"/>
    <w:rsid w:val="00325E6E"/>
    <w:rsid w:val="0032655E"/>
    <w:rsid w:val="00341F48"/>
    <w:rsid w:val="00347262"/>
    <w:rsid w:val="00347851"/>
    <w:rsid w:val="00351EC7"/>
    <w:rsid w:val="00352B48"/>
    <w:rsid w:val="00352F6C"/>
    <w:rsid w:val="0035385F"/>
    <w:rsid w:val="00353B90"/>
    <w:rsid w:val="00355DFA"/>
    <w:rsid w:val="00355FDB"/>
    <w:rsid w:val="00373508"/>
    <w:rsid w:val="00374C13"/>
    <w:rsid w:val="003754A6"/>
    <w:rsid w:val="00375CE9"/>
    <w:rsid w:val="00387CCD"/>
    <w:rsid w:val="00392810"/>
    <w:rsid w:val="00393C09"/>
    <w:rsid w:val="00394D27"/>
    <w:rsid w:val="00395E1F"/>
    <w:rsid w:val="00397E29"/>
    <w:rsid w:val="003A1BDD"/>
    <w:rsid w:val="003A234D"/>
    <w:rsid w:val="003A2416"/>
    <w:rsid w:val="003B2BC4"/>
    <w:rsid w:val="003B4532"/>
    <w:rsid w:val="003B6E32"/>
    <w:rsid w:val="003B76F5"/>
    <w:rsid w:val="003C7D50"/>
    <w:rsid w:val="003D1037"/>
    <w:rsid w:val="003D1572"/>
    <w:rsid w:val="003E0DBD"/>
    <w:rsid w:val="003E2F2C"/>
    <w:rsid w:val="003E639D"/>
    <w:rsid w:val="004021F3"/>
    <w:rsid w:val="004140B1"/>
    <w:rsid w:val="00427054"/>
    <w:rsid w:val="00433DE6"/>
    <w:rsid w:val="00450BEC"/>
    <w:rsid w:val="00455F21"/>
    <w:rsid w:val="00461AA0"/>
    <w:rsid w:val="00461E6E"/>
    <w:rsid w:val="004633F8"/>
    <w:rsid w:val="0046482B"/>
    <w:rsid w:val="004668C9"/>
    <w:rsid w:val="0047422E"/>
    <w:rsid w:val="0048265D"/>
    <w:rsid w:val="0048381E"/>
    <w:rsid w:val="00485692"/>
    <w:rsid w:val="004859EC"/>
    <w:rsid w:val="004876B8"/>
    <w:rsid w:val="00487CE2"/>
    <w:rsid w:val="00487EF7"/>
    <w:rsid w:val="00491329"/>
    <w:rsid w:val="00492555"/>
    <w:rsid w:val="00493973"/>
    <w:rsid w:val="004A1CF4"/>
    <w:rsid w:val="004A2DC5"/>
    <w:rsid w:val="004A3757"/>
    <w:rsid w:val="004A4150"/>
    <w:rsid w:val="004A4CF2"/>
    <w:rsid w:val="004A5314"/>
    <w:rsid w:val="004A58B6"/>
    <w:rsid w:val="004A656F"/>
    <w:rsid w:val="004B02F5"/>
    <w:rsid w:val="004B0D46"/>
    <w:rsid w:val="004B1768"/>
    <w:rsid w:val="004C0095"/>
    <w:rsid w:val="004C3CA7"/>
    <w:rsid w:val="004D2EC1"/>
    <w:rsid w:val="004D4BEB"/>
    <w:rsid w:val="004D7976"/>
    <w:rsid w:val="004E34AD"/>
    <w:rsid w:val="004E3E3D"/>
    <w:rsid w:val="004E6453"/>
    <w:rsid w:val="004E668B"/>
    <w:rsid w:val="004F1AF3"/>
    <w:rsid w:val="004F2CB4"/>
    <w:rsid w:val="004F44B1"/>
    <w:rsid w:val="00500350"/>
    <w:rsid w:val="00511290"/>
    <w:rsid w:val="0051238A"/>
    <w:rsid w:val="00512987"/>
    <w:rsid w:val="00512A24"/>
    <w:rsid w:val="0052096B"/>
    <w:rsid w:val="00530335"/>
    <w:rsid w:val="005315EE"/>
    <w:rsid w:val="00535E0C"/>
    <w:rsid w:val="00537A7C"/>
    <w:rsid w:val="00545F79"/>
    <w:rsid w:val="005511D2"/>
    <w:rsid w:val="0055675A"/>
    <w:rsid w:val="005605C6"/>
    <w:rsid w:val="00562F9C"/>
    <w:rsid w:val="00563B78"/>
    <w:rsid w:val="005645EF"/>
    <w:rsid w:val="00565C86"/>
    <w:rsid w:val="005806D9"/>
    <w:rsid w:val="0058118A"/>
    <w:rsid w:val="0058205C"/>
    <w:rsid w:val="005875F8"/>
    <w:rsid w:val="0059355E"/>
    <w:rsid w:val="00594788"/>
    <w:rsid w:val="005948D0"/>
    <w:rsid w:val="00594FDB"/>
    <w:rsid w:val="005966CC"/>
    <w:rsid w:val="005B3A6D"/>
    <w:rsid w:val="005C0739"/>
    <w:rsid w:val="005C5619"/>
    <w:rsid w:val="005D7D19"/>
    <w:rsid w:val="005E037E"/>
    <w:rsid w:val="005E0410"/>
    <w:rsid w:val="005E0B57"/>
    <w:rsid w:val="005E3EC6"/>
    <w:rsid w:val="005E4EDA"/>
    <w:rsid w:val="005E766B"/>
    <w:rsid w:val="005F5C41"/>
    <w:rsid w:val="005F63B5"/>
    <w:rsid w:val="005F7E03"/>
    <w:rsid w:val="0060095C"/>
    <w:rsid w:val="006055B7"/>
    <w:rsid w:val="00611AA0"/>
    <w:rsid w:val="00624485"/>
    <w:rsid w:val="00625596"/>
    <w:rsid w:val="00625926"/>
    <w:rsid w:val="00627562"/>
    <w:rsid w:val="00630AB2"/>
    <w:rsid w:val="00632B5E"/>
    <w:rsid w:val="006335AE"/>
    <w:rsid w:val="00633D1F"/>
    <w:rsid w:val="00637F6A"/>
    <w:rsid w:val="0064073B"/>
    <w:rsid w:val="00645B14"/>
    <w:rsid w:val="006530AC"/>
    <w:rsid w:val="00657AB3"/>
    <w:rsid w:val="00662645"/>
    <w:rsid w:val="006663C3"/>
    <w:rsid w:val="00691712"/>
    <w:rsid w:val="00692956"/>
    <w:rsid w:val="00692DDD"/>
    <w:rsid w:val="006930F7"/>
    <w:rsid w:val="006A2392"/>
    <w:rsid w:val="006B16B0"/>
    <w:rsid w:val="006C5C2B"/>
    <w:rsid w:val="006D3CBB"/>
    <w:rsid w:val="006E2D80"/>
    <w:rsid w:val="006F05E7"/>
    <w:rsid w:val="006F1FEE"/>
    <w:rsid w:val="006F2ADD"/>
    <w:rsid w:val="007017EB"/>
    <w:rsid w:val="00702011"/>
    <w:rsid w:val="00710959"/>
    <w:rsid w:val="00711248"/>
    <w:rsid w:val="00712C6C"/>
    <w:rsid w:val="00714220"/>
    <w:rsid w:val="007228E2"/>
    <w:rsid w:val="0072634A"/>
    <w:rsid w:val="00726681"/>
    <w:rsid w:val="00726852"/>
    <w:rsid w:val="00732565"/>
    <w:rsid w:val="007327E3"/>
    <w:rsid w:val="007333F8"/>
    <w:rsid w:val="007405CA"/>
    <w:rsid w:val="00750A36"/>
    <w:rsid w:val="00751A54"/>
    <w:rsid w:val="00752798"/>
    <w:rsid w:val="00754EAB"/>
    <w:rsid w:val="00760E06"/>
    <w:rsid w:val="0076311E"/>
    <w:rsid w:val="00771333"/>
    <w:rsid w:val="00772F7E"/>
    <w:rsid w:val="007747B6"/>
    <w:rsid w:val="00775520"/>
    <w:rsid w:val="007770E7"/>
    <w:rsid w:val="007908C6"/>
    <w:rsid w:val="00790BCC"/>
    <w:rsid w:val="00795E17"/>
    <w:rsid w:val="00796E1A"/>
    <w:rsid w:val="007A7E56"/>
    <w:rsid w:val="007B011B"/>
    <w:rsid w:val="007B291A"/>
    <w:rsid w:val="007B51F3"/>
    <w:rsid w:val="007B62F6"/>
    <w:rsid w:val="007D0F6F"/>
    <w:rsid w:val="007D2598"/>
    <w:rsid w:val="007E484F"/>
    <w:rsid w:val="007E48F6"/>
    <w:rsid w:val="007F10C1"/>
    <w:rsid w:val="007F1182"/>
    <w:rsid w:val="007F78DA"/>
    <w:rsid w:val="00804E44"/>
    <w:rsid w:val="008119A2"/>
    <w:rsid w:val="0081269B"/>
    <w:rsid w:val="008138B5"/>
    <w:rsid w:val="008231B0"/>
    <w:rsid w:val="00827E4A"/>
    <w:rsid w:val="00831B52"/>
    <w:rsid w:val="00831F42"/>
    <w:rsid w:val="008339DE"/>
    <w:rsid w:val="00833C9E"/>
    <w:rsid w:val="00836088"/>
    <w:rsid w:val="00840F2D"/>
    <w:rsid w:val="008533F1"/>
    <w:rsid w:val="0085633D"/>
    <w:rsid w:val="00863E4B"/>
    <w:rsid w:val="00864263"/>
    <w:rsid w:val="0087047B"/>
    <w:rsid w:val="0087220B"/>
    <w:rsid w:val="00875E21"/>
    <w:rsid w:val="00882B83"/>
    <w:rsid w:val="00886F8E"/>
    <w:rsid w:val="008874D0"/>
    <w:rsid w:val="00893C79"/>
    <w:rsid w:val="008B72EF"/>
    <w:rsid w:val="008C0E39"/>
    <w:rsid w:val="008C28F3"/>
    <w:rsid w:val="008C3CBE"/>
    <w:rsid w:val="008C6AE4"/>
    <w:rsid w:val="008C71AD"/>
    <w:rsid w:val="008D185C"/>
    <w:rsid w:val="008D1BEB"/>
    <w:rsid w:val="008D2580"/>
    <w:rsid w:val="008D306C"/>
    <w:rsid w:val="008D5B21"/>
    <w:rsid w:val="008D7EB3"/>
    <w:rsid w:val="008E0122"/>
    <w:rsid w:val="008E0D44"/>
    <w:rsid w:val="008E4DDA"/>
    <w:rsid w:val="00900B59"/>
    <w:rsid w:val="009013DE"/>
    <w:rsid w:val="00902CF8"/>
    <w:rsid w:val="009121ED"/>
    <w:rsid w:val="00912393"/>
    <w:rsid w:val="009202FB"/>
    <w:rsid w:val="00931F30"/>
    <w:rsid w:val="00932408"/>
    <w:rsid w:val="00943238"/>
    <w:rsid w:val="00944934"/>
    <w:rsid w:val="009450B7"/>
    <w:rsid w:val="009450F1"/>
    <w:rsid w:val="009455B9"/>
    <w:rsid w:val="00946287"/>
    <w:rsid w:val="0095517D"/>
    <w:rsid w:val="00955CA6"/>
    <w:rsid w:val="00956171"/>
    <w:rsid w:val="00961243"/>
    <w:rsid w:val="009669D8"/>
    <w:rsid w:val="009674D9"/>
    <w:rsid w:val="0097151F"/>
    <w:rsid w:val="009733EE"/>
    <w:rsid w:val="009828E5"/>
    <w:rsid w:val="009A7F05"/>
    <w:rsid w:val="009B00FD"/>
    <w:rsid w:val="009B1D8C"/>
    <w:rsid w:val="009B62E9"/>
    <w:rsid w:val="009C0860"/>
    <w:rsid w:val="009C4A4E"/>
    <w:rsid w:val="009D4DAF"/>
    <w:rsid w:val="009D5019"/>
    <w:rsid w:val="009D55DB"/>
    <w:rsid w:val="009D63CF"/>
    <w:rsid w:val="009E6593"/>
    <w:rsid w:val="009E7BD9"/>
    <w:rsid w:val="009F485E"/>
    <w:rsid w:val="009F6889"/>
    <w:rsid w:val="00A02EA6"/>
    <w:rsid w:val="00A041F3"/>
    <w:rsid w:val="00A04281"/>
    <w:rsid w:val="00A0577E"/>
    <w:rsid w:val="00A06B88"/>
    <w:rsid w:val="00A075AF"/>
    <w:rsid w:val="00A16356"/>
    <w:rsid w:val="00A21BEA"/>
    <w:rsid w:val="00A26486"/>
    <w:rsid w:val="00A33E66"/>
    <w:rsid w:val="00A44744"/>
    <w:rsid w:val="00A500D0"/>
    <w:rsid w:val="00A5478B"/>
    <w:rsid w:val="00A56013"/>
    <w:rsid w:val="00A5646D"/>
    <w:rsid w:val="00A6391F"/>
    <w:rsid w:val="00A63C50"/>
    <w:rsid w:val="00A65362"/>
    <w:rsid w:val="00A67506"/>
    <w:rsid w:val="00A7106F"/>
    <w:rsid w:val="00A71C56"/>
    <w:rsid w:val="00A72D7E"/>
    <w:rsid w:val="00A81548"/>
    <w:rsid w:val="00A92158"/>
    <w:rsid w:val="00A96354"/>
    <w:rsid w:val="00A968E9"/>
    <w:rsid w:val="00AA2298"/>
    <w:rsid w:val="00AA7EE8"/>
    <w:rsid w:val="00AB3A12"/>
    <w:rsid w:val="00AB6234"/>
    <w:rsid w:val="00AB758D"/>
    <w:rsid w:val="00AC134E"/>
    <w:rsid w:val="00AC170B"/>
    <w:rsid w:val="00AC2DFD"/>
    <w:rsid w:val="00AC300E"/>
    <w:rsid w:val="00AC79E6"/>
    <w:rsid w:val="00AC7DFB"/>
    <w:rsid w:val="00AD053A"/>
    <w:rsid w:val="00AD1B82"/>
    <w:rsid w:val="00AD29D2"/>
    <w:rsid w:val="00AE0115"/>
    <w:rsid w:val="00AE05FF"/>
    <w:rsid w:val="00AE0B15"/>
    <w:rsid w:val="00AE2233"/>
    <w:rsid w:val="00AE4D0A"/>
    <w:rsid w:val="00AF09E5"/>
    <w:rsid w:val="00AF125B"/>
    <w:rsid w:val="00B011F0"/>
    <w:rsid w:val="00B02F25"/>
    <w:rsid w:val="00B12592"/>
    <w:rsid w:val="00B13292"/>
    <w:rsid w:val="00B20D4B"/>
    <w:rsid w:val="00B210BF"/>
    <w:rsid w:val="00B24C10"/>
    <w:rsid w:val="00B477B2"/>
    <w:rsid w:val="00B51A32"/>
    <w:rsid w:val="00B54147"/>
    <w:rsid w:val="00B5736D"/>
    <w:rsid w:val="00B666DC"/>
    <w:rsid w:val="00B70D42"/>
    <w:rsid w:val="00B716BA"/>
    <w:rsid w:val="00B81EC9"/>
    <w:rsid w:val="00B855E8"/>
    <w:rsid w:val="00B91C73"/>
    <w:rsid w:val="00BA1423"/>
    <w:rsid w:val="00BA2DA1"/>
    <w:rsid w:val="00BA663F"/>
    <w:rsid w:val="00BB020F"/>
    <w:rsid w:val="00BB0E9D"/>
    <w:rsid w:val="00BB245C"/>
    <w:rsid w:val="00BB55D7"/>
    <w:rsid w:val="00BD4139"/>
    <w:rsid w:val="00BD41B8"/>
    <w:rsid w:val="00BE0053"/>
    <w:rsid w:val="00BE047E"/>
    <w:rsid w:val="00BE1CDB"/>
    <w:rsid w:val="00BE275C"/>
    <w:rsid w:val="00BF5C0E"/>
    <w:rsid w:val="00C00C10"/>
    <w:rsid w:val="00C02DF8"/>
    <w:rsid w:val="00C0750A"/>
    <w:rsid w:val="00C10600"/>
    <w:rsid w:val="00C12795"/>
    <w:rsid w:val="00C16732"/>
    <w:rsid w:val="00C17369"/>
    <w:rsid w:val="00C353FC"/>
    <w:rsid w:val="00C3561D"/>
    <w:rsid w:val="00C36AAA"/>
    <w:rsid w:val="00C41255"/>
    <w:rsid w:val="00C42422"/>
    <w:rsid w:val="00C42EC3"/>
    <w:rsid w:val="00C44D00"/>
    <w:rsid w:val="00C44E41"/>
    <w:rsid w:val="00C45A3A"/>
    <w:rsid w:val="00C51DC7"/>
    <w:rsid w:val="00C5268D"/>
    <w:rsid w:val="00C53DFD"/>
    <w:rsid w:val="00C55C15"/>
    <w:rsid w:val="00C565F5"/>
    <w:rsid w:val="00C56D0C"/>
    <w:rsid w:val="00C574C9"/>
    <w:rsid w:val="00C57AA3"/>
    <w:rsid w:val="00C65959"/>
    <w:rsid w:val="00C724A9"/>
    <w:rsid w:val="00C729E0"/>
    <w:rsid w:val="00C7483B"/>
    <w:rsid w:val="00C81B41"/>
    <w:rsid w:val="00C903CF"/>
    <w:rsid w:val="00C91DCC"/>
    <w:rsid w:val="00CA340B"/>
    <w:rsid w:val="00CA55A4"/>
    <w:rsid w:val="00CB2474"/>
    <w:rsid w:val="00CB5381"/>
    <w:rsid w:val="00CC4A6F"/>
    <w:rsid w:val="00CC7EEF"/>
    <w:rsid w:val="00CD0143"/>
    <w:rsid w:val="00CD33AC"/>
    <w:rsid w:val="00CD7FBB"/>
    <w:rsid w:val="00CE11CB"/>
    <w:rsid w:val="00CE572E"/>
    <w:rsid w:val="00D008D8"/>
    <w:rsid w:val="00D017DB"/>
    <w:rsid w:val="00D01F45"/>
    <w:rsid w:val="00D10D24"/>
    <w:rsid w:val="00D12168"/>
    <w:rsid w:val="00D12BB6"/>
    <w:rsid w:val="00D13D77"/>
    <w:rsid w:val="00D1408A"/>
    <w:rsid w:val="00D1415E"/>
    <w:rsid w:val="00D14D7D"/>
    <w:rsid w:val="00D268CC"/>
    <w:rsid w:val="00D3036D"/>
    <w:rsid w:val="00D31F4D"/>
    <w:rsid w:val="00D3351E"/>
    <w:rsid w:val="00D3533A"/>
    <w:rsid w:val="00D402A5"/>
    <w:rsid w:val="00D410FB"/>
    <w:rsid w:val="00D43571"/>
    <w:rsid w:val="00D5009A"/>
    <w:rsid w:val="00D54323"/>
    <w:rsid w:val="00D56138"/>
    <w:rsid w:val="00D62BEB"/>
    <w:rsid w:val="00D67F74"/>
    <w:rsid w:val="00D72C64"/>
    <w:rsid w:val="00D743F3"/>
    <w:rsid w:val="00D91DAC"/>
    <w:rsid w:val="00DA0668"/>
    <w:rsid w:val="00DA2B16"/>
    <w:rsid w:val="00DB09F6"/>
    <w:rsid w:val="00DD0A64"/>
    <w:rsid w:val="00DD1CFC"/>
    <w:rsid w:val="00DD2040"/>
    <w:rsid w:val="00DD45C5"/>
    <w:rsid w:val="00DE0A9D"/>
    <w:rsid w:val="00DE186F"/>
    <w:rsid w:val="00DE6783"/>
    <w:rsid w:val="00DE6A82"/>
    <w:rsid w:val="00DE7A32"/>
    <w:rsid w:val="00DF0DC4"/>
    <w:rsid w:val="00DF2079"/>
    <w:rsid w:val="00DF57A8"/>
    <w:rsid w:val="00DF7B5A"/>
    <w:rsid w:val="00E013B1"/>
    <w:rsid w:val="00E07876"/>
    <w:rsid w:val="00E10CE5"/>
    <w:rsid w:val="00E13F1A"/>
    <w:rsid w:val="00E17D8F"/>
    <w:rsid w:val="00E20A81"/>
    <w:rsid w:val="00E277CC"/>
    <w:rsid w:val="00E3034F"/>
    <w:rsid w:val="00E33DE6"/>
    <w:rsid w:val="00E449C7"/>
    <w:rsid w:val="00E44AA0"/>
    <w:rsid w:val="00E46AF8"/>
    <w:rsid w:val="00E47B96"/>
    <w:rsid w:val="00E508B0"/>
    <w:rsid w:val="00E5169F"/>
    <w:rsid w:val="00E51C53"/>
    <w:rsid w:val="00E63AEC"/>
    <w:rsid w:val="00E70774"/>
    <w:rsid w:val="00E71CF4"/>
    <w:rsid w:val="00E723F6"/>
    <w:rsid w:val="00E74D05"/>
    <w:rsid w:val="00E8143F"/>
    <w:rsid w:val="00E838E6"/>
    <w:rsid w:val="00E92A56"/>
    <w:rsid w:val="00E96D18"/>
    <w:rsid w:val="00E97340"/>
    <w:rsid w:val="00EA07F7"/>
    <w:rsid w:val="00EA0EDC"/>
    <w:rsid w:val="00EA2180"/>
    <w:rsid w:val="00EA5069"/>
    <w:rsid w:val="00EA5769"/>
    <w:rsid w:val="00EA7060"/>
    <w:rsid w:val="00EB34C7"/>
    <w:rsid w:val="00EC176C"/>
    <w:rsid w:val="00EC4DB3"/>
    <w:rsid w:val="00EC5D7F"/>
    <w:rsid w:val="00EC6890"/>
    <w:rsid w:val="00EF24EE"/>
    <w:rsid w:val="00EF3490"/>
    <w:rsid w:val="00EF69F3"/>
    <w:rsid w:val="00F027BE"/>
    <w:rsid w:val="00F04984"/>
    <w:rsid w:val="00F051F9"/>
    <w:rsid w:val="00F06D61"/>
    <w:rsid w:val="00F11947"/>
    <w:rsid w:val="00F14814"/>
    <w:rsid w:val="00F16DF0"/>
    <w:rsid w:val="00F25049"/>
    <w:rsid w:val="00F33173"/>
    <w:rsid w:val="00F36AB0"/>
    <w:rsid w:val="00F3782F"/>
    <w:rsid w:val="00F453C9"/>
    <w:rsid w:val="00F46334"/>
    <w:rsid w:val="00F46EA0"/>
    <w:rsid w:val="00F477D2"/>
    <w:rsid w:val="00F5220B"/>
    <w:rsid w:val="00F55335"/>
    <w:rsid w:val="00F55657"/>
    <w:rsid w:val="00F57333"/>
    <w:rsid w:val="00F57C4E"/>
    <w:rsid w:val="00F60DA1"/>
    <w:rsid w:val="00F626E0"/>
    <w:rsid w:val="00F63EBA"/>
    <w:rsid w:val="00F67094"/>
    <w:rsid w:val="00F7557F"/>
    <w:rsid w:val="00F77A52"/>
    <w:rsid w:val="00F77C26"/>
    <w:rsid w:val="00F87AEE"/>
    <w:rsid w:val="00F9013B"/>
    <w:rsid w:val="00F90FEE"/>
    <w:rsid w:val="00F94586"/>
    <w:rsid w:val="00FB15A2"/>
    <w:rsid w:val="00FB6041"/>
    <w:rsid w:val="00FC0257"/>
    <w:rsid w:val="00FC5E1E"/>
    <w:rsid w:val="00FD1252"/>
    <w:rsid w:val="00FD2031"/>
    <w:rsid w:val="00FD4E6E"/>
    <w:rsid w:val="00FD4EFA"/>
    <w:rsid w:val="00FE4291"/>
    <w:rsid w:val="00FE432B"/>
    <w:rsid w:val="00FE4B1A"/>
    <w:rsid w:val="00FF166C"/>
    <w:rsid w:val="00FF6486"/>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D6207"/>
  <w15:chartTrackingRefBased/>
  <w15:docId w15:val="{A775CF06-3B0C-42A0-9C27-6CB016E9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Shading-Accent31">
    <w:name w:val="Colorful Shading - Accent 31"/>
    <w:basedOn w:val="Normal"/>
    <w:link w:val="ColorfulShading-Accent3Char"/>
    <w:uiPriority w:val="34"/>
    <w:rsid w:val="00C5268D"/>
    <w:pPr>
      <w:ind w:left="720"/>
      <w:contextualSpacing/>
    </w:pPr>
  </w:style>
  <w:style w:type="character" w:customStyle="1" w:styleId="ColorfulShading-Accent3Char">
    <w:name w:val="Colorful Shading - Accent 3 Char"/>
    <w:link w:val="ColorfulShading-Accent3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DarkList-Accent31">
    <w:name w:val="Dark List - Accent 31"/>
    <w:hidden/>
    <w:uiPriority w:val="99"/>
    <w:semiHidden/>
    <w:rsid w:val="00DA2B16"/>
    <w:rPr>
      <w:sz w:val="22"/>
      <w:szCs w:val="22"/>
    </w:rPr>
  </w:style>
  <w:style w:type="character" w:customStyle="1" w:styleId="hvr">
    <w:name w:val="hvr"/>
    <w:basedOn w:val="DefaultParagraphFont"/>
    <w:rsid w:val="00144020"/>
  </w:style>
  <w:style w:type="character" w:styleId="Strong">
    <w:name w:val="Strong"/>
    <w:uiPriority w:val="22"/>
    <w:qFormat/>
    <w:rsid w:val="002B4EEC"/>
    <w:rPr>
      <w:b/>
      <w:bCs/>
    </w:rPr>
  </w:style>
  <w:style w:type="character" w:customStyle="1" w:styleId="ssens">
    <w:name w:val="ssens"/>
    <w:basedOn w:val="DefaultParagraphFont"/>
    <w:rsid w:val="002B4EEC"/>
  </w:style>
  <w:style w:type="character" w:customStyle="1" w:styleId="oneclick-link">
    <w:name w:val="oneclick-link"/>
    <w:basedOn w:val="DefaultParagraphFont"/>
    <w:rsid w:val="002B4EEC"/>
  </w:style>
  <w:style w:type="paragraph" w:customStyle="1" w:styleId="Default">
    <w:name w:val="Default"/>
    <w:rsid w:val="00D1415E"/>
    <w:pPr>
      <w:widowControl w:val="0"/>
      <w:autoSpaceDE w:val="0"/>
      <w:autoSpaceDN w:val="0"/>
      <w:adjustRightInd w:val="0"/>
    </w:pPr>
    <w:rPr>
      <w:rFonts w:ascii="Perpetua" w:hAnsi="Perpetua" w:cs="Perpetua"/>
      <w:color w:val="000000"/>
      <w:sz w:val="24"/>
      <w:szCs w:val="24"/>
    </w:rPr>
  </w:style>
  <w:style w:type="paragraph" w:customStyle="1" w:styleId="01-LevelA">
    <w:name w:val="01-Level A"/>
    <w:basedOn w:val="Normal"/>
    <w:qFormat/>
    <w:rsid w:val="00AC2DFD"/>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customStyle="1" w:styleId="LightList-Accent31">
    <w:name w:val="Light List - Accent 31"/>
    <w:hidden/>
    <w:uiPriority w:val="71"/>
    <w:rsid w:val="002276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67142">
      <w:bodyDiv w:val="1"/>
      <w:marLeft w:val="0"/>
      <w:marRight w:val="0"/>
      <w:marTop w:val="0"/>
      <w:marBottom w:val="0"/>
      <w:divBdr>
        <w:top w:val="none" w:sz="0" w:space="0" w:color="auto"/>
        <w:left w:val="none" w:sz="0" w:space="0" w:color="auto"/>
        <w:bottom w:val="none" w:sz="0" w:space="0" w:color="auto"/>
        <w:right w:val="none" w:sz="0" w:space="0" w:color="auto"/>
      </w:divBdr>
    </w:div>
    <w:div w:id="891889981">
      <w:bodyDiv w:val="1"/>
      <w:marLeft w:val="0"/>
      <w:marRight w:val="0"/>
      <w:marTop w:val="0"/>
      <w:marBottom w:val="0"/>
      <w:divBdr>
        <w:top w:val="none" w:sz="0" w:space="0" w:color="auto"/>
        <w:left w:val="none" w:sz="0" w:space="0" w:color="auto"/>
        <w:bottom w:val="none" w:sz="0" w:space="0" w:color="auto"/>
        <w:right w:val="none" w:sz="0" w:space="0" w:color="auto"/>
      </w:divBdr>
      <w:divsChild>
        <w:div w:id="2128965087">
          <w:marLeft w:val="0"/>
          <w:marRight w:val="0"/>
          <w:marTop w:val="0"/>
          <w:marBottom w:val="0"/>
          <w:divBdr>
            <w:top w:val="none" w:sz="0" w:space="0" w:color="auto"/>
            <w:left w:val="none" w:sz="0" w:space="0" w:color="auto"/>
            <w:bottom w:val="none" w:sz="0" w:space="0" w:color="auto"/>
            <w:right w:val="none" w:sz="0" w:space="0" w:color="auto"/>
          </w:divBdr>
          <w:divsChild>
            <w:div w:id="456069241">
              <w:marLeft w:val="0"/>
              <w:marRight w:val="0"/>
              <w:marTop w:val="150"/>
              <w:marBottom w:val="0"/>
              <w:divBdr>
                <w:top w:val="none" w:sz="0" w:space="0" w:color="auto"/>
                <w:left w:val="none" w:sz="0" w:space="0" w:color="auto"/>
                <w:bottom w:val="none" w:sz="0" w:space="0" w:color="auto"/>
                <w:right w:val="none" w:sz="0" w:space="0" w:color="auto"/>
              </w:divBdr>
              <w:divsChild>
                <w:div w:id="688877933">
                  <w:marLeft w:val="2625"/>
                  <w:marRight w:val="0"/>
                  <w:marTop w:val="0"/>
                  <w:marBottom w:val="0"/>
                  <w:divBdr>
                    <w:top w:val="none" w:sz="0" w:space="0" w:color="auto"/>
                    <w:left w:val="none" w:sz="0" w:space="0" w:color="auto"/>
                    <w:bottom w:val="none" w:sz="0" w:space="0" w:color="auto"/>
                    <w:right w:val="none" w:sz="0" w:space="0" w:color="auto"/>
                  </w:divBdr>
                  <w:divsChild>
                    <w:div w:id="421219801">
                      <w:marLeft w:val="0"/>
                      <w:marRight w:val="0"/>
                      <w:marTop w:val="0"/>
                      <w:marBottom w:val="0"/>
                      <w:divBdr>
                        <w:top w:val="none" w:sz="0" w:space="0" w:color="auto"/>
                        <w:left w:val="none" w:sz="0" w:space="0" w:color="auto"/>
                        <w:bottom w:val="none" w:sz="0" w:space="0" w:color="auto"/>
                        <w:right w:val="none" w:sz="0" w:space="0" w:color="auto"/>
                      </w:divBdr>
                      <w:divsChild>
                        <w:div w:id="1865704476">
                          <w:marLeft w:val="0"/>
                          <w:marRight w:val="0"/>
                          <w:marTop w:val="0"/>
                          <w:marBottom w:val="0"/>
                          <w:divBdr>
                            <w:top w:val="none" w:sz="0" w:space="0" w:color="auto"/>
                            <w:left w:val="none" w:sz="0" w:space="0" w:color="auto"/>
                            <w:bottom w:val="none" w:sz="0" w:space="0" w:color="auto"/>
                            <w:right w:val="none" w:sz="0" w:space="0" w:color="auto"/>
                          </w:divBdr>
                          <w:divsChild>
                            <w:div w:id="1414660723">
                              <w:marLeft w:val="0"/>
                              <w:marRight w:val="0"/>
                              <w:marTop w:val="0"/>
                              <w:marBottom w:val="0"/>
                              <w:divBdr>
                                <w:top w:val="none" w:sz="0" w:space="0" w:color="auto"/>
                                <w:left w:val="none" w:sz="0" w:space="0" w:color="auto"/>
                                <w:bottom w:val="none" w:sz="0" w:space="0" w:color="auto"/>
                                <w:right w:val="none" w:sz="0" w:space="0" w:color="auto"/>
                              </w:divBdr>
                              <w:divsChild>
                                <w:div w:id="522671459">
                                  <w:marLeft w:val="0"/>
                                  <w:marRight w:val="0"/>
                                  <w:marTop w:val="0"/>
                                  <w:marBottom w:val="0"/>
                                  <w:divBdr>
                                    <w:top w:val="none" w:sz="0" w:space="0" w:color="auto"/>
                                    <w:left w:val="none" w:sz="0" w:space="0" w:color="auto"/>
                                    <w:bottom w:val="none" w:sz="0" w:space="0" w:color="auto"/>
                                    <w:right w:val="none" w:sz="0" w:space="0" w:color="auto"/>
                                  </w:divBdr>
                                  <w:divsChild>
                                    <w:div w:id="1650591605">
                                      <w:marLeft w:val="0"/>
                                      <w:marRight w:val="0"/>
                                      <w:marTop w:val="0"/>
                                      <w:marBottom w:val="0"/>
                                      <w:divBdr>
                                        <w:top w:val="none" w:sz="0" w:space="0" w:color="auto"/>
                                        <w:left w:val="none" w:sz="0" w:space="0" w:color="auto"/>
                                        <w:bottom w:val="none" w:sz="0" w:space="0" w:color="auto"/>
                                        <w:right w:val="none" w:sz="0" w:space="0" w:color="auto"/>
                                      </w:divBdr>
                                      <w:divsChild>
                                        <w:div w:id="1514495312">
                                          <w:marLeft w:val="0"/>
                                          <w:marRight w:val="0"/>
                                          <w:marTop w:val="0"/>
                                          <w:marBottom w:val="0"/>
                                          <w:divBdr>
                                            <w:top w:val="none" w:sz="0" w:space="0" w:color="auto"/>
                                            <w:left w:val="none" w:sz="0" w:space="0" w:color="auto"/>
                                            <w:bottom w:val="none" w:sz="0" w:space="0" w:color="auto"/>
                                            <w:right w:val="none" w:sz="0" w:space="0" w:color="auto"/>
                                          </w:divBdr>
                                          <w:divsChild>
                                            <w:div w:id="760760284">
                                              <w:marLeft w:val="0"/>
                                              <w:marRight w:val="0"/>
                                              <w:marTop w:val="0"/>
                                              <w:marBottom w:val="0"/>
                                              <w:divBdr>
                                                <w:top w:val="none" w:sz="0" w:space="0" w:color="auto"/>
                                                <w:left w:val="none" w:sz="0" w:space="0" w:color="auto"/>
                                                <w:bottom w:val="none" w:sz="0" w:space="0" w:color="auto"/>
                                                <w:right w:val="none" w:sz="0" w:space="0" w:color="auto"/>
                                              </w:divBdr>
                                              <w:divsChild>
                                                <w:div w:id="1444996">
                                                  <w:marLeft w:val="0"/>
                                                  <w:marRight w:val="0"/>
                                                  <w:marTop w:val="0"/>
                                                  <w:marBottom w:val="0"/>
                                                  <w:divBdr>
                                                    <w:top w:val="none" w:sz="0" w:space="0" w:color="auto"/>
                                                    <w:left w:val="none" w:sz="0" w:space="0" w:color="auto"/>
                                                    <w:bottom w:val="none" w:sz="0" w:space="0" w:color="auto"/>
                                                    <w:right w:val="none" w:sz="0" w:space="0" w:color="auto"/>
                                                  </w:divBdr>
                                                  <w:divsChild>
                                                    <w:div w:id="572350017">
                                                      <w:marLeft w:val="0"/>
                                                      <w:marRight w:val="0"/>
                                                      <w:marTop w:val="0"/>
                                                      <w:marBottom w:val="0"/>
                                                      <w:divBdr>
                                                        <w:top w:val="none" w:sz="0" w:space="0" w:color="auto"/>
                                                        <w:left w:val="none" w:sz="0" w:space="0" w:color="auto"/>
                                                        <w:bottom w:val="none" w:sz="0" w:space="0" w:color="auto"/>
                                                        <w:right w:val="none" w:sz="0" w:space="0" w:color="auto"/>
                                                      </w:divBdr>
                                                      <w:divsChild>
                                                        <w:div w:id="1759208205">
                                                          <w:marLeft w:val="0"/>
                                                          <w:marRight w:val="0"/>
                                                          <w:marTop w:val="0"/>
                                                          <w:marBottom w:val="0"/>
                                                          <w:divBdr>
                                                            <w:top w:val="none" w:sz="0" w:space="0" w:color="auto"/>
                                                            <w:left w:val="none" w:sz="0" w:space="0" w:color="auto"/>
                                                            <w:bottom w:val="none" w:sz="0" w:space="0" w:color="auto"/>
                                                            <w:right w:val="none" w:sz="0" w:space="0" w:color="auto"/>
                                                          </w:divBdr>
                                                          <w:divsChild>
                                                            <w:div w:id="1610577300">
                                                              <w:marLeft w:val="0"/>
                                                              <w:marRight w:val="0"/>
                                                              <w:marTop w:val="0"/>
                                                              <w:marBottom w:val="0"/>
                                                              <w:divBdr>
                                                                <w:top w:val="none" w:sz="0" w:space="0" w:color="auto"/>
                                                                <w:left w:val="none" w:sz="0" w:space="0" w:color="auto"/>
                                                                <w:bottom w:val="none" w:sz="0" w:space="0" w:color="auto"/>
                                                                <w:right w:val="none" w:sz="0" w:space="0" w:color="auto"/>
                                                              </w:divBdr>
                                                              <w:divsChild>
                                                                <w:div w:id="1429230450">
                                                                  <w:marLeft w:val="0"/>
                                                                  <w:marRight w:val="0"/>
                                                                  <w:marTop w:val="0"/>
                                                                  <w:marBottom w:val="0"/>
                                                                  <w:divBdr>
                                                                    <w:top w:val="none" w:sz="0" w:space="0" w:color="auto"/>
                                                                    <w:left w:val="none" w:sz="0" w:space="0" w:color="auto"/>
                                                                    <w:bottom w:val="none" w:sz="0" w:space="0" w:color="auto"/>
                                                                    <w:right w:val="none" w:sz="0" w:space="0" w:color="auto"/>
                                                                  </w:divBdr>
                                                                  <w:divsChild>
                                                                    <w:div w:id="1920357978">
                                                                      <w:marLeft w:val="0"/>
                                                                      <w:marRight w:val="0"/>
                                                                      <w:marTop w:val="0"/>
                                                                      <w:marBottom w:val="0"/>
                                                                      <w:divBdr>
                                                                        <w:top w:val="none" w:sz="0" w:space="0" w:color="auto"/>
                                                                        <w:left w:val="none" w:sz="0" w:space="0" w:color="auto"/>
                                                                        <w:bottom w:val="none" w:sz="0" w:space="0" w:color="auto"/>
                                                                        <w:right w:val="none" w:sz="0" w:space="0" w:color="auto"/>
                                                                      </w:divBdr>
                                                                      <w:divsChild>
                                                                        <w:div w:id="19737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06102">
      <w:bodyDiv w:val="1"/>
      <w:marLeft w:val="0"/>
      <w:marRight w:val="0"/>
      <w:marTop w:val="0"/>
      <w:marBottom w:val="0"/>
      <w:divBdr>
        <w:top w:val="none" w:sz="0" w:space="0" w:color="auto"/>
        <w:left w:val="none" w:sz="0" w:space="0" w:color="auto"/>
        <w:bottom w:val="none" w:sz="0" w:space="0" w:color="auto"/>
        <w:right w:val="none" w:sz="0" w:space="0" w:color="auto"/>
      </w:divBdr>
    </w:div>
    <w:div w:id="1025788108">
      <w:bodyDiv w:val="1"/>
      <w:marLeft w:val="0"/>
      <w:marRight w:val="0"/>
      <w:marTop w:val="0"/>
      <w:marBottom w:val="0"/>
      <w:divBdr>
        <w:top w:val="none" w:sz="0" w:space="0" w:color="auto"/>
        <w:left w:val="none" w:sz="0" w:space="0" w:color="auto"/>
        <w:bottom w:val="none" w:sz="0" w:space="0" w:color="auto"/>
        <w:right w:val="none" w:sz="0" w:space="0" w:color="auto"/>
      </w:divBdr>
    </w:div>
    <w:div w:id="1473212872">
      <w:bodyDiv w:val="1"/>
      <w:marLeft w:val="0"/>
      <w:marRight w:val="0"/>
      <w:marTop w:val="0"/>
      <w:marBottom w:val="0"/>
      <w:divBdr>
        <w:top w:val="none" w:sz="0" w:space="0" w:color="auto"/>
        <w:left w:val="none" w:sz="0" w:space="0" w:color="auto"/>
        <w:bottom w:val="none" w:sz="0" w:space="0" w:color="auto"/>
        <w:right w:val="none" w:sz="0" w:space="0" w:color="auto"/>
      </w:divBdr>
    </w:div>
    <w:div w:id="1910574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608E-5B4F-42A5-AC65-8DE1A847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Links>
    <vt:vector size="18" baseType="variant">
      <vt:variant>
        <vt:i4>4587636</vt:i4>
      </vt:variant>
      <vt:variant>
        <vt:i4>16</vt:i4>
      </vt:variant>
      <vt:variant>
        <vt:i4>0</vt:i4>
      </vt:variant>
      <vt:variant>
        <vt:i4>5</vt:i4>
      </vt:variant>
      <vt:variant>
        <vt:lpwstr>http://creativecommons.org/licenses/by-nc-sa/3.0/</vt:lpwstr>
      </vt:variant>
      <vt:variant>
        <vt:lpwstr/>
      </vt:variant>
      <vt:variant>
        <vt:i4>4587636</vt:i4>
      </vt:variant>
      <vt:variant>
        <vt:i4>10</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2014-09-29T15:03:00Z</cp:lastPrinted>
  <dcterms:created xsi:type="dcterms:W3CDTF">2015-02-10T23:05:00Z</dcterms:created>
  <dcterms:modified xsi:type="dcterms:W3CDTF">2015-02-10T23:05:00Z</dcterms:modified>
</cp:coreProperties>
</file>