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FE" w:rsidRPr="00B262FE" w:rsidRDefault="00B262FE" w:rsidP="00B262FE">
      <w:pPr>
        <w:pStyle w:val="ToolHeader"/>
        <w:rPr>
          <w:rFonts w:asciiTheme="majorHAnsi" w:hAnsiTheme="majorHAnsi"/>
        </w:rPr>
      </w:pPr>
      <w:r w:rsidRPr="00B262FE">
        <w:rPr>
          <w:rFonts w:asciiTheme="majorHAnsi" w:hAnsiTheme="majorHAnsi"/>
        </w:rPr>
        <w:t>11.4 Module Performance Assessment</w:t>
      </w:r>
    </w:p>
    <w:p w:rsidR="00B262FE" w:rsidRPr="00D013D0" w:rsidRDefault="00B262FE" w:rsidP="00B262FE">
      <w:pPr>
        <w:rPr>
          <w:sz w:val="12"/>
          <w:szCs w:val="12"/>
        </w:rPr>
      </w:pPr>
    </w:p>
    <w:p w:rsidR="00B262FE" w:rsidRPr="00E8122E" w:rsidRDefault="00B262FE" w:rsidP="00B262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3"/>
          <w:szCs w:val="23"/>
        </w:rPr>
        <w:t>Research-Based Narrative</w:t>
      </w:r>
    </w:p>
    <w:p w:rsidR="00B262FE" w:rsidRPr="00D013D0" w:rsidRDefault="00B262FE" w:rsidP="00B262FE">
      <w:pPr>
        <w:spacing w:before="0"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B262FE" w:rsidRDefault="00B262FE" w:rsidP="00B262FE">
      <w:r w:rsidRPr="00130411">
        <w:rPr>
          <w:rFonts w:eastAsia="Times New Roman"/>
          <w:b/>
          <w:bCs/>
          <w:color w:val="000000"/>
        </w:rPr>
        <w:t>Your Task: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t xml:space="preserve"> </w:t>
      </w:r>
      <w:r>
        <w:rPr>
          <w:rFonts w:cs="Calibri"/>
        </w:rPr>
        <w:t xml:space="preserve">Over the course of this module, you have read and analyzed </w:t>
      </w:r>
      <w:r>
        <w:t xml:space="preserve">“On the Rainy River” by Tim O’Brien, “The Red Convertible” by Louise </w:t>
      </w:r>
      <w:proofErr w:type="spellStart"/>
      <w:r>
        <w:t>Erdrich</w:t>
      </w:r>
      <w:proofErr w:type="spellEnd"/>
      <w:r>
        <w:t xml:space="preserve">, and </w:t>
      </w:r>
      <w:r>
        <w:rPr>
          <w:i/>
        </w:rPr>
        <w:t xml:space="preserve">The Awakening </w:t>
      </w:r>
      <w:r>
        <w:t>by Kate Chopin. You have also studied effective narrative writing techniques, including crafting engaging introductions, applying narrative techniques to develop characters and events, developing a sequence of events that demonstrate a coherent narrative whole, revising for precise/sensory language, and crafting conclusions that effectively follow from the narrative provided. For this assessment, craft a 1–3 page narrative writing piece in response to the following prompt:</w:t>
      </w:r>
    </w:p>
    <w:p w:rsidR="00B262FE" w:rsidRPr="007A2C17" w:rsidRDefault="00B262FE" w:rsidP="00B262FE">
      <w:pPr>
        <w:ind w:left="720"/>
        <w:rPr>
          <w:i/>
        </w:rPr>
      </w:pPr>
      <w:r w:rsidRPr="007A2C17">
        <w:rPr>
          <w:i/>
        </w:rPr>
        <w:t xml:space="preserve">Write an original narrative piece that assumes a specific point of view based on the setting of “On the Rainy River,” “The Red Convertible,” or The Awakening. Choose two narrative writing </w:t>
      </w:r>
      <w:proofErr w:type="spellStart"/>
      <w:r w:rsidRPr="007A2C17">
        <w:rPr>
          <w:i/>
        </w:rPr>
        <w:t>substandards</w:t>
      </w:r>
      <w:proofErr w:type="spellEnd"/>
      <w:r w:rsidRPr="007A2C17">
        <w:rPr>
          <w:i/>
        </w:rPr>
        <w:t xml:space="preserve"> (W.11-12.3.a-e) and develop the criteria of both </w:t>
      </w:r>
      <w:proofErr w:type="spellStart"/>
      <w:r w:rsidRPr="007A2C17">
        <w:rPr>
          <w:i/>
        </w:rPr>
        <w:t>substandards</w:t>
      </w:r>
      <w:proofErr w:type="spellEnd"/>
      <w:r w:rsidRPr="007A2C17">
        <w:rPr>
          <w:i/>
        </w:rPr>
        <w:t xml:space="preserve"> in your narrative writing piece.</w:t>
      </w:r>
    </w:p>
    <w:p w:rsidR="00B262FE" w:rsidRPr="002275D5" w:rsidRDefault="00B262FE" w:rsidP="00B262FE">
      <w:pPr>
        <w:spacing w:after="0" w:line="240" w:lineRule="auto"/>
        <w:rPr>
          <w:rFonts w:ascii="Times New Roman" w:eastAsia="Times New Roman" w:hAnsi="Times New Roman"/>
        </w:rPr>
      </w:pPr>
      <w:r w:rsidRPr="002275D5">
        <w:rPr>
          <w:rFonts w:eastAsia="Times New Roman"/>
          <w:color w:val="000000"/>
        </w:rPr>
        <w:t>Your research-based narrative writing will be assessed using the relevant portions of the 11.4 Narrative Writing Rubric and Checklist.</w:t>
      </w:r>
    </w:p>
    <w:p w:rsidR="00B262FE" w:rsidRPr="0006229C" w:rsidRDefault="00B262FE" w:rsidP="00B262FE">
      <w:pPr>
        <w:spacing w:after="0" w:line="240" w:lineRule="auto"/>
        <w:rPr>
          <w:rFonts w:eastAsia="Times New Roman"/>
          <w:b/>
          <w:bCs/>
          <w:color w:val="000000"/>
          <w:sz w:val="12"/>
          <w:szCs w:val="12"/>
        </w:rPr>
      </w:pPr>
    </w:p>
    <w:p w:rsidR="00B262FE" w:rsidRPr="002275D5" w:rsidRDefault="00B262FE" w:rsidP="00B262FE">
      <w:pPr>
        <w:spacing w:after="0" w:line="240" w:lineRule="auto"/>
        <w:rPr>
          <w:rFonts w:ascii="Times New Roman" w:eastAsia="Times New Roman" w:hAnsi="Times New Roman"/>
        </w:rPr>
      </w:pPr>
      <w:r w:rsidRPr="002275D5">
        <w:rPr>
          <w:rFonts w:eastAsia="Times New Roman"/>
          <w:b/>
          <w:bCs/>
          <w:color w:val="000000"/>
        </w:rPr>
        <w:t>Guidelines</w:t>
      </w:r>
    </w:p>
    <w:p w:rsidR="00B262FE" w:rsidRPr="002275D5" w:rsidRDefault="00B262FE" w:rsidP="00B262FE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2275D5">
        <w:rPr>
          <w:rFonts w:eastAsia="Times New Roman"/>
          <w:b/>
          <w:bCs/>
          <w:color w:val="000000"/>
        </w:rPr>
        <w:t>Be sure to:</w:t>
      </w:r>
    </w:p>
    <w:p w:rsidR="00B262FE" w:rsidRPr="002275D5" w:rsidRDefault="00B262FE" w:rsidP="00B262F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Closely read the prompt.</w:t>
      </w:r>
    </w:p>
    <w:p w:rsidR="00B262FE" w:rsidRPr="002275D5" w:rsidRDefault="00B262FE" w:rsidP="00B262FE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Organize your ideas and evidence.</w:t>
      </w:r>
    </w:p>
    <w:p w:rsidR="00B262FE" w:rsidRPr="002275D5" w:rsidRDefault="00B262FE" w:rsidP="00B262FE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Research your chosen setting to inform your original narrative piece.</w:t>
      </w:r>
    </w:p>
    <w:p w:rsidR="00B262FE" w:rsidRPr="002275D5" w:rsidRDefault="00B262FE" w:rsidP="00B262FE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Craft a narrative piece that responds directly to all parts of the prompt.</w:t>
      </w:r>
    </w:p>
    <w:p w:rsidR="00B262FE" w:rsidRPr="002275D5" w:rsidRDefault="00B262FE" w:rsidP="00B262FE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 xml:space="preserve">Use effective narrative technique based on the two </w:t>
      </w:r>
      <w:proofErr w:type="spellStart"/>
      <w:r w:rsidRPr="002275D5">
        <w:rPr>
          <w:rFonts w:eastAsia="Times New Roman" w:cs="Arial"/>
          <w:color w:val="000000"/>
        </w:rPr>
        <w:t>substandards</w:t>
      </w:r>
      <w:proofErr w:type="spellEnd"/>
      <w:r w:rsidRPr="002275D5">
        <w:rPr>
          <w:rFonts w:eastAsia="Times New Roman" w:cs="Arial"/>
          <w:color w:val="000000"/>
        </w:rPr>
        <w:t xml:space="preserve"> selected.</w:t>
      </w:r>
    </w:p>
    <w:p w:rsidR="00B262FE" w:rsidRPr="002275D5" w:rsidRDefault="00B262FE" w:rsidP="00B262FE">
      <w:pPr>
        <w:numPr>
          <w:ilvl w:val="0"/>
          <w:numId w:val="1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Follow the conventions of standard written English.</w:t>
      </w:r>
    </w:p>
    <w:p w:rsidR="00B262FE" w:rsidRPr="0006229C" w:rsidRDefault="00B262FE" w:rsidP="00B262FE">
      <w:pPr>
        <w:spacing w:after="0" w:line="240" w:lineRule="auto"/>
        <w:ind w:left="1080"/>
        <w:contextualSpacing/>
        <w:rPr>
          <w:rFonts w:eastAsiaTheme="minorEastAsia"/>
          <w:b/>
          <w:sz w:val="12"/>
          <w:szCs w:val="1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262FE" w:rsidRPr="0006229C" w:rsidTr="001B7EAA">
        <w:tc>
          <w:tcPr>
            <w:tcW w:w="9720" w:type="dxa"/>
            <w:shd w:val="clear" w:color="auto" w:fill="D9D9D9" w:themeFill="background1" w:themeFillShade="D9"/>
          </w:tcPr>
          <w:p w:rsidR="00B262FE" w:rsidRPr="00382A29" w:rsidRDefault="00B262FE" w:rsidP="001B7EAA">
            <w:pPr>
              <w:rPr>
                <w:sz w:val="20"/>
                <w:szCs w:val="20"/>
              </w:rPr>
            </w:pPr>
            <w:bookmarkStart w:id="0" w:name="_GoBack"/>
            <w:r w:rsidRPr="00382A29">
              <w:rPr>
                <w:b/>
                <w:sz w:val="20"/>
                <w:szCs w:val="20"/>
              </w:rPr>
              <w:t xml:space="preserve">CCSS: </w:t>
            </w:r>
            <w:r w:rsidRPr="00382A29">
              <w:rPr>
                <w:color w:val="000000"/>
                <w:sz w:val="20"/>
                <w:szCs w:val="20"/>
              </w:rPr>
              <w:t>W.11-12.3.a-e, W.11-12.4, W.11-12.5, L.11-12.1, L.11-12.2</w:t>
            </w:r>
          </w:p>
          <w:p w:rsidR="00B262FE" w:rsidRPr="00382A29" w:rsidRDefault="00B262FE" w:rsidP="001B7EAA">
            <w:pPr>
              <w:rPr>
                <w:b/>
                <w:sz w:val="20"/>
                <w:szCs w:val="20"/>
              </w:rPr>
            </w:pPr>
            <w:r w:rsidRPr="00382A29">
              <w:rPr>
                <w:b/>
                <w:sz w:val="20"/>
                <w:szCs w:val="20"/>
              </w:rPr>
              <w:t>Commentary on the Task:</w:t>
            </w:r>
          </w:p>
          <w:p w:rsidR="00B262FE" w:rsidRPr="00382A29" w:rsidRDefault="00B262FE" w:rsidP="001B7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2A29">
              <w:rPr>
                <w:rFonts w:eastAsia="Times New Roman"/>
                <w:color w:val="000000"/>
                <w:sz w:val="20"/>
                <w:szCs w:val="20"/>
              </w:rPr>
              <w:t xml:space="preserve">This task measures W.11-12.3.a-e because it demands that students: </w:t>
            </w:r>
          </w:p>
          <w:p w:rsidR="00B262FE" w:rsidRPr="00382A29" w:rsidRDefault="00B262FE" w:rsidP="00B262F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2A29">
              <w:rPr>
                <w:rFonts w:eastAsia="Times New Roman" w:cs="Arial"/>
                <w:color w:val="000000"/>
                <w:sz w:val="20"/>
                <w:szCs w:val="20"/>
              </w:rPr>
              <w:t xml:space="preserve">Write narratives to develop real or imagined experiences or events using effective technique, well-chosen details, and well-structured event sequences. </w:t>
            </w:r>
          </w:p>
          <w:p w:rsidR="00B262FE" w:rsidRPr="00382A29" w:rsidRDefault="00B262FE" w:rsidP="00B262F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2A29">
              <w:rPr>
                <w:rFonts w:eastAsia="Times New Roman" w:cs="Arial"/>
                <w:color w:val="000000"/>
                <w:sz w:val="20"/>
                <w:szCs w:val="20"/>
              </w:rPr>
              <w:t xml:space="preserve">Write in a manner that engages and orients readers by setting out a problem, situation, or observation and its significance. Point of view must be established, and a narrator and/or characters must be introduced as well. Writing should create a smooth progression of experiences or events. </w:t>
            </w:r>
          </w:p>
          <w:p w:rsidR="00B262FE" w:rsidRPr="00382A29" w:rsidRDefault="00B262FE" w:rsidP="00B262F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2A29">
              <w:rPr>
                <w:rFonts w:eastAsia="Times New Roman" w:cs="Arial"/>
                <w:color w:val="000000"/>
                <w:sz w:val="20"/>
                <w:szCs w:val="20"/>
              </w:rPr>
              <w:t xml:space="preserve">Employ narrative techniques, such as dialogue, pacing, description, reflection, and multiple plot lines to </w:t>
            </w:r>
            <w:r w:rsidRPr="00382A29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 xml:space="preserve">develop experiences, events, and/or characters. </w:t>
            </w:r>
          </w:p>
          <w:p w:rsidR="00B262FE" w:rsidRPr="00382A29" w:rsidRDefault="00B262FE" w:rsidP="00B262F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2A29">
              <w:rPr>
                <w:rFonts w:eastAsia="Times New Roman" w:cs="Arial"/>
                <w:color w:val="000000"/>
                <w:sz w:val="20"/>
                <w:szCs w:val="20"/>
              </w:rPr>
              <w:t xml:space="preserve">Write in a manner that uses a variety of techniques to sequence events so that they build on one another to create a coherent whole and build toward a particular tone and outcome. </w:t>
            </w:r>
          </w:p>
          <w:p w:rsidR="00B262FE" w:rsidRPr="00382A29" w:rsidRDefault="00B262FE" w:rsidP="00B262F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2A29">
              <w:rPr>
                <w:rFonts w:eastAsia="Times New Roman" w:cs="Arial"/>
                <w:color w:val="000000"/>
                <w:sz w:val="20"/>
                <w:szCs w:val="20"/>
              </w:rPr>
              <w:t xml:space="preserve">Write in a manner that uses precise words and phrases, telling details, and sensory language to convey a vivid picture of the experiences, events, setting, and/or characters. </w:t>
            </w:r>
          </w:p>
          <w:p w:rsidR="00B262FE" w:rsidRPr="00382A29" w:rsidRDefault="00B262FE" w:rsidP="00B262F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2A29">
              <w:rPr>
                <w:rFonts w:eastAsia="Times New Roman" w:cs="Arial"/>
                <w:color w:val="000000"/>
                <w:sz w:val="20"/>
                <w:szCs w:val="20"/>
              </w:rPr>
              <w:t>Provide a conclusion that follows from and reflects on what is experienced, observed, or resolved over the course of the narrative.</w:t>
            </w:r>
          </w:p>
          <w:p w:rsidR="00B262FE" w:rsidRPr="00382A29" w:rsidRDefault="00B262FE" w:rsidP="001B7EAA">
            <w:pPr>
              <w:spacing w:after="60" w:line="240" w:lineRule="auto"/>
              <w:rPr>
                <w:rFonts w:ascii="Times New Roman" w:eastAsia="Times New Roman" w:hAnsi="Times New Roman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382A29">
              <w:rPr>
                <w:rFonts w:eastAsia="Times New Roman"/>
                <w:color w:val="000000"/>
                <w:sz w:val="20"/>
                <w:szCs w:val="20"/>
              </w:rPr>
              <w:t>This task measures W.11-12.4 because it demands that students:</w:t>
            </w:r>
          </w:p>
          <w:p w:rsidR="00B262FE" w:rsidRPr="00382A29" w:rsidRDefault="00B262FE" w:rsidP="00B262FE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after="100" w:afterAutospacing="1" w:line="240" w:lineRule="auto"/>
              <w:ind w:left="360"/>
              <w:textAlignment w:val="baseline"/>
              <w:rPr>
                <w:rFonts w:asciiTheme="majorHAnsi" w:eastAsia="Times New Roman" w:hAnsiTheme="majorHAnsi" w:cstheme="majorBidi"/>
                <w:i/>
                <w:iCs/>
                <w:color w:val="000000"/>
                <w:sz w:val="20"/>
                <w:szCs w:val="20"/>
              </w:rPr>
            </w:pPr>
            <w:r w:rsidRPr="00382A29">
              <w:rPr>
                <w:rFonts w:eastAsia="Times New Roman"/>
                <w:color w:val="000000"/>
                <w:sz w:val="20"/>
                <w:szCs w:val="20"/>
              </w:rPr>
              <w:t xml:space="preserve">Produce clear and coherent writing which shows development, organization, and style are appropriate to their task, purpose, and audience. </w:t>
            </w:r>
          </w:p>
          <w:p w:rsidR="00B262FE" w:rsidRPr="00382A29" w:rsidRDefault="00B262FE" w:rsidP="001B7EAA">
            <w:pPr>
              <w:spacing w:after="60"/>
              <w:rPr>
                <w:sz w:val="20"/>
                <w:szCs w:val="20"/>
              </w:rPr>
            </w:pPr>
            <w:r w:rsidRPr="00382A29">
              <w:rPr>
                <w:sz w:val="20"/>
                <w:szCs w:val="20"/>
              </w:rPr>
              <w:t>This task measures W.11-12.5 because it demands that students:</w:t>
            </w:r>
          </w:p>
          <w:p w:rsidR="00B262FE" w:rsidRPr="00382A29" w:rsidRDefault="00B262FE" w:rsidP="00B262FE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after="100" w:afterAutospacing="1" w:line="240" w:lineRule="auto"/>
              <w:ind w:left="360"/>
              <w:textAlignment w:val="baseline"/>
              <w:rPr>
                <w:rFonts w:asciiTheme="majorHAnsi" w:eastAsia="Times New Roman" w:hAnsiTheme="majorHAnsi" w:cstheme="majorBidi"/>
                <w:i/>
                <w:iCs/>
                <w:color w:val="000000"/>
                <w:sz w:val="20"/>
                <w:szCs w:val="20"/>
              </w:rPr>
            </w:pPr>
            <w:r w:rsidRPr="00382A29">
              <w:rPr>
                <w:rFonts w:eastAsia="Times New Roman"/>
                <w:color w:val="000000"/>
                <w:sz w:val="20"/>
                <w:szCs w:val="20"/>
              </w:rPr>
              <w:t>Develop and strengthen writing by planning, revising, editing, rewriting, or trying a new approach, focusing on what is most significant for a specific purpose and audience.</w:t>
            </w:r>
          </w:p>
          <w:p w:rsidR="00B262FE" w:rsidRPr="00382A29" w:rsidRDefault="00B262FE" w:rsidP="001B7EAA">
            <w:pPr>
              <w:spacing w:after="60" w:line="240" w:lineRule="auto"/>
              <w:rPr>
                <w:rFonts w:ascii="Times New Roman" w:eastAsia="Times New Roman" w:hAnsi="Times New Roman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382A29">
              <w:rPr>
                <w:rFonts w:eastAsia="Times New Roman"/>
                <w:color w:val="000000"/>
                <w:sz w:val="20"/>
                <w:szCs w:val="20"/>
              </w:rPr>
              <w:t>This task measures L.11-12.1 because it demands that students:</w:t>
            </w:r>
          </w:p>
          <w:p w:rsidR="00B262FE" w:rsidRPr="00382A29" w:rsidRDefault="00B262FE" w:rsidP="00B262FE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after="100" w:afterAutospacing="1" w:line="240" w:lineRule="auto"/>
              <w:ind w:left="360"/>
              <w:textAlignment w:val="baseline"/>
              <w:rPr>
                <w:rFonts w:asciiTheme="majorHAnsi" w:eastAsia="Times New Roman" w:hAnsiTheme="majorHAnsi" w:cstheme="majorBidi"/>
                <w:i/>
                <w:iCs/>
                <w:color w:val="000000"/>
                <w:sz w:val="20"/>
                <w:szCs w:val="20"/>
              </w:rPr>
            </w:pPr>
            <w:r w:rsidRPr="00382A29">
              <w:rPr>
                <w:rFonts w:eastAsia="Times New Roman"/>
                <w:color w:val="000000"/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382A29">
              <w:rPr>
                <w:rFonts w:eastAsia="Times New Roman"/>
                <w:color w:val="000000"/>
                <w:sz w:val="20"/>
                <w:szCs w:val="20"/>
              </w:rPr>
              <w:t>standard</w:t>
            </w:r>
            <w:proofErr w:type="gramEnd"/>
            <w:r w:rsidRPr="00382A29">
              <w:rPr>
                <w:rFonts w:eastAsia="Times New Roman"/>
                <w:color w:val="000000"/>
                <w:sz w:val="20"/>
                <w:szCs w:val="20"/>
              </w:rPr>
              <w:t xml:space="preserve"> English grammar and usage.</w:t>
            </w:r>
          </w:p>
          <w:p w:rsidR="00B262FE" w:rsidRPr="00382A29" w:rsidRDefault="00B262FE" w:rsidP="001B7EAA">
            <w:pPr>
              <w:spacing w:after="60" w:line="240" w:lineRule="auto"/>
              <w:rPr>
                <w:rFonts w:ascii="Times New Roman" w:eastAsia="Times New Roman" w:hAnsi="Times New Roman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382A29">
              <w:rPr>
                <w:rFonts w:eastAsia="Times New Roman"/>
                <w:color w:val="000000"/>
                <w:sz w:val="20"/>
                <w:szCs w:val="20"/>
              </w:rPr>
              <w:t>This task measures L.11-12.2 because it demands that students:</w:t>
            </w:r>
          </w:p>
          <w:p w:rsidR="00B262FE" w:rsidRPr="0006229C" w:rsidRDefault="00B262FE" w:rsidP="00B262FE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after="100" w:afterAutospacing="1" w:line="240" w:lineRule="auto"/>
              <w:ind w:left="360"/>
              <w:textAlignment w:val="baseline"/>
            </w:pPr>
            <w:r w:rsidRPr="00382A29">
              <w:rPr>
                <w:rFonts w:eastAsia="Times New Roman"/>
                <w:color w:val="000000"/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382A29">
              <w:rPr>
                <w:rFonts w:eastAsia="Times New Roman"/>
                <w:color w:val="000000"/>
                <w:sz w:val="20"/>
                <w:szCs w:val="20"/>
              </w:rPr>
              <w:t>standard</w:t>
            </w:r>
            <w:proofErr w:type="gramEnd"/>
            <w:r w:rsidRPr="00382A29">
              <w:rPr>
                <w:rFonts w:eastAsia="Times New Roman"/>
                <w:color w:val="000000"/>
                <w:sz w:val="20"/>
                <w:szCs w:val="20"/>
              </w:rPr>
              <w:t xml:space="preserve"> English capitalization, punctuation, and spelling.</w:t>
            </w:r>
            <w:bookmarkEnd w:id="0"/>
          </w:p>
        </w:tc>
      </w:tr>
    </w:tbl>
    <w:p w:rsidR="00B262FE" w:rsidRPr="00790BCC" w:rsidRDefault="00B262FE" w:rsidP="00B262FE"/>
    <w:p w:rsidR="00B262FE" w:rsidRPr="00D648D0" w:rsidRDefault="00B262FE" w:rsidP="00B262FE">
      <w:pPr>
        <w:pStyle w:val="ToolHeader"/>
        <w:rPr>
          <w:szCs w:val="32"/>
        </w:rPr>
      </w:pPr>
    </w:p>
    <w:p w:rsidR="006C4766" w:rsidRDefault="006C4766"/>
    <w:sectPr w:rsidR="006C4766" w:rsidSect="007F1F36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93" w:rsidRDefault="005C3693" w:rsidP="00B262FE">
      <w:pPr>
        <w:spacing w:before="0" w:after="0" w:line="240" w:lineRule="auto"/>
      </w:pPr>
      <w:r>
        <w:separator/>
      </w:r>
    </w:p>
  </w:endnote>
  <w:endnote w:type="continuationSeparator" w:id="0">
    <w:p w:rsidR="005C3693" w:rsidRDefault="005C3693" w:rsidP="00B262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02" w:rsidRPr="00FC77F3" w:rsidRDefault="005C3693" w:rsidP="00CF322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446"/>
      <w:gridCol w:w="4325"/>
    </w:tblGrid>
    <w:tr w:rsidR="009E4202" w:rsidRPr="00FC77F3">
      <w:trPr>
        <w:trHeight w:val="705"/>
      </w:trPr>
      <w:tc>
        <w:tcPr>
          <w:tcW w:w="4788" w:type="dxa"/>
          <w:shd w:val="clear" w:color="auto" w:fill="auto"/>
          <w:vAlign w:val="center"/>
        </w:tcPr>
        <w:p w:rsidR="009E4202" w:rsidRPr="00FC77F3" w:rsidRDefault="00B262FE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 xml:space="preserve">File: </w:t>
          </w:r>
          <w:r>
            <w:rPr>
              <w:rFonts w:eastAsia="Verdana" w:cs="Calibri"/>
              <w:color w:val="595959"/>
              <w:sz w:val="14"/>
            </w:rPr>
            <w:t>11.4</w:t>
          </w:r>
          <w:r w:rsidRPr="00FC77F3">
            <w:rPr>
              <w:rFonts w:eastAsia="Verdana" w:cs="Calibri"/>
              <w:color w:val="595959"/>
              <w:sz w:val="14"/>
            </w:rPr>
            <w:t xml:space="preserve"> Performance Assessment </w:t>
          </w:r>
          <w:r w:rsidRPr="00FC77F3">
            <w:rPr>
              <w:rFonts w:eastAsia="Verdana" w:cs="Calibri"/>
              <w:b/>
              <w:color w:val="595959"/>
              <w:sz w:val="14"/>
            </w:rPr>
            <w:t>Date</w:t>
          </w:r>
          <w:r>
            <w:rPr>
              <w:rFonts w:eastAsia="Verdana" w:cs="Calibri"/>
              <w:color w:val="595959"/>
              <w:sz w:val="14"/>
            </w:rPr>
            <w:t>: 10</w:t>
          </w:r>
          <w:r w:rsidRPr="00FC77F3">
            <w:rPr>
              <w:rFonts w:eastAsia="Verdana" w:cs="Calibri"/>
              <w:color w:val="595959"/>
              <w:sz w:val="14"/>
            </w:rPr>
            <w:t>/</w:t>
          </w:r>
          <w:r>
            <w:rPr>
              <w:rFonts w:eastAsia="Verdana" w:cs="Calibri"/>
              <w:color w:val="595959"/>
              <w:sz w:val="14"/>
            </w:rPr>
            <w:t>31</w:t>
          </w:r>
          <w:r w:rsidRPr="00FC77F3">
            <w:rPr>
              <w:rFonts w:eastAsia="Verdana" w:cs="Calibri"/>
              <w:color w:val="595959"/>
              <w:sz w:val="14"/>
            </w:rPr>
            <w:t>/14</w:t>
          </w:r>
        </w:p>
        <w:p w:rsidR="009E4202" w:rsidRPr="00FC77F3" w:rsidRDefault="00B262FE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>Classroom Use:</w:t>
          </w:r>
          <w:r>
            <w:rPr>
              <w:rFonts w:eastAsia="Verdana" w:cs="Calibri"/>
              <w:color w:val="595959"/>
              <w:sz w:val="14"/>
            </w:rPr>
            <w:t xml:space="preserve"> Starting 11</w:t>
          </w:r>
          <w:r w:rsidRPr="00FC77F3">
            <w:rPr>
              <w:rFonts w:eastAsia="Verdana" w:cs="Calibri"/>
              <w:color w:val="595959"/>
              <w:sz w:val="14"/>
            </w:rPr>
            <w:t>/2014</w:t>
          </w:r>
        </w:p>
        <w:p w:rsidR="009E4202" w:rsidRPr="00FC77F3" w:rsidRDefault="00B262FE" w:rsidP="00CF322B">
          <w:pPr>
            <w:spacing w:before="0" w:after="0" w:line="200" w:lineRule="exact"/>
            <w:rPr>
              <w:rFonts w:eastAsia="Verdana" w:cs="Calibri"/>
              <w:i/>
              <w:color w:val="595959"/>
              <w:sz w:val="12"/>
            </w:rPr>
          </w:pPr>
          <w:r w:rsidRPr="00FC77F3">
            <w:rPr>
              <w:rFonts w:eastAsia="Verdana" w:cs="Calibri"/>
              <w:color w:val="595959"/>
              <w:sz w:val="12"/>
            </w:rPr>
            <w:t xml:space="preserve">© 2014 Public Consulting Group. </w:t>
          </w:r>
          <w:r w:rsidRPr="00FC77F3">
            <w:rPr>
              <w:rFonts w:eastAsia="Verdana" w:cs="Calibri"/>
              <w:i/>
              <w:color w:val="595959"/>
              <w:sz w:val="12"/>
            </w:rPr>
            <w:t xml:space="preserve">This work is licensed under a </w:t>
          </w:r>
        </w:p>
        <w:p w:rsidR="009E4202" w:rsidRPr="00FC77F3" w:rsidRDefault="00B262FE" w:rsidP="00CF322B">
          <w:pPr>
            <w:spacing w:before="0" w:after="0" w:line="200" w:lineRule="exact"/>
            <w:rPr>
              <w:rFonts w:eastAsia="Verdana" w:cs="Calibri"/>
              <w:color w:val="595959"/>
              <w:sz w:val="12"/>
            </w:rPr>
          </w:pPr>
          <w:r w:rsidRPr="00FC77F3">
            <w:rPr>
              <w:rFonts w:eastAsia="Verdana" w:cs="Calibri"/>
              <w:i/>
              <w:color w:val="595959"/>
              <w:sz w:val="12"/>
            </w:rPr>
            <w:t>Creative Commons Attribution-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NonCommercial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>-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ShareAlike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 xml:space="preserve"> 3.0 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Unported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 xml:space="preserve"> License</w:t>
          </w:r>
        </w:p>
        <w:p w:rsidR="009E4202" w:rsidRPr="00FC77F3" w:rsidRDefault="005C3693" w:rsidP="00CF322B">
          <w:pPr>
            <w:spacing w:before="0" w:after="0" w:line="200" w:lineRule="exact"/>
            <w:rPr>
              <w:rFonts w:eastAsia="Verdana" w:cs="Calibri"/>
              <w:b/>
              <w:color w:val="595959"/>
              <w:sz w:val="14"/>
            </w:rPr>
          </w:pPr>
          <w:hyperlink r:id="rId1" w:history="1">
            <w:r w:rsidR="00B262FE" w:rsidRPr="00FC77F3">
              <w:rPr>
                <w:rFonts w:eastAsia="Verdana" w:cs="Calibri"/>
                <w:b/>
                <w:color w:val="0000FF"/>
                <w:sz w:val="12"/>
                <w:u w:val="single"/>
              </w:rPr>
              <w:t>http://creativecommons.org/licenses/by-nc-sa/3.0/</w:t>
            </w:r>
          </w:hyperlink>
        </w:p>
      </w:tc>
      <w:tc>
        <w:tcPr>
          <w:tcW w:w="446" w:type="dxa"/>
          <w:shd w:val="clear" w:color="auto" w:fill="auto"/>
          <w:vAlign w:val="center"/>
        </w:tcPr>
        <w:p w:rsidR="009E4202" w:rsidRPr="00FC77F3" w:rsidRDefault="005C3693" w:rsidP="00CF322B">
          <w:pPr>
            <w:spacing w:after="60"/>
            <w:jc w:val="center"/>
            <w:rPr>
              <w:rFonts w:eastAsia="Verdana" w:cs="Calibri"/>
              <w:b/>
              <w:color w:val="595959"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:rsidR="009E4202" w:rsidRPr="00FC77F3" w:rsidRDefault="00B262FE" w:rsidP="00CF322B">
          <w:pPr>
            <w:spacing w:before="20" w:after="60"/>
            <w:ind w:right="-103"/>
            <w:jc w:val="right"/>
            <w:rPr>
              <w:rFonts w:eastAsia="Verdana" w:cs="Calibri"/>
              <w:b/>
              <w:color w:val="595959"/>
              <w:sz w:val="12"/>
              <w:szCs w:val="12"/>
            </w:rPr>
          </w:pPr>
          <w:r w:rsidRPr="00FC77F3">
            <w:rPr>
              <w:rFonts w:eastAsia="Verdana" w:cs="Calibri"/>
              <w:b/>
              <w:noProof/>
              <w:color w:val="595959"/>
              <w:sz w:val="12"/>
              <w:szCs w:val="12"/>
            </w:rPr>
            <w:drawing>
              <wp:inline distT="0" distB="0" distL="0" distR="0" wp14:anchorId="08C88050" wp14:editId="0EEF32F0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4202" w:rsidRPr="00FC77F3" w:rsidRDefault="005C3693" w:rsidP="00CF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93" w:rsidRDefault="005C3693" w:rsidP="00B262FE">
      <w:pPr>
        <w:spacing w:before="0" w:after="0" w:line="240" w:lineRule="auto"/>
      </w:pPr>
      <w:r>
        <w:separator/>
      </w:r>
    </w:p>
  </w:footnote>
  <w:footnote w:type="continuationSeparator" w:id="0">
    <w:p w:rsidR="005C3693" w:rsidRDefault="005C3693" w:rsidP="00B262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708"/>
      <w:gridCol w:w="1980"/>
      <w:gridCol w:w="3888"/>
    </w:tblGrid>
    <w:tr w:rsidR="009E4202" w:rsidRPr="00563CB8">
      <w:tc>
        <w:tcPr>
          <w:tcW w:w="3708" w:type="dxa"/>
        </w:tcPr>
        <w:p w:rsidR="009E4202" w:rsidRPr="00563CB8" w:rsidRDefault="00B262FE" w:rsidP="00AD460B">
          <w:pPr>
            <w:pStyle w:val="PageHeader"/>
          </w:pPr>
          <w:r w:rsidRPr="00563CB8">
            <w:t>NYS Common Core ELA &amp; Literacy Curriculum</w:t>
          </w:r>
        </w:p>
      </w:tc>
      <w:tc>
        <w:tcPr>
          <w:tcW w:w="1980" w:type="dxa"/>
          <w:vAlign w:val="center"/>
        </w:tcPr>
        <w:p w:rsidR="009E4202" w:rsidRPr="007E45BA" w:rsidRDefault="00B262FE" w:rsidP="00AD460B">
          <w:pPr>
            <w:spacing w:before="120" w:after="120"/>
            <w:jc w:val="center"/>
          </w:pPr>
          <w:r w:rsidRPr="007E45BA">
            <w:t>D R A F T</w:t>
          </w:r>
        </w:p>
      </w:tc>
      <w:tc>
        <w:tcPr>
          <w:tcW w:w="3888" w:type="dxa"/>
        </w:tcPr>
        <w:p w:rsidR="009E4202" w:rsidRPr="00563CB8" w:rsidRDefault="00B262FE" w:rsidP="00144076">
          <w:pPr>
            <w:spacing w:before="120" w:after="120"/>
            <w:jc w:val="right"/>
          </w:pPr>
          <w:r w:rsidRPr="00563CB8">
            <w:rPr>
              <w:sz w:val="18"/>
            </w:rPr>
            <w:t xml:space="preserve">Grade </w:t>
          </w:r>
          <w:r>
            <w:rPr>
              <w:sz w:val="18"/>
            </w:rPr>
            <w:t>11</w:t>
          </w:r>
          <w:r w:rsidRPr="00563CB8">
            <w:rPr>
              <w:sz w:val="18"/>
            </w:rPr>
            <w:t xml:space="preserve">• Module </w:t>
          </w:r>
          <w:r>
            <w:rPr>
              <w:sz w:val="18"/>
            </w:rPr>
            <w:t>4</w:t>
          </w:r>
          <w:r w:rsidRPr="00563CB8">
            <w:rPr>
              <w:sz w:val="18"/>
            </w:rPr>
            <w:t xml:space="preserve"> • </w:t>
          </w:r>
          <w:r>
            <w:rPr>
              <w:sz w:val="18"/>
            </w:rPr>
            <w:t>Performance Assessment</w:t>
          </w:r>
        </w:p>
      </w:tc>
    </w:tr>
  </w:tbl>
  <w:p w:rsidR="009E4202" w:rsidRPr="00FC31BF" w:rsidRDefault="005C3693" w:rsidP="00FC3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30F7"/>
    <w:multiLevelType w:val="multilevel"/>
    <w:tmpl w:val="74C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B1A57"/>
    <w:multiLevelType w:val="multilevel"/>
    <w:tmpl w:val="5FC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23880"/>
    <w:multiLevelType w:val="multilevel"/>
    <w:tmpl w:val="742A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E"/>
    <w:rsid w:val="00382A29"/>
    <w:rsid w:val="005C3693"/>
    <w:rsid w:val="006C4766"/>
    <w:rsid w:val="00B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BFDE8B-F0AE-49B1-9D58-5733E6C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B262FE"/>
    <w:pPr>
      <w:spacing w:before="60" w:after="18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FE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262FE"/>
    <w:rPr>
      <w:rFonts w:ascii="Calibri" w:eastAsia="Calibri" w:hAnsi="Calibri"/>
      <w:sz w:val="20"/>
      <w:szCs w:val="22"/>
    </w:rPr>
  </w:style>
  <w:style w:type="paragraph" w:styleId="Footer">
    <w:name w:val="footer"/>
    <w:basedOn w:val="Normal"/>
    <w:link w:val="FooterChar"/>
    <w:uiPriority w:val="99"/>
    <w:rsid w:val="00B262F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62FE"/>
    <w:rPr>
      <w:rFonts w:ascii="Times New Roman" w:eastAsia="Calibri" w:hAnsi="Times New Roman"/>
      <w:sz w:val="20"/>
      <w:szCs w:val="22"/>
    </w:rPr>
  </w:style>
  <w:style w:type="table" w:styleId="TableGrid">
    <w:name w:val="Table Grid"/>
    <w:basedOn w:val="TableNormal"/>
    <w:uiPriority w:val="59"/>
    <w:rsid w:val="00B262FE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Header">
    <w:name w:val="*PageHeader"/>
    <w:link w:val="PageHeaderChar"/>
    <w:qFormat/>
    <w:rsid w:val="00B262FE"/>
    <w:pPr>
      <w:spacing w:before="120"/>
    </w:pPr>
    <w:rPr>
      <w:rFonts w:ascii="Calibri" w:eastAsia="Calibri" w:hAnsi="Calibri"/>
      <w:b/>
      <w:sz w:val="18"/>
      <w:szCs w:val="22"/>
    </w:rPr>
  </w:style>
  <w:style w:type="paragraph" w:customStyle="1" w:styleId="ToolHeader">
    <w:name w:val="*ToolHeader"/>
    <w:qFormat/>
    <w:rsid w:val="00B262FE"/>
    <w:pPr>
      <w:spacing w:after="120"/>
    </w:pPr>
    <w:rPr>
      <w:rFonts w:eastAsia="Calibri"/>
      <w:b/>
      <w:bCs/>
      <w:color w:val="365F91"/>
      <w:sz w:val="32"/>
      <w:szCs w:val="28"/>
    </w:rPr>
  </w:style>
  <w:style w:type="character" w:customStyle="1" w:styleId="PageHeaderChar">
    <w:name w:val="*PageHeader Char"/>
    <w:basedOn w:val="DefaultParagraphFont"/>
    <w:link w:val="PageHeader"/>
    <w:locked/>
    <w:rsid w:val="00B262FE"/>
    <w:rPr>
      <w:rFonts w:ascii="Calibri" w:eastAsia="Calibri" w:hAnsi="Calibri"/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F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FE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Hoxie</dc:creator>
  <cp:keywords/>
  <dc:description/>
  <cp:lastModifiedBy>Chmielewski, Elizabeth</cp:lastModifiedBy>
  <cp:revision>2</cp:revision>
  <dcterms:created xsi:type="dcterms:W3CDTF">2014-10-31T19:35:00Z</dcterms:created>
  <dcterms:modified xsi:type="dcterms:W3CDTF">2014-10-31T19:35:00Z</dcterms:modified>
</cp:coreProperties>
</file>