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450" w:type="dxa"/>
        <w:tblInd w:w="108" w:type="dxa"/>
        <w:tblBorders>
          <w:insideH w:val="single" w:sz="18" w:space="0" w:color="FFFFFF"/>
          <w:insideV w:val="single" w:sz="18" w:space="0" w:color="FFFFFF"/>
        </w:tblBorders>
        <w:tblLook w:val="00A0" w:firstRow="1" w:lastRow="0" w:firstColumn="1" w:lastColumn="0" w:noHBand="0" w:noVBand="0"/>
      </w:tblPr>
      <w:tblGrid>
        <w:gridCol w:w="1980"/>
        <w:gridCol w:w="7470"/>
      </w:tblGrid>
      <w:tr w:rsidR="00CC183D" w:rsidRPr="00677A89" w14:paraId="77302C51" w14:textId="77777777">
        <w:trPr>
          <w:trHeight w:val="1008"/>
        </w:trPr>
        <w:tc>
          <w:tcPr>
            <w:tcW w:w="1980" w:type="dxa"/>
            <w:tcBorders>
              <w:top w:val="nil"/>
            </w:tcBorders>
            <w:shd w:val="clear" w:color="auto" w:fill="403152"/>
            <w:vAlign w:val="center"/>
          </w:tcPr>
          <w:p w14:paraId="675F0E3B" w14:textId="77777777" w:rsidR="00CC183D" w:rsidRPr="004E20B8" w:rsidRDefault="00F7243F" w:rsidP="00E75803">
            <w:pPr>
              <w:pStyle w:val="Header-banner"/>
              <w:rPr>
                <w:rFonts w:ascii="Calibri" w:hAnsi="Calibri"/>
              </w:rPr>
            </w:pPr>
            <w:bookmarkStart w:id="0" w:name="_GoBack"/>
            <w:bookmarkEnd w:id="0"/>
            <w:r>
              <w:rPr>
                <w:rFonts w:ascii="Calibri" w:hAnsi="Calibri"/>
              </w:rPr>
              <w:t>11</w:t>
            </w:r>
            <w:r w:rsidR="00CC183D" w:rsidRPr="004E20B8">
              <w:rPr>
                <w:rFonts w:ascii="Calibri" w:hAnsi="Calibri"/>
              </w:rPr>
              <w:t>.</w:t>
            </w:r>
            <w:r>
              <w:rPr>
                <w:rFonts w:ascii="Calibri" w:hAnsi="Calibri"/>
              </w:rPr>
              <w:t>4</w:t>
            </w:r>
            <w:r w:rsidR="00CC183D" w:rsidRPr="004E20B8">
              <w:rPr>
                <w:rFonts w:ascii="Calibri" w:hAnsi="Calibri"/>
              </w:rPr>
              <w:t>.</w:t>
            </w:r>
            <w:r w:rsidR="00D55C02">
              <w:rPr>
                <w:rFonts w:ascii="Calibri" w:hAnsi="Calibri"/>
              </w:rPr>
              <w:t>2</w:t>
            </w:r>
          </w:p>
        </w:tc>
        <w:tc>
          <w:tcPr>
            <w:tcW w:w="7470" w:type="dxa"/>
            <w:tcBorders>
              <w:top w:val="nil"/>
            </w:tcBorders>
            <w:shd w:val="clear" w:color="auto" w:fill="5F497A"/>
            <w:vAlign w:val="center"/>
          </w:tcPr>
          <w:p w14:paraId="44B1E1CC" w14:textId="77777777" w:rsidR="00CC183D" w:rsidRPr="004E20B8" w:rsidRDefault="00CC183D" w:rsidP="00CC183D">
            <w:pPr>
              <w:pStyle w:val="Header2banner"/>
              <w:rPr>
                <w:rFonts w:ascii="Calibri" w:hAnsi="Calibri"/>
              </w:rPr>
            </w:pPr>
            <w:r w:rsidRPr="004E20B8">
              <w:rPr>
                <w:rFonts w:ascii="Calibri" w:hAnsi="Calibri"/>
              </w:rPr>
              <w:t>Unit Overview</w:t>
            </w:r>
          </w:p>
        </w:tc>
      </w:tr>
      <w:tr w:rsidR="00CC183D" w:rsidRPr="00677A89" w14:paraId="278DB7D3" w14:textId="77777777">
        <w:trPr>
          <w:trHeight w:val="720"/>
        </w:trPr>
        <w:tc>
          <w:tcPr>
            <w:tcW w:w="9450" w:type="dxa"/>
            <w:gridSpan w:val="2"/>
            <w:tcBorders>
              <w:bottom w:val="single" w:sz="8" w:space="0" w:color="403152"/>
            </w:tcBorders>
            <w:shd w:val="solid" w:color="F2F2F2" w:fill="auto"/>
            <w:vAlign w:val="center"/>
          </w:tcPr>
          <w:p w14:paraId="0E211E22" w14:textId="77777777" w:rsidR="00CC183D" w:rsidRPr="00714725" w:rsidRDefault="00957EFE" w:rsidP="00C7041D">
            <w:pPr>
              <w:pStyle w:val="Heading1nospace"/>
              <w:spacing w:before="60" w:after="0" w:line="240" w:lineRule="auto"/>
              <w:rPr>
                <w:rFonts w:eastAsia="Times New Roman" w:cs="Cambria"/>
                <w:bCs/>
                <w:color w:val="403152"/>
                <w:lang w:val="en-US"/>
              </w:rPr>
            </w:pPr>
            <w:r>
              <w:rPr>
                <w:rFonts w:eastAsia="Times New Roman" w:cs="Cambria"/>
                <w:bCs/>
                <w:color w:val="403152"/>
                <w:lang w:val="en-US"/>
              </w:rPr>
              <w:t>“She wanted to swim far out, where no woman had swum before</w:t>
            </w:r>
            <w:r w:rsidR="0046274F">
              <w:rPr>
                <w:rFonts w:eastAsia="Times New Roman" w:cs="Cambria"/>
                <w:bCs/>
                <w:color w:val="403152"/>
                <w:lang w:val="en-US"/>
              </w:rPr>
              <w:t>.</w:t>
            </w:r>
            <w:r>
              <w:rPr>
                <w:rFonts w:eastAsia="Times New Roman" w:cs="Cambria"/>
                <w:bCs/>
                <w:color w:val="403152"/>
                <w:lang w:val="en-US"/>
              </w:rPr>
              <w:t>”</w:t>
            </w:r>
          </w:p>
        </w:tc>
      </w:tr>
      <w:tr w:rsidR="00CC183D" w:rsidRPr="00061D2A" w14:paraId="587464F7" w14:textId="77777777">
        <w:trPr>
          <w:trHeight w:val="576"/>
        </w:trPr>
        <w:tc>
          <w:tcPr>
            <w:tcW w:w="1980" w:type="dxa"/>
            <w:tcBorders>
              <w:top w:val="single" w:sz="8" w:space="0" w:color="403152"/>
              <w:bottom w:val="single" w:sz="8" w:space="0" w:color="403152"/>
            </w:tcBorders>
            <w:shd w:val="solid" w:color="F2F2F2" w:fill="auto"/>
            <w:vAlign w:val="center"/>
          </w:tcPr>
          <w:p w14:paraId="02D1D958" w14:textId="568D33BF" w:rsidR="00CC183D" w:rsidRPr="004528EF" w:rsidRDefault="00CC183D" w:rsidP="00CC183D">
            <w:pPr>
              <w:rPr>
                <w:b/>
                <w:color w:val="1F497D"/>
              </w:rPr>
            </w:pPr>
            <w:r w:rsidRPr="004528EF">
              <w:rPr>
                <w:b/>
                <w:color w:val="1F497D"/>
              </w:rPr>
              <w:t>Text</w:t>
            </w:r>
            <w:r w:rsidR="00390AAD">
              <w:rPr>
                <w:b/>
                <w:color w:val="1F497D"/>
              </w:rPr>
              <w:t>s</w:t>
            </w:r>
          </w:p>
        </w:tc>
        <w:tc>
          <w:tcPr>
            <w:tcW w:w="7470" w:type="dxa"/>
            <w:tcBorders>
              <w:top w:val="single" w:sz="8" w:space="0" w:color="403152"/>
              <w:bottom w:val="single" w:sz="8" w:space="0" w:color="403152"/>
            </w:tcBorders>
            <w:shd w:val="solid" w:color="F2F2F2" w:fill="auto"/>
            <w:vAlign w:val="center"/>
          </w:tcPr>
          <w:p w14:paraId="18B4C2A8" w14:textId="77777777" w:rsidR="00CC183D" w:rsidRDefault="00F842CB" w:rsidP="00CC183D">
            <w:r w:rsidRPr="00AF40B9">
              <w:rPr>
                <w:i/>
              </w:rPr>
              <w:t>The Awakening</w:t>
            </w:r>
            <w:r>
              <w:t xml:space="preserve"> by Kate Chopin</w:t>
            </w:r>
          </w:p>
          <w:p w14:paraId="4BEA6897" w14:textId="271CA224" w:rsidR="00390AAD" w:rsidRDefault="00390AAD" w:rsidP="00CC183D">
            <w:r>
              <w:t xml:space="preserve">“On the Rainy River,” from </w:t>
            </w:r>
            <w:r>
              <w:rPr>
                <w:i/>
              </w:rPr>
              <w:t>The Things They Carried</w:t>
            </w:r>
            <w:r>
              <w:t xml:space="preserve"> by Tim O’Brien</w:t>
            </w:r>
          </w:p>
          <w:p w14:paraId="478BC794" w14:textId="5A5DAB9B" w:rsidR="00390AAD" w:rsidRPr="00677A89" w:rsidRDefault="00390AAD" w:rsidP="00CC183D">
            <w:r>
              <w:t xml:space="preserve">“The Red Convertible,” from </w:t>
            </w:r>
            <w:r>
              <w:rPr>
                <w:i/>
              </w:rPr>
              <w:t>The Red Convertible</w:t>
            </w:r>
            <w:r>
              <w:t xml:space="preserve"> by Louise Erdrich</w:t>
            </w:r>
          </w:p>
        </w:tc>
      </w:tr>
      <w:tr w:rsidR="00CC183D" w:rsidRPr="00061D2A" w14:paraId="3136AEBD" w14:textId="77777777">
        <w:trPr>
          <w:trHeight w:val="576"/>
        </w:trPr>
        <w:tc>
          <w:tcPr>
            <w:tcW w:w="1980" w:type="dxa"/>
            <w:tcBorders>
              <w:top w:val="single" w:sz="8" w:space="0" w:color="403152"/>
              <w:bottom w:val="nil"/>
            </w:tcBorders>
            <w:shd w:val="solid" w:color="F2F2F2" w:fill="auto"/>
            <w:vAlign w:val="center"/>
          </w:tcPr>
          <w:p w14:paraId="04522D4D" w14:textId="7ABB33B5" w:rsidR="00CC183D" w:rsidRPr="004528EF" w:rsidRDefault="00CC183D" w:rsidP="00CC183D">
            <w:pPr>
              <w:rPr>
                <w:b/>
                <w:color w:val="1F497D"/>
              </w:rPr>
            </w:pPr>
            <w:r w:rsidRPr="004528EF">
              <w:rPr>
                <w:b/>
                <w:color w:val="1F497D"/>
              </w:rPr>
              <w:t>Number of Lessons in</w:t>
            </w:r>
            <w:r w:rsidR="0046274F">
              <w:rPr>
                <w:b/>
                <w:color w:val="1F497D"/>
              </w:rPr>
              <w:t xml:space="preserve"> </w:t>
            </w:r>
            <w:r w:rsidRPr="004528EF">
              <w:rPr>
                <w:b/>
                <w:color w:val="1F497D"/>
              </w:rPr>
              <w:t>Unit</w:t>
            </w:r>
          </w:p>
        </w:tc>
        <w:tc>
          <w:tcPr>
            <w:tcW w:w="7470" w:type="dxa"/>
            <w:tcBorders>
              <w:top w:val="single" w:sz="8" w:space="0" w:color="403152"/>
              <w:bottom w:val="nil"/>
            </w:tcBorders>
            <w:shd w:val="solid" w:color="F2F2F2" w:fill="auto"/>
            <w:vAlign w:val="center"/>
          </w:tcPr>
          <w:p w14:paraId="5FA0A715" w14:textId="77777777" w:rsidR="00CC183D" w:rsidRPr="00061D2A" w:rsidRDefault="00F842CB" w:rsidP="00CC183D">
            <w:r>
              <w:t>22</w:t>
            </w:r>
          </w:p>
        </w:tc>
      </w:tr>
    </w:tbl>
    <w:p w14:paraId="19DA67E6" w14:textId="77777777" w:rsidR="00CC183D" w:rsidRPr="0015083C" w:rsidRDefault="00CC183D" w:rsidP="0015083C">
      <w:pPr>
        <w:pStyle w:val="Heading1"/>
      </w:pPr>
      <w:r w:rsidRPr="00957166">
        <w:t>Introduction</w:t>
      </w:r>
    </w:p>
    <w:p w14:paraId="6AD090DC" w14:textId="4679FA09" w:rsidR="00C06620" w:rsidRDefault="00CC183D" w:rsidP="00AF40B9">
      <w:r w:rsidRPr="00677A89">
        <w:t xml:space="preserve">In </w:t>
      </w:r>
      <w:r w:rsidR="00123B0C">
        <w:t xml:space="preserve">the </w:t>
      </w:r>
      <w:r w:rsidR="00F842CB">
        <w:t xml:space="preserve">second </w:t>
      </w:r>
      <w:r w:rsidR="00123B0C">
        <w:t xml:space="preserve">unit of </w:t>
      </w:r>
      <w:r w:rsidR="00787E50">
        <w:t xml:space="preserve">Module </w:t>
      </w:r>
      <w:r w:rsidR="00123B0C">
        <w:t>11.4</w:t>
      </w:r>
      <w:r w:rsidRPr="00677A89">
        <w:t xml:space="preserve">, students </w:t>
      </w:r>
      <w:r w:rsidR="00957166">
        <w:t xml:space="preserve">continue to </w:t>
      </w:r>
      <w:r w:rsidR="00DE47CC">
        <w:t xml:space="preserve">refine </w:t>
      </w:r>
      <w:r w:rsidR="00957166">
        <w:t xml:space="preserve">the skills, practices, and routines </w:t>
      </w:r>
      <w:r w:rsidR="00C06620">
        <w:t>they have been using in the English Language Arts classroom throughout the year</w:t>
      </w:r>
      <w:r w:rsidR="008A0383">
        <w:t xml:space="preserve">, including close reading, annotation, </w:t>
      </w:r>
      <w:r w:rsidR="00C06620">
        <w:t xml:space="preserve">collaborative </w:t>
      </w:r>
      <w:r w:rsidR="00737C34" w:rsidRPr="00677A89">
        <w:t>discussion</w:t>
      </w:r>
      <w:r w:rsidR="004326CE">
        <w:t>,</w:t>
      </w:r>
      <w:r w:rsidR="00737C34" w:rsidRPr="00677A89">
        <w:t xml:space="preserve"> and</w:t>
      </w:r>
      <w:r w:rsidR="00C06620">
        <w:t xml:space="preserve"> evidence-based</w:t>
      </w:r>
      <w:r w:rsidR="00737C34" w:rsidRPr="00677A89">
        <w:t xml:space="preserve"> writing</w:t>
      </w:r>
      <w:r w:rsidR="00C06620">
        <w:t xml:space="preserve">. Additionally, students continue to learn and practice </w:t>
      </w:r>
      <w:r w:rsidR="008A0383">
        <w:t xml:space="preserve">the </w:t>
      </w:r>
      <w:r w:rsidR="00C06620">
        <w:t xml:space="preserve">narrative writing techniques outlined in </w:t>
      </w:r>
      <w:r w:rsidR="00787E50">
        <w:t xml:space="preserve">standard </w:t>
      </w:r>
      <w:r w:rsidR="00C75D7B">
        <w:t xml:space="preserve">W.11-12.3.c, d, </w:t>
      </w:r>
      <w:r w:rsidR="00C06620">
        <w:t>e.</w:t>
      </w:r>
    </w:p>
    <w:p w14:paraId="5E522B80" w14:textId="77777777" w:rsidR="00E773A1" w:rsidRDefault="00D3082B" w:rsidP="00AF40B9">
      <w:r>
        <w:t>Over the course of this unit, s</w:t>
      </w:r>
      <w:r w:rsidR="00957166">
        <w:t xml:space="preserve">tudents </w:t>
      </w:r>
      <w:r w:rsidR="00C02786">
        <w:t xml:space="preserve">read and </w:t>
      </w:r>
      <w:r w:rsidR="00957166">
        <w:t xml:space="preserve">analyze </w:t>
      </w:r>
      <w:r w:rsidR="00C02786" w:rsidRPr="00957166">
        <w:rPr>
          <w:i/>
        </w:rPr>
        <w:t>The Awakening</w:t>
      </w:r>
      <w:r w:rsidR="00C02786">
        <w:t>,</w:t>
      </w:r>
      <w:r w:rsidR="006E068A">
        <w:t xml:space="preserve"> </w:t>
      </w:r>
      <w:r w:rsidR="00C02786">
        <w:t>explor</w:t>
      </w:r>
      <w:r w:rsidR="004127B1">
        <w:t>ing</w:t>
      </w:r>
      <w:r w:rsidR="00C02786">
        <w:t xml:space="preserve"> </w:t>
      </w:r>
      <w:r w:rsidR="00957166">
        <w:t xml:space="preserve">how an author develops characters and central ideas, </w:t>
      </w:r>
      <w:r w:rsidR="008A0383">
        <w:t>and considering</w:t>
      </w:r>
      <w:r w:rsidR="00957166">
        <w:t xml:space="preserve"> the role that structural</w:t>
      </w:r>
      <w:r>
        <w:t xml:space="preserve"> choices</w:t>
      </w:r>
      <w:r w:rsidR="00957166">
        <w:t xml:space="preserve"> play in </w:t>
      </w:r>
      <w:r>
        <w:t>the</w:t>
      </w:r>
      <w:r w:rsidR="00957166">
        <w:t xml:space="preserve"> text. </w:t>
      </w:r>
      <w:r w:rsidR="00C02786">
        <w:t>Particular emphasis is given to</w:t>
      </w:r>
      <w:r w:rsidR="00E773A1">
        <w:t xml:space="preserve"> analyzing</w:t>
      </w:r>
      <w:r w:rsidR="008A0383">
        <w:t xml:space="preserve"> the relationship of character development to the novel’s related central ideas of sense of self and societal expectations.</w:t>
      </w:r>
      <w:r w:rsidR="00E773A1">
        <w:t xml:space="preserve"> </w:t>
      </w:r>
    </w:p>
    <w:p w14:paraId="115BB6C7" w14:textId="402D4EA2" w:rsidR="00E71AB9" w:rsidRDefault="00E71AB9" w:rsidP="00AF40B9">
      <w:r>
        <w:t xml:space="preserve">Narrative writing instruction </w:t>
      </w:r>
      <w:r w:rsidR="006E068A">
        <w:t xml:space="preserve">in </w:t>
      </w:r>
      <w:r>
        <w:t>this unit</w:t>
      </w:r>
      <w:r w:rsidR="00787E50">
        <w:t xml:space="preserve"> us</w:t>
      </w:r>
      <w:r w:rsidR="006E068A">
        <w:t>es all</w:t>
      </w:r>
      <w:r w:rsidR="00F24451">
        <w:t xml:space="preserve"> </w:t>
      </w:r>
      <w:r w:rsidR="00D56A2B">
        <w:t>three</w:t>
      </w:r>
      <w:r w:rsidR="00A43135">
        <w:t xml:space="preserve"> </w:t>
      </w:r>
      <w:r w:rsidR="00787E50">
        <w:t xml:space="preserve">texts from the </w:t>
      </w:r>
      <w:r w:rsidR="00A43135">
        <w:t xml:space="preserve">module </w:t>
      </w:r>
      <w:r w:rsidR="004B1D29">
        <w:t>as</w:t>
      </w:r>
      <w:r>
        <w:t xml:space="preserve"> </w:t>
      </w:r>
      <w:r w:rsidR="00A43135">
        <w:t>exemplar</w:t>
      </w:r>
      <w:r w:rsidR="004B1D29">
        <w:t>s</w:t>
      </w:r>
      <w:r w:rsidR="008A0383">
        <w:t xml:space="preserve"> of narrative</w:t>
      </w:r>
      <w:r w:rsidR="00787E50">
        <w:t xml:space="preserve"> writing</w:t>
      </w:r>
      <w:r>
        <w:t xml:space="preserve">. Students continue to engage in the writing process, responding to text-based </w:t>
      </w:r>
      <w:r w:rsidR="00A75483">
        <w:t xml:space="preserve">narrative writing </w:t>
      </w:r>
      <w:r>
        <w:t>prompts</w:t>
      </w:r>
      <w:r w:rsidR="00F6123C">
        <w:t>. Students draft new writing pieces and revise</w:t>
      </w:r>
      <w:r>
        <w:t xml:space="preserve"> narrative pieces from the previous unit</w:t>
      </w:r>
      <w:r w:rsidR="00A44F97">
        <w:t xml:space="preserve">, </w:t>
      </w:r>
      <w:r w:rsidR="006E068A">
        <w:t xml:space="preserve">as they </w:t>
      </w:r>
      <w:r w:rsidR="00A44F97">
        <w:t>implement the skills outlined in W.11-12.3.c</w:t>
      </w:r>
      <w:r w:rsidR="001713B8">
        <w:t xml:space="preserve">, d, </w:t>
      </w:r>
      <w:r w:rsidR="00A44F97">
        <w:t>e.</w:t>
      </w:r>
    </w:p>
    <w:p w14:paraId="067FABA4" w14:textId="77777777" w:rsidR="00A43135" w:rsidRDefault="00A43135" w:rsidP="00AF40B9">
      <w:r>
        <w:t xml:space="preserve">There are two </w:t>
      </w:r>
      <w:r w:rsidR="00EE6027">
        <w:t>formal assessments in this unit:</w:t>
      </w:r>
      <w:r>
        <w:t xml:space="preserve"> the Mid-Unit Assessment and the End-of-Unit Assessment. For the Mid-Unit Assessment, students </w:t>
      </w:r>
      <w:r w:rsidR="00C6157C">
        <w:t>craft</w:t>
      </w:r>
      <w:r>
        <w:t xml:space="preserve"> a written response to a prompt that asks them to analyze how the development of Edna’s character contribute</w:t>
      </w:r>
      <w:r w:rsidR="004B1D29">
        <w:t>s</w:t>
      </w:r>
      <w:r w:rsidR="00B811D9">
        <w:t xml:space="preserve"> to two</w:t>
      </w:r>
      <w:r>
        <w:t xml:space="preserve"> interrelated central ideas in </w:t>
      </w:r>
      <w:r w:rsidR="004326CE" w:rsidRPr="00641AA4">
        <w:rPr>
          <w:i/>
        </w:rPr>
        <w:t>T</w:t>
      </w:r>
      <w:r w:rsidRPr="00641AA4">
        <w:rPr>
          <w:i/>
        </w:rPr>
        <w:t xml:space="preserve">he </w:t>
      </w:r>
      <w:r w:rsidR="004326CE" w:rsidRPr="00641AA4">
        <w:rPr>
          <w:i/>
        </w:rPr>
        <w:t>Awakening</w:t>
      </w:r>
      <w:r w:rsidR="00ED0D06">
        <w:t xml:space="preserve">. </w:t>
      </w:r>
      <w:r>
        <w:t>For the End-of-Unit Assessment</w:t>
      </w:r>
      <w:r w:rsidR="004B1D29">
        <w:t>,</w:t>
      </w:r>
      <w:r>
        <w:t xml:space="preserve"> students engage in</w:t>
      </w:r>
      <w:r w:rsidR="00ED0D06">
        <w:t xml:space="preserve"> a formal</w:t>
      </w:r>
      <w:r>
        <w:t xml:space="preserve"> evidence</w:t>
      </w:r>
      <w:r w:rsidR="00ED0D06">
        <w:t>-</w:t>
      </w:r>
      <w:r>
        <w:t>based d</w:t>
      </w:r>
      <w:r w:rsidRPr="00BC39EF">
        <w:t>iscussion</w:t>
      </w:r>
      <w:r>
        <w:t xml:space="preserve"> in response to the following prompt</w:t>
      </w:r>
      <w:r w:rsidRPr="00BC39EF">
        <w:t xml:space="preserve">: </w:t>
      </w:r>
      <w:r w:rsidRPr="00B63F94">
        <w:t xml:space="preserve">Who </w:t>
      </w:r>
      <w:r w:rsidR="00DE47CC">
        <w:t xml:space="preserve">or what </w:t>
      </w:r>
      <w:r w:rsidRPr="00B63F94">
        <w:t>bears the most responsibility for the trag</w:t>
      </w:r>
      <w:r>
        <w:t xml:space="preserve">ic conclusion of </w:t>
      </w:r>
      <w:r w:rsidRPr="00530F4C">
        <w:rPr>
          <w:i/>
        </w:rPr>
        <w:t>The Awakening</w:t>
      </w:r>
      <w:r w:rsidRPr="00B63F94">
        <w:t>?</w:t>
      </w:r>
      <w:r>
        <w:t xml:space="preserve">  </w:t>
      </w:r>
    </w:p>
    <w:p w14:paraId="6AE860A8" w14:textId="77777777" w:rsidR="00CC183D" w:rsidRDefault="00CC183D" w:rsidP="00CC183D">
      <w:pPr>
        <w:pStyle w:val="Heading1"/>
      </w:pPr>
      <w:r>
        <w:lastRenderedPageBreak/>
        <w:t>Literacy Skills and Habits</w:t>
      </w:r>
    </w:p>
    <w:p w14:paraId="6FD10211" w14:textId="77777777" w:rsidR="00240430" w:rsidRPr="00677A89" w:rsidRDefault="00240430" w:rsidP="00240430">
      <w:pPr>
        <w:pStyle w:val="BulletedList"/>
      </w:pPr>
      <w:r>
        <w:t xml:space="preserve">Read closely for textual </w:t>
      </w:r>
      <w:r w:rsidRPr="00677A89">
        <w:t>details</w:t>
      </w:r>
    </w:p>
    <w:p w14:paraId="40493BE3" w14:textId="77777777" w:rsidR="00240430" w:rsidRPr="00677A89" w:rsidRDefault="00240430" w:rsidP="00240430">
      <w:pPr>
        <w:pStyle w:val="BulletedList"/>
      </w:pPr>
      <w:r w:rsidRPr="00677A89">
        <w:t>Annotate texts to support comprehension and analysis</w:t>
      </w:r>
    </w:p>
    <w:p w14:paraId="548B5B17" w14:textId="77777777" w:rsidR="00240430" w:rsidRPr="00677A89" w:rsidRDefault="00240430" w:rsidP="00240430">
      <w:pPr>
        <w:pStyle w:val="BulletedList"/>
      </w:pPr>
      <w:r w:rsidRPr="00677A89">
        <w:t>Engage in productive</w:t>
      </w:r>
      <w:r>
        <w:t>,</w:t>
      </w:r>
      <w:r w:rsidRPr="00677A89">
        <w:t xml:space="preserve"> evidence-based discussions about text</w:t>
      </w:r>
      <w:r>
        <w:t>s</w:t>
      </w:r>
    </w:p>
    <w:p w14:paraId="01326337" w14:textId="77777777" w:rsidR="00240430" w:rsidRDefault="00240430" w:rsidP="00240430">
      <w:pPr>
        <w:pStyle w:val="BulletedList"/>
      </w:pPr>
      <w:r w:rsidRPr="00677A89">
        <w:t>Collect and organize evidence from texts to support analysis in writing</w:t>
      </w:r>
    </w:p>
    <w:p w14:paraId="0514F101" w14:textId="77777777" w:rsidR="00240430" w:rsidRDefault="00240430" w:rsidP="00240430">
      <w:pPr>
        <w:pStyle w:val="BulletedList"/>
      </w:pPr>
      <w:r>
        <w:t>Collect and organize evidence from text</w:t>
      </w:r>
      <w:r w:rsidR="00787E50">
        <w:t>s</w:t>
      </w:r>
      <w:r>
        <w:t xml:space="preserve"> to support analysis in discussion</w:t>
      </w:r>
    </w:p>
    <w:p w14:paraId="0F6E5370" w14:textId="77777777" w:rsidR="00240430" w:rsidRPr="009023D9" w:rsidRDefault="00240430" w:rsidP="00240430">
      <w:pPr>
        <w:pStyle w:val="BulletedList"/>
      </w:pPr>
      <w:r>
        <w:t>Use vocabulary strategies to define unknown words</w:t>
      </w:r>
    </w:p>
    <w:p w14:paraId="5354F329" w14:textId="77777777" w:rsidR="00240430" w:rsidRDefault="00240430" w:rsidP="00240430">
      <w:pPr>
        <w:pStyle w:val="BulletedList"/>
      </w:pPr>
      <w:r>
        <w:t xml:space="preserve">Independently read </w:t>
      </w:r>
      <w:r w:rsidR="00787E50">
        <w:t xml:space="preserve">a </w:t>
      </w:r>
      <w:r>
        <w:t>text in preparation for supported analysis</w:t>
      </w:r>
    </w:p>
    <w:p w14:paraId="7D0156DF" w14:textId="77777777" w:rsidR="00240430" w:rsidRPr="003539A7" w:rsidRDefault="00240430" w:rsidP="00240430">
      <w:pPr>
        <w:pStyle w:val="BulletedList"/>
      </w:pPr>
      <w:r w:rsidRPr="003539A7">
        <w:t>Paraphrase and quote relevant evidence from a text</w:t>
      </w:r>
    </w:p>
    <w:p w14:paraId="376E9968" w14:textId="77777777" w:rsidR="00240430" w:rsidRDefault="00240430" w:rsidP="00240430">
      <w:pPr>
        <w:pStyle w:val="BulletedList"/>
      </w:pPr>
      <w:r w:rsidRPr="003539A7">
        <w:t>Generate and respond to questions in scholarly discourse</w:t>
      </w:r>
    </w:p>
    <w:p w14:paraId="28FFEFF1" w14:textId="77777777" w:rsidR="00240430" w:rsidRDefault="00240430" w:rsidP="00240430">
      <w:pPr>
        <w:pStyle w:val="BulletedList"/>
      </w:pPr>
      <w:r>
        <w:t>Examine and analyze fiction texts for effective narrative writing technique</w:t>
      </w:r>
    </w:p>
    <w:p w14:paraId="7DA4BD20" w14:textId="77777777" w:rsidR="00240430" w:rsidRDefault="00240430" w:rsidP="00240430">
      <w:pPr>
        <w:pStyle w:val="BulletedList"/>
      </w:pPr>
      <w:r>
        <w:t xml:space="preserve">Practice narrative writing techniques and </w:t>
      </w:r>
      <w:r w:rsidR="00301CF1">
        <w:t>skills</w:t>
      </w:r>
    </w:p>
    <w:p w14:paraId="33F866E4" w14:textId="77777777" w:rsidR="00240430" w:rsidRDefault="00240430" w:rsidP="00240430">
      <w:pPr>
        <w:pStyle w:val="BulletedList"/>
      </w:pPr>
      <w:r>
        <w:t>Engage in</w:t>
      </w:r>
      <w:r w:rsidR="00301CF1">
        <w:t xml:space="preserve"> the process of brainstorming, prewriting, drafting, peer review, revision, and publication of narrative writing</w:t>
      </w:r>
      <w:r>
        <w:t xml:space="preserve"> </w:t>
      </w:r>
    </w:p>
    <w:p w14:paraId="5B9012D1" w14:textId="77777777" w:rsidR="00CC183D" w:rsidRDefault="00CC183D" w:rsidP="00CC183D">
      <w:pPr>
        <w:pStyle w:val="Heading1"/>
      </w:pPr>
      <w:r>
        <w:t>Standards for This Unit</w:t>
      </w:r>
    </w:p>
    <w:tbl>
      <w:tblPr>
        <w:tblW w:w="9470" w:type="dxa"/>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592"/>
        <w:gridCol w:w="7878"/>
      </w:tblGrid>
      <w:tr w:rsidR="00E75803" w:rsidRPr="00401E53" w14:paraId="38DD47EB" w14:textId="77777777" w:rsidTr="00895EAD">
        <w:tc>
          <w:tcPr>
            <w:tcW w:w="9470" w:type="dxa"/>
            <w:gridSpan w:val="2"/>
            <w:shd w:val="clear" w:color="auto" w:fill="5F497A"/>
          </w:tcPr>
          <w:p w14:paraId="412EBB89" w14:textId="77777777" w:rsidR="00E75803" w:rsidRPr="00714725" w:rsidRDefault="00E75803" w:rsidP="00401E53">
            <w:pPr>
              <w:pStyle w:val="TableHeaders"/>
              <w:rPr>
                <w:lang w:val="en-US" w:eastAsia="en-US"/>
              </w:rPr>
            </w:pPr>
            <w:r w:rsidRPr="00E75803">
              <w:rPr>
                <w:lang w:val="en-US" w:eastAsia="en-US"/>
              </w:rPr>
              <w:t>College and Career Readiness Anchor Standards for Reading</w:t>
            </w:r>
          </w:p>
        </w:tc>
      </w:tr>
      <w:tr w:rsidR="00895EAD" w:rsidRPr="00E75803" w14:paraId="1898080B" w14:textId="77777777" w:rsidTr="00895EAD">
        <w:tc>
          <w:tcPr>
            <w:tcW w:w="9470" w:type="dxa"/>
            <w:gridSpan w:val="2"/>
            <w:shd w:val="clear" w:color="auto" w:fill="auto"/>
          </w:tcPr>
          <w:p w14:paraId="1C1CD159" w14:textId="77777777" w:rsidR="00895EAD" w:rsidRPr="00895EAD" w:rsidRDefault="00895EAD" w:rsidP="00F61E99">
            <w:pPr>
              <w:pStyle w:val="TableText"/>
            </w:pPr>
            <w:r>
              <w:t>None.</w:t>
            </w:r>
          </w:p>
        </w:tc>
      </w:tr>
      <w:tr w:rsidR="00CC183D" w:rsidRPr="00401E53" w14:paraId="19104B42" w14:textId="77777777" w:rsidTr="00895EAD">
        <w:tc>
          <w:tcPr>
            <w:tcW w:w="9470" w:type="dxa"/>
            <w:gridSpan w:val="2"/>
            <w:shd w:val="clear" w:color="auto" w:fill="5F497A"/>
          </w:tcPr>
          <w:p w14:paraId="1B795721" w14:textId="77777777" w:rsidR="00CC183D" w:rsidRPr="00714725" w:rsidRDefault="00CC183D" w:rsidP="00401E53">
            <w:pPr>
              <w:pStyle w:val="TableHeaders"/>
              <w:rPr>
                <w:lang w:val="en-US" w:eastAsia="en-US"/>
              </w:rPr>
            </w:pPr>
            <w:r w:rsidRPr="00714725">
              <w:rPr>
                <w:lang w:val="en-US" w:eastAsia="en-US"/>
              </w:rPr>
              <w:t>CCS Standards: Reading — Literature</w:t>
            </w:r>
          </w:p>
        </w:tc>
      </w:tr>
      <w:tr w:rsidR="00BC39EF" w:rsidRPr="00677A89" w14:paraId="16DD9320" w14:textId="77777777" w:rsidTr="001943B7">
        <w:tc>
          <w:tcPr>
            <w:tcW w:w="1592" w:type="dxa"/>
            <w:shd w:val="clear" w:color="auto" w:fill="auto"/>
          </w:tcPr>
          <w:p w14:paraId="2123D448" w14:textId="77777777" w:rsidR="00BC39EF" w:rsidRPr="00F31624" w:rsidRDefault="00BC39EF" w:rsidP="00BC39EF">
            <w:pPr>
              <w:pStyle w:val="TableHeaders"/>
              <w:rPr>
                <w:color w:val="auto"/>
                <w:lang w:val="en-US" w:eastAsia="en-US"/>
              </w:rPr>
            </w:pPr>
            <w:r w:rsidRPr="00F31624">
              <w:rPr>
                <w:color w:val="auto"/>
                <w:lang w:val="en-US" w:eastAsia="en-US"/>
              </w:rPr>
              <w:t>RL.11-12.2</w:t>
            </w:r>
          </w:p>
        </w:tc>
        <w:tc>
          <w:tcPr>
            <w:tcW w:w="7878" w:type="dxa"/>
          </w:tcPr>
          <w:p w14:paraId="7693958F" w14:textId="77777777" w:rsidR="00BC39EF" w:rsidRPr="00AD083F" w:rsidRDefault="00787E50" w:rsidP="00BC39EF">
            <w:pPr>
              <w:pStyle w:val="TableText"/>
              <w:rPr>
                <w:b/>
              </w:rPr>
            </w:pPr>
            <w:r w:rsidRPr="00AD083F">
              <w:rPr>
                <w:b/>
              </w:rPr>
              <w:t xml:space="preserve">Determine two or more </w:t>
            </w:r>
            <w:r>
              <w:rPr>
                <w:b/>
              </w:rPr>
              <w:t xml:space="preserve">themes or </w:t>
            </w:r>
            <w:r w:rsidRPr="00AD083F">
              <w:rPr>
                <w:b/>
              </w:rPr>
              <w:t xml:space="preserve">central ideas of a text and analyze their development over the course of the text, including how they interact and build on one another to provide a complex </w:t>
            </w:r>
            <w:r>
              <w:rPr>
                <w:b/>
              </w:rPr>
              <w:t>account;</w:t>
            </w:r>
            <w:r w:rsidRPr="00AD083F">
              <w:rPr>
                <w:b/>
              </w:rPr>
              <w:t xml:space="preserve"> provide an objective summary of the text.</w:t>
            </w:r>
          </w:p>
        </w:tc>
      </w:tr>
      <w:tr w:rsidR="00BC39EF" w:rsidRPr="0015083C" w14:paraId="60491A1B" w14:textId="77777777" w:rsidTr="001943B7">
        <w:tc>
          <w:tcPr>
            <w:tcW w:w="1592" w:type="dxa"/>
            <w:shd w:val="clear" w:color="auto" w:fill="auto"/>
          </w:tcPr>
          <w:p w14:paraId="4D61F5FC" w14:textId="77777777" w:rsidR="00BC39EF" w:rsidRPr="00F31624" w:rsidRDefault="00BC39EF" w:rsidP="00BC39EF">
            <w:pPr>
              <w:pStyle w:val="TableHeaders"/>
              <w:rPr>
                <w:color w:val="auto"/>
                <w:lang w:val="en-US" w:eastAsia="en-US"/>
              </w:rPr>
            </w:pPr>
            <w:r w:rsidRPr="00F31624">
              <w:rPr>
                <w:color w:val="auto"/>
                <w:lang w:val="en-US" w:eastAsia="en-US"/>
              </w:rPr>
              <w:t>RL.11-12.3</w:t>
            </w:r>
          </w:p>
        </w:tc>
        <w:tc>
          <w:tcPr>
            <w:tcW w:w="7878" w:type="dxa"/>
          </w:tcPr>
          <w:p w14:paraId="4226A9B3" w14:textId="252E678F" w:rsidR="00BC39EF" w:rsidRPr="00787E50" w:rsidRDefault="00837E66" w:rsidP="00787E50">
            <w:pPr>
              <w:pStyle w:val="TableText"/>
              <w:rPr>
                <w:b/>
              </w:rPr>
            </w:pPr>
            <w:r w:rsidRPr="00787E50">
              <w:rPr>
                <w:b/>
              </w:rPr>
              <w:t>Analyze the impact of the author</w:t>
            </w:r>
            <w:r w:rsidR="005E3F86">
              <w:rPr>
                <w:b/>
              </w:rPr>
              <w:t>’</w:t>
            </w:r>
            <w:r w:rsidRPr="00787E50">
              <w:rPr>
                <w:b/>
              </w:rPr>
              <w:t>s choices regarding how to develop and relate elements of a story or drama (e.g., where a story is set, how the action is ordered, how the characters are introduced and developed).</w:t>
            </w:r>
          </w:p>
        </w:tc>
      </w:tr>
      <w:tr w:rsidR="00BC39EF" w:rsidRPr="0015083C" w14:paraId="5A547B50" w14:textId="77777777" w:rsidTr="001943B7">
        <w:tc>
          <w:tcPr>
            <w:tcW w:w="1592" w:type="dxa"/>
            <w:shd w:val="clear" w:color="auto" w:fill="auto"/>
          </w:tcPr>
          <w:p w14:paraId="6F7B7518" w14:textId="77777777" w:rsidR="00BC39EF" w:rsidRPr="00F31624" w:rsidRDefault="00BC39EF" w:rsidP="00BC39EF">
            <w:pPr>
              <w:pStyle w:val="TableHeaders"/>
              <w:rPr>
                <w:color w:val="auto"/>
                <w:lang w:val="en-US" w:eastAsia="en-US"/>
              </w:rPr>
            </w:pPr>
            <w:r w:rsidRPr="00F31624">
              <w:rPr>
                <w:color w:val="auto"/>
                <w:lang w:val="en-US" w:eastAsia="en-US"/>
              </w:rPr>
              <w:t>RL.11-12.4</w:t>
            </w:r>
          </w:p>
        </w:tc>
        <w:tc>
          <w:tcPr>
            <w:tcW w:w="7878" w:type="dxa"/>
          </w:tcPr>
          <w:p w14:paraId="6E47FA26" w14:textId="77777777" w:rsidR="00BC39EF" w:rsidRPr="00787E50" w:rsidRDefault="00837E66" w:rsidP="00787E50">
            <w:pPr>
              <w:pStyle w:val="TableText"/>
              <w:rPr>
                <w:b/>
              </w:rPr>
            </w:pPr>
            <w:r w:rsidRPr="00787E50">
              <w:rPr>
                <w:b/>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895EAD" w:rsidRPr="007A12D1" w14:paraId="764D7228" w14:textId="77777777" w:rsidTr="00F31624">
        <w:tc>
          <w:tcPr>
            <w:tcW w:w="1592" w:type="dxa"/>
            <w:shd w:val="clear" w:color="auto" w:fill="auto"/>
          </w:tcPr>
          <w:p w14:paraId="760BA179" w14:textId="77777777" w:rsidR="00895EAD" w:rsidRPr="00F31624" w:rsidRDefault="00895EAD" w:rsidP="00895EAD">
            <w:pPr>
              <w:pStyle w:val="TableHeaders"/>
              <w:rPr>
                <w:color w:val="auto"/>
                <w:lang w:val="en-US" w:eastAsia="en-US"/>
              </w:rPr>
            </w:pPr>
            <w:r w:rsidRPr="00F31624">
              <w:rPr>
                <w:color w:val="auto"/>
                <w:lang w:val="en-US" w:eastAsia="en-US"/>
              </w:rPr>
              <w:lastRenderedPageBreak/>
              <w:t>RL.11-12.5</w:t>
            </w:r>
          </w:p>
        </w:tc>
        <w:tc>
          <w:tcPr>
            <w:tcW w:w="7878" w:type="dxa"/>
            <w:shd w:val="clear" w:color="auto" w:fill="auto"/>
          </w:tcPr>
          <w:p w14:paraId="373E9100" w14:textId="77777777" w:rsidR="00895EAD" w:rsidRPr="00787E50" w:rsidRDefault="00BC39EF" w:rsidP="00787E50">
            <w:pPr>
              <w:pStyle w:val="TableText"/>
              <w:rPr>
                <w:b/>
              </w:rPr>
            </w:pPr>
            <w:r w:rsidRPr="00787E50">
              <w:rPr>
                <w:b/>
              </w:rPr>
              <w:t>Analyze how an author’s choices concerning how to structure specific parts of a text (e.g.</w:t>
            </w:r>
            <w:r w:rsidR="005E3F86">
              <w:rPr>
                <w:b/>
              </w:rPr>
              <w:t>,</w:t>
            </w:r>
            <w:r w:rsidRPr="00787E50">
              <w:rPr>
                <w:b/>
              </w:rPr>
              <w:t xml:space="preserve"> the choice of where to begin or end a story, the choice to provide a comedic or tragic resolution) contribute to its overall structure and meaning as well as its aesthetic impact.</w:t>
            </w:r>
          </w:p>
        </w:tc>
      </w:tr>
      <w:tr w:rsidR="00C568E2" w:rsidRPr="00714725" w14:paraId="5EBEFD02" w14:textId="77777777" w:rsidTr="00C568E2">
        <w:tc>
          <w:tcPr>
            <w:tcW w:w="9470" w:type="dxa"/>
            <w:gridSpan w:val="2"/>
            <w:shd w:val="clear" w:color="auto" w:fill="5F497A"/>
          </w:tcPr>
          <w:p w14:paraId="14215B79" w14:textId="77777777" w:rsidR="00C568E2" w:rsidRPr="00714725" w:rsidRDefault="00C568E2" w:rsidP="00C568E2">
            <w:pPr>
              <w:pStyle w:val="TableHeaders"/>
              <w:rPr>
                <w:lang w:val="en-US" w:eastAsia="en-US"/>
              </w:rPr>
            </w:pPr>
            <w:r w:rsidRPr="00714725">
              <w:rPr>
                <w:lang w:val="en-US" w:eastAsia="en-US"/>
              </w:rPr>
              <w:t xml:space="preserve">CCS Standards: Reading — </w:t>
            </w:r>
            <w:r>
              <w:rPr>
                <w:lang w:val="en-US" w:eastAsia="en-US"/>
              </w:rPr>
              <w:t>Informational</w:t>
            </w:r>
          </w:p>
        </w:tc>
      </w:tr>
      <w:tr w:rsidR="00AE185F" w:rsidRPr="007A12D1" w14:paraId="0C64872B" w14:textId="77777777" w:rsidTr="00BF73A4">
        <w:tc>
          <w:tcPr>
            <w:tcW w:w="9470" w:type="dxa"/>
            <w:gridSpan w:val="2"/>
            <w:shd w:val="clear" w:color="auto" w:fill="auto"/>
          </w:tcPr>
          <w:p w14:paraId="5FFD1D93" w14:textId="77777777" w:rsidR="00AE185F" w:rsidRPr="00C568E2" w:rsidRDefault="00C568E2" w:rsidP="00BC39EF">
            <w:pPr>
              <w:pStyle w:val="TableHeaders"/>
              <w:rPr>
                <w:b w:val="0"/>
                <w:color w:val="auto"/>
                <w:lang w:val="en-US" w:eastAsia="en-US"/>
              </w:rPr>
            </w:pPr>
            <w:r>
              <w:rPr>
                <w:b w:val="0"/>
                <w:color w:val="auto"/>
                <w:lang w:val="en-US" w:eastAsia="en-US"/>
              </w:rPr>
              <w:t>None.</w:t>
            </w:r>
          </w:p>
        </w:tc>
      </w:tr>
      <w:tr w:rsidR="00895EAD" w:rsidRPr="00401E53" w14:paraId="73896759" w14:textId="77777777" w:rsidTr="00895EAD">
        <w:tc>
          <w:tcPr>
            <w:tcW w:w="9470" w:type="dxa"/>
            <w:gridSpan w:val="2"/>
            <w:shd w:val="clear" w:color="auto" w:fill="5F497A"/>
          </w:tcPr>
          <w:p w14:paraId="07A22C47" w14:textId="77777777" w:rsidR="00895EAD" w:rsidRPr="00714725" w:rsidRDefault="00895EAD" w:rsidP="00895EAD">
            <w:pPr>
              <w:pStyle w:val="TableHeaders"/>
              <w:rPr>
                <w:lang w:val="en-US" w:eastAsia="en-US"/>
              </w:rPr>
            </w:pPr>
            <w:r w:rsidRPr="00895EAD">
              <w:rPr>
                <w:lang w:val="en-US" w:eastAsia="en-US"/>
              </w:rPr>
              <w:t xml:space="preserve">CCS Standards: </w:t>
            </w:r>
            <w:r>
              <w:rPr>
                <w:lang w:val="en-US" w:eastAsia="en-US"/>
              </w:rPr>
              <w:t>Writing</w:t>
            </w:r>
          </w:p>
        </w:tc>
      </w:tr>
      <w:tr w:rsidR="00BC39EF" w:rsidRPr="00C568E2" w14:paraId="21A21EC8" w14:textId="77777777" w:rsidTr="001943B7">
        <w:tc>
          <w:tcPr>
            <w:tcW w:w="1592" w:type="dxa"/>
            <w:shd w:val="clear" w:color="auto" w:fill="auto"/>
          </w:tcPr>
          <w:p w14:paraId="794EAD13" w14:textId="0047901A" w:rsidR="00BC39EF" w:rsidRPr="00F31624" w:rsidRDefault="00BC39EF" w:rsidP="009861AD">
            <w:pPr>
              <w:pStyle w:val="TableHeaders"/>
              <w:rPr>
                <w:color w:val="auto"/>
                <w:lang w:val="en-US" w:eastAsia="en-US"/>
              </w:rPr>
            </w:pPr>
            <w:r w:rsidRPr="00F31624">
              <w:rPr>
                <w:color w:val="auto"/>
                <w:lang w:val="en-US" w:eastAsia="en-US"/>
              </w:rPr>
              <w:t>W.11-12.2</w:t>
            </w:r>
            <w:r w:rsidR="00603512">
              <w:rPr>
                <w:color w:val="auto"/>
                <w:lang w:val="en-US" w:eastAsia="en-US"/>
              </w:rPr>
              <w:t>.</w:t>
            </w:r>
            <w:r w:rsidR="00BF73A4">
              <w:rPr>
                <w:color w:val="auto"/>
                <w:lang w:val="en-US" w:eastAsia="en-US"/>
              </w:rPr>
              <w:t>a-f</w:t>
            </w:r>
          </w:p>
        </w:tc>
        <w:tc>
          <w:tcPr>
            <w:tcW w:w="7878" w:type="dxa"/>
          </w:tcPr>
          <w:p w14:paraId="5A52B9E5" w14:textId="77777777" w:rsidR="00BC39EF" w:rsidRPr="00C568E2" w:rsidRDefault="00BC39EF" w:rsidP="009861AD">
            <w:pPr>
              <w:pStyle w:val="SubStandard"/>
              <w:numPr>
                <w:ilvl w:val="0"/>
                <w:numId w:val="0"/>
              </w:numPr>
              <w:rPr>
                <w:b/>
              </w:rPr>
            </w:pPr>
            <w:r w:rsidRPr="00C568E2">
              <w:rPr>
                <w:b/>
              </w:rPr>
              <w:t>Write informative/explanatory texts to examine and convey complex ideas, concepts, and information clearly and accurately through the effective selection, organization, and analysis of content.</w:t>
            </w:r>
          </w:p>
          <w:p w14:paraId="32B27A1B" w14:textId="77777777" w:rsidR="00BF73A4" w:rsidRPr="00F5601C" w:rsidRDefault="00BF73A4" w:rsidP="00AA41A6">
            <w:pPr>
              <w:pStyle w:val="SubStandard"/>
              <w:contextualSpacing/>
              <w:outlineLvl w:val="4"/>
              <w:rPr>
                <w:b/>
              </w:rPr>
            </w:pPr>
            <w:r w:rsidRPr="00F5601C">
              <w:rPr>
                <w:b/>
              </w:rP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04033794" w14:textId="546FDCEE" w:rsidR="00BF73A4" w:rsidRPr="00C568E2" w:rsidRDefault="00BF73A4" w:rsidP="00C568E2">
            <w:pPr>
              <w:pStyle w:val="SubStandard"/>
              <w:rPr>
                <w:b/>
              </w:rPr>
            </w:pPr>
            <w:r w:rsidRPr="00C568E2">
              <w:rPr>
                <w:b/>
              </w:rPr>
              <w:t>Develop the topic thoroughly by selecting the most significant and relevant facts, extended definitions, concrete details, quotations, or other information and examples appropriate to the audience</w:t>
            </w:r>
            <w:r w:rsidR="000A176F">
              <w:rPr>
                <w:b/>
              </w:rPr>
              <w:t>’</w:t>
            </w:r>
            <w:r w:rsidRPr="00C568E2">
              <w:rPr>
                <w:b/>
              </w:rPr>
              <w:t>s knowledge of the topic.</w:t>
            </w:r>
          </w:p>
          <w:p w14:paraId="0A77CD1C" w14:textId="77777777" w:rsidR="00BF73A4" w:rsidRPr="00C568E2" w:rsidRDefault="00BF73A4" w:rsidP="00C568E2">
            <w:pPr>
              <w:pStyle w:val="SubStandard"/>
              <w:rPr>
                <w:b/>
              </w:rPr>
            </w:pPr>
            <w:r w:rsidRPr="00C568E2">
              <w:rPr>
                <w:b/>
              </w:rPr>
              <w:t>Use appropriate and varied transitions and syntax to link the major sections of the text, create cohesion, and clarify the relationships among complex ideas and concepts.</w:t>
            </w:r>
          </w:p>
          <w:p w14:paraId="31046252" w14:textId="77777777" w:rsidR="00BF73A4" w:rsidRPr="00C568E2" w:rsidRDefault="00BF73A4" w:rsidP="00C568E2">
            <w:pPr>
              <w:pStyle w:val="SubStandard"/>
              <w:rPr>
                <w:b/>
              </w:rPr>
            </w:pPr>
            <w:r w:rsidRPr="00C568E2">
              <w:rPr>
                <w:b/>
              </w:rPr>
              <w:t>Use precise language, domain-specific vocabulary, and techniques such as metaphor, simile, and analogy to manage the complexity of the topic.</w:t>
            </w:r>
          </w:p>
          <w:p w14:paraId="103CB1A5" w14:textId="77777777" w:rsidR="00BF73A4" w:rsidRPr="00C568E2" w:rsidRDefault="00BF73A4" w:rsidP="00C568E2">
            <w:pPr>
              <w:pStyle w:val="SubStandard"/>
              <w:rPr>
                <w:b/>
              </w:rPr>
            </w:pPr>
            <w:r w:rsidRPr="00C568E2">
              <w:rPr>
                <w:b/>
              </w:rPr>
              <w:t>Establish and maintain a formal style and objective tone while attending to the norms and conventions of the discipline in which they are writing.</w:t>
            </w:r>
          </w:p>
          <w:p w14:paraId="0377AFDB" w14:textId="77777777" w:rsidR="00BF73A4" w:rsidRPr="00C568E2" w:rsidRDefault="006C463A" w:rsidP="00C568E2">
            <w:pPr>
              <w:pStyle w:val="SubStandard"/>
              <w:rPr>
                <w:b/>
              </w:rPr>
            </w:pPr>
            <w:r w:rsidRPr="00C568E2">
              <w:rPr>
                <w:b/>
              </w:rPr>
              <w:t>Provide a concluding statement or section that follows from and supports the information or explanation presented (e.g., articulating implications or the significance of the topic).</w:t>
            </w:r>
          </w:p>
        </w:tc>
      </w:tr>
      <w:tr w:rsidR="00BC39EF" w:rsidRPr="00401E53" w14:paraId="16273F07" w14:textId="77777777" w:rsidTr="00895EAD">
        <w:tc>
          <w:tcPr>
            <w:tcW w:w="1592" w:type="dxa"/>
            <w:shd w:val="clear" w:color="auto" w:fill="auto"/>
          </w:tcPr>
          <w:p w14:paraId="6383974D" w14:textId="627B8C19" w:rsidR="00BC39EF" w:rsidRPr="00CE1D63" w:rsidRDefault="009861AD" w:rsidP="00BC39EF">
            <w:pPr>
              <w:pStyle w:val="TableHeaders"/>
              <w:rPr>
                <w:b w:val="0"/>
                <w:color w:val="auto"/>
                <w:lang w:val="en-US" w:eastAsia="en-US"/>
              </w:rPr>
            </w:pPr>
            <w:r w:rsidRPr="00CE1D63">
              <w:rPr>
                <w:b w:val="0"/>
                <w:color w:val="auto"/>
                <w:lang w:val="en-US" w:eastAsia="en-US"/>
              </w:rPr>
              <w:t>W.11-12.3.</w:t>
            </w:r>
            <w:r w:rsidR="00D94E9B">
              <w:rPr>
                <w:b w:val="0"/>
                <w:color w:val="auto"/>
                <w:lang w:val="en-US" w:eastAsia="en-US"/>
              </w:rPr>
              <w:t>c</w:t>
            </w:r>
            <w:r w:rsidR="000A176F">
              <w:rPr>
                <w:b w:val="0"/>
                <w:color w:val="auto"/>
                <w:lang w:val="en-US" w:eastAsia="en-US"/>
              </w:rPr>
              <w:t xml:space="preserve">, d, </w:t>
            </w:r>
            <w:r w:rsidRPr="00CE1D63">
              <w:rPr>
                <w:b w:val="0"/>
                <w:color w:val="auto"/>
                <w:lang w:val="en-US" w:eastAsia="en-US"/>
              </w:rPr>
              <w:t>e</w:t>
            </w:r>
          </w:p>
        </w:tc>
        <w:tc>
          <w:tcPr>
            <w:tcW w:w="7878" w:type="dxa"/>
            <w:shd w:val="clear" w:color="auto" w:fill="auto"/>
          </w:tcPr>
          <w:p w14:paraId="4A504B1A" w14:textId="77777777" w:rsidR="009861AD" w:rsidRPr="00CE1D63" w:rsidRDefault="009861AD" w:rsidP="009861AD">
            <w:pPr>
              <w:pStyle w:val="TableText"/>
            </w:pPr>
            <w:r w:rsidRPr="00CE1D63">
              <w:t>Write narratives to develop real or imagined experiences or events using effective technique, well-chosen details, and well-structured event sequences.</w:t>
            </w:r>
          </w:p>
          <w:p w14:paraId="055DEE07" w14:textId="77777777" w:rsidR="00EE6027" w:rsidRDefault="009861AD" w:rsidP="00EE6027">
            <w:pPr>
              <w:pStyle w:val="SubStandard"/>
              <w:numPr>
                <w:ilvl w:val="0"/>
                <w:numId w:val="35"/>
              </w:numPr>
            </w:pPr>
            <w:r w:rsidRPr="00CE1D63">
              <w:t>Use a variety of techniques to sequence events so that they build on one another to create a coherent whole and build toward a particular tone and outcome (e.g., a sense of mystery, suspense, growth, or resolution).</w:t>
            </w:r>
          </w:p>
          <w:p w14:paraId="7F814440" w14:textId="77777777" w:rsidR="00EE6027" w:rsidRDefault="009861AD" w:rsidP="00EE6027">
            <w:pPr>
              <w:pStyle w:val="SubStandard"/>
              <w:numPr>
                <w:ilvl w:val="0"/>
                <w:numId w:val="35"/>
              </w:numPr>
            </w:pPr>
            <w:r w:rsidRPr="00CE1D63">
              <w:t>Use precise words and phrases, telling details, and sensory language to convey a vivid picture of the experiences, events, setting, and/or characters.</w:t>
            </w:r>
          </w:p>
          <w:p w14:paraId="1D2456EB" w14:textId="77777777" w:rsidR="00BC39EF" w:rsidRPr="002110A5" w:rsidRDefault="009861AD" w:rsidP="00EE6027">
            <w:pPr>
              <w:pStyle w:val="SubStandard"/>
              <w:numPr>
                <w:ilvl w:val="0"/>
                <w:numId w:val="35"/>
              </w:numPr>
            </w:pPr>
            <w:r w:rsidRPr="00CE1D63">
              <w:t xml:space="preserve">Provide a conclusion that follows from and reflects on what is experienced, </w:t>
            </w:r>
            <w:r w:rsidRPr="00CE1D63">
              <w:lastRenderedPageBreak/>
              <w:t>observed, or resolved over the course of the narrative.</w:t>
            </w:r>
          </w:p>
        </w:tc>
      </w:tr>
      <w:tr w:rsidR="00BC39EF" w:rsidRPr="00401E53" w14:paraId="03F24BF0" w14:textId="77777777" w:rsidTr="001943B7">
        <w:tc>
          <w:tcPr>
            <w:tcW w:w="1592" w:type="dxa"/>
            <w:shd w:val="clear" w:color="auto" w:fill="auto"/>
          </w:tcPr>
          <w:p w14:paraId="7AA9B838" w14:textId="77777777" w:rsidR="00BC39EF" w:rsidRPr="00F31624" w:rsidRDefault="00BC39EF" w:rsidP="00BC39EF">
            <w:pPr>
              <w:pStyle w:val="TableHeaders"/>
              <w:rPr>
                <w:color w:val="auto"/>
                <w:lang w:val="en-US" w:eastAsia="en-US"/>
              </w:rPr>
            </w:pPr>
            <w:r w:rsidRPr="00F31624">
              <w:rPr>
                <w:color w:val="auto"/>
                <w:lang w:val="en-US" w:eastAsia="en-US"/>
              </w:rPr>
              <w:lastRenderedPageBreak/>
              <w:t>W.11-12.4</w:t>
            </w:r>
          </w:p>
        </w:tc>
        <w:tc>
          <w:tcPr>
            <w:tcW w:w="7878" w:type="dxa"/>
          </w:tcPr>
          <w:p w14:paraId="5C0D43E3" w14:textId="77777777" w:rsidR="00BC39EF" w:rsidRPr="00BC39EF" w:rsidRDefault="00BC39EF" w:rsidP="00BC39EF">
            <w:pPr>
              <w:pStyle w:val="TableText"/>
              <w:rPr>
                <w:b/>
              </w:rPr>
            </w:pPr>
            <w:r w:rsidRPr="00BC39EF">
              <w:rPr>
                <w:b/>
              </w:rPr>
              <w:t>Produce clear and coherent writing in which the development, organization, and style are appropriate to task, purpose, and audience.</w:t>
            </w:r>
          </w:p>
        </w:tc>
      </w:tr>
      <w:tr w:rsidR="00BC39EF" w:rsidRPr="00401E53" w14:paraId="1EDDD35D" w14:textId="77777777" w:rsidTr="001943B7">
        <w:tc>
          <w:tcPr>
            <w:tcW w:w="1592" w:type="dxa"/>
            <w:shd w:val="clear" w:color="auto" w:fill="auto"/>
          </w:tcPr>
          <w:p w14:paraId="0157DBF5" w14:textId="77777777" w:rsidR="00BC39EF" w:rsidRPr="00F31624" w:rsidRDefault="00BC39EF" w:rsidP="00BC39EF">
            <w:pPr>
              <w:pStyle w:val="TableHeaders"/>
              <w:rPr>
                <w:color w:val="auto"/>
                <w:lang w:val="en-US" w:eastAsia="en-US"/>
              </w:rPr>
            </w:pPr>
            <w:r w:rsidRPr="00F31624">
              <w:rPr>
                <w:color w:val="auto"/>
                <w:lang w:val="en-US" w:eastAsia="en-US"/>
              </w:rPr>
              <w:t>W.11-12.5</w:t>
            </w:r>
          </w:p>
        </w:tc>
        <w:tc>
          <w:tcPr>
            <w:tcW w:w="7878" w:type="dxa"/>
          </w:tcPr>
          <w:p w14:paraId="229DE819" w14:textId="77777777" w:rsidR="00BC39EF" w:rsidRPr="00BC39EF" w:rsidRDefault="00BC39EF" w:rsidP="00BC39EF">
            <w:pPr>
              <w:pStyle w:val="TableText"/>
              <w:rPr>
                <w:b/>
              </w:rPr>
            </w:pPr>
            <w:r w:rsidRPr="00BC39EF">
              <w:rPr>
                <w:b/>
              </w:rPr>
              <w:t xml:space="preserve">Develop and strengthen writing as needed by planning, revising, editing, rewriting, or trying a new approach, focusing on addressing what is most significant for a specific purpose and audience. </w:t>
            </w:r>
          </w:p>
        </w:tc>
      </w:tr>
      <w:tr w:rsidR="00BC39EF" w:rsidRPr="00401E53" w14:paraId="570044C5" w14:textId="77777777" w:rsidTr="00895EAD">
        <w:tc>
          <w:tcPr>
            <w:tcW w:w="1592" w:type="dxa"/>
            <w:shd w:val="clear" w:color="auto" w:fill="auto"/>
          </w:tcPr>
          <w:p w14:paraId="3F025251" w14:textId="77777777" w:rsidR="00BC39EF" w:rsidRPr="009861AD" w:rsidRDefault="00BC39EF" w:rsidP="00BC39EF">
            <w:pPr>
              <w:pStyle w:val="TableHeaders"/>
              <w:rPr>
                <w:color w:val="auto"/>
                <w:lang w:val="en-US" w:eastAsia="en-US"/>
              </w:rPr>
            </w:pPr>
            <w:r w:rsidRPr="009861AD">
              <w:rPr>
                <w:color w:val="auto"/>
                <w:lang w:val="en-US" w:eastAsia="en-US"/>
              </w:rPr>
              <w:t>W.11-12.9.a</w:t>
            </w:r>
          </w:p>
        </w:tc>
        <w:tc>
          <w:tcPr>
            <w:tcW w:w="7878" w:type="dxa"/>
            <w:shd w:val="clear" w:color="auto" w:fill="auto"/>
          </w:tcPr>
          <w:p w14:paraId="571CC01C" w14:textId="77777777" w:rsidR="00BC39EF" w:rsidRPr="009861AD" w:rsidRDefault="00BC39EF" w:rsidP="00BC39EF">
            <w:pPr>
              <w:spacing w:before="40" w:after="40"/>
              <w:rPr>
                <w:b/>
              </w:rPr>
            </w:pPr>
            <w:r w:rsidRPr="009861AD">
              <w:rPr>
                <w:b/>
              </w:rPr>
              <w:t>Draw evidence from literary or informational texts to support analysis, reflection, and research.</w:t>
            </w:r>
          </w:p>
          <w:p w14:paraId="0502C9B1" w14:textId="77777777" w:rsidR="00BC39EF" w:rsidRPr="00C568E2" w:rsidRDefault="00BC39EF" w:rsidP="00C568E2">
            <w:pPr>
              <w:pStyle w:val="SubStandard"/>
              <w:numPr>
                <w:ilvl w:val="0"/>
                <w:numId w:val="31"/>
              </w:numPr>
              <w:rPr>
                <w:b/>
              </w:rPr>
            </w:pPr>
            <w:r w:rsidRPr="00C568E2">
              <w:rPr>
                <w:b/>
              </w:rPr>
              <w:t xml:space="preserve">Apply </w:t>
            </w:r>
            <w:r w:rsidRPr="00C568E2">
              <w:rPr>
                <w:b/>
                <w:i/>
              </w:rPr>
              <w:t>grades 11–12 Reading standards</w:t>
            </w:r>
            <w:r w:rsidRPr="00C568E2">
              <w:rPr>
                <w:b/>
              </w:rPr>
              <w:t xml:space="preserve"> to literature (e.g., “Demonstrate knowledge of eighteenth</w:t>
            </w:r>
            <w:r w:rsidR="00F67F83" w:rsidRPr="00C568E2">
              <w:rPr>
                <w:b/>
              </w:rPr>
              <w:t>-</w:t>
            </w:r>
            <w:r w:rsidRPr="00C568E2">
              <w:rPr>
                <w:b/>
              </w:rPr>
              <w:t>, nineteenth- and early-twentieth-century foundational works of American literature, including how two or more texts from the same period treat similar themes or topics”).</w:t>
            </w:r>
          </w:p>
        </w:tc>
      </w:tr>
      <w:tr w:rsidR="00BC39EF" w:rsidRPr="00401E53" w14:paraId="02D8D961" w14:textId="77777777" w:rsidTr="00895EAD">
        <w:tc>
          <w:tcPr>
            <w:tcW w:w="9470" w:type="dxa"/>
            <w:gridSpan w:val="2"/>
            <w:shd w:val="clear" w:color="auto" w:fill="5F497A"/>
          </w:tcPr>
          <w:p w14:paraId="405B1F9E" w14:textId="77777777" w:rsidR="00BC39EF" w:rsidRPr="009861AD" w:rsidRDefault="00BC39EF" w:rsidP="00BC39EF">
            <w:pPr>
              <w:pStyle w:val="TableHeaders"/>
              <w:rPr>
                <w:lang w:val="en-US" w:eastAsia="en-US"/>
              </w:rPr>
            </w:pPr>
            <w:r w:rsidRPr="009861AD">
              <w:rPr>
                <w:lang w:val="en-US" w:eastAsia="en-US"/>
              </w:rPr>
              <w:t>CCS Standards: Speaking &amp; Listening</w:t>
            </w:r>
          </w:p>
        </w:tc>
      </w:tr>
      <w:tr w:rsidR="00BC39EF" w:rsidRPr="005E59CC" w14:paraId="57E525A7" w14:textId="77777777" w:rsidTr="00F31624">
        <w:tc>
          <w:tcPr>
            <w:tcW w:w="1592" w:type="dxa"/>
          </w:tcPr>
          <w:p w14:paraId="5417FDB5" w14:textId="77777777" w:rsidR="00BC39EF" w:rsidRPr="009861AD" w:rsidRDefault="00BC39EF" w:rsidP="00BC39EF">
            <w:pPr>
              <w:pStyle w:val="TableText"/>
              <w:rPr>
                <w:b/>
              </w:rPr>
            </w:pPr>
            <w:r w:rsidRPr="009861AD">
              <w:rPr>
                <w:b/>
              </w:rPr>
              <w:t>SL.11-12.1.a</w:t>
            </w:r>
            <w:r w:rsidR="0011003C">
              <w:rPr>
                <w:b/>
              </w:rPr>
              <w:t>, c, d</w:t>
            </w:r>
          </w:p>
        </w:tc>
        <w:tc>
          <w:tcPr>
            <w:tcW w:w="7878" w:type="dxa"/>
          </w:tcPr>
          <w:p w14:paraId="376CEDAF" w14:textId="77777777" w:rsidR="00BC39EF" w:rsidRPr="009861AD" w:rsidRDefault="00BC39EF" w:rsidP="00BC39EF">
            <w:pPr>
              <w:pStyle w:val="TableText"/>
              <w:rPr>
                <w:b/>
                <w:lang w:eastAsia="ja-JP"/>
              </w:rPr>
            </w:pPr>
            <w:r w:rsidRPr="009861AD">
              <w:rPr>
                <w:b/>
                <w:lang w:eastAsia="ja-JP"/>
              </w:rPr>
              <w:t xml:space="preserve">Initiate and participate effectively in a range of collaborative discussions (one-on- one, in groups, and teacher-led) with diverse partners on </w:t>
            </w:r>
            <w:r w:rsidRPr="00C568E2">
              <w:rPr>
                <w:b/>
                <w:i/>
                <w:lang w:eastAsia="ja-JP"/>
              </w:rPr>
              <w:t>grades 11–12 topics, texts, and issues</w:t>
            </w:r>
            <w:r w:rsidRPr="009861AD">
              <w:rPr>
                <w:b/>
                <w:lang w:eastAsia="ja-JP"/>
              </w:rPr>
              <w:t>, building on others’ ideas and expressing their own clearly and persuasively.</w:t>
            </w:r>
          </w:p>
          <w:p w14:paraId="68E736C0" w14:textId="77777777" w:rsidR="00BC39EF" w:rsidRPr="00EE6027" w:rsidRDefault="00BC39EF" w:rsidP="00552F00">
            <w:pPr>
              <w:pStyle w:val="SubStandard"/>
              <w:numPr>
                <w:ilvl w:val="0"/>
                <w:numId w:val="41"/>
              </w:numPr>
              <w:rPr>
                <w:b/>
                <w:lang w:eastAsia="ja-JP"/>
              </w:rPr>
            </w:pPr>
            <w:r w:rsidRPr="00EE6027">
              <w:rPr>
                <w:b/>
                <w:lang w:eastAsia="ja-JP"/>
              </w:rPr>
              <w:t>Come to discussions prepared, having read and researched material under study; explicitly draw on that preparation by referring to evidence from texts and other research on the topic or issue to stimulate a thoughtful, well-reasoned exchange of ideas.</w:t>
            </w:r>
          </w:p>
          <w:p w14:paraId="092C5E56" w14:textId="77777777" w:rsidR="00BC39EF" w:rsidRPr="00EE6027" w:rsidRDefault="00BC39EF" w:rsidP="00552F00">
            <w:pPr>
              <w:pStyle w:val="SubStandard"/>
              <w:numPr>
                <w:ilvl w:val="0"/>
                <w:numId w:val="45"/>
              </w:numPr>
              <w:rPr>
                <w:b/>
                <w:lang w:eastAsia="ja-JP"/>
              </w:rPr>
            </w:pPr>
            <w:r w:rsidRPr="00EE6027">
              <w:rPr>
                <w:b/>
                <w:lang w:eastAsia="ja-JP"/>
              </w:rPr>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062BC304" w14:textId="77777777" w:rsidR="00BC39EF" w:rsidRPr="009861AD" w:rsidDel="001047F1" w:rsidRDefault="00BC39EF" w:rsidP="00552F00">
            <w:pPr>
              <w:pStyle w:val="SubStandard"/>
              <w:rPr>
                <w:lang w:eastAsia="ja-JP"/>
              </w:rPr>
            </w:pPr>
            <w:r w:rsidRPr="00EE6027">
              <w:rPr>
                <w:b/>
                <w:lang w:eastAsia="ja-JP"/>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BC39EF" w:rsidRPr="007A12D1" w14:paraId="6129FC39" w14:textId="77777777" w:rsidTr="00895EAD">
        <w:tc>
          <w:tcPr>
            <w:tcW w:w="9470" w:type="dxa"/>
            <w:gridSpan w:val="2"/>
            <w:shd w:val="clear" w:color="auto" w:fill="5F497A"/>
          </w:tcPr>
          <w:p w14:paraId="0CE25029" w14:textId="77777777" w:rsidR="00BC39EF" w:rsidRPr="009861AD" w:rsidRDefault="00BC39EF" w:rsidP="00BC39EF">
            <w:pPr>
              <w:pStyle w:val="TableHeaders"/>
              <w:rPr>
                <w:lang w:val="en-US" w:eastAsia="en-US"/>
              </w:rPr>
            </w:pPr>
            <w:r w:rsidRPr="009861AD">
              <w:rPr>
                <w:lang w:val="en-US" w:eastAsia="en-US"/>
              </w:rPr>
              <w:t>CCS Standards: Language</w:t>
            </w:r>
          </w:p>
        </w:tc>
      </w:tr>
      <w:tr w:rsidR="00BC39EF" w:rsidRPr="00677A89" w14:paraId="193DFB09" w14:textId="77777777" w:rsidTr="00F31624">
        <w:tc>
          <w:tcPr>
            <w:tcW w:w="1592" w:type="dxa"/>
            <w:tcMar>
              <w:top w:w="100" w:type="dxa"/>
              <w:left w:w="108" w:type="dxa"/>
              <w:bottom w:w="100" w:type="dxa"/>
              <w:right w:w="108" w:type="dxa"/>
            </w:tcMar>
          </w:tcPr>
          <w:p w14:paraId="22BE13EA" w14:textId="77777777" w:rsidR="00BC39EF" w:rsidRPr="00737CDD" w:rsidRDefault="00BC39EF" w:rsidP="00BC39EF">
            <w:pPr>
              <w:pStyle w:val="TableText"/>
              <w:rPr>
                <w:spacing w:val="-4"/>
              </w:rPr>
            </w:pPr>
            <w:r w:rsidRPr="00737CDD">
              <w:rPr>
                <w:spacing w:val="-4"/>
              </w:rPr>
              <w:t>L.11-12.4.a</w:t>
            </w:r>
            <w:r w:rsidR="009A6ECF">
              <w:rPr>
                <w:spacing w:val="-4"/>
              </w:rPr>
              <w:t>, b</w:t>
            </w:r>
          </w:p>
        </w:tc>
        <w:tc>
          <w:tcPr>
            <w:tcW w:w="7878" w:type="dxa"/>
          </w:tcPr>
          <w:p w14:paraId="710EBF7D" w14:textId="77777777" w:rsidR="00BC39EF" w:rsidRPr="001B4132" w:rsidRDefault="00BC39EF" w:rsidP="00BC39EF">
            <w:pPr>
              <w:pStyle w:val="TableText"/>
            </w:pPr>
            <w:r w:rsidRPr="001B4132">
              <w:t xml:space="preserve">Determine or clarify the meaning of unknown and multiple-meaning words and phrases based on </w:t>
            </w:r>
            <w:r w:rsidRPr="001B4132">
              <w:rPr>
                <w:i/>
              </w:rPr>
              <w:t>grades 11–12 reading and content</w:t>
            </w:r>
            <w:r w:rsidRPr="001B4132">
              <w:t>, choosing flexibly from a range of strategies.</w:t>
            </w:r>
          </w:p>
          <w:p w14:paraId="5DD50330" w14:textId="77777777" w:rsidR="00EE6027" w:rsidRDefault="00BC39EF" w:rsidP="00EE6027">
            <w:pPr>
              <w:pStyle w:val="SubStandard"/>
              <w:numPr>
                <w:ilvl w:val="0"/>
                <w:numId w:val="39"/>
              </w:numPr>
            </w:pPr>
            <w:r w:rsidRPr="001B4132">
              <w:t>Use context (e.g., the overall meaning of a sentence, paragraph, or text; a word’s</w:t>
            </w:r>
            <w:r w:rsidR="001B4132" w:rsidRPr="001B4132">
              <w:t xml:space="preserve"> </w:t>
            </w:r>
            <w:r w:rsidRPr="001B4132">
              <w:lastRenderedPageBreak/>
              <w:t>position or function in a sentence) as a clue to the meaning of a word or phrase.</w:t>
            </w:r>
          </w:p>
          <w:p w14:paraId="4FE82E1D" w14:textId="77777777" w:rsidR="009A6ECF" w:rsidRPr="00EE6027" w:rsidRDefault="00737CDD" w:rsidP="00EE6027">
            <w:pPr>
              <w:pStyle w:val="SubStandard"/>
              <w:numPr>
                <w:ilvl w:val="0"/>
                <w:numId w:val="39"/>
              </w:numPr>
            </w:pPr>
            <w:r w:rsidRPr="001B4132">
              <w:t>Identify and correctly use patterns of word changes that indicate different meanings or parts of speech (e.g.,</w:t>
            </w:r>
            <w:r w:rsidR="006E068A" w:rsidRPr="001B4132">
              <w:t xml:space="preserve"> </w:t>
            </w:r>
            <w:r w:rsidRPr="00EE6027">
              <w:rPr>
                <w:rFonts w:eastAsia="MS ??"/>
                <w:i/>
                <w:iCs/>
              </w:rPr>
              <w:t>conceive, conception, conceivable</w:t>
            </w:r>
            <w:r w:rsidRPr="001B4132">
              <w:t>).</w:t>
            </w:r>
          </w:p>
        </w:tc>
      </w:tr>
      <w:tr w:rsidR="00BC39EF" w:rsidRPr="00677A89" w14:paraId="6E47C81D" w14:textId="77777777" w:rsidTr="00737CDD">
        <w:trPr>
          <w:trHeight w:val="763"/>
        </w:trPr>
        <w:tc>
          <w:tcPr>
            <w:tcW w:w="1592" w:type="dxa"/>
            <w:tcMar>
              <w:top w:w="100" w:type="dxa"/>
              <w:left w:w="108" w:type="dxa"/>
              <w:bottom w:w="100" w:type="dxa"/>
              <w:right w:w="108" w:type="dxa"/>
            </w:tcMar>
          </w:tcPr>
          <w:p w14:paraId="79D43C57" w14:textId="77777777" w:rsidR="00BC39EF" w:rsidRPr="00737CDD" w:rsidRDefault="00BC39EF" w:rsidP="00BC39EF">
            <w:pPr>
              <w:pStyle w:val="TableText"/>
              <w:rPr>
                <w:spacing w:val="-4"/>
              </w:rPr>
            </w:pPr>
            <w:r w:rsidRPr="00737CDD">
              <w:rPr>
                <w:spacing w:val="-4"/>
              </w:rPr>
              <w:lastRenderedPageBreak/>
              <w:t>L.11-12.5</w:t>
            </w:r>
          </w:p>
        </w:tc>
        <w:tc>
          <w:tcPr>
            <w:tcW w:w="7878" w:type="dxa"/>
          </w:tcPr>
          <w:p w14:paraId="5E1BDF06" w14:textId="77777777" w:rsidR="00BC39EF" w:rsidRPr="00737CDD" w:rsidRDefault="00BC39EF" w:rsidP="00BC39EF">
            <w:pPr>
              <w:pStyle w:val="TableText"/>
            </w:pPr>
            <w:r w:rsidRPr="00737CDD">
              <w:t>Demonstrate understanding of figurative language, word relationships, and nuances in word meanings.</w:t>
            </w:r>
          </w:p>
        </w:tc>
      </w:tr>
    </w:tbl>
    <w:p w14:paraId="52D4DFB1" w14:textId="77777777" w:rsidR="00CC183D" w:rsidRPr="007A12D1" w:rsidRDefault="00CC183D" w:rsidP="00CC183D">
      <w:pPr>
        <w:rPr>
          <w:sz w:val="20"/>
        </w:rPr>
      </w:pPr>
      <w:r w:rsidRPr="007A12D1">
        <w:rPr>
          <w:b/>
          <w:sz w:val="20"/>
        </w:rPr>
        <w:t>Note:</w:t>
      </w:r>
      <w:r w:rsidRPr="007A12D1">
        <w:rPr>
          <w:sz w:val="20"/>
        </w:rPr>
        <w:t xml:space="preserve"> Bold text indicates targeted standards that will be assessed in the unit.</w:t>
      </w:r>
    </w:p>
    <w:p w14:paraId="4B967D84" w14:textId="77777777" w:rsidR="00CC183D" w:rsidRDefault="00CC183D" w:rsidP="00CC183D">
      <w:pPr>
        <w:pStyle w:val="Heading1"/>
      </w:pPr>
      <w:r>
        <w:t>Unit Assessments</w:t>
      </w:r>
    </w:p>
    <w:tbl>
      <w:tblPr>
        <w:tblW w:w="947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30"/>
        <w:gridCol w:w="7847"/>
      </w:tblGrid>
      <w:tr w:rsidR="00CC183D" w:rsidRPr="00DF7D60" w14:paraId="02C791A8" w14:textId="77777777" w:rsidTr="00C46F19">
        <w:tc>
          <w:tcPr>
            <w:tcW w:w="9477" w:type="dxa"/>
            <w:gridSpan w:val="2"/>
            <w:shd w:val="clear" w:color="auto" w:fill="5F497A"/>
          </w:tcPr>
          <w:p w14:paraId="675A003A" w14:textId="77777777" w:rsidR="00CC183D" w:rsidRPr="00714725" w:rsidRDefault="00CC183D" w:rsidP="00CC183D">
            <w:pPr>
              <w:pStyle w:val="TableHeaders"/>
              <w:rPr>
                <w:lang w:val="en-US" w:eastAsia="en-US"/>
              </w:rPr>
            </w:pPr>
            <w:r w:rsidRPr="00714725">
              <w:rPr>
                <w:lang w:val="en-US" w:eastAsia="en-US"/>
              </w:rPr>
              <w:t>Ongoing Assessment</w:t>
            </w:r>
          </w:p>
        </w:tc>
      </w:tr>
      <w:tr w:rsidR="00CC183D" w:rsidRPr="00677A89" w14:paraId="5B784367" w14:textId="77777777" w:rsidTr="00C46F19">
        <w:tc>
          <w:tcPr>
            <w:tcW w:w="1630" w:type="dxa"/>
          </w:tcPr>
          <w:p w14:paraId="3D2B92AD" w14:textId="77777777" w:rsidR="00CC183D" w:rsidRPr="00677A89" w:rsidRDefault="00CC183D" w:rsidP="007A12D1">
            <w:pPr>
              <w:pStyle w:val="TableText"/>
            </w:pPr>
            <w:r w:rsidRPr="00677A89">
              <w:t>Standards Assessed</w:t>
            </w:r>
          </w:p>
        </w:tc>
        <w:tc>
          <w:tcPr>
            <w:tcW w:w="7847" w:type="dxa"/>
          </w:tcPr>
          <w:p w14:paraId="4BA6DCFA" w14:textId="38BA8A0D" w:rsidR="00CC183D" w:rsidRPr="00F31624" w:rsidRDefault="00F31624" w:rsidP="00F5601C">
            <w:pPr>
              <w:pStyle w:val="TableText"/>
            </w:pPr>
            <w:r>
              <w:t>RL.11-12.2, RL.1</w:t>
            </w:r>
            <w:r w:rsidR="00140AC2">
              <w:t xml:space="preserve">1-12.3, RL.11-12.4, RL.11-12.5, </w:t>
            </w:r>
            <w:r>
              <w:t>W.1</w:t>
            </w:r>
            <w:r w:rsidR="009861AD">
              <w:t>1-12.4, W.11-12.5, W.11-12.9.a, SL.11-12.1.a, c, d</w:t>
            </w:r>
          </w:p>
        </w:tc>
      </w:tr>
      <w:tr w:rsidR="00CC183D" w:rsidRPr="00677A89" w14:paraId="2309A527" w14:textId="77777777" w:rsidTr="00C46F19">
        <w:tc>
          <w:tcPr>
            <w:tcW w:w="1630" w:type="dxa"/>
          </w:tcPr>
          <w:p w14:paraId="2FBEA56E" w14:textId="77777777" w:rsidR="00CC183D" w:rsidRPr="00677A89" w:rsidRDefault="00CC183D" w:rsidP="007A12D1">
            <w:pPr>
              <w:pStyle w:val="TableText"/>
            </w:pPr>
            <w:r w:rsidRPr="00677A89">
              <w:t>Description of Assessment</w:t>
            </w:r>
          </w:p>
        </w:tc>
        <w:tc>
          <w:tcPr>
            <w:tcW w:w="7847" w:type="dxa"/>
          </w:tcPr>
          <w:p w14:paraId="3FDD2CBA" w14:textId="2DBE3D64" w:rsidR="00CC183D" w:rsidRPr="00677A89" w:rsidRDefault="00996E9D" w:rsidP="00DE47CC">
            <w:pPr>
              <w:pStyle w:val="TableText"/>
            </w:pPr>
            <w:r>
              <w:t>Assessments for reading lessons vary</w:t>
            </w:r>
            <w:r w:rsidRPr="00F31624">
              <w:t xml:space="preserve"> but may include </w:t>
            </w:r>
            <w:r>
              <w:t>informal</w:t>
            </w:r>
            <w:r w:rsidRPr="00F31624">
              <w:t xml:space="preserve"> written responses</w:t>
            </w:r>
            <w:r>
              <w:t xml:space="preserve"> or evidence-based discussions in response to text-</w:t>
            </w:r>
            <w:r w:rsidR="00DE47CC">
              <w:t>based</w:t>
            </w:r>
            <w:r>
              <w:t xml:space="preserve"> </w:t>
            </w:r>
            <w:r w:rsidR="00DE47CC">
              <w:t xml:space="preserve">questions and </w:t>
            </w:r>
            <w:r>
              <w:t>prompts</w:t>
            </w:r>
            <w:r w:rsidRPr="00F31624">
              <w:t xml:space="preserve">. </w:t>
            </w:r>
            <w:r>
              <w:t>Additionally, students plan, draft, and peer review responses to text-based narrative writing prompts.</w:t>
            </w:r>
            <w:r w:rsidRPr="00F31624" w:rsidDel="00996E9D">
              <w:t xml:space="preserve"> </w:t>
            </w:r>
          </w:p>
        </w:tc>
      </w:tr>
    </w:tbl>
    <w:p w14:paraId="44118AE1" w14:textId="77777777" w:rsidR="00CC183D" w:rsidRDefault="00CC183D" w:rsidP="00C75D7B">
      <w:pPr>
        <w:spacing w:after="0"/>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10"/>
        <w:gridCol w:w="7750"/>
      </w:tblGrid>
      <w:tr w:rsidR="00F31624" w:rsidRPr="00F31624" w14:paraId="40F2D2A7" w14:textId="77777777" w:rsidTr="001943B7">
        <w:tc>
          <w:tcPr>
            <w:tcW w:w="9460" w:type="dxa"/>
            <w:gridSpan w:val="2"/>
            <w:shd w:val="clear" w:color="auto" w:fill="5F497A"/>
          </w:tcPr>
          <w:p w14:paraId="7009BF0A" w14:textId="77777777" w:rsidR="00F31624" w:rsidRPr="00F31624" w:rsidRDefault="00F31624" w:rsidP="00F31624">
            <w:pPr>
              <w:spacing w:before="40" w:after="40" w:line="240" w:lineRule="auto"/>
              <w:rPr>
                <w:b/>
                <w:color w:val="FFFFFF"/>
              </w:rPr>
            </w:pPr>
            <w:r>
              <w:rPr>
                <w:b/>
                <w:color w:val="FFFFFF"/>
              </w:rPr>
              <w:t>Mid</w:t>
            </w:r>
            <w:r w:rsidRPr="00F31624">
              <w:rPr>
                <w:b/>
                <w:color w:val="FFFFFF"/>
              </w:rPr>
              <w:t>-Unit Assessment</w:t>
            </w:r>
          </w:p>
        </w:tc>
      </w:tr>
      <w:tr w:rsidR="00F31624" w:rsidRPr="00F31624" w14:paraId="006797E1" w14:textId="77777777" w:rsidTr="001943B7">
        <w:tc>
          <w:tcPr>
            <w:tcW w:w="1710" w:type="dxa"/>
          </w:tcPr>
          <w:p w14:paraId="3E88196C" w14:textId="77777777" w:rsidR="00F31624" w:rsidRPr="00F31624" w:rsidRDefault="00F31624" w:rsidP="00F31624">
            <w:pPr>
              <w:spacing w:before="40" w:after="40"/>
            </w:pPr>
            <w:r w:rsidRPr="00F31624">
              <w:t>Standards Assessed</w:t>
            </w:r>
          </w:p>
        </w:tc>
        <w:tc>
          <w:tcPr>
            <w:tcW w:w="7750" w:type="dxa"/>
          </w:tcPr>
          <w:p w14:paraId="06442C63" w14:textId="77777777" w:rsidR="00F31624" w:rsidRPr="00F31624" w:rsidRDefault="00AF40B9" w:rsidP="00F31624">
            <w:pPr>
              <w:spacing w:before="40" w:after="40"/>
            </w:pPr>
            <w:r>
              <w:t>RL.11-12.2, RL.11-12.3, W.11-12.2</w:t>
            </w:r>
            <w:r w:rsidR="00140AC2">
              <w:t>.a-</w:t>
            </w:r>
            <w:r w:rsidR="003F2010">
              <w:t>f</w:t>
            </w:r>
          </w:p>
        </w:tc>
      </w:tr>
      <w:tr w:rsidR="00F31624" w:rsidRPr="00F31624" w14:paraId="2BEB3F13" w14:textId="77777777" w:rsidTr="001943B7">
        <w:trPr>
          <w:trHeight w:val="740"/>
        </w:trPr>
        <w:tc>
          <w:tcPr>
            <w:tcW w:w="1710" w:type="dxa"/>
          </w:tcPr>
          <w:p w14:paraId="213A31E9" w14:textId="77777777" w:rsidR="00F31624" w:rsidRPr="00F31624" w:rsidRDefault="00F31624" w:rsidP="00F31624">
            <w:pPr>
              <w:spacing w:before="40" w:after="40"/>
            </w:pPr>
            <w:r w:rsidRPr="00F31624">
              <w:t>Description of Assessment</w:t>
            </w:r>
          </w:p>
        </w:tc>
        <w:tc>
          <w:tcPr>
            <w:tcW w:w="7750" w:type="dxa"/>
          </w:tcPr>
          <w:p w14:paraId="509980B3" w14:textId="77777777" w:rsidR="00F31624" w:rsidRPr="00F31624" w:rsidRDefault="00B811D9" w:rsidP="00B811D9">
            <w:pPr>
              <w:spacing w:before="40" w:after="40"/>
            </w:pPr>
            <w:r>
              <w:t>Students write a m</w:t>
            </w:r>
            <w:r w:rsidR="00AF40B9">
              <w:t>ulti-paragraph response to the following prompt: How does the development of Edna’s character contribute to two interrelated central ideas in the text?</w:t>
            </w:r>
          </w:p>
        </w:tc>
      </w:tr>
    </w:tbl>
    <w:p w14:paraId="7ADF92E4" w14:textId="77777777" w:rsidR="00F31624" w:rsidRDefault="00F31624" w:rsidP="00C75D7B">
      <w:pPr>
        <w:spacing w:after="0"/>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10"/>
        <w:gridCol w:w="7750"/>
      </w:tblGrid>
      <w:tr w:rsidR="00CC183D" w:rsidRPr="00DF7D60" w14:paraId="3FCDB0AE" w14:textId="77777777" w:rsidTr="00285B7F">
        <w:tc>
          <w:tcPr>
            <w:tcW w:w="9460" w:type="dxa"/>
            <w:gridSpan w:val="2"/>
            <w:shd w:val="clear" w:color="auto" w:fill="5F497A"/>
          </w:tcPr>
          <w:p w14:paraId="713CAD35" w14:textId="77777777" w:rsidR="00CC183D" w:rsidRPr="00714725" w:rsidRDefault="00CC183D" w:rsidP="00CC183D">
            <w:pPr>
              <w:pStyle w:val="TableHeaders"/>
              <w:rPr>
                <w:lang w:val="en-US" w:eastAsia="en-US"/>
              </w:rPr>
            </w:pPr>
            <w:r w:rsidRPr="00714725">
              <w:rPr>
                <w:lang w:val="en-US" w:eastAsia="en-US"/>
              </w:rPr>
              <w:t>End-of-Unit Assessment</w:t>
            </w:r>
          </w:p>
        </w:tc>
      </w:tr>
      <w:tr w:rsidR="00CC183D" w:rsidRPr="00677A89" w14:paraId="35873C06" w14:textId="77777777" w:rsidTr="00285B7F">
        <w:tc>
          <w:tcPr>
            <w:tcW w:w="1710" w:type="dxa"/>
          </w:tcPr>
          <w:p w14:paraId="50FFE8BD" w14:textId="77777777" w:rsidR="00CC183D" w:rsidRPr="00677A89" w:rsidRDefault="00CC183D" w:rsidP="007A12D1">
            <w:pPr>
              <w:pStyle w:val="TableText"/>
            </w:pPr>
            <w:r w:rsidRPr="00677A89">
              <w:t>Standards Assessed</w:t>
            </w:r>
          </w:p>
        </w:tc>
        <w:tc>
          <w:tcPr>
            <w:tcW w:w="7750" w:type="dxa"/>
          </w:tcPr>
          <w:p w14:paraId="04907939" w14:textId="77777777" w:rsidR="00CC183D" w:rsidRPr="00F31624" w:rsidRDefault="005D2589" w:rsidP="007A12D1">
            <w:pPr>
              <w:pStyle w:val="TableText"/>
            </w:pPr>
            <w:r>
              <w:t>RL.11-12.2, RL.11-12.3, SL.11-12.</w:t>
            </w:r>
            <w:r w:rsidR="0097228F">
              <w:t>1.</w:t>
            </w:r>
            <w:r>
              <w:t>a, c, d</w:t>
            </w:r>
          </w:p>
        </w:tc>
      </w:tr>
      <w:tr w:rsidR="00CC183D" w:rsidRPr="00677A89" w14:paraId="6AB7EB71" w14:textId="77777777" w:rsidTr="00285B7F">
        <w:trPr>
          <w:trHeight w:val="740"/>
        </w:trPr>
        <w:tc>
          <w:tcPr>
            <w:tcW w:w="1710" w:type="dxa"/>
          </w:tcPr>
          <w:p w14:paraId="2016947D" w14:textId="77777777" w:rsidR="00CC183D" w:rsidRPr="00677A89" w:rsidRDefault="00CC183D" w:rsidP="007A12D1">
            <w:pPr>
              <w:pStyle w:val="TableText"/>
            </w:pPr>
            <w:r w:rsidRPr="00677A89">
              <w:t>Description of Assessment</w:t>
            </w:r>
          </w:p>
        </w:tc>
        <w:tc>
          <w:tcPr>
            <w:tcW w:w="7750" w:type="dxa"/>
          </w:tcPr>
          <w:p w14:paraId="1D4B3EE0" w14:textId="77777777" w:rsidR="00F31624" w:rsidRPr="00677A89" w:rsidRDefault="0097228F" w:rsidP="00797442">
            <w:pPr>
              <w:pStyle w:val="TableText"/>
            </w:pPr>
            <w:r>
              <w:t>Students</w:t>
            </w:r>
            <w:r w:rsidR="00797442">
              <w:t xml:space="preserve"> engage in a formal, evidence-based discussion in response to the following prompt</w:t>
            </w:r>
            <w:r w:rsidR="00BC39EF" w:rsidRPr="00BC39EF">
              <w:t xml:space="preserve">: </w:t>
            </w:r>
            <w:r w:rsidR="005D2589" w:rsidRPr="00B63F94">
              <w:t xml:space="preserve">Who </w:t>
            </w:r>
            <w:r w:rsidR="00DE47CC">
              <w:t xml:space="preserve">or what </w:t>
            </w:r>
            <w:r w:rsidR="005D2589" w:rsidRPr="00B63F94">
              <w:t>bears the most responsibility for the trag</w:t>
            </w:r>
            <w:r w:rsidR="005D2589">
              <w:t xml:space="preserve">ic conclusion of </w:t>
            </w:r>
            <w:r w:rsidR="005D2589" w:rsidRPr="00530F4C">
              <w:rPr>
                <w:i/>
              </w:rPr>
              <w:t>The Awakening</w:t>
            </w:r>
            <w:r w:rsidR="005D2589" w:rsidRPr="00B63F94">
              <w:t>?</w:t>
            </w:r>
          </w:p>
        </w:tc>
      </w:tr>
    </w:tbl>
    <w:p w14:paraId="2CD0469D" w14:textId="77777777" w:rsidR="00CC183D" w:rsidRDefault="00CC183D" w:rsidP="00CC183D">
      <w:pPr>
        <w:pStyle w:val="Heading1"/>
      </w:pPr>
      <w:r>
        <w:lastRenderedPageBreak/>
        <w:t>Unit-at-a-Glance Calendar</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997"/>
        <w:gridCol w:w="2736"/>
        <w:gridCol w:w="5724"/>
      </w:tblGrid>
      <w:tr w:rsidR="00CC183D" w:rsidRPr="00C46F19" w14:paraId="626A8920" w14:textId="77777777" w:rsidTr="00AF40B9">
        <w:trPr>
          <w:cantSplit/>
          <w:tblHeader/>
        </w:trPr>
        <w:tc>
          <w:tcPr>
            <w:tcW w:w="997" w:type="dxa"/>
            <w:shd w:val="clear" w:color="auto" w:fill="5F497A"/>
            <w:vAlign w:val="center"/>
          </w:tcPr>
          <w:p w14:paraId="4D31B27A" w14:textId="77777777" w:rsidR="00CC183D" w:rsidRPr="00714725" w:rsidRDefault="00CC183D" w:rsidP="00C46F19">
            <w:pPr>
              <w:pStyle w:val="TableHeaders"/>
              <w:rPr>
                <w:lang w:val="en-US" w:eastAsia="en-US"/>
              </w:rPr>
            </w:pPr>
            <w:r w:rsidRPr="00714725">
              <w:rPr>
                <w:lang w:val="en-US" w:eastAsia="en-US"/>
              </w:rPr>
              <w:t>Lesson</w:t>
            </w:r>
          </w:p>
        </w:tc>
        <w:tc>
          <w:tcPr>
            <w:tcW w:w="2736" w:type="dxa"/>
            <w:shd w:val="clear" w:color="auto" w:fill="5F497A"/>
            <w:vAlign w:val="center"/>
          </w:tcPr>
          <w:p w14:paraId="0698CA11" w14:textId="77777777" w:rsidR="00CC183D" w:rsidRPr="00714725" w:rsidRDefault="00CC183D" w:rsidP="00C46F19">
            <w:pPr>
              <w:pStyle w:val="TableHeaders"/>
              <w:rPr>
                <w:lang w:val="en-US" w:eastAsia="en-US"/>
              </w:rPr>
            </w:pPr>
            <w:r w:rsidRPr="00714725">
              <w:rPr>
                <w:lang w:val="en-US" w:eastAsia="en-US"/>
              </w:rPr>
              <w:t>Text</w:t>
            </w:r>
          </w:p>
        </w:tc>
        <w:tc>
          <w:tcPr>
            <w:tcW w:w="5724" w:type="dxa"/>
            <w:shd w:val="clear" w:color="auto" w:fill="5F497A"/>
            <w:vAlign w:val="center"/>
          </w:tcPr>
          <w:p w14:paraId="2E8C9630" w14:textId="77777777" w:rsidR="00CC183D" w:rsidRPr="00714725" w:rsidRDefault="00CC183D" w:rsidP="00C46F19">
            <w:pPr>
              <w:pStyle w:val="TableHeaders"/>
              <w:rPr>
                <w:lang w:val="en-US" w:eastAsia="en-US"/>
              </w:rPr>
            </w:pPr>
            <w:r w:rsidRPr="00714725">
              <w:rPr>
                <w:lang w:val="en-US" w:eastAsia="en-US"/>
              </w:rPr>
              <w:t>Learning Outcomes/Goals</w:t>
            </w:r>
          </w:p>
        </w:tc>
      </w:tr>
      <w:tr w:rsidR="00CC183D" w:rsidRPr="001F7CAA" w14:paraId="3DA843ED" w14:textId="77777777" w:rsidTr="00AF40B9">
        <w:trPr>
          <w:cantSplit/>
        </w:trPr>
        <w:tc>
          <w:tcPr>
            <w:tcW w:w="997" w:type="dxa"/>
            <w:shd w:val="clear" w:color="auto" w:fill="FFFFFF"/>
          </w:tcPr>
          <w:p w14:paraId="2C1B7ABA" w14:textId="77777777" w:rsidR="00CC183D" w:rsidRPr="001F7CAA" w:rsidRDefault="00CC183D" w:rsidP="001F7CAA">
            <w:pPr>
              <w:pStyle w:val="TableText"/>
            </w:pPr>
            <w:r w:rsidRPr="001F7CAA">
              <w:t>1</w:t>
            </w:r>
          </w:p>
        </w:tc>
        <w:tc>
          <w:tcPr>
            <w:tcW w:w="2736" w:type="dxa"/>
            <w:shd w:val="clear" w:color="auto" w:fill="FFFFFF"/>
          </w:tcPr>
          <w:p w14:paraId="353FECD7" w14:textId="4A642DE3" w:rsidR="00CC183D" w:rsidRPr="001F7CAA" w:rsidRDefault="00AF40B9" w:rsidP="00EE0277">
            <w:pPr>
              <w:pStyle w:val="TableText"/>
            </w:pPr>
            <w:r w:rsidRPr="00AF40B9">
              <w:rPr>
                <w:i/>
              </w:rPr>
              <w:t>The Awakening</w:t>
            </w:r>
            <w:r w:rsidR="0094631D">
              <w:t xml:space="preserve"> by Kate Chopin</w:t>
            </w:r>
            <w:r w:rsidR="00EE0277" w:rsidRPr="0094631D">
              <w:t>,</w:t>
            </w:r>
            <w:r w:rsidR="0094631D">
              <w:t xml:space="preserve"> C</w:t>
            </w:r>
            <w:r w:rsidR="00267BE8">
              <w:t>hapters I–</w:t>
            </w:r>
            <w:r w:rsidR="00F26FCB">
              <w:t>II</w:t>
            </w:r>
          </w:p>
        </w:tc>
        <w:tc>
          <w:tcPr>
            <w:tcW w:w="5724" w:type="dxa"/>
            <w:shd w:val="clear" w:color="auto" w:fill="FFFFFF"/>
          </w:tcPr>
          <w:p w14:paraId="706DC194" w14:textId="77777777" w:rsidR="00CC183D" w:rsidRPr="00832D6F" w:rsidRDefault="007810F1" w:rsidP="002151DE">
            <w:pPr>
              <w:pStyle w:val="TableText"/>
            </w:pPr>
            <w:r w:rsidRPr="00832D6F">
              <w:t xml:space="preserve">In this first lesson of the unit, students begin an exploration of </w:t>
            </w:r>
            <w:r w:rsidRPr="00832D6F">
              <w:rPr>
                <w:i/>
              </w:rPr>
              <w:t>The Awakening</w:t>
            </w:r>
            <w:r w:rsidRPr="00832D6F">
              <w:t xml:space="preserve"> by Kate Chopin. Students read and analyze chapters I–II of </w:t>
            </w:r>
            <w:r w:rsidRPr="00832D6F">
              <w:rPr>
                <w:rFonts w:cs="Arial"/>
                <w:i/>
                <w:color w:val="000000"/>
                <w:shd w:val="clear" w:color="auto" w:fill="FFFFFF"/>
              </w:rPr>
              <w:t>The Awakening</w:t>
            </w:r>
            <w:r w:rsidR="00CA0B0D">
              <w:rPr>
                <w:rFonts w:cs="Arial"/>
                <w:i/>
                <w:color w:val="000000"/>
                <w:shd w:val="clear" w:color="auto" w:fill="FFFFFF"/>
              </w:rPr>
              <w:t>,</w:t>
            </w:r>
            <w:r w:rsidR="002151DE" w:rsidRPr="00832D6F">
              <w:rPr>
                <w:rFonts w:cs="Arial"/>
                <w:color w:val="000000"/>
                <w:shd w:val="clear" w:color="auto" w:fill="FFFFFF"/>
              </w:rPr>
              <w:t xml:space="preserve"> </w:t>
            </w:r>
            <w:r w:rsidRPr="00832D6F">
              <w:rPr>
                <w:rFonts w:cs="Arial"/>
                <w:color w:val="000000"/>
                <w:shd w:val="clear" w:color="auto" w:fill="FFFFFF"/>
              </w:rPr>
              <w:t>in which the characters of Mr. Pontellier, Mrs. Pontellier, and Robert are introduced. Students focus on the impact of Chopin’s choice to introduce Mr. Pontellier before his wife in the text. Additionally, students consider the relationships between Mr. and Mrs. Pontellier, and Mrs. Pontellier and Robert.</w:t>
            </w:r>
          </w:p>
        </w:tc>
      </w:tr>
      <w:tr w:rsidR="00CC183D" w:rsidRPr="001F7CAA" w14:paraId="5C2086AF" w14:textId="77777777" w:rsidTr="00AF40B9">
        <w:trPr>
          <w:cantSplit/>
        </w:trPr>
        <w:tc>
          <w:tcPr>
            <w:tcW w:w="997" w:type="dxa"/>
            <w:shd w:val="clear" w:color="auto" w:fill="FFFFFF"/>
          </w:tcPr>
          <w:p w14:paraId="7B42A9FE" w14:textId="77777777" w:rsidR="00CC183D" w:rsidRPr="001F7CAA" w:rsidRDefault="00CC183D" w:rsidP="001F7CAA">
            <w:pPr>
              <w:pStyle w:val="TableText"/>
            </w:pPr>
            <w:r w:rsidRPr="001F7CAA">
              <w:t>2</w:t>
            </w:r>
          </w:p>
        </w:tc>
        <w:tc>
          <w:tcPr>
            <w:tcW w:w="2736" w:type="dxa"/>
            <w:shd w:val="clear" w:color="auto" w:fill="FFFFFF"/>
          </w:tcPr>
          <w:p w14:paraId="47807FBE" w14:textId="61D83870" w:rsidR="00CC183D" w:rsidRPr="001F7CAA" w:rsidRDefault="00AF40B9" w:rsidP="0094631D">
            <w:pPr>
              <w:pStyle w:val="TableText"/>
            </w:pPr>
            <w:r w:rsidRPr="00AF40B9">
              <w:rPr>
                <w:i/>
              </w:rPr>
              <w:t>The Awakening</w:t>
            </w:r>
            <w:r w:rsidR="0094631D">
              <w:t xml:space="preserve"> by Kate Chopin,</w:t>
            </w:r>
            <w:r>
              <w:t xml:space="preserve"> </w:t>
            </w:r>
            <w:r w:rsidR="0094631D">
              <w:t>C</w:t>
            </w:r>
            <w:r w:rsidR="00F26FCB">
              <w:t>hapter IV</w:t>
            </w:r>
          </w:p>
        </w:tc>
        <w:tc>
          <w:tcPr>
            <w:tcW w:w="5724" w:type="dxa"/>
            <w:shd w:val="clear" w:color="auto" w:fill="FFFFFF"/>
          </w:tcPr>
          <w:p w14:paraId="27B16947" w14:textId="77777777" w:rsidR="00CC183D" w:rsidRPr="00832D6F" w:rsidRDefault="007810F1" w:rsidP="00840038">
            <w:pPr>
              <w:pStyle w:val="TableText"/>
            </w:pPr>
            <w:r w:rsidRPr="00832D6F">
              <w:rPr>
                <w:rStyle w:val="BulletedListChar"/>
                <w:rFonts w:eastAsia="Calibri"/>
              </w:rPr>
              <w:t xml:space="preserve">In this lesson, students read and analyze chapter IV of </w:t>
            </w:r>
            <w:r w:rsidRPr="00832D6F">
              <w:rPr>
                <w:rStyle w:val="BulletedListChar"/>
                <w:rFonts w:eastAsia="Calibri"/>
                <w:i/>
              </w:rPr>
              <w:t>The Awakening</w:t>
            </w:r>
            <w:r w:rsidR="00840038" w:rsidRPr="00832D6F">
              <w:rPr>
                <w:rFonts w:cs="Arial"/>
                <w:color w:val="000000"/>
                <w:shd w:val="clear" w:color="auto" w:fill="FFFFFF"/>
              </w:rPr>
              <w:t>.</w:t>
            </w:r>
            <w:r w:rsidRPr="00832D6F">
              <w:rPr>
                <w:rFonts w:cs="Arial"/>
                <w:color w:val="000000"/>
                <w:shd w:val="clear" w:color="auto" w:fill="FFFFFF"/>
              </w:rPr>
              <w:t xml:space="preserve"> Student analysis focuses on Chopin’s use of figurative language in this chapter, specifically the compound noun “mother-woman” (p. 10). Students consider how this phrase describes one of the typical female social roles of this time, and how the tension between Edna and the idea of the “mother-woman” further develops her character.</w:t>
            </w:r>
          </w:p>
        </w:tc>
      </w:tr>
      <w:tr w:rsidR="00CC183D" w:rsidRPr="001F7CAA" w14:paraId="254E7652" w14:textId="77777777" w:rsidTr="00AF40B9">
        <w:trPr>
          <w:cantSplit/>
        </w:trPr>
        <w:tc>
          <w:tcPr>
            <w:tcW w:w="997" w:type="dxa"/>
            <w:shd w:val="clear" w:color="auto" w:fill="FFFFFF"/>
          </w:tcPr>
          <w:p w14:paraId="66DBC2C3" w14:textId="77777777" w:rsidR="00CC183D" w:rsidRPr="001F7CAA" w:rsidRDefault="00CC183D" w:rsidP="001F7CAA">
            <w:pPr>
              <w:pStyle w:val="TableText"/>
            </w:pPr>
            <w:r w:rsidRPr="001F7CAA">
              <w:t>3</w:t>
            </w:r>
          </w:p>
        </w:tc>
        <w:tc>
          <w:tcPr>
            <w:tcW w:w="2736" w:type="dxa"/>
            <w:shd w:val="clear" w:color="auto" w:fill="FFFFFF"/>
          </w:tcPr>
          <w:p w14:paraId="17CB8EDB" w14:textId="03DD60DC" w:rsidR="00CC183D" w:rsidRPr="001F7CAA" w:rsidRDefault="004175A7" w:rsidP="0094631D">
            <w:pPr>
              <w:pStyle w:val="TableText"/>
            </w:pPr>
            <w:r w:rsidRPr="006973D6">
              <w:rPr>
                <w:i/>
              </w:rPr>
              <w:t>The Awakening</w:t>
            </w:r>
            <w:r w:rsidR="0094631D">
              <w:t xml:space="preserve"> by Kate Chopin,</w:t>
            </w:r>
            <w:r w:rsidR="00267BE8">
              <w:t xml:space="preserve"> </w:t>
            </w:r>
            <w:r w:rsidR="0094631D">
              <w:t>C</w:t>
            </w:r>
            <w:r w:rsidR="00267BE8">
              <w:t>hapters V–</w:t>
            </w:r>
            <w:r>
              <w:t>VI</w:t>
            </w:r>
          </w:p>
        </w:tc>
        <w:tc>
          <w:tcPr>
            <w:tcW w:w="5724" w:type="dxa"/>
            <w:shd w:val="clear" w:color="auto" w:fill="FFFFFF"/>
          </w:tcPr>
          <w:p w14:paraId="77341D21" w14:textId="7E596FB3" w:rsidR="00CC183D" w:rsidRPr="001F7CAA" w:rsidRDefault="007810F1" w:rsidP="00EE0245">
            <w:r>
              <w:t>In this lesson, students continue their work with narrative writing with the</w:t>
            </w:r>
            <w:r w:rsidR="00267BE8">
              <w:t xml:space="preserve"> introduction of a new standard,</w:t>
            </w:r>
            <w:r>
              <w:t xml:space="preserve"> W.11-12.3.d, which requires students to incorporate precise words and phrases, telling details, and sensory language to provide a vivid picture of experiences, events, setting, and characters. </w:t>
            </w:r>
            <w:r w:rsidR="00A8436F">
              <w:t>S</w:t>
            </w:r>
            <w:r>
              <w:t xml:space="preserve">tudents analyze Chopin’s use of detailed language in chapter VI of </w:t>
            </w:r>
            <w:r>
              <w:rPr>
                <w:i/>
              </w:rPr>
              <w:t xml:space="preserve">The Awakening </w:t>
            </w:r>
            <w:r>
              <w:t>as a model for understanding precise words and sensory language. Students brainstorm and discuss which of their narrative writing pieces from the previous unit would benefit from the incorporation of elements of W.11-12.3.d.</w:t>
            </w:r>
          </w:p>
        </w:tc>
      </w:tr>
      <w:tr w:rsidR="00CC183D" w:rsidRPr="001F7CAA" w14:paraId="17598A33" w14:textId="77777777" w:rsidTr="00AF40B9">
        <w:trPr>
          <w:cantSplit/>
        </w:trPr>
        <w:tc>
          <w:tcPr>
            <w:tcW w:w="997" w:type="dxa"/>
            <w:shd w:val="clear" w:color="auto" w:fill="FFFFFF"/>
          </w:tcPr>
          <w:p w14:paraId="4E1E0107" w14:textId="77777777" w:rsidR="00CC183D" w:rsidRPr="001F7CAA" w:rsidRDefault="00CC183D" w:rsidP="001F7CAA">
            <w:pPr>
              <w:pStyle w:val="TableText"/>
            </w:pPr>
            <w:r w:rsidRPr="001F7CAA">
              <w:lastRenderedPageBreak/>
              <w:t>4</w:t>
            </w:r>
          </w:p>
        </w:tc>
        <w:tc>
          <w:tcPr>
            <w:tcW w:w="2736" w:type="dxa"/>
            <w:shd w:val="clear" w:color="auto" w:fill="FFFFFF"/>
          </w:tcPr>
          <w:p w14:paraId="701A5031" w14:textId="65271BF3" w:rsidR="00CC183D" w:rsidRPr="001F7CAA" w:rsidRDefault="007F7C94" w:rsidP="00F31624">
            <w:pPr>
              <w:pStyle w:val="TableText"/>
            </w:pPr>
            <w:r>
              <w:t xml:space="preserve">“On the Rainy River” from </w:t>
            </w:r>
            <w:r w:rsidRPr="00EA5CB6">
              <w:rPr>
                <w:i/>
              </w:rPr>
              <w:t>The Things They Carried</w:t>
            </w:r>
            <w:r>
              <w:t xml:space="preserve"> by Tim O’Brien; “The Red Convertible” from </w:t>
            </w:r>
            <w:r w:rsidRPr="00EA5CB6">
              <w:rPr>
                <w:i/>
              </w:rPr>
              <w:t>The Red Convertible</w:t>
            </w:r>
            <w:r>
              <w:t xml:space="preserve"> by Louise Erdrich</w:t>
            </w:r>
          </w:p>
        </w:tc>
        <w:tc>
          <w:tcPr>
            <w:tcW w:w="5724" w:type="dxa"/>
            <w:shd w:val="clear" w:color="auto" w:fill="FFFFFF"/>
          </w:tcPr>
          <w:p w14:paraId="3C836229" w14:textId="2868221B" w:rsidR="00CC183D" w:rsidRPr="001F7CAA" w:rsidRDefault="007810F1" w:rsidP="00BB1CBE">
            <w:r w:rsidRPr="00485A2A">
              <w:t xml:space="preserve">In this lesson, students </w:t>
            </w:r>
            <w:r w:rsidRPr="0074560F">
              <w:t xml:space="preserve">engage in </w:t>
            </w:r>
            <w:r>
              <w:t xml:space="preserve">revision and </w:t>
            </w:r>
            <w:r w:rsidRPr="00485A2A">
              <w:t xml:space="preserve">peer review </w:t>
            </w:r>
            <w:r>
              <w:t xml:space="preserve">of one of </w:t>
            </w:r>
            <w:r w:rsidRPr="00485A2A">
              <w:t>their narrative writing</w:t>
            </w:r>
            <w:r>
              <w:t xml:space="preserve"> pieces </w:t>
            </w:r>
            <w:r w:rsidRPr="00485A2A">
              <w:t>from th</w:t>
            </w:r>
            <w:r w:rsidRPr="0074560F">
              <w:t xml:space="preserve">e previous </w:t>
            </w:r>
            <w:r>
              <w:t xml:space="preserve">unit </w:t>
            </w:r>
            <w:r w:rsidRPr="00485A2A">
              <w:t xml:space="preserve">. </w:t>
            </w:r>
            <w:r>
              <w:t>Student discussion focuses on the integration of standard W.11-12.3.d:</w:t>
            </w:r>
            <w:r w:rsidRPr="00485A2A">
              <w:t xml:space="preserve"> </w:t>
            </w:r>
            <w:r>
              <w:t>use precise words and phrases, telling details, and sensory language to convey a vivid picture of experiences, events, setting, and/or characters</w:t>
            </w:r>
            <w:r w:rsidRPr="00485A2A">
              <w:t>. Students</w:t>
            </w:r>
            <w:r>
              <w:t xml:space="preserve"> continue to revise their narrative drafts after this initial peer discussion and review. </w:t>
            </w:r>
          </w:p>
        </w:tc>
      </w:tr>
      <w:tr w:rsidR="00CC183D" w:rsidRPr="001F7CAA" w14:paraId="4C8A6E99" w14:textId="77777777" w:rsidTr="00AF40B9">
        <w:trPr>
          <w:cantSplit/>
        </w:trPr>
        <w:tc>
          <w:tcPr>
            <w:tcW w:w="997" w:type="dxa"/>
            <w:shd w:val="clear" w:color="auto" w:fill="FFFFFF"/>
          </w:tcPr>
          <w:p w14:paraId="61178F0E" w14:textId="77777777" w:rsidR="00CC183D" w:rsidRPr="001F7CAA" w:rsidRDefault="00CC183D" w:rsidP="001F7CAA">
            <w:pPr>
              <w:pStyle w:val="TableText"/>
            </w:pPr>
            <w:r w:rsidRPr="001F7CAA">
              <w:t>5</w:t>
            </w:r>
          </w:p>
        </w:tc>
        <w:tc>
          <w:tcPr>
            <w:tcW w:w="2736" w:type="dxa"/>
            <w:shd w:val="clear" w:color="auto" w:fill="FFFFFF"/>
          </w:tcPr>
          <w:p w14:paraId="5FD805B1" w14:textId="486536FD" w:rsidR="00CC183D" w:rsidRPr="001F7CAA" w:rsidRDefault="00AF40B9" w:rsidP="00B93B4F">
            <w:pPr>
              <w:pStyle w:val="TableText"/>
            </w:pPr>
            <w:r w:rsidRPr="00AD5ACB">
              <w:rPr>
                <w:i/>
              </w:rPr>
              <w:t>The Awakening</w:t>
            </w:r>
            <w:r w:rsidR="00B93B4F">
              <w:rPr>
                <w:i/>
              </w:rPr>
              <w:t xml:space="preserve"> </w:t>
            </w:r>
            <w:r w:rsidR="00B93B4F">
              <w:t>by Kate Chopin,</w:t>
            </w:r>
            <w:r>
              <w:t xml:space="preserve"> </w:t>
            </w:r>
            <w:r w:rsidR="00B93B4F">
              <w:t>C</w:t>
            </w:r>
            <w:r w:rsidR="00B73EC8">
              <w:t>hapter VII</w:t>
            </w:r>
          </w:p>
        </w:tc>
        <w:tc>
          <w:tcPr>
            <w:tcW w:w="5724" w:type="dxa"/>
            <w:shd w:val="clear" w:color="auto" w:fill="FFFFFF"/>
          </w:tcPr>
          <w:p w14:paraId="7D5F4FEF" w14:textId="77777777" w:rsidR="00CC183D" w:rsidRPr="001F7CAA" w:rsidRDefault="007810F1" w:rsidP="00472AEF">
            <w:pPr>
              <w:pStyle w:val="TableText"/>
            </w:pPr>
            <w:r>
              <w:t xml:space="preserve">In this lesson, students read and analyze chapter VII of </w:t>
            </w:r>
            <w:r w:rsidRPr="0038049C">
              <w:rPr>
                <w:i/>
              </w:rPr>
              <w:t>The Awakening</w:t>
            </w:r>
            <w:r>
              <w:t>, in which Edna and Madame Ratignolle spend an afternoon together and Edna shares her intimate thoughts on her relationship with her family and her romantic history. Analysis focuses on the development of the central ideas of sense of self and societal expectations in this portion of the text.</w:t>
            </w:r>
          </w:p>
        </w:tc>
      </w:tr>
      <w:tr w:rsidR="00CC183D" w:rsidRPr="001F7CAA" w14:paraId="20849E16" w14:textId="77777777" w:rsidTr="00AF40B9">
        <w:trPr>
          <w:cantSplit/>
        </w:trPr>
        <w:tc>
          <w:tcPr>
            <w:tcW w:w="997" w:type="dxa"/>
            <w:shd w:val="clear" w:color="auto" w:fill="FFFFFF"/>
          </w:tcPr>
          <w:p w14:paraId="75C1B746" w14:textId="77777777" w:rsidR="00CC183D" w:rsidRPr="001F7CAA" w:rsidRDefault="00CC183D" w:rsidP="001F7CAA">
            <w:pPr>
              <w:pStyle w:val="TableText"/>
            </w:pPr>
            <w:r w:rsidRPr="001F7CAA">
              <w:t>6</w:t>
            </w:r>
          </w:p>
        </w:tc>
        <w:tc>
          <w:tcPr>
            <w:tcW w:w="2736" w:type="dxa"/>
            <w:shd w:val="clear" w:color="auto" w:fill="FFFFFF"/>
          </w:tcPr>
          <w:p w14:paraId="23A0F483" w14:textId="11C064C7" w:rsidR="00CC183D" w:rsidRPr="001F7CAA" w:rsidRDefault="00AD5ACB" w:rsidP="00B73EC8">
            <w:pPr>
              <w:pStyle w:val="TableText"/>
            </w:pPr>
            <w:r w:rsidRPr="00AD5ACB">
              <w:rPr>
                <w:i/>
              </w:rPr>
              <w:t>The Awakening</w:t>
            </w:r>
            <w:r w:rsidR="00C75D7B">
              <w:t xml:space="preserve"> by Kate Chopin</w:t>
            </w:r>
            <w:r w:rsidR="00931E5A">
              <w:rPr>
                <w:i/>
              </w:rPr>
              <w:t>,</w:t>
            </w:r>
            <w:r w:rsidR="00C75D7B">
              <w:t xml:space="preserve"> C</w:t>
            </w:r>
            <w:r w:rsidR="00B73EC8">
              <w:t xml:space="preserve">hapters </w:t>
            </w:r>
            <w:r w:rsidR="004B6B50">
              <w:t>X–</w:t>
            </w:r>
            <w:r w:rsidR="004175A7">
              <w:t>XI</w:t>
            </w:r>
          </w:p>
        </w:tc>
        <w:tc>
          <w:tcPr>
            <w:tcW w:w="5724" w:type="dxa"/>
            <w:shd w:val="clear" w:color="auto" w:fill="FFFFFF"/>
          </w:tcPr>
          <w:p w14:paraId="70D117A2" w14:textId="77777777" w:rsidR="00CC183D" w:rsidRPr="001F7CAA" w:rsidRDefault="006F7892" w:rsidP="00554CC5">
            <w:pPr>
              <w:pStyle w:val="TableText"/>
            </w:pPr>
            <w:r>
              <w:t xml:space="preserve">In this lesson, students read and analyze chapters X–XI of </w:t>
            </w:r>
            <w:r w:rsidRPr="00471940">
              <w:rPr>
                <w:i/>
              </w:rPr>
              <w:t>The Awakening</w:t>
            </w:r>
            <w:r>
              <w:t>, in which Edna swims for the first time and recognizes her developing affection for Robert, as well as her growing independence from her husband. Student analysis focuses on the continued development of Edna as a character in relation to both her husband and Robert.</w:t>
            </w:r>
          </w:p>
        </w:tc>
      </w:tr>
      <w:tr w:rsidR="00240430" w:rsidRPr="001F7CAA" w14:paraId="49DC47FA" w14:textId="77777777" w:rsidTr="00AF40B9">
        <w:trPr>
          <w:cantSplit/>
        </w:trPr>
        <w:tc>
          <w:tcPr>
            <w:tcW w:w="997" w:type="dxa"/>
            <w:shd w:val="clear" w:color="auto" w:fill="FFFFFF"/>
          </w:tcPr>
          <w:p w14:paraId="1AB16BC4" w14:textId="77777777" w:rsidR="00240430" w:rsidRPr="001F7CAA" w:rsidRDefault="00240430" w:rsidP="001F7CAA">
            <w:pPr>
              <w:pStyle w:val="TableText"/>
            </w:pPr>
            <w:r>
              <w:t>7</w:t>
            </w:r>
          </w:p>
        </w:tc>
        <w:tc>
          <w:tcPr>
            <w:tcW w:w="2736" w:type="dxa"/>
            <w:shd w:val="clear" w:color="auto" w:fill="FFFFFF"/>
          </w:tcPr>
          <w:p w14:paraId="237FF367" w14:textId="6AE93B51" w:rsidR="00240430" w:rsidRPr="001F7CAA" w:rsidRDefault="00AD5ACB" w:rsidP="00B93B4F">
            <w:pPr>
              <w:pStyle w:val="TableText"/>
            </w:pPr>
            <w:r w:rsidRPr="00AD5ACB">
              <w:rPr>
                <w:i/>
              </w:rPr>
              <w:t>The Awakening</w:t>
            </w:r>
            <w:r w:rsidR="00B93B4F">
              <w:rPr>
                <w:i/>
              </w:rPr>
              <w:t xml:space="preserve"> </w:t>
            </w:r>
            <w:r w:rsidR="00B93B4F">
              <w:t>by Kate Chopin,</w:t>
            </w:r>
            <w:r>
              <w:t xml:space="preserve"> </w:t>
            </w:r>
            <w:r w:rsidR="00B93B4F">
              <w:t>C</w:t>
            </w:r>
            <w:r w:rsidR="00B73EC8">
              <w:t>hapters</w:t>
            </w:r>
            <w:r w:rsidR="004B6B50">
              <w:t xml:space="preserve"> XIV–</w:t>
            </w:r>
            <w:r w:rsidR="004175A7">
              <w:t>XV</w:t>
            </w:r>
            <w:r w:rsidR="00B73EC8">
              <w:t xml:space="preserve"> </w:t>
            </w:r>
          </w:p>
        </w:tc>
        <w:tc>
          <w:tcPr>
            <w:tcW w:w="5724" w:type="dxa"/>
            <w:shd w:val="clear" w:color="auto" w:fill="FFFFFF"/>
          </w:tcPr>
          <w:p w14:paraId="7EA98EE8" w14:textId="77777777" w:rsidR="00240430" w:rsidRPr="001F7CAA" w:rsidRDefault="002131B7" w:rsidP="00B70BA5">
            <w:pPr>
              <w:pStyle w:val="TableText"/>
            </w:pPr>
            <w:r>
              <w:t xml:space="preserve">In this lesson, students read and analyze chapters XIV–XV of </w:t>
            </w:r>
            <w:r w:rsidRPr="00471940">
              <w:rPr>
                <w:i/>
              </w:rPr>
              <w:t>The Awakening</w:t>
            </w:r>
            <w:r>
              <w:t>, in which Edna returns from her daytrip with Robert and later learns that Robert is departing for Mexico. Student analysis focuses on the continued development and interaction of two central ideas.</w:t>
            </w:r>
          </w:p>
        </w:tc>
      </w:tr>
      <w:tr w:rsidR="00240430" w:rsidRPr="001F7CAA" w14:paraId="5DF245CA" w14:textId="77777777" w:rsidTr="00AF40B9">
        <w:trPr>
          <w:cantSplit/>
        </w:trPr>
        <w:tc>
          <w:tcPr>
            <w:tcW w:w="997" w:type="dxa"/>
            <w:shd w:val="clear" w:color="auto" w:fill="FFFFFF"/>
          </w:tcPr>
          <w:p w14:paraId="22C218AA" w14:textId="77777777" w:rsidR="00240430" w:rsidRPr="001F7CAA" w:rsidRDefault="00240430" w:rsidP="001F7CAA">
            <w:pPr>
              <w:pStyle w:val="TableText"/>
            </w:pPr>
            <w:r>
              <w:t>8</w:t>
            </w:r>
          </w:p>
        </w:tc>
        <w:tc>
          <w:tcPr>
            <w:tcW w:w="2736" w:type="dxa"/>
            <w:shd w:val="clear" w:color="auto" w:fill="FFFFFF"/>
          </w:tcPr>
          <w:p w14:paraId="0B38F93E" w14:textId="0A682F1B" w:rsidR="00240430" w:rsidRPr="001F7CAA" w:rsidRDefault="00142A34" w:rsidP="00B93B4F">
            <w:pPr>
              <w:pStyle w:val="TableText"/>
            </w:pPr>
            <w:r w:rsidRPr="00142A34">
              <w:rPr>
                <w:i/>
              </w:rPr>
              <w:t>The Awakening</w:t>
            </w:r>
            <w:r w:rsidR="00931E5A">
              <w:t xml:space="preserve"> </w:t>
            </w:r>
            <w:r w:rsidR="00B93B4F">
              <w:t>by Kate Chopin, C</w:t>
            </w:r>
            <w:r w:rsidR="00B73EC8">
              <w:t xml:space="preserve">hapters </w:t>
            </w:r>
            <w:r w:rsidR="004B6B50">
              <w:t>XVII–</w:t>
            </w:r>
            <w:r w:rsidR="004175A7">
              <w:t>XVIII</w:t>
            </w:r>
          </w:p>
        </w:tc>
        <w:tc>
          <w:tcPr>
            <w:tcW w:w="5724" w:type="dxa"/>
            <w:shd w:val="clear" w:color="auto" w:fill="FFFFFF"/>
          </w:tcPr>
          <w:p w14:paraId="23BE7DF1" w14:textId="77777777" w:rsidR="00240430" w:rsidRPr="001F7CAA" w:rsidRDefault="00157BB1" w:rsidP="00B70BA5">
            <w:pPr>
              <w:pStyle w:val="TableText"/>
            </w:pPr>
            <w:r>
              <w:t>In this lesson, students read and analyze chapters XVII</w:t>
            </w:r>
            <w:r w:rsidRPr="0010336E">
              <w:t>–</w:t>
            </w:r>
            <w:r>
              <w:t xml:space="preserve">XVIII of </w:t>
            </w:r>
            <w:r w:rsidRPr="00EF6E89">
              <w:rPr>
                <w:i/>
              </w:rPr>
              <w:t>The Awakening</w:t>
            </w:r>
            <w:r>
              <w:t>. In this excerpt, Edna and Mr. Pontellier have an argument about societal obligations and Edna tries to destroy her wedding ring; Edna also joins the Ratignolles for dinner. Students work in small groups to discuss the development of central ideas in chapters XVII</w:t>
            </w:r>
            <w:r w:rsidRPr="00921EDD">
              <w:t>–</w:t>
            </w:r>
            <w:r>
              <w:t>XVIII.</w:t>
            </w:r>
          </w:p>
        </w:tc>
      </w:tr>
      <w:tr w:rsidR="00240430" w:rsidRPr="001F7CAA" w14:paraId="4572946B" w14:textId="77777777" w:rsidTr="00AF40B9">
        <w:trPr>
          <w:cantSplit/>
        </w:trPr>
        <w:tc>
          <w:tcPr>
            <w:tcW w:w="997" w:type="dxa"/>
            <w:shd w:val="clear" w:color="auto" w:fill="FFFFFF"/>
          </w:tcPr>
          <w:p w14:paraId="326C3BE9" w14:textId="77777777" w:rsidR="00240430" w:rsidRPr="001F7CAA" w:rsidRDefault="00240430" w:rsidP="001F7CAA">
            <w:pPr>
              <w:pStyle w:val="TableText"/>
            </w:pPr>
            <w:r>
              <w:lastRenderedPageBreak/>
              <w:t>9</w:t>
            </w:r>
          </w:p>
        </w:tc>
        <w:tc>
          <w:tcPr>
            <w:tcW w:w="2736" w:type="dxa"/>
            <w:shd w:val="clear" w:color="auto" w:fill="FFFFFF"/>
          </w:tcPr>
          <w:p w14:paraId="7D433833" w14:textId="2A62BC06" w:rsidR="00240430" w:rsidRPr="00931E5A" w:rsidRDefault="00931E5A" w:rsidP="00B93B4F">
            <w:pPr>
              <w:pStyle w:val="TableText"/>
            </w:pPr>
            <w:r>
              <w:rPr>
                <w:i/>
              </w:rPr>
              <w:t>The Awakening</w:t>
            </w:r>
            <w:r w:rsidR="00B93B4F">
              <w:rPr>
                <w:i/>
              </w:rPr>
              <w:t xml:space="preserve"> </w:t>
            </w:r>
            <w:r w:rsidR="00B93B4F">
              <w:t>by Kate Chopin,</w:t>
            </w:r>
            <w:r>
              <w:rPr>
                <w:i/>
              </w:rPr>
              <w:t xml:space="preserve"> </w:t>
            </w:r>
            <w:r w:rsidR="00B93B4F">
              <w:t>C</w:t>
            </w:r>
            <w:r w:rsidR="004B6B50">
              <w:t>hapters I–</w:t>
            </w:r>
            <w:r w:rsidR="00B73EC8">
              <w:t>XIX</w:t>
            </w:r>
          </w:p>
        </w:tc>
        <w:tc>
          <w:tcPr>
            <w:tcW w:w="5724" w:type="dxa"/>
            <w:shd w:val="clear" w:color="auto" w:fill="FFFFFF"/>
          </w:tcPr>
          <w:p w14:paraId="16D00593" w14:textId="77777777" w:rsidR="00240430" w:rsidRPr="001F7CAA" w:rsidRDefault="00A72BB9" w:rsidP="006A3E80">
            <w:r>
              <w:t>In this lesson, students review chapters I</w:t>
            </w:r>
            <w:r w:rsidRPr="00F94974">
              <w:t>–</w:t>
            </w:r>
            <w:r>
              <w:t xml:space="preserve">XIX of </w:t>
            </w:r>
            <w:r>
              <w:rPr>
                <w:i/>
              </w:rPr>
              <w:t xml:space="preserve">The </w:t>
            </w:r>
            <w:r w:rsidRPr="004D4DCD">
              <w:rPr>
                <w:i/>
              </w:rPr>
              <w:t>Awakening</w:t>
            </w:r>
            <w:r>
              <w:t xml:space="preserve"> </w:t>
            </w:r>
            <w:r w:rsidRPr="00E577F4">
              <w:t>as</w:t>
            </w:r>
            <w:r>
              <w:t xml:space="preserve"> they prepare for the Mid-Unit Assessment in the following lesson. Student groups collaborate to complete a jigsaw review activity that asks them to analyze how Edna’s character development contributes to the development of two related central ideas in the text. </w:t>
            </w:r>
          </w:p>
        </w:tc>
      </w:tr>
      <w:tr w:rsidR="00240430" w:rsidRPr="001F7CAA" w14:paraId="615FF074" w14:textId="77777777" w:rsidTr="00AF40B9">
        <w:trPr>
          <w:cantSplit/>
        </w:trPr>
        <w:tc>
          <w:tcPr>
            <w:tcW w:w="997" w:type="dxa"/>
            <w:shd w:val="clear" w:color="auto" w:fill="FFFFFF"/>
          </w:tcPr>
          <w:p w14:paraId="57B4B9AA" w14:textId="77777777" w:rsidR="00240430" w:rsidRPr="001F7CAA" w:rsidRDefault="00240430" w:rsidP="001F7CAA">
            <w:pPr>
              <w:pStyle w:val="TableText"/>
            </w:pPr>
            <w:r>
              <w:t>10</w:t>
            </w:r>
          </w:p>
        </w:tc>
        <w:tc>
          <w:tcPr>
            <w:tcW w:w="2736" w:type="dxa"/>
            <w:shd w:val="clear" w:color="auto" w:fill="FFFFFF"/>
          </w:tcPr>
          <w:p w14:paraId="4B43A512" w14:textId="44F36956" w:rsidR="00240430" w:rsidRPr="001F7CAA" w:rsidRDefault="00B73EC8" w:rsidP="00B93B4F">
            <w:pPr>
              <w:pStyle w:val="TableText"/>
            </w:pPr>
            <w:r w:rsidRPr="00B73EC8">
              <w:rPr>
                <w:i/>
              </w:rPr>
              <w:t>The Awakening</w:t>
            </w:r>
            <w:r w:rsidR="00B93B4F">
              <w:t xml:space="preserve"> by Kate Chopin,</w:t>
            </w:r>
            <w:r w:rsidR="00587DCB">
              <w:t xml:space="preserve"> </w:t>
            </w:r>
            <w:r w:rsidR="00B93B4F">
              <w:t>C</w:t>
            </w:r>
            <w:r w:rsidR="00587DCB">
              <w:t>hapters I</w:t>
            </w:r>
            <w:r w:rsidR="004B6B50">
              <w:t>–</w:t>
            </w:r>
            <w:r>
              <w:t>XIX</w:t>
            </w:r>
          </w:p>
        </w:tc>
        <w:tc>
          <w:tcPr>
            <w:tcW w:w="5724" w:type="dxa"/>
            <w:shd w:val="clear" w:color="auto" w:fill="FFFFFF"/>
          </w:tcPr>
          <w:p w14:paraId="7D20761B" w14:textId="77777777" w:rsidR="00240430" w:rsidRPr="001F7CAA" w:rsidRDefault="00096351" w:rsidP="00096351">
            <w:r>
              <w:t xml:space="preserve">In this lesson, the Mid-Unit Assessment, students use textual evidence from chapters I–XIX of </w:t>
            </w:r>
            <w:r w:rsidRPr="00331C15">
              <w:rPr>
                <w:i/>
              </w:rPr>
              <w:t>The Awakening</w:t>
            </w:r>
            <w:r>
              <w:t xml:space="preserve"> to craft a formal, multi-paragraph response to the following prompt: How does the development of Edna’s character contribute to two interrelated central ideas in the text?</w:t>
            </w:r>
          </w:p>
        </w:tc>
      </w:tr>
      <w:tr w:rsidR="00240430" w:rsidRPr="001F7CAA" w14:paraId="7DFE3A14" w14:textId="77777777" w:rsidTr="00AF40B9">
        <w:trPr>
          <w:cantSplit/>
        </w:trPr>
        <w:tc>
          <w:tcPr>
            <w:tcW w:w="997" w:type="dxa"/>
            <w:shd w:val="clear" w:color="auto" w:fill="FFFFFF"/>
          </w:tcPr>
          <w:p w14:paraId="38987BB7" w14:textId="77777777" w:rsidR="00240430" w:rsidRDefault="00240430" w:rsidP="001F7CAA">
            <w:pPr>
              <w:pStyle w:val="TableText"/>
            </w:pPr>
            <w:r>
              <w:t>11</w:t>
            </w:r>
          </w:p>
        </w:tc>
        <w:tc>
          <w:tcPr>
            <w:tcW w:w="2736" w:type="dxa"/>
            <w:shd w:val="clear" w:color="auto" w:fill="FFFFFF"/>
          </w:tcPr>
          <w:p w14:paraId="4CCEF2B2" w14:textId="5225A20B" w:rsidR="00240430" w:rsidRPr="001F7CAA" w:rsidRDefault="004B6B50" w:rsidP="00B93B4F">
            <w:pPr>
              <w:pStyle w:val="TableText"/>
            </w:pPr>
            <w:r w:rsidRPr="007F7C94">
              <w:rPr>
                <w:i/>
              </w:rPr>
              <w:t>The Awakening</w:t>
            </w:r>
            <w:r w:rsidR="00B93B4F">
              <w:t xml:space="preserve"> by Kate Chopin,</w:t>
            </w:r>
            <w:r>
              <w:t xml:space="preserve"> </w:t>
            </w:r>
            <w:r w:rsidR="00B93B4F">
              <w:t>C</w:t>
            </w:r>
            <w:r>
              <w:t>hapters XX–</w:t>
            </w:r>
            <w:r w:rsidR="00587DCB">
              <w:t xml:space="preserve">XXI; </w:t>
            </w:r>
            <w:r w:rsidR="00B93B4F">
              <w:t xml:space="preserve">“On the Rainy River” from </w:t>
            </w:r>
            <w:r w:rsidR="00B93B4F" w:rsidRPr="00EA5CB6">
              <w:rPr>
                <w:i/>
              </w:rPr>
              <w:t>The Things They Carried</w:t>
            </w:r>
            <w:r w:rsidR="00B93B4F">
              <w:t xml:space="preserve"> by Tim O’Brien; “The Red Convertible” from </w:t>
            </w:r>
            <w:r w:rsidR="00B93B4F" w:rsidRPr="00EA5CB6">
              <w:rPr>
                <w:i/>
              </w:rPr>
              <w:t>The Red Convertible</w:t>
            </w:r>
            <w:r w:rsidR="00B93B4F">
              <w:t xml:space="preserve"> by Louise Erdrich</w:t>
            </w:r>
          </w:p>
        </w:tc>
        <w:tc>
          <w:tcPr>
            <w:tcW w:w="5724" w:type="dxa"/>
            <w:shd w:val="clear" w:color="auto" w:fill="FFFFFF"/>
          </w:tcPr>
          <w:p w14:paraId="3A4180FD" w14:textId="77777777" w:rsidR="00240430" w:rsidRPr="001F7CAA" w:rsidRDefault="007F7D61" w:rsidP="00AD15E5">
            <w:r>
              <w:t xml:space="preserve">In this lesson, students focus on narrative writing with the introduction of a new standard: W.11-12.3.c, which requires students to use a variety of techniques to sequence events so that they build on one another to create a coherent whole and build toward a particular tone and outcome. Students identify and analyze structural techniques, focusing on the texts from 11.4.1: “On the Rainy River” </w:t>
            </w:r>
            <w:r w:rsidR="007C6853">
              <w:t>and “The Red Convertible</w:t>
            </w:r>
            <w:r>
              <w:t>.</w:t>
            </w:r>
            <w:r w:rsidR="007C6853">
              <w:t>”</w:t>
            </w:r>
            <w:r>
              <w:t xml:space="preserve"> Additionally, students revisit the narrative writing they drafted in 11.4.1, and brainstorm ideas for how a narrative writing piece can be revised using structural techniques. </w:t>
            </w:r>
          </w:p>
        </w:tc>
      </w:tr>
      <w:tr w:rsidR="00240430" w:rsidRPr="001F7CAA" w14:paraId="3965C1BD" w14:textId="77777777" w:rsidTr="00AF40B9">
        <w:trPr>
          <w:cantSplit/>
        </w:trPr>
        <w:tc>
          <w:tcPr>
            <w:tcW w:w="997" w:type="dxa"/>
            <w:shd w:val="clear" w:color="auto" w:fill="FFFFFF"/>
          </w:tcPr>
          <w:p w14:paraId="1D071F1B" w14:textId="77777777" w:rsidR="00240430" w:rsidRDefault="00240430" w:rsidP="001F7CAA">
            <w:pPr>
              <w:pStyle w:val="TableText"/>
            </w:pPr>
            <w:r>
              <w:t>12</w:t>
            </w:r>
          </w:p>
        </w:tc>
        <w:tc>
          <w:tcPr>
            <w:tcW w:w="2736" w:type="dxa"/>
            <w:shd w:val="clear" w:color="auto" w:fill="FFFFFF"/>
          </w:tcPr>
          <w:p w14:paraId="354122CE" w14:textId="3EEF5BB4" w:rsidR="00240430" w:rsidRPr="001F7CAA" w:rsidRDefault="00B93B4F" w:rsidP="001F7CAA">
            <w:pPr>
              <w:pStyle w:val="TableText"/>
            </w:pPr>
            <w:r>
              <w:t xml:space="preserve">“On the Rainy River” from </w:t>
            </w:r>
            <w:r w:rsidRPr="00EA5CB6">
              <w:rPr>
                <w:i/>
              </w:rPr>
              <w:t>The Things They Carried</w:t>
            </w:r>
            <w:r>
              <w:t xml:space="preserve"> by Tim O’Brien; “The Red Convertible” from </w:t>
            </w:r>
            <w:r w:rsidRPr="00EA5CB6">
              <w:rPr>
                <w:i/>
              </w:rPr>
              <w:t>The Red Convertible</w:t>
            </w:r>
            <w:r>
              <w:t xml:space="preserve"> by Louise Erdrich</w:t>
            </w:r>
          </w:p>
        </w:tc>
        <w:tc>
          <w:tcPr>
            <w:tcW w:w="5724" w:type="dxa"/>
            <w:shd w:val="clear" w:color="auto" w:fill="FFFFFF"/>
          </w:tcPr>
          <w:p w14:paraId="1EE10411" w14:textId="77777777" w:rsidR="00240430" w:rsidRPr="001F7CAA" w:rsidRDefault="00A92518" w:rsidP="00FD3FA9">
            <w:pPr>
              <w:pStyle w:val="TableText"/>
            </w:pPr>
            <w:r w:rsidRPr="00485A2A">
              <w:t xml:space="preserve">In this lesson, students </w:t>
            </w:r>
            <w:r w:rsidRPr="0074560F">
              <w:t xml:space="preserve">engage in </w:t>
            </w:r>
            <w:r w:rsidRPr="00485A2A">
              <w:t>peer review and revision of their narrative writing</w:t>
            </w:r>
            <w:r>
              <w:t xml:space="preserve"> pieces</w:t>
            </w:r>
            <w:r w:rsidRPr="00485A2A">
              <w:t xml:space="preserve"> from th</w:t>
            </w:r>
            <w:r w:rsidRPr="0074560F">
              <w:t>e previous lesson</w:t>
            </w:r>
            <w:r w:rsidR="00FD3FA9">
              <w:t>.</w:t>
            </w:r>
            <w:r>
              <w:t xml:space="preserve"> </w:t>
            </w:r>
            <w:r w:rsidRPr="00485A2A">
              <w:t xml:space="preserve">Students peer review and revise </w:t>
            </w:r>
            <w:r>
              <w:t xml:space="preserve">their drafts </w:t>
            </w:r>
            <w:r w:rsidRPr="00485A2A">
              <w:t xml:space="preserve">for </w:t>
            </w:r>
            <w:r>
              <w:t xml:space="preserve">the structural techniques described in </w:t>
            </w:r>
            <w:r w:rsidRPr="00485A2A">
              <w:t>standar</w:t>
            </w:r>
            <w:r>
              <w:t xml:space="preserve">d W.11-12.3.c. </w:t>
            </w:r>
          </w:p>
        </w:tc>
      </w:tr>
      <w:tr w:rsidR="00240430" w:rsidRPr="001F7CAA" w14:paraId="36225469" w14:textId="77777777" w:rsidTr="00AF40B9">
        <w:trPr>
          <w:cantSplit/>
        </w:trPr>
        <w:tc>
          <w:tcPr>
            <w:tcW w:w="997" w:type="dxa"/>
            <w:shd w:val="clear" w:color="auto" w:fill="FFFFFF"/>
          </w:tcPr>
          <w:p w14:paraId="0FC64708" w14:textId="77777777" w:rsidR="00240430" w:rsidRDefault="00240430" w:rsidP="001F7CAA">
            <w:pPr>
              <w:pStyle w:val="TableText"/>
            </w:pPr>
            <w:r>
              <w:lastRenderedPageBreak/>
              <w:t>13</w:t>
            </w:r>
          </w:p>
        </w:tc>
        <w:tc>
          <w:tcPr>
            <w:tcW w:w="2736" w:type="dxa"/>
            <w:shd w:val="clear" w:color="auto" w:fill="FFFFFF"/>
          </w:tcPr>
          <w:p w14:paraId="449FA971" w14:textId="74433948" w:rsidR="00240430" w:rsidRPr="001F7CAA" w:rsidRDefault="00142A34" w:rsidP="00A3551D">
            <w:pPr>
              <w:pStyle w:val="TableText"/>
            </w:pPr>
            <w:r w:rsidRPr="00142A34">
              <w:rPr>
                <w:i/>
              </w:rPr>
              <w:t>The Awakening</w:t>
            </w:r>
            <w:r w:rsidR="00A3551D">
              <w:rPr>
                <w:i/>
              </w:rPr>
              <w:t xml:space="preserve"> </w:t>
            </w:r>
            <w:r w:rsidR="00A3551D">
              <w:t>by Kate Chopin,</w:t>
            </w:r>
            <w:r>
              <w:t xml:space="preserve"> </w:t>
            </w:r>
            <w:r w:rsidR="00A3551D">
              <w:t>C</w:t>
            </w:r>
            <w:r w:rsidR="004569DE">
              <w:t xml:space="preserve">hapters </w:t>
            </w:r>
            <w:r w:rsidR="004B6B50">
              <w:t>XXII–</w:t>
            </w:r>
            <w:r w:rsidR="00FE0803">
              <w:t>XXIV</w:t>
            </w:r>
          </w:p>
        </w:tc>
        <w:tc>
          <w:tcPr>
            <w:tcW w:w="5724" w:type="dxa"/>
            <w:shd w:val="clear" w:color="auto" w:fill="FFFFFF"/>
          </w:tcPr>
          <w:p w14:paraId="3C341BFC" w14:textId="77777777" w:rsidR="00240430" w:rsidRPr="001F7CAA" w:rsidRDefault="0042553D" w:rsidP="00E566D7">
            <w:r>
              <w:t xml:space="preserve">In this lesson, students read and analyze chapters XXII–XXIV of </w:t>
            </w:r>
            <w:r w:rsidRPr="00E51A29">
              <w:rPr>
                <w:i/>
              </w:rPr>
              <w:t>The Awakening</w:t>
            </w:r>
            <w:r>
              <w:t>. In these chapters, Mr. Pontellier consults a physician about Edna’s changing behavior and mood before leaving on a lengthy trip, and Edna’s father visits the Pontellier family. Students independently identify and analyze evidence of how the central ideas interact and build on one another in this excerpt of the text.</w:t>
            </w:r>
          </w:p>
        </w:tc>
      </w:tr>
      <w:tr w:rsidR="00240430" w:rsidRPr="001F7CAA" w14:paraId="68DD6A71" w14:textId="77777777" w:rsidTr="00AF40B9">
        <w:trPr>
          <w:cantSplit/>
        </w:trPr>
        <w:tc>
          <w:tcPr>
            <w:tcW w:w="997" w:type="dxa"/>
            <w:shd w:val="clear" w:color="auto" w:fill="FFFFFF"/>
          </w:tcPr>
          <w:p w14:paraId="5E0D0D05" w14:textId="77777777" w:rsidR="00240430" w:rsidRDefault="00240430" w:rsidP="001F7CAA">
            <w:pPr>
              <w:pStyle w:val="TableText"/>
            </w:pPr>
            <w:r>
              <w:t>14</w:t>
            </w:r>
          </w:p>
        </w:tc>
        <w:tc>
          <w:tcPr>
            <w:tcW w:w="2736" w:type="dxa"/>
            <w:shd w:val="clear" w:color="auto" w:fill="FFFFFF"/>
          </w:tcPr>
          <w:p w14:paraId="35B96098" w14:textId="7D85C467" w:rsidR="00240430" w:rsidRPr="001F7CAA" w:rsidRDefault="00142A34" w:rsidP="00A3551D">
            <w:pPr>
              <w:pStyle w:val="TableText"/>
            </w:pPr>
            <w:r w:rsidRPr="00142A34">
              <w:rPr>
                <w:i/>
              </w:rPr>
              <w:t>The Awakening</w:t>
            </w:r>
            <w:r w:rsidR="00A3551D">
              <w:t xml:space="preserve"> by Kate Chopin,</w:t>
            </w:r>
            <w:r w:rsidR="00931E5A">
              <w:t xml:space="preserve"> </w:t>
            </w:r>
            <w:r w:rsidR="00A3551D">
              <w:t>C</w:t>
            </w:r>
            <w:r w:rsidR="004569DE">
              <w:t xml:space="preserve">hapters </w:t>
            </w:r>
            <w:r w:rsidR="00FE0803">
              <w:t>XXV</w:t>
            </w:r>
            <w:r w:rsidR="004B6B50">
              <w:t>–</w:t>
            </w:r>
            <w:r w:rsidR="00FE0803">
              <w:t>XXVIII</w:t>
            </w:r>
          </w:p>
        </w:tc>
        <w:tc>
          <w:tcPr>
            <w:tcW w:w="5724" w:type="dxa"/>
            <w:shd w:val="clear" w:color="auto" w:fill="FFFFFF"/>
          </w:tcPr>
          <w:p w14:paraId="23BB70A7" w14:textId="77777777" w:rsidR="00240430" w:rsidRPr="001F7CAA" w:rsidRDefault="00CB68E3" w:rsidP="00E566D7">
            <w:pPr>
              <w:pStyle w:val="TableText"/>
            </w:pPr>
            <w:r>
              <w:t xml:space="preserve">In this lesson, students analyze chapters XXV–XXVIII of </w:t>
            </w:r>
            <w:r w:rsidRPr="00471940">
              <w:rPr>
                <w:i/>
              </w:rPr>
              <w:t>The Awakening</w:t>
            </w:r>
            <w:r>
              <w:t xml:space="preserve">, in which </w:t>
            </w:r>
            <w:r w:rsidRPr="008B001A">
              <w:t>Edna’s</w:t>
            </w:r>
            <w:r>
              <w:t xml:space="preserve"> relationship with Alcée Arobin develops and Edna decides to move out of the home she shares with her family. Students consider Edna’s character development in relation to the development of two interrelated central ideas and apply their analysis independently in a written response at the beginning of the lesson. This response informs students’ participation in a whole-class discussion that follows.</w:t>
            </w:r>
          </w:p>
        </w:tc>
      </w:tr>
      <w:tr w:rsidR="00240430" w:rsidRPr="001F7CAA" w14:paraId="3C703762" w14:textId="77777777" w:rsidTr="00AF40B9">
        <w:trPr>
          <w:cantSplit/>
        </w:trPr>
        <w:tc>
          <w:tcPr>
            <w:tcW w:w="997" w:type="dxa"/>
            <w:shd w:val="clear" w:color="auto" w:fill="FFFFFF"/>
          </w:tcPr>
          <w:p w14:paraId="11495E99" w14:textId="77777777" w:rsidR="00240430" w:rsidRDefault="00240430" w:rsidP="001F7CAA">
            <w:pPr>
              <w:pStyle w:val="TableText"/>
            </w:pPr>
            <w:r>
              <w:t>15</w:t>
            </w:r>
          </w:p>
        </w:tc>
        <w:tc>
          <w:tcPr>
            <w:tcW w:w="2736" w:type="dxa"/>
            <w:shd w:val="clear" w:color="auto" w:fill="FFFFFF"/>
          </w:tcPr>
          <w:p w14:paraId="46BEDC7D" w14:textId="26C53399" w:rsidR="00240430" w:rsidRPr="001F7CAA" w:rsidRDefault="00142A34" w:rsidP="00A3551D">
            <w:pPr>
              <w:pStyle w:val="TableText"/>
            </w:pPr>
            <w:r w:rsidRPr="00142A34">
              <w:rPr>
                <w:i/>
              </w:rPr>
              <w:t>The Awakening</w:t>
            </w:r>
            <w:r w:rsidR="00A3551D">
              <w:rPr>
                <w:i/>
              </w:rPr>
              <w:t xml:space="preserve"> </w:t>
            </w:r>
            <w:r w:rsidR="00A3551D">
              <w:t>by Kate Chopin,</w:t>
            </w:r>
            <w:r w:rsidR="003048C7">
              <w:rPr>
                <w:i/>
              </w:rPr>
              <w:t xml:space="preserve"> </w:t>
            </w:r>
            <w:r w:rsidR="00A3551D">
              <w:t>C</w:t>
            </w:r>
            <w:r w:rsidR="004569DE">
              <w:t>hapters</w:t>
            </w:r>
            <w:r w:rsidR="004B6B50">
              <w:t xml:space="preserve"> XXIX–</w:t>
            </w:r>
            <w:r w:rsidR="00FE0803">
              <w:t>XXXI</w:t>
            </w:r>
          </w:p>
        </w:tc>
        <w:tc>
          <w:tcPr>
            <w:tcW w:w="5724" w:type="dxa"/>
            <w:shd w:val="clear" w:color="auto" w:fill="FFFFFF"/>
          </w:tcPr>
          <w:p w14:paraId="231D7723" w14:textId="77777777" w:rsidR="00240430" w:rsidRPr="00832D6F" w:rsidRDefault="00EC794A" w:rsidP="00E566D7">
            <w:pPr>
              <w:pStyle w:val="TableText"/>
            </w:pPr>
            <w:r w:rsidRPr="00832D6F">
              <w:t xml:space="preserve">In this lesson, students read and analyze chapters XXIX–XXXI of </w:t>
            </w:r>
            <w:r w:rsidRPr="00832D6F">
              <w:rPr>
                <w:i/>
              </w:rPr>
              <w:t>The Awakening</w:t>
            </w:r>
            <w:r w:rsidRPr="00832D6F">
              <w:t xml:space="preserve">, in which Edna throws a dinner party and then moves out of her husband’s home. </w:t>
            </w:r>
            <w:r w:rsidRPr="00832D6F">
              <w:rPr>
                <w:rFonts w:cs="Arial"/>
                <w:color w:val="000000"/>
                <w:shd w:val="clear" w:color="auto" w:fill="FFFFFF"/>
              </w:rPr>
              <w:t>Student analysis focuses on</w:t>
            </w:r>
            <w:r w:rsidRPr="00832D6F">
              <w:t xml:space="preserve"> story elements and how the related elements contribute to Edna’s character development</w:t>
            </w:r>
            <w:r w:rsidRPr="00832D6F">
              <w:rPr>
                <w:rFonts w:cs="Arial"/>
                <w:i/>
                <w:color w:val="000000"/>
                <w:shd w:val="clear" w:color="auto" w:fill="FFFFFF"/>
              </w:rPr>
              <w:t xml:space="preserve">. </w:t>
            </w:r>
            <w:r w:rsidRPr="00832D6F">
              <w:t>Students discuss their observations and analysis in small groups after independently completing an Evidence Collection Tool.</w:t>
            </w:r>
          </w:p>
        </w:tc>
      </w:tr>
      <w:tr w:rsidR="00240430" w:rsidRPr="001F7CAA" w14:paraId="762A54E2" w14:textId="77777777" w:rsidTr="00AF40B9">
        <w:trPr>
          <w:cantSplit/>
        </w:trPr>
        <w:tc>
          <w:tcPr>
            <w:tcW w:w="997" w:type="dxa"/>
            <w:shd w:val="clear" w:color="auto" w:fill="FFFFFF"/>
          </w:tcPr>
          <w:p w14:paraId="380970E3" w14:textId="77777777" w:rsidR="00240430" w:rsidRDefault="00240430" w:rsidP="001F7CAA">
            <w:pPr>
              <w:pStyle w:val="TableText"/>
            </w:pPr>
            <w:r>
              <w:t>16</w:t>
            </w:r>
          </w:p>
        </w:tc>
        <w:tc>
          <w:tcPr>
            <w:tcW w:w="2736" w:type="dxa"/>
            <w:shd w:val="clear" w:color="auto" w:fill="FFFFFF"/>
          </w:tcPr>
          <w:p w14:paraId="5D3C767A" w14:textId="68B89688" w:rsidR="00240430" w:rsidRPr="001F7CAA" w:rsidRDefault="00142A34" w:rsidP="00A3551D">
            <w:pPr>
              <w:pStyle w:val="TableText"/>
            </w:pPr>
            <w:r w:rsidRPr="00142A34">
              <w:rPr>
                <w:i/>
              </w:rPr>
              <w:t>The Awakening</w:t>
            </w:r>
            <w:r w:rsidR="00A3551D">
              <w:rPr>
                <w:i/>
              </w:rPr>
              <w:t xml:space="preserve"> </w:t>
            </w:r>
            <w:r w:rsidR="00A3551D">
              <w:t>by Kate Chopin,</w:t>
            </w:r>
            <w:r w:rsidR="003048C7">
              <w:t xml:space="preserve"> </w:t>
            </w:r>
            <w:r w:rsidR="00A3551D">
              <w:t>C</w:t>
            </w:r>
            <w:r w:rsidR="004569DE">
              <w:t>hapters</w:t>
            </w:r>
            <w:r w:rsidR="00FE0803">
              <w:t xml:space="preserve"> XXXIII</w:t>
            </w:r>
            <w:r w:rsidR="004B6B50">
              <w:t>–</w:t>
            </w:r>
            <w:r w:rsidR="00FE0803">
              <w:t>XXXIV</w:t>
            </w:r>
          </w:p>
        </w:tc>
        <w:tc>
          <w:tcPr>
            <w:tcW w:w="5724" w:type="dxa"/>
            <w:shd w:val="clear" w:color="auto" w:fill="FFFFFF"/>
          </w:tcPr>
          <w:p w14:paraId="739A0121" w14:textId="77777777" w:rsidR="00240430" w:rsidRPr="001F7CAA" w:rsidRDefault="00524C97" w:rsidP="004126B1">
            <w:pPr>
              <w:pStyle w:val="TableText"/>
            </w:pPr>
            <w:r>
              <w:t>In this lesson, students read and analyze chapters XXXIII</w:t>
            </w:r>
            <w:r>
              <w:rPr>
                <w:i/>
              </w:rPr>
              <w:t>–</w:t>
            </w:r>
            <w:r>
              <w:t xml:space="preserve">XXXIV of </w:t>
            </w:r>
            <w:r w:rsidRPr="00471940">
              <w:rPr>
                <w:i/>
              </w:rPr>
              <w:t>The Awakening</w:t>
            </w:r>
            <w:r>
              <w:t>, in which Mr. Pontellier learns of his wife’s decision to move out and Robert returns from Mexico and dines with Edna at the “pigeon house.” Students consider in writing and a whole-class discussion how Robert’s return impacts Edna’s character development.</w:t>
            </w:r>
          </w:p>
        </w:tc>
      </w:tr>
      <w:tr w:rsidR="00AF40B9" w:rsidRPr="001F7CAA" w14:paraId="1EAE56D7" w14:textId="77777777" w:rsidTr="00AF40B9">
        <w:trPr>
          <w:cantSplit/>
        </w:trPr>
        <w:tc>
          <w:tcPr>
            <w:tcW w:w="997" w:type="dxa"/>
            <w:shd w:val="clear" w:color="auto" w:fill="FFFFFF"/>
          </w:tcPr>
          <w:p w14:paraId="510752B8" w14:textId="77777777" w:rsidR="00AF40B9" w:rsidRDefault="00AF40B9" w:rsidP="001F7CAA">
            <w:pPr>
              <w:pStyle w:val="TableText"/>
            </w:pPr>
            <w:r>
              <w:lastRenderedPageBreak/>
              <w:t>17</w:t>
            </w:r>
          </w:p>
        </w:tc>
        <w:tc>
          <w:tcPr>
            <w:tcW w:w="2736" w:type="dxa"/>
            <w:shd w:val="clear" w:color="auto" w:fill="FFFFFF"/>
          </w:tcPr>
          <w:p w14:paraId="20FD36FC" w14:textId="2A997793" w:rsidR="00AF40B9" w:rsidRPr="001F7CAA" w:rsidRDefault="00142A34" w:rsidP="00A3551D">
            <w:pPr>
              <w:pStyle w:val="TableText"/>
            </w:pPr>
            <w:r w:rsidRPr="00142A34">
              <w:rPr>
                <w:i/>
              </w:rPr>
              <w:t>The Awakening</w:t>
            </w:r>
            <w:r w:rsidR="00A3551D">
              <w:rPr>
                <w:i/>
              </w:rPr>
              <w:t xml:space="preserve"> </w:t>
            </w:r>
            <w:r w:rsidR="00A3551D">
              <w:t>by Kate Chopin, C</w:t>
            </w:r>
            <w:r w:rsidR="004569DE">
              <w:t>hapters</w:t>
            </w:r>
            <w:r w:rsidR="00FE0803">
              <w:t xml:space="preserve"> XXXV</w:t>
            </w:r>
            <w:r w:rsidR="004B6B50">
              <w:t>–</w:t>
            </w:r>
            <w:r w:rsidR="00FE0803">
              <w:t>XXXVI</w:t>
            </w:r>
          </w:p>
        </w:tc>
        <w:tc>
          <w:tcPr>
            <w:tcW w:w="5724" w:type="dxa"/>
            <w:shd w:val="clear" w:color="auto" w:fill="FFFFFF"/>
          </w:tcPr>
          <w:p w14:paraId="2D3328BB" w14:textId="77777777" w:rsidR="00AF40B9" w:rsidRPr="00832D6F" w:rsidRDefault="00A97918" w:rsidP="00583A47">
            <w:pPr>
              <w:rPr>
                <w:rFonts w:cs="Arial"/>
                <w:color w:val="000000"/>
                <w:shd w:val="clear" w:color="auto" w:fill="FFFFFF"/>
              </w:rPr>
            </w:pPr>
            <w:r w:rsidRPr="00832D6F">
              <w:t xml:space="preserve">In this lesson, students read and analyze chapters XXXV–XXXVI of </w:t>
            </w:r>
            <w:r w:rsidRPr="00832D6F">
              <w:rPr>
                <w:rFonts w:cs="Arial"/>
                <w:i/>
                <w:color w:val="000000"/>
                <w:shd w:val="clear" w:color="auto" w:fill="FFFFFF"/>
              </w:rPr>
              <w:t>The Awakening</w:t>
            </w:r>
            <w:r w:rsidRPr="00832D6F">
              <w:rPr>
                <w:rFonts w:cs="Arial"/>
                <w:color w:val="000000"/>
                <w:shd w:val="clear" w:color="auto" w:fill="FFFFFF"/>
              </w:rPr>
              <w:t xml:space="preserve">, in which Edna and Robert finally confess their feelings for each other. Student analysis focuses on how the central ideas of societal expectations and Edna’s sense of self build on one another and interact over the course of </w:t>
            </w:r>
            <w:r w:rsidRPr="00832D6F">
              <w:rPr>
                <w:rFonts w:cs="Arial"/>
                <w:i/>
                <w:color w:val="000000"/>
                <w:shd w:val="clear" w:color="auto" w:fill="FFFFFF"/>
              </w:rPr>
              <w:t>The Awakening</w:t>
            </w:r>
            <w:r w:rsidRPr="00832D6F">
              <w:rPr>
                <w:rFonts w:cs="Arial"/>
                <w:color w:val="000000"/>
                <w:shd w:val="clear" w:color="auto" w:fill="FFFFFF"/>
              </w:rPr>
              <w:t xml:space="preserve">. </w:t>
            </w:r>
            <w:r w:rsidRPr="00832D6F">
              <w:t>At the end of the lesson,</w:t>
            </w:r>
            <w:r w:rsidRPr="00832D6F">
              <w:rPr>
                <w:rFonts w:cs="Arial"/>
                <w:color w:val="000000"/>
                <w:shd w:val="clear" w:color="auto" w:fill="FFFFFF"/>
              </w:rPr>
              <w:t xml:space="preserve"> using a fishbowl method for discussion, students engage in a critical dialogue about the text in response to the following prompt: How do central ideas that have been developed over the course of the text interact and build on one another in this excerpt?</w:t>
            </w:r>
          </w:p>
        </w:tc>
      </w:tr>
      <w:tr w:rsidR="00AF40B9" w:rsidRPr="001F7CAA" w14:paraId="6A398FF3" w14:textId="77777777" w:rsidTr="00AF40B9">
        <w:trPr>
          <w:cantSplit/>
        </w:trPr>
        <w:tc>
          <w:tcPr>
            <w:tcW w:w="997" w:type="dxa"/>
            <w:shd w:val="clear" w:color="auto" w:fill="FFFFFF"/>
          </w:tcPr>
          <w:p w14:paraId="214645D5" w14:textId="77777777" w:rsidR="00AF40B9" w:rsidRDefault="00AF40B9" w:rsidP="001F7CAA">
            <w:pPr>
              <w:pStyle w:val="TableText"/>
            </w:pPr>
            <w:r>
              <w:t>18</w:t>
            </w:r>
          </w:p>
        </w:tc>
        <w:tc>
          <w:tcPr>
            <w:tcW w:w="2736" w:type="dxa"/>
            <w:shd w:val="clear" w:color="auto" w:fill="FFFFFF"/>
          </w:tcPr>
          <w:p w14:paraId="1FF1BA0C" w14:textId="22B6826F" w:rsidR="00AF40B9" w:rsidRPr="001F7CAA" w:rsidRDefault="00DA1E77" w:rsidP="00A3551D">
            <w:pPr>
              <w:pStyle w:val="TableText"/>
            </w:pPr>
            <w:r w:rsidRPr="00142A34">
              <w:rPr>
                <w:i/>
              </w:rPr>
              <w:t>The Awakening</w:t>
            </w:r>
            <w:r w:rsidR="00A3551D">
              <w:rPr>
                <w:i/>
              </w:rPr>
              <w:t xml:space="preserve"> </w:t>
            </w:r>
            <w:r w:rsidR="00A3551D">
              <w:t>by Kate Chopin,</w:t>
            </w:r>
            <w:r>
              <w:rPr>
                <w:i/>
              </w:rPr>
              <w:t xml:space="preserve"> </w:t>
            </w:r>
            <w:r w:rsidR="00A3551D">
              <w:t>C</w:t>
            </w:r>
            <w:r w:rsidR="004569DE">
              <w:t>hapters</w:t>
            </w:r>
            <w:r w:rsidR="004B6B50">
              <w:t xml:space="preserve"> XXXVIII–</w:t>
            </w:r>
            <w:r w:rsidR="00FE0803">
              <w:t>XXXIX</w:t>
            </w:r>
          </w:p>
        </w:tc>
        <w:tc>
          <w:tcPr>
            <w:tcW w:w="5724" w:type="dxa"/>
            <w:shd w:val="clear" w:color="auto" w:fill="FFFFFF"/>
          </w:tcPr>
          <w:p w14:paraId="177B24A5" w14:textId="77777777" w:rsidR="00AF40B9" w:rsidRPr="00832D6F" w:rsidRDefault="0021090B" w:rsidP="00E25639">
            <w:pPr>
              <w:pStyle w:val="TableText"/>
            </w:pPr>
            <w:r w:rsidRPr="00832D6F">
              <w:t xml:space="preserve">In this lesson, students read and analyze chapters XXXVIII–XXXIX of </w:t>
            </w:r>
            <w:r w:rsidRPr="00832D6F">
              <w:rPr>
                <w:i/>
              </w:rPr>
              <w:t>The Awakening</w:t>
            </w:r>
            <w:r w:rsidRPr="00832D6F">
              <w:t xml:space="preserve">, in which Robert leaves and Edna returns to Grand Isle for a final swim. </w:t>
            </w:r>
            <w:r w:rsidRPr="00832D6F">
              <w:rPr>
                <w:rFonts w:cs="Arial"/>
                <w:color w:val="000000"/>
                <w:shd w:val="clear" w:color="auto" w:fill="FFFFFF"/>
              </w:rPr>
              <w:t>Student analysis focuses on Chopin’s choices in concluding the text and how those choices contribute to the meaning and aesthetic impact of the narrative.</w:t>
            </w:r>
          </w:p>
        </w:tc>
      </w:tr>
      <w:tr w:rsidR="00AF40B9" w:rsidRPr="001F7CAA" w14:paraId="6D1C39A3" w14:textId="77777777" w:rsidTr="00AF40B9">
        <w:trPr>
          <w:cantSplit/>
        </w:trPr>
        <w:tc>
          <w:tcPr>
            <w:tcW w:w="997" w:type="dxa"/>
            <w:shd w:val="clear" w:color="auto" w:fill="FFFFFF"/>
          </w:tcPr>
          <w:p w14:paraId="3D545E74" w14:textId="77777777" w:rsidR="00AF40B9" w:rsidRDefault="00AF40B9" w:rsidP="001F7CAA">
            <w:pPr>
              <w:pStyle w:val="TableText"/>
            </w:pPr>
            <w:r>
              <w:t>19</w:t>
            </w:r>
          </w:p>
        </w:tc>
        <w:tc>
          <w:tcPr>
            <w:tcW w:w="2736" w:type="dxa"/>
            <w:shd w:val="clear" w:color="auto" w:fill="FFFFFF"/>
          </w:tcPr>
          <w:p w14:paraId="6D1593EF" w14:textId="77777777" w:rsidR="00B6516E" w:rsidRPr="00B6516E" w:rsidRDefault="00B6516E" w:rsidP="00B6516E">
            <w:pPr>
              <w:pStyle w:val="TableText"/>
            </w:pPr>
            <w:r w:rsidRPr="00B6516E">
              <w:t xml:space="preserve">“On the Rainy River” from </w:t>
            </w:r>
          </w:p>
          <w:p w14:paraId="54EAC196" w14:textId="7C2BB0AF" w:rsidR="00B6516E" w:rsidRPr="00B6516E" w:rsidRDefault="00B6516E" w:rsidP="00B6516E">
            <w:pPr>
              <w:pStyle w:val="TableText"/>
              <w:rPr>
                <w:i/>
              </w:rPr>
            </w:pPr>
            <w:r w:rsidRPr="00B6516E">
              <w:rPr>
                <w:i/>
              </w:rPr>
              <w:t>The Things They Carried</w:t>
            </w:r>
            <w:r>
              <w:rPr>
                <w:i/>
              </w:rPr>
              <w:t xml:space="preserve"> </w:t>
            </w:r>
            <w:r w:rsidRPr="00B6516E">
              <w:t xml:space="preserve">by Tim O’Brien, pages 57–58; “The Red Convertible” from </w:t>
            </w:r>
          </w:p>
          <w:p w14:paraId="79E183B7" w14:textId="286E1BBA" w:rsidR="00B6516E" w:rsidRPr="00B6516E" w:rsidRDefault="00B6516E" w:rsidP="00B6516E">
            <w:pPr>
              <w:pStyle w:val="TableText"/>
            </w:pPr>
            <w:r w:rsidRPr="00B6516E">
              <w:rPr>
                <w:i/>
              </w:rPr>
              <w:t>The Red Convertible</w:t>
            </w:r>
            <w:r>
              <w:t xml:space="preserve"> </w:t>
            </w:r>
            <w:r w:rsidRPr="00B6516E">
              <w:t xml:space="preserve">by Louise </w:t>
            </w:r>
            <w:r>
              <w:t xml:space="preserve"> </w:t>
            </w:r>
            <w:r w:rsidRPr="00B6516E">
              <w:t xml:space="preserve">Erdrich, page 10; </w:t>
            </w:r>
          </w:p>
          <w:p w14:paraId="640FD4A1" w14:textId="2C819237" w:rsidR="00B6516E" w:rsidRPr="00B6516E" w:rsidRDefault="00B6516E" w:rsidP="00B6516E">
            <w:pPr>
              <w:pStyle w:val="TableText"/>
            </w:pPr>
            <w:r w:rsidRPr="00B6516E">
              <w:rPr>
                <w:i/>
              </w:rPr>
              <w:t>The Awakening</w:t>
            </w:r>
            <w:r>
              <w:t xml:space="preserve"> </w:t>
            </w:r>
            <w:r w:rsidRPr="00B6516E">
              <w:t xml:space="preserve">by Kate Chopin, pages 127–128 </w:t>
            </w:r>
          </w:p>
          <w:p w14:paraId="68B867AC" w14:textId="30775571" w:rsidR="00AF40B9" w:rsidRPr="001F7CAA" w:rsidRDefault="00AF40B9" w:rsidP="00C03A64">
            <w:pPr>
              <w:pStyle w:val="TableText"/>
            </w:pPr>
          </w:p>
        </w:tc>
        <w:tc>
          <w:tcPr>
            <w:tcW w:w="5724" w:type="dxa"/>
            <w:shd w:val="clear" w:color="auto" w:fill="FFFFFF"/>
          </w:tcPr>
          <w:p w14:paraId="056E2208" w14:textId="3DF11DB5" w:rsidR="00AF40B9" w:rsidRPr="001F7CAA" w:rsidRDefault="00024EEE" w:rsidP="002D1CE8">
            <w:r>
              <w:t xml:space="preserve">In this lesson, </w:t>
            </w:r>
            <w:r w:rsidR="005E5FC3">
              <w:t>students continue</w:t>
            </w:r>
            <w:r>
              <w:t xml:space="preserve"> their work with narrative writing with the introduction of a new substandard: W.11-12.3.e, which requires students to provide a conclusion to their narrative writing. Students participate in a collaborative jigsaw discussion activity, analyzing the conclusions from the three module texts</w:t>
            </w:r>
            <w:r w:rsidR="005E5FC3">
              <w:t xml:space="preserve"> in regards to</w:t>
            </w:r>
            <w:r w:rsidR="00EE5BDB">
              <w:t xml:space="preserve"> </w:t>
            </w:r>
            <w:r>
              <w:t xml:space="preserve">W.11-12.3.e. </w:t>
            </w:r>
            <w:r w:rsidR="005E5FC3">
              <w:t>S</w:t>
            </w:r>
            <w:r>
              <w:t xml:space="preserve">tudents engage in a brainstorming and prewriting </w:t>
            </w:r>
            <w:r w:rsidR="002D1CE8">
              <w:t xml:space="preserve">activity </w:t>
            </w:r>
            <w:r>
              <w:t>as they consider how to craft a new conclusion to one of the module’s three texts.</w:t>
            </w:r>
          </w:p>
        </w:tc>
      </w:tr>
      <w:tr w:rsidR="00AF40B9" w:rsidRPr="001F7CAA" w14:paraId="2B03755E" w14:textId="77777777" w:rsidTr="00AF40B9">
        <w:trPr>
          <w:cantSplit/>
        </w:trPr>
        <w:tc>
          <w:tcPr>
            <w:tcW w:w="997" w:type="dxa"/>
            <w:shd w:val="clear" w:color="auto" w:fill="FFFFFF"/>
          </w:tcPr>
          <w:p w14:paraId="6EDC0CE9" w14:textId="77777777" w:rsidR="00AF40B9" w:rsidRDefault="00AF40B9" w:rsidP="001F7CAA">
            <w:pPr>
              <w:pStyle w:val="TableText"/>
            </w:pPr>
            <w:r>
              <w:t>20</w:t>
            </w:r>
          </w:p>
        </w:tc>
        <w:tc>
          <w:tcPr>
            <w:tcW w:w="2736" w:type="dxa"/>
            <w:shd w:val="clear" w:color="auto" w:fill="FFFFFF"/>
          </w:tcPr>
          <w:p w14:paraId="0D107458" w14:textId="7DC97A86" w:rsidR="00B6516E" w:rsidRPr="00B6516E" w:rsidRDefault="00B6516E" w:rsidP="00B6516E">
            <w:pPr>
              <w:pStyle w:val="TableText"/>
            </w:pPr>
            <w:r w:rsidRPr="00B6516E">
              <w:t xml:space="preserve">“On the Rainy River” from </w:t>
            </w:r>
          </w:p>
          <w:p w14:paraId="0AE839AA" w14:textId="1CE6D4FA" w:rsidR="00AF40B9" w:rsidRPr="00C75D7B" w:rsidRDefault="00B6516E" w:rsidP="001F7CAA">
            <w:pPr>
              <w:pStyle w:val="TableText"/>
              <w:rPr>
                <w:i/>
              </w:rPr>
            </w:pPr>
            <w:r w:rsidRPr="00B6516E">
              <w:rPr>
                <w:i/>
              </w:rPr>
              <w:t>The Things They Carried</w:t>
            </w:r>
            <w:r>
              <w:rPr>
                <w:i/>
              </w:rPr>
              <w:t xml:space="preserve"> </w:t>
            </w:r>
            <w:r>
              <w:t>by Tim O’Brien;</w:t>
            </w:r>
            <w:r w:rsidRPr="00B6516E">
              <w:rPr>
                <w:i/>
              </w:rPr>
              <w:t xml:space="preserve"> </w:t>
            </w:r>
            <w:r w:rsidRPr="00B6516E">
              <w:t>“The Red Convertible” from</w:t>
            </w:r>
            <w:r w:rsidRPr="00B6516E">
              <w:rPr>
                <w:i/>
              </w:rPr>
              <w:t xml:space="preserve"> The Red Convertible</w:t>
            </w:r>
            <w:r>
              <w:rPr>
                <w:i/>
              </w:rPr>
              <w:t xml:space="preserve"> </w:t>
            </w:r>
            <w:r w:rsidRPr="00B6516E">
              <w:t>by Louise Erdri</w:t>
            </w:r>
            <w:r>
              <w:t xml:space="preserve">ch; </w:t>
            </w:r>
            <w:r w:rsidRPr="00B6516E">
              <w:rPr>
                <w:i/>
              </w:rPr>
              <w:t>The Awakening</w:t>
            </w:r>
            <w:r>
              <w:rPr>
                <w:i/>
              </w:rPr>
              <w:t xml:space="preserve"> </w:t>
            </w:r>
            <w:r w:rsidRPr="00B6516E">
              <w:t>by Kate Chopin</w:t>
            </w:r>
          </w:p>
        </w:tc>
        <w:tc>
          <w:tcPr>
            <w:tcW w:w="5724" w:type="dxa"/>
            <w:shd w:val="clear" w:color="auto" w:fill="FFFFFF"/>
          </w:tcPr>
          <w:p w14:paraId="09F8DB58" w14:textId="77777777" w:rsidR="00AF40B9" w:rsidRPr="001F7CAA" w:rsidRDefault="00E164B0" w:rsidP="00C86FB8">
            <w:pPr>
              <w:pStyle w:val="TableText"/>
            </w:pPr>
            <w:r w:rsidRPr="00E45A5F">
              <w:rPr>
                <w:rFonts w:eastAsia="Times New Roman" w:cs="Arial"/>
                <w:bCs/>
                <w:color w:val="000000"/>
              </w:rPr>
              <w:t>In this lesson</w:t>
            </w:r>
            <w:r>
              <w:rPr>
                <w:rFonts w:eastAsia="Times New Roman" w:cs="Arial"/>
                <w:bCs/>
                <w:color w:val="000000"/>
              </w:rPr>
              <w:t>, students engage in a peer review and revision process of their text-based narrative writing piece from the previous lesson. Students peer review and revise for the standard W.11-12.3.e, crafting conclusions that follow from and reflect upon what is experienced, observed, or resolved over the course of the narrative</w:t>
            </w:r>
            <w:r>
              <w:t>.</w:t>
            </w:r>
          </w:p>
        </w:tc>
      </w:tr>
      <w:tr w:rsidR="00AF40B9" w:rsidRPr="001F7CAA" w14:paraId="5AF16B28" w14:textId="77777777" w:rsidTr="00AF40B9">
        <w:trPr>
          <w:cantSplit/>
        </w:trPr>
        <w:tc>
          <w:tcPr>
            <w:tcW w:w="997" w:type="dxa"/>
            <w:shd w:val="clear" w:color="auto" w:fill="FFFFFF"/>
          </w:tcPr>
          <w:p w14:paraId="3EBA6C0B" w14:textId="77777777" w:rsidR="00AF40B9" w:rsidRDefault="00AF40B9" w:rsidP="001F7CAA">
            <w:pPr>
              <w:pStyle w:val="TableText"/>
            </w:pPr>
            <w:r>
              <w:lastRenderedPageBreak/>
              <w:t>21</w:t>
            </w:r>
          </w:p>
        </w:tc>
        <w:tc>
          <w:tcPr>
            <w:tcW w:w="2736" w:type="dxa"/>
            <w:shd w:val="clear" w:color="auto" w:fill="FFFFFF"/>
          </w:tcPr>
          <w:p w14:paraId="10CFB41F" w14:textId="15ABC919" w:rsidR="00AF40B9" w:rsidRPr="006D47B1" w:rsidRDefault="00A51F6E" w:rsidP="001F7CAA">
            <w:pPr>
              <w:pStyle w:val="TableText"/>
            </w:pPr>
            <w:r w:rsidRPr="00A51F6E">
              <w:rPr>
                <w:i/>
              </w:rPr>
              <w:t>The Awakening</w:t>
            </w:r>
            <w:r w:rsidR="006D47B1">
              <w:t xml:space="preserve"> by Kate Chopin</w:t>
            </w:r>
          </w:p>
        </w:tc>
        <w:tc>
          <w:tcPr>
            <w:tcW w:w="5724" w:type="dxa"/>
            <w:shd w:val="clear" w:color="auto" w:fill="FFFFFF"/>
          </w:tcPr>
          <w:p w14:paraId="0B3DBFBD" w14:textId="77777777" w:rsidR="00AF40B9" w:rsidRPr="001F7CAA" w:rsidRDefault="00773882" w:rsidP="000555EA">
            <w:r>
              <w:t xml:space="preserve">In this lesson, students analyze the entire text of </w:t>
            </w:r>
            <w:r w:rsidRPr="00F9353E">
              <w:rPr>
                <w:i/>
              </w:rPr>
              <w:t>The Awakening</w:t>
            </w:r>
            <w:r>
              <w:t xml:space="preserve"> in preparation for the End-of-Unit Assessment in the following lesson. Students work in pairs to identify evidence to support a claim in response to the End-of-Unit Assessment prompt: Who or what bears the most responsibility for the tragic conclusion of </w:t>
            </w:r>
            <w:r>
              <w:rPr>
                <w:i/>
              </w:rPr>
              <w:t>The Awakening</w:t>
            </w:r>
            <w:r>
              <w:t>? Student analysis focuses on identifying characters or societal expectations that are responsible for</w:t>
            </w:r>
            <w:r>
              <w:rPr>
                <w:rStyle w:val="CommentReference"/>
              </w:rPr>
              <w:t xml:space="preserve"> </w:t>
            </w:r>
            <w:r>
              <w:t xml:space="preserve">the tragic conclusion of the text using the 11.4.2 End-of-Unit Evidence Collection Tool. </w:t>
            </w:r>
          </w:p>
        </w:tc>
      </w:tr>
      <w:tr w:rsidR="00AF40B9" w:rsidRPr="001F7CAA" w14:paraId="318EF03C" w14:textId="77777777" w:rsidTr="00AF40B9">
        <w:trPr>
          <w:cantSplit/>
        </w:trPr>
        <w:tc>
          <w:tcPr>
            <w:tcW w:w="997" w:type="dxa"/>
            <w:shd w:val="clear" w:color="auto" w:fill="FFFFFF"/>
          </w:tcPr>
          <w:p w14:paraId="7AA8D1E4" w14:textId="77777777" w:rsidR="00AF40B9" w:rsidRDefault="00AF40B9" w:rsidP="001F7CAA">
            <w:pPr>
              <w:pStyle w:val="TableText"/>
            </w:pPr>
            <w:r>
              <w:t>22</w:t>
            </w:r>
          </w:p>
        </w:tc>
        <w:tc>
          <w:tcPr>
            <w:tcW w:w="2736" w:type="dxa"/>
            <w:shd w:val="clear" w:color="auto" w:fill="FFFFFF"/>
          </w:tcPr>
          <w:p w14:paraId="39891B67" w14:textId="794283C0" w:rsidR="00AF40B9" w:rsidRPr="00A51F6E" w:rsidRDefault="00A51F6E" w:rsidP="001F7CAA">
            <w:pPr>
              <w:pStyle w:val="TableText"/>
              <w:rPr>
                <w:i/>
              </w:rPr>
            </w:pPr>
            <w:r w:rsidRPr="00A51F6E">
              <w:rPr>
                <w:i/>
              </w:rPr>
              <w:t>The Awakening</w:t>
            </w:r>
            <w:r w:rsidR="006D47B1">
              <w:rPr>
                <w:i/>
              </w:rPr>
              <w:t xml:space="preserve"> </w:t>
            </w:r>
            <w:r w:rsidR="006D47B1">
              <w:t>by Kate Chopin</w:t>
            </w:r>
          </w:p>
        </w:tc>
        <w:tc>
          <w:tcPr>
            <w:tcW w:w="5724" w:type="dxa"/>
            <w:shd w:val="clear" w:color="auto" w:fill="FFFFFF"/>
          </w:tcPr>
          <w:p w14:paraId="5BED16C2" w14:textId="77777777" w:rsidR="00AF40B9" w:rsidRPr="001F7CAA" w:rsidRDefault="000B190D" w:rsidP="000B190D">
            <w:r>
              <w:t xml:space="preserve">In this last </w:t>
            </w:r>
            <w:r w:rsidR="004F7994">
              <w:t>lesson of the unit, students complete the End-of-Unit Assessment by engaging in an evidence-based discussion</w:t>
            </w:r>
            <w:r>
              <w:t xml:space="preserve"> in response to the following prompt: Who or what bears the most responsibility for the tragic conclusion of </w:t>
            </w:r>
            <w:r w:rsidRPr="005E70DD">
              <w:rPr>
                <w:i/>
              </w:rPr>
              <w:t>The Awakening</w:t>
            </w:r>
            <w:r>
              <w:t>?</w:t>
            </w:r>
            <w:r w:rsidR="004F7994">
              <w:t xml:space="preserve"> Students make a claim about w</w:t>
            </w:r>
            <w:r w:rsidR="004F7994" w:rsidRPr="00B63F94">
              <w:t xml:space="preserve">ho </w:t>
            </w:r>
            <w:r w:rsidR="004F7994">
              <w:t xml:space="preserve">or what </w:t>
            </w:r>
            <w:r w:rsidR="004F7994" w:rsidRPr="00B63F94">
              <w:t>bears the most responsibility for the trag</w:t>
            </w:r>
            <w:r w:rsidR="004F7994">
              <w:t xml:space="preserve">ic conclusion of </w:t>
            </w:r>
            <w:r w:rsidR="004F7994" w:rsidRPr="00530F4C">
              <w:rPr>
                <w:i/>
              </w:rPr>
              <w:t>The Awakening</w:t>
            </w:r>
            <w:r w:rsidR="004F7994">
              <w:t xml:space="preserve">. Students rely on their reading and analysis of </w:t>
            </w:r>
            <w:r w:rsidR="004F7994">
              <w:rPr>
                <w:i/>
              </w:rPr>
              <w:t xml:space="preserve">The Awakening </w:t>
            </w:r>
            <w:r w:rsidR="004F7994">
              <w:t xml:space="preserve">to support their claim, considering the complexity of the central ideas of the text as well as the development of characters. </w:t>
            </w:r>
          </w:p>
        </w:tc>
      </w:tr>
    </w:tbl>
    <w:p w14:paraId="53A30CE1" w14:textId="77777777" w:rsidR="00CC183D" w:rsidRDefault="00CC183D" w:rsidP="00CC183D">
      <w:pPr>
        <w:pStyle w:val="Heading1"/>
      </w:pPr>
      <w:r>
        <w:t>Preparation, Materials, and Resources</w:t>
      </w:r>
    </w:p>
    <w:p w14:paraId="313200D6" w14:textId="77777777" w:rsidR="00CC183D" w:rsidRPr="008F708C" w:rsidRDefault="00CC183D" w:rsidP="00CC183D">
      <w:pPr>
        <w:rPr>
          <w:b/>
        </w:rPr>
      </w:pPr>
      <w:r w:rsidRPr="008F708C">
        <w:rPr>
          <w:b/>
        </w:rPr>
        <w:t>Preparation</w:t>
      </w:r>
    </w:p>
    <w:p w14:paraId="6656D733" w14:textId="77777777" w:rsidR="00CC183D" w:rsidRDefault="00CC183D" w:rsidP="00CC183D">
      <w:pPr>
        <w:pStyle w:val="BulletedList"/>
      </w:pPr>
      <w:r w:rsidRPr="007B5476">
        <w:t xml:space="preserve">Read and annotate </w:t>
      </w:r>
      <w:r w:rsidR="00142A34" w:rsidRPr="00142A34">
        <w:rPr>
          <w:i/>
        </w:rPr>
        <w:t>The Awakening</w:t>
      </w:r>
      <w:r w:rsidR="00142A34">
        <w:t xml:space="preserve"> by Kate Chopin</w:t>
      </w:r>
      <w:r w:rsidR="00616247">
        <w:t>.</w:t>
      </w:r>
    </w:p>
    <w:p w14:paraId="2C8AA7FB" w14:textId="77777777" w:rsidR="00C3498C" w:rsidRDefault="00CC183D" w:rsidP="00CC183D">
      <w:pPr>
        <w:pStyle w:val="BulletedList"/>
      </w:pPr>
      <w:r>
        <w:t>Review the</w:t>
      </w:r>
      <w:r w:rsidR="00C3498C">
        <w:t xml:space="preserve"> Short Response Rubric and Checklist</w:t>
      </w:r>
      <w:r w:rsidR="00616247">
        <w:t>.</w:t>
      </w:r>
    </w:p>
    <w:p w14:paraId="5E5B039A" w14:textId="77777777" w:rsidR="00C3498C" w:rsidRDefault="00C3498C" w:rsidP="00CC183D">
      <w:pPr>
        <w:pStyle w:val="BulletedList"/>
      </w:pPr>
      <w:r>
        <w:t xml:space="preserve">Review the </w:t>
      </w:r>
      <w:r w:rsidR="00616247">
        <w:t xml:space="preserve">11.4 </w:t>
      </w:r>
      <w:r>
        <w:t>Narrative Writing Rubric and Checklist</w:t>
      </w:r>
      <w:r w:rsidR="00616247">
        <w:t>.</w:t>
      </w:r>
    </w:p>
    <w:p w14:paraId="64A6065B" w14:textId="77777777" w:rsidR="00C3498C" w:rsidRDefault="00C3498C" w:rsidP="00CC183D">
      <w:pPr>
        <w:pStyle w:val="BulletedList"/>
      </w:pPr>
      <w:r>
        <w:t xml:space="preserve">Review the </w:t>
      </w:r>
      <w:r w:rsidR="00616247">
        <w:t xml:space="preserve">11.4 </w:t>
      </w:r>
      <w:r>
        <w:t>Speaking and Listening Rubric and Checklist</w:t>
      </w:r>
      <w:r w:rsidR="00616247">
        <w:t>.</w:t>
      </w:r>
    </w:p>
    <w:p w14:paraId="504EC1FA" w14:textId="2C7DB3BE" w:rsidR="00C3498C" w:rsidRDefault="00C3498C" w:rsidP="00CC183D">
      <w:pPr>
        <w:pStyle w:val="BulletedList"/>
      </w:pPr>
      <w:r>
        <w:t xml:space="preserve">Review the 11.4.2 Mid-Unit </w:t>
      </w:r>
      <w:r w:rsidR="00552F00">
        <w:t>and End-of-Unit Text Analysis Rubric</w:t>
      </w:r>
      <w:r w:rsidR="00616247">
        <w:t>s</w:t>
      </w:r>
      <w:r w:rsidR="00552F00">
        <w:t xml:space="preserve"> and</w:t>
      </w:r>
      <w:r>
        <w:t xml:space="preserve"> Checklist</w:t>
      </w:r>
      <w:r w:rsidR="00616247">
        <w:t>s.</w:t>
      </w:r>
      <w:r w:rsidR="00CC183D">
        <w:t xml:space="preserve"> </w:t>
      </w:r>
    </w:p>
    <w:p w14:paraId="78746364" w14:textId="77777777" w:rsidR="00CC183D" w:rsidRDefault="00CC183D" w:rsidP="00CC183D">
      <w:pPr>
        <w:pStyle w:val="BulletedList"/>
      </w:pPr>
      <w:r>
        <w:t>Review all unit standards and post in classroom</w:t>
      </w:r>
      <w:r w:rsidR="00616247">
        <w:t>.</w:t>
      </w:r>
    </w:p>
    <w:p w14:paraId="2415EFC9" w14:textId="77777777" w:rsidR="00CC183D" w:rsidRPr="008F708C" w:rsidRDefault="00CC183D" w:rsidP="00552F00">
      <w:pPr>
        <w:keepNext/>
        <w:spacing w:before="240"/>
        <w:rPr>
          <w:b/>
        </w:rPr>
      </w:pPr>
      <w:r w:rsidRPr="008F708C">
        <w:rPr>
          <w:b/>
        </w:rPr>
        <w:lastRenderedPageBreak/>
        <w:t>Materials</w:t>
      </w:r>
      <w:r>
        <w:rPr>
          <w:b/>
        </w:rPr>
        <w:t xml:space="preserve"> and </w:t>
      </w:r>
      <w:r w:rsidRPr="008F708C">
        <w:rPr>
          <w:b/>
        </w:rPr>
        <w:t>Resources</w:t>
      </w:r>
    </w:p>
    <w:p w14:paraId="789CC09E" w14:textId="4FF499F0" w:rsidR="00CC183D" w:rsidRDefault="00CC183D" w:rsidP="0068335A">
      <w:pPr>
        <w:pStyle w:val="BulletedList"/>
      </w:pPr>
      <w:r w:rsidRPr="0068335A">
        <w:t>Copies of</w:t>
      </w:r>
      <w:r w:rsidR="00616247">
        <w:t xml:space="preserve"> </w:t>
      </w:r>
      <w:r w:rsidR="00142A34" w:rsidRPr="00CE1D63">
        <w:rPr>
          <w:i/>
        </w:rPr>
        <w:t>The Awakening</w:t>
      </w:r>
      <w:r w:rsidR="00142A34" w:rsidRPr="0068335A">
        <w:t xml:space="preserve"> by Kate Chopin</w:t>
      </w:r>
      <w:r w:rsidR="00C75D7B">
        <w:t xml:space="preserve">; “On the Rainy River” from </w:t>
      </w:r>
      <w:r w:rsidR="00C75D7B">
        <w:rPr>
          <w:i/>
        </w:rPr>
        <w:t>The Things They Carried</w:t>
      </w:r>
      <w:r w:rsidR="00C75D7B">
        <w:t xml:space="preserve"> by Tim O’</w:t>
      </w:r>
      <w:r w:rsidR="00C75D7B" w:rsidRPr="00240430">
        <w:t>Brien</w:t>
      </w:r>
      <w:r w:rsidR="00C75D7B">
        <w:t>;</w:t>
      </w:r>
      <w:r w:rsidR="00C75D7B" w:rsidRPr="00240430">
        <w:t xml:space="preserve"> and “The Red Convertible”</w:t>
      </w:r>
      <w:r w:rsidR="00C75D7B">
        <w:t xml:space="preserve"> from </w:t>
      </w:r>
      <w:r w:rsidR="00C75D7B">
        <w:rPr>
          <w:i/>
        </w:rPr>
        <w:t>The Red Convertible</w:t>
      </w:r>
      <w:r w:rsidR="00C75D7B" w:rsidRPr="00240430">
        <w:t xml:space="preserve"> by Louise Erdrich</w:t>
      </w:r>
    </w:p>
    <w:p w14:paraId="4CDF401C" w14:textId="77777777" w:rsidR="007F7C94" w:rsidRDefault="00616247" w:rsidP="0068335A">
      <w:pPr>
        <w:pStyle w:val="BulletedList"/>
      </w:pPr>
      <w:r w:rsidRPr="0068335A">
        <w:t xml:space="preserve">Writing utensils including pencils, pens, markers, and highlighters </w:t>
      </w:r>
    </w:p>
    <w:p w14:paraId="30965BFE" w14:textId="2BAB4F9C" w:rsidR="00142A34" w:rsidRPr="0068335A" w:rsidRDefault="00142A34" w:rsidP="0068335A">
      <w:pPr>
        <w:pStyle w:val="BulletedList"/>
      </w:pPr>
      <w:r w:rsidRPr="0068335A">
        <w:t>Chart paper</w:t>
      </w:r>
    </w:p>
    <w:p w14:paraId="1353FD03" w14:textId="77777777" w:rsidR="00616247" w:rsidRPr="0068335A" w:rsidRDefault="00616247" w:rsidP="00616247">
      <w:pPr>
        <w:pStyle w:val="BulletedList"/>
      </w:pPr>
      <w:r w:rsidRPr="0068335A">
        <w:t>Methods for collecting student work: student notebooks, folders, etc.</w:t>
      </w:r>
    </w:p>
    <w:p w14:paraId="181E187C" w14:textId="77777777" w:rsidR="00616247" w:rsidRPr="0068335A" w:rsidRDefault="00616247" w:rsidP="00616247">
      <w:pPr>
        <w:pStyle w:val="BulletedList"/>
      </w:pPr>
      <w:r w:rsidRPr="0068335A">
        <w:t>Access to technology (if possible): interactive whiteboard, document camera, and LCD projector</w:t>
      </w:r>
      <w:r>
        <w:t>, computers for individual students (for word processing and blogging narrative writing)</w:t>
      </w:r>
    </w:p>
    <w:p w14:paraId="2BD70BB6" w14:textId="7FD942A9" w:rsidR="00CC183D" w:rsidRPr="0068335A" w:rsidRDefault="00CC183D" w:rsidP="007F7C94">
      <w:pPr>
        <w:pStyle w:val="BulletedList"/>
      </w:pPr>
      <w:r w:rsidRPr="0068335A">
        <w:t>Self-stick notes for students</w:t>
      </w:r>
    </w:p>
    <w:p w14:paraId="51B5F442" w14:textId="77777777" w:rsidR="00CC183D" w:rsidRPr="0068335A" w:rsidRDefault="00CC183D" w:rsidP="00C3498C">
      <w:pPr>
        <w:pStyle w:val="BulletedList"/>
      </w:pPr>
      <w:r w:rsidRPr="0068335A">
        <w:t>Copies of handouts and tools for each student: see materials list in individual lesson plans</w:t>
      </w:r>
    </w:p>
    <w:p w14:paraId="4C686F87" w14:textId="77777777" w:rsidR="00CC183D" w:rsidRPr="0068335A" w:rsidRDefault="00CC183D" w:rsidP="0068335A">
      <w:pPr>
        <w:pStyle w:val="BulletedList"/>
      </w:pPr>
      <w:r w:rsidRPr="0068335A">
        <w:t>Copies of the Short Response Rubric</w:t>
      </w:r>
      <w:r w:rsidR="006A2CC3" w:rsidRPr="0068335A">
        <w:t xml:space="preserve"> and Checklist</w:t>
      </w:r>
    </w:p>
    <w:p w14:paraId="5D8B68EE" w14:textId="77777777" w:rsidR="00616247" w:rsidRPr="0068335A" w:rsidRDefault="00616247" w:rsidP="00616247">
      <w:pPr>
        <w:pStyle w:val="BulletedList"/>
      </w:pPr>
      <w:r>
        <w:t>Copies of the 11.4 N</w:t>
      </w:r>
      <w:r w:rsidRPr="0068335A">
        <w:t>arrative Writing Rubric and Checklist</w:t>
      </w:r>
    </w:p>
    <w:p w14:paraId="484558F6" w14:textId="77777777" w:rsidR="00CC183D" w:rsidRPr="0068335A" w:rsidRDefault="00CC183D" w:rsidP="0068335A">
      <w:pPr>
        <w:pStyle w:val="BulletedList"/>
      </w:pPr>
      <w:r w:rsidRPr="0068335A">
        <w:t xml:space="preserve">Copies of the </w:t>
      </w:r>
      <w:r w:rsidR="00616247">
        <w:t xml:space="preserve">11.4 </w:t>
      </w:r>
      <w:r w:rsidRPr="0068335A">
        <w:t>Speaking and Listening Rubric</w:t>
      </w:r>
      <w:r w:rsidR="006A2CC3" w:rsidRPr="0068335A">
        <w:t xml:space="preserve"> and Checklist </w:t>
      </w:r>
    </w:p>
    <w:p w14:paraId="2772C1CA" w14:textId="77777777" w:rsidR="00CC183D" w:rsidRPr="0068335A" w:rsidRDefault="00CC183D" w:rsidP="0068335A">
      <w:pPr>
        <w:pStyle w:val="BulletedList"/>
      </w:pPr>
      <w:r w:rsidRPr="0068335A">
        <w:t xml:space="preserve">Copies of </w:t>
      </w:r>
      <w:r w:rsidR="00240430" w:rsidRPr="0068335A">
        <w:t>11.4</w:t>
      </w:r>
      <w:r w:rsidRPr="0068335A">
        <w:t xml:space="preserve"> Common Core Learning Standards Tool</w:t>
      </w:r>
    </w:p>
    <w:p w14:paraId="594AC944" w14:textId="77777777" w:rsidR="00C75D7B" w:rsidRDefault="00C75D7B" w:rsidP="00C75D7B">
      <w:pPr>
        <w:pStyle w:val="BulletedList"/>
      </w:pPr>
      <w:r>
        <w:t>Copies of the Mid-Unit and End-of-Unit Text Analysis Rubrics and Checklists</w:t>
      </w:r>
    </w:p>
    <w:p w14:paraId="6619DA8D" w14:textId="77777777" w:rsidR="007F7C94" w:rsidRDefault="007F7C94" w:rsidP="0068335A">
      <w:pPr>
        <w:pStyle w:val="BulletedList"/>
      </w:pPr>
      <w:r>
        <w:t>Copies of the Peer Review Accountability Tool</w:t>
      </w:r>
    </w:p>
    <w:p w14:paraId="1E507B29" w14:textId="4498925F" w:rsidR="00C75D7B" w:rsidRDefault="007F7C94" w:rsidP="00C75D7B">
      <w:pPr>
        <w:pStyle w:val="BulletedList"/>
      </w:pPr>
      <w:r>
        <w:t>Copies of the Central Ideas Tracking Tool</w:t>
      </w:r>
      <w:r w:rsidR="00C75D7B">
        <w:t xml:space="preserve"> (optional)</w:t>
      </w:r>
    </w:p>
    <w:sectPr w:rsidR="00C75D7B" w:rsidSect="005E59CC">
      <w:headerReference w:type="default" r:id="rId7"/>
      <w:footerReference w:type="default" r:id="rId8"/>
      <w:pgSz w:w="12240" w:h="15840" w:code="1"/>
      <w:pgMar w:top="1440" w:right="1440" w:bottom="1440" w:left="1440" w:header="432" w:footer="6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568E8" w14:textId="77777777" w:rsidR="006023DA" w:rsidRDefault="006023DA">
      <w:r>
        <w:separator/>
      </w:r>
    </w:p>
  </w:endnote>
  <w:endnote w:type="continuationSeparator" w:id="0">
    <w:p w14:paraId="523EB4D3" w14:textId="77777777" w:rsidR="006023DA" w:rsidRDefault="0060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7D570" w14:textId="77777777" w:rsidR="00A3551D" w:rsidRPr="00563CB8" w:rsidRDefault="00A3551D" w:rsidP="00CC183D">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A3551D" w14:paraId="5A9AD670" w14:textId="77777777">
      <w:trPr>
        <w:trHeight w:val="705"/>
      </w:trPr>
      <w:tc>
        <w:tcPr>
          <w:tcW w:w="4609" w:type="dxa"/>
          <w:tcBorders>
            <w:top w:val="single" w:sz="8" w:space="0" w:color="244061"/>
          </w:tcBorders>
          <w:vAlign w:val="center"/>
        </w:tcPr>
        <w:p w14:paraId="1BF3FE95" w14:textId="77777777" w:rsidR="00A3551D" w:rsidRPr="00CC183D" w:rsidRDefault="00A3551D" w:rsidP="00CC183D">
          <w:pPr>
            <w:pStyle w:val="FooterText"/>
            <w:rPr>
              <w:rFonts w:ascii="Calibri" w:hAnsi="Calibri"/>
            </w:rPr>
          </w:pPr>
          <w:r w:rsidRPr="00CC183D">
            <w:rPr>
              <w:rFonts w:ascii="Calibri" w:hAnsi="Calibri"/>
            </w:rPr>
            <w:t xml:space="preserve">File: </w:t>
          </w:r>
          <w:r>
            <w:rPr>
              <w:rFonts w:ascii="Calibri" w:hAnsi="Calibri"/>
            </w:rPr>
            <w:t>11</w:t>
          </w:r>
          <w:r w:rsidRPr="001B2DAB">
            <w:rPr>
              <w:rFonts w:ascii="Calibri" w:hAnsi="Calibri"/>
              <w:b w:val="0"/>
            </w:rPr>
            <w:t>.</w:t>
          </w:r>
          <w:r>
            <w:rPr>
              <w:rFonts w:ascii="Calibri" w:hAnsi="Calibri"/>
              <w:b w:val="0"/>
            </w:rPr>
            <w:t>4</w:t>
          </w:r>
          <w:r w:rsidRPr="001B2DAB">
            <w:rPr>
              <w:rFonts w:ascii="Calibri" w:hAnsi="Calibri"/>
              <w:b w:val="0"/>
            </w:rPr>
            <w:t>.</w:t>
          </w:r>
          <w:r>
            <w:rPr>
              <w:rFonts w:ascii="Calibri" w:hAnsi="Calibri"/>
              <w:b w:val="0"/>
            </w:rPr>
            <w:t>2</w:t>
          </w:r>
          <w:r w:rsidRPr="001B2DAB">
            <w:rPr>
              <w:rFonts w:ascii="Calibri" w:hAnsi="Calibri"/>
              <w:b w:val="0"/>
            </w:rPr>
            <w:t xml:space="preserve"> </w:t>
          </w:r>
          <w:r>
            <w:rPr>
              <w:rFonts w:ascii="Calibri" w:hAnsi="Calibri"/>
              <w:b w:val="0"/>
            </w:rPr>
            <w:t xml:space="preserve">Unit </w:t>
          </w:r>
          <w:r w:rsidRPr="001B2DAB">
            <w:rPr>
              <w:rFonts w:ascii="Calibri" w:hAnsi="Calibri"/>
              <w:b w:val="0"/>
            </w:rPr>
            <w:t>Overview</w:t>
          </w:r>
          <w:r w:rsidRPr="00CC183D">
            <w:rPr>
              <w:rFonts w:ascii="Calibri" w:hAnsi="Calibri"/>
            </w:rPr>
            <w:t xml:space="preserve"> Date: </w:t>
          </w:r>
          <w:r>
            <w:rPr>
              <w:rFonts w:ascii="Calibri" w:hAnsi="Calibri"/>
              <w:b w:val="0"/>
            </w:rPr>
            <w:t>10</w:t>
          </w:r>
          <w:r w:rsidRPr="001B2DAB">
            <w:rPr>
              <w:rFonts w:ascii="Calibri" w:hAnsi="Calibri"/>
              <w:b w:val="0"/>
            </w:rPr>
            <w:t>/</w:t>
          </w:r>
          <w:r>
            <w:rPr>
              <w:rFonts w:ascii="Calibri" w:hAnsi="Calibri"/>
              <w:b w:val="0"/>
            </w:rPr>
            <w:t>31</w:t>
          </w:r>
          <w:r w:rsidRPr="001B2DAB">
            <w:rPr>
              <w:rFonts w:ascii="Calibri" w:hAnsi="Calibri"/>
              <w:b w:val="0"/>
            </w:rPr>
            <w:t>/14</w:t>
          </w:r>
          <w:r w:rsidRPr="00CC183D">
            <w:rPr>
              <w:rFonts w:ascii="Calibri" w:hAnsi="Calibri"/>
            </w:rPr>
            <w:t xml:space="preserve"> Classroom Use: </w:t>
          </w:r>
          <w:r>
            <w:rPr>
              <w:rFonts w:ascii="Calibri" w:hAnsi="Calibri"/>
              <w:b w:val="0"/>
            </w:rPr>
            <w:t>Starting 11</w:t>
          </w:r>
          <w:r w:rsidRPr="001B2DAB">
            <w:rPr>
              <w:rFonts w:ascii="Calibri" w:hAnsi="Calibri"/>
              <w:b w:val="0"/>
            </w:rPr>
            <w:t>/2014</w:t>
          </w:r>
          <w:r w:rsidRPr="00CC183D">
            <w:rPr>
              <w:rFonts w:ascii="Calibri" w:hAnsi="Calibri"/>
            </w:rPr>
            <w:t xml:space="preserve"> </w:t>
          </w:r>
        </w:p>
        <w:p w14:paraId="7A7A6C3F" w14:textId="77777777" w:rsidR="00A3551D" w:rsidRPr="001B2DAB" w:rsidRDefault="00A3551D" w:rsidP="00CC183D">
          <w:pPr>
            <w:pStyle w:val="FooterText"/>
            <w:rPr>
              <w:rFonts w:ascii="Calibri" w:hAnsi="Calibri"/>
              <w:b w:val="0"/>
              <w:i/>
              <w:sz w:val="12"/>
            </w:rPr>
          </w:pPr>
          <w:r w:rsidRPr="001B2DAB">
            <w:rPr>
              <w:rFonts w:ascii="Calibri" w:hAnsi="Calibri"/>
              <w:b w:val="0"/>
              <w:sz w:val="12"/>
            </w:rPr>
            <w:t xml:space="preserve">© 2014 Public Consulting Group. </w:t>
          </w:r>
          <w:r w:rsidRPr="001B2DAB">
            <w:rPr>
              <w:rFonts w:ascii="Calibri" w:hAnsi="Calibri"/>
              <w:b w:val="0"/>
              <w:i/>
              <w:sz w:val="12"/>
            </w:rPr>
            <w:t xml:space="preserve">This work is licensed under a </w:t>
          </w:r>
        </w:p>
        <w:p w14:paraId="4597B016" w14:textId="77777777" w:rsidR="00A3551D" w:rsidRPr="001B2DAB" w:rsidRDefault="00A3551D" w:rsidP="00CC183D">
          <w:pPr>
            <w:pStyle w:val="FooterText"/>
            <w:rPr>
              <w:rFonts w:ascii="Calibri" w:hAnsi="Calibri"/>
              <w:b w:val="0"/>
            </w:rPr>
          </w:pPr>
          <w:r w:rsidRPr="001B2DAB">
            <w:rPr>
              <w:rFonts w:ascii="Calibri" w:hAnsi="Calibri"/>
              <w:b w:val="0"/>
              <w:i/>
              <w:sz w:val="12"/>
            </w:rPr>
            <w:t>Creative Commons Attribution-NonCommercial-ShareAlike 3.0 Unported License</w:t>
          </w:r>
        </w:p>
        <w:p w14:paraId="674B17ED" w14:textId="77777777" w:rsidR="00A3551D" w:rsidRPr="00CC183D" w:rsidRDefault="006023DA" w:rsidP="00CC183D">
          <w:pPr>
            <w:pStyle w:val="FooterText"/>
            <w:rPr>
              <w:rFonts w:ascii="Calibri" w:hAnsi="Calibri"/>
            </w:rPr>
          </w:pPr>
          <w:hyperlink r:id="rId1" w:history="1">
            <w:r w:rsidR="00A3551D" w:rsidRPr="00CC183D">
              <w:rPr>
                <w:rStyle w:val="Hyperlink"/>
                <w:rFonts w:ascii="Calibri" w:hAnsi="Calibri"/>
                <w:sz w:val="12"/>
                <w:szCs w:val="12"/>
              </w:rPr>
              <w:t>http://creativecommons.org/licenses/by-nc-sa/3.0/</w:t>
            </w:r>
          </w:hyperlink>
        </w:p>
      </w:tc>
      <w:tc>
        <w:tcPr>
          <w:tcW w:w="625" w:type="dxa"/>
          <w:tcBorders>
            <w:top w:val="single" w:sz="8" w:space="0" w:color="244061"/>
          </w:tcBorders>
          <w:vAlign w:val="center"/>
        </w:tcPr>
        <w:p w14:paraId="46E1DA6E" w14:textId="77777777" w:rsidR="00A3551D" w:rsidRPr="00714725" w:rsidRDefault="00A3551D" w:rsidP="00CC183D">
          <w:pPr>
            <w:pStyle w:val="folio"/>
            <w:pBdr>
              <w:top w:val="none" w:sz="0" w:space="0" w:color="auto"/>
            </w:pBdr>
            <w:tabs>
              <w:tab w:val="clear" w:pos="6480"/>
              <w:tab w:val="clear" w:pos="10080"/>
            </w:tabs>
            <w:jc w:val="center"/>
            <w:rPr>
              <w:rFonts w:ascii="Calibri" w:eastAsia="Calibri" w:hAnsi="Calibri" w:cs="Calibri"/>
              <w:b/>
              <w:sz w:val="14"/>
              <w:lang w:val="en-US"/>
            </w:rPr>
          </w:pPr>
          <w:r w:rsidRPr="00714725">
            <w:rPr>
              <w:rFonts w:ascii="Calibri" w:eastAsia="Calibri" w:hAnsi="Calibri" w:cs="Calibri"/>
              <w:b/>
              <w:color w:val="1F4E79"/>
              <w:sz w:val="28"/>
              <w:lang w:val="en-US"/>
            </w:rPr>
            <w:fldChar w:fldCharType="begin"/>
          </w:r>
          <w:r w:rsidRPr="00714725">
            <w:rPr>
              <w:rFonts w:ascii="Calibri" w:eastAsia="Calibri" w:hAnsi="Calibri" w:cs="Calibri"/>
              <w:b/>
              <w:color w:val="1F4E79"/>
              <w:sz w:val="28"/>
              <w:lang w:val="en-US"/>
            </w:rPr>
            <w:instrText>PAGE</w:instrText>
          </w:r>
          <w:r w:rsidRPr="00714725">
            <w:rPr>
              <w:rFonts w:ascii="Calibri" w:eastAsia="Calibri" w:hAnsi="Calibri" w:cs="Calibri"/>
              <w:b/>
              <w:color w:val="1F4E79"/>
              <w:sz w:val="28"/>
              <w:lang w:val="en-US"/>
            </w:rPr>
            <w:fldChar w:fldCharType="separate"/>
          </w:r>
          <w:r w:rsidR="00BD72E0">
            <w:rPr>
              <w:rFonts w:ascii="Calibri" w:eastAsia="Calibri" w:hAnsi="Calibri" w:cs="Calibri"/>
              <w:b/>
              <w:noProof/>
              <w:color w:val="1F4E79"/>
              <w:sz w:val="28"/>
              <w:lang w:val="en-US"/>
            </w:rPr>
            <w:t>1</w:t>
          </w:r>
          <w:r w:rsidRPr="00714725">
            <w:rPr>
              <w:rFonts w:ascii="Calibri" w:eastAsia="Calibri" w:hAnsi="Calibri" w:cs="Calibri"/>
              <w:b/>
              <w:color w:val="1F4E79"/>
              <w:sz w:val="28"/>
              <w:lang w:val="en-US"/>
            </w:rPr>
            <w:fldChar w:fldCharType="end"/>
          </w:r>
        </w:p>
      </w:tc>
      <w:tc>
        <w:tcPr>
          <w:tcW w:w="4325" w:type="dxa"/>
          <w:tcBorders>
            <w:top w:val="single" w:sz="8" w:space="0" w:color="244061"/>
          </w:tcBorders>
          <w:vAlign w:val="bottom"/>
        </w:tcPr>
        <w:p w14:paraId="6185870D" w14:textId="77777777" w:rsidR="00A3551D" w:rsidRPr="00714725" w:rsidRDefault="00BD72E0" w:rsidP="00CC183D">
          <w:pPr>
            <w:pStyle w:val="folio"/>
            <w:pBdr>
              <w:top w:val="none" w:sz="0" w:space="0" w:color="auto"/>
            </w:pBdr>
            <w:tabs>
              <w:tab w:val="clear" w:pos="6480"/>
              <w:tab w:val="clear" w:pos="10080"/>
            </w:tabs>
            <w:spacing w:before="20"/>
            <w:ind w:right="-103"/>
            <w:jc w:val="right"/>
            <w:rPr>
              <w:rFonts w:ascii="Calibri" w:eastAsia="Calibri" w:hAnsi="Calibri" w:cs="Calibri"/>
              <w:b/>
              <w:sz w:val="12"/>
              <w:szCs w:val="12"/>
              <w:lang w:val="en-US"/>
            </w:rPr>
          </w:pPr>
          <w:r>
            <w:rPr>
              <w:rFonts w:ascii="Calibri" w:eastAsia="Calibri" w:hAnsi="Calibri" w:cs="Calibri"/>
              <w:b/>
              <w:noProof/>
              <w:sz w:val="12"/>
              <w:szCs w:val="12"/>
              <w:lang w:val="en-US"/>
            </w:rPr>
            <w:pict w14:anchorId="3C0CA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2.75pt;height:50.25pt;visibility:visible">
                <v:imagedata r:id="rId2" o:title=""/>
              </v:shape>
            </w:pict>
          </w:r>
        </w:p>
      </w:tc>
    </w:tr>
  </w:tbl>
  <w:p w14:paraId="012162EE" w14:textId="77777777" w:rsidR="00A3551D" w:rsidRPr="00677A89" w:rsidRDefault="00A3551D" w:rsidP="00CC1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7804D" w14:textId="77777777" w:rsidR="006023DA" w:rsidRDefault="006023DA">
      <w:r>
        <w:separator/>
      </w:r>
    </w:p>
  </w:footnote>
  <w:footnote w:type="continuationSeparator" w:id="0">
    <w:p w14:paraId="4B90A0B9" w14:textId="77777777" w:rsidR="006023DA" w:rsidRDefault="00602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8" w:type="dxa"/>
      <w:tblLook w:val="04A0" w:firstRow="1" w:lastRow="0" w:firstColumn="1" w:lastColumn="0" w:noHBand="0" w:noVBand="1"/>
    </w:tblPr>
    <w:tblGrid>
      <w:gridCol w:w="3618"/>
      <w:gridCol w:w="2880"/>
      <w:gridCol w:w="3240"/>
    </w:tblGrid>
    <w:tr w:rsidR="00A3551D" w14:paraId="6306B442" w14:textId="77777777" w:rsidTr="00FD514A">
      <w:tc>
        <w:tcPr>
          <w:tcW w:w="3618" w:type="dxa"/>
        </w:tcPr>
        <w:p w14:paraId="275E2438" w14:textId="77777777" w:rsidR="00A3551D" w:rsidRPr="00CC183D" w:rsidRDefault="00A3551D" w:rsidP="001B2DAB">
          <w:pPr>
            <w:pStyle w:val="PageHeader"/>
          </w:pPr>
          <w:r w:rsidRPr="00CC183D">
            <w:t>NYS Common Core ELA &amp; Literacy Curriculum</w:t>
          </w:r>
        </w:p>
      </w:tc>
      <w:tc>
        <w:tcPr>
          <w:tcW w:w="2880" w:type="dxa"/>
          <w:vAlign w:val="center"/>
        </w:tcPr>
        <w:p w14:paraId="61A03303" w14:textId="77777777" w:rsidR="00A3551D" w:rsidRPr="001B2DAB" w:rsidRDefault="00A3551D" w:rsidP="001B2DAB">
          <w:pPr>
            <w:jc w:val="center"/>
          </w:pPr>
          <w:r w:rsidRPr="001B2DAB">
            <w:t>D R A F T</w:t>
          </w:r>
        </w:p>
      </w:tc>
      <w:tc>
        <w:tcPr>
          <w:tcW w:w="3240" w:type="dxa"/>
        </w:tcPr>
        <w:p w14:paraId="59D1DC8B" w14:textId="77777777" w:rsidR="00A3551D" w:rsidRPr="001B2DAB" w:rsidRDefault="00A3551D" w:rsidP="00E75803">
          <w:pPr>
            <w:pStyle w:val="PageHeader"/>
            <w:rPr>
              <w:b w:val="0"/>
            </w:rPr>
          </w:pPr>
          <w:r w:rsidRPr="001B2DAB">
            <w:rPr>
              <w:b w:val="0"/>
            </w:rPr>
            <w:t xml:space="preserve">Grade </w:t>
          </w:r>
          <w:r>
            <w:rPr>
              <w:b w:val="0"/>
            </w:rPr>
            <w:t>11</w:t>
          </w:r>
          <w:r w:rsidRPr="001B2DAB">
            <w:rPr>
              <w:b w:val="0"/>
            </w:rPr>
            <w:t xml:space="preserve"> • Module </w:t>
          </w:r>
          <w:r>
            <w:rPr>
              <w:b w:val="0"/>
            </w:rPr>
            <w:t xml:space="preserve">4 </w:t>
          </w:r>
          <w:r w:rsidRPr="001B2DAB">
            <w:rPr>
              <w:b w:val="0"/>
            </w:rPr>
            <w:t xml:space="preserve">• Unit </w:t>
          </w:r>
          <w:r>
            <w:rPr>
              <w:b w:val="0"/>
            </w:rPr>
            <w:t>2</w:t>
          </w:r>
          <w:r w:rsidRPr="001B2DAB">
            <w:rPr>
              <w:b w:val="0"/>
            </w:rPr>
            <w:t xml:space="preserve"> Overview</w:t>
          </w:r>
        </w:p>
      </w:tc>
    </w:tr>
  </w:tbl>
  <w:p w14:paraId="133E3A2C" w14:textId="77777777" w:rsidR="00A3551D" w:rsidRDefault="00A3551D" w:rsidP="001B2DAB">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824A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AC2ACE"/>
    <w:multiLevelType w:val="hybridMultilevel"/>
    <w:tmpl w:val="6B0E608E"/>
    <w:lvl w:ilvl="0" w:tplc="942A851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B953BE"/>
    <w:multiLevelType w:val="hybridMultilevel"/>
    <w:tmpl w:val="0F8CE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86C85"/>
    <w:multiLevelType w:val="multilevel"/>
    <w:tmpl w:val="82B612A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ACF49A1"/>
    <w:multiLevelType w:val="hybridMultilevel"/>
    <w:tmpl w:val="33B4FFE0"/>
    <w:lvl w:ilvl="0" w:tplc="D6B432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525329"/>
    <w:multiLevelType w:val="hybridMultilevel"/>
    <w:tmpl w:val="F8521D22"/>
    <w:lvl w:ilvl="0" w:tplc="2AAA4966">
      <w:start w:val="1"/>
      <w:numFmt w:val="lowerLetter"/>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0D970B09"/>
    <w:multiLevelType w:val="multilevel"/>
    <w:tmpl w:val="E25A508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2F00E66"/>
    <w:multiLevelType w:val="multilevel"/>
    <w:tmpl w:val="6C5EB916"/>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42094F"/>
    <w:multiLevelType w:val="hybridMultilevel"/>
    <w:tmpl w:val="B5CE0C8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2">
    <w:nsid w:val="2ADC6CE9"/>
    <w:multiLevelType w:val="hybridMultilevel"/>
    <w:tmpl w:val="FE409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771D40"/>
    <w:multiLevelType w:val="multilevel"/>
    <w:tmpl w:val="A486519A"/>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CD85C13"/>
    <w:multiLevelType w:val="hybridMultilevel"/>
    <w:tmpl w:val="22C8DE6A"/>
    <w:lvl w:ilvl="0" w:tplc="7022555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ED651A"/>
    <w:multiLevelType w:val="multilevel"/>
    <w:tmpl w:val="3196D6D6"/>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27C43F3"/>
    <w:multiLevelType w:val="hybridMultilevel"/>
    <w:tmpl w:val="0D607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601679"/>
    <w:multiLevelType w:val="hybridMultilevel"/>
    <w:tmpl w:val="93DE39FE"/>
    <w:lvl w:ilvl="0" w:tplc="719254F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B01B76"/>
    <w:multiLevelType w:val="multilevel"/>
    <w:tmpl w:val="6B447E38"/>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9">
    <w:nsid w:val="4C936520"/>
    <w:multiLevelType w:val="multilevel"/>
    <w:tmpl w:val="8B6AC7B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CCB52C9"/>
    <w:multiLevelType w:val="multilevel"/>
    <w:tmpl w:val="6E701804"/>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1">
    <w:nsid w:val="4DDA74D1"/>
    <w:multiLevelType w:val="multilevel"/>
    <w:tmpl w:val="80C0B00E"/>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2">
    <w:nsid w:val="52DF7E49"/>
    <w:multiLevelType w:val="multilevel"/>
    <w:tmpl w:val="F1342012"/>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3">
    <w:nsid w:val="59AA230D"/>
    <w:multiLevelType w:val="multilevel"/>
    <w:tmpl w:val="E586E9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AC57447"/>
    <w:multiLevelType w:val="hybridMultilevel"/>
    <w:tmpl w:val="81CE2FA0"/>
    <w:lvl w:ilvl="0" w:tplc="79B4921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606A2E"/>
    <w:multiLevelType w:val="multilevel"/>
    <w:tmpl w:val="7FF0ACD4"/>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8A7443"/>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0101416"/>
    <w:multiLevelType w:val="multilevel"/>
    <w:tmpl w:val="381009A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627033CC"/>
    <w:multiLevelType w:val="hybridMultilevel"/>
    <w:tmpl w:val="AB2891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7A5D1F"/>
    <w:multiLevelType w:val="hybridMultilevel"/>
    <w:tmpl w:val="2D8239E2"/>
    <w:lvl w:ilvl="0" w:tplc="43543E30">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7171F0E"/>
    <w:multiLevelType w:val="hybridMultilevel"/>
    <w:tmpl w:val="889E8C6E"/>
    <w:lvl w:ilvl="0" w:tplc="D122B6BA">
      <w:start w:val="1"/>
      <w:numFmt w:val="bullet"/>
      <w:pStyle w:val="IN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76C58C8"/>
    <w:multiLevelType w:val="hybridMultilevel"/>
    <w:tmpl w:val="90EA0112"/>
    <w:lvl w:ilvl="0" w:tplc="055E4E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8D877A2"/>
    <w:multiLevelType w:val="multilevel"/>
    <w:tmpl w:val="B3BCE87E"/>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34">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632FC2"/>
    <w:multiLevelType w:val="hybridMultilevel"/>
    <w:tmpl w:val="FE409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B1732A"/>
    <w:multiLevelType w:val="hybridMultilevel"/>
    <w:tmpl w:val="50ECF27C"/>
    <w:lvl w:ilvl="0" w:tplc="EFECB6A0">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2101490"/>
    <w:multiLevelType w:val="multilevel"/>
    <w:tmpl w:val="0D420E3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745A6728"/>
    <w:multiLevelType w:val="hybridMultilevel"/>
    <w:tmpl w:val="9ED6233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54660D5"/>
    <w:multiLevelType w:val="hybridMultilevel"/>
    <w:tmpl w:val="34B0BCF4"/>
    <w:lvl w:ilvl="0" w:tplc="8E30635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22"/>
  </w:num>
  <w:num w:numId="4">
    <w:abstractNumId w:val="23"/>
  </w:num>
  <w:num w:numId="5">
    <w:abstractNumId w:val="18"/>
  </w:num>
  <w:num w:numId="6">
    <w:abstractNumId w:val="25"/>
  </w:num>
  <w:num w:numId="7">
    <w:abstractNumId w:val="33"/>
  </w:num>
  <w:num w:numId="8">
    <w:abstractNumId w:val="16"/>
  </w:num>
  <w:num w:numId="9">
    <w:abstractNumId w:val="11"/>
  </w:num>
  <w:num w:numId="10">
    <w:abstractNumId w:val="24"/>
  </w:num>
  <w:num w:numId="11">
    <w:abstractNumId w:val="1"/>
  </w:num>
  <w:num w:numId="12">
    <w:abstractNumId w:val="31"/>
  </w:num>
  <w:num w:numId="13">
    <w:abstractNumId w:val="10"/>
    <w:lvlOverride w:ilvl="0">
      <w:startOverride w:val="1"/>
    </w:lvlOverride>
  </w:num>
  <w:num w:numId="14">
    <w:abstractNumId w:val="34"/>
  </w:num>
  <w:num w:numId="15">
    <w:abstractNumId w:val="3"/>
  </w:num>
  <w:num w:numId="16">
    <w:abstractNumId w:val="26"/>
  </w:num>
  <w:num w:numId="17">
    <w:abstractNumId w:val="7"/>
  </w:num>
  <w:num w:numId="18">
    <w:abstractNumId w:val="38"/>
  </w:num>
  <w:num w:numId="19">
    <w:abstractNumId w:val="12"/>
  </w:num>
  <w:num w:numId="20">
    <w:abstractNumId w:val="35"/>
  </w:num>
  <w:num w:numId="21">
    <w:abstractNumId w:val="14"/>
  </w:num>
  <w:num w:numId="22">
    <w:abstractNumId w:val="0"/>
  </w:num>
  <w:num w:numId="23">
    <w:abstractNumId w:val="2"/>
  </w:num>
  <w:num w:numId="24">
    <w:abstractNumId w:val="39"/>
  </w:num>
  <w:num w:numId="25">
    <w:abstractNumId w:val="29"/>
  </w:num>
  <w:num w:numId="26">
    <w:abstractNumId w:val="4"/>
  </w:num>
  <w:num w:numId="27">
    <w:abstractNumId w:val="17"/>
  </w:num>
  <w:num w:numId="28">
    <w:abstractNumId w:val="6"/>
  </w:num>
  <w:num w:numId="29">
    <w:abstractNumId w:val="36"/>
  </w:num>
  <w:num w:numId="30">
    <w:abstractNumId w:val="27"/>
  </w:num>
  <w:num w:numId="31">
    <w:abstractNumId w:val="36"/>
    <w:lvlOverride w:ilvl="0">
      <w:startOverride w:val="1"/>
    </w:lvlOverride>
  </w:num>
  <w:num w:numId="32">
    <w:abstractNumId w:val="37"/>
  </w:num>
  <w:num w:numId="33">
    <w:abstractNumId w:val="36"/>
  </w:num>
  <w:num w:numId="34">
    <w:abstractNumId w:val="28"/>
  </w:num>
  <w:num w:numId="35">
    <w:abstractNumId w:val="36"/>
    <w:lvlOverride w:ilvl="0">
      <w:startOverride w:val="3"/>
    </w:lvlOverride>
  </w:num>
  <w:num w:numId="36">
    <w:abstractNumId w:val="13"/>
  </w:num>
  <w:num w:numId="37">
    <w:abstractNumId w:val="32"/>
  </w:num>
  <w:num w:numId="38">
    <w:abstractNumId w:val="5"/>
  </w:num>
  <w:num w:numId="39">
    <w:abstractNumId w:val="32"/>
    <w:lvlOverride w:ilvl="0">
      <w:startOverride w:val="1"/>
    </w:lvlOverride>
  </w:num>
  <w:num w:numId="40">
    <w:abstractNumId w:val="8"/>
  </w:num>
  <w:num w:numId="41">
    <w:abstractNumId w:val="32"/>
    <w:lvlOverride w:ilvl="0">
      <w:startOverride w:val="1"/>
    </w:lvlOverride>
  </w:num>
  <w:num w:numId="42">
    <w:abstractNumId w:val="15"/>
  </w:num>
  <w:num w:numId="43">
    <w:abstractNumId w:val="30"/>
  </w:num>
  <w:num w:numId="44">
    <w:abstractNumId w:val="19"/>
  </w:num>
  <w:num w:numId="45">
    <w:abstractNumId w:val="30"/>
    <w:lvlOverride w:ilvl="0">
      <w:startOverride w:val="3"/>
    </w:lvlOverride>
  </w:num>
  <w:num w:numId="46">
    <w:abstractNumId w:val="9"/>
  </w:num>
  <w:num w:numId="47">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7C94"/>
    <w:rsid w:val="00024EEE"/>
    <w:rsid w:val="00032362"/>
    <w:rsid w:val="000404BA"/>
    <w:rsid w:val="000555EA"/>
    <w:rsid w:val="00063215"/>
    <w:rsid w:val="0009623F"/>
    <w:rsid w:val="00096351"/>
    <w:rsid w:val="000A0D39"/>
    <w:rsid w:val="000A176F"/>
    <w:rsid w:val="000B190D"/>
    <w:rsid w:val="000B6F96"/>
    <w:rsid w:val="000D0D99"/>
    <w:rsid w:val="000D5259"/>
    <w:rsid w:val="0011003C"/>
    <w:rsid w:val="00123B0C"/>
    <w:rsid w:val="00134415"/>
    <w:rsid w:val="00140AC2"/>
    <w:rsid w:val="00142A34"/>
    <w:rsid w:val="0015083C"/>
    <w:rsid w:val="00157BB1"/>
    <w:rsid w:val="001713B8"/>
    <w:rsid w:val="001943B7"/>
    <w:rsid w:val="001B2DAB"/>
    <w:rsid w:val="001B4132"/>
    <w:rsid w:val="001D2E0D"/>
    <w:rsid w:val="001F7CAA"/>
    <w:rsid w:val="0021090B"/>
    <w:rsid w:val="002110A5"/>
    <w:rsid w:val="002131B7"/>
    <w:rsid w:val="002151DE"/>
    <w:rsid w:val="00222B43"/>
    <w:rsid w:val="00240430"/>
    <w:rsid w:val="00241974"/>
    <w:rsid w:val="00267BE8"/>
    <w:rsid w:val="00285B7F"/>
    <w:rsid w:val="002A1407"/>
    <w:rsid w:val="002D1CE8"/>
    <w:rsid w:val="002E785D"/>
    <w:rsid w:val="00301CF1"/>
    <w:rsid w:val="003048C7"/>
    <w:rsid w:val="0036716C"/>
    <w:rsid w:val="00390AAD"/>
    <w:rsid w:val="003A5567"/>
    <w:rsid w:val="003E2989"/>
    <w:rsid w:val="003E75C2"/>
    <w:rsid w:val="003F2010"/>
    <w:rsid w:val="00401E53"/>
    <w:rsid w:val="004126B1"/>
    <w:rsid w:val="004127B1"/>
    <w:rsid w:val="004175A7"/>
    <w:rsid w:val="0042553D"/>
    <w:rsid w:val="004326CE"/>
    <w:rsid w:val="00437454"/>
    <w:rsid w:val="004405A6"/>
    <w:rsid w:val="00456406"/>
    <w:rsid w:val="004569DE"/>
    <w:rsid w:val="0046274F"/>
    <w:rsid w:val="00464694"/>
    <w:rsid w:val="004661E6"/>
    <w:rsid w:val="00472AEF"/>
    <w:rsid w:val="00490694"/>
    <w:rsid w:val="004B1D29"/>
    <w:rsid w:val="004B6B50"/>
    <w:rsid w:val="004F05A4"/>
    <w:rsid w:val="004F7994"/>
    <w:rsid w:val="005030A5"/>
    <w:rsid w:val="00524C97"/>
    <w:rsid w:val="00552F00"/>
    <w:rsid w:val="00554CC5"/>
    <w:rsid w:val="0057147F"/>
    <w:rsid w:val="0057310F"/>
    <w:rsid w:val="00583A47"/>
    <w:rsid w:val="00587DCB"/>
    <w:rsid w:val="005B78CB"/>
    <w:rsid w:val="005D16B3"/>
    <w:rsid w:val="005D2589"/>
    <w:rsid w:val="005D5533"/>
    <w:rsid w:val="005D7DF9"/>
    <w:rsid w:val="005E3F86"/>
    <w:rsid w:val="005E59CC"/>
    <w:rsid w:val="005E5FC3"/>
    <w:rsid w:val="005F42A3"/>
    <w:rsid w:val="006023DA"/>
    <w:rsid w:val="00603512"/>
    <w:rsid w:val="006039D6"/>
    <w:rsid w:val="00616247"/>
    <w:rsid w:val="00641AA4"/>
    <w:rsid w:val="00676A82"/>
    <w:rsid w:val="0068335A"/>
    <w:rsid w:val="006973D6"/>
    <w:rsid w:val="006A2CC3"/>
    <w:rsid w:val="006A3E80"/>
    <w:rsid w:val="006C463A"/>
    <w:rsid w:val="006D47B1"/>
    <w:rsid w:val="006E068A"/>
    <w:rsid w:val="006F7892"/>
    <w:rsid w:val="00714725"/>
    <w:rsid w:val="00717680"/>
    <w:rsid w:val="00737C34"/>
    <w:rsid w:val="00737CDD"/>
    <w:rsid w:val="00773882"/>
    <w:rsid w:val="007810F1"/>
    <w:rsid w:val="00783B64"/>
    <w:rsid w:val="00787E50"/>
    <w:rsid w:val="00796E4F"/>
    <w:rsid w:val="00797442"/>
    <w:rsid w:val="007A12D1"/>
    <w:rsid w:val="007A35C5"/>
    <w:rsid w:val="007B2092"/>
    <w:rsid w:val="007B4A79"/>
    <w:rsid w:val="007C6853"/>
    <w:rsid w:val="007F04B0"/>
    <w:rsid w:val="007F7C94"/>
    <w:rsid w:val="007F7D61"/>
    <w:rsid w:val="00832D6F"/>
    <w:rsid w:val="00837E66"/>
    <w:rsid w:val="00840038"/>
    <w:rsid w:val="00895EAD"/>
    <w:rsid w:val="008A0383"/>
    <w:rsid w:val="008C17E1"/>
    <w:rsid w:val="008D7758"/>
    <w:rsid w:val="008E2B8D"/>
    <w:rsid w:val="008E6712"/>
    <w:rsid w:val="00907212"/>
    <w:rsid w:val="00931E5A"/>
    <w:rsid w:val="0093416F"/>
    <w:rsid w:val="0094631D"/>
    <w:rsid w:val="00946844"/>
    <w:rsid w:val="00957166"/>
    <w:rsid w:val="00957EFE"/>
    <w:rsid w:val="0097228F"/>
    <w:rsid w:val="009833C8"/>
    <w:rsid w:val="009861AD"/>
    <w:rsid w:val="00996E9D"/>
    <w:rsid w:val="009A6ECF"/>
    <w:rsid w:val="00A14D50"/>
    <w:rsid w:val="00A21B0A"/>
    <w:rsid w:val="00A32DB0"/>
    <w:rsid w:val="00A3551D"/>
    <w:rsid w:val="00A37CBE"/>
    <w:rsid w:val="00A43135"/>
    <w:rsid w:val="00A44F97"/>
    <w:rsid w:val="00A51F6E"/>
    <w:rsid w:val="00A72BB9"/>
    <w:rsid w:val="00A75483"/>
    <w:rsid w:val="00A8436F"/>
    <w:rsid w:val="00A92518"/>
    <w:rsid w:val="00A97918"/>
    <w:rsid w:val="00AA02E6"/>
    <w:rsid w:val="00AA09B7"/>
    <w:rsid w:val="00AA41A6"/>
    <w:rsid w:val="00AC73C5"/>
    <w:rsid w:val="00AD15E5"/>
    <w:rsid w:val="00AD5ACB"/>
    <w:rsid w:val="00AE185F"/>
    <w:rsid w:val="00AF40B9"/>
    <w:rsid w:val="00AF57A9"/>
    <w:rsid w:val="00B00F4B"/>
    <w:rsid w:val="00B06B59"/>
    <w:rsid w:val="00B301D1"/>
    <w:rsid w:val="00B6516E"/>
    <w:rsid w:val="00B70BA5"/>
    <w:rsid w:val="00B73EC8"/>
    <w:rsid w:val="00B811D9"/>
    <w:rsid w:val="00B92EB0"/>
    <w:rsid w:val="00B93B4F"/>
    <w:rsid w:val="00BB004C"/>
    <w:rsid w:val="00BB1CBE"/>
    <w:rsid w:val="00BC39EF"/>
    <w:rsid w:val="00BD72E0"/>
    <w:rsid w:val="00BE0DA9"/>
    <w:rsid w:val="00BE1E9F"/>
    <w:rsid w:val="00BF73A4"/>
    <w:rsid w:val="00C02786"/>
    <w:rsid w:val="00C03A64"/>
    <w:rsid w:val="00C06620"/>
    <w:rsid w:val="00C3498C"/>
    <w:rsid w:val="00C46F19"/>
    <w:rsid w:val="00C568E2"/>
    <w:rsid w:val="00C6157C"/>
    <w:rsid w:val="00C7041D"/>
    <w:rsid w:val="00C75D7B"/>
    <w:rsid w:val="00C86FB8"/>
    <w:rsid w:val="00C9757A"/>
    <w:rsid w:val="00CA0B0D"/>
    <w:rsid w:val="00CA6B69"/>
    <w:rsid w:val="00CB68E3"/>
    <w:rsid w:val="00CC183D"/>
    <w:rsid w:val="00CD14CF"/>
    <w:rsid w:val="00CD557A"/>
    <w:rsid w:val="00CE1D63"/>
    <w:rsid w:val="00D27ED5"/>
    <w:rsid w:val="00D3082B"/>
    <w:rsid w:val="00D5213A"/>
    <w:rsid w:val="00D55C02"/>
    <w:rsid w:val="00D56A2B"/>
    <w:rsid w:val="00D61DB4"/>
    <w:rsid w:val="00D81F7B"/>
    <w:rsid w:val="00D87C94"/>
    <w:rsid w:val="00D94E9B"/>
    <w:rsid w:val="00DA1E77"/>
    <w:rsid w:val="00DA552E"/>
    <w:rsid w:val="00DA7DA5"/>
    <w:rsid w:val="00DB6891"/>
    <w:rsid w:val="00DE47CC"/>
    <w:rsid w:val="00DF73EF"/>
    <w:rsid w:val="00E01C5D"/>
    <w:rsid w:val="00E164B0"/>
    <w:rsid w:val="00E25639"/>
    <w:rsid w:val="00E412A5"/>
    <w:rsid w:val="00E566D7"/>
    <w:rsid w:val="00E67CDC"/>
    <w:rsid w:val="00E71AB9"/>
    <w:rsid w:val="00E75803"/>
    <w:rsid w:val="00E773A1"/>
    <w:rsid w:val="00E85F86"/>
    <w:rsid w:val="00E864E2"/>
    <w:rsid w:val="00E92224"/>
    <w:rsid w:val="00EC794A"/>
    <w:rsid w:val="00ED0D06"/>
    <w:rsid w:val="00EE0245"/>
    <w:rsid w:val="00EE0277"/>
    <w:rsid w:val="00EE2455"/>
    <w:rsid w:val="00EE5BDB"/>
    <w:rsid w:val="00EE6027"/>
    <w:rsid w:val="00EF1AB2"/>
    <w:rsid w:val="00F141F8"/>
    <w:rsid w:val="00F24451"/>
    <w:rsid w:val="00F26FCB"/>
    <w:rsid w:val="00F31624"/>
    <w:rsid w:val="00F51318"/>
    <w:rsid w:val="00F5601C"/>
    <w:rsid w:val="00F6123C"/>
    <w:rsid w:val="00F61E99"/>
    <w:rsid w:val="00F67F83"/>
    <w:rsid w:val="00F712B6"/>
    <w:rsid w:val="00F7243F"/>
    <w:rsid w:val="00F76F87"/>
    <w:rsid w:val="00F842CB"/>
    <w:rsid w:val="00FD3C2F"/>
    <w:rsid w:val="00FD3FA9"/>
    <w:rsid w:val="00FD514A"/>
    <w:rsid w:val="00FE0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865B4C"/>
  <w15:docId w15:val="{F8599765-7008-40B3-926F-64ECAC8B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1B2DAB"/>
    <w:pPr>
      <w:spacing w:before="60" w:after="180" w:line="276" w:lineRule="auto"/>
    </w:pPr>
    <w:rPr>
      <w:rFonts w:eastAsia="Calibri"/>
      <w:sz w:val="22"/>
      <w:szCs w:val="22"/>
    </w:rPr>
  </w:style>
  <w:style w:type="paragraph" w:styleId="Heading1">
    <w:name w:val="heading 1"/>
    <w:aliases w:val="*Headers"/>
    <w:basedOn w:val="Normal"/>
    <w:next w:val="Normal"/>
    <w:link w:val="Heading1Char"/>
    <w:uiPriority w:val="9"/>
    <w:qFormat/>
    <w:rsid w:val="001B2DAB"/>
    <w:pPr>
      <w:keepNext/>
      <w:keepLines/>
      <w:spacing w:before="480" w:after="120"/>
      <w:outlineLvl w:val="0"/>
    </w:pPr>
    <w:rPr>
      <w:b/>
      <w:bCs/>
      <w:color w:val="365F91"/>
      <w:sz w:val="32"/>
      <w:szCs w:val="28"/>
      <w:lang w:val="x-none" w:eastAsia="x-none"/>
    </w:rPr>
  </w:style>
  <w:style w:type="paragraph" w:styleId="Heading2">
    <w:name w:val="heading 2"/>
    <w:basedOn w:val="Normal1"/>
    <w:next w:val="Normal1"/>
    <w:link w:val="Heading2Char"/>
    <w:uiPriority w:val="9"/>
    <w:qFormat/>
    <w:rsid w:val="003B0BAE"/>
    <w:pPr>
      <w:spacing w:before="360"/>
      <w:outlineLvl w:val="1"/>
    </w:pPr>
    <w:rPr>
      <w:rFonts w:ascii="Cambria" w:eastAsia="MS Gothic" w:hAnsi="Cambria" w:cs="Times New Roman"/>
      <w:b/>
      <w:bCs/>
      <w:i/>
      <w:iCs/>
      <w:color w:val="auto"/>
      <w:sz w:val="28"/>
      <w:szCs w:val="28"/>
      <w:lang w:val="x-none" w:eastAsia="x-none"/>
    </w:rPr>
  </w:style>
  <w:style w:type="paragraph" w:styleId="Heading3">
    <w:name w:val="heading 3"/>
    <w:basedOn w:val="Normal1"/>
    <w:next w:val="Normal1"/>
    <w:link w:val="Heading3Char"/>
    <w:uiPriority w:val="9"/>
    <w:qFormat/>
    <w:rsid w:val="003B0BAE"/>
    <w:pPr>
      <w:spacing w:before="200" w:after="120"/>
      <w:outlineLvl w:val="2"/>
    </w:pPr>
    <w:rPr>
      <w:rFonts w:ascii="Cambria" w:eastAsia="MS Gothic" w:hAnsi="Cambria" w:cs="Times New Roman"/>
      <w:b/>
      <w:bCs/>
      <w:color w:val="auto"/>
      <w:sz w:val="26"/>
      <w:szCs w:val="26"/>
      <w:lang w:val="x-none" w:eastAsia="x-none"/>
    </w:rPr>
  </w:style>
  <w:style w:type="paragraph" w:styleId="Heading4">
    <w:name w:val="heading 4"/>
    <w:basedOn w:val="Normal1"/>
    <w:next w:val="Normal1"/>
    <w:link w:val="Heading4Char"/>
    <w:uiPriority w:val="9"/>
    <w:qFormat/>
    <w:rsid w:val="003B0BAE"/>
    <w:pPr>
      <w:spacing w:before="240" w:after="60"/>
      <w:outlineLvl w:val="3"/>
    </w:pPr>
    <w:rPr>
      <w:rFonts w:eastAsia="MS Mincho" w:cs="Times New Roman"/>
      <w:b/>
      <w:bCs/>
      <w:color w:val="auto"/>
      <w:sz w:val="28"/>
      <w:szCs w:val="28"/>
      <w:lang w:val="x-none" w:eastAsia="x-none"/>
    </w:rPr>
  </w:style>
  <w:style w:type="paragraph" w:styleId="Heading5">
    <w:name w:val="heading 5"/>
    <w:basedOn w:val="Normal1"/>
    <w:next w:val="Normal1"/>
    <w:link w:val="Heading5Char"/>
    <w:uiPriority w:val="9"/>
    <w:qFormat/>
    <w:rsid w:val="003B0BAE"/>
    <w:pPr>
      <w:spacing w:before="220" w:after="40"/>
      <w:contextualSpacing/>
      <w:outlineLvl w:val="4"/>
    </w:pPr>
    <w:rPr>
      <w:rFonts w:eastAsia="MS Mincho" w:cs="Times New Roman"/>
      <w:b/>
      <w:bCs/>
      <w:i/>
      <w:iCs/>
      <w:color w:val="auto"/>
      <w:sz w:val="26"/>
      <w:szCs w:val="26"/>
      <w:lang w:val="x-none" w:eastAsia="x-none"/>
    </w:rPr>
  </w:style>
  <w:style w:type="paragraph" w:styleId="Heading6">
    <w:name w:val="heading 6"/>
    <w:basedOn w:val="Normal1"/>
    <w:next w:val="Normal1"/>
    <w:link w:val="Heading6Char"/>
    <w:uiPriority w:val="9"/>
    <w:qFormat/>
    <w:rsid w:val="003B0BAE"/>
    <w:pPr>
      <w:spacing w:before="200" w:after="40"/>
      <w:contextualSpacing/>
      <w:outlineLvl w:val="5"/>
    </w:pPr>
    <w:rPr>
      <w:rFonts w:eastAsia="MS Mincho" w:cs="Times New Roman"/>
      <w:b/>
      <w:bCs/>
      <w:color w:val="auto"/>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rsid w:val="001B2DAB"/>
    <w:rPr>
      <w:rFonts w:eastAsia="Calibri"/>
      <w:b/>
      <w:bCs/>
      <w:color w:val="365F91"/>
      <w:sz w:val="32"/>
      <w:szCs w:val="28"/>
    </w:rPr>
  </w:style>
  <w:style w:type="character" w:customStyle="1" w:styleId="Heading2Char">
    <w:name w:val="Heading 2 Char"/>
    <w:link w:val="Heading2"/>
    <w:uiPriority w:val="9"/>
    <w:semiHidden/>
    <w:rsid w:val="002108F5"/>
    <w:rPr>
      <w:rFonts w:ascii="Cambria" w:eastAsia="MS Gothic" w:hAnsi="Cambria" w:cs="Times New Roman"/>
      <w:b/>
      <w:bCs/>
      <w:i/>
      <w:iCs/>
      <w:sz w:val="28"/>
      <w:szCs w:val="28"/>
    </w:rPr>
  </w:style>
  <w:style w:type="character" w:customStyle="1" w:styleId="Heading3Char">
    <w:name w:val="Heading 3 Char"/>
    <w:link w:val="Heading3"/>
    <w:uiPriority w:val="9"/>
    <w:semiHidden/>
    <w:rsid w:val="002108F5"/>
    <w:rPr>
      <w:rFonts w:ascii="Cambria" w:eastAsia="MS Gothic" w:hAnsi="Cambria" w:cs="Times New Roman"/>
      <w:b/>
      <w:bCs/>
      <w:sz w:val="26"/>
      <w:szCs w:val="26"/>
    </w:rPr>
  </w:style>
  <w:style w:type="character" w:customStyle="1" w:styleId="Heading4Char">
    <w:name w:val="Heading 4 Char"/>
    <w:link w:val="Heading4"/>
    <w:uiPriority w:val="9"/>
    <w:semiHidden/>
    <w:rsid w:val="002108F5"/>
    <w:rPr>
      <w:rFonts w:ascii="Calibri" w:eastAsia="MS Mincho" w:hAnsi="Calibri" w:cs="Times New Roman"/>
      <w:b/>
      <w:bCs/>
      <w:sz w:val="28"/>
      <w:szCs w:val="28"/>
    </w:rPr>
  </w:style>
  <w:style w:type="character" w:customStyle="1" w:styleId="Heading5Char">
    <w:name w:val="Heading 5 Char"/>
    <w:link w:val="Heading5"/>
    <w:uiPriority w:val="9"/>
    <w:semiHidden/>
    <w:rsid w:val="002108F5"/>
    <w:rPr>
      <w:rFonts w:ascii="Calibri" w:eastAsia="MS Mincho" w:hAnsi="Calibri" w:cs="Times New Roman"/>
      <w:b/>
      <w:bCs/>
      <w:i/>
      <w:iCs/>
      <w:sz w:val="26"/>
      <w:szCs w:val="26"/>
    </w:rPr>
  </w:style>
  <w:style w:type="character" w:customStyle="1" w:styleId="Heading6Char">
    <w:name w:val="Heading 6 Char"/>
    <w:link w:val="Heading6"/>
    <w:uiPriority w:val="9"/>
    <w:semiHidden/>
    <w:rsid w:val="002108F5"/>
    <w:rPr>
      <w:rFonts w:ascii="Calibri" w:eastAsia="MS Mincho" w:hAnsi="Calibri" w:cs="Times New Roman"/>
      <w:b/>
      <w:bCs/>
      <w:sz w:val="22"/>
      <w:szCs w:val="22"/>
    </w:rPr>
  </w:style>
  <w:style w:type="paragraph" w:customStyle="1" w:styleId="Normal1">
    <w:name w:val="Normal1"/>
    <w:rsid w:val="003B0BAE"/>
    <w:rPr>
      <w:rFonts w:eastAsia="Times New Roman" w:cs="Calibri"/>
      <w:color w:val="000000"/>
      <w:sz w:val="22"/>
      <w:szCs w:val="24"/>
      <w:lang w:eastAsia="ja-JP"/>
    </w:rPr>
  </w:style>
  <w:style w:type="paragraph" w:styleId="Title">
    <w:name w:val="Title"/>
    <w:basedOn w:val="Normal1"/>
    <w:next w:val="Normal1"/>
    <w:link w:val="TitleChar"/>
    <w:uiPriority w:val="10"/>
    <w:qFormat/>
    <w:rsid w:val="003B0BAE"/>
    <w:pPr>
      <w:spacing w:after="300"/>
    </w:pPr>
    <w:rPr>
      <w:rFonts w:ascii="Cambria" w:eastAsia="MS Gothic" w:hAnsi="Cambria" w:cs="Times New Roman"/>
      <w:b/>
      <w:bCs/>
      <w:color w:val="auto"/>
      <w:kern w:val="28"/>
      <w:sz w:val="32"/>
      <w:szCs w:val="32"/>
      <w:lang w:val="x-none" w:eastAsia="x-none"/>
    </w:rPr>
  </w:style>
  <w:style w:type="character" w:customStyle="1" w:styleId="TitleChar">
    <w:name w:val="Title Char"/>
    <w:link w:val="Title"/>
    <w:uiPriority w:val="10"/>
    <w:rsid w:val="002108F5"/>
    <w:rPr>
      <w:rFonts w:ascii="Cambria" w:eastAsia="MS Gothic" w:hAnsi="Cambria" w:cs="Times New Roman"/>
      <w:b/>
      <w:bCs/>
      <w:kern w:val="28"/>
      <w:sz w:val="32"/>
      <w:szCs w:val="32"/>
    </w:rPr>
  </w:style>
  <w:style w:type="paragraph" w:styleId="Subtitle">
    <w:name w:val="Subtitle"/>
    <w:basedOn w:val="Normal1"/>
    <w:next w:val="Normal1"/>
    <w:link w:val="SubtitleChar"/>
    <w:uiPriority w:val="11"/>
    <w:qFormat/>
    <w:rsid w:val="003B0BAE"/>
    <w:pPr>
      <w:spacing w:before="360" w:after="80"/>
      <w:contextualSpacing/>
    </w:pPr>
    <w:rPr>
      <w:rFonts w:ascii="Cambria" w:eastAsia="MS Gothic" w:hAnsi="Cambria" w:cs="Times New Roman"/>
      <w:color w:val="auto"/>
      <w:sz w:val="24"/>
      <w:lang w:val="x-none" w:eastAsia="x-none"/>
    </w:rPr>
  </w:style>
  <w:style w:type="character" w:customStyle="1" w:styleId="SubtitleChar">
    <w:name w:val="Subtitle Char"/>
    <w:link w:val="Subtitle"/>
    <w:uiPriority w:val="11"/>
    <w:rsid w:val="002108F5"/>
    <w:rPr>
      <w:rFonts w:ascii="Cambria" w:eastAsia="MS Gothic" w:hAnsi="Cambria" w:cs="Times New Roman"/>
      <w:sz w:val="24"/>
      <w:szCs w:val="24"/>
    </w:rPr>
  </w:style>
  <w:style w:type="paragraph" w:styleId="Header">
    <w:name w:val="header"/>
    <w:basedOn w:val="Normal"/>
    <w:link w:val="HeaderChar"/>
    <w:uiPriority w:val="99"/>
    <w:unhideWhenUsed/>
    <w:rsid w:val="00061D2A"/>
    <w:pPr>
      <w:tabs>
        <w:tab w:val="center" w:pos="4680"/>
        <w:tab w:val="right" w:pos="9360"/>
      </w:tabs>
    </w:pPr>
    <w:rPr>
      <w:rFonts w:eastAsia="MS ??"/>
      <w:sz w:val="20"/>
      <w:szCs w:val="20"/>
      <w:lang w:val="x-none" w:eastAsia="x-none"/>
    </w:rPr>
  </w:style>
  <w:style w:type="character" w:customStyle="1" w:styleId="HeaderChar">
    <w:name w:val="Header Char"/>
    <w:link w:val="Header"/>
    <w:uiPriority w:val="99"/>
    <w:locked/>
    <w:rsid w:val="00061D2A"/>
    <w:rPr>
      <w:rFonts w:cs="Times New Roman"/>
    </w:rPr>
  </w:style>
  <w:style w:type="paragraph" w:styleId="Footer">
    <w:name w:val="footer"/>
    <w:basedOn w:val="Normal"/>
    <w:link w:val="FooterChar"/>
    <w:uiPriority w:val="99"/>
    <w:unhideWhenUsed/>
    <w:rsid w:val="00061D2A"/>
    <w:pPr>
      <w:tabs>
        <w:tab w:val="center" w:pos="4680"/>
        <w:tab w:val="right" w:pos="9360"/>
      </w:tabs>
    </w:pPr>
    <w:rPr>
      <w:rFonts w:eastAsia="MS ??"/>
      <w:sz w:val="20"/>
      <w:szCs w:val="20"/>
      <w:lang w:val="x-none" w:eastAsia="x-none"/>
    </w:rPr>
  </w:style>
  <w:style w:type="character" w:customStyle="1" w:styleId="FooterChar">
    <w:name w:val="Footer Char"/>
    <w:link w:val="Footer"/>
    <w:uiPriority w:val="99"/>
    <w:locked/>
    <w:rsid w:val="00061D2A"/>
    <w:rPr>
      <w:rFonts w:cs="Times New Roman"/>
    </w:rPr>
  </w:style>
  <w:style w:type="table" w:styleId="TableGrid">
    <w:name w:val="Table Grid"/>
    <w:basedOn w:val="TableNormal"/>
    <w:uiPriority w:val="59"/>
    <w:rsid w:val="00061D2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61D2A"/>
    <w:pPr>
      <w:spacing w:after="120"/>
    </w:pPr>
    <w:rPr>
      <w:rFonts w:eastAsia="Times New Roman"/>
      <w:lang w:val="x-none"/>
    </w:rPr>
  </w:style>
  <w:style w:type="character" w:customStyle="1" w:styleId="BodyTextChar">
    <w:name w:val="Body Text Char"/>
    <w:link w:val="BodyText"/>
    <w:uiPriority w:val="99"/>
    <w:locked/>
    <w:rsid w:val="00061D2A"/>
    <w:rPr>
      <w:rFonts w:ascii="Calibri" w:eastAsia="Times New Roman" w:hAnsi="Calibri" w:cs="Calibri"/>
      <w:sz w:val="22"/>
      <w:szCs w:val="22"/>
      <w:lang w:val="x-none" w:eastAsia="en-US"/>
    </w:rPr>
  </w:style>
  <w:style w:type="character" w:customStyle="1" w:styleId="italics">
    <w:name w:val="italics"/>
    <w:rsid w:val="00061D2A"/>
    <w:rPr>
      <w:rFonts w:cs="Times New Roman"/>
      <w:bCs/>
      <w:i/>
    </w:rPr>
  </w:style>
  <w:style w:type="paragraph" w:customStyle="1" w:styleId="Header-banner">
    <w:name w:val="Header-banner"/>
    <w:qFormat/>
    <w:rsid w:val="00061D2A"/>
    <w:pPr>
      <w:ind w:left="43" w:right="43"/>
      <w:jc w:val="center"/>
    </w:pPr>
    <w:rPr>
      <w:rFonts w:ascii="Cambria" w:eastAsia="Times New Roman" w:hAnsi="Cambria" w:cs="Calibri"/>
      <w:b/>
      <w:bCs/>
      <w:caps/>
      <w:color w:val="FFFFFF"/>
      <w:sz w:val="44"/>
      <w:szCs w:val="22"/>
    </w:rPr>
  </w:style>
  <w:style w:type="paragraph" w:customStyle="1" w:styleId="Header2banner">
    <w:name w:val="Header2_banner"/>
    <w:basedOn w:val="Header-banner"/>
    <w:qFormat/>
    <w:rsid w:val="00061D2A"/>
    <w:pPr>
      <w:spacing w:line="440" w:lineRule="exact"/>
      <w:jc w:val="left"/>
    </w:pPr>
    <w:rPr>
      <w:caps w:val="0"/>
    </w:rPr>
  </w:style>
  <w:style w:type="paragraph" w:customStyle="1" w:styleId="Heading1nospace">
    <w:name w:val="Heading 1 no space"/>
    <w:basedOn w:val="Heading1"/>
    <w:qFormat/>
    <w:rsid w:val="00677A89"/>
    <w:pPr>
      <w:spacing w:before="0" w:line="460" w:lineRule="exact"/>
      <w:jc w:val="center"/>
    </w:pPr>
    <w:rPr>
      <w:bCs w:val="0"/>
      <w:color w:val="244061"/>
      <w:sz w:val="40"/>
      <w:szCs w:val="36"/>
      <w:lang w:eastAsia="en-US"/>
    </w:rPr>
  </w:style>
  <w:style w:type="character" w:customStyle="1" w:styleId="PlainTable41">
    <w:name w:val="Plain Table 41"/>
    <w:uiPriority w:val="21"/>
    <w:qFormat/>
    <w:rsid w:val="00342015"/>
    <w:rPr>
      <w:rFonts w:cs="Times New Roman"/>
      <w:b/>
      <w:bCs/>
      <w:i/>
      <w:iCs/>
      <w:color w:val="4F81BD"/>
    </w:rPr>
  </w:style>
  <w:style w:type="character" w:styleId="Hyperlink">
    <w:name w:val="Hyperlink"/>
    <w:uiPriority w:val="99"/>
    <w:unhideWhenUsed/>
    <w:rsid w:val="00342015"/>
    <w:rPr>
      <w:color w:val="0000FF"/>
      <w:u w:val="single"/>
    </w:rPr>
  </w:style>
  <w:style w:type="paragraph" w:customStyle="1" w:styleId="folio">
    <w:name w:val="folio"/>
    <w:basedOn w:val="Normal"/>
    <w:link w:val="folioChar"/>
    <w:qFormat/>
    <w:rsid w:val="00342015"/>
    <w:pPr>
      <w:pBdr>
        <w:top w:val="single" w:sz="8" w:space="4" w:color="244061"/>
      </w:pBdr>
      <w:tabs>
        <w:tab w:val="center" w:pos="6480"/>
        <w:tab w:val="right" w:pos="10080"/>
      </w:tabs>
    </w:pPr>
    <w:rPr>
      <w:rFonts w:ascii="Verdana" w:eastAsia="Times New Roman" w:hAnsi="Verdana"/>
      <w:color w:val="595959"/>
      <w:sz w:val="20"/>
      <w:szCs w:val="20"/>
      <w:lang w:val="x-none"/>
    </w:rPr>
  </w:style>
  <w:style w:type="paragraph" w:styleId="BalloonText">
    <w:name w:val="Balloon Text"/>
    <w:basedOn w:val="Normal"/>
    <w:link w:val="BalloonTextChar"/>
    <w:uiPriority w:val="99"/>
    <w:semiHidden/>
    <w:unhideWhenUsed/>
    <w:rsid w:val="00342015"/>
    <w:rPr>
      <w:rFonts w:ascii="Tahoma" w:eastAsia="MS ??" w:hAnsi="Tahoma"/>
      <w:sz w:val="16"/>
      <w:szCs w:val="16"/>
      <w:lang w:val="x-none" w:eastAsia="x-none"/>
    </w:rPr>
  </w:style>
  <w:style w:type="character" w:customStyle="1" w:styleId="BalloonTextChar">
    <w:name w:val="Balloon Text Char"/>
    <w:link w:val="BalloonText"/>
    <w:uiPriority w:val="99"/>
    <w:semiHidden/>
    <w:locked/>
    <w:rsid w:val="00342015"/>
    <w:rPr>
      <w:rFonts w:ascii="Tahoma" w:hAnsi="Tahoma" w:cs="Tahoma"/>
      <w:sz w:val="16"/>
      <w:szCs w:val="16"/>
    </w:rPr>
  </w:style>
  <w:style w:type="paragraph" w:customStyle="1" w:styleId="NYStandards">
    <w:name w:val="NYStandards"/>
    <w:basedOn w:val="Normal"/>
    <w:link w:val="NYStandardsChar"/>
    <w:uiPriority w:val="1"/>
    <w:qFormat/>
    <w:rsid w:val="00982E0A"/>
    <w:pPr>
      <w:tabs>
        <w:tab w:val="left" w:pos="720"/>
      </w:tabs>
      <w:spacing w:before="120"/>
      <w:ind w:left="720" w:hanging="720"/>
    </w:pPr>
    <w:rPr>
      <w:rFonts w:eastAsia="Times New Roman"/>
      <w:szCs w:val="20"/>
      <w:lang w:val="x-none" w:eastAsia="x-none"/>
    </w:rPr>
  </w:style>
  <w:style w:type="character" w:customStyle="1" w:styleId="NYStandardsChar">
    <w:name w:val="NYStandards Char"/>
    <w:link w:val="NYStandards"/>
    <w:uiPriority w:val="1"/>
    <w:locked/>
    <w:rsid w:val="00982E0A"/>
    <w:rPr>
      <w:rFonts w:ascii="Calibri" w:eastAsia="Times New Roman" w:hAnsi="Calibri"/>
      <w:sz w:val="22"/>
    </w:rPr>
  </w:style>
  <w:style w:type="character" w:styleId="CommentReference">
    <w:name w:val="annotation reference"/>
    <w:uiPriority w:val="99"/>
    <w:semiHidden/>
    <w:unhideWhenUsed/>
    <w:rsid w:val="005B1B50"/>
    <w:rPr>
      <w:rFonts w:cs="Times New Roman"/>
      <w:sz w:val="18"/>
      <w:szCs w:val="18"/>
    </w:rPr>
  </w:style>
  <w:style w:type="paragraph" w:styleId="CommentText">
    <w:name w:val="annotation text"/>
    <w:basedOn w:val="Normal"/>
    <w:link w:val="CommentTextChar"/>
    <w:uiPriority w:val="99"/>
    <w:unhideWhenUsed/>
    <w:rsid w:val="005B1B50"/>
    <w:rPr>
      <w:rFonts w:eastAsia="MS ??"/>
      <w:sz w:val="20"/>
      <w:szCs w:val="20"/>
      <w:lang w:val="x-none" w:eastAsia="x-none"/>
    </w:rPr>
  </w:style>
  <w:style w:type="character" w:customStyle="1" w:styleId="CommentTextChar">
    <w:name w:val="Comment Text Char"/>
    <w:link w:val="CommentText"/>
    <w:uiPriority w:val="99"/>
    <w:locked/>
    <w:rsid w:val="005B1B50"/>
    <w:rPr>
      <w:rFonts w:cs="Times New Roman"/>
    </w:rPr>
  </w:style>
  <w:style w:type="paragraph" w:styleId="CommentSubject">
    <w:name w:val="annotation subject"/>
    <w:basedOn w:val="CommentText"/>
    <w:next w:val="CommentText"/>
    <w:link w:val="CommentSubjectChar"/>
    <w:uiPriority w:val="99"/>
    <w:semiHidden/>
    <w:unhideWhenUsed/>
    <w:rsid w:val="005B1B50"/>
    <w:rPr>
      <w:b/>
      <w:bCs/>
    </w:rPr>
  </w:style>
  <w:style w:type="character" w:customStyle="1" w:styleId="CommentSubjectChar">
    <w:name w:val="Comment Subject Char"/>
    <w:link w:val="CommentSubject"/>
    <w:uiPriority w:val="99"/>
    <w:semiHidden/>
    <w:locked/>
    <w:rsid w:val="005B1B50"/>
    <w:rPr>
      <w:rFonts w:cs="Times New Roman"/>
      <w:b/>
      <w:bCs/>
      <w:sz w:val="20"/>
      <w:szCs w:val="20"/>
    </w:rPr>
  </w:style>
  <w:style w:type="paragraph" w:customStyle="1" w:styleId="MediumList1-Accent41">
    <w:name w:val="Medium List 1 - Accent 41"/>
    <w:hidden/>
    <w:uiPriority w:val="99"/>
    <w:semiHidden/>
    <w:rsid w:val="007613BC"/>
    <w:rPr>
      <w:sz w:val="24"/>
      <w:szCs w:val="24"/>
      <w:lang w:eastAsia="ja-JP"/>
    </w:rPr>
  </w:style>
  <w:style w:type="paragraph" w:customStyle="1" w:styleId="MediumGrid21">
    <w:name w:val="Medium Grid 21"/>
    <w:uiPriority w:val="1"/>
    <w:qFormat/>
    <w:rsid w:val="00BA26CC"/>
    <w:rPr>
      <w:sz w:val="24"/>
      <w:szCs w:val="24"/>
      <w:lang w:eastAsia="ja-JP"/>
    </w:rPr>
  </w:style>
  <w:style w:type="paragraph" w:customStyle="1" w:styleId="BR">
    <w:name w:val="*BR*"/>
    <w:qFormat/>
    <w:rsid w:val="00A10227"/>
    <w:pPr>
      <w:pBdr>
        <w:bottom w:val="single" w:sz="12" w:space="1" w:color="7F7F7F"/>
      </w:pBdr>
      <w:spacing w:after="360"/>
      <w:ind w:left="2880" w:right="2880"/>
    </w:pPr>
    <w:rPr>
      <w:rFonts w:eastAsia="Times New Roman"/>
      <w:sz w:val="18"/>
      <w:szCs w:val="22"/>
    </w:rPr>
  </w:style>
  <w:style w:type="paragraph" w:customStyle="1" w:styleId="BulletedList">
    <w:name w:val="*Bulleted List"/>
    <w:link w:val="BulletedListChar"/>
    <w:qFormat/>
    <w:rsid w:val="00677A89"/>
    <w:pPr>
      <w:numPr>
        <w:numId w:val="10"/>
      </w:numPr>
      <w:spacing w:before="60" w:after="60" w:line="276" w:lineRule="auto"/>
    </w:pPr>
    <w:rPr>
      <w:rFonts w:eastAsia="Times New Roman"/>
      <w:sz w:val="22"/>
      <w:szCs w:val="22"/>
    </w:rPr>
  </w:style>
  <w:style w:type="paragraph" w:customStyle="1" w:styleId="FooterText">
    <w:name w:val="*FooterText"/>
    <w:link w:val="FooterTextChar"/>
    <w:qFormat/>
    <w:rsid w:val="00A10227"/>
    <w:pPr>
      <w:spacing w:line="200" w:lineRule="exact"/>
    </w:pPr>
    <w:rPr>
      <w:rFonts w:ascii="Verdana" w:eastAsia="Times New Roman" w:hAnsi="Verdana" w:cs="Calibri"/>
      <w:b/>
      <w:color w:val="595959"/>
      <w:sz w:val="14"/>
      <w:szCs w:val="22"/>
    </w:rPr>
  </w:style>
  <w:style w:type="paragraph" w:customStyle="1" w:styleId="IN">
    <w:name w:val="*IN*"/>
    <w:qFormat/>
    <w:rsid w:val="00A10227"/>
    <w:pPr>
      <w:numPr>
        <w:numId w:val="11"/>
      </w:numPr>
      <w:spacing w:before="120" w:after="60" w:line="276" w:lineRule="auto"/>
    </w:pPr>
    <w:rPr>
      <w:rFonts w:eastAsia="Times New Roman"/>
      <w:color w:val="4F81BD"/>
      <w:sz w:val="22"/>
      <w:szCs w:val="22"/>
    </w:rPr>
  </w:style>
  <w:style w:type="paragraph" w:customStyle="1" w:styleId="INBullet">
    <w:name w:val="*IN* Bullet"/>
    <w:qFormat/>
    <w:rsid w:val="00A10227"/>
    <w:pPr>
      <w:numPr>
        <w:numId w:val="12"/>
      </w:numPr>
      <w:spacing w:after="60" w:line="276" w:lineRule="auto"/>
    </w:pPr>
    <w:rPr>
      <w:rFonts w:eastAsia="Times New Roman"/>
      <w:color w:val="4F81BD"/>
      <w:sz w:val="22"/>
      <w:szCs w:val="22"/>
    </w:rPr>
  </w:style>
  <w:style w:type="paragraph" w:customStyle="1" w:styleId="LearningSequenceHeader">
    <w:name w:val="*Learning Sequence Header"/>
    <w:next w:val="Normal"/>
    <w:qFormat/>
    <w:rsid w:val="00A10227"/>
    <w:pPr>
      <w:pBdr>
        <w:bottom w:val="single" w:sz="12" w:space="1" w:color="9BBB59"/>
      </w:pBdr>
      <w:tabs>
        <w:tab w:val="right" w:pos="9360"/>
      </w:tabs>
      <w:spacing w:before="480"/>
    </w:pPr>
    <w:rPr>
      <w:rFonts w:eastAsia="Times New Roman"/>
      <w:b/>
      <w:bCs/>
      <w:color w:val="4F81BD"/>
      <w:sz w:val="28"/>
      <w:szCs w:val="26"/>
    </w:rPr>
  </w:style>
  <w:style w:type="paragraph" w:customStyle="1" w:styleId="NumberedList">
    <w:name w:val="*Numbered List"/>
    <w:qFormat/>
    <w:rsid w:val="00A10227"/>
    <w:pPr>
      <w:numPr>
        <w:numId w:val="13"/>
      </w:numPr>
      <w:spacing w:after="60"/>
    </w:pPr>
    <w:rPr>
      <w:rFonts w:eastAsia="Times New Roman"/>
      <w:sz w:val="22"/>
      <w:szCs w:val="22"/>
    </w:rPr>
  </w:style>
  <w:style w:type="paragraph" w:customStyle="1" w:styleId="PageHeader">
    <w:name w:val="*PageHeader"/>
    <w:qFormat/>
    <w:rsid w:val="00A10227"/>
    <w:rPr>
      <w:rFonts w:eastAsia="Times New Roman"/>
      <w:b/>
      <w:sz w:val="18"/>
      <w:szCs w:val="22"/>
    </w:rPr>
  </w:style>
  <w:style w:type="paragraph" w:customStyle="1" w:styleId="Q">
    <w:name w:val="*Q*"/>
    <w:qFormat/>
    <w:rsid w:val="00A10227"/>
    <w:pPr>
      <w:spacing w:before="240" w:line="276" w:lineRule="auto"/>
    </w:pPr>
    <w:rPr>
      <w:rFonts w:eastAsia="Times New Roman"/>
      <w:b/>
      <w:sz w:val="22"/>
      <w:szCs w:val="22"/>
    </w:rPr>
  </w:style>
  <w:style w:type="paragraph" w:customStyle="1" w:styleId="SA">
    <w:name w:val="*SA*"/>
    <w:qFormat/>
    <w:rsid w:val="00A10227"/>
    <w:pPr>
      <w:numPr>
        <w:numId w:val="14"/>
      </w:numPr>
      <w:spacing w:before="120" w:line="276" w:lineRule="auto"/>
    </w:pPr>
    <w:rPr>
      <w:rFonts w:eastAsia="Times New Roman"/>
      <w:sz w:val="22"/>
      <w:szCs w:val="22"/>
    </w:rPr>
  </w:style>
  <w:style w:type="paragraph" w:customStyle="1" w:styleId="SASRBullet">
    <w:name w:val="*SA/SR Bullet"/>
    <w:basedOn w:val="Normal"/>
    <w:qFormat/>
    <w:rsid w:val="00A10227"/>
    <w:pPr>
      <w:numPr>
        <w:ilvl w:val="1"/>
        <w:numId w:val="15"/>
      </w:numPr>
      <w:spacing w:before="120"/>
      <w:contextualSpacing/>
    </w:pPr>
  </w:style>
  <w:style w:type="paragraph" w:customStyle="1" w:styleId="SR">
    <w:name w:val="*SR*"/>
    <w:qFormat/>
    <w:rsid w:val="00A10227"/>
    <w:pPr>
      <w:numPr>
        <w:numId w:val="16"/>
      </w:numPr>
      <w:spacing w:before="120" w:line="276" w:lineRule="auto"/>
    </w:pPr>
    <w:rPr>
      <w:rFonts w:eastAsia="Times New Roman"/>
      <w:sz w:val="22"/>
      <w:szCs w:val="22"/>
    </w:rPr>
  </w:style>
  <w:style w:type="paragraph" w:customStyle="1" w:styleId="TA">
    <w:name w:val="*TA*"/>
    <w:basedOn w:val="Normal"/>
    <w:qFormat/>
    <w:rsid w:val="00A10227"/>
    <w:pPr>
      <w:spacing w:before="240"/>
    </w:pPr>
  </w:style>
  <w:style w:type="paragraph" w:customStyle="1" w:styleId="TableHeaders">
    <w:name w:val="*TableHeaders"/>
    <w:basedOn w:val="Normal"/>
    <w:link w:val="TableHeadersChar"/>
    <w:qFormat/>
    <w:rsid w:val="001B2DAB"/>
    <w:pPr>
      <w:spacing w:before="40" w:after="40" w:line="240" w:lineRule="auto"/>
    </w:pPr>
    <w:rPr>
      <w:b/>
      <w:color w:val="FFFFFF"/>
      <w:lang w:val="x-none" w:eastAsia="x-none"/>
    </w:rPr>
  </w:style>
  <w:style w:type="paragraph" w:customStyle="1" w:styleId="ToolHeader">
    <w:name w:val="*ToolHeader"/>
    <w:qFormat/>
    <w:rsid w:val="00A10227"/>
    <w:pPr>
      <w:spacing w:after="120"/>
    </w:pPr>
    <w:rPr>
      <w:rFonts w:eastAsia="Times New Roman"/>
      <w:b/>
      <w:bCs/>
      <w:color w:val="365F91"/>
      <w:sz w:val="32"/>
      <w:szCs w:val="28"/>
    </w:rPr>
  </w:style>
  <w:style w:type="paragraph" w:customStyle="1" w:styleId="ToolTableText">
    <w:name w:val="*ToolTableText"/>
    <w:qFormat/>
    <w:rsid w:val="00A10227"/>
    <w:pPr>
      <w:spacing w:before="40" w:after="120"/>
    </w:pPr>
    <w:rPr>
      <w:rFonts w:eastAsia="Times New Roman"/>
      <w:sz w:val="22"/>
      <w:szCs w:val="22"/>
    </w:rPr>
  </w:style>
  <w:style w:type="character" w:customStyle="1" w:styleId="folioChar">
    <w:name w:val="folio Char"/>
    <w:link w:val="folio"/>
    <w:locked/>
    <w:rsid w:val="00677A89"/>
    <w:rPr>
      <w:rFonts w:ascii="Verdana" w:eastAsia="Times New Roman" w:hAnsi="Verdana" w:cs="Verdana"/>
      <w:color w:val="595959"/>
      <w:sz w:val="20"/>
      <w:szCs w:val="20"/>
      <w:lang w:val="x-none" w:eastAsia="en-US"/>
    </w:rPr>
  </w:style>
  <w:style w:type="character" w:customStyle="1" w:styleId="FooterTextChar">
    <w:name w:val="FooterText Char"/>
    <w:link w:val="FooterText"/>
    <w:locked/>
    <w:rsid w:val="00677A89"/>
    <w:rPr>
      <w:rFonts w:ascii="Verdana" w:eastAsia="Times New Roman" w:hAnsi="Verdana" w:cs="Calibri"/>
      <w:b/>
      <w:color w:val="595959"/>
      <w:sz w:val="14"/>
      <w:szCs w:val="22"/>
      <w:lang w:val="en-US" w:eastAsia="en-US" w:bidi="ar-SA"/>
    </w:rPr>
  </w:style>
  <w:style w:type="paragraph" w:customStyle="1" w:styleId="MediumList2-Accent41">
    <w:name w:val="Medium List 2 - Accent 41"/>
    <w:basedOn w:val="Normal"/>
    <w:uiPriority w:val="34"/>
    <w:qFormat/>
    <w:rsid w:val="006D3F09"/>
    <w:pPr>
      <w:ind w:left="720"/>
      <w:contextualSpacing/>
    </w:pPr>
  </w:style>
  <w:style w:type="paragraph" w:styleId="NormalWeb">
    <w:name w:val="Normal (Web)"/>
    <w:basedOn w:val="Normal"/>
    <w:uiPriority w:val="99"/>
    <w:semiHidden/>
    <w:unhideWhenUsed/>
    <w:rsid w:val="00D8077C"/>
    <w:pPr>
      <w:spacing w:before="100" w:beforeAutospacing="1" w:after="100" w:afterAutospacing="1" w:line="240" w:lineRule="auto"/>
    </w:pPr>
    <w:rPr>
      <w:rFonts w:ascii="Times New Roman" w:eastAsia="MS ??" w:hAnsi="Times New Roman"/>
      <w:sz w:val="24"/>
      <w:szCs w:val="24"/>
    </w:rPr>
  </w:style>
  <w:style w:type="paragraph" w:customStyle="1" w:styleId="Normal2">
    <w:name w:val="Normal2"/>
    <w:rsid w:val="00CB1DD3"/>
    <w:rPr>
      <w:rFonts w:ascii="Cambria" w:eastAsia="Times New Roman" w:hAnsi="Cambria" w:cs="Cambria"/>
      <w:color w:val="000000"/>
      <w:sz w:val="24"/>
      <w:szCs w:val="22"/>
    </w:rPr>
  </w:style>
  <w:style w:type="paragraph" w:customStyle="1" w:styleId="TableText">
    <w:name w:val="*TableText"/>
    <w:link w:val="TableTextChar"/>
    <w:qFormat/>
    <w:rsid w:val="001B2DAB"/>
    <w:pPr>
      <w:spacing w:before="40" w:after="40" w:line="276" w:lineRule="auto"/>
    </w:pPr>
    <w:rPr>
      <w:rFonts w:eastAsia="Calibri"/>
      <w:sz w:val="22"/>
      <w:szCs w:val="22"/>
    </w:rPr>
  </w:style>
  <w:style w:type="character" w:customStyle="1" w:styleId="TableTextChar">
    <w:name w:val="*TableText Char"/>
    <w:link w:val="TableText"/>
    <w:locked/>
    <w:rsid w:val="001B2DAB"/>
    <w:rPr>
      <w:rFonts w:eastAsia="Calibri"/>
      <w:sz w:val="22"/>
      <w:szCs w:val="22"/>
      <w:lang w:bidi="ar-SA"/>
    </w:rPr>
  </w:style>
  <w:style w:type="character" w:customStyle="1" w:styleId="BulletedListChar">
    <w:name w:val="*Bulleted List Char"/>
    <w:link w:val="BulletedList"/>
    <w:locked/>
    <w:rsid w:val="00426E1B"/>
    <w:rPr>
      <w:rFonts w:eastAsia="Times New Roman"/>
      <w:sz w:val="22"/>
      <w:szCs w:val="22"/>
      <w:lang w:val="en-US" w:eastAsia="en-US" w:bidi="ar-SA"/>
    </w:rPr>
  </w:style>
  <w:style w:type="character" w:customStyle="1" w:styleId="TableHeadersChar">
    <w:name w:val="*TableHeaders Char"/>
    <w:link w:val="TableHeaders"/>
    <w:rsid w:val="001B2DAB"/>
    <w:rPr>
      <w:rFonts w:eastAsia="Calibri"/>
      <w:b/>
      <w:color w:val="FFFFFF"/>
      <w:sz w:val="22"/>
      <w:szCs w:val="22"/>
    </w:rPr>
  </w:style>
  <w:style w:type="paragraph" w:customStyle="1" w:styleId="DarkList-Accent31">
    <w:name w:val="Dark List - Accent 31"/>
    <w:hidden/>
    <w:uiPriority w:val="99"/>
    <w:semiHidden/>
    <w:rsid w:val="00285B7F"/>
    <w:rPr>
      <w:rFonts w:eastAsia="Calibri"/>
      <w:sz w:val="22"/>
      <w:szCs w:val="22"/>
    </w:rPr>
  </w:style>
  <w:style w:type="paragraph" w:customStyle="1" w:styleId="MediumShading1-Accent21">
    <w:name w:val="Medium Shading 1 - Accent 21"/>
    <w:uiPriority w:val="1"/>
    <w:qFormat/>
    <w:rsid w:val="0015083C"/>
    <w:rPr>
      <w:rFonts w:eastAsia="Calibri"/>
      <w:sz w:val="22"/>
      <w:szCs w:val="22"/>
    </w:rPr>
  </w:style>
  <w:style w:type="paragraph" w:customStyle="1" w:styleId="ExcerptBody">
    <w:name w:val="*ExcerptBody"/>
    <w:basedOn w:val="Normal"/>
    <w:link w:val="ExcerptBodyChar"/>
    <w:qFormat/>
    <w:rsid w:val="00E7580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E75803"/>
    <w:rPr>
      <w:rFonts w:ascii="Times New Roman" w:eastAsia="Times New Roman" w:hAnsi="Times New Roman"/>
      <w:color w:val="000000"/>
      <w:sz w:val="24"/>
      <w:szCs w:val="17"/>
    </w:rPr>
  </w:style>
  <w:style w:type="character" w:customStyle="1" w:styleId="PlainTable31">
    <w:name w:val="Plain Table 31"/>
    <w:uiPriority w:val="19"/>
    <w:qFormat/>
    <w:rsid w:val="00BC39EF"/>
    <w:rPr>
      <w:i/>
      <w:iCs/>
      <w:color w:val="404040"/>
    </w:rPr>
  </w:style>
  <w:style w:type="paragraph" w:customStyle="1" w:styleId="SubStandard">
    <w:name w:val="*SubStandard"/>
    <w:basedOn w:val="Normal"/>
    <w:link w:val="SubStandardChar"/>
    <w:qFormat/>
    <w:rsid w:val="00BC39EF"/>
    <w:pPr>
      <w:numPr>
        <w:numId w:val="43"/>
      </w:numPr>
      <w:spacing w:before="40" w:after="40"/>
    </w:pPr>
  </w:style>
  <w:style w:type="character" w:customStyle="1" w:styleId="SubStandardChar">
    <w:name w:val="*SubStandard Char"/>
    <w:link w:val="SubStandard"/>
    <w:rsid w:val="00BC39EF"/>
    <w:rPr>
      <w:rFonts w:eastAsia="Calibri"/>
      <w:sz w:val="22"/>
      <w:szCs w:val="22"/>
    </w:rPr>
  </w:style>
  <w:style w:type="character" w:customStyle="1" w:styleId="apple-converted-space">
    <w:name w:val="apple-converted-space"/>
    <w:rsid w:val="009861AD"/>
  </w:style>
  <w:style w:type="paragraph" w:customStyle="1" w:styleId="LightList-Accent31">
    <w:name w:val="Light List - Accent 31"/>
    <w:hidden/>
    <w:uiPriority w:val="71"/>
    <w:rsid w:val="00C06620"/>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51719">
      <w:bodyDiv w:val="1"/>
      <w:marLeft w:val="0"/>
      <w:marRight w:val="0"/>
      <w:marTop w:val="0"/>
      <w:marBottom w:val="0"/>
      <w:divBdr>
        <w:top w:val="none" w:sz="0" w:space="0" w:color="auto"/>
        <w:left w:val="none" w:sz="0" w:space="0" w:color="auto"/>
        <w:bottom w:val="none" w:sz="0" w:space="0" w:color="auto"/>
        <w:right w:val="none" w:sz="0" w:space="0" w:color="auto"/>
      </w:divBdr>
    </w:div>
    <w:div w:id="632253157">
      <w:bodyDiv w:val="1"/>
      <w:marLeft w:val="0"/>
      <w:marRight w:val="0"/>
      <w:marTop w:val="0"/>
      <w:marBottom w:val="0"/>
      <w:divBdr>
        <w:top w:val="none" w:sz="0" w:space="0" w:color="auto"/>
        <w:left w:val="none" w:sz="0" w:space="0" w:color="auto"/>
        <w:bottom w:val="none" w:sz="0" w:space="0" w:color="auto"/>
        <w:right w:val="none" w:sz="0" w:space="0" w:color="auto"/>
      </w:divBdr>
    </w:div>
    <w:div w:id="645164520">
      <w:bodyDiv w:val="1"/>
      <w:marLeft w:val="0"/>
      <w:marRight w:val="0"/>
      <w:marTop w:val="0"/>
      <w:marBottom w:val="0"/>
      <w:divBdr>
        <w:top w:val="none" w:sz="0" w:space="0" w:color="auto"/>
        <w:left w:val="none" w:sz="0" w:space="0" w:color="auto"/>
        <w:bottom w:val="none" w:sz="0" w:space="0" w:color="auto"/>
        <w:right w:val="none" w:sz="0" w:space="0" w:color="auto"/>
      </w:divBdr>
      <w:divsChild>
        <w:div w:id="109134302">
          <w:marLeft w:val="0"/>
          <w:marRight w:val="0"/>
          <w:marTop w:val="0"/>
          <w:marBottom w:val="0"/>
          <w:divBdr>
            <w:top w:val="none" w:sz="0" w:space="0" w:color="auto"/>
            <w:left w:val="none" w:sz="0" w:space="0" w:color="auto"/>
            <w:bottom w:val="none" w:sz="0" w:space="0" w:color="auto"/>
            <w:right w:val="none" w:sz="0" w:space="0" w:color="auto"/>
          </w:divBdr>
        </w:div>
        <w:div w:id="63843578">
          <w:marLeft w:val="0"/>
          <w:marRight w:val="0"/>
          <w:marTop w:val="0"/>
          <w:marBottom w:val="0"/>
          <w:divBdr>
            <w:top w:val="none" w:sz="0" w:space="0" w:color="auto"/>
            <w:left w:val="none" w:sz="0" w:space="0" w:color="auto"/>
            <w:bottom w:val="none" w:sz="0" w:space="0" w:color="auto"/>
            <w:right w:val="none" w:sz="0" w:space="0" w:color="auto"/>
          </w:divBdr>
        </w:div>
        <w:div w:id="161045978">
          <w:marLeft w:val="0"/>
          <w:marRight w:val="0"/>
          <w:marTop w:val="0"/>
          <w:marBottom w:val="0"/>
          <w:divBdr>
            <w:top w:val="none" w:sz="0" w:space="0" w:color="auto"/>
            <w:left w:val="none" w:sz="0" w:space="0" w:color="auto"/>
            <w:bottom w:val="none" w:sz="0" w:space="0" w:color="auto"/>
            <w:right w:val="none" w:sz="0" w:space="0" w:color="auto"/>
          </w:divBdr>
        </w:div>
        <w:div w:id="253899098">
          <w:marLeft w:val="0"/>
          <w:marRight w:val="0"/>
          <w:marTop w:val="0"/>
          <w:marBottom w:val="0"/>
          <w:divBdr>
            <w:top w:val="none" w:sz="0" w:space="0" w:color="auto"/>
            <w:left w:val="none" w:sz="0" w:space="0" w:color="auto"/>
            <w:bottom w:val="none" w:sz="0" w:space="0" w:color="auto"/>
            <w:right w:val="none" w:sz="0" w:space="0" w:color="auto"/>
          </w:divBdr>
        </w:div>
        <w:div w:id="1560936513">
          <w:marLeft w:val="0"/>
          <w:marRight w:val="0"/>
          <w:marTop w:val="0"/>
          <w:marBottom w:val="0"/>
          <w:divBdr>
            <w:top w:val="none" w:sz="0" w:space="0" w:color="auto"/>
            <w:left w:val="none" w:sz="0" w:space="0" w:color="auto"/>
            <w:bottom w:val="none" w:sz="0" w:space="0" w:color="auto"/>
            <w:right w:val="none" w:sz="0" w:space="0" w:color="auto"/>
          </w:divBdr>
        </w:div>
        <w:div w:id="902715318">
          <w:marLeft w:val="0"/>
          <w:marRight w:val="0"/>
          <w:marTop w:val="0"/>
          <w:marBottom w:val="0"/>
          <w:divBdr>
            <w:top w:val="none" w:sz="0" w:space="0" w:color="auto"/>
            <w:left w:val="none" w:sz="0" w:space="0" w:color="auto"/>
            <w:bottom w:val="none" w:sz="0" w:space="0" w:color="auto"/>
            <w:right w:val="none" w:sz="0" w:space="0" w:color="auto"/>
          </w:divBdr>
        </w:div>
        <w:div w:id="79373538">
          <w:marLeft w:val="0"/>
          <w:marRight w:val="0"/>
          <w:marTop w:val="0"/>
          <w:marBottom w:val="0"/>
          <w:divBdr>
            <w:top w:val="none" w:sz="0" w:space="0" w:color="auto"/>
            <w:left w:val="none" w:sz="0" w:space="0" w:color="auto"/>
            <w:bottom w:val="none" w:sz="0" w:space="0" w:color="auto"/>
            <w:right w:val="none" w:sz="0" w:space="0" w:color="auto"/>
          </w:divBdr>
        </w:div>
        <w:div w:id="1976065070">
          <w:marLeft w:val="0"/>
          <w:marRight w:val="0"/>
          <w:marTop w:val="0"/>
          <w:marBottom w:val="0"/>
          <w:divBdr>
            <w:top w:val="none" w:sz="0" w:space="0" w:color="auto"/>
            <w:left w:val="none" w:sz="0" w:space="0" w:color="auto"/>
            <w:bottom w:val="none" w:sz="0" w:space="0" w:color="auto"/>
            <w:right w:val="none" w:sz="0" w:space="0" w:color="auto"/>
          </w:divBdr>
        </w:div>
        <w:div w:id="80182335">
          <w:marLeft w:val="0"/>
          <w:marRight w:val="0"/>
          <w:marTop w:val="0"/>
          <w:marBottom w:val="0"/>
          <w:divBdr>
            <w:top w:val="none" w:sz="0" w:space="0" w:color="auto"/>
            <w:left w:val="none" w:sz="0" w:space="0" w:color="auto"/>
            <w:bottom w:val="none" w:sz="0" w:space="0" w:color="auto"/>
            <w:right w:val="none" w:sz="0" w:space="0" w:color="auto"/>
          </w:divBdr>
        </w:div>
      </w:divsChild>
    </w:div>
    <w:div w:id="903950251">
      <w:bodyDiv w:val="1"/>
      <w:marLeft w:val="0"/>
      <w:marRight w:val="0"/>
      <w:marTop w:val="0"/>
      <w:marBottom w:val="0"/>
      <w:divBdr>
        <w:top w:val="none" w:sz="0" w:space="0" w:color="auto"/>
        <w:left w:val="none" w:sz="0" w:space="0" w:color="auto"/>
        <w:bottom w:val="none" w:sz="0" w:space="0" w:color="auto"/>
        <w:right w:val="none" w:sz="0" w:space="0" w:color="auto"/>
      </w:divBdr>
    </w:div>
    <w:div w:id="934022351">
      <w:bodyDiv w:val="1"/>
      <w:marLeft w:val="0"/>
      <w:marRight w:val="0"/>
      <w:marTop w:val="0"/>
      <w:marBottom w:val="0"/>
      <w:divBdr>
        <w:top w:val="none" w:sz="0" w:space="0" w:color="auto"/>
        <w:left w:val="none" w:sz="0" w:space="0" w:color="auto"/>
        <w:bottom w:val="none" w:sz="0" w:space="0" w:color="auto"/>
        <w:right w:val="none" w:sz="0" w:space="0" w:color="auto"/>
      </w:divBdr>
    </w:div>
    <w:div w:id="1046416658">
      <w:bodyDiv w:val="1"/>
      <w:marLeft w:val="0"/>
      <w:marRight w:val="0"/>
      <w:marTop w:val="0"/>
      <w:marBottom w:val="0"/>
      <w:divBdr>
        <w:top w:val="none" w:sz="0" w:space="0" w:color="auto"/>
        <w:left w:val="none" w:sz="0" w:space="0" w:color="auto"/>
        <w:bottom w:val="none" w:sz="0" w:space="0" w:color="auto"/>
        <w:right w:val="none" w:sz="0" w:space="0" w:color="auto"/>
      </w:divBdr>
    </w:div>
    <w:div w:id="1109934740">
      <w:bodyDiv w:val="1"/>
      <w:marLeft w:val="0"/>
      <w:marRight w:val="0"/>
      <w:marTop w:val="0"/>
      <w:marBottom w:val="0"/>
      <w:divBdr>
        <w:top w:val="none" w:sz="0" w:space="0" w:color="auto"/>
        <w:left w:val="none" w:sz="0" w:space="0" w:color="auto"/>
        <w:bottom w:val="none" w:sz="0" w:space="0" w:color="auto"/>
        <w:right w:val="none" w:sz="0" w:space="0" w:color="auto"/>
      </w:divBdr>
    </w:div>
    <w:div w:id="1129858740">
      <w:bodyDiv w:val="1"/>
      <w:marLeft w:val="0"/>
      <w:marRight w:val="0"/>
      <w:marTop w:val="0"/>
      <w:marBottom w:val="0"/>
      <w:divBdr>
        <w:top w:val="none" w:sz="0" w:space="0" w:color="auto"/>
        <w:left w:val="none" w:sz="0" w:space="0" w:color="auto"/>
        <w:bottom w:val="none" w:sz="0" w:space="0" w:color="auto"/>
        <w:right w:val="none" w:sz="0" w:space="0" w:color="auto"/>
      </w:divBdr>
      <w:divsChild>
        <w:div w:id="1965454779">
          <w:marLeft w:val="0"/>
          <w:marRight w:val="0"/>
          <w:marTop w:val="0"/>
          <w:marBottom w:val="0"/>
          <w:divBdr>
            <w:top w:val="none" w:sz="0" w:space="0" w:color="auto"/>
            <w:left w:val="none" w:sz="0" w:space="0" w:color="auto"/>
            <w:bottom w:val="none" w:sz="0" w:space="0" w:color="auto"/>
            <w:right w:val="none" w:sz="0" w:space="0" w:color="auto"/>
          </w:divBdr>
        </w:div>
        <w:div w:id="821310180">
          <w:marLeft w:val="0"/>
          <w:marRight w:val="0"/>
          <w:marTop w:val="0"/>
          <w:marBottom w:val="0"/>
          <w:divBdr>
            <w:top w:val="none" w:sz="0" w:space="0" w:color="auto"/>
            <w:left w:val="none" w:sz="0" w:space="0" w:color="auto"/>
            <w:bottom w:val="none" w:sz="0" w:space="0" w:color="auto"/>
            <w:right w:val="none" w:sz="0" w:space="0" w:color="auto"/>
          </w:divBdr>
        </w:div>
        <w:div w:id="1912546544">
          <w:marLeft w:val="0"/>
          <w:marRight w:val="0"/>
          <w:marTop w:val="0"/>
          <w:marBottom w:val="0"/>
          <w:divBdr>
            <w:top w:val="none" w:sz="0" w:space="0" w:color="auto"/>
            <w:left w:val="none" w:sz="0" w:space="0" w:color="auto"/>
            <w:bottom w:val="none" w:sz="0" w:space="0" w:color="auto"/>
            <w:right w:val="none" w:sz="0" w:space="0" w:color="auto"/>
          </w:divBdr>
        </w:div>
        <w:div w:id="376245343">
          <w:marLeft w:val="0"/>
          <w:marRight w:val="0"/>
          <w:marTop w:val="0"/>
          <w:marBottom w:val="0"/>
          <w:divBdr>
            <w:top w:val="none" w:sz="0" w:space="0" w:color="auto"/>
            <w:left w:val="none" w:sz="0" w:space="0" w:color="auto"/>
            <w:bottom w:val="none" w:sz="0" w:space="0" w:color="auto"/>
            <w:right w:val="none" w:sz="0" w:space="0" w:color="auto"/>
          </w:divBdr>
        </w:div>
        <w:div w:id="449783182">
          <w:marLeft w:val="0"/>
          <w:marRight w:val="0"/>
          <w:marTop w:val="0"/>
          <w:marBottom w:val="0"/>
          <w:divBdr>
            <w:top w:val="none" w:sz="0" w:space="0" w:color="auto"/>
            <w:left w:val="none" w:sz="0" w:space="0" w:color="auto"/>
            <w:bottom w:val="none" w:sz="0" w:space="0" w:color="auto"/>
            <w:right w:val="none" w:sz="0" w:space="0" w:color="auto"/>
          </w:divBdr>
        </w:div>
        <w:div w:id="1002011310">
          <w:marLeft w:val="0"/>
          <w:marRight w:val="0"/>
          <w:marTop w:val="0"/>
          <w:marBottom w:val="0"/>
          <w:divBdr>
            <w:top w:val="none" w:sz="0" w:space="0" w:color="auto"/>
            <w:left w:val="none" w:sz="0" w:space="0" w:color="auto"/>
            <w:bottom w:val="none" w:sz="0" w:space="0" w:color="auto"/>
            <w:right w:val="none" w:sz="0" w:space="0" w:color="auto"/>
          </w:divBdr>
        </w:div>
        <w:div w:id="269975083">
          <w:marLeft w:val="0"/>
          <w:marRight w:val="0"/>
          <w:marTop w:val="0"/>
          <w:marBottom w:val="0"/>
          <w:divBdr>
            <w:top w:val="none" w:sz="0" w:space="0" w:color="auto"/>
            <w:left w:val="none" w:sz="0" w:space="0" w:color="auto"/>
            <w:bottom w:val="none" w:sz="0" w:space="0" w:color="auto"/>
            <w:right w:val="none" w:sz="0" w:space="0" w:color="auto"/>
          </w:divBdr>
        </w:div>
        <w:div w:id="1970085084">
          <w:marLeft w:val="0"/>
          <w:marRight w:val="0"/>
          <w:marTop w:val="0"/>
          <w:marBottom w:val="0"/>
          <w:divBdr>
            <w:top w:val="none" w:sz="0" w:space="0" w:color="auto"/>
            <w:left w:val="none" w:sz="0" w:space="0" w:color="auto"/>
            <w:bottom w:val="none" w:sz="0" w:space="0" w:color="auto"/>
            <w:right w:val="none" w:sz="0" w:space="0" w:color="auto"/>
          </w:divBdr>
        </w:div>
      </w:divsChild>
    </w:div>
    <w:div w:id="1279684292">
      <w:bodyDiv w:val="1"/>
      <w:marLeft w:val="0"/>
      <w:marRight w:val="0"/>
      <w:marTop w:val="0"/>
      <w:marBottom w:val="0"/>
      <w:divBdr>
        <w:top w:val="none" w:sz="0" w:space="0" w:color="auto"/>
        <w:left w:val="none" w:sz="0" w:space="0" w:color="auto"/>
        <w:bottom w:val="none" w:sz="0" w:space="0" w:color="auto"/>
        <w:right w:val="none" w:sz="0" w:space="0" w:color="auto"/>
      </w:divBdr>
      <w:divsChild>
        <w:div w:id="1733849415">
          <w:marLeft w:val="0"/>
          <w:marRight w:val="0"/>
          <w:marTop w:val="0"/>
          <w:marBottom w:val="0"/>
          <w:divBdr>
            <w:top w:val="none" w:sz="0" w:space="0" w:color="auto"/>
            <w:left w:val="none" w:sz="0" w:space="0" w:color="auto"/>
            <w:bottom w:val="none" w:sz="0" w:space="0" w:color="auto"/>
            <w:right w:val="none" w:sz="0" w:space="0" w:color="auto"/>
          </w:divBdr>
        </w:div>
        <w:div w:id="1692340045">
          <w:marLeft w:val="0"/>
          <w:marRight w:val="0"/>
          <w:marTop w:val="0"/>
          <w:marBottom w:val="0"/>
          <w:divBdr>
            <w:top w:val="none" w:sz="0" w:space="0" w:color="auto"/>
            <w:left w:val="none" w:sz="0" w:space="0" w:color="auto"/>
            <w:bottom w:val="none" w:sz="0" w:space="0" w:color="auto"/>
            <w:right w:val="none" w:sz="0" w:space="0" w:color="auto"/>
          </w:divBdr>
        </w:div>
        <w:div w:id="171801055">
          <w:marLeft w:val="0"/>
          <w:marRight w:val="0"/>
          <w:marTop w:val="0"/>
          <w:marBottom w:val="0"/>
          <w:divBdr>
            <w:top w:val="none" w:sz="0" w:space="0" w:color="auto"/>
            <w:left w:val="none" w:sz="0" w:space="0" w:color="auto"/>
            <w:bottom w:val="none" w:sz="0" w:space="0" w:color="auto"/>
            <w:right w:val="none" w:sz="0" w:space="0" w:color="auto"/>
          </w:divBdr>
        </w:div>
        <w:div w:id="23873688">
          <w:marLeft w:val="0"/>
          <w:marRight w:val="0"/>
          <w:marTop w:val="0"/>
          <w:marBottom w:val="0"/>
          <w:divBdr>
            <w:top w:val="none" w:sz="0" w:space="0" w:color="auto"/>
            <w:left w:val="none" w:sz="0" w:space="0" w:color="auto"/>
            <w:bottom w:val="none" w:sz="0" w:space="0" w:color="auto"/>
            <w:right w:val="none" w:sz="0" w:space="0" w:color="auto"/>
          </w:divBdr>
        </w:div>
        <w:div w:id="2042316711">
          <w:marLeft w:val="0"/>
          <w:marRight w:val="0"/>
          <w:marTop w:val="0"/>
          <w:marBottom w:val="0"/>
          <w:divBdr>
            <w:top w:val="none" w:sz="0" w:space="0" w:color="auto"/>
            <w:left w:val="none" w:sz="0" w:space="0" w:color="auto"/>
            <w:bottom w:val="none" w:sz="0" w:space="0" w:color="auto"/>
            <w:right w:val="none" w:sz="0" w:space="0" w:color="auto"/>
          </w:divBdr>
        </w:div>
        <w:div w:id="2089224276">
          <w:marLeft w:val="0"/>
          <w:marRight w:val="0"/>
          <w:marTop w:val="0"/>
          <w:marBottom w:val="0"/>
          <w:divBdr>
            <w:top w:val="none" w:sz="0" w:space="0" w:color="auto"/>
            <w:left w:val="none" w:sz="0" w:space="0" w:color="auto"/>
            <w:bottom w:val="none" w:sz="0" w:space="0" w:color="auto"/>
            <w:right w:val="none" w:sz="0" w:space="0" w:color="auto"/>
          </w:divBdr>
        </w:div>
        <w:div w:id="293561765">
          <w:marLeft w:val="0"/>
          <w:marRight w:val="0"/>
          <w:marTop w:val="0"/>
          <w:marBottom w:val="0"/>
          <w:divBdr>
            <w:top w:val="none" w:sz="0" w:space="0" w:color="auto"/>
            <w:left w:val="none" w:sz="0" w:space="0" w:color="auto"/>
            <w:bottom w:val="none" w:sz="0" w:space="0" w:color="auto"/>
            <w:right w:val="none" w:sz="0" w:space="0" w:color="auto"/>
          </w:divBdr>
        </w:div>
        <w:div w:id="135149827">
          <w:marLeft w:val="0"/>
          <w:marRight w:val="0"/>
          <w:marTop w:val="0"/>
          <w:marBottom w:val="0"/>
          <w:divBdr>
            <w:top w:val="none" w:sz="0" w:space="0" w:color="auto"/>
            <w:left w:val="none" w:sz="0" w:space="0" w:color="auto"/>
            <w:bottom w:val="none" w:sz="0" w:space="0" w:color="auto"/>
            <w:right w:val="none" w:sz="0" w:space="0" w:color="auto"/>
          </w:divBdr>
        </w:div>
      </w:divsChild>
    </w:div>
    <w:div w:id="1294795085">
      <w:marLeft w:val="0"/>
      <w:marRight w:val="0"/>
      <w:marTop w:val="0"/>
      <w:marBottom w:val="0"/>
      <w:divBdr>
        <w:top w:val="none" w:sz="0" w:space="0" w:color="auto"/>
        <w:left w:val="none" w:sz="0" w:space="0" w:color="auto"/>
        <w:bottom w:val="none" w:sz="0" w:space="0" w:color="auto"/>
        <w:right w:val="none" w:sz="0" w:space="0" w:color="auto"/>
      </w:divBdr>
      <w:divsChild>
        <w:div w:id="1294795083">
          <w:marLeft w:val="0"/>
          <w:marRight w:val="0"/>
          <w:marTop w:val="0"/>
          <w:marBottom w:val="0"/>
          <w:divBdr>
            <w:top w:val="none" w:sz="0" w:space="0" w:color="auto"/>
            <w:left w:val="none" w:sz="0" w:space="0" w:color="auto"/>
            <w:bottom w:val="none" w:sz="0" w:space="0" w:color="auto"/>
            <w:right w:val="none" w:sz="0" w:space="0" w:color="auto"/>
          </w:divBdr>
        </w:div>
        <w:div w:id="1294795084">
          <w:marLeft w:val="0"/>
          <w:marRight w:val="0"/>
          <w:marTop w:val="0"/>
          <w:marBottom w:val="0"/>
          <w:divBdr>
            <w:top w:val="none" w:sz="0" w:space="0" w:color="auto"/>
            <w:left w:val="none" w:sz="0" w:space="0" w:color="auto"/>
            <w:bottom w:val="none" w:sz="0" w:space="0" w:color="auto"/>
            <w:right w:val="none" w:sz="0" w:space="0" w:color="auto"/>
          </w:divBdr>
        </w:div>
        <w:div w:id="1294795086">
          <w:marLeft w:val="0"/>
          <w:marRight w:val="0"/>
          <w:marTop w:val="0"/>
          <w:marBottom w:val="0"/>
          <w:divBdr>
            <w:top w:val="none" w:sz="0" w:space="0" w:color="auto"/>
            <w:left w:val="none" w:sz="0" w:space="0" w:color="auto"/>
            <w:bottom w:val="none" w:sz="0" w:space="0" w:color="auto"/>
            <w:right w:val="none" w:sz="0" w:space="0" w:color="auto"/>
          </w:divBdr>
        </w:div>
        <w:div w:id="1294795087">
          <w:marLeft w:val="0"/>
          <w:marRight w:val="0"/>
          <w:marTop w:val="0"/>
          <w:marBottom w:val="0"/>
          <w:divBdr>
            <w:top w:val="none" w:sz="0" w:space="0" w:color="auto"/>
            <w:left w:val="none" w:sz="0" w:space="0" w:color="auto"/>
            <w:bottom w:val="none" w:sz="0" w:space="0" w:color="auto"/>
            <w:right w:val="none" w:sz="0" w:space="0" w:color="auto"/>
          </w:divBdr>
        </w:div>
        <w:div w:id="1294795088">
          <w:marLeft w:val="0"/>
          <w:marRight w:val="0"/>
          <w:marTop w:val="0"/>
          <w:marBottom w:val="0"/>
          <w:divBdr>
            <w:top w:val="none" w:sz="0" w:space="0" w:color="auto"/>
            <w:left w:val="none" w:sz="0" w:space="0" w:color="auto"/>
            <w:bottom w:val="none" w:sz="0" w:space="0" w:color="auto"/>
            <w:right w:val="none" w:sz="0" w:space="0" w:color="auto"/>
          </w:divBdr>
        </w:div>
        <w:div w:id="1294795089">
          <w:marLeft w:val="0"/>
          <w:marRight w:val="0"/>
          <w:marTop w:val="0"/>
          <w:marBottom w:val="0"/>
          <w:divBdr>
            <w:top w:val="none" w:sz="0" w:space="0" w:color="auto"/>
            <w:left w:val="none" w:sz="0" w:space="0" w:color="auto"/>
            <w:bottom w:val="none" w:sz="0" w:space="0" w:color="auto"/>
            <w:right w:val="none" w:sz="0" w:space="0" w:color="auto"/>
          </w:divBdr>
        </w:div>
        <w:div w:id="1294795091">
          <w:marLeft w:val="0"/>
          <w:marRight w:val="0"/>
          <w:marTop w:val="0"/>
          <w:marBottom w:val="0"/>
          <w:divBdr>
            <w:top w:val="none" w:sz="0" w:space="0" w:color="auto"/>
            <w:left w:val="none" w:sz="0" w:space="0" w:color="auto"/>
            <w:bottom w:val="none" w:sz="0" w:space="0" w:color="auto"/>
            <w:right w:val="none" w:sz="0" w:space="0" w:color="auto"/>
          </w:divBdr>
        </w:div>
      </w:divsChild>
    </w:div>
    <w:div w:id="1294795090">
      <w:marLeft w:val="0"/>
      <w:marRight w:val="0"/>
      <w:marTop w:val="0"/>
      <w:marBottom w:val="0"/>
      <w:divBdr>
        <w:top w:val="none" w:sz="0" w:space="0" w:color="auto"/>
        <w:left w:val="none" w:sz="0" w:space="0" w:color="auto"/>
        <w:bottom w:val="none" w:sz="0" w:space="0" w:color="auto"/>
        <w:right w:val="none" w:sz="0" w:space="0" w:color="auto"/>
      </w:divBdr>
    </w:div>
    <w:div w:id="1629773972">
      <w:bodyDiv w:val="1"/>
      <w:marLeft w:val="0"/>
      <w:marRight w:val="0"/>
      <w:marTop w:val="0"/>
      <w:marBottom w:val="0"/>
      <w:divBdr>
        <w:top w:val="none" w:sz="0" w:space="0" w:color="auto"/>
        <w:left w:val="none" w:sz="0" w:space="0" w:color="auto"/>
        <w:bottom w:val="none" w:sz="0" w:space="0" w:color="auto"/>
        <w:right w:val="none" w:sz="0" w:space="0" w:color="auto"/>
      </w:divBdr>
      <w:divsChild>
        <w:div w:id="242571673">
          <w:marLeft w:val="0"/>
          <w:marRight w:val="0"/>
          <w:marTop w:val="0"/>
          <w:marBottom w:val="0"/>
          <w:divBdr>
            <w:top w:val="none" w:sz="0" w:space="0" w:color="auto"/>
            <w:left w:val="none" w:sz="0" w:space="0" w:color="auto"/>
            <w:bottom w:val="none" w:sz="0" w:space="0" w:color="auto"/>
            <w:right w:val="none" w:sz="0" w:space="0" w:color="auto"/>
          </w:divBdr>
        </w:div>
        <w:div w:id="1463844753">
          <w:marLeft w:val="0"/>
          <w:marRight w:val="0"/>
          <w:marTop w:val="0"/>
          <w:marBottom w:val="0"/>
          <w:divBdr>
            <w:top w:val="none" w:sz="0" w:space="0" w:color="auto"/>
            <w:left w:val="none" w:sz="0" w:space="0" w:color="auto"/>
            <w:bottom w:val="none" w:sz="0" w:space="0" w:color="auto"/>
            <w:right w:val="none" w:sz="0" w:space="0" w:color="auto"/>
          </w:divBdr>
        </w:div>
        <w:div w:id="2027167346">
          <w:marLeft w:val="0"/>
          <w:marRight w:val="0"/>
          <w:marTop w:val="0"/>
          <w:marBottom w:val="0"/>
          <w:divBdr>
            <w:top w:val="none" w:sz="0" w:space="0" w:color="auto"/>
            <w:left w:val="none" w:sz="0" w:space="0" w:color="auto"/>
            <w:bottom w:val="none" w:sz="0" w:space="0" w:color="auto"/>
            <w:right w:val="none" w:sz="0" w:space="0" w:color="auto"/>
          </w:divBdr>
        </w:div>
        <w:div w:id="464349467">
          <w:marLeft w:val="0"/>
          <w:marRight w:val="0"/>
          <w:marTop w:val="0"/>
          <w:marBottom w:val="0"/>
          <w:divBdr>
            <w:top w:val="none" w:sz="0" w:space="0" w:color="auto"/>
            <w:left w:val="none" w:sz="0" w:space="0" w:color="auto"/>
            <w:bottom w:val="none" w:sz="0" w:space="0" w:color="auto"/>
            <w:right w:val="none" w:sz="0" w:space="0" w:color="auto"/>
          </w:divBdr>
        </w:div>
        <w:div w:id="1797720690">
          <w:marLeft w:val="0"/>
          <w:marRight w:val="0"/>
          <w:marTop w:val="0"/>
          <w:marBottom w:val="0"/>
          <w:divBdr>
            <w:top w:val="none" w:sz="0" w:space="0" w:color="auto"/>
            <w:left w:val="none" w:sz="0" w:space="0" w:color="auto"/>
            <w:bottom w:val="none" w:sz="0" w:space="0" w:color="auto"/>
            <w:right w:val="none" w:sz="0" w:space="0" w:color="auto"/>
          </w:divBdr>
        </w:div>
        <w:div w:id="987586898">
          <w:marLeft w:val="0"/>
          <w:marRight w:val="0"/>
          <w:marTop w:val="0"/>
          <w:marBottom w:val="0"/>
          <w:divBdr>
            <w:top w:val="none" w:sz="0" w:space="0" w:color="auto"/>
            <w:left w:val="none" w:sz="0" w:space="0" w:color="auto"/>
            <w:bottom w:val="none" w:sz="0" w:space="0" w:color="auto"/>
            <w:right w:val="none" w:sz="0" w:space="0" w:color="auto"/>
          </w:divBdr>
        </w:div>
        <w:div w:id="623972691">
          <w:marLeft w:val="0"/>
          <w:marRight w:val="0"/>
          <w:marTop w:val="0"/>
          <w:marBottom w:val="0"/>
          <w:divBdr>
            <w:top w:val="none" w:sz="0" w:space="0" w:color="auto"/>
            <w:left w:val="none" w:sz="0" w:space="0" w:color="auto"/>
            <w:bottom w:val="none" w:sz="0" w:space="0" w:color="auto"/>
            <w:right w:val="none" w:sz="0" w:space="0" w:color="auto"/>
          </w:divBdr>
        </w:div>
        <w:div w:id="565187183">
          <w:marLeft w:val="0"/>
          <w:marRight w:val="0"/>
          <w:marTop w:val="0"/>
          <w:marBottom w:val="0"/>
          <w:divBdr>
            <w:top w:val="none" w:sz="0" w:space="0" w:color="auto"/>
            <w:left w:val="none" w:sz="0" w:space="0" w:color="auto"/>
            <w:bottom w:val="none" w:sz="0" w:space="0" w:color="auto"/>
            <w:right w:val="none" w:sz="0" w:space="0" w:color="auto"/>
          </w:divBdr>
        </w:div>
        <w:div w:id="914389777">
          <w:marLeft w:val="0"/>
          <w:marRight w:val="0"/>
          <w:marTop w:val="0"/>
          <w:marBottom w:val="0"/>
          <w:divBdr>
            <w:top w:val="none" w:sz="0" w:space="0" w:color="auto"/>
            <w:left w:val="none" w:sz="0" w:space="0" w:color="auto"/>
            <w:bottom w:val="none" w:sz="0" w:space="0" w:color="auto"/>
            <w:right w:val="none" w:sz="0" w:space="0" w:color="auto"/>
          </w:divBdr>
        </w:div>
      </w:divsChild>
    </w:div>
    <w:div w:id="1669407973">
      <w:bodyDiv w:val="1"/>
      <w:marLeft w:val="0"/>
      <w:marRight w:val="0"/>
      <w:marTop w:val="0"/>
      <w:marBottom w:val="0"/>
      <w:divBdr>
        <w:top w:val="none" w:sz="0" w:space="0" w:color="auto"/>
        <w:left w:val="none" w:sz="0" w:space="0" w:color="auto"/>
        <w:bottom w:val="none" w:sz="0" w:space="0" w:color="auto"/>
        <w:right w:val="none" w:sz="0" w:space="0" w:color="auto"/>
      </w:divBdr>
    </w:div>
    <w:div w:id="1983538081">
      <w:bodyDiv w:val="1"/>
      <w:marLeft w:val="0"/>
      <w:marRight w:val="0"/>
      <w:marTop w:val="0"/>
      <w:marBottom w:val="0"/>
      <w:divBdr>
        <w:top w:val="none" w:sz="0" w:space="0" w:color="auto"/>
        <w:left w:val="none" w:sz="0" w:space="0" w:color="auto"/>
        <w:bottom w:val="none" w:sz="0" w:space="0" w:color="auto"/>
        <w:right w:val="none" w:sz="0" w:space="0" w:color="auto"/>
      </w:divBdr>
    </w:div>
    <w:div w:id="20161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3271</Words>
  <Characters>18648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21876</CharactersWithSpaces>
  <SharedDoc>false</SharedDoc>
  <HLinks>
    <vt:vector size="6" baseType="variant">
      <vt:variant>
        <vt:i4>4587611</vt:i4>
      </vt:variant>
      <vt:variant>
        <vt:i4>0</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2</cp:revision>
  <cp:lastPrinted>2014-01-31T22:04:00Z</cp:lastPrinted>
  <dcterms:created xsi:type="dcterms:W3CDTF">2014-10-31T21:49:00Z</dcterms:created>
  <dcterms:modified xsi:type="dcterms:W3CDTF">2014-10-31T21:49:00Z</dcterms:modified>
</cp:coreProperties>
</file>