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2A44C9A0" w14:textId="77777777" w:rsidTr="008E490E">
        <w:trPr>
          <w:trHeight w:val="1008"/>
        </w:trPr>
        <w:tc>
          <w:tcPr>
            <w:tcW w:w="1980" w:type="dxa"/>
            <w:shd w:val="clear" w:color="auto" w:fill="385623"/>
            <w:vAlign w:val="center"/>
          </w:tcPr>
          <w:p w14:paraId="629CCE6C" w14:textId="77777777" w:rsidR="00790BCC" w:rsidRPr="00D31F4D" w:rsidRDefault="00741AA8" w:rsidP="00D31F4D">
            <w:pPr>
              <w:pStyle w:val="Header-banner"/>
              <w:rPr>
                <w:rFonts w:asciiTheme="minorHAnsi" w:hAnsiTheme="minorHAnsi"/>
              </w:rPr>
            </w:pPr>
            <w:r>
              <w:rPr>
                <w:rFonts w:asciiTheme="minorHAnsi" w:hAnsiTheme="minorHAnsi"/>
              </w:rPr>
              <w:t>11.4.1</w:t>
            </w:r>
          </w:p>
        </w:tc>
        <w:tc>
          <w:tcPr>
            <w:tcW w:w="7380" w:type="dxa"/>
            <w:shd w:val="clear" w:color="auto" w:fill="76923C"/>
            <w:vAlign w:val="center"/>
          </w:tcPr>
          <w:p w14:paraId="34A7F3E8" w14:textId="45F7E055" w:rsidR="00790BCC" w:rsidRPr="00D31F4D" w:rsidRDefault="00F43894" w:rsidP="00D31F4D">
            <w:pPr>
              <w:pStyle w:val="Header2banner"/>
              <w:rPr>
                <w:rFonts w:asciiTheme="minorHAnsi" w:hAnsiTheme="minorHAnsi"/>
              </w:rPr>
            </w:pPr>
            <w:r>
              <w:rPr>
                <w:rFonts w:asciiTheme="minorHAnsi" w:hAnsiTheme="minorHAnsi"/>
              </w:rPr>
              <w:t>Lesson 4</w:t>
            </w:r>
          </w:p>
        </w:tc>
      </w:tr>
    </w:tbl>
    <w:p w14:paraId="2BF7B766" w14:textId="77777777" w:rsidR="00790BCC" w:rsidRPr="00790BCC" w:rsidRDefault="00790BCC" w:rsidP="00D31F4D">
      <w:pPr>
        <w:pStyle w:val="Heading1"/>
      </w:pPr>
      <w:r w:rsidRPr="004724DD">
        <w:t>Introduction</w:t>
      </w:r>
    </w:p>
    <w:p w14:paraId="5B204F10" w14:textId="05ACC7C0" w:rsidR="00ED14C3" w:rsidRDefault="00741AA8" w:rsidP="00D31F4D">
      <w:r>
        <w:t xml:space="preserve">In this lesson, </w:t>
      </w:r>
      <w:r w:rsidR="009D70AD">
        <w:t xml:space="preserve">students </w:t>
      </w:r>
      <w:r w:rsidR="00554874">
        <w:t xml:space="preserve">prepare </w:t>
      </w:r>
      <w:r w:rsidR="009D70AD">
        <w:t>for the Mid-Unit Assessment in the following lesson</w:t>
      </w:r>
      <w:r w:rsidR="00554874">
        <w:t xml:space="preserve"> </w:t>
      </w:r>
      <w:r w:rsidR="009D70AD">
        <w:t>by engaging in an evidence-based discussion analyzing Ti</w:t>
      </w:r>
      <w:r w:rsidR="000F12BB">
        <w:t>m O’Brien’s “On the Rainy River</w:t>
      </w:r>
      <w:r w:rsidR="009D70AD">
        <w:t>”</w:t>
      </w:r>
      <w:r w:rsidR="000F12BB">
        <w:t xml:space="preserve"> from </w:t>
      </w:r>
      <w:r w:rsidR="000F12BB">
        <w:rPr>
          <w:i/>
        </w:rPr>
        <w:t>The Things They Carried</w:t>
      </w:r>
      <w:r w:rsidR="000F12BB">
        <w:t>.</w:t>
      </w:r>
      <w:r w:rsidR="009D70AD">
        <w:t xml:space="preserve"> This lesson provides the first opportunity for students to discuss the </w:t>
      </w:r>
      <w:r w:rsidR="00421EBC">
        <w:t>story in its entirety</w:t>
      </w:r>
      <w:r w:rsidR="009D70AD">
        <w:t>, specifically focusing on how certain parts of the text contribute to</w:t>
      </w:r>
      <w:r w:rsidR="00554874">
        <w:t xml:space="preserve"> the overall</w:t>
      </w:r>
      <w:r w:rsidR="009D70AD">
        <w:t xml:space="preserve"> meaning and structure</w:t>
      </w:r>
      <w:r w:rsidR="00554874">
        <w:t xml:space="preserve"> of the text</w:t>
      </w:r>
      <w:r w:rsidR="009D70AD">
        <w:t>. Student</w:t>
      </w:r>
      <w:r w:rsidR="00F560E6">
        <w:t xml:space="preserve"> learning is assessed via </w:t>
      </w:r>
      <w:r w:rsidR="00BF5354">
        <w:t xml:space="preserve">peer assessment of </w:t>
      </w:r>
      <w:r w:rsidR="008F3079">
        <w:t>a small-group discussion at the end of the lesson</w:t>
      </w:r>
      <w:r w:rsidR="007A545D">
        <w:t xml:space="preserve">: </w:t>
      </w:r>
      <w:r w:rsidR="009D70AD">
        <w:t xml:space="preserve">Choose a specific part of the text and analyze how it contributes to overall structure and meaning in the text. </w:t>
      </w:r>
    </w:p>
    <w:p w14:paraId="0EABF2CB" w14:textId="01861187" w:rsidR="00FA55DC" w:rsidRPr="00790BCC" w:rsidRDefault="00FA55DC" w:rsidP="00D31F4D">
      <w:r>
        <w:t>For homework, students</w:t>
      </w:r>
      <w:r w:rsidR="005977F7">
        <w:t xml:space="preserve"> review and expand</w:t>
      </w:r>
      <w:r w:rsidR="00673BDE">
        <w:t xml:space="preserve"> their notes</w:t>
      </w:r>
      <w:r w:rsidR="000F12BB">
        <w:t>, t</w:t>
      </w:r>
      <w:r w:rsidR="00F17D98">
        <w:t>ools, and annotations</w:t>
      </w:r>
      <w:r w:rsidR="005977F7">
        <w:t xml:space="preserve"> from “On the Rainy River” in preparation </w:t>
      </w:r>
      <w:r>
        <w:t>for the Mid-Unit Assessment</w:t>
      </w:r>
      <w:r w:rsidR="005977F7">
        <w:t xml:space="preserve"> in the following lesson.</w:t>
      </w:r>
    </w:p>
    <w:p w14:paraId="758E1595" w14:textId="77777777" w:rsidR="00790BCC" w:rsidRPr="00790BCC" w:rsidRDefault="00790BCC" w:rsidP="00D31F4D">
      <w:pPr>
        <w:pStyle w:val="Heading1"/>
      </w:pPr>
      <w:r w:rsidRPr="004724DD">
        <w:t>Standards</w:t>
      </w:r>
      <w:r w:rsidRPr="00790BCC">
        <w:t xml:space="preserve">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40"/>
        <w:gridCol w:w="7920"/>
      </w:tblGrid>
      <w:tr w:rsidR="00790BCC" w:rsidRPr="00790BCC" w14:paraId="11121FAA" w14:textId="77777777" w:rsidTr="008E490E">
        <w:tc>
          <w:tcPr>
            <w:tcW w:w="9360" w:type="dxa"/>
            <w:gridSpan w:val="2"/>
            <w:shd w:val="clear" w:color="auto" w:fill="76923C"/>
          </w:tcPr>
          <w:p w14:paraId="66DEEC0A" w14:textId="77777777" w:rsidR="00790BCC" w:rsidRPr="00790BCC" w:rsidRDefault="00790BCC" w:rsidP="007017EB">
            <w:pPr>
              <w:pStyle w:val="TableHeaders"/>
            </w:pPr>
            <w:r w:rsidRPr="00790BCC">
              <w:t>Assessed Standard(s)</w:t>
            </w:r>
          </w:p>
        </w:tc>
      </w:tr>
      <w:tr w:rsidR="00790BCC" w:rsidRPr="00790BCC" w14:paraId="6B93CA9D" w14:textId="77777777" w:rsidTr="002E007E">
        <w:tc>
          <w:tcPr>
            <w:tcW w:w="1440" w:type="dxa"/>
          </w:tcPr>
          <w:p w14:paraId="7F558309" w14:textId="55DE6D3F" w:rsidR="00790BCC" w:rsidRPr="00790BCC" w:rsidRDefault="00F43894" w:rsidP="00D31F4D">
            <w:pPr>
              <w:pStyle w:val="TableText"/>
            </w:pPr>
            <w:r>
              <w:t>RL.11-12.5</w:t>
            </w:r>
          </w:p>
        </w:tc>
        <w:tc>
          <w:tcPr>
            <w:tcW w:w="7920" w:type="dxa"/>
          </w:tcPr>
          <w:p w14:paraId="0E90FF03" w14:textId="63FB9321" w:rsidR="00790BCC" w:rsidRPr="00790BCC" w:rsidRDefault="009D70AD" w:rsidP="00FA55DC">
            <w:pPr>
              <w:pStyle w:val="TableText"/>
            </w:pPr>
            <w:r w:rsidRPr="00021D28">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7A545D" w:rsidRPr="00790BCC" w14:paraId="348EA331" w14:textId="77777777" w:rsidTr="002E007E">
        <w:tc>
          <w:tcPr>
            <w:tcW w:w="1440" w:type="dxa"/>
          </w:tcPr>
          <w:p w14:paraId="57167B5E" w14:textId="14BA879F" w:rsidR="007A545D" w:rsidRPr="002E007E" w:rsidRDefault="007A545D" w:rsidP="009D2401">
            <w:pPr>
              <w:pStyle w:val="TableText"/>
              <w:rPr>
                <w:spacing w:val="-6"/>
              </w:rPr>
            </w:pPr>
            <w:r w:rsidRPr="002E007E">
              <w:rPr>
                <w:spacing w:val="-6"/>
              </w:rPr>
              <w:t>SL.11-12.1.a</w:t>
            </w:r>
            <w:r w:rsidR="009D2401" w:rsidRPr="002E007E">
              <w:rPr>
                <w:spacing w:val="-6"/>
              </w:rPr>
              <w:t>, c</w:t>
            </w:r>
          </w:p>
        </w:tc>
        <w:tc>
          <w:tcPr>
            <w:tcW w:w="7920" w:type="dxa"/>
          </w:tcPr>
          <w:p w14:paraId="1C2C036B" w14:textId="4D4DE854" w:rsidR="007A545D" w:rsidRDefault="007A545D" w:rsidP="007A545D">
            <w:pPr>
              <w:pStyle w:val="TableText"/>
            </w:pPr>
            <w:r>
              <w:t xml:space="preserve">Initiate and participate effectively in a range of collaborative discussions (one-on-one, in groups, and teacher-led) with diverse partners on </w:t>
            </w:r>
            <w:r w:rsidRPr="00F560E6">
              <w:rPr>
                <w:i/>
              </w:rPr>
              <w:t>grades 11–12 topics, texts, and issues</w:t>
            </w:r>
            <w:r>
              <w:t>, building on others’ ideas and expressing their own clearly and persuasively.</w:t>
            </w:r>
          </w:p>
          <w:p w14:paraId="4620BA7C" w14:textId="0128CCFB" w:rsidR="009D2401" w:rsidRPr="00F42BF8" w:rsidRDefault="007A545D" w:rsidP="00F42BF8">
            <w:pPr>
              <w:pStyle w:val="SubStandard"/>
            </w:pPr>
            <w:r w:rsidRPr="009D2401">
              <w:t>Come to discussions prepared, having read and researched material under study; explicitly draw on that preparation by referring to evidence from texts and other research on the topic or issue to stimulate a thoughtful, well-reasoned exchange of ideas.</w:t>
            </w:r>
            <w:r w:rsidR="007E5FEA" w:rsidRPr="00F42BF8">
              <w:t xml:space="preserve"> </w:t>
            </w:r>
          </w:p>
          <w:p w14:paraId="1487B099" w14:textId="3B1605A1" w:rsidR="007A545D" w:rsidRPr="00021D28" w:rsidRDefault="007A545D" w:rsidP="00F560E6">
            <w:pPr>
              <w:pStyle w:val="SubStandard"/>
              <w:numPr>
                <w:ilvl w:val="0"/>
                <w:numId w:val="21"/>
              </w:numPr>
            </w:pPr>
            <w:r w:rsidRPr="009D2401">
              <w:t xml:space="preserve">Propel conversations by posing and responding to questions that probe </w:t>
            </w:r>
            <w:r w:rsidR="007E5FEA" w:rsidRPr="009D2401">
              <w:t xml:space="preserve">reasoning  </w:t>
            </w:r>
            <w:r w:rsidR="009D2401">
              <w:t xml:space="preserve">         </w:t>
            </w:r>
            <w:r w:rsidRPr="009D2401">
              <w:t>and evidence; ensure a hearing for a full range of positions on a topic or issue;</w:t>
            </w:r>
            <w:r w:rsidR="007E5FEA" w:rsidRPr="00F42BF8">
              <w:t xml:space="preserve"> </w:t>
            </w:r>
            <w:r w:rsidRPr="00F42BF8">
              <w:t>clarify, verify, or challenge ideas and conclusions; and promote divergent and</w:t>
            </w:r>
            <w:r w:rsidR="007E5FEA" w:rsidRPr="002831A5">
              <w:t xml:space="preserve"> </w:t>
            </w:r>
            <w:r w:rsidRPr="002831A5">
              <w:t>creative perspectives.</w:t>
            </w:r>
          </w:p>
        </w:tc>
      </w:tr>
      <w:tr w:rsidR="00790BCC" w:rsidRPr="00790BCC" w14:paraId="4459B4EF" w14:textId="77777777" w:rsidTr="008E490E">
        <w:tc>
          <w:tcPr>
            <w:tcW w:w="9360" w:type="dxa"/>
            <w:gridSpan w:val="2"/>
            <w:shd w:val="clear" w:color="auto" w:fill="76923C"/>
          </w:tcPr>
          <w:p w14:paraId="5980FC3E" w14:textId="67F9308C" w:rsidR="00790BCC" w:rsidRPr="00790BCC" w:rsidRDefault="00790BCC" w:rsidP="000F12BB">
            <w:pPr>
              <w:pStyle w:val="TableHeaders"/>
              <w:keepNext/>
            </w:pPr>
            <w:r w:rsidRPr="00790BCC">
              <w:lastRenderedPageBreak/>
              <w:t>Addressed Standard(s)</w:t>
            </w:r>
          </w:p>
        </w:tc>
      </w:tr>
      <w:tr w:rsidR="00790BCC" w:rsidRPr="00790BCC" w14:paraId="7DFD6E37" w14:textId="77777777" w:rsidTr="002E007E">
        <w:tc>
          <w:tcPr>
            <w:tcW w:w="1440" w:type="dxa"/>
          </w:tcPr>
          <w:p w14:paraId="407F2092" w14:textId="77777777" w:rsidR="00790BCC" w:rsidRPr="00790BCC" w:rsidRDefault="00FA55DC" w:rsidP="007017EB">
            <w:pPr>
              <w:pStyle w:val="TableText"/>
            </w:pPr>
            <w:r>
              <w:t>W.11-12.9.a</w:t>
            </w:r>
          </w:p>
        </w:tc>
        <w:tc>
          <w:tcPr>
            <w:tcW w:w="7920" w:type="dxa"/>
            <w:tcBorders>
              <w:bottom w:val="single" w:sz="4" w:space="0" w:color="auto"/>
            </w:tcBorders>
          </w:tcPr>
          <w:p w14:paraId="0F347D4E" w14:textId="77777777" w:rsidR="00790BCC" w:rsidRDefault="00FA55DC" w:rsidP="00D31F4D">
            <w:pPr>
              <w:pStyle w:val="TableText"/>
            </w:pPr>
            <w:r>
              <w:t>Draw</w:t>
            </w:r>
            <w:r w:rsidR="00C66C0A">
              <w:t xml:space="preserve"> evidence from literary or informational texts to support analysis, reflection, and research. </w:t>
            </w:r>
          </w:p>
          <w:p w14:paraId="68116285" w14:textId="2F4F839A" w:rsidR="00C66C0A" w:rsidRPr="00790BCC" w:rsidRDefault="00C66C0A" w:rsidP="00DB7EF9">
            <w:pPr>
              <w:pStyle w:val="SubStandard"/>
              <w:numPr>
                <w:ilvl w:val="0"/>
                <w:numId w:val="22"/>
              </w:numPr>
              <w:ind w:left="363" w:hanging="363"/>
            </w:pPr>
            <w:r>
              <w:t xml:space="preserve">Apply </w:t>
            </w:r>
            <w:r w:rsidRPr="00C66C0A">
              <w:rPr>
                <w:i/>
              </w:rPr>
              <w:t>grades 11</w:t>
            </w:r>
            <w:r w:rsidR="00ED14C3">
              <w:rPr>
                <w:i/>
              </w:rPr>
              <w:t>–</w:t>
            </w:r>
            <w:r w:rsidRPr="00C66C0A">
              <w:rPr>
                <w:i/>
              </w:rPr>
              <w:t>12 Reading standards</w:t>
            </w:r>
            <w:r>
              <w:t xml:space="preserve"> to literature (e.g., “Demonstrate knowledge of eighteenth-, nineteenth- and early-twentieth-century foundational works of American literature, including how two or more texts from the same period treat similar themes or topics”). </w:t>
            </w:r>
          </w:p>
        </w:tc>
      </w:tr>
    </w:tbl>
    <w:p w14:paraId="7E7A3561" w14:textId="6BB7D799" w:rsidR="00790BCC" w:rsidRPr="00790BCC" w:rsidRDefault="00790BCC" w:rsidP="00D31F4D">
      <w:pPr>
        <w:pStyle w:val="Heading1"/>
      </w:pPr>
      <w:r w:rsidRPr="004724DD">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1AC8B6FA" w14:textId="77777777" w:rsidTr="008E490E">
        <w:tc>
          <w:tcPr>
            <w:tcW w:w="9360" w:type="dxa"/>
            <w:shd w:val="clear" w:color="auto" w:fill="76923C"/>
          </w:tcPr>
          <w:p w14:paraId="315EBEC1" w14:textId="77777777" w:rsidR="00790BCC" w:rsidRPr="00790BCC" w:rsidRDefault="00790BCC" w:rsidP="007017EB">
            <w:pPr>
              <w:pStyle w:val="TableHeaders"/>
            </w:pPr>
            <w:r w:rsidRPr="00790BCC">
              <w:t>Assessment(s)</w:t>
            </w:r>
          </w:p>
        </w:tc>
      </w:tr>
      <w:tr w:rsidR="00790BCC" w:rsidRPr="00790BCC" w14:paraId="2A141E98" w14:textId="77777777" w:rsidTr="008E490E">
        <w:tc>
          <w:tcPr>
            <w:tcW w:w="9360" w:type="dxa"/>
            <w:tcBorders>
              <w:top w:val="single" w:sz="4" w:space="0" w:color="auto"/>
              <w:left w:val="single" w:sz="4" w:space="0" w:color="auto"/>
              <w:bottom w:val="single" w:sz="4" w:space="0" w:color="auto"/>
              <w:right w:val="single" w:sz="4" w:space="0" w:color="auto"/>
            </w:tcBorders>
          </w:tcPr>
          <w:p w14:paraId="72501DC1" w14:textId="4D608E17" w:rsidR="00C10DE9" w:rsidRDefault="00B344E8" w:rsidP="00B344E8">
            <w:pPr>
              <w:pStyle w:val="TableText"/>
            </w:pPr>
            <w:r>
              <w:t xml:space="preserve">Student learning is assessed </w:t>
            </w:r>
            <w:r w:rsidR="007A545D">
              <w:t xml:space="preserve">via a small-group discussion at the end of the lesson. Students discuss the following prompt, citing textual evidence to support analysis and inferences drawn from the text. </w:t>
            </w:r>
          </w:p>
          <w:p w14:paraId="3CD2A323" w14:textId="77777777" w:rsidR="00B344E8" w:rsidRPr="00E9283B" w:rsidRDefault="00B344E8" w:rsidP="00E9283B">
            <w:pPr>
              <w:pStyle w:val="BulletedList"/>
            </w:pPr>
            <w:r w:rsidRPr="00E9283B">
              <w:t>Choose a specific part of the text and analyze how it contributes to the overall meaning and structure of the text.</w:t>
            </w:r>
          </w:p>
          <w:p w14:paraId="6E180210" w14:textId="5A5BDCED" w:rsidR="007A545D" w:rsidRPr="00790BCC" w:rsidRDefault="007A545D" w:rsidP="00BC2816">
            <w:pPr>
              <w:pStyle w:val="IN"/>
            </w:pPr>
            <w:r>
              <w:t xml:space="preserve">This </w:t>
            </w:r>
            <w:r w:rsidR="00BC2816">
              <w:t xml:space="preserve">assessment will be evaluated </w:t>
            </w:r>
            <w:r>
              <w:t xml:space="preserve">using the </w:t>
            </w:r>
            <w:r w:rsidR="00886F0A">
              <w:t xml:space="preserve">relevant portions of the </w:t>
            </w:r>
            <w:r w:rsidR="00877244">
              <w:t xml:space="preserve">11.4 </w:t>
            </w:r>
            <w:r>
              <w:t>Speaking and Listening Rubric.</w:t>
            </w:r>
          </w:p>
        </w:tc>
      </w:tr>
      <w:tr w:rsidR="00790BCC" w:rsidRPr="00790BCC" w14:paraId="0306C819" w14:textId="77777777" w:rsidTr="008E490E">
        <w:tc>
          <w:tcPr>
            <w:tcW w:w="9360" w:type="dxa"/>
            <w:shd w:val="clear" w:color="auto" w:fill="76923C"/>
          </w:tcPr>
          <w:p w14:paraId="60E66D95" w14:textId="77777777" w:rsidR="00790BCC" w:rsidRPr="00790BCC" w:rsidRDefault="00790BCC" w:rsidP="007017EB">
            <w:pPr>
              <w:pStyle w:val="TableHeaders"/>
            </w:pPr>
            <w:r w:rsidRPr="00790BCC">
              <w:t>High Performance Response(s)</w:t>
            </w:r>
          </w:p>
        </w:tc>
      </w:tr>
      <w:tr w:rsidR="00790BCC" w:rsidRPr="00790BCC" w14:paraId="00A1A87E" w14:textId="77777777" w:rsidTr="008E490E">
        <w:tc>
          <w:tcPr>
            <w:tcW w:w="9360" w:type="dxa"/>
          </w:tcPr>
          <w:p w14:paraId="363707D4" w14:textId="7CEF40B4" w:rsidR="00790BCC" w:rsidRDefault="00790BCC" w:rsidP="00D31F4D">
            <w:pPr>
              <w:pStyle w:val="TableText"/>
            </w:pPr>
            <w:r w:rsidRPr="00790BCC">
              <w:t>A High Performance Response should:</w:t>
            </w:r>
          </w:p>
          <w:p w14:paraId="3D6124AB" w14:textId="335EE72C" w:rsidR="00457BD9" w:rsidRDefault="00554874" w:rsidP="00E9283B">
            <w:pPr>
              <w:pStyle w:val="BulletedList"/>
            </w:pPr>
            <w:r>
              <w:t>Determine</w:t>
            </w:r>
            <w:r w:rsidR="00B344E8">
              <w:t xml:space="preserve"> </w:t>
            </w:r>
            <w:r w:rsidR="007A545D">
              <w:t xml:space="preserve">a specific part of the text (e.g., </w:t>
            </w:r>
            <w:r w:rsidR="00757660">
              <w:t>T</w:t>
            </w:r>
            <w:r w:rsidR="00FF7BDA">
              <w:t>he</w:t>
            </w:r>
            <w:r w:rsidR="00683E70">
              <w:t xml:space="preserve"> story’s</w:t>
            </w:r>
            <w:r>
              <w:t xml:space="preserve"> introduction </w:t>
            </w:r>
            <w:r w:rsidR="00683E70">
              <w:t>in which</w:t>
            </w:r>
            <w:r>
              <w:t xml:space="preserve"> </w:t>
            </w:r>
            <w:r w:rsidR="00D27457">
              <w:t>the narrator</w:t>
            </w:r>
            <w:r w:rsidR="00866B8E">
              <w:t xml:space="preserve"> tells readers “This is one story I’ve never told before” (p. 37). </w:t>
            </w:r>
            <w:r w:rsidR="004D1CDC">
              <w:t>The narrator</w:t>
            </w:r>
            <w:r w:rsidR="00866B8E">
              <w:t xml:space="preserve"> describes how he has “had to live with </w:t>
            </w:r>
            <w:r w:rsidR="001863D4">
              <w:t>[his story]</w:t>
            </w:r>
            <w:r w:rsidR="00866B8E">
              <w:t xml:space="preserve">” for two decades and </w:t>
            </w:r>
            <w:r w:rsidR="009F1F50">
              <w:t xml:space="preserve">calls it </w:t>
            </w:r>
            <w:r w:rsidR="00866B8E">
              <w:t>a “confession” (p. 37). The narrator also identifies the reason he tells the story now</w:t>
            </w:r>
            <w:r w:rsidR="00CE69CA">
              <w:t xml:space="preserve"> </w:t>
            </w:r>
            <w:r w:rsidR="00D27457">
              <w:t>is</w:t>
            </w:r>
            <w:r w:rsidR="00CE69CA">
              <w:t xml:space="preserve"> a hope</w:t>
            </w:r>
            <w:r w:rsidR="00866B8E">
              <w:t xml:space="preserve"> </w:t>
            </w:r>
            <w:r w:rsidR="00CE69CA">
              <w:t>“</w:t>
            </w:r>
            <w:r w:rsidR="00866B8E">
              <w:t xml:space="preserve">to relieve at least some of the pressure on </w:t>
            </w:r>
            <w:r w:rsidR="00480050">
              <w:t xml:space="preserve">[his] </w:t>
            </w:r>
            <w:r w:rsidR="00866B8E">
              <w:t>dreams” (p. 37).</w:t>
            </w:r>
            <w:r w:rsidR="007A545D">
              <w:t>).</w:t>
            </w:r>
          </w:p>
          <w:p w14:paraId="5A85490B" w14:textId="6FF56652" w:rsidR="007A545D" w:rsidRDefault="007A545D" w:rsidP="00E9283B">
            <w:pPr>
              <w:pStyle w:val="BulletedList"/>
            </w:pPr>
            <w:r>
              <w:t>Analyze how this part of the text contributes to the overall meaning of the text (e.g.,</w:t>
            </w:r>
            <w:r w:rsidR="00866B8E">
              <w:t xml:space="preserve"> </w:t>
            </w:r>
            <w:r w:rsidR="007A1603">
              <w:t>O’Brien’s</w:t>
            </w:r>
            <w:r w:rsidR="00554874">
              <w:t xml:space="preserve"> introduction </w:t>
            </w:r>
            <w:r w:rsidR="00866B8E">
              <w:t>make</w:t>
            </w:r>
            <w:r w:rsidR="00FF7BDA">
              <w:t>s</w:t>
            </w:r>
            <w:r w:rsidR="00866B8E">
              <w:t xml:space="preserve"> readers aware of the story</w:t>
            </w:r>
            <w:r w:rsidR="00683E70">
              <w:t>’s importance to</w:t>
            </w:r>
            <w:r w:rsidR="00866B8E">
              <w:t xml:space="preserve"> </w:t>
            </w:r>
            <w:r w:rsidR="00941A07">
              <w:t>the narrator</w:t>
            </w:r>
            <w:r w:rsidR="00683E70">
              <w:t xml:space="preserve"> or the “confession” the narrator</w:t>
            </w:r>
            <w:r w:rsidR="00866B8E">
              <w:t xml:space="preserve"> is about to tell</w:t>
            </w:r>
            <w:r w:rsidR="00962306">
              <w:t xml:space="preserve"> (p. 37)</w:t>
            </w:r>
            <w:r w:rsidR="00866B8E">
              <w:t xml:space="preserve">. The narrator </w:t>
            </w:r>
            <w:r w:rsidR="00683E70">
              <w:t>confesses</w:t>
            </w:r>
            <w:r w:rsidR="00866B8E">
              <w:t xml:space="preserve"> a long-kept secret for the first time, a story </w:t>
            </w:r>
            <w:r w:rsidR="00FD5F9A">
              <w:t xml:space="preserve">in which </w:t>
            </w:r>
            <w:r w:rsidR="00866B8E">
              <w:t>he is not the “secret hero” who has a “secret reservoir of courage</w:t>
            </w:r>
            <w:r w:rsidR="00962306">
              <w:t>,</w:t>
            </w:r>
            <w:r w:rsidR="00866B8E">
              <w:t>”</w:t>
            </w:r>
            <w:r w:rsidR="00D17944">
              <w:t xml:space="preserve"> giv</w:t>
            </w:r>
            <w:r w:rsidR="00540ABB">
              <w:t>ing</w:t>
            </w:r>
            <w:r w:rsidR="00D17944">
              <w:t xml:space="preserve"> the impression that the story will be about his personal </w:t>
            </w:r>
            <w:r w:rsidR="00866B8E">
              <w:t>lack of heroism or courage</w:t>
            </w:r>
            <w:r w:rsidR="00962306">
              <w:t xml:space="preserve"> (p. 37)</w:t>
            </w:r>
            <w:r w:rsidR="00866B8E">
              <w:t>.)</w:t>
            </w:r>
            <w:r>
              <w:t>.</w:t>
            </w:r>
          </w:p>
          <w:p w14:paraId="0A8DCC9C" w14:textId="0F233F18" w:rsidR="007A545D" w:rsidRDefault="007A545D" w:rsidP="00E9283B">
            <w:pPr>
              <w:pStyle w:val="BulletedList"/>
            </w:pPr>
            <w:r>
              <w:t xml:space="preserve">Analyze how this part of the text contributes to the overall structure of the text (e.g., </w:t>
            </w:r>
            <w:r w:rsidR="00540ABB">
              <w:t xml:space="preserve">Through the introduction, </w:t>
            </w:r>
            <w:r w:rsidR="007A1603">
              <w:t xml:space="preserve">O’Brien establishes the story as a </w:t>
            </w:r>
            <w:r w:rsidR="00AC7514">
              <w:t>reflection</w:t>
            </w:r>
            <w:r w:rsidR="00866B8E">
              <w:t xml:space="preserve">. </w:t>
            </w:r>
            <w:r w:rsidR="00D17944">
              <w:t>T</w:t>
            </w:r>
            <w:r w:rsidR="00866B8E">
              <w:t>he narrator describes wanting “to relieve at least some of the pressure on [his] dreams</w:t>
            </w:r>
            <w:r w:rsidR="00962306">
              <w:t>,</w:t>
            </w:r>
            <w:r w:rsidR="00866B8E">
              <w:t xml:space="preserve">” </w:t>
            </w:r>
            <w:r w:rsidR="00D17944">
              <w:t>indicat</w:t>
            </w:r>
            <w:r w:rsidR="00D27457">
              <w:t>ing</w:t>
            </w:r>
            <w:r w:rsidR="00D17944">
              <w:t xml:space="preserve"> </w:t>
            </w:r>
            <w:r w:rsidR="00D27457">
              <w:t xml:space="preserve">he needs </w:t>
            </w:r>
            <w:r w:rsidR="00D17944">
              <w:t>validation</w:t>
            </w:r>
            <w:r w:rsidR="00540ABB">
              <w:t xml:space="preserve"> or at least </w:t>
            </w:r>
            <w:r w:rsidR="00603A54">
              <w:t>a break</w:t>
            </w:r>
            <w:r w:rsidR="00540ABB">
              <w:t xml:space="preserve"> from the burden of </w:t>
            </w:r>
            <w:r w:rsidR="00603A54">
              <w:t xml:space="preserve">his past </w:t>
            </w:r>
            <w:r w:rsidR="00540ABB">
              <w:t>shame</w:t>
            </w:r>
            <w:r w:rsidR="00603A54">
              <w:t>, which he hopes to attain by</w:t>
            </w:r>
            <w:r w:rsidR="00D17944">
              <w:t xml:space="preserve"> confiding in readers via </w:t>
            </w:r>
            <w:r w:rsidR="00540ABB">
              <w:t>his</w:t>
            </w:r>
            <w:r w:rsidR="00D17944">
              <w:t xml:space="preserve"> confession</w:t>
            </w:r>
            <w:r w:rsidR="00962306">
              <w:t xml:space="preserve"> (p. 37)</w:t>
            </w:r>
            <w:r w:rsidR="00D17944">
              <w:t>.</w:t>
            </w:r>
            <w:r>
              <w:t xml:space="preserve">). </w:t>
            </w:r>
          </w:p>
          <w:p w14:paraId="783411F4" w14:textId="50801988" w:rsidR="007A545D" w:rsidRPr="00790BCC" w:rsidRDefault="007A545D" w:rsidP="00E9283B">
            <w:pPr>
              <w:pStyle w:val="BulletedList"/>
            </w:pPr>
            <w:r>
              <w:lastRenderedPageBreak/>
              <w:t xml:space="preserve">Adhere to the criteria of the </w:t>
            </w:r>
            <w:r w:rsidR="00962306">
              <w:t xml:space="preserve">11.4 </w:t>
            </w:r>
            <w:r>
              <w:t>Speaking and Listening Rubric and Checklist.</w:t>
            </w:r>
          </w:p>
        </w:tc>
      </w:tr>
    </w:tbl>
    <w:p w14:paraId="54C99E26" w14:textId="77777777" w:rsidR="00790BCC" w:rsidRPr="00790BCC" w:rsidRDefault="00790BCC" w:rsidP="00D31F4D">
      <w:pPr>
        <w:pStyle w:val="Heading1"/>
      </w:pPr>
      <w:r w:rsidRPr="004724DD">
        <w:lastRenderedPageBreak/>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7F464646" w14:textId="77777777" w:rsidTr="008E490E">
        <w:tc>
          <w:tcPr>
            <w:tcW w:w="9360" w:type="dxa"/>
            <w:shd w:val="clear" w:color="auto" w:fill="76923C"/>
          </w:tcPr>
          <w:p w14:paraId="55C4F05F" w14:textId="77777777" w:rsidR="00790BCC" w:rsidRPr="00790BCC" w:rsidRDefault="00790BCC" w:rsidP="00D31F4D">
            <w:pPr>
              <w:pStyle w:val="TableHeaders"/>
            </w:pPr>
            <w:r w:rsidRPr="00790BCC">
              <w:t>Vocabulary to provide directly (will not include extended instruction)</w:t>
            </w:r>
          </w:p>
        </w:tc>
      </w:tr>
      <w:tr w:rsidR="00790BCC" w:rsidRPr="00790BCC" w14:paraId="76D1D1B8" w14:textId="77777777" w:rsidTr="008E490E">
        <w:tc>
          <w:tcPr>
            <w:tcW w:w="9360" w:type="dxa"/>
          </w:tcPr>
          <w:p w14:paraId="4602DC7F" w14:textId="442BB523" w:rsidR="00790BCC" w:rsidRPr="00790BCC" w:rsidRDefault="001B0D07" w:rsidP="00E9283B">
            <w:pPr>
              <w:pStyle w:val="BulletedList"/>
            </w:pPr>
            <w:r>
              <w:t>None</w:t>
            </w:r>
            <w:r w:rsidR="008E490E">
              <w:t>.</w:t>
            </w:r>
            <w:r>
              <w:t>*</w:t>
            </w:r>
          </w:p>
        </w:tc>
      </w:tr>
      <w:tr w:rsidR="00790BCC" w:rsidRPr="00790BCC" w14:paraId="1EE786B3" w14:textId="77777777" w:rsidTr="008E490E">
        <w:tc>
          <w:tcPr>
            <w:tcW w:w="9360" w:type="dxa"/>
            <w:shd w:val="clear" w:color="auto" w:fill="76923C"/>
          </w:tcPr>
          <w:p w14:paraId="6A677B06" w14:textId="77777777" w:rsidR="00790BCC" w:rsidRPr="00790BCC" w:rsidRDefault="00790BCC" w:rsidP="00D31F4D">
            <w:pPr>
              <w:pStyle w:val="TableHeaders"/>
            </w:pPr>
            <w:r w:rsidRPr="00790BCC">
              <w:t>Vocabulary to teach (may include direct word work and/or questions)</w:t>
            </w:r>
          </w:p>
        </w:tc>
      </w:tr>
      <w:tr w:rsidR="00790BCC" w:rsidRPr="00790BCC" w14:paraId="03271E41" w14:textId="77777777" w:rsidTr="008E490E">
        <w:tc>
          <w:tcPr>
            <w:tcW w:w="9360" w:type="dxa"/>
          </w:tcPr>
          <w:p w14:paraId="33273B9F" w14:textId="79A615AE" w:rsidR="00790BCC" w:rsidRPr="00790BCC" w:rsidRDefault="001B0D07" w:rsidP="00E9283B">
            <w:pPr>
              <w:pStyle w:val="BulletedList"/>
            </w:pPr>
            <w:r>
              <w:t>None.*</w:t>
            </w:r>
          </w:p>
        </w:tc>
      </w:tr>
      <w:tr w:rsidR="00790BCC" w:rsidRPr="00790BCC" w14:paraId="029ACD64" w14:textId="77777777" w:rsidTr="008E490E">
        <w:tc>
          <w:tcPr>
            <w:tcW w:w="9360" w:type="dxa"/>
            <w:tcBorders>
              <w:top w:val="single" w:sz="4" w:space="0" w:color="auto"/>
              <w:left w:val="single" w:sz="4" w:space="0" w:color="auto"/>
              <w:bottom w:val="single" w:sz="4" w:space="0" w:color="auto"/>
              <w:right w:val="single" w:sz="4" w:space="0" w:color="auto"/>
            </w:tcBorders>
            <w:shd w:val="clear" w:color="auto" w:fill="76923C"/>
          </w:tcPr>
          <w:p w14:paraId="0EC04EC6"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554998D7" w14:textId="77777777" w:rsidTr="008E490E">
        <w:tc>
          <w:tcPr>
            <w:tcW w:w="9360" w:type="dxa"/>
            <w:tcBorders>
              <w:top w:val="single" w:sz="4" w:space="0" w:color="auto"/>
              <w:left w:val="single" w:sz="4" w:space="0" w:color="auto"/>
              <w:bottom w:val="single" w:sz="4" w:space="0" w:color="auto"/>
              <w:right w:val="single" w:sz="4" w:space="0" w:color="auto"/>
            </w:tcBorders>
          </w:tcPr>
          <w:p w14:paraId="07C61613" w14:textId="2E2E894A" w:rsidR="00790BCC" w:rsidRPr="00790BCC" w:rsidRDefault="001B0D07" w:rsidP="00E9283B">
            <w:pPr>
              <w:pStyle w:val="BulletedList"/>
            </w:pPr>
            <w:r>
              <w:t>None.*</w:t>
            </w:r>
          </w:p>
        </w:tc>
      </w:tr>
    </w:tbl>
    <w:p w14:paraId="6E8D627C" w14:textId="44FB37A5" w:rsidR="001B0D07" w:rsidRPr="00080329" w:rsidRDefault="001B0D07" w:rsidP="001B0D07">
      <w:pPr>
        <w:rPr>
          <w:sz w:val="18"/>
        </w:rPr>
      </w:pPr>
      <w:r w:rsidRPr="00080329">
        <w:rPr>
          <w:sz w:val="18"/>
        </w:rPr>
        <w:t>*Because this is not a close reading lesson, there is no specified vocabulary. However, in the process of returning to the text, students may uncover unfamiliar words. Teachers can guide students to make meaning of these words by following the protocols de</w:t>
      </w:r>
      <w:r w:rsidR="008F3079">
        <w:rPr>
          <w:sz w:val="18"/>
        </w:rPr>
        <w:t>scribed in 1e</w:t>
      </w:r>
      <w:r w:rsidRPr="00080329">
        <w:rPr>
          <w:sz w:val="18"/>
        </w:rPr>
        <w:t xml:space="preserve"> of this document</w:t>
      </w:r>
      <w:r w:rsidR="00877244">
        <w:rPr>
          <w:sz w:val="18"/>
        </w:rPr>
        <w:t>:</w:t>
      </w:r>
      <w:r w:rsidRPr="00080329">
        <w:rPr>
          <w:sz w:val="18"/>
        </w:rPr>
        <w:t xml:space="preserve"> </w:t>
      </w:r>
      <w:hyperlink r:id="rId8" w:history="1">
        <w:r w:rsidRPr="00877244">
          <w:rPr>
            <w:rStyle w:val="Hyperlink"/>
            <w:bCs/>
            <w:sz w:val="18"/>
          </w:rPr>
          <w:t>http://www.engageny.org/sites/default/files/resource/attachments/9-12_ela_prefatory_material.pdf</w:t>
        </w:r>
      </w:hyperlink>
      <w:r w:rsidRPr="00877244">
        <w:rPr>
          <w:rStyle w:val="Hyperlink"/>
          <w:bCs/>
          <w:color w:val="auto"/>
          <w:sz w:val="18"/>
          <w:u w:val="none"/>
        </w:rPr>
        <w:t>.</w:t>
      </w:r>
    </w:p>
    <w:p w14:paraId="03795AF3" w14:textId="77777777" w:rsidR="00790BCC" w:rsidRPr="00790BCC" w:rsidRDefault="00790BCC" w:rsidP="00D31F4D">
      <w:pPr>
        <w:pStyle w:val="Heading1"/>
      </w:pPr>
      <w:r w:rsidRPr="004724DD">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66ADE99E" w14:textId="77777777" w:rsidTr="008E490E">
        <w:tc>
          <w:tcPr>
            <w:tcW w:w="7650" w:type="dxa"/>
            <w:tcBorders>
              <w:bottom w:val="single" w:sz="4" w:space="0" w:color="auto"/>
            </w:tcBorders>
            <w:shd w:val="clear" w:color="auto" w:fill="76923C"/>
          </w:tcPr>
          <w:p w14:paraId="61A2C137"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3BDB49E0" w14:textId="77777777" w:rsidR="00790BCC" w:rsidRPr="00790BCC" w:rsidRDefault="00790BCC" w:rsidP="00D31F4D">
            <w:pPr>
              <w:pStyle w:val="TableHeaders"/>
            </w:pPr>
            <w:r w:rsidRPr="00790BCC">
              <w:t>% of Lesson</w:t>
            </w:r>
          </w:p>
        </w:tc>
      </w:tr>
      <w:tr w:rsidR="00790BCC" w:rsidRPr="00790BCC" w14:paraId="576D202C" w14:textId="77777777" w:rsidTr="008E490E">
        <w:trPr>
          <w:trHeight w:val="1313"/>
        </w:trPr>
        <w:tc>
          <w:tcPr>
            <w:tcW w:w="7650" w:type="dxa"/>
            <w:tcBorders>
              <w:bottom w:val="nil"/>
            </w:tcBorders>
          </w:tcPr>
          <w:p w14:paraId="38E84B09" w14:textId="77777777" w:rsidR="00790BCC" w:rsidRPr="00D31F4D" w:rsidRDefault="00790BCC" w:rsidP="00D31F4D">
            <w:pPr>
              <w:pStyle w:val="TableText"/>
              <w:rPr>
                <w:b/>
              </w:rPr>
            </w:pPr>
            <w:r w:rsidRPr="00D31F4D">
              <w:rPr>
                <w:b/>
              </w:rPr>
              <w:t>Standards &amp; Text:</w:t>
            </w:r>
          </w:p>
          <w:p w14:paraId="42935CAE" w14:textId="5AF7B675" w:rsidR="00790BCC" w:rsidRPr="00790BCC" w:rsidRDefault="001B0D07" w:rsidP="00E9283B">
            <w:pPr>
              <w:pStyle w:val="BulletedList"/>
            </w:pPr>
            <w:r>
              <w:t xml:space="preserve">Standards: </w:t>
            </w:r>
            <w:r w:rsidR="009D70AD">
              <w:t>RL.11-12.5</w:t>
            </w:r>
            <w:r w:rsidR="00D17944">
              <w:t>,</w:t>
            </w:r>
            <w:r w:rsidR="009D70AD">
              <w:t xml:space="preserve"> SL.11-12.1.a</w:t>
            </w:r>
            <w:r w:rsidR="00D17944">
              <w:t>, c,</w:t>
            </w:r>
            <w:r w:rsidR="009D70AD">
              <w:t xml:space="preserve"> W.11-12.9.a</w:t>
            </w:r>
          </w:p>
          <w:p w14:paraId="2A5752D5" w14:textId="35543676" w:rsidR="00790BCC" w:rsidRPr="00790BCC" w:rsidRDefault="001B0D07" w:rsidP="00E9283B">
            <w:pPr>
              <w:pStyle w:val="BulletedList"/>
            </w:pPr>
            <w:r>
              <w:t>Text: “On the Rainy River</w:t>
            </w:r>
            <w:r w:rsidR="00673BDE">
              <w:t>”</w:t>
            </w:r>
            <w:r w:rsidR="008F3079">
              <w:t xml:space="preserve"> from </w:t>
            </w:r>
            <w:r w:rsidR="008F3079">
              <w:rPr>
                <w:i/>
              </w:rPr>
              <w:t>The Things They Carried</w:t>
            </w:r>
            <w:r>
              <w:t xml:space="preserve"> by Tim O’</w:t>
            </w:r>
            <w:r w:rsidR="002E211E">
              <w:t>Brien</w:t>
            </w:r>
          </w:p>
        </w:tc>
        <w:tc>
          <w:tcPr>
            <w:tcW w:w="1705" w:type="dxa"/>
            <w:tcBorders>
              <w:bottom w:val="nil"/>
            </w:tcBorders>
          </w:tcPr>
          <w:p w14:paraId="73118420" w14:textId="77777777" w:rsidR="00790BCC" w:rsidRPr="00790BCC" w:rsidRDefault="00790BCC" w:rsidP="00790BCC"/>
          <w:p w14:paraId="0206BC29" w14:textId="77777777" w:rsidR="00790BCC" w:rsidRPr="00790BCC" w:rsidRDefault="00790BCC" w:rsidP="00790BCC">
            <w:pPr>
              <w:spacing w:after="60" w:line="240" w:lineRule="auto"/>
            </w:pPr>
          </w:p>
        </w:tc>
      </w:tr>
      <w:tr w:rsidR="00790BCC" w:rsidRPr="00790BCC" w14:paraId="65632069" w14:textId="77777777" w:rsidTr="008E490E">
        <w:tc>
          <w:tcPr>
            <w:tcW w:w="7650" w:type="dxa"/>
            <w:tcBorders>
              <w:top w:val="nil"/>
            </w:tcBorders>
          </w:tcPr>
          <w:p w14:paraId="1078296E" w14:textId="77777777" w:rsidR="00790BCC" w:rsidRPr="00D31F4D" w:rsidRDefault="00790BCC" w:rsidP="00D31F4D">
            <w:pPr>
              <w:pStyle w:val="TableText"/>
              <w:rPr>
                <w:b/>
              </w:rPr>
            </w:pPr>
            <w:r w:rsidRPr="00D31F4D">
              <w:rPr>
                <w:b/>
              </w:rPr>
              <w:t>Learning Sequence:</w:t>
            </w:r>
          </w:p>
          <w:p w14:paraId="6CDA2B96" w14:textId="77777777" w:rsidR="00790BCC" w:rsidRPr="00790BCC" w:rsidRDefault="00790BCC" w:rsidP="00D31F4D">
            <w:pPr>
              <w:pStyle w:val="NumberedList"/>
            </w:pPr>
            <w:r w:rsidRPr="00790BCC">
              <w:t>Introduction of Lesson Agenda</w:t>
            </w:r>
          </w:p>
          <w:p w14:paraId="08C71667" w14:textId="77777777" w:rsidR="00790BCC" w:rsidRPr="00790BCC" w:rsidRDefault="00790BCC" w:rsidP="00D31F4D">
            <w:pPr>
              <w:pStyle w:val="NumberedList"/>
            </w:pPr>
            <w:r w:rsidRPr="00790BCC">
              <w:t>Homework Accountability</w:t>
            </w:r>
          </w:p>
          <w:p w14:paraId="69D6D050" w14:textId="404ECEB5" w:rsidR="00790BCC" w:rsidRPr="00790BCC" w:rsidRDefault="00614F88" w:rsidP="001E2C34">
            <w:pPr>
              <w:pStyle w:val="NumberedList"/>
            </w:pPr>
            <w:r>
              <w:t>11.4.1 Mid-Unit Evidence Collection Tool</w:t>
            </w:r>
          </w:p>
          <w:p w14:paraId="71026D0B" w14:textId="5077C6D9" w:rsidR="00790BCC" w:rsidRPr="00790BCC" w:rsidRDefault="007A545D" w:rsidP="00D31F4D">
            <w:pPr>
              <w:pStyle w:val="NumberedList"/>
            </w:pPr>
            <w:r>
              <w:t>Small</w:t>
            </w:r>
            <w:r w:rsidR="00480050">
              <w:t>-</w:t>
            </w:r>
            <w:r>
              <w:t>Group Discussion</w:t>
            </w:r>
          </w:p>
          <w:p w14:paraId="051E32FD" w14:textId="77777777" w:rsidR="00790BCC" w:rsidRPr="00790BCC" w:rsidRDefault="00790BCC" w:rsidP="00D31F4D">
            <w:pPr>
              <w:pStyle w:val="NumberedList"/>
            </w:pPr>
            <w:r w:rsidRPr="00790BCC">
              <w:t>Closing</w:t>
            </w:r>
          </w:p>
        </w:tc>
        <w:tc>
          <w:tcPr>
            <w:tcW w:w="1705" w:type="dxa"/>
            <w:tcBorders>
              <w:top w:val="nil"/>
            </w:tcBorders>
          </w:tcPr>
          <w:p w14:paraId="7296CE47" w14:textId="77777777" w:rsidR="00790BCC" w:rsidRPr="00790BCC" w:rsidRDefault="00790BCC" w:rsidP="00790BCC">
            <w:pPr>
              <w:spacing w:before="40" w:after="40"/>
            </w:pPr>
          </w:p>
          <w:p w14:paraId="1E7466BE" w14:textId="77777777" w:rsidR="00790BCC" w:rsidRPr="00790BCC" w:rsidRDefault="00790BCC" w:rsidP="00D31F4D">
            <w:pPr>
              <w:pStyle w:val="NumberedList"/>
              <w:numPr>
                <w:ilvl w:val="0"/>
                <w:numId w:val="13"/>
              </w:numPr>
            </w:pPr>
            <w:r w:rsidRPr="00790BCC">
              <w:t>5%</w:t>
            </w:r>
          </w:p>
          <w:p w14:paraId="72963EB1" w14:textId="77777777" w:rsidR="00790BCC" w:rsidRPr="00790BCC" w:rsidRDefault="00790BCC" w:rsidP="00D31F4D">
            <w:pPr>
              <w:pStyle w:val="NumberedList"/>
              <w:numPr>
                <w:ilvl w:val="0"/>
                <w:numId w:val="13"/>
              </w:numPr>
            </w:pPr>
            <w:r w:rsidRPr="00790BCC">
              <w:t>10%</w:t>
            </w:r>
          </w:p>
          <w:p w14:paraId="08F00AEF" w14:textId="56977F0E" w:rsidR="00790BCC" w:rsidRPr="00790BCC" w:rsidRDefault="007A545D" w:rsidP="00D31F4D">
            <w:pPr>
              <w:pStyle w:val="NumberedList"/>
              <w:numPr>
                <w:ilvl w:val="0"/>
                <w:numId w:val="13"/>
              </w:numPr>
            </w:pPr>
            <w:r>
              <w:t>3</w:t>
            </w:r>
            <w:r w:rsidR="00255C5E">
              <w:t>0</w:t>
            </w:r>
            <w:r w:rsidR="00790BCC" w:rsidRPr="00790BCC">
              <w:t>%</w:t>
            </w:r>
          </w:p>
          <w:p w14:paraId="6107AB32" w14:textId="30120298" w:rsidR="00790BCC" w:rsidRDefault="007A545D" w:rsidP="007F7299">
            <w:pPr>
              <w:pStyle w:val="NumberedList"/>
              <w:numPr>
                <w:ilvl w:val="0"/>
                <w:numId w:val="13"/>
              </w:numPr>
            </w:pPr>
            <w:r>
              <w:t>5</w:t>
            </w:r>
            <w:r w:rsidR="007F7299">
              <w:t>0</w:t>
            </w:r>
            <w:r w:rsidR="00790BCC" w:rsidRPr="00790BCC">
              <w:t>%</w:t>
            </w:r>
          </w:p>
          <w:p w14:paraId="7E3F81CA" w14:textId="77777777" w:rsidR="00790BCC" w:rsidRPr="00790BCC" w:rsidRDefault="00790BCC" w:rsidP="00D31F4D">
            <w:pPr>
              <w:pStyle w:val="NumberedList"/>
              <w:numPr>
                <w:ilvl w:val="0"/>
                <w:numId w:val="13"/>
              </w:numPr>
            </w:pPr>
            <w:r w:rsidRPr="00790BCC">
              <w:t>5%</w:t>
            </w:r>
          </w:p>
        </w:tc>
      </w:tr>
    </w:tbl>
    <w:p w14:paraId="26DF4A11" w14:textId="77777777" w:rsidR="00790BCC" w:rsidRPr="00790BCC" w:rsidRDefault="00790BCC" w:rsidP="00D31F4D">
      <w:pPr>
        <w:pStyle w:val="Heading1"/>
      </w:pPr>
      <w:r w:rsidRPr="004724DD">
        <w:t>Materials</w:t>
      </w:r>
    </w:p>
    <w:p w14:paraId="22432461" w14:textId="2A5CCB06" w:rsidR="0051215A" w:rsidRDefault="0051215A" w:rsidP="00E9283B">
      <w:pPr>
        <w:pStyle w:val="BulletedList"/>
      </w:pPr>
      <w:r>
        <w:t>Copies of the</w:t>
      </w:r>
      <w:r w:rsidR="00614F88">
        <w:t xml:space="preserve"> 11.4.1</w:t>
      </w:r>
      <w:r>
        <w:t xml:space="preserve"> </w:t>
      </w:r>
      <w:r w:rsidR="009E2366">
        <w:t>Mid-Unit Evidence</w:t>
      </w:r>
      <w:r>
        <w:t xml:space="preserve"> Collection Tool for each student</w:t>
      </w:r>
    </w:p>
    <w:p w14:paraId="7DCF7849" w14:textId="5D6054F7" w:rsidR="008F3079" w:rsidRDefault="008F3079" w:rsidP="00E9283B">
      <w:pPr>
        <w:pStyle w:val="BulletedList"/>
      </w:pPr>
      <w:r>
        <w:t xml:space="preserve">Student copies of the </w:t>
      </w:r>
      <w:r w:rsidR="00962306">
        <w:t xml:space="preserve">11.4 </w:t>
      </w:r>
      <w:r>
        <w:t>Speaking and Listening Rubric and Checklist (refer to 11.4.1 Lesson 3)</w:t>
      </w:r>
    </w:p>
    <w:p w14:paraId="4AABD66E" w14:textId="77777777" w:rsidR="00790BCC" w:rsidRDefault="00790BCC" w:rsidP="00D31F4D">
      <w:pPr>
        <w:pStyle w:val="Heading1"/>
      </w:pPr>
      <w:r w:rsidRPr="00790BCC">
        <w:lastRenderedPageBreak/>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79293C52" w14:textId="77777777" w:rsidTr="008E490E">
        <w:tc>
          <w:tcPr>
            <w:tcW w:w="9360" w:type="dxa"/>
            <w:gridSpan w:val="2"/>
            <w:shd w:val="clear" w:color="auto" w:fill="76923C"/>
          </w:tcPr>
          <w:p w14:paraId="3D4E1FDD" w14:textId="77777777" w:rsidR="00D31F4D" w:rsidRPr="00D31F4D" w:rsidRDefault="00D31F4D" w:rsidP="009450B7">
            <w:pPr>
              <w:pStyle w:val="TableHeaders"/>
            </w:pPr>
            <w:r w:rsidRPr="009450B7">
              <w:rPr>
                <w:sz w:val="22"/>
              </w:rPr>
              <w:t>How to Use the Learning Sequence</w:t>
            </w:r>
          </w:p>
        </w:tc>
      </w:tr>
      <w:tr w:rsidR="00D31F4D" w:rsidRPr="00D31F4D" w14:paraId="5A572636" w14:textId="77777777" w:rsidTr="008E490E">
        <w:tc>
          <w:tcPr>
            <w:tcW w:w="894" w:type="dxa"/>
            <w:shd w:val="clear" w:color="auto" w:fill="76923C"/>
          </w:tcPr>
          <w:p w14:paraId="3DFC0A3A"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09213767"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77117F94" w14:textId="77777777" w:rsidTr="008E490E">
        <w:tc>
          <w:tcPr>
            <w:tcW w:w="894" w:type="dxa"/>
          </w:tcPr>
          <w:p w14:paraId="5C61BD82"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2CB0008A"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289D1492" w14:textId="77777777" w:rsidTr="008E490E">
        <w:tc>
          <w:tcPr>
            <w:tcW w:w="894" w:type="dxa"/>
            <w:vMerge w:val="restart"/>
            <w:vAlign w:val="center"/>
          </w:tcPr>
          <w:p w14:paraId="75583B9C"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54F3D0C6" w14:textId="77777777" w:rsidR="00D31F4D" w:rsidRPr="00D31F4D" w:rsidRDefault="00D31F4D" w:rsidP="00D31F4D">
            <w:pPr>
              <w:spacing w:before="20" w:after="20" w:line="240" w:lineRule="auto"/>
            </w:pPr>
            <w:r w:rsidRPr="00D31F4D">
              <w:t>Plain text indicates teacher action.</w:t>
            </w:r>
          </w:p>
        </w:tc>
      </w:tr>
      <w:tr w:rsidR="00D31F4D" w:rsidRPr="00D31F4D" w14:paraId="52DA8D34" w14:textId="77777777" w:rsidTr="008E490E">
        <w:tc>
          <w:tcPr>
            <w:tcW w:w="894" w:type="dxa"/>
            <w:vMerge/>
          </w:tcPr>
          <w:p w14:paraId="2D2AFA4F" w14:textId="77777777" w:rsidR="00D31F4D" w:rsidRPr="00D31F4D" w:rsidRDefault="00D31F4D" w:rsidP="00D31F4D">
            <w:pPr>
              <w:spacing w:before="20" w:after="20" w:line="240" w:lineRule="auto"/>
              <w:jc w:val="center"/>
              <w:rPr>
                <w:b/>
                <w:color w:val="000000"/>
              </w:rPr>
            </w:pPr>
          </w:p>
        </w:tc>
        <w:tc>
          <w:tcPr>
            <w:tcW w:w="8466" w:type="dxa"/>
          </w:tcPr>
          <w:p w14:paraId="64D1774C"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5EE73603" w14:textId="77777777" w:rsidTr="008E490E">
        <w:tc>
          <w:tcPr>
            <w:tcW w:w="894" w:type="dxa"/>
            <w:vMerge/>
          </w:tcPr>
          <w:p w14:paraId="2567E1A1" w14:textId="77777777" w:rsidR="00D31F4D" w:rsidRPr="00D31F4D" w:rsidRDefault="00D31F4D" w:rsidP="00D31F4D">
            <w:pPr>
              <w:spacing w:before="20" w:after="20" w:line="240" w:lineRule="auto"/>
              <w:jc w:val="center"/>
              <w:rPr>
                <w:b/>
                <w:color w:val="000000"/>
              </w:rPr>
            </w:pPr>
          </w:p>
        </w:tc>
        <w:tc>
          <w:tcPr>
            <w:tcW w:w="8466" w:type="dxa"/>
          </w:tcPr>
          <w:p w14:paraId="1D4799E2"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2A392643" w14:textId="77777777" w:rsidTr="008E4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670FF2CB" w14:textId="77777777" w:rsidR="00D31F4D" w:rsidRPr="00D31F4D" w:rsidRDefault="00D31F4D" w:rsidP="00D31F4D">
            <w:pPr>
              <w:spacing w:before="40" w:after="0" w:line="240" w:lineRule="auto"/>
              <w:jc w:val="center"/>
            </w:pPr>
            <w:r w:rsidRPr="00D31F4D">
              <w:sym w:font="Webdings" w:char="F034"/>
            </w:r>
          </w:p>
        </w:tc>
        <w:tc>
          <w:tcPr>
            <w:tcW w:w="8466" w:type="dxa"/>
          </w:tcPr>
          <w:p w14:paraId="69E2508D" w14:textId="77777777" w:rsidR="00D31F4D" w:rsidRPr="00D31F4D" w:rsidRDefault="00D31F4D" w:rsidP="00D31F4D">
            <w:pPr>
              <w:spacing w:before="20" w:after="20" w:line="240" w:lineRule="auto"/>
            </w:pPr>
            <w:r w:rsidRPr="00D31F4D">
              <w:t>Indicates student action(s).</w:t>
            </w:r>
          </w:p>
        </w:tc>
      </w:tr>
      <w:tr w:rsidR="00D31F4D" w:rsidRPr="00D31F4D" w14:paraId="4554AC84" w14:textId="77777777" w:rsidTr="008E4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6D7DA789" w14:textId="77777777" w:rsidR="00D31F4D" w:rsidRPr="00D31F4D" w:rsidRDefault="00D31F4D" w:rsidP="00D31F4D">
            <w:pPr>
              <w:spacing w:before="80" w:after="0" w:line="240" w:lineRule="auto"/>
              <w:jc w:val="center"/>
            </w:pPr>
            <w:r w:rsidRPr="00D31F4D">
              <w:sym w:font="Webdings" w:char="F028"/>
            </w:r>
          </w:p>
        </w:tc>
        <w:tc>
          <w:tcPr>
            <w:tcW w:w="8466" w:type="dxa"/>
          </w:tcPr>
          <w:p w14:paraId="089132C0"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2A1E94E1" w14:textId="77777777" w:rsidTr="008E490E">
        <w:tc>
          <w:tcPr>
            <w:tcW w:w="894" w:type="dxa"/>
            <w:vAlign w:val="bottom"/>
          </w:tcPr>
          <w:p w14:paraId="5C6B29B4"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162BD1DC"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724238CD" w14:textId="77777777" w:rsidR="00790BCC" w:rsidRPr="00790BCC" w:rsidRDefault="00790BCC" w:rsidP="00BF5354">
      <w:pPr>
        <w:pStyle w:val="LearningSequenceHeader"/>
      </w:pPr>
      <w:r w:rsidRPr="004724DD">
        <w:t>Activity 1: Introduction of Lesson Agenda</w:t>
      </w:r>
      <w:r w:rsidRPr="00790BCC">
        <w:tab/>
        <w:t>5%</w:t>
      </w:r>
    </w:p>
    <w:p w14:paraId="718A1219" w14:textId="319787E3" w:rsidR="00FD4EFA" w:rsidRDefault="002A1786" w:rsidP="00FA55DC">
      <w:pPr>
        <w:pStyle w:val="TA"/>
      </w:pPr>
      <w:r>
        <w:t>Begin by reviewing the agenda and assessed standard</w:t>
      </w:r>
      <w:r w:rsidR="0051215A">
        <w:t>s</w:t>
      </w:r>
      <w:r>
        <w:t xml:space="preserve"> for this lesson: </w:t>
      </w:r>
      <w:r w:rsidR="00255C5E">
        <w:t>RL.11-12.5</w:t>
      </w:r>
      <w:r w:rsidR="0051215A">
        <w:t xml:space="preserve"> and SL.11-12.1.a</w:t>
      </w:r>
      <w:r w:rsidR="00D17944">
        <w:t>, c</w:t>
      </w:r>
      <w:r>
        <w:t>. In</w:t>
      </w:r>
      <w:r w:rsidR="008F3079">
        <w:t xml:space="preserve"> </w:t>
      </w:r>
      <w:r>
        <w:t>this lesson</w:t>
      </w:r>
      <w:r w:rsidR="00DA39EA">
        <w:t>,</w:t>
      </w:r>
      <w:r>
        <w:t xml:space="preserve"> students prepare for the Mid-Unit Assessment by </w:t>
      </w:r>
      <w:r w:rsidR="0051215A">
        <w:t xml:space="preserve">completing </w:t>
      </w:r>
      <w:r w:rsidR="00421EBC">
        <w:t>the</w:t>
      </w:r>
      <w:r w:rsidR="00B63259">
        <w:t xml:space="preserve"> 11.4.1</w:t>
      </w:r>
      <w:r w:rsidR="0051215A">
        <w:t xml:space="preserve"> </w:t>
      </w:r>
      <w:r w:rsidR="00614F88">
        <w:t>Mid-Unit Evidence Collection Tool</w:t>
      </w:r>
      <w:r w:rsidR="0051215A">
        <w:t xml:space="preserve"> and </w:t>
      </w:r>
      <w:r w:rsidR="00241B6D">
        <w:t xml:space="preserve">engaging in </w:t>
      </w:r>
      <w:r w:rsidR="0051215A">
        <w:t>small group discussion</w:t>
      </w:r>
      <w:r w:rsidR="00241B6D">
        <w:t xml:space="preserve"> about how </w:t>
      </w:r>
      <w:r w:rsidR="0051215A">
        <w:t xml:space="preserve">specific </w:t>
      </w:r>
      <w:r w:rsidR="00241B6D">
        <w:t xml:space="preserve">parts of the text contribute to </w:t>
      </w:r>
      <w:r w:rsidR="00421EBC">
        <w:t xml:space="preserve">its </w:t>
      </w:r>
      <w:r w:rsidR="006C330E">
        <w:t xml:space="preserve">overall </w:t>
      </w:r>
      <w:r w:rsidR="00241B6D">
        <w:t>structure and meaning</w:t>
      </w:r>
      <w:r w:rsidR="00E92EB0">
        <w:t>.</w:t>
      </w:r>
      <w:r>
        <w:t xml:space="preserve"> </w:t>
      </w:r>
    </w:p>
    <w:p w14:paraId="79D651CC" w14:textId="28F62FB4" w:rsidR="002A1786" w:rsidRPr="001735F1" w:rsidRDefault="002A1786" w:rsidP="002A1786">
      <w:pPr>
        <w:pStyle w:val="SA"/>
      </w:pPr>
      <w:r>
        <w:t>Students look at</w:t>
      </w:r>
      <w:r w:rsidR="00DA39EA">
        <w:t xml:space="preserve"> the</w:t>
      </w:r>
      <w:r>
        <w:t xml:space="preserve"> agenda.</w:t>
      </w:r>
    </w:p>
    <w:p w14:paraId="58E52C36" w14:textId="77777777" w:rsidR="00790BCC" w:rsidRPr="00790BCC" w:rsidRDefault="00790BCC" w:rsidP="007017EB">
      <w:pPr>
        <w:pStyle w:val="LearningSequenceHeader"/>
      </w:pPr>
      <w:r w:rsidRPr="00790BCC">
        <w:t>Activity 2: Homework Accountability</w:t>
      </w:r>
      <w:r w:rsidRPr="00790BCC">
        <w:tab/>
        <w:t>10%</w:t>
      </w:r>
    </w:p>
    <w:p w14:paraId="4CCFB90E" w14:textId="49D4F313" w:rsidR="007A1603" w:rsidRDefault="007A1603" w:rsidP="00EC0B12">
      <w:pPr>
        <w:pStyle w:val="TA"/>
      </w:pPr>
      <w:r>
        <w:t>Instruct student</w:t>
      </w:r>
      <w:r w:rsidR="00BF5354">
        <w:t xml:space="preserve">s to take out their responses to the previous lesson’s </w:t>
      </w:r>
      <w:r>
        <w:t xml:space="preserve">homework </w:t>
      </w:r>
      <w:r w:rsidR="00BF5354">
        <w:t xml:space="preserve">assignment. </w:t>
      </w:r>
      <w:r>
        <w:t>(Respond briefly in writing to the following prompt: What purpose does telling the story serve for the narrator?)</w:t>
      </w:r>
      <w:r w:rsidR="00BF5354">
        <w:t xml:space="preserve"> Instruct students to form pairs to discuss their responses.</w:t>
      </w:r>
      <w:r>
        <w:t xml:space="preserve"> </w:t>
      </w:r>
    </w:p>
    <w:p w14:paraId="57CC6192" w14:textId="4E645FFC" w:rsidR="007A1603" w:rsidRDefault="007A1603" w:rsidP="00EC0B12">
      <w:pPr>
        <w:pStyle w:val="SA"/>
      </w:pPr>
      <w:r>
        <w:t>Student pairs discuss the homework from the previous lesson.</w:t>
      </w:r>
    </w:p>
    <w:p w14:paraId="77B2BF12" w14:textId="77777777" w:rsidR="007951A1" w:rsidRDefault="007951A1" w:rsidP="007951A1">
      <w:pPr>
        <w:pStyle w:val="Q"/>
      </w:pPr>
      <w:r>
        <w:t>What purpose does telling the story serve for the narrator?</w:t>
      </w:r>
    </w:p>
    <w:p w14:paraId="23747847" w14:textId="77777777" w:rsidR="00031731" w:rsidRDefault="00031731" w:rsidP="007951A1">
      <w:pPr>
        <w:pStyle w:val="SR"/>
      </w:pPr>
      <w:r>
        <w:t>Student responses may include:</w:t>
      </w:r>
    </w:p>
    <w:p w14:paraId="0579020C" w14:textId="23E0A215" w:rsidR="00031731" w:rsidRDefault="007951A1" w:rsidP="00031731">
      <w:pPr>
        <w:pStyle w:val="SASRBullet"/>
      </w:pPr>
      <w:r>
        <w:t>The narrator wants to relieve some of the guilt and shame associated with his story</w:t>
      </w:r>
      <w:r w:rsidR="007A1603">
        <w:t xml:space="preserve">, </w:t>
      </w:r>
      <w:r w:rsidR="00421EBC">
        <w:t>which</w:t>
      </w:r>
      <w:r w:rsidR="007A1603">
        <w:t xml:space="preserve"> is why he describes it as a “confession</w:t>
      </w:r>
      <w:r w:rsidR="006633A2">
        <w:t>,</w:t>
      </w:r>
      <w:r w:rsidR="007A1603">
        <w:t>”</w:t>
      </w:r>
      <w:r w:rsidR="00540ABB">
        <w:t xml:space="preserve"> </w:t>
      </w:r>
      <w:r w:rsidR="00421EBC">
        <w:t xml:space="preserve">through which </w:t>
      </w:r>
      <w:r w:rsidR="00540ABB">
        <w:t xml:space="preserve">he can “relieve at least some of the pressure on my dreams” </w:t>
      </w:r>
      <w:r w:rsidR="007A1603">
        <w:t>(p. 37)</w:t>
      </w:r>
      <w:r>
        <w:t xml:space="preserve">. </w:t>
      </w:r>
    </w:p>
    <w:p w14:paraId="346633D5" w14:textId="7BB6CADB" w:rsidR="00031731" w:rsidRDefault="007951A1" w:rsidP="00031731">
      <w:pPr>
        <w:pStyle w:val="SASRBullet"/>
      </w:pPr>
      <w:r>
        <w:t>The narrator directly addresses readers</w:t>
      </w:r>
      <w:r w:rsidR="00031731">
        <w:t xml:space="preserve"> to validate his choices</w:t>
      </w:r>
      <w:r w:rsidR="00421EBC">
        <w:t xml:space="preserve">, </w:t>
      </w:r>
      <w:r>
        <w:t>remembering the “terrible squeezing pressure” and tightness in his chest from twenty years earlier</w:t>
      </w:r>
      <w:r w:rsidR="00421EBC">
        <w:t xml:space="preserve">, </w:t>
      </w:r>
      <w:r>
        <w:t xml:space="preserve">and tells readers “I want you to feel it” (p. 54). </w:t>
      </w:r>
    </w:p>
    <w:p w14:paraId="1F5910F3" w14:textId="08A69030" w:rsidR="007951A1" w:rsidRDefault="00031731" w:rsidP="00031731">
      <w:pPr>
        <w:pStyle w:val="SASRBullet"/>
      </w:pPr>
      <w:r>
        <w:lastRenderedPageBreak/>
        <w:t xml:space="preserve">The narrator seeks empathy for his lack of courage and conviction when </w:t>
      </w:r>
      <w:r w:rsidR="004F13A6">
        <w:t>he</w:t>
      </w:r>
      <w:r w:rsidR="007951A1">
        <w:t xml:space="preserve"> describes how he wants readers to put themselves in his situation</w:t>
      </w:r>
      <w:r>
        <w:t xml:space="preserve">. He asks </w:t>
      </w:r>
      <w:r w:rsidR="009C3203">
        <w:t>readers</w:t>
      </w:r>
      <w:r>
        <w:t xml:space="preserve"> </w:t>
      </w:r>
      <w:r w:rsidR="007951A1">
        <w:t xml:space="preserve">to imagine themselves as </w:t>
      </w:r>
      <w:r>
        <w:t>“</w:t>
      </w:r>
      <w:r w:rsidR="007951A1">
        <w:t>twenty-one-year-olds</w:t>
      </w:r>
      <w:r>
        <w:t>” and “scared</w:t>
      </w:r>
      <w:r w:rsidR="00962306">
        <w:t>,</w:t>
      </w:r>
      <w:r>
        <w:t xml:space="preserve">” </w:t>
      </w:r>
      <w:r w:rsidR="007951A1">
        <w:t>facing a similar conflict</w:t>
      </w:r>
      <w:r w:rsidR="00962306">
        <w:t xml:space="preserve"> (p. 54)</w:t>
      </w:r>
      <w:r w:rsidR="007951A1">
        <w:t xml:space="preserve">. </w:t>
      </w:r>
    </w:p>
    <w:p w14:paraId="0A4CB258" w14:textId="77777777" w:rsidR="007A1603" w:rsidRDefault="007A1603" w:rsidP="00EC0B12">
      <w:pPr>
        <w:pStyle w:val="BR"/>
      </w:pPr>
    </w:p>
    <w:p w14:paraId="4532690E" w14:textId="5875C367" w:rsidR="00BE7516" w:rsidRDefault="00C64DBF" w:rsidP="00241B6D">
      <w:pPr>
        <w:pStyle w:val="TA"/>
      </w:pPr>
      <w:r>
        <w:t>Instruct student</w:t>
      </w:r>
      <w:r w:rsidR="00241B6D">
        <w:t xml:space="preserve">s to talk in pairs about how they applied </w:t>
      </w:r>
      <w:r w:rsidR="00421EBC">
        <w:t>a</w:t>
      </w:r>
      <w:r w:rsidR="00241B6D">
        <w:t xml:space="preserve"> focus standard to their text.</w:t>
      </w:r>
      <w:r w:rsidR="000133EF" w:rsidRPr="000133EF">
        <w:t xml:space="preserve"> </w:t>
      </w:r>
      <w:r w:rsidR="00241B6D">
        <w:t>Select several students (or student pairs) t</w:t>
      </w:r>
      <w:r w:rsidR="005B7385">
        <w:t>o explain how they applied a</w:t>
      </w:r>
      <w:r w:rsidR="00241B6D">
        <w:t xml:space="preserve"> focus standard to their </w:t>
      </w:r>
      <w:r w:rsidR="00C17685">
        <w:t>Accountable Independent Reading (</w:t>
      </w:r>
      <w:r w:rsidR="000133EF">
        <w:t>AIR</w:t>
      </w:r>
      <w:r w:rsidR="00C17685">
        <w:t>)</w:t>
      </w:r>
      <w:r w:rsidR="00241B6D">
        <w:t xml:space="preserve"> text.</w:t>
      </w:r>
    </w:p>
    <w:p w14:paraId="30F9666D" w14:textId="13ECE71F" w:rsidR="00241B6D" w:rsidRDefault="00241B6D" w:rsidP="00241B6D">
      <w:pPr>
        <w:pStyle w:val="SA"/>
      </w:pPr>
      <w:r>
        <w:t xml:space="preserve">Students (or student pairs) discuss and share how they applied </w:t>
      </w:r>
      <w:r w:rsidR="00421EBC">
        <w:t xml:space="preserve">a </w:t>
      </w:r>
      <w:r>
        <w:t>focus standard to their AIR text</w:t>
      </w:r>
      <w:r w:rsidR="00421EBC">
        <w:t>s</w:t>
      </w:r>
      <w:r>
        <w:t xml:space="preserve"> from the previous lesson’s homework. </w:t>
      </w:r>
    </w:p>
    <w:p w14:paraId="60B75E7B" w14:textId="064B9FEA" w:rsidR="00790BCC" w:rsidRPr="00790BCC" w:rsidRDefault="007F7299" w:rsidP="008A7E2D">
      <w:pPr>
        <w:pStyle w:val="LearningSequenceHeader"/>
      </w:pPr>
      <w:r>
        <w:t xml:space="preserve">Activity 3: </w:t>
      </w:r>
      <w:r w:rsidR="005B6E1D">
        <w:t xml:space="preserve">11.4.1 </w:t>
      </w:r>
      <w:r w:rsidR="00614F88">
        <w:t>Mid-Unit Evidence Collection Tool</w:t>
      </w:r>
      <w:r w:rsidR="00790BCC" w:rsidRPr="00790BCC">
        <w:tab/>
      </w:r>
      <w:r w:rsidR="00580F87">
        <w:t>3</w:t>
      </w:r>
      <w:r w:rsidR="008B5359">
        <w:t>0</w:t>
      </w:r>
      <w:r w:rsidR="00790BCC" w:rsidRPr="00790BCC">
        <w:t>%</w:t>
      </w:r>
    </w:p>
    <w:p w14:paraId="10253C8F" w14:textId="79CBD542" w:rsidR="0066670E" w:rsidRDefault="0066670E" w:rsidP="00580F87">
      <w:pPr>
        <w:pStyle w:val="TA"/>
      </w:pPr>
      <w:r>
        <w:t>Instruct students</w:t>
      </w:r>
      <w:r w:rsidR="000C4A4C">
        <w:t xml:space="preserve"> to stay in their pairs from the previous activity. </w:t>
      </w:r>
      <w:r>
        <w:t>Instruct student p</w:t>
      </w:r>
      <w:bookmarkStart w:id="0" w:name="_GoBack"/>
      <w:r>
        <w:t>air</w:t>
      </w:r>
      <w:bookmarkEnd w:id="0"/>
      <w:r>
        <w:t>s to discuss the following questions:</w:t>
      </w:r>
    </w:p>
    <w:p w14:paraId="1BC13260" w14:textId="6D88F0CE" w:rsidR="000C4A4C" w:rsidRDefault="001618FF" w:rsidP="001618FF">
      <w:pPr>
        <w:pStyle w:val="Q"/>
      </w:pPr>
      <w:r>
        <w:t>How does O’Brien begin the story?</w:t>
      </w:r>
    </w:p>
    <w:p w14:paraId="73EDC447" w14:textId="756F0346" w:rsidR="001618FF" w:rsidRDefault="00BB3542" w:rsidP="001618FF">
      <w:pPr>
        <w:pStyle w:val="SR"/>
      </w:pPr>
      <w:r>
        <w:t xml:space="preserve">O’Brien begins the story with the narrator admitting he is about to share </w:t>
      </w:r>
      <w:r w:rsidR="00F9462A">
        <w:t>a story</w:t>
      </w:r>
      <w:r>
        <w:t xml:space="preserve"> he has “never told before” </w:t>
      </w:r>
      <w:r w:rsidR="00E616C2">
        <w:t>that</w:t>
      </w:r>
      <w:r w:rsidR="00C307B5">
        <w:t xml:space="preserve"> makes him “squirm” (p. 37)</w:t>
      </w:r>
      <w:r>
        <w:t xml:space="preserve">. </w:t>
      </w:r>
      <w:r w:rsidR="00C307B5">
        <w:t>The narrator refers to his story as a “confession” that is “hard</w:t>
      </w:r>
      <w:r w:rsidR="004D590D">
        <w:t xml:space="preserve"> </w:t>
      </w:r>
      <w:r w:rsidR="00C307B5">
        <w:t>…</w:t>
      </w:r>
      <w:r w:rsidR="004D590D">
        <w:t xml:space="preserve"> </w:t>
      </w:r>
      <w:r w:rsidR="00C307B5">
        <w:t>to tell” (p. 37).</w:t>
      </w:r>
      <w:r>
        <w:t xml:space="preserve"> </w:t>
      </w:r>
    </w:p>
    <w:p w14:paraId="30DEC71A" w14:textId="74255986" w:rsidR="001618FF" w:rsidRDefault="001618FF" w:rsidP="001618FF">
      <w:pPr>
        <w:pStyle w:val="Q"/>
      </w:pPr>
      <w:r>
        <w:t>How is the story organized?</w:t>
      </w:r>
    </w:p>
    <w:p w14:paraId="3732D8F1" w14:textId="77777777" w:rsidR="001618FF" w:rsidRDefault="001618FF" w:rsidP="001618FF">
      <w:pPr>
        <w:pStyle w:val="SR"/>
      </w:pPr>
      <w:r>
        <w:t>Student responses may include:</w:t>
      </w:r>
    </w:p>
    <w:p w14:paraId="038FD97F" w14:textId="77CA9F30" w:rsidR="001618FF" w:rsidRDefault="00C378A3" w:rsidP="001618FF">
      <w:pPr>
        <w:pStyle w:val="SASRBullet"/>
      </w:pPr>
      <w:r>
        <w:t xml:space="preserve">After </w:t>
      </w:r>
      <w:r w:rsidR="00F9462A">
        <w:t>introducing</w:t>
      </w:r>
      <w:r>
        <w:t xml:space="preserve"> the story </w:t>
      </w:r>
      <w:r w:rsidR="00F9462A">
        <w:t>as</w:t>
      </w:r>
      <w:r>
        <w:t xml:space="preserve"> an event from his past, the narrator </w:t>
      </w:r>
      <w:r w:rsidR="00F9462A">
        <w:t>tell</w:t>
      </w:r>
      <w:r w:rsidR="009B3B1C">
        <w:t>s</w:t>
      </w:r>
      <w:r>
        <w:t xml:space="preserve"> </w:t>
      </w:r>
      <w:r w:rsidR="009B3B1C">
        <w:t>a</w:t>
      </w:r>
      <w:r w:rsidR="00F9462A">
        <w:t xml:space="preserve"> story that begins</w:t>
      </w:r>
      <w:r>
        <w:t xml:space="preserve"> in “the summer of 1968” (p. 37). From this point, the story</w:t>
      </w:r>
      <w:r w:rsidR="00F9462A">
        <w:t xml:space="preserve"> unfolds</w:t>
      </w:r>
      <w:r>
        <w:t xml:space="preserve"> chronologically through the events that surround the receipt of his “draft notice” (p. 39), his “</w:t>
      </w:r>
      <w:r w:rsidR="000A44E2">
        <w:t>work[] in an Armour meat-</w:t>
      </w:r>
      <w:r>
        <w:t xml:space="preserve">packing plant” </w:t>
      </w:r>
      <w:r w:rsidR="000A44E2">
        <w:t xml:space="preserve">(p. 40), </w:t>
      </w:r>
      <w:r>
        <w:t xml:space="preserve">and his time at </w:t>
      </w:r>
      <w:r w:rsidR="000A44E2">
        <w:t xml:space="preserve">“an old fishing resort called </w:t>
      </w:r>
      <w:r>
        <w:t>the Tip Top</w:t>
      </w:r>
      <w:r w:rsidR="00F9462A">
        <w:t xml:space="preserve"> Lodge”</w:t>
      </w:r>
      <w:r w:rsidR="000A44E2">
        <w:t xml:space="preserve"> (p. 45).</w:t>
      </w:r>
      <w:r>
        <w:t xml:space="preserve"> </w:t>
      </w:r>
    </w:p>
    <w:p w14:paraId="5B1DDDC5" w14:textId="1CD01EE8" w:rsidR="009B3B1C" w:rsidRDefault="00512FCB" w:rsidP="00FD4335">
      <w:pPr>
        <w:pStyle w:val="SASRBullet"/>
      </w:pPr>
      <w:r>
        <w:t xml:space="preserve">O’Brien organizes the story </w:t>
      </w:r>
      <w:r w:rsidR="00C378A3">
        <w:t xml:space="preserve">as a reflection of the narrator’s past. </w:t>
      </w:r>
      <w:r>
        <w:t>The narrator</w:t>
      </w:r>
      <w:r w:rsidR="000A44E2">
        <w:t xml:space="preserve"> refers to </w:t>
      </w:r>
      <w:r w:rsidR="00ED4E01">
        <w:t xml:space="preserve">the </w:t>
      </w:r>
      <w:r w:rsidR="009B3B1C">
        <w:t>story</w:t>
      </w:r>
      <w:r w:rsidR="000A44E2">
        <w:t xml:space="preserve"> as “an act of remembering” (p. 37</w:t>
      </w:r>
      <w:r w:rsidR="009B3B1C">
        <w:t>).</w:t>
      </w:r>
    </w:p>
    <w:p w14:paraId="7712084D" w14:textId="771D33A8" w:rsidR="00046AA1" w:rsidRDefault="00046AA1" w:rsidP="00FD4335">
      <w:pPr>
        <w:pStyle w:val="IN"/>
      </w:pPr>
      <w:r>
        <w:t>Explain to students that “reflection” refers to consideration of a subject, idea, or past event.</w:t>
      </w:r>
    </w:p>
    <w:p w14:paraId="55D5685A" w14:textId="22175392" w:rsidR="001618FF" w:rsidRDefault="001618FF" w:rsidP="004E746C">
      <w:pPr>
        <w:pStyle w:val="Q"/>
      </w:pPr>
      <w:r>
        <w:t>How does O’Brien end the story?</w:t>
      </w:r>
    </w:p>
    <w:p w14:paraId="62AF152F" w14:textId="184251D8" w:rsidR="004E746C" w:rsidRDefault="00512FCB" w:rsidP="00FD4335">
      <w:pPr>
        <w:pStyle w:val="SR"/>
      </w:pPr>
      <w:r>
        <w:t>O’Brien</w:t>
      </w:r>
      <w:r w:rsidR="009C1231">
        <w:t xml:space="preserve"> ends </w:t>
      </w:r>
      <w:r w:rsidR="00BB3542">
        <w:t>the story by confessing “I was a coward. I went to the war” (p. 58)</w:t>
      </w:r>
      <w:r w:rsidR="007F01A8">
        <w:t>,</w:t>
      </w:r>
      <w:r w:rsidR="00BB3542">
        <w:t xml:space="preserve"> and </w:t>
      </w:r>
      <w:r w:rsidR="000A44E2">
        <w:t>in so doing,</w:t>
      </w:r>
      <w:r w:rsidR="007F01A8">
        <w:t xml:space="preserve"> makes it clear he is still ashamed “twenty years” (p. 37) later that he did not stay true to his “convictions” (p. 39) about the war. </w:t>
      </w:r>
    </w:p>
    <w:p w14:paraId="674F2102" w14:textId="417ECA63" w:rsidR="004E746C" w:rsidRDefault="004E746C" w:rsidP="004E746C">
      <w:pPr>
        <w:pStyle w:val="TA"/>
      </w:pPr>
      <w:r>
        <w:lastRenderedPageBreak/>
        <w:t xml:space="preserve">Lead a </w:t>
      </w:r>
      <w:r w:rsidR="00F37A2C">
        <w:t xml:space="preserve">brief </w:t>
      </w:r>
      <w:r>
        <w:t xml:space="preserve">whole-class discussion of student responses. </w:t>
      </w:r>
    </w:p>
    <w:p w14:paraId="18DF96C5" w14:textId="4BB686CE" w:rsidR="006D6208" w:rsidRDefault="004E746C" w:rsidP="004B4DAD">
      <w:pPr>
        <w:pStyle w:val="TA"/>
      </w:pPr>
      <w:r>
        <w:t xml:space="preserve">Explain to students that their responses to these questions are examples of </w:t>
      </w:r>
      <w:r w:rsidR="00744972">
        <w:t xml:space="preserve">structural choices. Structural choices can </w:t>
      </w:r>
      <w:r>
        <w:t xml:space="preserve">refer to how a story is ordered, including how it begins and ends, as well as how an author manipulates time. </w:t>
      </w:r>
    </w:p>
    <w:p w14:paraId="3A9D6C3E" w14:textId="54A7CEDE" w:rsidR="004B4DAD" w:rsidRDefault="004E746C" w:rsidP="00FD4335">
      <w:pPr>
        <w:pStyle w:val="IN"/>
      </w:pPr>
      <w:r>
        <w:t>Students were introduced to RL.11-12.5 in 11.1.2 Lesson 1</w:t>
      </w:r>
      <w:r w:rsidR="009A7434">
        <w:t>.</w:t>
      </w:r>
    </w:p>
    <w:p w14:paraId="60FF52B2" w14:textId="11D868C2" w:rsidR="0066670E" w:rsidRDefault="004B4DAD" w:rsidP="00FD4335">
      <w:pPr>
        <w:pStyle w:val="SA"/>
      </w:pPr>
      <w:r>
        <w:t xml:space="preserve">Students listen. </w:t>
      </w:r>
    </w:p>
    <w:p w14:paraId="0CD0085A" w14:textId="77777777" w:rsidR="005F6B38" w:rsidRDefault="005F6B38" w:rsidP="00FD4335">
      <w:pPr>
        <w:pStyle w:val="BR"/>
      </w:pPr>
    </w:p>
    <w:p w14:paraId="04F2687A" w14:textId="7B96BA0E" w:rsidR="00580F87" w:rsidRDefault="00580F87" w:rsidP="00580F87">
      <w:pPr>
        <w:pStyle w:val="TA"/>
      </w:pPr>
      <w:r>
        <w:t>Display and distribute the</w:t>
      </w:r>
      <w:r w:rsidR="005B6E1D">
        <w:t xml:space="preserve"> 11.4.1</w:t>
      </w:r>
      <w:r>
        <w:t xml:space="preserve"> </w:t>
      </w:r>
      <w:r w:rsidR="00614F88">
        <w:t>Mid-Unit Evidence Collection Tool</w:t>
      </w:r>
      <w:r>
        <w:t xml:space="preserve">. Explain to students that this tool </w:t>
      </w:r>
      <w:r w:rsidR="00BF5354">
        <w:t>is</w:t>
      </w:r>
      <w:r>
        <w:t xml:space="preserve"> used to guide their discussion in the following activity.</w:t>
      </w:r>
      <w:r w:rsidR="009310D5">
        <w:t xml:space="preserve"> Explain to students that this activity and the following discussion </w:t>
      </w:r>
      <w:r w:rsidR="00BF5354">
        <w:t>prepare</w:t>
      </w:r>
      <w:r w:rsidR="009310D5">
        <w:t xml:space="preserve"> them for the Mid-Unit Assessment</w:t>
      </w:r>
      <w:r w:rsidR="00540ABB">
        <w:t xml:space="preserve"> in the following lesson</w:t>
      </w:r>
      <w:r w:rsidR="009310D5">
        <w:t xml:space="preserve">. </w:t>
      </w:r>
    </w:p>
    <w:p w14:paraId="629ECFA2" w14:textId="77777777" w:rsidR="00580F87" w:rsidRDefault="00580F87" w:rsidP="00580F87">
      <w:pPr>
        <w:pStyle w:val="SA"/>
        <w:numPr>
          <w:ilvl w:val="0"/>
          <w:numId w:val="8"/>
        </w:numPr>
      </w:pPr>
      <w:r>
        <w:t xml:space="preserve">Students follow along. </w:t>
      </w:r>
    </w:p>
    <w:p w14:paraId="0190665A" w14:textId="50E12F3A" w:rsidR="00580F87" w:rsidRDefault="00580F87" w:rsidP="00580F87">
      <w:pPr>
        <w:pStyle w:val="TA"/>
      </w:pPr>
      <w:r>
        <w:t xml:space="preserve">Instruct students to independently review “On the Rainy River” in its entirety and record evidence and analysis in response to the </w:t>
      </w:r>
      <w:r w:rsidR="009310D5">
        <w:t>Mid-Unit Assessment</w:t>
      </w:r>
      <w:r w:rsidR="00D27457">
        <w:t xml:space="preserve"> prompt</w:t>
      </w:r>
      <w:r w:rsidR="0010628D">
        <w:t>, which they will discuss in the next activity</w:t>
      </w:r>
      <w:r>
        <w:t>:</w:t>
      </w:r>
    </w:p>
    <w:p w14:paraId="539F9044" w14:textId="1C3871DB" w:rsidR="00580F87" w:rsidRDefault="00580F87" w:rsidP="00580F87">
      <w:pPr>
        <w:pStyle w:val="Q"/>
      </w:pPr>
      <w:r>
        <w:t xml:space="preserve">Choose a specific part of the text and analyze how it contributes to the overall meaning and structure of the text. </w:t>
      </w:r>
    </w:p>
    <w:p w14:paraId="2B6E6DBA" w14:textId="6E4E87D2" w:rsidR="00580F87" w:rsidRDefault="00580F87" w:rsidP="00580F87">
      <w:pPr>
        <w:pStyle w:val="SA"/>
        <w:numPr>
          <w:ilvl w:val="0"/>
          <w:numId w:val="8"/>
        </w:numPr>
      </w:pPr>
      <w:r>
        <w:t>Students independently review “On the Rainy River” and complete the</w:t>
      </w:r>
      <w:r w:rsidR="005B6E1D">
        <w:t xml:space="preserve"> 11.4.1</w:t>
      </w:r>
      <w:r>
        <w:t xml:space="preserve"> </w:t>
      </w:r>
      <w:r w:rsidR="00614F88">
        <w:t>Mid-Unit Evidence Collection Tool</w:t>
      </w:r>
      <w:r>
        <w:t xml:space="preserve">. </w:t>
      </w:r>
    </w:p>
    <w:p w14:paraId="4674370F" w14:textId="1CE30782" w:rsidR="00580F87" w:rsidRDefault="00580F87" w:rsidP="00580F87">
      <w:pPr>
        <w:pStyle w:val="SR"/>
      </w:pPr>
      <w:r>
        <w:t>See the Model</w:t>
      </w:r>
      <w:r w:rsidR="008F2802">
        <w:t xml:space="preserve"> 11.4.1</w:t>
      </w:r>
      <w:r>
        <w:t xml:space="preserve"> </w:t>
      </w:r>
      <w:r w:rsidR="00614F88">
        <w:t>Mid-Unit Evidence Collection Tool</w:t>
      </w:r>
      <w:r>
        <w:t xml:space="preserve"> at the end of this lesson for sample student responses.</w:t>
      </w:r>
    </w:p>
    <w:p w14:paraId="73712704" w14:textId="77777777" w:rsidR="00580F87" w:rsidRDefault="00580F87" w:rsidP="00580F87">
      <w:pPr>
        <w:pStyle w:val="IN"/>
      </w:pPr>
      <w:r>
        <w:t xml:space="preserve">This activity supports students’ engagement with W.11-12.9.a, which addresses the use of textual evidence in writing. </w:t>
      </w:r>
    </w:p>
    <w:p w14:paraId="154FF975" w14:textId="0E0E0724" w:rsidR="00605762" w:rsidRDefault="00580F87" w:rsidP="00B84F31">
      <w:pPr>
        <w:pStyle w:val="IN"/>
      </w:pPr>
      <w:r w:rsidRPr="0081200E">
        <w:rPr>
          <w:b/>
        </w:rPr>
        <w:t>Differentiation Consideration:</w:t>
      </w:r>
      <w:r>
        <w:t xml:space="preserve"> Consider modeling the</w:t>
      </w:r>
      <w:r w:rsidR="008F2802">
        <w:t xml:space="preserve"> 11.4.1</w:t>
      </w:r>
      <w:r>
        <w:t xml:space="preserve"> </w:t>
      </w:r>
      <w:r w:rsidR="00614F88">
        <w:t>Mid-Unit Evidence Collection Tool</w:t>
      </w:r>
      <w:r>
        <w:t xml:space="preserve"> to support student understanding during this activity.</w:t>
      </w:r>
    </w:p>
    <w:p w14:paraId="2983ACF6" w14:textId="28A2F368" w:rsidR="00255C5E" w:rsidRPr="00790BCC" w:rsidRDefault="00255C5E" w:rsidP="00255C5E">
      <w:pPr>
        <w:pStyle w:val="LearningSequenceHeader"/>
      </w:pPr>
      <w:r>
        <w:t xml:space="preserve">Activity 4: </w:t>
      </w:r>
      <w:r w:rsidR="00580F87">
        <w:t>Small</w:t>
      </w:r>
      <w:r w:rsidR="007C7780">
        <w:t>-</w:t>
      </w:r>
      <w:r w:rsidR="00580F87">
        <w:t>Group Discussion</w:t>
      </w:r>
      <w:r w:rsidRPr="00790BCC">
        <w:tab/>
      </w:r>
      <w:r w:rsidR="00580F87">
        <w:t>5</w:t>
      </w:r>
      <w:r>
        <w:t>0</w:t>
      </w:r>
      <w:r w:rsidRPr="00790BCC">
        <w:t>%</w:t>
      </w:r>
    </w:p>
    <w:p w14:paraId="39F8F958" w14:textId="53A86A69" w:rsidR="00580F87" w:rsidRDefault="00580F87" w:rsidP="00580F87">
      <w:pPr>
        <w:pStyle w:val="TA"/>
      </w:pPr>
      <w:r>
        <w:t>Instruct stu</w:t>
      </w:r>
      <w:r w:rsidR="00FF0F0F">
        <w:t>dents to form small groups of 3–</w:t>
      </w:r>
      <w:r>
        <w:t>4</w:t>
      </w:r>
      <w:r w:rsidR="00BF5354">
        <w:t xml:space="preserve"> to discuss the Mid-Unit Assessment prompt they were introduced to in the last activity</w:t>
      </w:r>
      <w:r>
        <w:t>.</w:t>
      </w:r>
      <w:r w:rsidR="00BF5354">
        <w:t xml:space="preserve"> </w:t>
      </w:r>
      <w:r>
        <w:t>Explain to students that th</w:t>
      </w:r>
      <w:r w:rsidR="00BF5354">
        <w:t>is activity’s</w:t>
      </w:r>
      <w:r>
        <w:t xml:space="preserve"> small-group discussions comprise the lesson assessment, and as such, require students to use the </w:t>
      </w:r>
      <w:r w:rsidR="00962306">
        <w:t xml:space="preserve">11.4 </w:t>
      </w:r>
      <w:r>
        <w:t>Speaking and Listening Rubric and Checklist for SL.11-12.1.a</w:t>
      </w:r>
      <w:r w:rsidR="009310D5">
        <w:t>, c</w:t>
      </w:r>
      <w:r>
        <w:t xml:space="preserve"> to assess their group members’ participation and contributions to the discussion. </w:t>
      </w:r>
    </w:p>
    <w:p w14:paraId="1F828AA6" w14:textId="7F072072" w:rsidR="00580F87" w:rsidRDefault="00580F87" w:rsidP="00580F87">
      <w:pPr>
        <w:pStyle w:val="SA"/>
        <w:numPr>
          <w:ilvl w:val="0"/>
          <w:numId w:val="8"/>
        </w:numPr>
      </w:pPr>
      <w:r>
        <w:lastRenderedPageBreak/>
        <w:t>Students</w:t>
      </w:r>
      <w:r w:rsidR="0082270F">
        <w:t xml:space="preserve"> form small groups and</w:t>
      </w:r>
      <w:r>
        <w:t xml:space="preserve"> review the</w:t>
      </w:r>
      <w:r w:rsidR="003E25A2">
        <w:t xml:space="preserve"> relevant portions of the</w:t>
      </w:r>
      <w:r>
        <w:t xml:space="preserve"> </w:t>
      </w:r>
      <w:r w:rsidR="00962306">
        <w:t xml:space="preserve">11.4 </w:t>
      </w:r>
      <w:r>
        <w:t xml:space="preserve">Speaking and Listening Rubric and Checklist. </w:t>
      </w:r>
    </w:p>
    <w:p w14:paraId="172EB372" w14:textId="26227D4F" w:rsidR="009310D5" w:rsidRDefault="00580F87" w:rsidP="00580F87">
      <w:pPr>
        <w:pStyle w:val="TA"/>
      </w:pPr>
      <w:r>
        <w:t>Instruct students to refer to their</w:t>
      </w:r>
      <w:r w:rsidR="00784A4A">
        <w:t xml:space="preserve"> 11.4.1</w:t>
      </w:r>
      <w:r>
        <w:t xml:space="preserve"> </w:t>
      </w:r>
      <w:r w:rsidR="00614F88">
        <w:t>Mid-Unit Evidence Collection Tool</w:t>
      </w:r>
      <w:r>
        <w:t>s from the previous activity to inform their small-group discussion</w:t>
      </w:r>
      <w:r w:rsidR="0010628D">
        <w:t>s</w:t>
      </w:r>
      <w:r>
        <w:t xml:space="preserve">. </w:t>
      </w:r>
      <w:r w:rsidR="0082270F">
        <w:t>Remind</w:t>
      </w:r>
      <w:r w:rsidR="009310D5">
        <w:t xml:space="preserve"> students to take additional notes during their discussion</w:t>
      </w:r>
      <w:r w:rsidR="0010628D">
        <w:t>s</w:t>
      </w:r>
      <w:r w:rsidR="009310D5">
        <w:t xml:space="preserve"> </w:t>
      </w:r>
      <w:r w:rsidR="0082270F">
        <w:t xml:space="preserve">to prepare </w:t>
      </w:r>
      <w:r w:rsidR="009310D5">
        <w:t>for the Mid-Unit Assessment</w:t>
      </w:r>
      <w:r w:rsidR="0082270F">
        <w:t xml:space="preserve"> in the following lesson. Instruct students to discuss the following prompt:</w:t>
      </w:r>
    </w:p>
    <w:p w14:paraId="3B6113C0" w14:textId="1C6513DF" w:rsidR="00580F87" w:rsidRDefault="005457C8" w:rsidP="00580F87">
      <w:pPr>
        <w:pStyle w:val="Q"/>
      </w:pPr>
      <w:r>
        <w:t xml:space="preserve">Choose a specific part of the text and analyze how it contributes to the overall meaning and structure of the text. </w:t>
      </w:r>
    </w:p>
    <w:p w14:paraId="163F8312" w14:textId="626E9068" w:rsidR="00580F87" w:rsidRDefault="00580F87" w:rsidP="00580F87">
      <w:pPr>
        <w:pStyle w:val="SA"/>
        <w:numPr>
          <w:ilvl w:val="0"/>
          <w:numId w:val="8"/>
        </w:numPr>
      </w:pPr>
      <w:r>
        <w:t>Stu</w:t>
      </w:r>
      <w:r w:rsidR="003E25A2">
        <w:t xml:space="preserve">dent groups </w:t>
      </w:r>
      <w:r>
        <w:t>engage in discussion</w:t>
      </w:r>
      <w:r w:rsidR="009310D5">
        <w:t xml:space="preserve"> while reviewing their</w:t>
      </w:r>
      <w:r w:rsidR="00784A4A">
        <w:t xml:space="preserve"> 11.4.1</w:t>
      </w:r>
      <w:r w:rsidR="003E25A2">
        <w:t xml:space="preserve"> </w:t>
      </w:r>
      <w:r w:rsidR="00614F88">
        <w:t>Mid-Unit Evidence Collection Tool</w:t>
      </w:r>
      <w:r w:rsidR="009310D5">
        <w:t xml:space="preserve">s and </w:t>
      </w:r>
      <w:r w:rsidR="0010628D">
        <w:t xml:space="preserve">take </w:t>
      </w:r>
      <w:r w:rsidR="009310D5">
        <w:t xml:space="preserve">notes to prepare for the Mid-Unit Assessment. </w:t>
      </w:r>
    </w:p>
    <w:p w14:paraId="1D94069C" w14:textId="524EC29F" w:rsidR="00580F87" w:rsidRDefault="00580F87" w:rsidP="00580F87">
      <w:pPr>
        <w:pStyle w:val="SR"/>
      </w:pPr>
      <w:r>
        <w:t xml:space="preserve">See </w:t>
      </w:r>
      <w:r w:rsidR="007C7780">
        <w:t xml:space="preserve">the </w:t>
      </w:r>
      <w:r>
        <w:t xml:space="preserve">High Performance Response at the beginning of this lesson. </w:t>
      </w:r>
    </w:p>
    <w:p w14:paraId="52CE4392" w14:textId="77777777" w:rsidR="00580F87" w:rsidRDefault="00580F87" w:rsidP="00580F87">
      <w:pPr>
        <w:pStyle w:val="BR"/>
      </w:pPr>
    </w:p>
    <w:p w14:paraId="1D49ADBB" w14:textId="2E9AB0C2" w:rsidR="004B13F1" w:rsidRDefault="004B13F1" w:rsidP="00DB218F">
      <w:pPr>
        <w:pStyle w:val="IN"/>
      </w:pPr>
      <w:r>
        <w:t>Circulate and support students in their discussions as needed. Pause student discussions once during the allotted time to provide space for reflection and assessment. Provide additional time at the end of the lesson for students to complete the peer assessments.</w:t>
      </w:r>
    </w:p>
    <w:p w14:paraId="4E031B05" w14:textId="4F74C19B" w:rsidR="00580F87" w:rsidRDefault="0010628D" w:rsidP="00580F87">
      <w:pPr>
        <w:pStyle w:val="TA"/>
      </w:pPr>
      <w:r>
        <w:t>Explain t</w:t>
      </w:r>
      <w:r w:rsidR="00BF5354">
        <w:t>hat</w:t>
      </w:r>
      <w:r>
        <w:t xml:space="preserve"> </w:t>
      </w:r>
      <w:r w:rsidR="00580F87">
        <w:t xml:space="preserve">students </w:t>
      </w:r>
      <w:r w:rsidR="004B13F1">
        <w:t xml:space="preserve">have time once during discussion and again at the end of discussion to complete </w:t>
      </w:r>
      <w:r w:rsidR="00580F87">
        <w:t xml:space="preserve">the </w:t>
      </w:r>
      <w:r w:rsidR="00962306">
        <w:t xml:space="preserve">11.4 </w:t>
      </w:r>
      <w:r w:rsidR="00F42BF8">
        <w:t xml:space="preserve">Speaking and Listening Rubric and Checklist for SL.11-12.1.a, c </w:t>
      </w:r>
      <w:r w:rsidR="00580F87">
        <w:t>for each peer in their group</w:t>
      </w:r>
      <w:r w:rsidR="004B13F1">
        <w:t>.</w:t>
      </w:r>
      <w:r w:rsidR="00580F87">
        <w:t xml:space="preserve"> </w:t>
      </w:r>
    </w:p>
    <w:p w14:paraId="683066A1" w14:textId="4D342B74" w:rsidR="00580F87" w:rsidRDefault="00580F87" w:rsidP="00580F87">
      <w:pPr>
        <w:pStyle w:val="SA"/>
        <w:numPr>
          <w:ilvl w:val="0"/>
          <w:numId w:val="8"/>
        </w:numPr>
      </w:pPr>
      <w:r>
        <w:t xml:space="preserve">Students complete peer assessments </w:t>
      </w:r>
      <w:r w:rsidR="004C4773">
        <w:t xml:space="preserve">for SL.11-12.1.a, c on the </w:t>
      </w:r>
      <w:r w:rsidR="00962306">
        <w:t xml:space="preserve">11.4 </w:t>
      </w:r>
      <w:r>
        <w:t>Speaking and Listening Rubric and Checklist.</w:t>
      </w:r>
    </w:p>
    <w:p w14:paraId="2840E780" w14:textId="1D0595BC" w:rsidR="00790BCC" w:rsidRPr="00790BCC" w:rsidRDefault="007F7299" w:rsidP="007017EB">
      <w:pPr>
        <w:pStyle w:val="LearningSequenceHeader"/>
      </w:pPr>
      <w:r w:rsidRPr="004724DD">
        <w:t xml:space="preserve">Activity </w:t>
      </w:r>
      <w:r w:rsidR="00580F87">
        <w:t>5</w:t>
      </w:r>
      <w:r w:rsidRPr="004724DD">
        <w:t>: Closing</w:t>
      </w:r>
      <w:r w:rsidR="00790BCC" w:rsidRPr="00790BCC">
        <w:tab/>
      </w:r>
      <w:r>
        <w:t>5</w:t>
      </w:r>
      <w:r w:rsidR="00790BCC" w:rsidRPr="00790BCC">
        <w:t>%</w:t>
      </w:r>
    </w:p>
    <w:p w14:paraId="5CFDE3E7" w14:textId="5FE95F4C" w:rsidR="00790BCC" w:rsidRDefault="007F7299" w:rsidP="007017EB">
      <w:pPr>
        <w:pStyle w:val="TA"/>
      </w:pPr>
      <w:r>
        <w:t xml:space="preserve">Instruct students to </w:t>
      </w:r>
      <w:r w:rsidR="00935467">
        <w:t>review and expand</w:t>
      </w:r>
      <w:r w:rsidR="00FF0F0F">
        <w:t xml:space="preserve"> their notes, t</w:t>
      </w:r>
      <w:r>
        <w:t xml:space="preserve">ools, and annotations in preparation for the </w:t>
      </w:r>
      <w:r w:rsidR="00935467">
        <w:t xml:space="preserve">following lesson’s </w:t>
      </w:r>
      <w:r>
        <w:t xml:space="preserve">Mid-Unit Assessment. </w:t>
      </w:r>
    </w:p>
    <w:p w14:paraId="0A8B6A88" w14:textId="77777777" w:rsidR="00790BCC" w:rsidRPr="00790BCC" w:rsidRDefault="00790BCC" w:rsidP="007017EB">
      <w:pPr>
        <w:pStyle w:val="Heading1"/>
      </w:pPr>
      <w:r w:rsidRPr="004724DD">
        <w:t>Homework</w:t>
      </w:r>
    </w:p>
    <w:p w14:paraId="3C28163D" w14:textId="41504683" w:rsidR="007A545D" w:rsidRDefault="0020663A" w:rsidP="002831A5">
      <w:r>
        <w:t>R</w:t>
      </w:r>
      <w:r w:rsidR="00935467">
        <w:t>eview and expand</w:t>
      </w:r>
      <w:r w:rsidR="00FF0F0F">
        <w:t xml:space="preserve"> </w:t>
      </w:r>
      <w:r w:rsidR="007C7780">
        <w:t xml:space="preserve">your </w:t>
      </w:r>
      <w:r w:rsidR="00FF0F0F">
        <w:t>notes, t</w:t>
      </w:r>
      <w:r w:rsidR="007F7299">
        <w:t xml:space="preserve">ools, and annotations in preparation for the </w:t>
      </w:r>
      <w:r w:rsidR="00935467">
        <w:t xml:space="preserve">following lesson’s </w:t>
      </w:r>
      <w:r w:rsidR="007F7299">
        <w:t>Mid-Unit Assessment</w:t>
      </w:r>
      <w:r w:rsidR="00790BCC" w:rsidRPr="00790BCC">
        <w:t>.</w:t>
      </w:r>
      <w:r w:rsidR="00241B6D">
        <w:t xml:space="preserve"> </w:t>
      </w:r>
      <w:r w:rsidR="007A545D">
        <w:br w:type="page"/>
      </w:r>
    </w:p>
    <w:p w14:paraId="5E62A399" w14:textId="77777777" w:rsidR="00D938B0" w:rsidRDefault="00D938B0" w:rsidP="007A545D">
      <w:pPr>
        <w:pStyle w:val="ToolHeader"/>
        <w:sectPr w:rsidR="00D938B0" w:rsidSect="00241B6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648" w:gutter="0"/>
          <w:cols w:space="720"/>
          <w:docGrid w:linePitch="299"/>
        </w:sectPr>
      </w:pPr>
    </w:p>
    <w:p w14:paraId="123E1559" w14:textId="467D57C1" w:rsidR="00DA6058" w:rsidRDefault="00784A4A" w:rsidP="00DA6058">
      <w:pPr>
        <w:pStyle w:val="ToolHeader"/>
      </w:pPr>
      <w:r>
        <w:lastRenderedPageBreak/>
        <w:t xml:space="preserve">11.4.1 </w:t>
      </w:r>
      <w:r w:rsidR="00614F88">
        <w:t>Mid-Unit Evidence Collection Tool</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30"/>
        <w:gridCol w:w="732"/>
        <w:gridCol w:w="2700"/>
        <w:gridCol w:w="720"/>
        <w:gridCol w:w="1440"/>
      </w:tblGrid>
      <w:tr w:rsidR="00ED14C3" w:rsidRPr="003D5894" w14:paraId="7BF46589" w14:textId="77777777" w:rsidTr="005A3D39">
        <w:trPr>
          <w:trHeight w:val="562"/>
        </w:trPr>
        <w:tc>
          <w:tcPr>
            <w:tcW w:w="828" w:type="dxa"/>
            <w:shd w:val="clear" w:color="auto" w:fill="D9D9D9"/>
            <w:vAlign w:val="center"/>
          </w:tcPr>
          <w:p w14:paraId="6F97119C" w14:textId="77777777" w:rsidR="00ED14C3" w:rsidRPr="003D5894" w:rsidRDefault="00ED14C3" w:rsidP="005A3D39">
            <w:pPr>
              <w:pStyle w:val="ToolTableText"/>
              <w:rPr>
                <w:b/>
              </w:rPr>
            </w:pPr>
            <w:r w:rsidRPr="003D5894">
              <w:rPr>
                <w:b/>
              </w:rPr>
              <w:t>Name:</w:t>
            </w:r>
          </w:p>
        </w:tc>
        <w:tc>
          <w:tcPr>
            <w:tcW w:w="3030" w:type="dxa"/>
            <w:vAlign w:val="center"/>
          </w:tcPr>
          <w:p w14:paraId="118B7BBF" w14:textId="77777777" w:rsidR="00ED14C3" w:rsidRPr="003D5894" w:rsidRDefault="00ED14C3" w:rsidP="005A3D39">
            <w:pPr>
              <w:pStyle w:val="ToolTableText"/>
              <w:rPr>
                <w:b/>
              </w:rPr>
            </w:pPr>
          </w:p>
        </w:tc>
        <w:tc>
          <w:tcPr>
            <w:tcW w:w="732" w:type="dxa"/>
            <w:shd w:val="clear" w:color="auto" w:fill="D9D9D9"/>
            <w:vAlign w:val="center"/>
          </w:tcPr>
          <w:p w14:paraId="2F16FB6C" w14:textId="77777777" w:rsidR="00ED14C3" w:rsidRPr="003D5894" w:rsidRDefault="00ED14C3" w:rsidP="005A3D39">
            <w:pPr>
              <w:pStyle w:val="ToolTableText"/>
              <w:rPr>
                <w:b/>
              </w:rPr>
            </w:pPr>
            <w:r w:rsidRPr="003D5894">
              <w:rPr>
                <w:b/>
              </w:rPr>
              <w:t>Class:</w:t>
            </w:r>
          </w:p>
        </w:tc>
        <w:tc>
          <w:tcPr>
            <w:tcW w:w="2700" w:type="dxa"/>
            <w:vAlign w:val="center"/>
          </w:tcPr>
          <w:p w14:paraId="1FB81815" w14:textId="77777777" w:rsidR="00ED14C3" w:rsidRPr="003D5894" w:rsidRDefault="00ED14C3" w:rsidP="005A3D39">
            <w:pPr>
              <w:pStyle w:val="ToolTableText"/>
              <w:rPr>
                <w:b/>
              </w:rPr>
            </w:pPr>
          </w:p>
        </w:tc>
        <w:tc>
          <w:tcPr>
            <w:tcW w:w="720" w:type="dxa"/>
            <w:shd w:val="clear" w:color="auto" w:fill="D9D9D9"/>
            <w:vAlign w:val="center"/>
          </w:tcPr>
          <w:p w14:paraId="748099CB" w14:textId="77777777" w:rsidR="00ED14C3" w:rsidRPr="003D5894" w:rsidRDefault="00ED14C3" w:rsidP="005A3D39">
            <w:pPr>
              <w:pStyle w:val="ToolTableText"/>
              <w:rPr>
                <w:b/>
              </w:rPr>
            </w:pPr>
            <w:r w:rsidRPr="003D5894">
              <w:rPr>
                <w:b/>
              </w:rPr>
              <w:t>Date:</w:t>
            </w:r>
          </w:p>
        </w:tc>
        <w:tc>
          <w:tcPr>
            <w:tcW w:w="1440" w:type="dxa"/>
            <w:vAlign w:val="center"/>
          </w:tcPr>
          <w:p w14:paraId="0498FB7C" w14:textId="77777777" w:rsidR="00ED14C3" w:rsidRPr="003D5894" w:rsidRDefault="00ED14C3" w:rsidP="005A3D39">
            <w:pPr>
              <w:pStyle w:val="ToolTableText"/>
              <w:rPr>
                <w:b/>
              </w:rPr>
            </w:pPr>
          </w:p>
        </w:tc>
      </w:tr>
    </w:tbl>
    <w:p w14:paraId="5B53210A" w14:textId="77777777" w:rsidR="00DA6058" w:rsidRPr="00FF0F0F" w:rsidRDefault="00DA6058" w:rsidP="00DA6058">
      <w:pPr>
        <w:spacing w:after="0"/>
        <w:rPr>
          <w:sz w:val="10"/>
        </w:rPr>
      </w:pPr>
    </w:p>
    <w:tbl>
      <w:tblPr>
        <w:tblStyle w:val="TableGrid"/>
        <w:tblW w:w="9450" w:type="dxa"/>
        <w:tblInd w:w="108" w:type="dxa"/>
        <w:tblLook w:val="04A0" w:firstRow="1" w:lastRow="0" w:firstColumn="1" w:lastColumn="0" w:noHBand="0" w:noVBand="1"/>
      </w:tblPr>
      <w:tblGrid>
        <w:gridCol w:w="9450"/>
      </w:tblGrid>
      <w:tr w:rsidR="00DA6058" w:rsidRPr="00FF0F0F" w14:paraId="476BC0BE" w14:textId="77777777" w:rsidTr="001026C5">
        <w:trPr>
          <w:trHeight w:val="384"/>
        </w:trPr>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2772CC" w14:textId="328D1E16" w:rsidR="00DA6058" w:rsidRPr="00FF0F0F" w:rsidRDefault="00DA6058" w:rsidP="001026C5">
            <w:pPr>
              <w:pStyle w:val="ToolTableText"/>
              <w:rPr>
                <w:b/>
                <w:sz w:val="22"/>
              </w:rPr>
            </w:pPr>
            <w:r w:rsidRPr="00FF0F0F">
              <w:rPr>
                <w:b/>
                <w:sz w:val="22"/>
              </w:rPr>
              <w:t>Directions:</w:t>
            </w:r>
            <w:r w:rsidRPr="00FF0F0F">
              <w:rPr>
                <w:sz w:val="22"/>
              </w:rPr>
              <w:t xml:space="preserve"> Use this tool to collect and identify evidence in preparation for the small</w:t>
            </w:r>
            <w:r w:rsidR="00A66F65">
              <w:rPr>
                <w:sz w:val="22"/>
              </w:rPr>
              <w:t>-</w:t>
            </w:r>
            <w:r w:rsidRPr="00FF0F0F">
              <w:rPr>
                <w:sz w:val="22"/>
              </w:rPr>
              <w:t xml:space="preserve">group discussion and Mid-Unit Assessment: </w:t>
            </w:r>
            <w:r w:rsidRPr="00962306">
              <w:rPr>
                <w:sz w:val="22"/>
              </w:rPr>
              <w:t>Choose a specific part of the text and analyze how it contributes to the overall meaning and structure of the text.</w:t>
            </w:r>
            <w:r w:rsidRPr="00FF0F0F">
              <w:rPr>
                <w:b/>
                <w:sz w:val="22"/>
              </w:rPr>
              <w:t xml:space="preserve"> </w:t>
            </w:r>
          </w:p>
        </w:tc>
      </w:tr>
    </w:tbl>
    <w:p w14:paraId="0BCE218D" w14:textId="77777777" w:rsidR="00DA6058" w:rsidRDefault="00DA6058" w:rsidP="00DA6058">
      <w:pPr>
        <w:spacing w:after="0"/>
        <w:rPr>
          <w:sz w:val="10"/>
        </w:rPr>
      </w:pPr>
    </w:p>
    <w:tbl>
      <w:tblPr>
        <w:tblStyle w:val="TableGrid"/>
        <w:tblW w:w="4934" w:type="pct"/>
        <w:tblInd w:w="108" w:type="dxa"/>
        <w:tblLook w:val="04A0" w:firstRow="1" w:lastRow="0" w:firstColumn="1" w:lastColumn="0" w:noHBand="0" w:noVBand="1"/>
      </w:tblPr>
      <w:tblGrid>
        <w:gridCol w:w="3150"/>
        <w:gridCol w:w="3149"/>
        <w:gridCol w:w="3151"/>
      </w:tblGrid>
      <w:tr w:rsidR="00DA6058" w:rsidRPr="00FF0F0F" w14:paraId="42706451" w14:textId="77777777" w:rsidTr="002E007E">
        <w:trPr>
          <w:trHeight w:val="476"/>
        </w:trPr>
        <w:tc>
          <w:tcPr>
            <w:tcW w:w="1667" w:type="pct"/>
            <w:tcBorders>
              <w:top w:val="single" w:sz="4" w:space="0" w:color="auto"/>
              <w:left w:val="single" w:sz="4" w:space="0" w:color="auto"/>
              <w:bottom w:val="single" w:sz="4" w:space="0" w:color="auto"/>
              <w:right w:val="single" w:sz="4" w:space="0" w:color="auto"/>
            </w:tcBorders>
            <w:shd w:val="clear" w:color="auto" w:fill="D9D9D9"/>
          </w:tcPr>
          <w:p w14:paraId="7DE9E09B" w14:textId="77777777" w:rsidR="00DA6058" w:rsidRPr="00FF0F0F" w:rsidRDefault="00DA6058" w:rsidP="007C7780">
            <w:pPr>
              <w:pStyle w:val="ToolTableText"/>
              <w:rPr>
                <w:b/>
                <w:sz w:val="22"/>
              </w:rPr>
            </w:pPr>
            <w:r w:rsidRPr="00FF0F0F">
              <w:rPr>
                <w:b/>
                <w:sz w:val="22"/>
              </w:rPr>
              <w:t>Specific Part of the Text</w:t>
            </w:r>
          </w:p>
        </w:tc>
        <w:tc>
          <w:tcPr>
            <w:tcW w:w="1666" w:type="pct"/>
            <w:tcBorders>
              <w:top w:val="single" w:sz="4" w:space="0" w:color="auto"/>
              <w:left w:val="single" w:sz="4" w:space="0" w:color="auto"/>
              <w:bottom w:val="single" w:sz="4" w:space="0" w:color="auto"/>
              <w:right w:val="single" w:sz="4" w:space="0" w:color="auto"/>
            </w:tcBorders>
            <w:shd w:val="clear" w:color="auto" w:fill="D9D9D9"/>
          </w:tcPr>
          <w:p w14:paraId="105A97F7" w14:textId="77777777" w:rsidR="00DA6058" w:rsidRPr="00FF0F0F" w:rsidRDefault="00DA6058" w:rsidP="00F321C7">
            <w:pPr>
              <w:pStyle w:val="ToolTableText"/>
              <w:rPr>
                <w:b/>
                <w:sz w:val="22"/>
              </w:rPr>
            </w:pPr>
            <w:r w:rsidRPr="00FF0F0F">
              <w:rPr>
                <w:b/>
                <w:sz w:val="22"/>
              </w:rPr>
              <w:t>Contribution to Overall Meaning</w:t>
            </w:r>
          </w:p>
        </w:tc>
        <w:tc>
          <w:tcPr>
            <w:tcW w:w="1667" w:type="pct"/>
            <w:tcBorders>
              <w:top w:val="single" w:sz="4" w:space="0" w:color="auto"/>
              <w:left w:val="single" w:sz="4" w:space="0" w:color="auto"/>
              <w:bottom w:val="single" w:sz="4" w:space="0" w:color="auto"/>
              <w:right w:val="single" w:sz="4" w:space="0" w:color="auto"/>
            </w:tcBorders>
            <w:shd w:val="clear" w:color="auto" w:fill="D9D9D9"/>
          </w:tcPr>
          <w:p w14:paraId="7E84A9BB" w14:textId="77777777" w:rsidR="00DA6058" w:rsidRPr="00FF0F0F" w:rsidRDefault="00DA6058" w:rsidP="00F321C7">
            <w:pPr>
              <w:pStyle w:val="ToolTableText"/>
              <w:rPr>
                <w:b/>
                <w:sz w:val="22"/>
              </w:rPr>
            </w:pPr>
            <w:r w:rsidRPr="00FF0F0F">
              <w:rPr>
                <w:b/>
                <w:sz w:val="22"/>
              </w:rPr>
              <w:t>Contribution to Overall Structure</w:t>
            </w:r>
          </w:p>
        </w:tc>
      </w:tr>
      <w:tr w:rsidR="00DA6058" w14:paraId="7BF00C6E" w14:textId="77777777" w:rsidTr="00ED14C3">
        <w:trPr>
          <w:trHeight w:val="1800"/>
        </w:trPr>
        <w:tc>
          <w:tcPr>
            <w:tcW w:w="1667" w:type="pct"/>
            <w:tcBorders>
              <w:top w:val="single" w:sz="4" w:space="0" w:color="auto"/>
              <w:left w:val="single" w:sz="4" w:space="0" w:color="auto"/>
              <w:bottom w:val="single" w:sz="4" w:space="0" w:color="auto"/>
              <w:right w:val="single" w:sz="4" w:space="0" w:color="auto"/>
            </w:tcBorders>
          </w:tcPr>
          <w:p w14:paraId="6CC55B27" w14:textId="77777777" w:rsidR="00DA6058" w:rsidRDefault="00DA6058" w:rsidP="001026C5">
            <w:pPr>
              <w:pStyle w:val="ToolTableText"/>
            </w:pPr>
          </w:p>
        </w:tc>
        <w:tc>
          <w:tcPr>
            <w:tcW w:w="1666" w:type="pct"/>
            <w:tcBorders>
              <w:top w:val="single" w:sz="4" w:space="0" w:color="auto"/>
              <w:left w:val="single" w:sz="4" w:space="0" w:color="auto"/>
              <w:bottom w:val="single" w:sz="4" w:space="0" w:color="auto"/>
              <w:right w:val="single" w:sz="4" w:space="0" w:color="auto"/>
            </w:tcBorders>
          </w:tcPr>
          <w:p w14:paraId="6A46DE4D" w14:textId="77777777" w:rsidR="00DA6058" w:rsidRDefault="00DA6058" w:rsidP="001026C5">
            <w:pPr>
              <w:pStyle w:val="ToolTableText"/>
            </w:pPr>
          </w:p>
        </w:tc>
        <w:tc>
          <w:tcPr>
            <w:tcW w:w="1667" w:type="pct"/>
            <w:tcBorders>
              <w:top w:val="single" w:sz="4" w:space="0" w:color="auto"/>
              <w:left w:val="single" w:sz="4" w:space="0" w:color="auto"/>
              <w:bottom w:val="single" w:sz="4" w:space="0" w:color="auto"/>
              <w:right w:val="single" w:sz="4" w:space="0" w:color="auto"/>
            </w:tcBorders>
          </w:tcPr>
          <w:p w14:paraId="3BCB28FC" w14:textId="77777777" w:rsidR="00DA6058" w:rsidRDefault="00DA6058" w:rsidP="001026C5">
            <w:pPr>
              <w:pStyle w:val="ToolTableText"/>
            </w:pPr>
          </w:p>
        </w:tc>
      </w:tr>
      <w:tr w:rsidR="00DA6058" w14:paraId="635BED89" w14:textId="77777777" w:rsidTr="00ED14C3">
        <w:trPr>
          <w:trHeight w:val="1800"/>
        </w:trPr>
        <w:tc>
          <w:tcPr>
            <w:tcW w:w="1667" w:type="pct"/>
            <w:tcBorders>
              <w:top w:val="single" w:sz="4" w:space="0" w:color="auto"/>
              <w:left w:val="single" w:sz="4" w:space="0" w:color="auto"/>
              <w:bottom w:val="single" w:sz="4" w:space="0" w:color="auto"/>
              <w:right w:val="single" w:sz="4" w:space="0" w:color="auto"/>
            </w:tcBorders>
          </w:tcPr>
          <w:p w14:paraId="4319E3B4" w14:textId="77777777" w:rsidR="00DA6058" w:rsidRDefault="00DA6058" w:rsidP="001026C5">
            <w:pPr>
              <w:pStyle w:val="ToolTableText"/>
            </w:pPr>
          </w:p>
        </w:tc>
        <w:tc>
          <w:tcPr>
            <w:tcW w:w="1666" w:type="pct"/>
            <w:tcBorders>
              <w:top w:val="single" w:sz="4" w:space="0" w:color="auto"/>
              <w:left w:val="single" w:sz="4" w:space="0" w:color="auto"/>
              <w:bottom w:val="single" w:sz="4" w:space="0" w:color="auto"/>
              <w:right w:val="single" w:sz="4" w:space="0" w:color="auto"/>
            </w:tcBorders>
          </w:tcPr>
          <w:p w14:paraId="53414116" w14:textId="77777777" w:rsidR="00DA6058" w:rsidRPr="0051215A" w:rsidRDefault="00DA6058" w:rsidP="001026C5">
            <w:pPr>
              <w:pStyle w:val="ToolTableText"/>
            </w:pPr>
          </w:p>
        </w:tc>
        <w:tc>
          <w:tcPr>
            <w:tcW w:w="1667" w:type="pct"/>
            <w:tcBorders>
              <w:top w:val="single" w:sz="4" w:space="0" w:color="auto"/>
              <w:left w:val="single" w:sz="4" w:space="0" w:color="auto"/>
              <w:bottom w:val="single" w:sz="4" w:space="0" w:color="auto"/>
              <w:right w:val="single" w:sz="4" w:space="0" w:color="auto"/>
            </w:tcBorders>
          </w:tcPr>
          <w:p w14:paraId="096ADAE3" w14:textId="77777777" w:rsidR="00DA6058" w:rsidRPr="0051215A" w:rsidRDefault="00DA6058" w:rsidP="001026C5">
            <w:pPr>
              <w:pStyle w:val="ToolTableText"/>
            </w:pPr>
          </w:p>
        </w:tc>
      </w:tr>
      <w:tr w:rsidR="00DA6058" w14:paraId="4646A52A" w14:textId="77777777" w:rsidTr="00ED14C3">
        <w:trPr>
          <w:trHeight w:val="1800"/>
        </w:trPr>
        <w:tc>
          <w:tcPr>
            <w:tcW w:w="1667" w:type="pct"/>
            <w:tcBorders>
              <w:top w:val="single" w:sz="4" w:space="0" w:color="auto"/>
              <w:left w:val="single" w:sz="4" w:space="0" w:color="auto"/>
              <w:bottom w:val="single" w:sz="4" w:space="0" w:color="auto"/>
              <w:right w:val="single" w:sz="4" w:space="0" w:color="auto"/>
            </w:tcBorders>
          </w:tcPr>
          <w:p w14:paraId="58B48E04" w14:textId="77777777" w:rsidR="00DA6058" w:rsidRDefault="00DA6058" w:rsidP="001026C5">
            <w:pPr>
              <w:pStyle w:val="ToolTableText"/>
            </w:pPr>
          </w:p>
        </w:tc>
        <w:tc>
          <w:tcPr>
            <w:tcW w:w="1666" w:type="pct"/>
            <w:tcBorders>
              <w:top w:val="single" w:sz="4" w:space="0" w:color="auto"/>
              <w:left w:val="single" w:sz="4" w:space="0" w:color="auto"/>
              <w:bottom w:val="single" w:sz="4" w:space="0" w:color="auto"/>
              <w:right w:val="single" w:sz="4" w:space="0" w:color="auto"/>
            </w:tcBorders>
          </w:tcPr>
          <w:p w14:paraId="21B902DA" w14:textId="77777777" w:rsidR="00DA6058" w:rsidRPr="0051215A" w:rsidRDefault="00DA6058" w:rsidP="001026C5">
            <w:pPr>
              <w:pStyle w:val="ToolTableText"/>
            </w:pPr>
          </w:p>
        </w:tc>
        <w:tc>
          <w:tcPr>
            <w:tcW w:w="1667" w:type="pct"/>
            <w:tcBorders>
              <w:top w:val="single" w:sz="4" w:space="0" w:color="auto"/>
              <w:left w:val="single" w:sz="4" w:space="0" w:color="auto"/>
              <w:bottom w:val="single" w:sz="4" w:space="0" w:color="auto"/>
              <w:right w:val="single" w:sz="4" w:space="0" w:color="auto"/>
            </w:tcBorders>
          </w:tcPr>
          <w:p w14:paraId="51AF1F0A" w14:textId="77777777" w:rsidR="00DA6058" w:rsidRDefault="00DA6058" w:rsidP="001026C5">
            <w:pPr>
              <w:pStyle w:val="ToolTableText"/>
            </w:pPr>
          </w:p>
        </w:tc>
      </w:tr>
      <w:tr w:rsidR="00DA6058" w14:paraId="0D70534A" w14:textId="77777777" w:rsidTr="00ED14C3">
        <w:trPr>
          <w:trHeight w:val="1800"/>
        </w:trPr>
        <w:tc>
          <w:tcPr>
            <w:tcW w:w="1667" w:type="pct"/>
            <w:tcBorders>
              <w:top w:val="single" w:sz="4" w:space="0" w:color="auto"/>
              <w:left w:val="single" w:sz="4" w:space="0" w:color="auto"/>
              <w:bottom w:val="single" w:sz="4" w:space="0" w:color="auto"/>
              <w:right w:val="single" w:sz="4" w:space="0" w:color="auto"/>
            </w:tcBorders>
          </w:tcPr>
          <w:p w14:paraId="1F3B10A1" w14:textId="77777777" w:rsidR="00DA6058" w:rsidRDefault="00DA6058" w:rsidP="001026C5">
            <w:pPr>
              <w:pStyle w:val="ToolTableText"/>
            </w:pPr>
          </w:p>
        </w:tc>
        <w:tc>
          <w:tcPr>
            <w:tcW w:w="1666" w:type="pct"/>
            <w:tcBorders>
              <w:top w:val="single" w:sz="4" w:space="0" w:color="auto"/>
              <w:left w:val="single" w:sz="4" w:space="0" w:color="auto"/>
              <w:bottom w:val="single" w:sz="4" w:space="0" w:color="auto"/>
              <w:right w:val="single" w:sz="4" w:space="0" w:color="auto"/>
            </w:tcBorders>
          </w:tcPr>
          <w:p w14:paraId="37F9B832" w14:textId="77777777" w:rsidR="00DA6058" w:rsidRDefault="00DA6058" w:rsidP="001026C5">
            <w:pPr>
              <w:pStyle w:val="ToolTableText"/>
            </w:pPr>
          </w:p>
        </w:tc>
        <w:tc>
          <w:tcPr>
            <w:tcW w:w="1667" w:type="pct"/>
            <w:tcBorders>
              <w:top w:val="single" w:sz="4" w:space="0" w:color="auto"/>
              <w:left w:val="single" w:sz="4" w:space="0" w:color="auto"/>
              <w:bottom w:val="single" w:sz="4" w:space="0" w:color="auto"/>
              <w:right w:val="single" w:sz="4" w:space="0" w:color="auto"/>
            </w:tcBorders>
          </w:tcPr>
          <w:p w14:paraId="021C297D" w14:textId="77777777" w:rsidR="00DA6058" w:rsidRDefault="00DA6058" w:rsidP="001026C5">
            <w:pPr>
              <w:pStyle w:val="ToolTableText"/>
            </w:pPr>
          </w:p>
        </w:tc>
      </w:tr>
    </w:tbl>
    <w:p w14:paraId="2937FE2D" w14:textId="77777777" w:rsidR="00DA6058" w:rsidRDefault="00DA6058" w:rsidP="00DA6058"/>
    <w:p w14:paraId="641EC8FB" w14:textId="77777777" w:rsidR="00DA6058" w:rsidRDefault="00DA6058" w:rsidP="00DA6058">
      <w:pPr>
        <w:spacing w:before="0" w:after="160" w:line="259" w:lineRule="auto"/>
      </w:pPr>
    </w:p>
    <w:p w14:paraId="15C06DB9" w14:textId="77777777" w:rsidR="00DA6058" w:rsidRDefault="00DA6058">
      <w:pPr>
        <w:spacing w:before="0" w:after="160" w:line="259" w:lineRule="auto"/>
      </w:pPr>
    </w:p>
    <w:p w14:paraId="68EA027A" w14:textId="519C515E" w:rsidR="007A545D" w:rsidRDefault="007A545D" w:rsidP="007A545D">
      <w:pPr>
        <w:pStyle w:val="ToolHeader"/>
      </w:pPr>
      <w:r>
        <w:lastRenderedPageBreak/>
        <w:t>Model</w:t>
      </w:r>
      <w:r w:rsidR="00784A4A">
        <w:t xml:space="preserve"> 11.4.1</w:t>
      </w:r>
      <w:r>
        <w:rPr>
          <w:i/>
        </w:rPr>
        <w:t xml:space="preserve"> </w:t>
      </w:r>
      <w:r w:rsidR="00614F88">
        <w:t>Mid-Unit Evidence Collection Tool</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30"/>
        <w:gridCol w:w="732"/>
        <w:gridCol w:w="2700"/>
        <w:gridCol w:w="720"/>
        <w:gridCol w:w="1440"/>
      </w:tblGrid>
      <w:tr w:rsidR="00ED14C3" w:rsidRPr="003D5894" w14:paraId="1928E84E" w14:textId="77777777" w:rsidTr="005A3D39">
        <w:trPr>
          <w:trHeight w:val="562"/>
        </w:trPr>
        <w:tc>
          <w:tcPr>
            <w:tcW w:w="828" w:type="dxa"/>
            <w:shd w:val="clear" w:color="auto" w:fill="D9D9D9"/>
            <w:vAlign w:val="center"/>
          </w:tcPr>
          <w:p w14:paraId="710385A0" w14:textId="77777777" w:rsidR="00ED14C3" w:rsidRPr="003D5894" w:rsidRDefault="00ED14C3" w:rsidP="005A3D39">
            <w:pPr>
              <w:pStyle w:val="ToolTableText"/>
              <w:rPr>
                <w:b/>
              </w:rPr>
            </w:pPr>
            <w:r w:rsidRPr="003D5894">
              <w:rPr>
                <w:b/>
              </w:rPr>
              <w:t>Name:</w:t>
            </w:r>
          </w:p>
        </w:tc>
        <w:tc>
          <w:tcPr>
            <w:tcW w:w="3030" w:type="dxa"/>
            <w:vAlign w:val="center"/>
          </w:tcPr>
          <w:p w14:paraId="2F2A2C15" w14:textId="77777777" w:rsidR="00ED14C3" w:rsidRPr="003D5894" w:rsidRDefault="00ED14C3" w:rsidP="005A3D39">
            <w:pPr>
              <w:pStyle w:val="ToolTableText"/>
              <w:rPr>
                <w:b/>
              </w:rPr>
            </w:pPr>
          </w:p>
        </w:tc>
        <w:tc>
          <w:tcPr>
            <w:tcW w:w="732" w:type="dxa"/>
            <w:shd w:val="clear" w:color="auto" w:fill="D9D9D9"/>
            <w:vAlign w:val="center"/>
          </w:tcPr>
          <w:p w14:paraId="7FE9FD43" w14:textId="77777777" w:rsidR="00ED14C3" w:rsidRPr="003D5894" w:rsidRDefault="00ED14C3" w:rsidP="005A3D39">
            <w:pPr>
              <w:pStyle w:val="ToolTableText"/>
              <w:rPr>
                <w:b/>
              </w:rPr>
            </w:pPr>
            <w:r w:rsidRPr="003D5894">
              <w:rPr>
                <w:b/>
              </w:rPr>
              <w:t>Class:</w:t>
            </w:r>
          </w:p>
        </w:tc>
        <w:tc>
          <w:tcPr>
            <w:tcW w:w="2700" w:type="dxa"/>
            <w:vAlign w:val="center"/>
          </w:tcPr>
          <w:p w14:paraId="4EA5F929" w14:textId="77777777" w:rsidR="00ED14C3" w:rsidRPr="003D5894" w:rsidRDefault="00ED14C3" w:rsidP="005A3D39">
            <w:pPr>
              <w:pStyle w:val="ToolTableText"/>
              <w:rPr>
                <w:b/>
              </w:rPr>
            </w:pPr>
          </w:p>
        </w:tc>
        <w:tc>
          <w:tcPr>
            <w:tcW w:w="720" w:type="dxa"/>
            <w:shd w:val="clear" w:color="auto" w:fill="D9D9D9"/>
            <w:vAlign w:val="center"/>
          </w:tcPr>
          <w:p w14:paraId="5054839E" w14:textId="77777777" w:rsidR="00ED14C3" w:rsidRPr="003D5894" w:rsidRDefault="00ED14C3" w:rsidP="005A3D39">
            <w:pPr>
              <w:pStyle w:val="ToolTableText"/>
              <w:rPr>
                <w:b/>
              </w:rPr>
            </w:pPr>
            <w:r w:rsidRPr="003D5894">
              <w:rPr>
                <w:b/>
              </w:rPr>
              <w:t>Date:</w:t>
            </w:r>
          </w:p>
        </w:tc>
        <w:tc>
          <w:tcPr>
            <w:tcW w:w="1440" w:type="dxa"/>
            <w:vAlign w:val="center"/>
          </w:tcPr>
          <w:p w14:paraId="554A298D" w14:textId="77777777" w:rsidR="00ED14C3" w:rsidRPr="003D5894" w:rsidRDefault="00ED14C3" w:rsidP="005A3D39">
            <w:pPr>
              <w:pStyle w:val="ToolTableText"/>
              <w:rPr>
                <w:b/>
              </w:rPr>
            </w:pPr>
          </w:p>
        </w:tc>
      </w:tr>
    </w:tbl>
    <w:p w14:paraId="5DEB7D34" w14:textId="77777777" w:rsidR="00FF0F0F" w:rsidRPr="00FF0F0F" w:rsidRDefault="00FF0F0F" w:rsidP="00FF0F0F">
      <w:pPr>
        <w:spacing w:after="0"/>
        <w:rPr>
          <w:sz w:val="10"/>
        </w:rPr>
      </w:pPr>
    </w:p>
    <w:tbl>
      <w:tblPr>
        <w:tblStyle w:val="TableGrid"/>
        <w:tblW w:w="9450" w:type="dxa"/>
        <w:tblInd w:w="108" w:type="dxa"/>
        <w:tblLook w:val="04A0" w:firstRow="1" w:lastRow="0" w:firstColumn="1" w:lastColumn="0" w:noHBand="0" w:noVBand="1"/>
      </w:tblPr>
      <w:tblGrid>
        <w:gridCol w:w="9450"/>
      </w:tblGrid>
      <w:tr w:rsidR="00FF0F0F" w:rsidRPr="00FF0F0F" w14:paraId="5F3144F7" w14:textId="77777777" w:rsidTr="001026C5">
        <w:trPr>
          <w:trHeight w:val="384"/>
        </w:trPr>
        <w:tc>
          <w:tcPr>
            <w:tcW w:w="9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2F1479" w14:textId="6AC8010A" w:rsidR="00FF0F0F" w:rsidRPr="00FF0F0F" w:rsidRDefault="00FF0F0F" w:rsidP="001026C5">
            <w:pPr>
              <w:pStyle w:val="ToolTableText"/>
              <w:rPr>
                <w:b/>
                <w:sz w:val="22"/>
              </w:rPr>
            </w:pPr>
            <w:r w:rsidRPr="00FF0F0F">
              <w:rPr>
                <w:b/>
                <w:sz w:val="22"/>
              </w:rPr>
              <w:t>Directions:</w:t>
            </w:r>
            <w:r w:rsidRPr="00FF0F0F">
              <w:rPr>
                <w:sz w:val="22"/>
              </w:rPr>
              <w:t xml:space="preserve"> Use this tool to collect and identify evidence in preparation for the small</w:t>
            </w:r>
            <w:r w:rsidR="00A66F65">
              <w:rPr>
                <w:sz w:val="22"/>
              </w:rPr>
              <w:t>-</w:t>
            </w:r>
            <w:r w:rsidRPr="00FF0F0F">
              <w:rPr>
                <w:sz w:val="22"/>
              </w:rPr>
              <w:t xml:space="preserve">group discussion and Mid-Unit Assessment: </w:t>
            </w:r>
            <w:r w:rsidRPr="00962306">
              <w:rPr>
                <w:sz w:val="22"/>
              </w:rPr>
              <w:t>Choose a specific part of the text and analyze how it contributes to the overall meaning and structure of the text.</w:t>
            </w:r>
            <w:r w:rsidRPr="00FF0F0F">
              <w:rPr>
                <w:b/>
                <w:sz w:val="22"/>
              </w:rPr>
              <w:t xml:space="preserve"> </w:t>
            </w:r>
          </w:p>
        </w:tc>
      </w:tr>
    </w:tbl>
    <w:p w14:paraId="5D63A0F5" w14:textId="77777777" w:rsidR="007A545D" w:rsidRDefault="007A545D" w:rsidP="007A545D">
      <w:pPr>
        <w:spacing w:after="0"/>
        <w:rPr>
          <w:sz w:val="10"/>
        </w:rPr>
      </w:pPr>
    </w:p>
    <w:tbl>
      <w:tblPr>
        <w:tblStyle w:val="TableGrid"/>
        <w:tblW w:w="4940" w:type="pct"/>
        <w:tblInd w:w="108" w:type="dxa"/>
        <w:tblLook w:val="04A0" w:firstRow="1" w:lastRow="0" w:firstColumn="1" w:lastColumn="0" w:noHBand="0" w:noVBand="1"/>
      </w:tblPr>
      <w:tblGrid>
        <w:gridCol w:w="3155"/>
        <w:gridCol w:w="3154"/>
        <w:gridCol w:w="3152"/>
      </w:tblGrid>
      <w:tr w:rsidR="00657545" w:rsidRPr="00ED14C3" w14:paraId="1D06AC39" w14:textId="46917EC2" w:rsidTr="002E007E">
        <w:trPr>
          <w:trHeight w:val="109"/>
        </w:trPr>
        <w:tc>
          <w:tcPr>
            <w:tcW w:w="1667" w:type="pct"/>
            <w:tcBorders>
              <w:top w:val="single" w:sz="4" w:space="0" w:color="auto"/>
              <w:left w:val="single" w:sz="4" w:space="0" w:color="auto"/>
              <w:bottom w:val="single" w:sz="4" w:space="0" w:color="auto"/>
              <w:right w:val="single" w:sz="4" w:space="0" w:color="auto"/>
            </w:tcBorders>
            <w:shd w:val="clear" w:color="auto" w:fill="D9D9D9"/>
          </w:tcPr>
          <w:p w14:paraId="5222C154" w14:textId="2156C46D" w:rsidR="009F1F50" w:rsidRPr="00ED14C3" w:rsidRDefault="009F1F50" w:rsidP="007C7780">
            <w:pPr>
              <w:pStyle w:val="ToolTableText"/>
              <w:rPr>
                <w:b/>
                <w:sz w:val="22"/>
                <w:szCs w:val="22"/>
              </w:rPr>
            </w:pPr>
            <w:r w:rsidRPr="00ED14C3">
              <w:rPr>
                <w:b/>
                <w:sz w:val="22"/>
                <w:szCs w:val="22"/>
              </w:rPr>
              <w:t>Specific Part of the Text</w:t>
            </w:r>
          </w:p>
        </w:tc>
        <w:tc>
          <w:tcPr>
            <w:tcW w:w="1667" w:type="pct"/>
            <w:tcBorders>
              <w:top w:val="single" w:sz="4" w:space="0" w:color="auto"/>
              <w:left w:val="single" w:sz="4" w:space="0" w:color="auto"/>
              <w:bottom w:val="single" w:sz="4" w:space="0" w:color="auto"/>
              <w:right w:val="single" w:sz="4" w:space="0" w:color="auto"/>
            </w:tcBorders>
            <w:shd w:val="clear" w:color="auto" w:fill="D9D9D9"/>
          </w:tcPr>
          <w:p w14:paraId="5D4BDE69" w14:textId="646770DF" w:rsidR="009F1F50" w:rsidRPr="00ED14C3" w:rsidRDefault="009F1F50" w:rsidP="00F321C7">
            <w:pPr>
              <w:pStyle w:val="ToolTableText"/>
              <w:rPr>
                <w:b/>
                <w:sz w:val="22"/>
                <w:szCs w:val="22"/>
              </w:rPr>
            </w:pPr>
            <w:r w:rsidRPr="00ED14C3">
              <w:rPr>
                <w:b/>
                <w:sz w:val="22"/>
                <w:szCs w:val="22"/>
              </w:rPr>
              <w:t>Contribution to Overall Meaning</w:t>
            </w:r>
          </w:p>
        </w:tc>
        <w:tc>
          <w:tcPr>
            <w:tcW w:w="1667" w:type="pct"/>
            <w:tcBorders>
              <w:top w:val="single" w:sz="4" w:space="0" w:color="auto"/>
              <w:left w:val="single" w:sz="4" w:space="0" w:color="auto"/>
              <w:bottom w:val="single" w:sz="4" w:space="0" w:color="auto"/>
              <w:right w:val="single" w:sz="4" w:space="0" w:color="auto"/>
            </w:tcBorders>
            <w:shd w:val="clear" w:color="auto" w:fill="D9D9D9"/>
          </w:tcPr>
          <w:p w14:paraId="56B8BA1B" w14:textId="1CA03A4E" w:rsidR="009F1F50" w:rsidRPr="00ED14C3" w:rsidRDefault="009F1F50" w:rsidP="00F321C7">
            <w:pPr>
              <w:pStyle w:val="ToolTableText"/>
              <w:rPr>
                <w:b/>
                <w:sz w:val="22"/>
                <w:szCs w:val="22"/>
              </w:rPr>
            </w:pPr>
            <w:r w:rsidRPr="00ED14C3">
              <w:rPr>
                <w:b/>
                <w:sz w:val="22"/>
                <w:szCs w:val="22"/>
              </w:rPr>
              <w:t>Contribution to Overall Structure</w:t>
            </w:r>
          </w:p>
        </w:tc>
      </w:tr>
      <w:tr w:rsidR="00657545" w:rsidRPr="00ED14C3" w14:paraId="3E93EBE3" w14:textId="6EDB9444" w:rsidTr="00FF0F0F">
        <w:trPr>
          <w:trHeight w:val="554"/>
        </w:trPr>
        <w:tc>
          <w:tcPr>
            <w:tcW w:w="1667" w:type="pct"/>
            <w:tcBorders>
              <w:top w:val="single" w:sz="4" w:space="0" w:color="auto"/>
              <w:left w:val="single" w:sz="4" w:space="0" w:color="auto"/>
              <w:bottom w:val="single" w:sz="4" w:space="0" w:color="auto"/>
              <w:right w:val="single" w:sz="4" w:space="0" w:color="auto"/>
            </w:tcBorders>
          </w:tcPr>
          <w:p w14:paraId="131B58EF" w14:textId="15DCCEAD" w:rsidR="009F1F50" w:rsidRPr="00ED14C3" w:rsidRDefault="009F1F50" w:rsidP="00A66F65">
            <w:pPr>
              <w:pStyle w:val="ToolTableText"/>
              <w:rPr>
                <w:sz w:val="22"/>
                <w:szCs w:val="22"/>
              </w:rPr>
            </w:pPr>
            <w:r w:rsidRPr="00ED14C3">
              <w:rPr>
                <w:sz w:val="22"/>
                <w:szCs w:val="22"/>
              </w:rPr>
              <w:t xml:space="preserve">In the introduction, </w:t>
            </w:r>
            <w:r w:rsidR="004C4773" w:rsidRPr="00ED14C3">
              <w:rPr>
                <w:sz w:val="22"/>
                <w:szCs w:val="22"/>
              </w:rPr>
              <w:t xml:space="preserve">the </w:t>
            </w:r>
            <w:r w:rsidRPr="00ED14C3">
              <w:rPr>
                <w:sz w:val="22"/>
                <w:szCs w:val="22"/>
              </w:rPr>
              <w:t>narrator tells readers</w:t>
            </w:r>
            <w:r w:rsidR="00B862A5" w:rsidRPr="00ED14C3">
              <w:rPr>
                <w:sz w:val="22"/>
                <w:szCs w:val="22"/>
              </w:rPr>
              <w:t>,</w:t>
            </w:r>
            <w:r w:rsidRPr="00ED14C3">
              <w:rPr>
                <w:sz w:val="22"/>
                <w:szCs w:val="22"/>
              </w:rPr>
              <w:t xml:space="preserve"> “This is one story I’ve never told before” (p. 37). He describes how he has “had to live with it” for two decades and calls it a “confession” (p. 37). The narrator also identifies the reason he tells the story now </w:t>
            </w:r>
            <w:r w:rsidR="00B862A5" w:rsidRPr="00ED14C3">
              <w:rPr>
                <w:sz w:val="22"/>
                <w:szCs w:val="22"/>
              </w:rPr>
              <w:t>i</w:t>
            </w:r>
            <w:r w:rsidRPr="00ED14C3">
              <w:rPr>
                <w:sz w:val="22"/>
                <w:szCs w:val="22"/>
              </w:rPr>
              <w:t>s a hope “to relieve at least some of the pressure on my dreams” (p. 37).</w:t>
            </w:r>
          </w:p>
        </w:tc>
        <w:tc>
          <w:tcPr>
            <w:tcW w:w="1667" w:type="pct"/>
            <w:tcBorders>
              <w:top w:val="single" w:sz="4" w:space="0" w:color="auto"/>
              <w:left w:val="single" w:sz="4" w:space="0" w:color="auto"/>
              <w:bottom w:val="single" w:sz="4" w:space="0" w:color="auto"/>
              <w:right w:val="single" w:sz="4" w:space="0" w:color="auto"/>
            </w:tcBorders>
          </w:tcPr>
          <w:p w14:paraId="0A1EEC5C" w14:textId="52F18801" w:rsidR="009F1F50" w:rsidRPr="00ED14C3" w:rsidRDefault="009F1F50" w:rsidP="00A66F65">
            <w:pPr>
              <w:pStyle w:val="ToolTableText"/>
              <w:rPr>
                <w:sz w:val="22"/>
                <w:szCs w:val="22"/>
              </w:rPr>
            </w:pPr>
            <w:r w:rsidRPr="00ED14C3">
              <w:rPr>
                <w:sz w:val="22"/>
                <w:szCs w:val="22"/>
              </w:rPr>
              <w:t>The introduction makes readers aware of the story</w:t>
            </w:r>
            <w:r w:rsidR="001832B4">
              <w:rPr>
                <w:sz w:val="22"/>
                <w:szCs w:val="22"/>
              </w:rPr>
              <w:t>’s importance to</w:t>
            </w:r>
            <w:r w:rsidRPr="00ED14C3">
              <w:rPr>
                <w:sz w:val="22"/>
                <w:szCs w:val="22"/>
              </w:rPr>
              <w:t xml:space="preserve"> the narrator. The narrator </w:t>
            </w:r>
            <w:r w:rsidR="001832B4">
              <w:rPr>
                <w:sz w:val="22"/>
                <w:szCs w:val="22"/>
              </w:rPr>
              <w:t>confesses</w:t>
            </w:r>
            <w:r w:rsidRPr="00ED14C3">
              <w:rPr>
                <w:sz w:val="22"/>
                <w:szCs w:val="22"/>
              </w:rPr>
              <w:t xml:space="preserve"> a long-kept secret for the first time, a story where he is not the “secret hero” who has a “secret reservoir of courage” (p. 37). Instead, the narrator uses the introduction to establish that his story demonstrates his lack of heroism or courage.</w:t>
            </w:r>
          </w:p>
        </w:tc>
        <w:tc>
          <w:tcPr>
            <w:tcW w:w="1667" w:type="pct"/>
            <w:tcBorders>
              <w:top w:val="single" w:sz="4" w:space="0" w:color="auto"/>
              <w:left w:val="single" w:sz="4" w:space="0" w:color="auto"/>
              <w:bottom w:val="single" w:sz="4" w:space="0" w:color="auto"/>
              <w:right w:val="single" w:sz="4" w:space="0" w:color="auto"/>
            </w:tcBorders>
          </w:tcPr>
          <w:p w14:paraId="78D3F833" w14:textId="16FB814E" w:rsidR="009F1F50" w:rsidRPr="00ED14C3" w:rsidRDefault="009F1F50" w:rsidP="00A66F65">
            <w:pPr>
              <w:pStyle w:val="ToolTableText"/>
              <w:rPr>
                <w:sz w:val="22"/>
                <w:szCs w:val="22"/>
              </w:rPr>
            </w:pPr>
            <w:r w:rsidRPr="00ED14C3">
              <w:rPr>
                <w:sz w:val="22"/>
                <w:szCs w:val="22"/>
              </w:rPr>
              <w:t xml:space="preserve">Through the introduction, O’Brien establishes </w:t>
            </w:r>
            <w:r w:rsidR="00BA1C6D" w:rsidRPr="00ED14C3">
              <w:rPr>
                <w:sz w:val="22"/>
                <w:szCs w:val="22"/>
              </w:rPr>
              <w:t xml:space="preserve">the story as a </w:t>
            </w:r>
            <w:r w:rsidR="001832B4">
              <w:rPr>
                <w:sz w:val="22"/>
                <w:szCs w:val="22"/>
              </w:rPr>
              <w:t>reflection</w:t>
            </w:r>
            <w:r w:rsidR="00BA1C6D" w:rsidRPr="00ED14C3">
              <w:rPr>
                <w:sz w:val="22"/>
                <w:szCs w:val="22"/>
              </w:rPr>
              <w:t xml:space="preserve">. </w:t>
            </w:r>
            <w:r w:rsidR="0010628D">
              <w:rPr>
                <w:sz w:val="22"/>
                <w:szCs w:val="22"/>
              </w:rPr>
              <w:t>The</w:t>
            </w:r>
            <w:r w:rsidR="0010628D" w:rsidRPr="00ED14C3">
              <w:rPr>
                <w:sz w:val="22"/>
                <w:szCs w:val="22"/>
              </w:rPr>
              <w:t xml:space="preserve"> </w:t>
            </w:r>
            <w:r w:rsidRPr="00ED14C3">
              <w:rPr>
                <w:sz w:val="22"/>
                <w:szCs w:val="22"/>
              </w:rPr>
              <w:t>narrator describes wanting “to relieve at least some of the pressure on [his] dreams</w:t>
            </w:r>
            <w:r w:rsidR="00A66F65">
              <w:rPr>
                <w:sz w:val="22"/>
                <w:szCs w:val="22"/>
              </w:rPr>
              <w:t>,</w:t>
            </w:r>
            <w:r w:rsidRPr="00ED14C3">
              <w:rPr>
                <w:sz w:val="22"/>
                <w:szCs w:val="22"/>
              </w:rPr>
              <w:t>” indicat</w:t>
            </w:r>
            <w:r w:rsidR="00B862A5" w:rsidRPr="00ED14C3">
              <w:rPr>
                <w:sz w:val="22"/>
                <w:szCs w:val="22"/>
              </w:rPr>
              <w:t>ing</w:t>
            </w:r>
            <w:r w:rsidRPr="00ED14C3">
              <w:rPr>
                <w:sz w:val="22"/>
                <w:szCs w:val="22"/>
              </w:rPr>
              <w:t xml:space="preserve"> he seek</w:t>
            </w:r>
            <w:r w:rsidR="00B862A5" w:rsidRPr="00ED14C3">
              <w:rPr>
                <w:sz w:val="22"/>
                <w:szCs w:val="22"/>
              </w:rPr>
              <w:t>s</w:t>
            </w:r>
            <w:r w:rsidRPr="00ED14C3">
              <w:rPr>
                <w:sz w:val="22"/>
                <w:szCs w:val="22"/>
              </w:rPr>
              <w:t xml:space="preserve"> validation or at least </w:t>
            </w:r>
            <w:r w:rsidR="0010628D">
              <w:rPr>
                <w:sz w:val="22"/>
                <w:szCs w:val="22"/>
              </w:rPr>
              <w:t>a break</w:t>
            </w:r>
            <w:r w:rsidR="0010628D" w:rsidRPr="00ED14C3">
              <w:rPr>
                <w:sz w:val="22"/>
                <w:szCs w:val="22"/>
              </w:rPr>
              <w:t xml:space="preserve"> </w:t>
            </w:r>
            <w:r w:rsidRPr="00ED14C3">
              <w:rPr>
                <w:sz w:val="22"/>
                <w:szCs w:val="22"/>
              </w:rPr>
              <w:t xml:space="preserve">from the burden of his shame </w:t>
            </w:r>
            <w:r w:rsidR="0010628D">
              <w:rPr>
                <w:sz w:val="22"/>
                <w:szCs w:val="22"/>
              </w:rPr>
              <w:t xml:space="preserve">which he hopes to attain by </w:t>
            </w:r>
            <w:r w:rsidRPr="00ED14C3">
              <w:rPr>
                <w:sz w:val="22"/>
                <w:szCs w:val="22"/>
              </w:rPr>
              <w:t xml:space="preserve">confiding in readers via his </w:t>
            </w:r>
            <w:r w:rsidR="001832B4">
              <w:rPr>
                <w:sz w:val="22"/>
                <w:szCs w:val="22"/>
              </w:rPr>
              <w:t>“</w:t>
            </w:r>
            <w:r w:rsidRPr="00ED14C3">
              <w:rPr>
                <w:sz w:val="22"/>
                <w:szCs w:val="22"/>
              </w:rPr>
              <w:t>confession</w:t>
            </w:r>
            <w:r w:rsidR="001832B4">
              <w:rPr>
                <w:sz w:val="22"/>
                <w:szCs w:val="22"/>
              </w:rPr>
              <w:t>” (p. 37).</w:t>
            </w:r>
          </w:p>
        </w:tc>
      </w:tr>
      <w:tr w:rsidR="00657545" w:rsidRPr="00ED14C3" w14:paraId="31C3B7CB" w14:textId="044556E5" w:rsidTr="00FF0F0F">
        <w:trPr>
          <w:trHeight w:val="554"/>
        </w:trPr>
        <w:tc>
          <w:tcPr>
            <w:tcW w:w="1667" w:type="pct"/>
            <w:tcBorders>
              <w:top w:val="single" w:sz="4" w:space="0" w:color="auto"/>
              <w:left w:val="single" w:sz="4" w:space="0" w:color="auto"/>
              <w:bottom w:val="single" w:sz="4" w:space="0" w:color="auto"/>
              <w:right w:val="single" w:sz="4" w:space="0" w:color="auto"/>
            </w:tcBorders>
          </w:tcPr>
          <w:p w14:paraId="4766A53A" w14:textId="2276F78C" w:rsidR="009F1F50" w:rsidRPr="00ED14C3" w:rsidRDefault="000547FE" w:rsidP="002F34B9">
            <w:pPr>
              <w:pStyle w:val="ToolTableText"/>
              <w:rPr>
                <w:sz w:val="22"/>
                <w:szCs w:val="22"/>
              </w:rPr>
            </w:pPr>
            <w:r w:rsidRPr="00ED14C3">
              <w:rPr>
                <w:sz w:val="22"/>
                <w:szCs w:val="22"/>
              </w:rPr>
              <w:t>Out in the boat on the Rainy River, t</w:t>
            </w:r>
            <w:r w:rsidR="001026C5" w:rsidRPr="00ED14C3">
              <w:rPr>
                <w:sz w:val="22"/>
                <w:szCs w:val="22"/>
              </w:rPr>
              <w:t>he</w:t>
            </w:r>
            <w:r w:rsidR="009F1F50" w:rsidRPr="00ED14C3">
              <w:rPr>
                <w:sz w:val="22"/>
                <w:szCs w:val="22"/>
              </w:rPr>
              <w:t xml:space="preserve"> narrator recalls the “sudden tightness in [his] chest” (p. 53) from twenty years before</w:t>
            </w:r>
            <w:r w:rsidR="00176C1D">
              <w:rPr>
                <w:sz w:val="22"/>
                <w:szCs w:val="22"/>
              </w:rPr>
              <w:t xml:space="preserve"> and interrupts his reflection to engage the reader</w:t>
            </w:r>
            <w:r w:rsidR="002F34B9">
              <w:rPr>
                <w:sz w:val="22"/>
                <w:szCs w:val="22"/>
              </w:rPr>
              <w:t xml:space="preserve"> by saying,</w:t>
            </w:r>
            <w:r w:rsidR="00176C1D">
              <w:rPr>
                <w:sz w:val="22"/>
                <w:szCs w:val="22"/>
              </w:rPr>
              <w:t xml:space="preserve"> </w:t>
            </w:r>
            <w:r w:rsidR="009F1F50" w:rsidRPr="00ED14C3">
              <w:rPr>
                <w:sz w:val="22"/>
                <w:szCs w:val="22"/>
              </w:rPr>
              <w:t xml:space="preserve">“as I write this, I can still feel that tightness” (p. 54). </w:t>
            </w:r>
            <w:r w:rsidR="00176C1D">
              <w:rPr>
                <w:sz w:val="22"/>
                <w:szCs w:val="22"/>
              </w:rPr>
              <w:t>T</w:t>
            </w:r>
            <w:r w:rsidR="009F1F50" w:rsidRPr="00ED14C3">
              <w:rPr>
                <w:sz w:val="22"/>
                <w:szCs w:val="22"/>
              </w:rPr>
              <w:t>he narrator asks his readers to imagine themselves in his same situation, telling them “I want you to feel it</w:t>
            </w:r>
            <w:r w:rsidR="00B71FC8">
              <w:rPr>
                <w:sz w:val="22"/>
                <w:szCs w:val="22"/>
              </w:rPr>
              <w:t xml:space="preserve"> </w:t>
            </w:r>
            <w:r w:rsidR="009F1F50" w:rsidRPr="00ED14C3">
              <w:rPr>
                <w:sz w:val="22"/>
                <w:szCs w:val="22"/>
              </w:rPr>
              <w:t>…</w:t>
            </w:r>
            <w:r w:rsidR="00B71FC8">
              <w:rPr>
                <w:sz w:val="22"/>
                <w:szCs w:val="22"/>
              </w:rPr>
              <w:t xml:space="preserve"> </w:t>
            </w:r>
            <w:r w:rsidR="009F1F50" w:rsidRPr="00ED14C3">
              <w:rPr>
                <w:sz w:val="22"/>
                <w:szCs w:val="22"/>
              </w:rPr>
              <w:t xml:space="preserve">You’re at the bow of a boat on the Rainy River. You’re twenty-one years old, you’re scared, and there’s a hard squeezing pressure in your chest” (p. 54). </w:t>
            </w:r>
            <w:r w:rsidR="00176C1D">
              <w:rPr>
                <w:sz w:val="22"/>
                <w:szCs w:val="22"/>
              </w:rPr>
              <w:t>T</w:t>
            </w:r>
            <w:r w:rsidR="009F1F50" w:rsidRPr="00ED14C3">
              <w:rPr>
                <w:sz w:val="22"/>
                <w:szCs w:val="22"/>
              </w:rPr>
              <w:t>he narrator</w:t>
            </w:r>
            <w:r w:rsidR="00176C1D">
              <w:rPr>
                <w:sz w:val="22"/>
                <w:szCs w:val="22"/>
              </w:rPr>
              <w:t xml:space="preserve"> further engages readers by</w:t>
            </w:r>
            <w:r w:rsidR="009F1F50" w:rsidRPr="00ED14C3">
              <w:rPr>
                <w:sz w:val="22"/>
                <w:szCs w:val="22"/>
              </w:rPr>
              <w:t xml:space="preserve"> ask</w:t>
            </w:r>
            <w:r w:rsidR="00176C1D">
              <w:rPr>
                <w:sz w:val="22"/>
                <w:szCs w:val="22"/>
              </w:rPr>
              <w:t>ing</w:t>
            </w:r>
            <w:r w:rsidR="009F1F50" w:rsidRPr="00ED14C3">
              <w:rPr>
                <w:sz w:val="22"/>
                <w:szCs w:val="22"/>
              </w:rPr>
              <w:t xml:space="preserve"> a series of hypothetical </w:t>
            </w:r>
            <w:r w:rsidR="009F1F50" w:rsidRPr="00ED14C3">
              <w:rPr>
                <w:sz w:val="22"/>
                <w:szCs w:val="22"/>
              </w:rPr>
              <w:lastRenderedPageBreak/>
              <w:t>questions, starting with “What would you do?” (p. 54)</w:t>
            </w:r>
          </w:p>
        </w:tc>
        <w:tc>
          <w:tcPr>
            <w:tcW w:w="1667" w:type="pct"/>
            <w:tcBorders>
              <w:top w:val="single" w:sz="4" w:space="0" w:color="auto"/>
              <w:left w:val="single" w:sz="4" w:space="0" w:color="auto"/>
              <w:bottom w:val="single" w:sz="4" w:space="0" w:color="auto"/>
              <w:right w:val="single" w:sz="4" w:space="0" w:color="auto"/>
            </w:tcBorders>
          </w:tcPr>
          <w:p w14:paraId="14A5A550" w14:textId="53312BC9" w:rsidR="009F1F50" w:rsidRPr="00ED14C3" w:rsidRDefault="009F1F50" w:rsidP="00832D2F">
            <w:pPr>
              <w:pStyle w:val="ToolTableText"/>
              <w:rPr>
                <w:sz w:val="22"/>
                <w:szCs w:val="22"/>
              </w:rPr>
            </w:pPr>
            <w:r w:rsidRPr="00ED14C3">
              <w:rPr>
                <w:sz w:val="22"/>
                <w:szCs w:val="22"/>
              </w:rPr>
              <w:lastRenderedPageBreak/>
              <w:t>B</w:t>
            </w:r>
            <w:r w:rsidR="00100D61">
              <w:rPr>
                <w:sz w:val="22"/>
                <w:szCs w:val="22"/>
              </w:rPr>
              <w:t>reak</w:t>
            </w:r>
            <w:r w:rsidR="00832D2F">
              <w:rPr>
                <w:sz w:val="22"/>
                <w:szCs w:val="22"/>
              </w:rPr>
              <w:t>ing the structure of</w:t>
            </w:r>
            <w:r w:rsidR="00100D61">
              <w:rPr>
                <w:sz w:val="22"/>
                <w:szCs w:val="22"/>
              </w:rPr>
              <w:t xml:space="preserve"> the narrative pulls the reader</w:t>
            </w:r>
            <w:r w:rsidR="00832D2F">
              <w:rPr>
                <w:sz w:val="22"/>
                <w:szCs w:val="22"/>
              </w:rPr>
              <w:t xml:space="preserve"> into the intensity of the narrator’s conflict. By</w:t>
            </w:r>
            <w:r w:rsidRPr="00ED14C3">
              <w:rPr>
                <w:sz w:val="22"/>
                <w:szCs w:val="22"/>
              </w:rPr>
              <w:t xml:space="preserve"> directly addressing the reader in this section of text, </w:t>
            </w:r>
            <w:r w:rsidR="00156799">
              <w:rPr>
                <w:sz w:val="22"/>
                <w:szCs w:val="22"/>
              </w:rPr>
              <w:t xml:space="preserve">the </w:t>
            </w:r>
            <w:r w:rsidR="001026C5" w:rsidRPr="00ED14C3">
              <w:rPr>
                <w:sz w:val="22"/>
                <w:szCs w:val="22"/>
              </w:rPr>
              <w:t>narrator</w:t>
            </w:r>
            <w:r w:rsidR="00100D61">
              <w:rPr>
                <w:sz w:val="22"/>
                <w:szCs w:val="22"/>
              </w:rPr>
              <w:t xml:space="preserve"> creates feeling</w:t>
            </w:r>
            <w:r w:rsidR="00832D2F">
              <w:rPr>
                <w:sz w:val="22"/>
                <w:szCs w:val="22"/>
              </w:rPr>
              <w:t>s</w:t>
            </w:r>
            <w:r w:rsidR="00100D61">
              <w:rPr>
                <w:sz w:val="22"/>
                <w:szCs w:val="22"/>
              </w:rPr>
              <w:t xml:space="preserve"> </w:t>
            </w:r>
            <w:r w:rsidR="00832D2F">
              <w:rPr>
                <w:sz w:val="22"/>
                <w:szCs w:val="22"/>
              </w:rPr>
              <w:t>of empathy and</w:t>
            </w:r>
            <w:r w:rsidRPr="00ED14C3">
              <w:rPr>
                <w:sz w:val="22"/>
                <w:szCs w:val="22"/>
              </w:rPr>
              <w:t xml:space="preserve"> further clarifies the meaning of the story, which is</w:t>
            </w:r>
            <w:r w:rsidR="00EA1F27">
              <w:rPr>
                <w:sz w:val="22"/>
                <w:szCs w:val="22"/>
              </w:rPr>
              <w:t xml:space="preserve"> </w:t>
            </w:r>
            <w:r w:rsidR="00832D2F">
              <w:rPr>
                <w:sz w:val="22"/>
                <w:szCs w:val="22"/>
              </w:rPr>
              <w:t>his</w:t>
            </w:r>
            <w:r w:rsidR="00EA1F27">
              <w:rPr>
                <w:sz w:val="22"/>
                <w:szCs w:val="22"/>
              </w:rPr>
              <w:t xml:space="preserve"> ongoing struggle to resolve the conflict between his shame and his beliefs</w:t>
            </w:r>
            <w:r w:rsidRPr="00ED14C3">
              <w:rPr>
                <w:sz w:val="22"/>
                <w:szCs w:val="22"/>
              </w:rPr>
              <w:t xml:space="preserve">. The narrator wants </w:t>
            </w:r>
            <w:r w:rsidR="00100D61">
              <w:rPr>
                <w:sz w:val="22"/>
                <w:szCs w:val="22"/>
              </w:rPr>
              <w:t>the reader</w:t>
            </w:r>
            <w:r w:rsidRPr="00ED14C3">
              <w:rPr>
                <w:sz w:val="22"/>
                <w:szCs w:val="22"/>
              </w:rPr>
              <w:t xml:space="preserve"> to envision themselves as young, scared, and facing a life-changing decision that tests their convictions</w:t>
            </w:r>
            <w:r w:rsidR="00832D2F">
              <w:rPr>
                <w:sz w:val="22"/>
                <w:szCs w:val="22"/>
              </w:rPr>
              <w:t xml:space="preserve"> because he</w:t>
            </w:r>
            <w:r w:rsidRPr="00ED14C3">
              <w:rPr>
                <w:sz w:val="22"/>
                <w:szCs w:val="22"/>
              </w:rPr>
              <w:t xml:space="preserve"> seeks validation and </w:t>
            </w:r>
            <w:r w:rsidR="00B862A5" w:rsidRPr="00ED14C3">
              <w:rPr>
                <w:sz w:val="22"/>
                <w:szCs w:val="22"/>
              </w:rPr>
              <w:t>relief from</w:t>
            </w:r>
            <w:r w:rsidRPr="00ED14C3">
              <w:rPr>
                <w:sz w:val="22"/>
                <w:szCs w:val="22"/>
              </w:rPr>
              <w:t xml:space="preserve"> </w:t>
            </w:r>
            <w:r w:rsidR="000547FE" w:rsidRPr="00ED14C3">
              <w:rPr>
                <w:sz w:val="22"/>
                <w:szCs w:val="22"/>
              </w:rPr>
              <w:t xml:space="preserve">his </w:t>
            </w:r>
            <w:r w:rsidR="00100D61">
              <w:rPr>
                <w:sz w:val="22"/>
                <w:szCs w:val="22"/>
              </w:rPr>
              <w:t>shame</w:t>
            </w:r>
            <w:r w:rsidRPr="00ED14C3">
              <w:rPr>
                <w:sz w:val="22"/>
                <w:szCs w:val="22"/>
              </w:rPr>
              <w:t xml:space="preserve">. </w:t>
            </w:r>
          </w:p>
        </w:tc>
        <w:tc>
          <w:tcPr>
            <w:tcW w:w="1667" w:type="pct"/>
            <w:tcBorders>
              <w:top w:val="single" w:sz="4" w:space="0" w:color="auto"/>
              <w:left w:val="single" w:sz="4" w:space="0" w:color="auto"/>
              <w:bottom w:val="single" w:sz="4" w:space="0" w:color="auto"/>
              <w:right w:val="single" w:sz="4" w:space="0" w:color="auto"/>
            </w:tcBorders>
          </w:tcPr>
          <w:p w14:paraId="7BA5C5E4" w14:textId="77777777" w:rsidR="005A3D39" w:rsidRPr="00962306" w:rsidRDefault="005A3D39" w:rsidP="007F7B47">
            <w:pPr>
              <w:pStyle w:val="ToolTableText"/>
              <w:rPr>
                <w:sz w:val="22"/>
                <w:szCs w:val="22"/>
              </w:rPr>
            </w:pPr>
            <w:r w:rsidRPr="00962306">
              <w:rPr>
                <w:sz w:val="22"/>
                <w:szCs w:val="22"/>
              </w:rPr>
              <w:t>This structural choice contributes to the overall structure of the text by momentarily breaking the narrator’s reflection. Following this break, the narrator returns to the story by addressing his reflections at the beginning of the story about why he “never told this story before” (p. 54), thus, connecting the past to the present.</w:t>
            </w:r>
          </w:p>
          <w:p w14:paraId="7323364D" w14:textId="36BCA024" w:rsidR="009F1F50" w:rsidRPr="00ED14C3" w:rsidRDefault="009F1F50" w:rsidP="002951E7">
            <w:pPr>
              <w:pStyle w:val="ToolTableText"/>
              <w:rPr>
                <w:sz w:val="22"/>
                <w:szCs w:val="22"/>
              </w:rPr>
            </w:pPr>
          </w:p>
        </w:tc>
      </w:tr>
      <w:tr w:rsidR="00657545" w:rsidRPr="00ED14C3" w14:paraId="3E47A030" w14:textId="77777777" w:rsidTr="00FF0F0F">
        <w:trPr>
          <w:cantSplit/>
          <w:trHeight w:val="554"/>
        </w:trPr>
        <w:tc>
          <w:tcPr>
            <w:tcW w:w="1667" w:type="pct"/>
            <w:tcBorders>
              <w:top w:val="single" w:sz="4" w:space="0" w:color="auto"/>
              <w:left w:val="single" w:sz="4" w:space="0" w:color="auto"/>
              <w:bottom w:val="single" w:sz="4" w:space="0" w:color="auto"/>
              <w:right w:val="single" w:sz="4" w:space="0" w:color="auto"/>
            </w:tcBorders>
          </w:tcPr>
          <w:p w14:paraId="13F3744E" w14:textId="793B0EE8" w:rsidR="009F1F50" w:rsidRPr="00ED14C3" w:rsidRDefault="0082713A" w:rsidP="002F34B9">
            <w:pPr>
              <w:pStyle w:val="ToolTableText"/>
              <w:rPr>
                <w:sz w:val="22"/>
                <w:szCs w:val="22"/>
              </w:rPr>
            </w:pPr>
            <w:r>
              <w:rPr>
                <w:sz w:val="22"/>
                <w:szCs w:val="22"/>
              </w:rPr>
              <w:lastRenderedPageBreak/>
              <w:t>The</w:t>
            </w:r>
            <w:r w:rsidR="00B4379C" w:rsidRPr="00ED14C3">
              <w:rPr>
                <w:sz w:val="22"/>
                <w:szCs w:val="22"/>
              </w:rPr>
              <w:t xml:space="preserve"> narrator recalls his past as though it happened “in some other dimension</w:t>
            </w:r>
            <w:r w:rsidR="00A66F65">
              <w:rPr>
                <w:sz w:val="22"/>
                <w:szCs w:val="22"/>
              </w:rPr>
              <w:t>,</w:t>
            </w:r>
            <w:r w:rsidR="00B4379C" w:rsidRPr="00ED14C3">
              <w:rPr>
                <w:sz w:val="22"/>
                <w:szCs w:val="22"/>
              </w:rPr>
              <w:t>” even though “</w:t>
            </w:r>
            <w:r w:rsidR="00BB6C98" w:rsidRPr="00ED14C3">
              <w:rPr>
                <w:sz w:val="22"/>
                <w:szCs w:val="22"/>
              </w:rPr>
              <w:t>[</w:t>
            </w:r>
            <w:r w:rsidR="00B4379C" w:rsidRPr="00ED14C3">
              <w:rPr>
                <w:sz w:val="22"/>
                <w:szCs w:val="22"/>
              </w:rPr>
              <w:t>n</w:t>
            </w:r>
            <w:r w:rsidR="00BB6C98" w:rsidRPr="00ED14C3">
              <w:rPr>
                <w:sz w:val="22"/>
                <w:szCs w:val="22"/>
              </w:rPr>
              <w:t>]</w:t>
            </w:r>
            <w:r w:rsidR="00B4379C" w:rsidRPr="00ED14C3">
              <w:rPr>
                <w:sz w:val="22"/>
                <w:szCs w:val="22"/>
              </w:rPr>
              <w:t>one of it ever seemed real” (p. 52</w:t>
            </w:r>
            <w:r w:rsidR="00146AD1" w:rsidRPr="00ED14C3">
              <w:rPr>
                <w:sz w:val="22"/>
                <w:szCs w:val="22"/>
              </w:rPr>
              <w:t>). T</w:t>
            </w:r>
            <w:r w:rsidR="00B4379C" w:rsidRPr="00ED14C3">
              <w:rPr>
                <w:sz w:val="22"/>
                <w:szCs w:val="22"/>
              </w:rPr>
              <w:t>he</w:t>
            </w:r>
            <w:r w:rsidR="009F1F50" w:rsidRPr="00ED14C3">
              <w:rPr>
                <w:sz w:val="22"/>
                <w:szCs w:val="22"/>
              </w:rPr>
              <w:t xml:space="preserve"> narrator recalls</w:t>
            </w:r>
            <w:r w:rsidR="002F34B9">
              <w:rPr>
                <w:sz w:val="22"/>
                <w:szCs w:val="22"/>
              </w:rPr>
              <w:t>,</w:t>
            </w:r>
            <w:r w:rsidR="00B4379C" w:rsidRPr="00ED14C3">
              <w:rPr>
                <w:sz w:val="22"/>
                <w:szCs w:val="22"/>
              </w:rPr>
              <w:t xml:space="preserve"> </w:t>
            </w:r>
            <w:r w:rsidR="009F1F50" w:rsidRPr="00ED14C3">
              <w:rPr>
                <w:sz w:val="22"/>
                <w:szCs w:val="22"/>
              </w:rPr>
              <w:t>“</w:t>
            </w:r>
            <w:r w:rsidR="00BB6C98" w:rsidRPr="00ED14C3">
              <w:rPr>
                <w:sz w:val="22"/>
                <w:szCs w:val="22"/>
              </w:rPr>
              <w:t>[</w:t>
            </w:r>
            <w:r w:rsidR="00B4379C" w:rsidRPr="00ED14C3">
              <w:rPr>
                <w:sz w:val="22"/>
                <w:szCs w:val="22"/>
              </w:rPr>
              <w:t>e</w:t>
            </w:r>
            <w:r w:rsidR="00BB6C98" w:rsidRPr="00ED14C3">
              <w:rPr>
                <w:sz w:val="22"/>
                <w:szCs w:val="22"/>
              </w:rPr>
              <w:t>]</w:t>
            </w:r>
            <w:r w:rsidR="009F1F50" w:rsidRPr="00ED14C3">
              <w:rPr>
                <w:sz w:val="22"/>
                <w:szCs w:val="22"/>
              </w:rPr>
              <w:t xml:space="preserve">ven now I can see myself as I was then” (p. 52). </w:t>
            </w:r>
          </w:p>
        </w:tc>
        <w:tc>
          <w:tcPr>
            <w:tcW w:w="1667" w:type="pct"/>
            <w:tcBorders>
              <w:top w:val="single" w:sz="4" w:space="0" w:color="auto"/>
              <w:left w:val="single" w:sz="4" w:space="0" w:color="auto"/>
              <w:bottom w:val="single" w:sz="4" w:space="0" w:color="auto"/>
              <w:right w:val="single" w:sz="4" w:space="0" w:color="auto"/>
            </w:tcBorders>
          </w:tcPr>
          <w:p w14:paraId="03985E58" w14:textId="0C42AB2C" w:rsidR="009F1F50" w:rsidRPr="00ED14C3" w:rsidRDefault="004A1DBF" w:rsidP="004A1DBF">
            <w:pPr>
              <w:pStyle w:val="ToolTableText"/>
              <w:rPr>
                <w:sz w:val="22"/>
                <w:szCs w:val="22"/>
              </w:rPr>
            </w:pPr>
            <w:r>
              <w:rPr>
                <w:sz w:val="22"/>
                <w:szCs w:val="22"/>
              </w:rPr>
              <w:t>O’Brien</w:t>
            </w:r>
            <w:r w:rsidR="009F1F50" w:rsidRPr="00ED14C3">
              <w:rPr>
                <w:sz w:val="22"/>
                <w:szCs w:val="22"/>
              </w:rPr>
              <w:t xml:space="preserve"> manipula</w:t>
            </w:r>
            <w:r w:rsidR="00220B0D" w:rsidRPr="00ED14C3">
              <w:rPr>
                <w:sz w:val="22"/>
                <w:szCs w:val="22"/>
              </w:rPr>
              <w:t>tes time by shifting between the narrator’s</w:t>
            </w:r>
            <w:r w:rsidR="009F1F50" w:rsidRPr="00ED14C3">
              <w:rPr>
                <w:sz w:val="22"/>
                <w:szCs w:val="22"/>
              </w:rPr>
              <w:t xml:space="preserve"> present</w:t>
            </w:r>
            <w:r w:rsidR="000834C2" w:rsidRPr="00ED14C3">
              <w:rPr>
                <w:sz w:val="22"/>
                <w:szCs w:val="22"/>
              </w:rPr>
              <w:t xml:space="preserve"> observations </w:t>
            </w:r>
            <w:r w:rsidR="00BC2722" w:rsidRPr="00ED14C3">
              <w:rPr>
                <w:sz w:val="22"/>
                <w:szCs w:val="22"/>
              </w:rPr>
              <w:t>and recollection</w:t>
            </w:r>
            <w:r>
              <w:rPr>
                <w:sz w:val="22"/>
                <w:szCs w:val="22"/>
              </w:rPr>
              <w:t>s</w:t>
            </w:r>
            <w:r w:rsidR="00BC2722" w:rsidRPr="00ED14C3">
              <w:rPr>
                <w:sz w:val="22"/>
                <w:szCs w:val="22"/>
              </w:rPr>
              <w:t xml:space="preserve"> of the past</w:t>
            </w:r>
            <w:r w:rsidR="00DE1BAD" w:rsidRPr="00ED14C3">
              <w:rPr>
                <w:sz w:val="22"/>
                <w:szCs w:val="22"/>
              </w:rPr>
              <w:t>.</w:t>
            </w:r>
            <w:r w:rsidR="009F1F50" w:rsidRPr="00ED14C3">
              <w:rPr>
                <w:sz w:val="22"/>
                <w:szCs w:val="22"/>
              </w:rPr>
              <w:t xml:space="preserve"> </w:t>
            </w:r>
            <w:r w:rsidR="00E3652B">
              <w:rPr>
                <w:sz w:val="22"/>
                <w:szCs w:val="22"/>
              </w:rPr>
              <w:t xml:space="preserve">The </w:t>
            </w:r>
            <w:r w:rsidR="009F1F50" w:rsidRPr="00ED14C3">
              <w:rPr>
                <w:sz w:val="22"/>
                <w:szCs w:val="22"/>
              </w:rPr>
              <w:t xml:space="preserve">narrator </w:t>
            </w:r>
            <w:r w:rsidR="007F0356" w:rsidRPr="00ED14C3">
              <w:rPr>
                <w:sz w:val="22"/>
                <w:szCs w:val="22"/>
              </w:rPr>
              <w:t>tells</w:t>
            </w:r>
            <w:r w:rsidR="009F1F50" w:rsidRPr="00ED14C3">
              <w:rPr>
                <w:sz w:val="22"/>
                <w:szCs w:val="22"/>
              </w:rPr>
              <w:t xml:space="preserve"> th</w:t>
            </w:r>
            <w:r w:rsidR="007F0356" w:rsidRPr="00ED14C3">
              <w:rPr>
                <w:sz w:val="22"/>
                <w:szCs w:val="22"/>
              </w:rPr>
              <w:t>e</w:t>
            </w:r>
            <w:r w:rsidR="009F1F50" w:rsidRPr="00ED14C3">
              <w:rPr>
                <w:sz w:val="22"/>
                <w:szCs w:val="22"/>
              </w:rPr>
              <w:t xml:space="preserve"> burden</w:t>
            </w:r>
            <w:r w:rsidR="00B862A5" w:rsidRPr="00ED14C3">
              <w:rPr>
                <w:sz w:val="22"/>
                <w:szCs w:val="22"/>
              </w:rPr>
              <w:t>some story</w:t>
            </w:r>
            <w:r w:rsidR="009F1F50" w:rsidRPr="00ED14C3">
              <w:rPr>
                <w:sz w:val="22"/>
                <w:szCs w:val="22"/>
              </w:rPr>
              <w:t xml:space="preserve"> from his past, </w:t>
            </w:r>
            <w:r w:rsidR="00B862A5" w:rsidRPr="00ED14C3">
              <w:rPr>
                <w:sz w:val="22"/>
                <w:szCs w:val="22"/>
              </w:rPr>
              <w:t xml:space="preserve">while showing </w:t>
            </w:r>
            <w:r w:rsidR="009F1F50" w:rsidRPr="00ED14C3">
              <w:rPr>
                <w:sz w:val="22"/>
                <w:szCs w:val="22"/>
              </w:rPr>
              <w:t>he</w:t>
            </w:r>
            <w:r w:rsidR="00B4379C" w:rsidRPr="00ED14C3">
              <w:rPr>
                <w:sz w:val="22"/>
                <w:szCs w:val="22"/>
              </w:rPr>
              <w:t xml:space="preserve"> still </w:t>
            </w:r>
            <w:r w:rsidR="009F1F50" w:rsidRPr="00ED14C3">
              <w:rPr>
                <w:sz w:val="22"/>
                <w:szCs w:val="22"/>
              </w:rPr>
              <w:t xml:space="preserve">struggles </w:t>
            </w:r>
            <w:r w:rsidR="00B4379C" w:rsidRPr="00ED14C3">
              <w:rPr>
                <w:sz w:val="22"/>
                <w:szCs w:val="22"/>
              </w:rPr>
              <w:t>with the</w:t>
            </w:r>
            <w:r w:rsidR="00B862A5" w:rsidRPr="00ED14C3">
              <w:rPr>
                <w:sz w:val="22"/>
                <w:szCs w:val="22"/>
              </w:rPr>
              <w:t xml:space="preserve"> shame of it</w:t>
            </w:r>
            <w:r w:rsidR="00B4379C" w:rsidRPr="00ED14C3">
              <w:rPr>
                <w:sz w:val="22"/>
                <w:szCs w:val="22"/>
              </w:rPr>
              <w:t xml:space="preserve"> in the present, referring to the memory “like watching an old home movie” (p. 52). </w:t>
            </w:r>
            <w:r w:rsidR="00C252C0">
              <w:rPr>
                <w:sz w:val="22"/>
                <w:szCs w:val="22"/>
              </w:rPr>
              <w:t>The</w:t>
            </w:r>
            <w:r w:rsidR="00B4379C" w:rsidRPr="00ED14C3">
              <w:rPr>
                <w:sz w:val="22"/>
                <w:szCs w:val="22"/>
              </w:rPr>
              <w:t xml:space="preserve"> narrator tries </w:t>
            </w:r>
            <w:r w:rsidR="009F1F50" w:rsidRPr="00ED14C3">
              <w:rPr>
                <w:sz w:val="22"/>
                <w:szCs w:val="22"/>
              </w:rPr>
              <w:t>to get readers to empathize with hi</w:t>
            </w:r>
            <w:r w:rsidR="00B862A5" w:rsidRPr="00ED14C3">
              <w:rPr>
                <w:sz w:val="22"/>
                <w:szCs w:val="22"/>
              </w:rPr>
              <w:t>s situation and even his feelings about it in the present</w:t>
            </w:r>
            <w:r w:rsidR="00B4379C" w:rsidRPr="00ED14C3">
              <w:rPr>
                <w:sz w:val="22"/>
                <w:szCs w:val="22"/>
              </w:rPr>
              <w:t>, even though when “</w:t>
            </w:r>
            <w:r w:rsidR="00BB6C98" w:rsidRPr="00ED14C3">
              <w:rPr>
                <w:sz w:val="22"/>
                <w:szCs w:val="22"/>
              </w:rPr>
              <w:t>[</w:t>
            </w:r>
            <w:r w:rsidR="00B4379C" w:rsidRPr="00ED14C3">
              <w:rPr>
                <w:sz w:val="22"/>
                <w:szCs w:val="22"/>
              </w:rPr>
              <w:t>he</w:t>
            </w:r>
            <w:r w:rsidR="00BB6C98" w:rsidRPr="00ED14C3">
              <w:rPr>
                <w:sz w:val="22"/>
                <w:szCs w:val="22"/>
              </w:rPr>
              <w:t>]</w:t>
            </w:r>
            <w:r w:rsidR="00B4379C" w:rsidRPr="00ED14C3">
              <w:rPr>
                <w:sz w:val="22"/>
                <w:szCs w:val="22"/>
              </w:rPr>
              <w:t xml:space="preserve"> [tries] to explain some of [his] feelings</w:t>
            </w:r>
            <w:r w:rsidR="00B71FC8">
              <w:rPr>
                <w:sz w:val="22"/>
                <w:szCs w:val="22"/>
              </w:rPr>
              <w:t xml:space="preserve"> </w:t>
            </w:r>
            <w:r w:rsidR="00294777" w:rsidRPr="00ED14C3">
              <w:rPr>
                <w:sz w:val="22"/>
                <w:szCs w:val="22"/>
              </w:rPr>
              <w:t>…</w:t>
            </w:r>
            <w:r w:rsidR="00B71FC8">
              <w:rPr>
                <w:sz w:val="22"/>
                <w:szCs w:val="22"/>
              </w:rPr>
              <w:t xml:space="preserve"> </w:t>
            </w:r>
            <w:r w:rsidR="00B4379C" w:rsidRPr="00ED14C3">
              <w:rPr>
                <w:sz w:val="22"/>
                <w:szCs w:val="22"/>
              </w:rPr>
              <w:t>there aren’t enough words” (p. 52)</w:t>
            </w:r>
            <w:r w:rsidR="009F1F50" w:rsidRPr="00ED14C3">
              <w:rPr>
                <w:sz w:val="22"/>
                <w:szCs w:val="22"/>
              </w:rPr>
              <w:t xml:space="preserve">. </w:t>
            </w:r>
            <w:r w:rsidR="00B43CC2">
              <w:rPr>
                <w:sz w:val="22"/>
                <w:szCs w:val="22"/>
              </w:rPr>
              <w:t>The narrator</w:t>
            </w:r>
            <w:r w:rsidR="00BC2722" w:rsidRPr="00ED14C3">
              <w:rPr>
                <w:sz w:val="22"/>
                <w:szCs w:val="22"/>
              </w:rPr>
              <w:t xml:space="preserve"> tries to make t</w:t>
            </w:r>
            <w:r w:rsidR="000834C2" w:rsidRPr="00ED14C3">
              <w:rPr>
                <w:sz w:val="22"/>
                <w:szCs w:val="22"/>
              </w:rPr>
              <w:t>he reader u</w:t>
            </w:r>
            <w:r w:rsidR="00BC2722" w:rsidRPr="00ED14C3">
              <w:rPr>
                <w:sz w:val="22"/>
                <w:szCs w:val="22"/>
              </w:rPr>
              <w:t xml:space="preserve">nderstand </w:t>
            </w:r>
            <w:r w:rsidR="00220B0D" w:rsidRPr="00ED14C3">
              <w:rPr>
                <w:sz w:val="22"/>
                <w:szCs w:val="22"/>
              </w:rPr>
              <w:t xml:space="preserve">that </w:t>
            </w:r>
            <w:r w:rsidR="00B43CC2">
              <w:rPr>
                <w:sz w:val="22"/>
                <w:szCs w:val="22"/>
              </w:rPr>
              <w:t xml:space="preserve">his feelings </w:t>
            </w:r>
            <w:r w:rsidR="00BC2722" w:rsidRPr="00ED14C3">
              <w:rPr>
                <w:sz w:val="22"/>
                <w:szCs w:val="22"/>
              </w:rPr>
              <w:t>from the past</w:t>
            </w:r>
            <w:r w:rsidR="000834C2" w:rsidRPr="00ED14C3">
              <w:rPr>
                <w:sz w:val="22"/>
                <w:szCs w:val="22"/>
              </w:rPr>
              <w:t xml:space="preserve"> are different from his feelings no</w:t>
            </w:r>
            <w:r w:rsidR="00BC2722" w:rsidRPr="00ED14C3">
              <w:rPr>
                <w:sz w:val="22"/>
                <w:szCs w:val="22"/>
              </w:rPr>
              <w:t>w, and part of</w:t>
            </w:r>
            <w:r w:rsidR="000834C2" w:rsidRPr="00ED14C3">
              <w:rPr>
                <w:sz w:val="22"/>
                <w:szCs w:val="22"/>
              </w:rPr>
              <w:t xml:space="preserve"> telling this story is working through this understanding of himself: who he was then versus who he is now. </w:t>
            </w:r>
          </w:p>
        </w:tc>
        <w:tc>
          <w:tcPr>
            <w:tcW w:w="1667" w:type="pct"/>
            <w:tcBorders>
              <w:top w:val="single" w:sz="4" w:space="0" w:color="auto"/>
              <w:left w:val="single" w:sz="4" w:space="0" w:color="auto"/>
              <w:bottom w:val="single" w:sz="4" w:space="0" w:color="auto"/>
              <w:right w:val="single" w:sz="4" w:space="0" w:color="auto"/>
            </w:tcBorders>
          </w:tcPr>
          <w:p w14:paraId="07681057" w14:textId="150EA4B0" w:rsidR="009F1F50" w:rsidRPr="00ED14C3" w:rsidRDefault="009F1F50" w:rsidP="00B70BED">
            <w:pPr>
              <w:pStyle w:val="ToolTableText"/>
              <w:rPr>
                <w:sz w:val="22"/>
                <w:szCs w:val="22"/>
              </w:rPr>
            </w:pPr>
            <w:r w:rsidRPr="00ED14C3">
              <w:rPr>
                <w:sz w:val="22"/>
                <w:szCs w:val="22"/>
              </w:rPr>
              <w:t xml:space="preserve">O’Brien manipulates </w:t>
            </w:r>
            <w:r w:rsidR="00B4379C" w:rsidRPr="00ED14C3">
              <w:rPr>
                <w:sz w:val="22"/>
                <w:szCs w:val="22"/>
              </w:rPr>
              <w:t xml:space="preserve">time in the story by shifting </w:t>
            </w:r>
            <w:r w:rsidR="00B70BED">
              <w:rPr>
                <w:sz w:val="22"/>
                <w:szCs w:val="22"/>
              </w:rPr>
              <w:t>between the</w:t>
            </w:r>
            <w:r w:rsidR="00220B0D" w:rsidRPr="00ED14C3">
              <w:rPr>
                <w:sz w:val="22"/>
                <w:szCs w:val="22"/>
              </w:rPr>
              <w:t xml:space="preserve"> narrator’s</w:t>
            </w:r>
            <w:r w:rsidR="00BC2722" w:rsidRPr="00ED14C3">
              <w:rPr>
                <w:sz w:val="22"/>
                <w:szCs w:val="22"/>
              </w:rPr>
              <w:t xml:space="preserve"> present observations</w:t>
            </w:r>
            <w:r w:rsidR="00B70BED">
              <w:rPr>
                <w:sz w:val="22"/>
                <w:szCs w:val="22"/>
              </w:rPr>
              <w:t xml:space="preserve"> and recollections of his past</w:t>
            </w:r>
            <w:r w:rsidR="00BC2722" w:rsidRPr="00ED14C3">
              <w:rPr>
                <w:sz w:val="22"/>
                <w:szCs w:val="22"/>
              </w:rPr>
              <w:t>. T</w:t>
            </w:r>
            <w:r w:rsidR="00B4379C" w:rsidRPr="00ED14C3">
              <w:rPr>
                <w:sz w:val="22"/>
                <w:szCs w:val="22"/>
              </w:rPr>
              <w:t>his</w:t>
            </w:r>
            <w:r w:rsidR="00BC2722" w:rsidRPr="00ED14C3">
              <w:rPr>
                <w:sz w:val="22"/>
                <w:szCs w:val="22"/>
              </w:rPr>
              <w:t xml:space="preserve"> shift in time</w:t>
            </w:r>
            <w:r w:rsidR="00B4379C" w:rsidRPr="00ED14C3">
              <w:rPr>
                <w:sz w:val="22"/>
                <w:szCs w:val="22"/>
              </w:rPr>
              <w:t xml:space="preserve"> contributes to the reflective structure of the story</w:t>
            </w:r>
            <w:r w:rsidR="00B70BED">
              <w:rPr>
                <w:sz w:val="22"/>
                <w:szCs w:val="22"/>
              </w:rPr>
              <w:t>, as t</w:t>
            </w:r>
            <w:r w:rsidR="00B4379C" w:rsidRPr="00ED14C3">
              <w:rPr>
                <w:sz w:val="22"/>
                <w:szCs w:val="22"/>
              </w:rPr>
              <w:t>he narrator shares</w:t>
            </w:r>
            <w:r w:rsidR="00BE4475" w:rsidRPr="00ED14C3">
              <w:rPr>
                <w:sz w:val="22"/>
                <w:szCs w:val="22"/>
              </w:rPr>
              <w:t xml:space="preserve"> both</w:t>
            </w:r>
            <w:r w:rsidR="00B4379C" w:rsidRPr="00ED14C3">
              <w:rPr>
                <w:sz w:val="22"/>
                <w:szCs w:val="22"/>
              </w:rPr>
              <w:t xml:space="preserve"> his thoughts from when</w:t>
            </w:r>
            <w:r w:rsidRPr="00ED14C3">
              <w:rPr>
                <w:sz w:val="22"/>
                <w:szCs w:val="22"/>
              </w:rPr>
              <w:t xml:space="preserve"> </w:t>
            </w:r>
            <w:r w:rsidR="00B4379C" w:rsidRPr="00ED14C3">
              <w:rPr>
                <w:sz w:val="22"/>
                <w:szCs w:val="22"/>
              </w:rPr>
              <w:t xml:space="preserve">the events happened and from </w:t>
            </w:r>
            <w:r w:rsidR="00BE4475" w:rsidRPr="00ED14C3">
              <w:rPr>
                <w:sz w:val="22"/>
                <w:szCs w:val="22"/>
              </w:rPr>
              <w:t>present day</w:t>
            </w:r>
            <w:r w:rsidR="00B4379C" w:rsidRPr="00ED14C3">
              <w:rPr>
                <w:sz w:val="22"/>
                <w:szCs w:val="22"/>
              </w:rPr>
              <w:t>.</w:t>
            </w:r>
          </w:p>
        </w:tc>
      </w:tr>
      <w:tr w:rsidR="00BD5A1F" w:rsidRPr="00ED14C3" w14:paraId="3AA38F91" w14:textId="77777777" w:rsidTr="00FF0F0F">
        <w:trPr>
          <w:cantSplit/>
          <w:trHeight w:val="554"/>
        </w:trPr>
        <w:tc>
          <w:tcPr>
            <w:tcW w:w="1667" w:type="pct"/>
            <w:tcBorders>
              <w:top w:val="single" w:sz="4" w:space="0" w:color="auto"/>
              <w:left w:val="single" w:sz="4" w:space="0" w:color="auto"/>
              <w:bottom w:val="single" w:sz="4" w:space="0" w:color="auto"/>
              <w:right w:val="single" w:sz="4" w:space="0" w:color="auto"/>
            </w:tcBorders>
          </w:tcPr>
          <w:p w14:paraId="5A390C88" w14:textId="2764BB8A" w:rsidR="00BD5A1F" w:rsidRPr="002F34B9" w:rsidRDefault="00BD5A1F" w:rsidP="007F7B47">
            <w:pPr>
              <w:pStyle w:val="ToolTableText"/>
              <w:rPr>
                <w:sz w:val="22"/>
                <w:szCs w:val="22"/>
              </w:rPr>
            </w:pPr>
            <w:r w:rsidRPr="002F34B9">
              <w:rPr>
                <w:sz w:val="22"/>
                <w:szCs w:val="22"/>
              </w:rPr>
              <w:t>In the conclusion, the narrator admits</w:t>
            </w:r>
            <w:r w:rsidR="002F34B9">
              <w:rPr>
                <w:sz w:val="22"/>
                <w:szCs w:val="22"/>
              </w:rPr>
              <w:t>,</w:t>
            </w:r>
            <w:r w:rsidRPr="002F34B9">
              <w:rPr>
                <w:sz w:val="22"/>
                <w:szCs w:val="22"/>
              </w:rPr>
              <w:t xml:space="preserve"> “I was a coward. I went to the war” (p. 58).</w:t>
            </w:r>
          </w:p>
        </w:tc>
        <w:tc>
          <w:tcPr>
            <w:tcW w:w="1667" w:type="pct"/>
            <w:tcBorders>
              <w:top w:val="single" w:sz="4" w:space="0" w:color="auto"/>
              <w:left w:val="single" w:sz="4" w:space="0" w:color="auto"/>
              <w:bottom w:val="single" w:sz="4" w:space="0" w:color="auto"/>
              <w:right w:val="single" w:sz="4" w:space="0" w:color="auto"/>
            </w:tcBorders>
          </w:tcPr>
          <w:p w14:paraId="59A2A70E" w14:textId="55F495F0" w:rsidR="00BD5A1F" w:rsidRPr="002F34B9" w:rsidRDefault="00B34B65" w:rsidP="007F7B47">
            <w:pPr>
              <w:pStyle w:val="ToolTableText"/>
              <w:rPr>
                <w:sz w:val="22"/>
                <w:szCs w:val="22"/>
              </w:rPr>
            </w:pPr>
            <w:r w:rsidRPr="002F34B9">
              <w:rPr>
                <w:sz w:val="22"/>
                <w:szCs w:val="22"/>
              </w:rPr>
              <w:t xml:space="preserve">This conclusion contributes to the overall meaning of the text because the narrator’s conflict is not resolved; it is not a “happy ending” (p. 58) because he still feels “shame” (p. 37). </w:t>
            </w:r>
          </w:p>
        </w:tc>
        <w:tc>
          <w:tcPr>
            <w:tcW w:w="1667" w:type="pct"/>
            <w:tcBorders>
              <w:top w:val="single" w:sz="4" w:space="0" w:color="auto"/>
              <w:left w:val="single" w:sz="4" w:space="0" w:color="auto"/>
              <w:bottom w:val="single" w:sz="4" w:space="0" w:color="auto"/>
              <w:right w:val="single" w:sz="4" w:space="0" w:color="auto"/>
            </w:tcBorders>
          </w:tcPr>
          <w:p w14:paraId="4FEFB946" w14:textId="23290AD4" w:rsidR="00BD5A1F" w:rsidRPr="002F34B9" w:rsidRDefault="00B34B65" w:rsidP="007F7B47">
            <w:pPr>
              <w:pStyle w:val="ToolTableText"/>
              <w:rPr>
                <w:sz w:val="22"/>
                <w:szCs w:val="22"/>
              </w:rPr>
            </w:pPr>
            <w:r w:rsidRPr="002F34B9">
              <w:rPr>
                <w:sz w:val="22"/>
                <w:szCs w:val="22"/>
              </w:rPr>
              <w:t>The story’s conclusion also contributes to the overall structure of the text in that it ends without a resolution.</w:t>
            </w:r>
          </w:p>
        </w:tc>
      </w:tr>
    </w:tbl>
    <w:p w14:paraId="4BCD476B" w14:textId="77777777" w:rsidR="007A545D" w:rsidRDefault="007A545D" w:rsidP="007A545D">
      <w:pPr>
        <w:spacing w:after="0" w:line="240" w:lineRule="auto"/>
      </w:pPr>
    </w:p>
    <w:p w14:paraId="778B40BD" w14:textId="0C112DB6" w:rsidR="00887DB5" w:rsidRDefault="00887DB5">
      <w:pPr>
        <w:spacing w:before="0" w:after="160" w:line="259" w:lineRule="auto"/>
        <w:rPr>
          <w:rFonts w:asciiTheme="minorHAnsi" w:hAnsiTheme="minorHAnsi"/>
          <w:b/>
          <w:bCs/>
          <w:color w:val="365F91"/>
          <w:sz w:val="32"/>
          <w:szCs w:val="28"/>
        </w:rPr>
      </w:pPr>
    </w:p>
    <w:sectPr w:rsidR="00887DB5" w:rsidSect="00EC0B12">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76B72" w14:textId="77777777" w:rsidR="002A6A97" w:rsidRDefault="002A6A97">
      <w:pPr>
        <w:spacing w:before="0" w:after="0" w:line="240" w:lineRule="auto"/>
      </w:pPr>
      <w:r>
        <w:separator/>
      </w:r>
    </w:p>
  </w:endnote>
  <w:endnote w:type="continuationSeparator" w:id="0">
    <w:p w14:paraId="5DF56470" w14:textId="77777777" w:rsidR="002A6A97" w:rsidRDefault="002A6A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1F1B" w14:textId="77777777" w:rsidR="000B5390" w:rsidRDefault="000B5390" w:rsidP="001E2C3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4B43BC1" w14:textId="77777777" w:rsidR="000B5390" w:rsidRDefault="000B5390" w:rsidP="001E2C34">
    <w:pPr>
      <w:pStyle w:val="Footer"/>
    </w:pPr>
  </w:p>
  <w:p w14:paraId="01653901" w14:textId="77777777" w:rsidR="000B5390" w:rsidRDefault="000B5390" w:rsidP="001E2C34"/>
  <w:p w14:paraId="23487F55" w14:textId="77777777" w:rsidR="000B5390" w:rsidRDefault="000B5390" w:rsidP="001E2C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ADAD1" w14:textId="77777777" w:rsidR="000B5390" w:rsidRPr="00563CB8" w:rsidRDefault="000B5390"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0B5390" w14:paraId="0837B68D" w14:textId="77777777" w:rsidTr="001E2C34">
      <w:trPr>
        <w:trHeight w:val="705"/>
      </w:trPr>
      <w:tc>
        <w:tcPr>
          <w:tcW w:w="4609" w:type="dxa"/>
          <w:shd w:val="clear" w:color="auto" w:fill="auto"/>
          <w:vAlign w:val="center"/>
        </w:tcPr>
        <w:p w14:paraId="5C695FF9" w14:textId="4FD1F6F0" w:rsidR="000B5390" w:rsidRPr="002E4C92" w:rsidRDefault="000B5390" w:rsidP="007017EB">
          <w:pPr>
            <w:pStyle w:val="FooterText"/>
          </w:pPr>
          <w:r w:rsidRPr="002E4C92">
            <w:t>File:</w:t>
          </w:r>
          <w:r w:rsidRPr="0039525B">
            <w:rPr>
              <w:b w:val="0"/>
            </w:rPr>
            <w:t xml:space="preserve"> </w:t>
          </w:r>
          <w:r>
            <w:rPr>
              <w:b w:val="0"/>
            </w:rPr>
            <w:t>11.4.1</w:t>
          </w:r>
          <w:r w:rsidRPr="0039525B">
            <w:rPr>
              <w:b w:val="0"/>
            </w:rPr>
            <w:t xml:space="preserve"> Lesson </w:t>
          </w:r>
          <w:r>
            <w:rPr>
              <w:b w:val="0"/>
            </w:rPr>
            <w:t>4</w:t>
          </w:r>
          <w:r w:rsidRPr="002E4C92">
            <w:t xml:space="preserve"> Date:</w:t>
          </w:r>
          <w:r w:rsidR="00877244">
            <w:rPr>
              <w:b w:val="0"/>
            </w:rPr>
            <w:t xml:space="preserve"> 10</w:t>
          </w:r>
          <w:r>
            <w:rPr>
              <w:b w:val="0"/>
            </w:rPr>
            <w:t>/</w:t>
          </w:r>
          <w:r w:rsidR="00877244">
            <w:rPr>
              <w:b w:val="0"/>
            </w:rPr>
            <w:t>31</w:t>
          </w:r>
          <w:r w:rsidRPr="0039525B">
            <w:rPr>
              <w:b w:val="0"/>
            </w:rPr>
            <w:t>/1</w:t>
          </w:r>
          <w:r>
            <w:rPr>
              <w:b w:val="0"/>
            </w:rPr>
            <w:t>4</w:t>
          </w:r>
          <w:r w:rsidRPr="0039525B">
            <w:rPr>
              <w:b w:val="0"/>
            </w:rPr>
            <w:t xml:space="preserve"> </w:t>
          </w:r>
          <w:r w:rsidRPr="002E4C92">
            <w:t>Classroom Use:</w:t>
          </w:r>
          <w:r>
            <w:rPr>
              <w:b w:val="0"/>
            </w:rPr>
            <w:t xml:space="preserve"> Starting 1</w:t>
          </w:r>
          <w:r w:rsidR="00877244">
            <w:rPr>
              <w:b w:val="0"/>
            </w:rPr>
            <w:t>1</w:t>
          </w:r>
          <w:r w:rsidRPr="0039525B">
            <w:rPr>
              <w:b w:val="0"/>
            </w:rPr>
            <w:t>/201</w:t>
          </w:r>
          <w:r>
            <w:rPr>
              <w:b w:val="0"/>
            </w:rPr>
            <w:t>4</w:t>
          </w:r>
          <w:r w:rsidRPr="0039525B">
            <w:rPr>
              <w:b w:val="0"/>
            </w:rPr>
            <w:t xml:space="preserve"> </w:t>
          </w:r>
        </w:p>
        <w:p w14:paraId="5193C619" w14:textId="77777777" w:rsidR="000B5390" w:rsidRPr="0039525B" w:rsidRDefault="000B5390"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D23837A" w14:textId="77777777" w:rsidR="000B5390" w:rsidRPr="0039525B" w:rsidRDefault="000B5390" w:rsidP="007017EB">
          <w:pPr>
            <w:pStyle w:val="FooterText"/>
            <w:rPr>
              <w:b w:val="0"/>
              <w:i/>
            </w:rPr>
          </w:pPr>
          <w:r w:rsidRPr="0039525B">
            <w:rPr>
              <w:b w:val="0"/>
              <w:i/>
              <w:sz w:val="12"/>
            </w:rPr>
            <w:t>Creative Commons Attribution-NonCommercial-ShareAlike 3.0 Unported License</w:t>
          </w:r>
        </w:p>
        <w:p w14:paraId="4677A35B" w14:textId="77777777" w:rsidR="000B5390" w:rsidRPr="002E4C92" w:rsidRDefault="002A6A97" w:rsidP="007017EB">
          <w:pPr>
            <w:pStyle w:val="FooterText"/>
          </w:pPr>
          <w:hyperlink r:id="rId1" w:history="1">
            <w:r w:rsidR="000B5390"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76C2B132" w14:textId="77777777" w:rsidR="000B5390" w:rsidRPr="002E4C92" w:rsidRDefault="000B5390"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17685">
            <w:rPr>
              <w:rFonts w:ascii="Calibri" w:hAnsi="Calibri" w:cs="Calibri"/>
              <w:b/>
              <w:noProof/>
              <w:color w:val="1F4E79"/>
              <w:sz w:val="28"/>
            </w:rPr>
            <w:t>5</w:t>
          </w:r>
          <w:r w:rsidRPr="002E4C92">
            <w:rPr>
              <w:rFonts w:ascii="Calibri" w:hAnsi="Calibri" w:cs="Calibri"/>
              <w:b/>
              <w:color w:val="1F4E79"/>
              <w:sz w:val="28"/>
            </w:rPr>
            <w:fldChar w:fldCharType="end"/>
          </w:r>
        </w:p>
      </w:tc>
      <w:tc>
        <w:tcPr>
          <w:tcW w:w="4325" w:type="dxa"/>
          <w:shd w:val="clear" w:color="auto" w:fill="auto"/>
          <w:vAlign w:val="bottom"/>
        </w:tcPr>
        <w:p w14:paraId="2614D4E2" w14:textId="77777777" w:rsidR="000B5390" w:rsidRPr="002E4C92" w:rsidRDefault="000B5390"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3D622E2" wp14:editId="79051DDA">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C62E788" w14:textId="77777777" w:rsidR="000B5390" w:rsidRPr="007017EB" w:rsidRDefault="000B5390"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0F33A" w14:textId="77777777" w:rsidR="00C148A6" w:rsidRDefault="00C14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57F79" w14:textId="77777777" w:rsidR="002A6A97" w:rsidRDefault="002A6A97">
      <w:pPr>
        <w:spacing w:before="0" w:after="0" w:line="240" w:lineRule="auto"/>
      </w:pPr>
      <w:r>
        <w:separator/>
      </w:r>
    </w:p>
  </w:footnote>
  <w:footnote w:type="continuationSeparator" w:id="0">
    <w:p w14:paraId="0F3849FE" w14:textId="77777777" w:rsidR="002A6A97" w:rsidRDefault="002A6A9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F2970" w14:textId="77777777" w:rsidR="00C148A6" w:rsidRDefault="00C148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0B5390" w:rsidRPr="00563CB8" w14:paraId="6180DA14" w14:textId="77777777" w:rsidTr="001E2C34">
      <w:tc>
        <w:tcPr>
          <w:tcW w:w="3708" w:type="dxa"/>
          <w:shd w:val="clear" w:color="auto" w:fill="auto"/>
        </w:tcPr>
        <w:p w14:paraId="7D6BFE79" w14:textId="77777777" w:rsidR="000B5390" w:rsidRPr="00563CB8" w:rsidRDefault="000B5390"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30E640A" w14:textId="77777777" w:rsidR="000B5390" w:rsidRPr="00563CB8" w:rsidRDefault="000B5390" w:rsidP="007017EB">
          <w:pPr>
            <w:jc w:val="center"/>
          </w:pPr>
          <w:r w:rsidRPr="00563CB8">
            <w:t>D R A F T</w:t>
          </w:r>
        </w:p>
      </w:tc>
      <w:tc>
        <w:tcPr>
          <w:tcW w:w="3438" w:type="dxa"/>
          <w:shd w:val="clear" w:color="auto" w:fill="auto"/>
        </w:tcPr>
        <w:p w14:paraId="4A20A5AE" w14:textId="26D104B2" w:rsidR="000B5390" w:rsidRPr="00E946A0" w:rsidRDefault="000B5390" w:rsidP="00E03786">
          <w:pPr>
            <w:pStyle w:val="PageHeader"/>
            <w:jc w:val="right"/>
            <w:rPr>
              <w:b w:val="0"/>
            </w:rPr>
          </w:pPr>
          <w:r>
            <w:rPr>
              <w:b w:val="0"/>
            </w:rPr>
            <w:t>Grade 11 • Module 4</w:t>
          </w:r>
          <w:r w:rsidRPr="00E946A0">
            <w:rPr>
              <w:b w:val="0"/>
            </w:rPr>
            <w:t xml:space="preserve"> • Unit </w:t>
          </w:r>
          <w:r>
            <w:rPr>
              <w:b w:val="0"/>
            </w:rPr>
            <w:t>1 • Lesson 4</w:t>
          </w:r>
        </w:p>
      </w:tc>
    </w:tr>
  </w:tbl>
  <w:p w14:paraId="273B1140" w14:textId="77777777" w:rsidR="000B5390" w:rsidRPr="007017EB" w:rsidRDefault="000B5390"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332BB" w14:textId="77777777" w:rsidR="00C148A6" w:rsidRDefault="00C14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7424F"/>
    <w:multiLevelType w:val="hybridMultilevel"/>
    <w:tmpl w:val="18363E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273248"/>
    <w:multiLevelType w:val="hybridMultilevel"/>
    <w:tmpl w:val="4EB876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C57447"/>
    <w:multiLevelType w:val="hybridMultilevel"/>
    <w:tmpl w:val="382408E4"/>
    <w:lvl w:ilvl="0" w:tplc="5D6420C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9"/>
  </w:num>
  <w:num w:numId="4">
    <w:abstractNumId w:val="10"/>
  </w:num>
  <w:num w:numId="5">
    <w:abstractNumId w:val="1"/>
  </w:num>
  <w:num w:numId="6">
    <w:abstractNumId w:val="12"/>
  </w:num>
  <w:num w:numId="7">
    <w:abstractNumId w:val="8"/>
    <w:lvlOverride w:ilvl="0">
      <w:startOverride w:val="1"/>
    </w:lvlOverride>
  </w:num>
  <w:num w:numId="8">
    <w:abstractNumId w:val="14"/>
  </w:num>
  <w:num w:numId="9">
    <w:abstractNumId w:val="2"/>
  </w:num>
  <w:num w:numId="10">
    <w:abstractNumId w:val="11"/>
  </w:num>
  <w:num w:numId="11">
    <w:abstractNumId w:val="15"/>
  </w:num>
  <w:num w:numId="12">
    <w:abstractNumId w:val="8"/>
  </w:num>
  <w:num w:numId="13">
    <w:abstractNumId w:val="8"/>
    <w:lvlOverride w:ilvl="0">
      <w:startOverride w:val="1"/>
    </w:lvlOverride>
  </w:num>
  <w:num w:numId="14">
    <w:abstractNumId w:val="7"/>
    <w:lvlOverride w:ilvl="0">
      <w:startOverride w:val="1"/>
    </w:lvlOverride>
  </w:num>
  <w:num w:numId="15">
    <w:abstractNumId w:val="14"/>
  </w:num>
  <w:num w:numId="16">
    <w:abstractNumId w:val="4"/>
  </w:num>
  <w:num w:numId="17">
    <w:abstractNumId w:val="0"/>
  </w:num>
  <w:num w:numId="18">
    <w:abstractNumId w:val="3"/>
  </w:num>
  <w:num w:numId="19">
    <w:abstractNumId w:val="13"/>
  </w:num>
  <w:num w:numId="20">
    <w:abstractNumId w:val="5"/>
  </w:num>
  <w:num w:numId="21">
    <w:abstractNumId w:val="15"/>
    <w:lvlOverride w:ilvl="0">
      <w:startOverride w:val="3"/>
    </w:lvlOverride>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5F68"/>
    <w:rsid w:val="000133EF"/>
    <w:rsid w:val="000159E9"/>
    <w:rsid w:val="000240D1"/>
    <w:rsid w:val="00031731"/>
    <w:rsid w:val="00035C89"/>
    <w:rsid w:val="00046AA1"/>
    <w:rsid w:val="000547FE"/>
    <w:rsid w:val="00062888"/>
    <w:rsid w:val="00073EE8"/>
    <w:rsid w:val="000820BB"/>
    <w:rsid w:val="000834C2"/>
    <w:rsid w:val="000A1657"/>
    <w:rsid w:val="000A1847"/>
    <w:rsid w:val="000A44E2"/>
    <w:rsid w:val="000A5AF3"/>
    <w:rsid w:val="000B3273"/>
    <w:rsid w:val="000B3A6F"/>
    <w:rsid w:val="000B5390"/>
    <w:rsid w:val="000C4A4C"/>
    <w:rsid w:val="000D1824"/>
    <w:rsid w:val="000D1CFC"/>
    <w:rsid w:val="000D4854"/>
    <w:rsid w:val="000D744B"/>
    <w:rsid w:val="000E63E5"/>
    <w:rsid w:val="000F12BB"/>
    <w:rsid w:val="000F21BA"/>
    <w:rsid w:val="000F3954"/>
    <w:rsid w:val="000F3D1C"/>
    <w:rsid w:val="000F4A2A"/>
    <w:rsid w:val="000F5195"/>
    <w:rsid w:val="001001E7"/>
    <w:rsid w:val="00100CF0"/>
    <w:rsid w:val="00100D61"/>
    <w:rsid w:val="001026C5"/>
    <w:rsid w:val="0010628D"/>
    <w:rsid w:val="0012020A"/>
    <w:rsid w:val="00144B97"/>
    <w:rsid w:val="00146AD1"/>
    <w:rsid w:val="00152210"/>
    <w:rsid w:val="00156799"/>
    <w:rsid w:val="00157ED8"/>
    <w:rsid w:val="001618FF"/>
    <w:rsid w:val="00164EF7"/>
    <w:rsid w:val="001671A7"/>
    <w:rsid w:val="001735F1"/>
    <w:rsid w:val="00176C1D"/>
    <w:rsid w:val="001832B4"/>
    <w:rsid w:val="001863D4"/>
    <w:rsid w:val="0019773B"/>
    <w:rsid w:val="001979DD"/>
    <w:rsid w:val="001A0B4B"/>
    <w:rsid w:val="001B0D07"/>
    <w:rsid w:val="001B3645"/>
    <w:rsid w:val="001B5DC1"/>
    <w:rsid w:val="001E2C34"/>
    <w:rsid w:val="001E6BCC"/>
    <w:rsid w:val="001F2D93"/>
    <w:rsid w:val="001F4D72"/>
    <w:rsid w:val="00205B02"/>
    <w:rsid w:val="0020663A"/>
    <w:rsid w:val="002155EC"/>
    <w:rsid w:val="00220B0D"/>
    <w:rsid w:val="002336FC"/>
    <w:rsid w:val="002340B7"/>
    <w:rsid w:val="00241B6D"/>
    <w:rsid w:val="00251EC3"/>
    <w:rsid w:val="00255C5E"/>
    <w:rsid w:val="002616EE"/>
    <w:rsid w:val="002831A5"/>
    <w:rsid w:val="00291DC9"/>
    <w:rsid w:val="00294777"/>
    <w:rsid w:val="002951E7"/>
    <w:rsid w:val="002A1786"/>
    <w:rsid w:val="002A6A97"/>
    <w:rsid w:val="002B0D0C"/>
    <w:rsid w:val="002B4BB6"/>
    <w:rsid w:val="002C0732"/>
    <w:rsid w:val="002C406E"/>
    <w:rsid w:val="002C51E0"/>
    <w:rsid w:val="002E007E"/>
    <w:rsid w:val="002E211E"/>
    <w:rsid w:val="002F34B9"/>
    <w:rsid w:val="002F3CC6"/>
    <w:rsid w:val="00312B3B"/>
    <w:rsid w:val="00312EAE"/>
    <w:rsid w:val="00314A88"/>
    <w:rsid w:val="00316858"/>
    <w:rsid w:val="003217D4"/>
    <w:rsid w:val="0033217E"/>
    <w:rsid w:val="003412BA"/>
    <w:rsid w:val="00341F48"/>
    <w:rsid w:val="003552E8"/>
    <w:rsid w:val="00356E0E"/>
    <w:rsid w:val="00366F3A"/>
    <w:rsid w:val="00370612"/>
    <w:rsid w:val="00382298"/>
    <w:rsid w:val="00385DEF"/>
    <w:rsid w:val="00395B11"/>
    <w:rsid w:val="003A422D"/>
    <w:rsid w:val="003B1B5A"/>
    <w:rsid w:val="003B5961"/>
    <w:rsid w:val="003D0307"/>
    <w:rsid w:val="003D353F"/>
    <w:rsid w:val="003E25A2"/>
    <w:rsid w:val="003E6F28"/>
    <w:rsid w:val="004200AA"/>
    <w:rsid w:val="00420195"/>
    <w:rsid w:val="00421EBC"/>
    <w:rsid w:val="00424A63"/>
    <w:rsid w:val="004251B9"/>
    <w:rsid w:val="00426F0A"/>
    <w:rsid w:val="00446EA0"/>
    <w:rsid w:val="00450A92"/>
    <w:rsid w:val="00455483"/>
    <w:rsid w:val="00457BD9"/>
    <w:rsid w:val="004724DD"/>
    <w:rsid w:val="00473E67"/>
    <w:rsid w:val="00480050"/>
    <w:rsid w:val="0048458F"/>
    <w:rsid w:val="0049736D"/>
    <w:rsid w:val="004A1DBF"/>
    <w:rsid w:val="004A68C4"/>
    <w:rsid w:val="004B012D"/>
    <w:rsid w:val="004B13F1"/>
    <w:rsid w:val="004B2B43"/>
    <w:rsid w:val="004B4DAD"/>
    <w:rsid w:val="004B6B12"/>
    <w:rsid w:val="004C4773"/>
    <w:rsid w:val="004D1CDC"/>
    <w:rsid w:val="004D590D"/>
    <w:rsid w:val="004E15BA"/>
    <w:rsid w:val="004E3735"/>
    <w:rsid w:val="004E746C"/>
    <w:rsid w:val="004F13A6"/>
    <w:rsid w:val="004F3D4D"/>
    <w:rsid w:val="004F6FFB"/>
    <w:rsid w:val="00506721"/>
    <w:rsid w:val="00507369"/>
    <w:rsid w:val="0051215A"/>
    <w:rsid w:val="00512FCB"/>
    <w:rsid w:val="0052489A"/>
    <w:rsid w:val="00525E71"/>
    <w:rsid w:val="0053793E"/>
    <w:rsid w:val="00540ABB"/>
    <w:rsid w:val="0054360E"/>
    <w:rsid w:val="00544B66"/>
    <w:rsid w:val="005457C8"/>
    <w:rsid w:val="00554874"/>
    <w:rsid w:val="00555392"/>
    <w:rsid w:val="00565101"/>
    <w:rsid w:val="005653BE"/>
    <w:rsid w:val="00580F87"/>
    <w:rsid w:val="0059060D"/>
    <w:rsid w:val="00593EF4"/>
    <w:rsid w:val="005977F7"/>
    <w:rsid w:val="005A24EB"/>
    <w:rsid w:val="005A353E"/>
    <w:rsid w:val="005A3D39"/>
    <w:rsid w:val="005B13FB"/>
    <w:rsid w:val="005B2907"/>
    <w:rsid w:val="005B6E1D"/>
    <w:rsid w:val="005B7385"/>
    <w:rsid w:val="005E0FC4"/>
    <w:rsid w:val="005E3B7D"/>
    <w:rsid w:val="005E5D2F"/>
    <w:rsid w:val="005F26E4"/>
    <w:rsid w:val="005F4E5B"/>
    <w:rsid w:val="005F6B38"/>
    <w:rsid w:val="00603A54"/>
    <w:rsid w:val="00603F89"/>
    <w:rsid w:val="00605762"/>
    <w:rsid w:val="00614F88"/>
    <w:rsid w:val="006155D1"/>
    <w:rsid w:val="00624A18"/>
    <w:rsid w:val="00624AAF"/>
    <w:rsid w:val="00631057"/>
    <w:rsid w:val="00636C50"/>
    <w:rsid w:val="0064067A"/>
    <w:rsid w:val="00640961"/>
    <w:rsid w:val="0064740E"/>
    <w:rsid w:val="00657545"/>
    <w:rsid w:val="006633A2"/>
    <w:rsid w:val="0066670E"/>
    <w:rsid w:val="00673BDE"/>
    <w:rsid w:val="00682F84"/>
    <w:rsid w:val="00683E70"/>
    <w:rsid w:val="00686554"/>
    <w:rsid w:val="006B1AA4"/>
    <w:rsid w:val="006C244D"/>
    <w:rsid w:val="006C330E"/>
    <w:rsid w:val="006C41F3"/>
    <w:rsid w:val="006C436F"/>
    <w:rsid w:val="006D39DB"/>
    <w:rsid w:val="006D54AA"/>
    <w:rsid w:val="006D6208"/>
    <w:rsid w:val="006F6359"/>
    <w:rsid w:val="00700EE5"/>
    <w:rsid w:val="007017EB"/>
    <w:rsid w:val="00703DDA"/>
    <w:rsid w:val="0070666F"/>
    <w:rsid w:val="00706C70"/>
    <w:rsid w:val="00711663"/>
    <w:rsid w:val="00724B30"/>
    <w:rsid w:val="00732E3E"/>
    <w:rsid w:val="00741665"/>
    <w:rsid w:val="00741AA8"/>
    <w:rsid w:val="007439E8"/>
    <w:rsid w:val="00744972"/>
    <w:rsid w:val="00745A5D"/>
    <w:rsid w:val="00745C00"/>
    <w:rsid w:val="00750589"/>
    <w:rsid w:val="00750B91"/>
    <w:rsid w:val="00751031"/>
    <w:rsid w:val="00757660"/>
    <w:rsid w:val="0076643F"/>
    <w:rsid w:val="00784A4A"/>
    <w:rsid w:val="00790BCC"/>
    <w:rsid w:val="007951A1"/>
    <w:rsid w:val="007A1603"/>
    <w:rsid w:val="007A545D"/>
    <w:rsid w:val="007A5DA8"/>
    <w:rsid w:val="007B1A0B"/>
    <w:rsid w:val="007C578B"/>
    <w:rsid w:val="007C7780"/>
    <w:rsid w:val="007D2598"/>
    <w:rsid w:val="007D44AE"/>
    <w:rsid w:val="007D4864"/>
    <w:rsid w:val="007E484F"/>
    <w:rsid w:val="007E5FEA"/>
    <w:rsid w:val="007F01A8"/>
    <w:rsid w:val="007F0356"/>
    <w:rsid w:val="007F2BC7"/>
    <w:rsid w:val="007F4C78"/>
    <w:rsid w:val="007F7299"/>
    <w:rsid w:val="007F7B47"/>
    <w:rsid w:val="0081200E"/>
    <w:rsid w:val="00817890"/>
    <w:rsid w:val="0082270F"/>
    <w:rsid w:val="0082713A"/>
    <w:rsid w:val="00830102"/>
    <w:rsid w:val="00830E95"/>
    <w:rsid w:val="00832D2F"/>
    <w:rsid w:val="008547D2"/>
    <w:rsid w:val="00860875"/>
    <w:rsid w:val="00862056"/>
    <w:rsid w:val="00866B8E"/>
    <w:rsid w:val="00877244"/>
    <w:rsid w:val="00881B4D"/>
    <w:rsid w:val="00886F0A"/>
    <w:rsid w:val="00887DB5"/>
    <w:rsid w:val="00890778"/>
    <w:rsid w:val="008924ED"/>
    <w:rsid w:val="0089320C"/>
    <w:rsid w:val="00896373"/>
    <w:rsid w:val="008A1444"/>
    <w:rsid w:val="008A50AD"/>
    <w:rsid w:val="008A7E2D"/>
    <w:rsid w:val="008B5359"/>
    <w:rsid w:val="008D0F05"/>
    <w:rsid w:val="008D7E58"/>
    <w:rsid w:val="008E0122"/>
    <w:rsid w:val="008E3D1A"/>
    <w:rsid w:val="008E485E"/>
    <w:rsid w:val="008E490E"/>
    <w:rsid w:val="008F2802"/>
    <w:rsid w:val="008F3079"/>
    <w:rsid w:val="00902CF8"/>
    <w:rsid w:val="00906CEE"/>
    <w:rsid w:val="00915547"/>
    <w:rsid w:val="009310D5"/>
    <w:rsid w:val="00935467"/>
    <w:rsid w:val="00941A07"/>
    <w:rsid w:val="009450B7"/>
    <w:rsid w:val="009450F1"/>
    <w:rsid w:val="00947D4B"/>
    <w:rsid w:val="0096098D"/>
    <w:rsid w:val="00961DB5"/>
    <w:rsid w:val="00962306"/>
    <w:rsid w:val="009654EE"/>
    <w:rsid w:val="009A7434"/>
    <w:rsid w:val="009B3B1C"/>
    <w:rsid w:val="009C1231"/>
    <w:rsid w:val="009C3203"/>
    <w:rsid w:val="009C480E"/>
    <w:rsid w:val="009D1F6B"/>
    <w:rsid w:val="009D2401"/>
    <w:rsid w:val="009D70AD"/>
    <w:rsid w:val="009E2366"/>
    <w:rsid w:val="009F0F2B"/>
    <w:rsid w:val="009F1F50"/>
    <w:rsid w:val="00A01F83"/>
    <w:rsid w:val="00A176BB"/>
    <w:rsid w:val="00A316E6"/>
    <w:rsid w:val="00A43C04"/>
    <w:rsid w:val="00A4569B"/>
    <w:rsid w:val="00A50B0A"/>
    <w:rsid w:val="00A50E90"/>
    <w:rsid w:val="00A52043"/>
    <w:rsid w:val="00A60850"/>
    <w:rsid w:val="00A66F65"/>
    <w:rsid w:val="00A85FD1"/>
    <w:rsid w:val="00A94C47"/>
    <w:rsid w:val="00A95850"/>
    <w:rsid w:val="00AA441D"/>
    <w:rsid w:val="00AB6EB6"/>
    <w:rsid w:val="00AB758D"/>
    <w:rsid w:val="00AC112D"/>
    <w:rsid w:val="00AC7514"/>
    <w:rsid w:val="00AE0224"/>
    <w:rsid w:val="00AE3C07"/>
    <w:rsid w:val="00AE4756"/>
    <w:rsid w:val="00AE5E70"/>
    <w:rsid w:val="00AE76F3"/>
    <w:rsid w:val="00B01481"/>
    <w:rsid w:val="00B26954"/>
    <w:rsid w:val="00B30A3E"/>
    <w:rsid w:val="00B344E8"/>
    <w:rsid w:val="00B34B65"/>
    <w:rsid w:val="00B4379C"/>
    <w:rsid w:val="00B43CC2"/>
    <w:rsid w:val="00B63259"/>
    <w:rsid w:val="00B70BED"/>
    <w:rsid w:val="00B71FC8"/>
    <w:rsid w:val="00B8191B"/>
    <w:rsid w:val="00B84F31"/>
    <w:rsid w:val="00B855DA"/>
    <w:rsid w:val="00B862A5"/>
    <w:rsid w:val="00B91112"/>
    <w:rsid w:val="00B91F7B"/>
    <w:rsid w:val="00B97D41"/>
    <w:rsid w:val="00BA1C6D"/>
    <w:rsid w:val="00BB3542"/>
    <w:rsid w:val="00BB6C98"/>
    <w:rsid w:val="00BC0457"/>
    <w:rsid w:val="00BC2722"/>
    <w:rsid w:val="00BC2816"/>
    <w:rsid w:val="00BC5D8C"/>
    <w:rsid w:val="00BD0841"/>
    <w:rsid w:val="00BD5A1F"/>
    <w:rsid w:val="00BE35A3"/>
    <w:rsid w:val="00BE4475"/>
    <w:rsid w:val="00BE7516"/>
    <w:rsid w:val="00BF075D"/>
    <w:rsid w:val="00BF5354"/>
    <w:rsid w:val="00C10DE9"/>
    <w:rsid w:val="00C12C12"/>
    <w:rsid w:val="00C148A6"/>
    <w:rsid w:val="00C17685"/>
    <w:rsid w:val="00C252C0"/>
    <w:rsid w:val="00C307B5"/>
    <w:rsid w:val="00C378A3"/>
    <w:rsid w:val="00C40556"/>
    <w:rsid w:val="00C5268D"/>
    <w:rsid w:val="00C56E54"/>
    <w:rsid w:val="00C576DD"/>
    <w:rsid w:val="00C645DB"/>
    <w:rsid w:val="00C64DBF"/>
    <w:rsid w:val="00C66C0A"/>
    <w:rsid w:val="00C71FEC"/>
    <w:rsid w:val="00C7374C"/>
    <w:rsid w:val="00C75955"/>
    <w:rsid w:val="00C77A60"/>
    <w:rsid w:val="00C82282"/>
    <w:rsid w:val="00CA2AA6"/>
    <w:rsid w:val="00CB0FC0"/>
    <w:rsid w:val="00CB2D7D"/>
    <w:rsid w:val="00CB5235"/>
    <w:rsid w:val="00CC2B51"/>
    <w:rsid w:val="00CC6943"/>
    <w:rsid w:val="00CC7C0F"/>
    <w:rsid w:val="00CD7FBB"/>
    <w:rsid w:val="00CE69CA"/>
    <w:rsid w:val="00CE6E82"/>
    <w:rsid w:val="00CE6FA7"/>
    <w:rsid w:val="00D0543B"/>
    <w:rsid w:val="00D10D95"/>
    <w:rsid w:val="00D1213F"/>
    <w:rsid w:val="00D17944"/>
    <w:rsid w:val="00D2560D"/>
    <w:rsid w:val="00D27457"/>
    <w:rsid w:val="00D31F4D"/>
    <w:rsid w:val="00D40CE3"/>
    <w:rsid w:val="00D4233D"/>
    <w:rsid w:val="00D43571"/>
    <w:rsid w:val="00D449C9"/>
    <w:rsid w:val="00D76ADA"/>
    <w:rsid w:val="00D779C3"/>
    <w:rsid w:val="00D849A4"/>
    <w:rsid w:val="00D8744E"/>
    <w:rsid w:val="00D938B0"/>
    <w:rsid w:val="00DA39EA"/>
    <w:rsid w:val="00DA6058"/>
    <w:rsid w:val="00DB218F"/>
    <w:rsid w:val="00DB7EF9"/>
    <w:rsid w:val="00DC0E51"/>
    <w:rsid w:val="00DC234B"/>
    <w:rsid w:val="00DC45E7"/>
    <w:rsid w:val="00DD7E6E"/>
    <w:rsid w:val="00DE1AE8"/>
    <w:rsid w:val="00DE1BAD"/>
    <w:rsid w:val="00DE2EC2"/>
    <w:rsid w:val="00E03786"/>
    <w:rsid w:val="00E053BB"/>
    <w:rsid w:val="00E1070B"/>
    <w:rsid w:val="00E3652B"/>
    <w:rsid w:val="00E41FEE"/>
    <w:rsid w:val="00E539B4"/>
    <w:rsid w:val="00E616C2"/>
    <w:rsid w:val="00E67CA6"/>
    <w:rsid w:val="00E768B8"/>
    <w:rsid w:val="00E86454"/>
    <w:rsid w:val="00E9283B"/>
    <w:rsid w:val="00E92EB0"/>
    <w:rsid w:val="00EA1F27"/>
    <w:rsid w:val="00EA206E"/>
    <w:rsid w:val="00EA5069"/>
    <w:rsid w:val="00EB4C34"/>
    <w:rsid w:val="00EC0B12"/>
    <w:rsid w:val="00EC5EAD"/>
    <w:rsid w:val="00ED14C3"/>
    <w:rsid w:val="00ED2881"/>
    <w:rsid w:val="00ED4E01"/>
    <w:rsid w:val="00EE14CD"/>
    <w:rsid w:val="00EE5FC8"/>
    <w:rsid w:val="00F1327B"/>
    <w:rsid w:val="00F17D98"/>
    <w:rsid w:val="00F315AF"/>
    <w:rsid w:val="00F321C7"/>
    <w:rsid w:val="00F37A2C"/>
    <w:rsid w:val="00F40840"/>
    <w:rsid w:val="00F42BF8"/>
    <w:rsid w:val="00F43894"/>
    <w:rsid w:val="00F441EF"/>
    <w:rsid w:val="00F5448A"/>
    <w:rsid w:val="00F560E6"/>
    <w:rsid w:val="00F61F81"/>
    <w:rsid w:val="00F621D0"/>
    <w:rsid w:val="00F6246E"/>
    <w:rsid w:val="00F82B20"/>
    <w:rsid w:val="00F852E5"/>
    <w:rsid w:val="00F866BF"/>
    <w:rsid w:val="00F9462A"/>
    <w:rsid w:val="00FA0A86"/>
    <w:rsid w:val="00FA191E"/>
    <w:rsid w:val="00FA3ED0"/>
    <w:rsid w:val="00FA42F1"/>
    <w:rsid w:val="00FA55DC"/>
    <w:rsid w:val="00FA6771"/>
    <w:rsid w:val="00FB04ED"/>
    <w:rsid w:val="00FB1F22"/>
    <w:rsid w:val="00FC0D9B"/>
    <w:rsid w:val="00FD0CFB"/>
    <w:rsid w:val="00FD4335"/>
    <w:rsid w:val="00FD4EFA"/>
    <w:rsid w:val="00FD5F9A"/>
    <w:rsid w:val="00FF0F0F"/>
    <w:rsid w:val="00FF7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9F1488"/>
  <w15:docId w15:val="{E3019035-F352-4E43-90EF-E5F834BA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E9283B"/>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E9283B"/>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sz w:val="20"/>
      <w:szCs w:val="20"/>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sz w:val="20"/>
      <w:szCs w:val="20"/>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link w:val="ToolHeaderCha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uiPriority w:val="99"/>
    <w:semiHidden/>
    <w:rsid w:val="00473E67"/>
    <w:pPr>
      <w:spacing w:after="0" w:line="240" w:lineRule="auto"/>
    </w:pPr>
    <w:rPr>
      <w:rFonts w:ascii="Calibri" w:eastAsia="Calibri" w:hAnsi="Calibri" w:cs="Times New Roman"/>
    </w:rPr>
  </w:style>
  <w:style w:type="paragraph" w:customStyle="1" w:styleId="TableText0">
    <w:name w:val="Table Text"/>
    <w:basedOn w:val="TableText"/>
    <w:link w:val="TableTextChar0"/>
    <w:uiPriority w:val="99"/>
    <w:rsid w:val="00AE4756"/>
    <w:pPr>
      <w:tabs>
        <w:tab w:val="left" w:pos="5898"/>
      </w:tabs>
    </w:pPr>
  </w:style>
  <w:style w:type="character" w:customStyle="1" w:styleId="TableTextChar0">
    <w:name w:val="Table Text Char"/>
    <w:link w:val="TableText0"/>
    <w:uiPriority w:val="99"/>
    <w:locked/>
    <w:rsid w:val="00AE4756"/>
    <w:rPr>
      <w:rFonts w:ascii="Calibri" w:eastAsia="Calibri" w:hAnsi="Calibri" w:cs="Times New Roman"/>
    </w:rPr>
  </w:style>
  <w:style w:type="character" w:customStyle="1" w:styleId="ToolHeaderChar">
    <w:name w:val="*ToolHeader Char"/>
    <w:link w:val="ToolHeader"/>
    <w:locked/>
    <w:rsid w:val="00AE4756"/>
    <w:rPr>
      <w:rFonts w:eastAsia="Calibri" w:cs="Times New Roman"/>
      <w:b/>
      <w:bCs/>
      <w:color w:val="365F91"/>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51480">
      <w:bodyDiv w:val="1"/>
      <w:marLeft w:val="0"/>
      <w:marRight w:val="0"/>
      <w:marTop w:val="0"/>
      <w:marBottom w:val="0"/>
      <w:divBdr>
        <w:top w:val="none" w:sz="0" w:space="0" w:color="auto"/>
        <w:left w:val="none" w:sz="0" w:space="0" w:color="auto"/>
        <w:bottom w:val="none" w:sz="0" w:space="0" w:color="auto"/>
        <w:right w:val="none" w:sz="0" w:space="0" w:color="auto"/>
      </w:divBdr>
      <w:divsChild>
        <w:div w:id="1829635634">
          <w:marLeft w:val="0"/>
          <w:marRight w:val="0"/>
          <w:marTop w:val="0"/>
          <w:marBottom w:val="0"/>
          <w:divBdr>
            <w:top w:val="none" w:sz="0" w:space="0" w:color="auto"/>
            <w:left w:val="none" w:sz="0" w:space="0" w:color="auto"/>
            <w:bottom w:val="none" w:sz="0" w:space="0" w:color="auto"/>
            <w:right w:val="none" w:sz="0" w:space="0" w:color="auto"/>
          </w:divBdr>
        </w:div>
        <w:div w:id="905455795">
          <w:marLeft w:val="0"/>
          <w:marRight w:val="0"/>
          <w:marTop w:val="0"/>
          <w:marBottom w:val="0"/>
          <w:divBdr>
            <w:top w:val="none" w:sz="0" w:space="0" w:color="auto"/>
            <w:left w:val="none" w:sz="0" w:space="0" w:color="auto"/>
            <w:bottom w:val="none" w:sz="0" w:space="0" w:color="auto"/>
            <w:right w:val="none" w:sz="0" w:space="0" w:color="auto"/>
          </w:divBdr>
        </w:div>
        <w:div w:id="1548222700">
          <w:marLeft w:val="0"/>
          <w:marRight w:val="0"/>
          <w:marTop w:val="0"/>
          <w:marBottom w:val="0"/>
          <w:divBdr>
            <w:top w:val="none" w:sz="0" w:space="0" w:color="auto"/>
            <w:left w:val="none" w:sz="0" w:space="0" w:color="auto"/>
            <w:bottom w:val="none" w:sz="0" w:space="0" w:color="auto"/>
            <w:right w:val="none" w:sz="0" w:space="0" w:color="auto"/>
          </w:divBdr>
        </w:div>
        <w:div w:id="1826359344">
          <w:marLeft w:val="0"/>
          <w:marRight w:val="0"/>
          <w:marTop w:val="0"/>
          <w:marBottom w:val="0"/>
          <w:divBdr>
            <w:top w:val="none" w:sz="0" w:space="0" w:color="auto"/>
            <w:left w:val="none" w:sz="0" w:space="0" w:color="auto"/>
            <w:bottom w:val="none" w:sz="0" w:space="0" w:color="auto"/>
            <w:right w:val="none" w:sz="0" w:space="0" w:color="auto"/>
          </w:divBdr>
        </w:div>
        <w:div w:id="882137085">
          <w:marLeft w:val="0"/>
          <w:marRight w:val="0"/>
          <w:marTop w:val="0"/>
          <w:marBottom w:val="0"/>
          <w:divBdr>
            <w:top w:val="none" w:sz="0" w:space="0" w:color="auto"/>
            <w:left w:val="none" w:sz="0" w:space="0" w:color="auto"/>
            <w:bottom w:val="none" w:sz="0" w:space="0" w:color="auto"/>
            <w:right w:val="none" w:sz="0" w:space="0" w:color="auto"/>
          </w:divBdr>
        </w:div>
        <w:div w:id="518586914">
          <w:marLeft w:val="0"/>
          <w:marRight w:val="0"/>
          <w:marTop w:val="0"/>
          <w:marBottom w:val="0"/>
          <w:divBdr>
            <w:top w:val="none" w:sz="0" w:space="0" w:color="auto"/>
            <w:left w:val="none" w:sz="0" w:space="0" w:color="auto"/>
            <w:bottom w:val="none" w:sz="0" w:space="0" w:color="auto"/>
            <w:right w:val="none" w:sz="0" w:space="0" w:color="auto"/>
          </w:divBdr>
        </w:div>
        <w:div w:id="1607693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67368-EC3B-4F1E-92D9-B1692469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2691</Words>
  <Characters>15345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3</cp:revision>
  <dcterms:created xsi:type="dcterms:W3CDTF">2014-10-28T20:48:00Z</dcterms:created>
  <dcterms:modified xsi:type="dcterms:W3CDTF">2014-10-30T00:00:00Z</dcterms:modified>
</cp:coreProperties>
</file>