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3777EC55" w14:textId="77777777" w:rsidTr="008C6490">
        <w:trPr>
          <w:trHeight w:val="1008"/>
          <w:jc w:val="center"/>
        </w:trPr>
        <w:tc>
          <w:tcPr>
            <w:tcW w:w="1980" w:type="dxa"/>
            <w:shd w:val="clear" w:color="auto" w:fill="385623"/>
            <w:vAlign w:val="center"/>
          </w:tcPr>
          <w:p w14:paraId="536FD3EF" w14:textId="77777777" w:rsidR="00790BCC" w:rsidRPr="00D31F4D" w:rsidRDefault="002E7BC8" w:rsidP="00D31F4D">
            <w:pPr>
              <w:pStyle w:val="Header-banner"/>
              <w:rPr>
                <w:rFonts w:asciiTheme="minorHAnsi" w:hAnsiTheme="minorHAnsi"/>
              </w:rPr>
            </w:pPr>
            <w:r>
              <w:rPr>
                <w:rFonts w:asciiTheme="minorHAnsi" w:hAnsiTheme="minorHAnsi"/>
              </w:rPr>
              <w:t>11.4</w:t>
            </w:r>
            <w:r w:rsidR="00790BCC" w:rsidRPr="00D31F4D">
              <w:rPr>
                <w:rFonts w:asciiTheme="minorHAnsi" w:hAnsiTheme="minorHAnsi"/>
              </w:rPr>
              <w:t>.</w:t>
            </w:r>
            <w:r>
              <w:rPr>
                <w:rFonts w:asciiTheme="minorHAnsi" w:hAnsiTheme="minorHAnsi"/>
              </w:rPr>
              <w:t>1</w:t>
            </w:r>
          </w:p>
        </w:tc>
        <w:tc>
          <w:tcPr>
            <w:tcW w:w="7380" w:type="dxa"/>
            <w:shd w:val="clear" w:color="auto" w:fill="76923C"/>
            <w:vAlign w:val="center"/>
          </w:tcPr>
          <w:p w14:paraId="04226B38"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2E7BC8">
              <w:rPr>
                <w:rFonts w:asciiTheme="minorHAnsi" w:hAnsiTheme="minorHAnsi"/>
              </w:rPr>
              <w:t>8</w:t>
            </w:r>
          </w:p>
        </w:tc>
      </w:tr>
    </w:tbl>
    <w:p w14:paraId="0EB23A12" w14:textId="77777777" w:rsidR="00790BCC" w:rsidRPr="00790BCC" w:rsidRDefault="00790BCC" w:rsidP="00D31F4D">
      <w:pPr>
        <w:pStyle w:val="Heading1"/>
      </w:pPr>
      <w:r w:rsidRPr="00790BCC">
        <w:t>Introduction</w:t>
      </w:r>
    </w:p>
    <w:p w14:paraId="666A7910" w14:textId="21F406B0" w:rsidR="00A911F3" w:rsidRDefault="002E7BC8" w:rsidP="00205AD9">
      <w:r>
        <w:t>In this lesson, students begin their reading and analysis of Louise Erdrich’s “The Red Convertible”</w:t>
      </w:r>
      <w:r w:rsidR="00C13536">
        <w:t xml:space="preserve"> from </w:t>
      </w:r>
      <w:r w:rsidR="00C13536" w:rsidRPr="00C13536">
        <w:rPr>
          <w:i/>
        </w:rPr>
        <w:t>The Red Convertible</w:t>
      </w:r>
      <w:r w:rsidR="00C13536">
        <w:t>.</w:t>
      </w:r>
      <w:r w:rsidR="008C6490">
        <w:t xml:space="preserve"> Students read pages 1–4</w:t>
      </w:r>
      <w:r>
        <w:t xml:space="preserve"> (from “I was the first one to drive a convertible” to </w:t>
      </w:r>
      <w:r w:rsidRPr="00471E8C">
        <w:t xml:space="preserve">“it gave us a beautiful </w:t>
      </w:r>
      <w:r>
        <w:t>performa</w:t>
      </w:r>
      <w:r w:rsidR="001A419B">
        <w:t>nce when we needed it</w:t>
      </w:r>
      <w:r w:rsidR="008C6490">
        <w:t>”</w:t>
      </w:r>
      <w:r w:rsidR="001A419B">
        <w:t>)</w:t>
      </w:r>
      <w:r w:rsidR="008C6490">
        <w:t>,</w:t>
      </w:r>
      <w:r w:rsidR="00A911F3" w:rsidRPr="00A911F3">
        <w:t xml:space="preserve"> </w:t>
      </w:r>
      <w:r w:rsidR="00A911F3">
        <w:t xml:space="preserve">in which Marty introduces himself and recounts a trip he took with his brother Stephan in a red convertible. Analysis focuses on the development of the narrator, </w:t>
      </w:r>
      <w:r w:rsidR="00D87C06">
        <w:t>Marty, and his brother, Stephan</w:t>
      </w:r>
      <w:r w:rsidR="00120F5C">
        <w:t>, and</w:t>
      </w:r>
      <w:r w:rsidR="00A911F3">
        <w:t xml:space="preserve"> specifically </w:t>
      </w:r>
      <w:r w:rsidR="00120F5C">
        <w:t xml:space="preserve">on </w:t>
      </w:r>
      <w:r w:rsidR="00A911F3">
        <w:t xml:space="preserve">how Marty’s point of view impacts the character development of Stephan. </w:t>
      </w:r>
      <w:r w:rsidR="00A911F3" w:rsidRPr="00D05201">
        <w:rPr>
          <w:rFonts w:asciiTheme="minorHAnsi" w:hAnsiTheme="minorHAnsi"/>
          <w:color w:val="000000"/>
        </w:rPr>
        <w:t>Student learning is assessed via a Quick Write at the end of the lesson:</w:t>
      </w:r>
      <w:r w:rsidR="00A911F3">
        <w:rPr>
          <w:rFonts w:asciiTheme="minorHAnsi" w:hAnsiTheme="minorHAnsi"/>
          <w:color w:val="000000"/>
        </w:rPr>
        <w:t xml:space="preserve"> </w:t>
      </w:r>
      <w:r w:rsidR="00A911F3" w:rsidRPr="0047312A">
        <w:t xml:space="preserve">What is the impact of Erdrich's choice to introduce Stephan through Marty's point of view?  </w:t>
      </w:r>
    </w:p>
    <w:p w14:paraId="1DB34151" w14:textId="31F73ED4" w:rsidR="002E7BC8" w:rsidRPr="00790BCC" w:rsidRDefault="00A911F3" w:rsidP="00A911F3">
      <w:r w:rsidRPr="00205AD9">
        <w:t>For homework</w:t>
      </w:r>
      <w:r w:rsidR="00F77674" w:rsidRPr="00205AD9">
        <w:t>, students read and annotate</w:t>
      </w:r>
      <w:r w:rsidR="009A7256" w:rsidRPr="00205AD9">
        <w:t xml:space="preserve"> pages 4</w:t>
      </w:r>
      <w:r w:rsidR="00827DD5">
        <w:t>–</w:t>
      </w:r>
      <w:r w:rsidR="009A7256" w:rsidRPr="00205AD9">
        <w:t>10 of “The Red Convertible</w:t>
      </w:r>
      <w:r w:rsidR="00015163" w:rsidRPr="00205AD9">
        <w:t xml:space="preserve">.” </w:t>
      </w:r>
      <w:r w:rsidR="00F77674" w:rsidRPr="00205AD9">
        <w:t>Additionally, student</w:t>
      </w:r>
      <w:r w:rsidR="00015163" w:rsidRPr="00205AD9">
        <w:t>s</w:t>
      </w:r>
      <w:r w:rsidR="00F77674" w:rsidRPr="00205AD9">
        <w:t xml:space="preserve"> respond</w:t>
      </w:r>
      <w:r w:rsidR="000A3C98" w:rsidRPr="00205AD9">
        <w:t xml:space="preserve"> in writing</w:t>
      </w:r>
      <w:r w:rsidR="00F77674" w:rsidRPr="00205AD9">
        <w:t xml:space="preserve"> to</w:t>
      </w:r>
      <w:r w:rsidR="009E3DE1">
        <w:t xml:space="preserve"> several</w:t>
      </w:r>
      <w:r w:rsidR="00F77674" w:rsidRPr="00205AD9">
        <w:t xml:space="preserve"> </w:t>
      </w:r>
      <w:r w:rsidR="00F77674">
        <w:t>questions about this excerpt</w:t>
      </w:r>
      <w:r w:rsidR="00623B30">
        <w:t>.</w:t>
      </w:r>
    </w:p>
    <w:p w14:paraId="00DD867D" w14:textId="77777777" w:rsidR="00790BCC" w:rsidRPr="00790BCC" w:rsidRDefault="00790BCC" w:rsidP="00D31F4D">
      <w:pPr>
        <w:pStyle w:val="Heading1"/>
      </w:pPr>
      <w:r w:rsidRPr="00790BCC">
        <w:t xml:space="preserve">Standards </w:t>
      </w: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52D5AD21" w14:textId="77777777" w:rsidTr="008C6490">
        <w:trPr>
          <w:jc w:val="center"/>
        </w:trPr>
        <w:tc>
          <w:tcPr>
            <w:tcW w:w="9360" w:type="dxa"/>
            <w:gridSpan w:val="2"/>
            <w:shd w:val="clear" w:color="auto" w:fill="76923C"/>
          </w:tcPr>
          <w:p w14:paraId="4D7D1684" w14:textId="77777777" w:rsidR="00790BCC" w:rsidRPr="00790BCC" w:rsidRDefault="00790BCC" w:rsidP="007017EB">
            <w:pPr>
              <w:pStyle w:val="TableHeaders"/>
            </w:pPr>
            <w:r w:rsidRPr="00790BCC">
              <w:t>Assessed Standard(s)</w:t>
            </w:r>
          </w:p>
        </w:tc>
      </w:tr>
      <w:tr w:rsidR="003F5F76" w:rsidRPr="00790BCC" w14:paraId="44A5FFEE" w14:textId="77777777" w:rsidTr="008C6490">
        <w:trPr>
          <w:jc w:val="center"/>
        </w:trPr>
        <w:tc>
          <w:tcPr>
            <w:tcW w:w="1329" w:type="dxa"/>
          </w:tcPr>
          <w:p w14:paraId="6A5FB4DC" w14:textId="77777777" w:rsidR="003F5F76" w:rsidRDefault="003F5F76" w:rsidP="00D31F4D">
            <w:pPr>
              <w:pStyle w:val="TableText"/>
            </w:pPr>
            <w:r>
              <w:t>RL.11-12.3</w:t>
            </w:r>
          </w:p>
        </w:tc>
        <w:tc>
          <w:tcPr>
            <w:tcW w:w="8031" w:type="dxa"/>
          </w:tcPr>
          <w:p w14:paraId="74AA4F02" w14:textId="77777777" w:rsidR="003F5F76" w:rsidRPr="00CA1411" w:rsidRDefault="003F5F76" w:rsidP="00205AD9">
            <w:pPr>
              <w:pStyle w:val="TableText"/>
              <w:rPr>
                <w:rFonts w:ascii="Times" w:hAnsi="Times"/>
                <w:sz w:val="20"/>
                <w:szCs w:val="20"/>
              </w:rPr>
            </w:pPr>
            <w:r w:rsidRPr="003F5F76">
              <w:t>Analyze the impact of the author's choices regarding how to develop and relate elements of a story or drama (e.g., where a story is set, how the action is ordered, how the characters are introduced and developed).</w:t>
            </w:r>
          </w:p>
        </w:tc>
      </w:tr>
      <w:tr w:rsidR="00790BCC" w:rsidRPr="00790BCC" w14:paraId="64CD9523" w14:textId="77777777" w:rsidTr="008C6490">
        <w:trPr>
          <w:jc w:val="center"/>
        </w:trPr>
        <w:tc>
          <w:tcPr>
            <w:tcW w:w="1329" w:type="dxa"/>
          </w:tcPr>
          <w:p w14:paraId="2F581F36" w14:textId="77777777" w:rsidR="00790BCC" w:rsidRPr="00790BCC" w:rsidRDefault="002E7BC8" w:rsidP="00D31F4D">
            <w:pPr>
              <w:pStyle w:val="TableText"/>
            </w:pPr>
            <w:r>
              <w:t>RL.11-12.6</w:t>
            </w:r>
          </w:p>
        </w:tc>
        <w:tc>
          <w:tcPr>
            <w:tcW w:w="8031" w:type="dxa"/>
          </w:tcPr>
          <w:p w14:paraId="62B2149C" w14:textId="77777777" w:rsidR="00790BCC" w:rsidRPr="00205AD9" w:rsidRDefault="002E7BC8" w:rsidP="00205AD9">
            <w:pPr>
              <w:pStyle w:val="TableText"/>
            </w:pPr>
            <w:r w:rsidRPr="00205AD9">
              <w:t>Analyze a case in which grasping point of view requires distinguishing what is directly stated in a text from what is really meant (e.g., satire, sarcasm, irony, or understatement).</w:t>
            </w:r>
          </w:p>
        </w:tc>
      </w:tr>
      <w:tr w:rsidR="00790BCC" w:rsidRPr="00790BCC" w14:paraId="3B6183B6" w14:textId="77777777" w:rsidTr="008C6490">
        <w:trPr>
          <w:jc w:val="center"/>
        </w:trPr>
        <w:tc>
          <w:tcPr>
            <w:tcW w:w="9360" w:type="dxa"/>
            <w:gridSpan w:val="2"/>
            <w:shd w:val="clear" w:color="auto" w:fill="76923C"/>
          </w:tcPr>
          <w:p w14:paraId="3DDF5235" w14:textId="77777777" w:rsidR="00790BCC" w:rsidRPr="00790BCC" w:rsidRDefault="00790BCC" w:rsidP="007017EB">
            <w:pPr>
              <w:pStyle w:val="TableHeaders"/>
            </w:pPr>
            <w:r w:rsidRPr="00790BCC">
              <w:t>Addressed Standard(s)</w:t>
            </w:r>
          </w:p>
        </w:tc>
      </w:tr>
      <w:tr w:rsidR="00790BCC" w:rsidRPr="00790BCC" w14:paraId="4B3881AF" w14:textId="77777777" w:rsidTr="008C6490">
        <w:trPr>
          <w:jc w:val="center"/>
        </w:trPr>
        <w:tc>
          <w:tcPr>
            <w:tcW w:w="1329" w:type="dxa"/>
          </w:tcPr>
          <w:p w14:paraId="2706A965" w14:textId="77777777" w:rsidR="00790BCC" w:rsidRPr="00790BCC" w:rsidRDefault="002E7BC8" w:rsidP="007017EB">
            <w:pPr>
              <w:pStyle w:val="TableText"/>
            </w:pPr>
            <w:r>
              <w:t>W.11-12.9.a</w:t>
            </w:r>
          </w:p>
        </w:tc>
        <w:tc>
          <w:tcPr>
            <w:tcW w:w="8031" w:type="dxa"/>
          </w:tcPr>
          <w:p w14:paraId="459D5E15" w14:textId="77777777" w:rsidR="002E7BC8" w:rsidRPr="00205AD9" w:rsidRDefault="002E7BC8" w:rsidP="00205AD9">
            <w:pPr>
              <w:pStyle w:val="TableText"/>
            </w:pPr>
            <w:r w:rsidRPr="00205AD9">
              <w:t>Draw evidence from literary or informational texts to support analysis, reflection, and research.</w:t>
            </w:r>
          </w:p>
          <w:p w14:paraId="412F3607" w14:textId="77777777" w:rsidR="002E7BC8" w:rsidRPr="00790BCC" w:rsidRDefault="002E7BC8" w:rsidP="00205AD9">
            <w:pPr>
              <w:pStyle w:val="SubStandard"/>
            </w:pPr>
            <w:r w:rsidRPr="00205AD9">
              <w:rPr>
                <w:rStyle w:val="SubStandardChar"/>
              </w:rPr>
              <w:t xml:space="preserve">Apply </w:t>
            </w:r>
            <w:r w:rsidRPr="007C60C0">
              <w:rPr>
                <w:rStyle w:val="SubStandardChar"/>
                <w:i/>
              </w:rPr>
              <w:t>grades 11–12 Reading standards</w:t>
            </w:r>
            <w:r w:rsidRPr="00205AD9">
              <w:rPr>
                <w:rStyle w:val="SubStandardChar"/>
              </w:rPr>
              <w:t xml:space="preserve"> to literature (e.g., “Demonstrate knowledge of eighteenth-, nineteenth- and early-twentieth-century foundational works of American literature, including how two or more texts from the same period treat</w:t>
            </w:r>
            <w:r w:rsidRPr="005E67A0">
              <w:t xml:space="preserve"> similar themes or topics”).</w:t>
            </w:r>
          </w:p>
        </w:tc>
      </w:tr>
    </w:tbl>
    <w:p w14:paraId="51D3F9EE" w14:textId="77777777" w:rsidR="00790BCC" w:rsidRPr="00790BCC" w:rsidRDefault="00790BCC" w:rsidP="00D31F4D">
      <w:pPr>
        <w:pStyle w:val="Heading1"/>
      </w:pPr>
      <w:r w:rsidRPr="00790BCC">
        <w:lastRenderedPageBreak/>
        <w:t>Assessment</w:t>
      </w:r>
    </w:p>
    <w:tbl>
      <w:tblPr>
        <w:tblW w:w="944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790BCC" w:rsidRPr="00790BCC" w14:paraId="33BF1A37" w14:textId="77777777" w:rsidTr="008C6490">
        <w:tc>
          <w:tcPr>
            <w:tcW w:w="9360" w:type="dxa"/>
            <w:shd w:val="clear" w:color="auto" w:fill="76923C"/>
          </w:tcPr>
          <w:p w14:paraId="4C27F3C1" w14:textId="77777777" w:rsidR="00790BCC" w:rsidRPr="00790BCC" w:rsidRDefault="00790BCC" w:rsidP="007017EB">
            <w:pPr>
              <w:pStyle w:val="TableHeaders"/>
            </w:pPr>
            <w:r w:rsidRPr="00790BCC">
              <w:t>Assessment(s)</w:t>
            </w:r>
          </w:p>
        </w:tc>
      </w:tr>
      <w:tr w:rsidR="00790BCC" w:rsidRPr="00790BCC" w14:paraId="7FE69040" w14:textId="77777777" w:rsidTr="008C6490">
        <w:tc>
          <w:tcPr>
            <w:tcW w:w="9360" w:type="dxa"/>
            <w:tcBorders>
              <w:top w:val="single" w:sz="4" w:space="0" w:color="auto"/>
              <w:left w:val="single" w:sz="4" w:space="0" w:color="auto"/>
              <w:bottom w:val="single" w:sz="4" w:space="0" w:color="auto"/>
              <w:right w:val="single" w:sz="4" w:space="0" w:color="auto"/>
            </w:tcBorders>
          </w:tcPr>
          <w:p w14:paraId="455D876C" w14:textId="77777777" w:rsidR="002E7BC8" w:rsidRPr="00790BCC" w:rsidRDefault="002E7BC8" w:rsidP="002E7BC8">
            <w:pPr>
              <w:pStyle w:val="TableText"/>
            </w:pPr>
            <w:r>
              <w:t>Student learning is assessed via a Quick Write at the end of the lesson. Students answer the following prompt, citing textual evidence to support analysis and inferences drawn from the text.</w:t>
            </w:r>
          </w:p>
          <w:p w14:paraId="3021131A" w14:textId="77777777" w:rsidR="00790BCC" w:rsidRPr="00790BCC" w:rsidRDefault="002E7BC8" w:rsidP="002E7BC8">
            <w:pPr>
              <w:pStyle w:val="BulletedList"/>
            </w:pPr>
            <w:r w:rsidRPr="0047312A">
              <w:t xml:space="preserve">What is the impact of Erdrich's choice to introduce Stephan through Marty's point of view?  </w:t>
            </w:r>
          </w:p>
        </w:tc>
      </w:tr>
      <w:tr w:rsidR="00790BCC" w:rsidRPr="00790BCC" w14:paraId="634A6555" w14:textId="77777777" w:rsidTr="008C6490">
        <w:tc>
          <w:tcPr>
            <w:tcW w:w="9360" w:type="dxa"/>
            <w:shd w:val="clear" w:color="auto" w:fill="76923C"/>
          </w:tcPr>
          <w:p w14:paraId="4B38F636" w14:textId="77777777" w:rsidR="00790BCC" w:rsidRPr="00790BCC" w:rsidRDefault="00790BCC" w:rsidP="007017EB">
            <w:pPr>
              <w:pStyle w:val="TableHeaders"/>
            </w:pPr>
            <w:r w:rsidRPr="00790BCC">
              <w:t>High Performance Response(s)</w:t>
            </w:r>
          </w:p>
        </w:tc>
      </w:tr>
      <w:tr w:rsidR="00790BCC" w:rsidRPr="00790BCC" w14:paraId="468CE7F7" w14:textId="77777777" w:rsidTr="008C6490">
        <w:tc>
          <w:tcPr>
            <w:tcW w:w="9360" w:type="dxa"/>
          </w:tcPr>
          <w:p w14:paraId="381E676A" w14:textId="77777777" w:rsidR="00790BCC" w:rsidRPr="00790BCC" w:rsidRDefault="00790BCC" w:rsidP="00D31F4D">
            <w:pPr>
              <w:pStyle w:val="TableText"/>
            </w:pPr>
            <w:r w:rsidRPr="00790BCC">
              <w:t>A High Performance Response should:</w:t>
            </w:r>
          </w:p>
          <w:p w14:paraId="017218D1" w14:textId="740399F7" w:rsidR="002E7BC8" w:rsidRDefault="002E7BC8" w:rsidP="002E7BC8">
            <w:pPr>
              <w:pStyle w:val="BulletedList"/>
            </w:pPr>
            <w:r>
              <w:t>Provide examples of Marty’s description of Stephan (e.g., Marty describes Stephan as fun-loving or humorous. For example, Marty describes Stephan putting Susy on his shoulders and pretending he has “</w:t>
            </w:r>
            <w:r w:rsidR="00C13536">
              <w:t>‘</w:t>
            </w:r>
            <w:r w:rsidR="001317E5">
              <w:t>long pretty</w:t>
            </w:r>
            <w:r w:rsidR="008C6490">
              <w:t xml:space="preserve"> hair</w:t>
            </w:r>
            <w:r w:rsidR="00C13536">
              <w:t>’</w:t>
            </w:r>
            <w:r w:rsidR="008C6490">
              <w:t>” (p. 3) and</w:t>
            </w:r>
            <w:r>
              <w:t xml:space="preserve"> </w:t>
            </w:r>
            <w:r w:rsidR="008C6490">
              <w:t>e</w:t>
            </w:r>
            <w:r>
              <w:t>veryone laughs</w:t>
            </w:r>
            <w:r w:rsidR="00857D01">
              <w:t>,</w:t>
            </w:r>
            <w:r>
              <w:t xml:space="preserve"> and Marty </w:t>
            </w:r>
            <w:r w:rsidR="00857D01">
              <w:t>says,</w:t>
            </w:r>
            <w:r>
              <w:t xml:space="preserve"> “it was a funny sight” (</w:t>
            </w:r>
            <w:r w:rsidR="00C13536">
              <w:t>p</w:t>
            </w:r>
            <w:r>
              <w:t>p. 3</w:t>
            </w:r>
            <w:r w:rsidR="003C058E">
              <w:t>–</w:t>
            </w:r>
            <w:r>
              <w:t xml:space="preserve">4). Marty also describes how Stephan forgot he “signed up” to join the Army, which </w:t>
            </w:r>
            <w:r w:rsidR="00D87C06">
              <w:t>demonstrate</w:t>
            </w:r>
            <w:r>
              <w:t>s Stephan’s carefree attitude</w:t>
            </w:r>
            <w:r w:rsidR="00C13536">
              <w:t xml:space="preserve"> (p. 4).</w:t>
            </w:r>
            <w:r>
              <w:t xml:space="preserve">). </w:t>
            </w:r>
          </w:p>
          <w:p w14:paraId="112EAC19" w14:textId="6BE9DB09" w:rsidR="00790BCC" w:rsidRPr="00790BCC" w:rsidRDefault="002E7BC8" w:rsidP="00C13536">
            <w:pPr>
              <w:pStyle w:val="BulletedList"/>
            </w:pPr>
            <w:r>
              <w:t>Discuss the impact of Erdrich’s choice to introduce Stephan through Marty’s point of view (e.g., Erdrich’s choice to tell the story through Marty’s point of view impacts the reader’s understanding of Stephan because the reader only knows Stephan before the war, through the perspective of his brother</w:t>
            </w:r>
            <w:r w:rsidR="00D87C06">
              <w:t xml:space="preserve">. </w:t>
            </w:r>
            <w:r w:rsidR="002B3AF7">
              <w:t>For example, the reader learns about Stephan through his brother’</w:t>
            </w:r>
            <w:r w:rsidR="009E3FA5">
              <w:t>s descriptions</w:t>
            </w:r>
            <w:r w:rsidR="004533A6">
              <w:t>,</w:t>
            </w:r>
            <w:r w:rsidR="009E3FA5">
              <w:t xml:space="preserve"> including </w:t>
            </w:r>
            <w:r>
              <w:t>teas</w:t>
            </w:r>
            <w:r w:rsidR="002B3AF7">
              <w:t>ing</w:t>
            </w:r>
            <w:r>
              <w:t xml:space="preserve"> </w:t>
            </w:r>
            <w:r w:rsidR="00D87C06">
              <w:t>Marty</w:t>
            </w:r>
            <w:r>
              <w:t xml:space="preserve"> about his “Indian nose” (p. 4) and refer</w:t>
            </w:r>
            <w:r w:rsidR="002B3AF7">
              <w:t>ring</w:t>
            </w:r>
            <w:r>
              <w:t xml:space="preserve"> to them as a unit</w:t>
            </w:r>
            <w:r w:rsidR="00C13536">
              <w:t>:</w:t>
            </w:r>
            <w:r>
              <w:t xml:space="preserve"> “we got up there and never wanted to leave” (p. 3). Marty’s point of view shows that Stephan and Marty </w:t>
            </w:r>
            <w:r w:rsidR="00857D01">
              <w:t xml:space="preserve">as close siblings did things together, like purchasing a car: </w:t>
            </w:r>
            <w:r>
              <w:t>“the car belonged to us and our pockets were empty” (p. 2</w:t>
            </w:r>
            <w:r w:rsidR="00120F5C">
              <w:t>)</w:t>
            </w:r>
            <w:r w:rsidR="00857D01">
              <w:t>. They</w:t>
            </w:r>
            <w:r>
              <w:t xml:space="preserve"> spent </w:t>
            </w:r>
            <w:r w:rsidR="00857D01">
              <w:t>a</w:t>
            </w:r>
            <w:r>
              <w:t xml:space="preserve"> whole summer traveling anywhere they wanted, living “here to there” (p. 2). The impact of Marty’s point of view demonstrates Stephan’s </w:t>
            </w:r>
            <w:r w:rsidRPr="007F005E">
              <w:t>lighthearted</w:t>
            </w:r>
            <w:r>
              <w:t xml:space="preserve"> and </w:t>
            </w:r>
            <w:r w:rsidRPr="007F005E">
              <w:t>playful</w:t>
            </w:r>
            <w:r>
              <w:t xml:space="preserve"> attitude before he left for</w:t>
            </w:r>
            <w:r w:rsidR="00D87C06">
              <w:t xml:space="preserve"> the</w:t>
            </w:r>
            <w:r>
              <w:t xml:space="preserve"> Vietnam</w:t>
            </w:r>
            <w:r w:rsidR="00D87C06">
              <w:t xml:space="preserve"> War</w:t>
            </w:r>
            <w:r w:rsidR="008D427A">
              <w:t>.</w:t>
            </w:r>
            <w:r>
              <w:t>).</w:t>
            </w:r>
          </w:p>
        </w:tc>
      </w:tr>
    </w:tbl>
    <w:p w14:paraId="26ABCC81" w14:textId="77777777" w:rsidR="00790BCC" w:rsidRPr="00790BCC" w:rsidRDefault="00790BCC" w:rsidP="00D31F4D">
      <w:pPr>
        <w:pStyle w:val="Heading1"/>
      </w:pPr>
      <w:r w:rsidRPr="00341F48">
        <w:t>Vocabulary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222618D5" w14:textId="77777777" w:rsidTr="008C6490">
        <w:trPr>
          <w:jc w:val="center"/>
        </w:trPr>
        <w:tc>
          <w:tcPr>
            <w:tcW w:w="9360" w:type="dxa"/>
            <w:shd w:val="clear" w:color="auto" w:fill="76923C"/>
          </w:tcPr>
          <w:p w14:paraId="27D143E3" w14:textId="77777777" w:rsidR="00790BCC" w:rsidRPr="00790BCC" w:rsidRDefault="00790BCC" w:rsidP="00D31F4D">
            <w:pPr>
              <w:pStyle w:val="TableHeaders"/>
            </w:pPr>
            <w:r w:rsidRPr="00790BCC">
              <w:t>Vocabulary to provide directly (will not include extended instruction)</w:t>
            </w:r>
          </w:p>
        </w:tc>
      </w:tr>
      <w:tr w:rsidR="00790BCC" w:rsidRPr="00790BCC" w14:paraId="75DBCEA9" w14:textId="77777777" w:rsidTr="008C6490">
        <w:trPr>
          <w:jc w:val="center"/>
        </w:trPr>
        <w:tc>
          <w:tcPr>
            <w:tcW w:w="9360" w:type="dxa"/>
          </w:tcPr>
          <w:p w14:paraId="2A937427" w14:textId="44B62E44" w:rsidR="00790BCC" w:rsidRPr="00790BCC" w:rsidRDefault="00074FD2" w:rsidP="00D31F4D">
            <w:pPr>
              <w:pStyle w:val="BulletedList"/>
            </w:pPr>
            <w:r>
              <w:t>r</w:t>
            </w:r>
            <w:r w:rsidR="008B3F5B">
              <w:t>epose (v.)</w:t>
            </w:r>
            <w:r w:rsidR="007A15C2">
              <w:t xml:space="preserve"> </w:t>
            </w:r>
            <w:r w:rsidR="00205AD9">
              <w:t>–</w:t>
            </w:r>
            <w:r w:rsidR="008B3F5B">
              <w:t xml:space="preserve"> </w:t>
            </w:r>
            <w:r w:rsidR="007A15C2">
              <w:t>t</w:t>
            </w:r>
            <w:r w:rsidR="008B3F5B" w:rsidRPr="00A603FB">
              <w:t>o lay at rest</w:t>
            </w:r>
          </w:p>
        </w:tc>
      </w:tr>
      <w:tr w:rsidR="00790BCC" w:rsidRPr="00790BCC" w14:paraId="2AF88529" w14:textId="77777777" w:rsidTr="008C6490">
        <w:trPr>
          <w:jc w:val="center"/>
        </w:trPr>
        <w:tc>
          <w:tcPr>
            <w:tcW w:w="9360" w:type="dxa"/>
            <w:shd w:val="clear" w:color="auto" w:fill="76923C"/>
          </w:tcPr>
          <w:p w14:paraId="0C942913" w14:textId="77777777" w:rsidR="00790BCC" w:rsidRPr="00790BCC" w:rsidRDefault="00790BCC" w:rsidP="00D31F4D">
            <w:pPr>
              <w:pStyle w:val="TableHeaders"/>
            </w:pPr>
            <w:r w:rsidRPr="00790BCC">
              <w:t>Vocabulary to teach (may include direct word work and/or questions)</w:t>
            </w:r>
          </w:p>
        </w:tc>
      </w:tr>
      <w:tr w:rsidR="00790BCC" w:rsidRPr="00790BCC" w14:paraId="3396622C" w14:textId="77777777" w:rsidTr="008C6490">
        <w:trPr>
          <w:jc w:val="center"/>
        </w:trPr>
        <w:tc>
          <w:tcPr>
            <w:tcW w:w="9360" w:type="dxa"/>
          </w:tcPr>
          <w:p w14:paraId="1B1945C5" w14:textId="3D826252" w:rsidR="00790BCC" w:rsidRPr="00790BCC" w:rsidRDefault="008B3F5B" w:rsidP="00D31F4D">
            <w:pPr>
              <w:pStyle w:val="BulletedList"/>
            </w:pPr>
            <w:r>
              <w:t>None</w:t>
            </w:r>
            <w:r w:rsidR="007C60C0">
              <w:t>.</w:t>
            </w:r>
          </w:p>
        </w:tc>
      </w:tr>
      <w:tr w:rsidR="00790BCC" w:rsidRPr="00790BCC" w14:paraId="7544FF4D" w14:textId="77777777" w:rsidTr="008C6490">
        <w:trPr>
          <w:jc w:val="center"/>
        </w:trPr>
        <w:tc>
          <w:tcPr>
            <w:tcW w:w="9360" w:type="dxa"/>
            <w:tcBorders>
              <w:top w:val="single" w:sz="4" w:space="0" w:color="auto"/>
              <w:left w:val="single" w:sz="4" w:space="0" w:color="auto"/>
              <w:bottom w:val="single" w:sz="4" w:space="0" w:color="auto"/>
              <w:right w:val="single" w:sz="4" w:space="0" w:color="auto"/>
            </w:tcBorders>
            <w:shd w:val="clear" w:color="auto" w:fill="76923C"/>
          </w:tcPr>
          <w:p w14:paraId="2B40F007"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7614924F" w14:textId="77777777" w:rsidTr="008C6490">
        <w:trPr>
          <w:jc w:val="center"/>
        </w:trPr>
        <w:tc>
          <w:tcPr>
            <w:tcW w:w="9360" w:type="dxa"/>
            <w:tcBorders>
              <w:top w:val="single" w:sz="4" w:space="0" w:color="auto"/>
              <w:left w:val="single" w:sz="4" w:space="0" w:color="auto"/>
              <w:bottom w:val="single" w:sz="4" w:space="0" w:color="auto"/>
              <w:right w:val="single" w:sz="4" w:space="0" w:color="auto"/>
            </w:tcBorders>
          </w:tcPr>
          <w:p w14:paraId="7303271A" w14:textId="1C19D1B4" w:rsidR="002E7BC8" w:rsidRDefault="00074FD2" w:rsidP="002E7BC8">
            <w:pPr>
              <w:pStyle w:val="BulletedList"/>
            </w:pPr>
            <w:r>
              <w:t>c</w:t>
            </w:r>
            <w:r w:rsidR="002E7BC8">
              <w:t>onvertible (n.)</w:t>
            </w:r>
            <w:r w:rsidR="007A15C2">
              <w:t xml:space="preserve"> </w:t>
            </w:r>
            <w:r w:rsidR="00205AD9">
              <w:t>–</w:t>
            </w:r>
            <w:r w:rsidR="002E7BC8">
              <w:t xml:space="preserve"> </w:t>
            </w:r>
            <w:r w:rsidR="007A15C2">
              <w:t xml:space="preserve">a </w:t>
            </w:r>
            <w:r w:rsidR="002E7BC8">
              <w:t>car with a roof that can be lowered or removed</w:t>
            </w:r>
          </w:p>
          <w:p w14:paraId="5B0013A5" w14:textId="258EA88E" w:rsidR="002E7BC8" w:rsidRDefault="00074FD2" w:rsidP="002E7BC8">
            <w:pPr>
              <w:pStyle w:val="BulletedList"/>
            </w:pPr>
            <w:r>
              <w:t>r</w:t>
            </w:r>
            <w:r w:rsidR="002E7BC8">
              <w:t>eservation (n.)</w:t>
            </w:r>
            <w:r w:rsidR="007A15C2">
              <w:t xml:space="preserve"> </w:t>
            </w:r>
            <w:r w:rsidR="00205AD9">
              <w:t>–</w:t>
            </w:r>
            <w:r w:rsidR="002E7BC8">
              <w:t xml:space="preserve"> </w:t>
            </w:r>
            <w:r w:rsidR="007A15C2">
              <w:t>a</w:t>
            </w:r>
            <w:r w:rsidR="007A15C2" w:rsidRPr="000C684C">
              <w:t xml:space="preserve">n </w:t>
            </w:r>
            <w:r w:rsidR="002E7BC8" w:rsidRPr="000C684C">
              <w:t xml:space="preserve">area of land in the U.S. that is kept separate as a place for Native Americans </w:t>
            </w:r>
            <w:r w:rsidR="002E7BC8" w:rsidRPr="000C684C">
              <w:lastRenderedPageBreak/>
              <w:t>to live</w:t>
            </w:r>
          </w:p>
          <w:p w14:paraId="2CFE7CE1" w14:textId="6CE511F8" w:rsidR="002E7BC8" w:rsidRDefault="00074FD2" w:rsidP="002E7BC8">
            <w:pPr>
              <w:pStyle w:val="BulletedList"/>
            </w:pPr>
            <w:r>
              <w:t>b</w:t>
            </w:r>
            <w:r w:rsidR="002E7BC8">
              <w:t>ig break (idiom)</w:t>
            </w:r>
            <w:r w:rsidR="007A15C2">
              <w:t xml:space="preserve"> </w:t>
            </w:r>
            <w:r w:rsidR="00205AD9">
              <w:t>–</w:t>
            </w:r>
            <w:r w:rsidR="002E7BC8">
              <w:t xml:space="preserve"> significant good luck or opportunity</w:t>
            </w:r>
          </w:p>
          <w:p w14:paraId="3A0998B5" w14:textId="2AEF54C0" w:rsidR="002E7BC8" w:rsidRDefault="00074FD2" w:rsidP="002E7BC8">
            <w:pPr>
              <w:pStyle w:val="BulletedList"/>
            </w:pPr>
            <w:r>
              <w:t>g</w:t>
            </w:r>
            <w:r w:rsidR="002E7BC8">
              <w:t>reener pastures (idiom)</w:t>
            </w:r>
            <w:r w:rsidR="007A15C2">
              <w:t xml:space="preserve"> </w:t>
            </w:r>
            <w:r w:rsidR="00205AD9">
              <w:t>–</w:t>
            </w:r>
            <w:r w:rsidR="002E7BC8">
              <w:t xml:space="preserve"> </w:t>
            </w:r>
            <w:r w:rsidR="007A15C2">
              <w:t xml:space="preserve">a </w:t>
            </w:r>
            <w:r w:rsidR="002E7BC8">
              <w:t>better or more exciting place</w:t>
            </w:r>
          </w:p>
          <w:p w14:paraId="1D3430D9" w14:textId="3A9314C1" w:rsidR="002E7BC8" w:rsidRDefault="00074FD2" w:rsidP="002E7BC8">
            <w:pPr>
              <w:pStyle w:val="BulletedList"/>
            </w:pPr>
            <w:r>
              <w:t>m</w:t>
            </w:r>
            <w:r w:rsidR="002E7BC8" w:rsidRPr="0077710B">
              <w:t>arine</w:t>
            </w:r>
            <w:r w:rsidR="002E7BC8">
              <w:t xml:space="preserve"> (n.)</w:t>
            </w:r>
            <w:r w:rsidR="007A15C2">
              <w:t xml:space="preserve"> </w:t>
            </w:r>
            <w:r w:rsidR="00205AD9">
              <w:t>–</w:t>
            </w:r>
            <w:r w:rsidR="002E7BC8">
              <w:t xml:space="preserve"> </w:t>
            </w:r>
            <w:r w:rsidR="007A15C2">
              <w:t xml:space="preserve">a </w:t>
            </w:r>
            <w:r w:rsidR="002E7BC8">
              <w:t>member of the U.S. Marine Corps (one of a class of naval troops serving both on shipboard and on land)</w:t>
            </w:r>
          </w:p>
          <w:p w14:paraId="7642A72E" w14:textId="37900322" w:rsidR="00790BCC" w:rsidRPr="00790BCC" w:rsidRDefault="00074FD2" w:rsidP="007A15C2">
            <w:pPr>
              <w:pStyle w:val="BulletedList"/>
            </w:pPr>
            <w:r>
              <w:t>o</w:t>
            </w:r>
            <w:r w:rsidR="002E7BC8">
              <w:t>uthouse (n.)</w:t>
            </w:r>
            <w:r w:rsidR="007A15C2">
              <w:t xml:space="preserve"> </w:t>
            </w:r>
            <w:r w:rsidR="00205AD9">
              <w:t>–</w:t>
            </w:r>
            <w:r w:rsidR="002E7BC8">
              <w:t xml:space="preserve"> </w:t>
            </w:r>
            <w:r w:rsidR="007A15C2">
              <w:t>a</w:t>
            </w:r>
            <w:r w:rsidR="007A15C2" w:rsidRPr="00015993">
              <w:t xml:space="preserve"> </w:t>
            </w:r>
            <w:r w:rsidR="002E7BC8" w:rsidRPr="00015993">
              <w:t>small outdoor building that is used as a toilet</w:t>
            </w:r>
          </w:p>
        </w:tc>
      </w:tr>
    </w:tbl>
    <w:p w14:paraId="0E3DD19F" w14:textId="77777777" w:rsidR="00790BCC" w:rsidRPr="00790BCC" w:rsidRDefault="00790BCC" w:rsidP="00D31F4D">
      <w:pPr>
        <w:pStyle w:val="Heading1"/>
      </w:pPr>
      <w:r w:rsidRPr="00790BCC">
        <w:lastRenderedPageBreak/>
        <w:t>Lesson Agenda/Overview</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74F298C9" w14:textId="77777777" w:rsidTr="008C6490">
        <w:trPr>
          <w:jc w:val="center"/>
        </w:trPr>
        <w:tc>
          <w:tcPr>
            <w:tcW w:w="7650" w:type="dxa"/>
            <w:tcBorders>
              <w:bottom w:val="single" w:sz="4" w:space="0" w:color="auto"/>
            </w:tcBorders>
            <w:shd w:val="clear" w:color="auto" w:fill="76923C"/>
          </w:tcPr>
          <w:p w14:paraId="749F6A0B"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22B42B6C" w14:textId="77777777" w:rsidR="00790BCC" w:rsidRPr="00790BCC" w:rsidRDefault="00790BCC" w:rsidP="00D31F4D">
            <w:pPr>
              <w:pStyle w:val="TableHeaders"/>
            </w:pPr>
            <w:r w:rsidRPr="00790BCC">
              <w:t>% of Lesson</w:t>
            </w:r>
          </w:p>
        </w:tc>
      </w:tr>
      <w:tr w:rsidR="00790BCC" w:rsidRPr="00790BCC" w14:paraId="2EAF5134" w14:textId="77777777" w:rsidTr="008C6490">
        <w:trPr>
          <w:trHeight w:val="1313"/>
          <w:jc w:val="center"/>
        </w:trPr>
        <w:tc>
          <w:tcPr>
            <w:tcW w:w="7650" w:type="dxa"/>
            <w:tcBorders>
              <w:bottom w:val="nil"/>
            </w:tcBorders>
          </w:tcPr>
          <w:p w14:paraId="19DC4CF6" w14:textId="77777777" w:rsidR="00790BCC" w:rsidRPr="00D31F4D" w:rsidRDefault="00790BCC" w:rsidP="00D31F4D">
            <w:pPr>
              <w:pStyle w:val="TableText"/>
              <w:rPr>
                <w:b/>
              </w:rPr>
            </w:pPr>
            <w:r w:rsidRPr="00D31F4D">
              <w:rPr>
                <w:b/>
              </w:rPr>
              <w:t>Standards &amp; Text:</w:t>
            </w:r>
          </w:p>
          <w:p w14:paraId="3381293F" w14:textId="77777777" w:rsidR="00790BCC" w:rsidRPr="00790BCC" w:rsidRDefault="00B17B1B" w:rsidP="00D31F4D">
            <w:pPr>
              <w:pStyle w:val="BulletedList"/>
            </w:pPr>
            <w:r>
              <w:t xml:space="preserve">Standards: </w:t>
            </w:r>
            <w:r w:rsidR="003F5F76">
              <w:t xml:space="preserve">RL.11-12.3, </w:t>
            </w:r>
            <w:r>
              <w:t>RL.11-12.6, W.11-12.9.a</w:t>
            </w:r>
          </w:p>
          <w:p w14:paraId="7D183258" w14:textId="49368E11" w:rsidR="00790BCC" w:rsidRPr="00790BCC" w:rsidRDefault="00790BCC" w:rsidP="007C60C0">
            <w:pPr>
              <w:pStyle w:val="BulletedList"/>
            </w:pPr>
            <w:r w:rsidRPr="00790BCC">
              <w:t xml:space="preserve">Text: </w:t>
            </w:r>
            <w:r w:rsidR="002E7BC8">
              <w:t xml:space="preserve">“The Red Convertible” </w:t>
            </w:r>
            <w:r w:rsidR="00C13536">
              <w:t xml:space="preserve">from </w:t>
            </w:r>
            <w:r w:rsidR="00C13536" w:rsidRPr="00C13536">
              <w:rPr>
                <w:i/>
              </w:rPr>
              <w:t>The Red Convertible</w:t>
            </w:r>
            <w:r w:rsidR="00C13536">
              <w:t xml:space="preserve"> </w:t>
            </w:r>
            <w:r w:rsidR="002E7BC8">
              <w:t>by Louise Erdrich, p</w:t>
            </w:r>
            <w:r w:rsidR="007C60C0">
              <w:t>ages</w:t>
            </w:r>
            <w:r w:rsidR="002E7BC8">
              <w:t xml:space="preserve"> 1</w:t>
            </w:r>
            <w:r w:rsidR="00205AD9">
              <w:t>–</w:t>
            </w:r>
            <w:r w:rsidR="002E7BC8">
              <w:t>4</w:t>
            </w:r>
          </w:p>
        </w:tc>
        <w:tc>
          <w:tcPr>
            <w:tcW w:w="1705" w:type="dxa"/>
            <w:tcBorders>
              <w:bottom w:val="nil"/>
            </w:tcBorders>
          </w:tcPr>
          <w:p w14:paraId="24505FB8" w14:textId="77777777" w:rsidR="00790BCC" w:rsidRPr="00790BCC" w:rsidRDefault="00790BCC" w:rsidP="00790BCC"/>
          <w:p w14:paraId="3A74D229" w14:textId="77777777" w:rsidR="00790BCC" w:rsidRPr="00790BCC" w:rsidRDefault="00790BCC" w:rsidP="00790BCC">
            <w:pPr>
              <w:spacing w:after="60" w:line="240" w:lineRule="auto"/>
            </w:pPr>
          </w:p>
        </w:tc>
      </w:tr>
      <w:tr w:rsidR="00790BCC" w:rsidRPr="00790BCC" w14:paraId="0E67B4AE" w14:textId="77777777" w:rsidTr="008C6490">
        <w:trPr>
          <w:jc w:val="center"/>
        </w:trPr>
        <w:tc>
          <w:tcPr>
            <w:tcW w:w="7650" w:type="dxa"/>
            <w:tcBorders>
              <w:top w:val="nil"/>
            </w:tcBorders>
          </w:tcPr>
          <w:p w14:paraId="16CAF75C" w14:textId="77777777" w:rsidR="00790BCC" w:rsidRPr="00D31F4D" w:rsidRDefault="00790BCC" w:rsidP="00D31F4D">
            <w:pPr>
              <w:pStyle w:val="TableText"/>
              <w:rPr>
                <w:b/>
              </w:rPr>
            </w:pPr>
            <w:r w:rsidRPr="00D31F4D">
              <w:rPr>
                <w:b/>
              </w:rPr>
              <w:t>Learning Sequence:</w:t>
            </w:r>
          </w:p>
          <w:p w14:paraId="03803222" w14:textId="77777777" w:rsidR="00790BCC" w:rsidRPr="00790BCC" w:rsidRDefault="00790BCC" w:rsidP="00D31F4D">
            <w:pPr>
              <w:pStyle w:val="NumberedList"/>
            </w:pPr>
            <w:r w:rsidRPr="00790BCC">
              <w:t>Introduction of Lesson Agenda</w:t>
            </w:r>
          </w:p>
          <w:p w14:paraId="680FEE2F" w14:textId="77777777" w:rsidR="00790BCC" w:rsidRPr="00790BCC" w:rsidRDefault="00790BCC" w:rsidP="00D31F4D">
            <w:pPr>
              <w:pStyle w:val="NumberedList"/>
            </w:pPr>
            <w:r w:rsidRPr="00790BCC">
              <w:t>Homework Accountability</w:t>
            </w:r>
          </w:p>
          <w:p w14:paraId="463164E1" w14:textId="77777777" w:rsidR="00790BCC" w:rsidRPr="00790BCC" w:rsidRDefault="00466BD5" w:rsidP="00D31F4D">
            <w:pPr>
              <w:pStyle w:val="NumberedList"/>
            </w:pPr>
            <w:r>
              <w:t>Reading and Discussion</w:t>
            </w:r>
          </w:p>
          <w:p w14:paraId="6FF7E37A" w14:textId="77777777" w:rsidR="00790BCC" w:rsidRPr="00790BCC" w:rsidRDefault="00466BD5" w:rsidP="00D31F4D">
            <w:pPr>
              <w:pStyle w:val="NumberedList"/>
            </w:pPr>
            <w:r>
              <w:t>Quick Write</w:t>
            </w:r>
          </w:p>
          <w:p w14:paraId="13DEB410" w14:textId="77777777" w:rsidR="00790BCC" w:rsidRPr="00790BCC" w:rsidRDefault="00790BCC" w:rsidP="00466BD5">
            <w:pPr>
              <w:pStyle w:val="NumberedList"/>
            </w:pPr>
            <w:r w:rsidRPr="00790BCC">
              <w:t>Closing</w:t>
            </w:r>
          </w:p>
        </w:tc>
        <w:tc>
          <w:tcPr>
            <w:tcW w:w="1705" w:type="dxa"/>
            <w:tcBorders>
              <w:top w:val="nil"/>
            </w:tcBorders>
          </w:tcPr>
          <w:p w14:paraId="61AE7D49" w14:textId="77777777" w:rsidR="00790BCC" w:rsidRPr="00790BCC" w:rsidRDefault="00790BCC" w:rsidP="00790BCC">
            <w:pPr>
              <w:spacing w:before="40" w:after="40"/>
            </w:pPr>
          </w:p>
          <w:p w14:paraId="7E09518D" w14:textId="77777777" w:rsidR="00790BCC" w:rsidRPr="00790BCC" w:rsidRDefault="00790BCC" w:rsidP="00D31F4D">
            <w:pPr>
              <w:pStyle w:val="NumberedList"/>
              <w:numPr>
                <w:ilvl w:val="0"/>
                <w:numId w:val="13"/>
              </w:numPr>
            </w:pPr>
            <w:r w:rsidRPr="00790BCC">
              <w:t>5%</w:t>
            </w:r>
          </w:p>
          <w:p w14:paraId="468A8DFA" w14:textId="77777777" w:rsidR="00790BCC" w:rsidRPr="00790BCC" w:rsidRDefault="00466BD5" w:rsidP="00D31F4D">
            <w:pPr>
              <w:pStyle w:val="NumberedList"/>
              <w:numPr>
                <w:ilvl w:val="0"/>
                <w:numId w:val="13"/>
              </w:numPr>
            </w:pPr>
            <w:r>
              <w:t>15</w:t>
            </w:r>
            <w:r w:rsidR="00790BCC" w:rsidRPr="00790BCC">
              <w:t>%</w:t>
            </w:r>
          </w:p>
          <w:p w14:paraId="4C757E1F" w14:textId="77777777" w:rsidR="00790BCC" w:rsidRPr="00790BCC" w:rsidRDefault="00466BD5" w:rsidP="00D31F4D">
            <w:pPr>
              <w:pStyle w:val="NumberedList"/>
              <w:numPr>
                <w:ilvl w:val="0"/>
                <w:numId w:val="13"/>
              </w:numPr>
            </w:pPr>
            <w:r>
              <w:t>60</w:t>
            </w:r>
            <w:r w:rsidR="00790BCC" w:rsidRPr="00790BCC">
              <w:t>%</w:t>
            </w:r>
          </w:p>
          <w:p w14:paraId="52743DFB" w14:textId="77777777" w:rsidR="00790BCC" w:rsidRPr="00790BCC" w:rsidRDefault="00466BD5" w:rsidP="00D31F4D">
            <w:pPr>
              <w:pStyle w:val="NumberedList"/>
              <w:numPr>
                <w:ilvl w:val="0"/>
                <w:numId w:val="13"/>
              </w:numPr>
            </w:pPr>
            <w:r>
              <w:t>15</w:t>
            </w:r>
            <w:r w:rsidR="00790BCC" w:rsidRPr="00790BCC">
              <w:t>%</w:t>
            </w:r>
          </w:p>
          <w:p w14:paraId="507AB467" w14:textId="77777777" w:rsidR="00790BCC" w:rsidRPr="00790BCC" w:rsidRDefault="00466BD5" w:rsidP="00466BD5">
            <w:pPr>
              <w:pStyle w:val="NumberedList"/>
              <w:numPr>
                <w:ilvl w:val="0"/>
                <w:numId w:val="13"/>
              </w:numPr>
            </w:pPr>
            <w:r>
              <w:t>5%</w:t>
            </w:r>
          </w:p>
        </w:tc>
      </w:tr>
    </w:tbl>
    <w:p w14:paraId="3B8B21D9" w14:textId="77777777" w:rsidR="00790BCC" w:rsidRPr="00790BCC" w:rsidRDefault="00790BCC" w:rsidP="00D31F4D">
      <w:pPr>
        <w:pStyle w:val="Heading1"/>
      </w:pPr>
      <w:r w:rsidRPr="00790BCC">
        <w:t>Materials</w:t>
      </w:r>
    </w:p>
    <w:p w14:paraId="639E42DE" w14:textId="77777777" w:rsidR="00790BCC" w:rsidRPr="00790BCC" w:rsidRDefault="00466BD5" w:rsidP="00D31F4D">
      <w:pPr>
        <w:pStyle w:val="BulletedList"/>
      </w:pPr>
      <w:r>
        <w:t>Student copies of the Short Response Rubric and Checklist (refer to 11.4.1 Lesson 1)</w:t>
      </w:r>
    </w:p>
    <w:p w14:paraId="497831F6" w14:textId="77777777" w:rsidR="00790BCC" w:rsidRDefault="00790BCC" w:rsidP="00D31F4D">
      <w:pPr>
        <w:pStyle w:val="Heading1"/>
      </w:pPr>
      <w:r w:rsidRPr="00790BCC">
        <w:t>Learning Sequence</w:t>
      </w:r>
    </w:p>
    <w:tbl>
      <w:tblPr>
        <w:tblStyle w:val="TableGrid1"/>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5AFBB2D8" w14:textId="77777777" w:rsidTr="008C6490">
        <w:trPr>
          <w:jc w:val="center"/>
        </w:trPr>
        <w:tc>
          <w:tcPr>
            <w:tcW w:w="9360" w:type="dxa"/>
            <w:gridSpan w:val="2"/>
            <w:shd w:val="clear" w:color="auto" w:fill="76923C"/>
          </w:tcPr>
          <w:p w14:paraId="2321991D" w14:textId="77777777" w:rsidR="00D31F4D" w:rsidRPr="00D31F4D" w:rsidRDefault="00D31F4D" w:rsidP="009450B7">
            <w:pPr>
              <w:pStyle w:val="TableHeaders"/>
            </w:pPr>
            <w:r w:rsidRPr="009450B7">
              <w:rPr>
                <w:sz w:val="22"/>
              </w:rPr>
              <w:t>How to Use the Learning Sequence</w:t>
            </w:r>
          </w:p>
        </w:tc>
      </w:tr>
      <w:tr w:rsidR="00D31F4D" w:rsidRPr="00D31F4D" w14:paraId="1D4D48EB" w14:textId="77777777" w:rsidTr="008C6490">
        <w:trPr>
          <w:jc w:val="center"/>
        </w:trPr>
        <w:tc>
          <w:tcPr>
            <w:tcW w:w="894" w:type="dxa"/>
            <w:shd w:val="clear" w:color="auto" w:fill="76923C"/>
          </w:tcPr>
          <w:p w14:paraId="0508E2FC"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40F8A135"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7911D64C" w14:textId="77777777" w:rsidTr="008C6490">
        <w:trPr>
          <w:jc w:val="center"/>
        </w:trPr>
        <w:tc>
          <w:tcPr>
            <w:tcW w:w="894" w:type="dxa"/>
          </w:tcPr>
          <w:p w14:paraId="38F330F8"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64AA6C83"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31549408" w14:textId="77777777" w:rsidTr="008C6490">
        <w:trPr>
          <w:jc w:val="center"/>
        </w:trPr>
        <w:tc>
          <w:tcPr>
            <w:tcW w:w="894" w:type="dxa"/>
            <w:vMerge w:val="restart"/>
            <w:vAlign w:val="center"/>
          </w:tcPr>
          <w:p w14:paraId="3C57135A"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738E3357" w14:textId="77777777" w:rsidR="00D31F4D" w:rsidRPr="00D31F4D" w:rsidRDefault="00D31F4D" w:rsidP="00D31F4D">
            <w:pPr>
              <w:spacing w:before="20" w:after="20" w:line="240" w:lineRule="auto"/>
            </w:pPr>
            <w:r w:rsidRPr="00D31F4D">
              <w:t>Plain text indicates teacher action.</w:t>
            </w:r>
          </w:p>
        </w:tc>
      </w:tr>
      <w:tr w:rsidR="00D31F4D" w:rsidRPr="00D31F4D" w14:paraId="56F11424" w14:textId="77777777" w:rsidTr="008C6490">
        <w:trPr>
          <w:jc w:val="center"/>
        </w:trPr>
        <w:tc>
          <w:tcPr>
            <w:tcW w:w="894" w:type="dxa"/>
            <w:vMerge/>
          </w:tcPr>
          <w:p w14:paraId="14BFC176" w14:textId="77777777" w:rsidR="00D31F4D" w:rsidRPr="00D31F4D" w:rsidRDefault="00D31F4D" w:rsidP="00D31F4D">
            <w:pPr>
              <w:spacing w:before="20" w:after="20" w:line="240" w:lineRule="auto"/>
              <w:jc w:val="center"/>
              <w:rPr>
                <w:b/>
                <w:color w:val="000000"/>
              </w:rPr>
            </w:pPr>
          </w:p>
        </w:tc>
        <w:tc>
          <w:tcPr>
            <w:tcW w:w="8466" w:type="dxa"/>
          </w:tcPr>
          <w:p w14:paraId="1B6D9B72"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1F9128FE" w14:textId="77777777" w:rsidTr="008C6490">
        <w:trPr>
          <w:jc w:val="center"/>
        </w:trPr>
        <w:tc>
          <w:tcPr>
            <w:tcW w:w="894" w:type="dxa"/>
            <w:vMerge/>
          </w:tcPr>
          <w:p w14:paraId="799E9DF7" w14:textId="77777777" w:rsidR="00D31F4D" w:rsidRPr="00D31F4D" w:rsidRDefault="00D31F4D" w:rsidP="00D31F4D">
            <w:pPr>
              <w:spacing w:before="20" w:after="20" w:line="240" w:lineRule="auto"/>
              <w:jc w:val="center"/>
              <w:rPr>
                <w:b/>
                <w:color w:val="000000"/>
              </w:rPr>
            </w:pPr>
          </w:p>
        </w:tc>
        <w:tc>
          <w:tcPr>
            <w:tcW w:w="8466" w:type="dxa"/>
          </w:tcPr>
          <w:p w14:paraId="551EF45B"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1F7A65FE" w14:textId="77777777" w:rsidTr="008C6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94" w:type="dxa"/>
            <w:vAlign w:val="bottom"/>
          </w:tcPr>
          <w:p w14:paraId="1EDE5B43" w14:textId="77777777" w:rsidR="00D31F4D" w:rsidRPr="00D31F4D" w:rsidRDefault="00D31F4D" w:rsidP="00D31F4D">
            <w:pPr>
              <w:spacing w:before="40" w:after="0" w:line="240" w:lineRule="auto"/>
              <w:jc w:val="center"/>
            </w:pPr>
            <w:r w:rsidRPr="00D31F4D">
              <w:lastRenderedPageBreak/>
              <w:sym w:font="Webdings" w:char="F034"/>
            </w:r>
          </w:p>
        </w:tc>
        <w:tc>
          <w:tcPr>
            <w:tcW w:w="8466" w:type="dxa"/>
          </w:tcPr>
          <w:p w14:paraId="535FDBA7" w14:textId="77777777" w:rsidR="00D31F4D" w:rsidRPr="00D31F4D" w:rsidRDefault="00D31F4D" w:rsidP="00D31F4D">
            <w:pPr>
              <w:spacing w:before="20" w:after="20" w:line="240" w:lineRule="auto"/>
            </w:pPr>
            <w:r w:rsidRPr="00D31F4D">
              <w:t>Indicates student action(s).</w:t>
            </w:r>
          </w:p>
        </w:tc>
      </w:tr>
      <w:tr w:rsidR="00D31F4D" w:rsidRPr="00D31F4D" w14:paraId="77F92F63" w14:textId="77777777" w:rsidTr="008C6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94" w:type="dxa"/>
            <w:vAlign w:val="center"/>
          </w:tcPr>
          <w:p w14:paraId="35A79053" w14:textId="77777777" w:rsidR="00D31F4D" w:rsidRPr="00D31F4D" w:rsidRDefault="00D31F4D" w:rsidP="00D31F4D">
            <w:pPr>
              <w:spacing w:before="80" w:after="0" w:line="240" w:lineRule="auto"/>
              <w:jc w:val="center"/>
            </w:pPr>
            <w:r w:rsidRPr="00D31F4D">
              <w:sym w:font="Webdings" w:char="F028"/>
            </w:r>
          </w:p>
        </w:tc>
        <w:tc>
          <w:tcPr>
            <w:tcW w:w="8466" w:type="dxa"/>
          </w:tcPr>
          <w:p w14:paraId="78588BD4"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1EE98217" w14:textId="77777777" w:rsidTr="008C6490">
        <w:trPr>
          <w:jc w:val="center"/>
        </w:trPr>
        <w:tc>
          <w:tcPr>
            <w:tcW w:w="894" w:type="dxa"/>
            <w:vAlign w:val="bottom"/>
          </w:tcPr>
          <w:p w14:paraId="2D9BCE0B"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4D3C572F"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7F3061ED"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7E29BC6D" w14:textId="2AD51315" w:rsidR="002E7BC8" w:rsidRDefault="002E7BC8" w:rsidP="00FD4EFA">
      <w:pPr>
        <w:pStyle w:val="TA"/>
      </w:pPr>
      <w:r>
        <w:t>Begin by reviewing the agenda and the assessed standard</w:t>
      </w:r>
      <w:r w:rsidR="003F5F76">
        <w:t>s</w:t>
      </w:r>
      <w:r>
        <w:t xml:space="preserve"> for this lesson:</w:t>
      </w:r>
      <w:r w:rsidR="003F5F76">
        <w:t xml:space="preserve"> RL.11-12.3 and</w:t>
      </w:r>
      <w:r>
        <w:t xml:space="preserve"> RL.11-12.6</w:t>
      </w:r>
      <w:r w:rsidR="0034789B">
        <w:t>.</w:t>
      </w:r>
      <w:r w:rsidR="001A419B">
        <w:t xml:space="preserve"> In this lesson, students read and analyze</w:t>
      </w:r>
      <w:r w:rsidR="003F5F76">
        <w:t xml:space="preserve"> pages 1</w:t>
      </w:r>
      <w:r w:rsidR="00827DD5">
        <w:t>–</w:t>
      </w:r>
      <w:r w:rsidR="003F5F76">
        <w:t>4 of “The Red Convertible” and consider</w:t>
      </w:r>
      <w:r w:rsidR="001A419B">
        <w:t xml:space="preserve"> the impact of Erdrich’s choices concerning point of view, and how these choices influence character development.</w:t>
      </w:r>
    </w:p>
    <w:p w14:paraId="222EA134" w14:textId="77777777" w:rsidR="001A419B" w:rsidRDefault="001A419B" w:rsidP="00FD4EFA">
      <w:pPr>
        <w:pStyle w:val="SA"/>
        <w:numPr>
          <w:ilvl w:val="0"/>
          <w:numId w:val="8"/>
        </w:numPr>
      </w:pPr>
      <w:r>
        <w:t>Students look at the agenda.</w:t>
      </w:r>
    </w:p>
    <w:p w14:paraId="71EB0840" w14:textId="77777777" w:rsidR="00790BCC" w:rsidRPr="00790BCC" w:rsidRDefault="00790BCC" w:rsidP="007017EB">
      <w:pPr>
        <w:pStyle w:val="LearningSequenceHeader"/>
      </w:pPr>
      <w:r w:rsidRPr="00790BCC">
        <w:t>Activi</w:t>
      </w:r>
      <w:r w:rsidR="00466BD5">
        <w:t>ty 2: Homework Accountability</w:t>
      </w:r>
      <w:r w:rsidR="00466BD5">
        <w:tab/>
        <w:t>15</w:t>
      </w:r>
      <w:r w:rsidRPr="00790BCC">
        <w:t>%</w:t>
      </w:r>
    </w:p>
    <w:p w14:paraId="60A88093" w14:textId="7E619C79" w:rsidR="00466BD5" w:rsidRDefault="00466BD5" w:rsidP="007143E1">
      <w:pPr>
        <w:pStyle w:val="TA"/>
      </w:pPr>
      <w:r>
        <w:t xml:space="preserve">Instruct students to </w:t>
      </w:r>
      <w:r w:rsidR="00857D01">
        <w:t xml:space="preserve">take out the previous lesson’s homework assignment. </w:t>
      </w:r>
      <w:r>
        <w:t>(</w:t>
      </w:r>
      <w:r w:rsidR="007143E1">
        <w:t>C</w:t>
      </w:r>
      <w:r w:rsidR="007143E1" w:rsidRPr="002639A0">
        <w:t xml:space="preserve">ontinue to </w:t>
      </w:r>
      <w:r w:rsidR="00857D01">
        <w:t>revise your</w:t>
      </w:r>
      <w:r w:rsidR="004E596D">
        <w:t xml:space="preserve"> narrative writing piece</w:t>
      </w:r>
      <w:r w:rsidR="007143E1" w:rsidRPr="002639A0">
        <w:t xml:space="preserve"> based on peer feedback</w:t>
      </w:r>
      <w:r w:rsidR="00857D01">
        <w:t>,</w:t>
      </w:r>
      <w:r w:rsidR="007143E1">
        <w:t xml:space="preserve"> and come to class prepared to discuss 1</w:t>
      </w:r>
      <w:r w:rsidR="00857D01">
        <w:t>–</w:t>
      </w:r>
      <w:r w:rsidR="007143E1">
        <w:t>2 revisions.</w:t>
      </w:r>
      <w:r w:rsidR="007143E1">
        <w:rPr>
          <w:rFonts w:asciiTheme="minorHAnsi" w:eastAsia="Times New Roman" w:hAnsiTheme="minorHAnsi" w:cs="Arial"/>
          <w:color w:val="222222"/>
          <w:shd w:val="clear" w:color="auto" w:fill="FFFFFF"/>
        </w:rPr>
        <w:t>)</w:t>
      </w:r>
      <w:r>
        <w:t xml:space="preserve"> Instruct student</w:t>
      </w:r>
      <w:r w:rsidR="00857D01">
        <w:t>s to form</w:t>
      </w:r>
      <w:r>
        <w:t xml:space="preserve"> pairs </w:t>
      </w:r>
      <w:r w:rsidR="00857D01">
        <w:t>and</w:t>
      </w:r>
      <w:r>
        <w:t xml:space="preserve"> share 1</w:t>
      </w:r>
      <w:r w:rsidR="00857D01">
        <w:t>–</w:t>
      </w:r>
      <w:r>
        <w:t>2 revisions based on their peer review and alignment to W.11-12.3.</w:t>
      </w:r>
      <w:r w:rsidR="00D41F39">
        <w:t>a</w:t>
      </w:r>
      <w:r>
        <w:t>.</w:t>
      </w:r>
      <w:r w:rsidR="00AF0DA9">
        <w:t xml:space="preserve"> Instruct students to submit their revised narrative writing </w:t>
      </w:r>
      <w:r w:rsidR="00C13536">
        <w:t>piece</w:t>
      </w:r>
      <w:r w:rsidR="00A207BA">
        <w:t>s</w:t>
      </w:r>
      <w:r w:rsidR="00C13536">
        <w:t xml:space="preserve"> </w:t>
      </w:r>
      <w:r w:rsidR="00AF0DA9">
        <w:t>after their discussion.</w:t>
      </w:r>
    </w:p>
    <w:p w14:paraId="3B597506" w14:textId="21D07BEA" w:rsidR="00AF0DA9" w:rsidRDefault="00466BD5" w:rsidP="00AF0DA9">
      <w:pPr>
        <w:pStyle w:val="SR"/>
      </w:pPr>
      <w:r>
        <w:t>Student responses will vary depending on the</w:t>
      </w:r>
      <w:r w:rsidR="002C2C3D">
        <w:t>ir</w:t>
      </w:r>
      <w:r>
        <w:t xml:space="preserve"> narrative writing</w:t>
      </w:r>
      <w:r w:rsidR="0022531B">
        <w:t xml:space="preserve"> pieces</w:t>
      </w:r>
      <w:r>
        <w:t>.</w:t>
      </w:r>
      <w:r w:rsidR="001A419B">
        <w:t xml:space="preserve"> Students should use the language of W.11-12.3.</w:t>
      </w:r>
      <w:r w:rsidR="00D41F39">
        <w:t>a</w:t>
      </w:r>
      <w:r w:rsidR="001A419B">
        <w:t xml:space="preserve"> in discussion.</w:t>
      </w:r>
    </w:p>
    <w:p w14:paraId="71EB370D" w14:textId="71950D8B" w:rsidR="006D6F91" w:rsidRDefault="006D6F91" w:rsidP="006D6F91">
      <w:pPr>
        <w:pStyle w:val="IN"/>
      </w:pPr>
      <w:r w:rsidRPr="00C822F7">
        <w:rPr>
          <w:b/>
        </w:rPr>
        <w:t>Differentiation Consideration</w:t>
      </w:r>
      <w:r w:rsidRPr="00A51050">
        <w:rPr>
          <w:b/>
        </w:rPr>
        <w:t xml:space="preserve">: </w:t>
      </w:r>
      <w:r>
        <w:t xml:space="preserve">Consider reminding students to use the relevant portions of the </w:t>
      </w:r>
      <w:r w:rsidR="004E596D">
        <w:t xml:space="preserve">11.4 </w:t>
      </w:r>
      <w:r>
        <w:t>Narrative Writing Rubric and Checklist to guide their discussions if necessary.</w:t>
      </w:r>
    </w:p>
    <w:p w14:paraId="67ABDFB0" w14:textId="735AE3C2" w:rsidR="00015163" w:rsidRDefault="00015163" w:rsidP="006D6F91">
      <w:pPr>
        <w:pStyle w:val="IN"/>
      </w:pPr>
      <w:r w:rsidRPr="00E35B2D">
        <w:t xml:space="preserve">Consider </w:t>
      </w:r>
      <w:r w:rsidR="002726F4">
        <w:t>instructing</w:t>
      </w:r>
      <w:r>
        <w:t xml:space="preserve"> students</w:t>
      </w:r>
      <w:r w:rsidR="002726F4">
        <w:t xml:space="preserve"> to</w:t>
      </w:r>
      <w:r>
        <w:t xml:space="preserve"> </w:t>
      </w:r>
      <w:r w:rsidR="002D7FFD">
        <w:t>read</w:t>
      </w:r>
      <w:r w:rsidR="00E7719E">
        <w:t xml:space="preserve"> aloud their drafts</w:t>
      </w:r>
      <w:r w:rsidR="002D7FFD">
        <w:t xml:space="preserve"> in</w:t>
      </w:r>
      <w:r>
        <w:t xml:space="preserve"> pairs before discussing their revisions.</w:t>
      </w:r>
    </w:p>
    <w:p w14:paraId="6236C8F1" w14:textId="562E8577" w:rsidR="0008632A" w:rsidRPr="00015163" w:rsidRDefault="0008632A" w:rsidP="006D6F91">
      <w:pPr>
        <w:pStyle w:val="IN"/>
      </w:pPr>
      <w:r>
        <w:t>Collect students’ narrative writing</w:t>
      </w:r>
      <w:r w:rsidR="0022531B">
        <w:t xml:space="preserve"> pieces</w:t>
      </w:r>
      <w:r>
        <w:t xml:space="preserve"> a</w:t>
      </w:r>
      <w:r w:rsidR="001A6313">
        <w:t>nd keep the writing for</w:t>
      </w:r>
      <w:r w:rsidR="00120F5C">
        <w:t xml:space="preserve"> student</w:t>
      </w:r>
      <w:r>
        <w:t xml:space="preserve"> use in 11.4.2.</w:t>
      </w:r>
      <w:r w:rsidR="001A6313">
        <w:t xml:space="preserve"> Consider using a class blog as a repository for the students’ narrative writing over the course of the module. </w:t>
      </w:r>
    </w:p>
    <w:p w14:paraId="47B1476B" w14:textId="77777777" w:rsidR="00466BD5" w:rsidRDefault="00466BD5" w:rsidP="00466BD5">
      <w:pPr>
        <w:pStyle w:val="BR"/>
      </w:pPr>
    </w:p>
    <w:p w14:paraId="770D9D99" w14:textId="0961A057" w:rsidR="002E7BC8" w:rsidRDefault="002E7BC8" w:rsidP="002E7BC8">
      <w:pPr>
        <w:pStyle w:val="TA"/>
      </w:pPr>
      <w:r w:rsidRPr="00E51822">
        <w:t xml:space="preserve">Instruct pairs </w:t>
      </w:r>
      <w:r w:rsidR="00466BD5">
        <w:t>to discuss</w:t>
      </w:r>
      <w:r w:rsidR="004A5546">
        <w:t xml:space="preserve"> their</w:t>
      </w:r>
      <w:r w:rsidRPr="00E51822">
        <w:t xml:space="preserve"> </w:t>
      </w:r>
      <w:r>
        <w:t>initial reactions and questions</w:t>
      </w:r>
      <w:r w:rsidR="004A5546">
        <w:t xml:space="preserve"> </w:t>
      </w:r>
      <w:r w:rsidR="0084107E">
        <w:t>about</w:t>
      </w:r>
      <w:r w:rsidR="004A5546">
        <w:t xml:space="preserve"> “The Red Convertible.”</w:t>
      </w:r>
      <w:r>
        <w:t xml:space="preserve"> (</w:t>
      </w:r>
      <w:r w:rsidR="0084107E">
        <w:rPr>
          <w:rFonts w:asciiTheme="minorHAnsi" w:eastAsia="Times New Roman" w:hAnsiTheme="minorHAnsi" w:cs="Arial"/>
          <w:color w:val="222222"/>
          <w:shd w:val="clear" w:color="auto" w:fill="FFFFFF"/>
        </w:rPr>
        <w:t>R</w:t>
      </w:r>
      <w:r w:rsidR="0084107E" w:rsidRPr="0084107E">
        <w:rPr>
          <w:rFonts w:asciiTheme="minorHAnsi" w:eastAsia="Times New Roman" w:hAnsiTheme="minorHAnsi" w:cs="Arial"/>
          <w:color w:val="222222"/>
          <w:shd w:val="clear" w:color="auto" w:fill="FFFFFF"/>
        </w:rPr>
        <w:t>ead the entire text (pages 1–10) of “The Red Convertible” by Louise Erdrich (from “I was the first one to drive a convertible” to “going and running and going and running and running”) and record your initial reactions and questions about the text.</w:t>
      </w:r>
      <w:r w:rsidR="007143E1">
        <w:t>)</w:t>
      </w:r>
    </w:p>
    <w:p w14:paraId="6063EC98" w14:textId="16FED7A4" w:rsidR="002E7BC8" w:rsidRDefault="002E7BC8" w:rsidP="002E7BC8">
      <w:pPr>
        <w:pStyle w:val="SA"/>
        <w:numPr>
          <w:ilvl w:val="0"/>
          <w:numId w:val="8"/>
        </w:numPr>
      </w:pPr>
      <w:r>
        <w:t xml:space="preserve">Student pairs discuss their initial reactions and questions </w:t>
      </w:r>
      <w:r w:rsidR="0084107E">
        <w:t>about</w:t>
      </w:r>
      <w:r>
        <w:t xml:space="preserve"> “The Red Convertible.”</w:t>
      </w:r>
    </w:p>
    <w:p w14:paraId="7478605A" w14:textId="77777777" w:rsidR="002E7BC8" w:rsidRDefault="002E7BC8" w:rsidP="002E7BC8">
      <w:pPr>
        <w:pStyle w:val="SR"/>
      </w:pPr>
      <w:r>
        <w:t>Student responses may include:</w:t>
      </w:r>
    </w:p>
    <w:p w14:paraId="4915546E" w14:textId="77777777" w:rsidR="002E7BC8" w:rsidRDefault="002E7BC8" w:rsidP="002E7BC8">
      <w:pPr>
        <w:pStyle w:val="SASRBullet"/>
      </w:pPr>
      <w:r>
        <w:t xml:space="preserve">This is a story about two brothers and how the older brother, Stephan, changed after going to war. </w:t>
      </w:r>
    </w:p>
    <w:p w14:paraId="5254E3FD" w14:textId="77777777" w:rsidR="002E7BC8" w:rsidRDefault="002E7BC8" w:rsidP="002E7BC8">
      <w:pPr>
        <w:pStyle w:val="SASRBullet"/>
      </w:pPr>
      <w:r>
        <w:lastRenderedPageBreak/>
        <w:t xml:space="preserve">The red convertible is something both the brothers share until the end of the story. </w:t>
      </w:r>
    </w:p>
    <w:p w14:paraId="1DBB4D8F" w14:textId="77777777" w:rsidR="002E7BC8" w:rsidRDefault="002E7BC8" w:rsidP="002E7BC8">
      <w:pPr>
        <w:pStyle w:val="SASRBullet"/>
      </w:pPr>
      <w:r>
        <w:t>The story is told from the point of view of the younger brother Marty.</w:t>
      </w:r>
    </w:p>
    <w:p w14:paraId="359B28F6" w14:textId="77777777" w:rsidR="002E7BC8" w:rsidRDefault="002E7BC8" w:rsidP="002E7BC8">
      <w:pPr>
        <w:pStyle w:val="SASRBullet"/>
      </w:pPr>
      <w:r>
        <w:t>What happened to Stephan at the end of the story?</w:t>
      </w:r>
    </w:p>
    <w:p w14:paraId="1C7F402F" w14:textId="77777777" w:rsidR="002E7BC8" w:rsidRDefault="002E7BC8" w:rsidP="002E7BC8">
      <w:pPr>
        <w:pStyle w:val="SASRBullet"/>
      </w:pPr>
      <w:r>
        <w:t>Why did Marty dump the convertible into the river at the end of the story?</w:t>
      </w:r>
    </w:p>
    <w:p w14:paraId="58CE043E" w14:textId="77777777" w:rsidR="002E7BC8" w:rsidRDefault="002E7BC8" w:rsidP="002E7BC8">
      <w:pPr>
        <w:pStyle w:val="SASRBullet"/>
      </w:pPr>
      <w:r>
        <w:t>What happened to Stephan during the war that changed his behavior so dramatically?</w:t>
      </w:r>
    </w:p>
    <w:p w14:paraId="7285AF10" w14:textId="11CAC348" w:rsidR="00790BCC" w:rsidRPr="00790BCC" w:rsidRDefault="002E7BC8" w:rsidP="007017EB">
      <w:pPr>
        <w:pStyle w:val="TA"/>
      </w:pPr>
      <w:r>
        <w:t>Lead a brief who</w:t>
      </w:r>
      <w:r w:rsidR="00C13536">
        <w:t>le-class discussion of student</w:t>
      </w:r>
      <w:r>
        <w:t xml:space="preserve"> responses. Remind students that as they analyze the text many of their initial questions will be answered. </w:t>
      </w:r>
    </w:p>
    <w:p w14:paraId="0D99F246" w14:textId="77777777" w:rsidR="00790BCC" w:rsidRPr="00790BCC" w:rsidRDefault="0034789B" w:rsidP="007017EB">
      <w:pPr>
        <w:pStyle w:val="LearningSequenceHeader"/>
      </w:pPr>
      <w:r>
        <w:t>Activity 3: Reading and Discussion</w:t>
      </w:r>
      <w:r>
        <w:tab/>
        <w:t>60</w:t>
      </w:r>
      <w:r w:rsidR="00790BCC" w:rsidRPr="00790BCC">
        <w:t>%</w:t>
      </w:r>
    </w:p>
    <w:p w14:paraId="3AA3AAFB" w14:textId="49A35A0A" w:rsidR="00FA2468" w:rsidRDefault="0034789B" w:rsidP="0034789B">
      <w:pPr>
        <w:pStyle w:val="TA"/>
      </w:pPr>
      <w:r>
        <w:t xml:space="preserve">Instruct students to </w:t>
      </w:r>
      <w:r w:rsidR="00D8399C">
        <w:t>stay in pairs</w:t>
      </w:r>
      <w:r w:rsidR="00FA2468">
        <w:t>. Post or project each set of questions below for student pairs to discuss before sharing out with the class.</w:t>
      </w:r>
      <w:r w:rsidR="0084107E">
        <w:t xml:space="preserve"> Instruct students to continue to annotate the text as they read and discuss.</w:t>
      </w:r>
    </w:p>
    <w:p w14:paraId="66548185" w14:textId="2772CD50" w:rsidR="000729A8" w:rsidRPr="000729A8" w:rsidRDefault="000729A8" w:rsidP="000729A8">
      <w:pPr>
        <w:pStyle w:val="IN"/>
      </w:pPr>
      <w:r>
        <w:rPr>
          <w:b/>
        </w:rPr>
        <w:t xml:space="preserve">Differentiation Consideration: </w:t>
      </w:r>
      <w:bookmarkStart w:id="0" w:name="_GoBack"/>
      <w:bookmarkEnd w:id="0"/>
      <w:r w:rsidRPr="000729A8">
        <w:t>If necessary to support comprehension and fluency, consider using a masterful reading of the text before students begin independent analysis. This optional masterful reading will add approximately one day to the length of the module.</w:t>
      </w:r>
    </w:p>
    <w:p w14:paraId="53B1B7D0" w14:textId="70F92A16" w:rsidR="006F5515" w:rsidRDefault="006F5515" w:rsidP="006F5515">
      <w:pPr>
        <w:pStyle w:val="IN"/>
      </w:pPr>
      <w:r w:rsidRPr="00E35B2D">
        <w:rPr>
          <w:b/>
        </w:rPr>
        <w:t>Differentiation Consideration:</w:t>
      </w:r>
      <w:r w:rsidRPr="00F95502">
        <w:t xml:space="preserve"> </w:t>
      </w:r>
      <w:r>
        <w:t>Consider posting or projecting the following guiding question to support students</w:t>
      </w:r>
      <w:r w:rsidR="0022531B">
        <w:t xml:space="preserve"> in their reading</w:t>
      </w:r>
      <w:r>
        <w:t xml:space="preserve"> throughout this lesson:</w:t>
      </w:r>
    </w:p>
    <w:p w14:paraId="63E59A8D" w14:textId="77777777" w:rsidR="006F5515" w:rsidRDefault="006F5515" w:rsidP="006F5515">
      <w:pPr>
        <w:pStyle w:val="DCwithQ"/>
      </w:pPr>
      <w:r>
        <w:t>What details does Marty provide about Stephan?</w:t>
      </w:r>
    </w:p>
    <w:p w14:paraId="65F02BD6" w14:textId="20F28DF2" w:rsidR="00015163" w:rsidRDefault="00FA2468" w:rsidP="0034789B">
      <w:pPr>
        <w:pStyle w:val="TA"/>
      </w:pPr>
      <w:r>
        <w:t>Instruct student pairs to</w:t>
      </w:r>
      <w:r w:rsidR="00D8399C">
        <w:t xml:space="preserve"> </w:t>
      </w:r>
      <w:r w:rsidR="00E6191C">
        <w:t>re</w:t>
      </w:r>
      <w:r w:rsidR="0034789B">
        <w:t>read</w:t>
      </w:r>
      <w:r w:rsidR="0034789B" w:rsidRPr="00471E8C">
        <w:t xml:space="preserve"> and annotate pages 1</w:t>
      </w:r>
      <w:r w:rsidR="00827DD5">
        <w:t>–</w:t>
      </w:r>
      <w:r w:rsidR="0034789B" w:rsidRPr="00471E8C">
        <w:t>4 of “The Red Convertible” (from</w:t>
      </w:r>
      <w:r w:rsidR="0034789B">
        <w:t xml:space="preserve"> “I was the first one to drive a convertible” </w:t>
      </w:r>
      <w:r w:rsidR="0034789B" w:rsidRPr="00471E8C">
        <w:t xml:space="preserve">to “it gave us a beautiful </w:t>
      </w:r>
      <w:r w:rsidR="0034789B">
        <w:t xml:space="preserve">performance when we needed it”). </w:t>
      </w:r>
    </w:p>
    <w:p w14:paraId="4CE405A2" w14:textId="63C0AA47" w:rsidR="002C081F" w:rsidRDefault="002C081F" w:rsidP="00DD713D">
      <w:pPr>
        <w:pStyle w:val="SA"/>
      </w:pPr>
      <w:r>
        <w:t>Stude</w:t>
      </w:r>
      <w:r w:rsidR="00C13536">
        <w:t>nts reread and annotate pages 1–2</w:t>
      </w:r>
      <w:r>
        <w:t xml:space="preserve"> of “The Red Convertible.”</w:t>
      </w:r>
    </w:p>
    <w:p w14:paraId="5ADF8B9B" w14:textId="77777777" w:rsidR="006F5515" w:rsidRDefault="006F5515" w:rsidP="006F5515">
      <w:pPr>
        <w:pStyle w:val="IN"/>
      </w:pPr>
      <w:r w:rsidRPr="0041714E">
        <w:t xml:space="preserve">This annotation supports students’ </w:t>
      </w:r>
      <w:r>
        <w:t xml:space="preserve">engagement with W.11-12.9.a, which addresses </w:t>
      </w:r>
      <w:r w:rsidRPr="0041714E">
        <w:t>the use of textual evidence in writing.</w:t>
      </w:r>
    </w:p>
    <w:p w14:paraId="2A57BB67" w14:textId="08C4F2F4" w:rsidR="00D8399C" w:rsidRDefault="00D8399C" w:rsidP="00D8399C">
      <w:pPr>
        <w:pStyle w:val="TA"/>
      </w:pPr>
      <w:r>
        <w:t>Instruct student pairs to r</w:t>
      </w:r>
      <w:r w:rsidR="00595FF9">
        <w:t>er</w:t>
      </w:r>
      <w:r>
        <w:t>ead pages 1</w:t>
      </w:r>
      <w:r w:rsidR="00827DD5">
        <w:t>–</w:t>
      </w:r>
      <w:r>
        <w:t>2 of “The Red Convertible” (</w:t>
      </w:r>
      <w:r w:rsidRPr="00471E8C">
        <w:t>from</w:t>
      </w:r>
      <w:r>
        <w:t xml:space="preserve"> “I was the first one to drive a convertible” </w:t>
      </w:r>
      <w:r w:rsidRPr="00471E8C">
        <w:t>to</w:t>
      </w:r>
      <w:r>
        <w:t xml:space="preserve"> “Anyway, it was where we met the girl”)</w:t>
      </w:r>
      <w:r w:rsidR="00FA2468">
        <w:t xml:space="preserve"> and answer the following questions before sharing out with the class</w:t>
      </w:r>
      <w:r>
        <w:t xml:space="preserve">. </w:t>
      </w:r>
    </w:p>
    <w:p w14:paraId="02BD1F63" w14:textId="77777777" w:rsidR="008B3F5B" w:rsidRDefault="008B3F5B" w:rsidP="00D8399C">
      <w:pPr>
        <w:pStyle w:val="TA"/>
      </w:pPr>
      <w:r>
        <w:t xml:space="preserve">Provide students with the following definition: </w:t>
      </w:r>
      <w:r>
        <w:rPr>
          <w:i/>
        </w:rPr>
        <w:t>repose</w:t>
      </w:r>
      <w:r>
        <w:t xml:space="preserve"> means “to lay at rest.”</w:t>
      </w:r>
    </w:p>
    <w:p w14:paraId="2C69B896" w14:textId="7FB7082D" w:rsidR="008B3F5B" w:rsidRDefault="008B3F5B" w:rsidP="008B3F5B">
      <w:pPr>
        <w:pStyle w:val="SA"/>
      </w:pPr>
      <w:r>
        <w:t xml:space="preserve">Students write </w:t>
      </w:r>
      <w:r w:rsidR="00C13536">
        <w:t xml:space="preserve">the definition of </w:t>
      </w:r>
      <w:r>
        <w:rPr>
          <w:i/>
        </w:rPr>
        <w:t xml:space="preserve">repose </w:t>
      </w:r>
      <w:r>
        <w:t>on their copies of the text or in a vocabulary journal.</w:t>
      </w:r>
    </w:p>
    <w:p w14:paraId="447EE289" w14:textId="77777777" w:rsidR="007973D8" w:rsidRDefault="007973D8" w:rsidP="007973D8">
      <w:pPr>
        <w:pStyle w:val="IN"/>
      </w:pPr>
      <w:r>
        <w:rPr>
          <w:b/>
        </w:rPr>
        <w:t xml:space="preserve">Differentiation Consideration: </w:t>
      </w:r>
      <w:r w:rsidRPr="00A25D9C">
        <w:t>Consider providing</w:t>
      </w:r>
      <w:r>
        <w:t xml:space="preserve"> students with the following definitions: </w:t>
      </w:r>
      <w:r>
        <w:rPr>
          <w:i/>
        </w:rPr>
        <w:t>convertible</w:t>
      </w:r>
      <w:r>
        <w:t xml:space="preserve"> means “a car with a roof that can be lowered or removed,“ </w:t>
      </w:r>
      <w:r>
        <w:rPr>
          <w:i/>
        </w:rPr>
        <w:t>reservation</w:t>
      </w:r>
      <w:r>
        <w:t xml:space="preserve"> means “</w:t>
      </w:r>
      <w:r w:rsidRPr="000C684C">
        <w:t>an area of land in the U.S. that is kept separate as a place for Native Americans to live</w:t>
      </w:r>
      <w:r>
        <w:t xml:space="preserve">,” and </w:t>
      </w:r>
      <w:r>
        <w:rPr>
          <w:i/>
        </w:rPr>
        <w:t>big break</w:t>
      </w:r>
      <w:r>
        <w:t xml:space="preserve"> means “significant good luck or opportunity.”</w:t>
      </w:r>
    </w:p>
    <w:p w14:paraId="5475C121" w14:textId="6D90B343" w:rsidR="007973D8" w:rsidRPr="008B3F5B" w:rsidRDefault="007973D8" w:rsidP="00E01FFC">
      <w:pPr>
        <w:pStyle w:val="DCwithSA"/>
      </w:pPr>
      <w:r>
        <w:lastRenderedPageBreak/>
        <w:t xml:space="preserve">Students write the definitions of </w:t>
      </w:r>
      <w:r w:rsidRPr="004F58CE">
        <w:rPr>
          <w:i/>
        </w:rPr>
        <w:t>convertible</w:t>
      </w:r>
      <w:r>
        <w:t xml:space="preserve">, </w:t>
      </w:r>
      <w:r>
        <w:rPr>
          <w:i/>
        </w:rPr>
        <w:t>reservation</w:t>
      </w:r>
      <w:r>
        <w:t xml:space="preserve">, and </w:t>
      </w:r>
      <w:r>
        <w:rPr>
          <w:i/>
        </w:rPr>
        <w:t xml:space="preserve">big break </w:t>
      </w:r>
      <w:r w:rsidRPr="004F58CE">
        <w:t>on</w:t>
      </w:r>
      <w:r w:rsidR="007C60C0">
        <w:t xml:space="preserve"> their copies</w:t>
      </w:r>
      <w:r>
        <w:t xml:space="preserve"> of the text or in a vocabulary journal. </w:t>
      </w:r>
    </w:p>
    <w:p w14:paraId="428CF472" w14:textId="2F2973F0" w:rsidR="00D8399C" w:rsidRPr="00D547B0" w:rsidRDefault="00D8399C" w:rsidP="00D8399C">
      <w:pPr>
        <w:pStyle w:val="IN"/>
      </w:pPr>
      <w:r>
        <w:t xml:space="preserve">Explain to students that the </w:t>
      </w:r>
      <w:r w:rsidRPr="009764A4">
        <w:t>Chippewa</w:t>
      </w:r>
      <w:r w:rsidR="00BE0DB9">
        <w:t>, also called Ojibwa,</w:t>
      </w:r>
      <w:r>
        <w:t xml:space="preserve"> are a </w:t>
      </w:r>
      <w:r w:rsidRPr="00436B7A">
        <w:t xml:space="preserve">large tribe of </w:t>
      </w:r>
      <w:r>
        <w:t>Native Americans</w:t>
      </w:r>
      <w:r w:rsidR="00BE0DB9">
        <w:t xml:space="preserve"> living</w:t>
      </w:r>
      <w:r w:rsidRPr="00436B7A">
        <w:t xml:space="preserve"> in Canada and the U.S., principally in the region around Lakes Huron and Superior but extending as far west as Saskatchewan and North Dakota</w:t>
      </w:r>
      <w:r>
        <w:t>.</w:t>
      </w:r>
    </w:p>
    <w:p w14:paraId="48AC7CD5" w14:textId="77777777" w:rsidR="008B3F5B" w:rsidRDefault="008B3F5B" w:rsidP="008B3F5B">
      <w:pPr>
        <w:pStyle w:val="Q"/>
      </w:pPr>
      <w:r>
        <w:t xml:space="preserve">How does Louise Erdrich choose to introduce </w:t>
      </w:r>
      <w:r w:rsidR="001F372C">
        <w:t>Stephan and Marty</w:t>
      </w:r>
      <w:r>
        <w:t>?</w:t>
      </w:r>
    </w:p>
    <w:p w14:paraId="1C3DE4B4" w14:textId="6B247B93" w:rsidR="008B3F5B" w:rsidRDefault="008B3F5B" w:rsidP="008B3F5B">
      <w:pPr>
        <w:pStyle w:val="SR"/>
      </w:pPr>
      <w:r>
        <w:t>Erdrich introduce</w:t>
      </w:r>
      <w:r w:rsidR="00EC17C1">
        <w:t>s</w:t>
      </w:r>
      <w:r>
        <w:t xml:space="preserve"> Stephan through the point of view of his</w:t>
      </w:r>
      <w:r w:rsidR="00595FF9">
        <w:t xml:space="preserve"> younger</w:t>
      </w:r>
      <w:r>
        <w:t xml:space="preserve"> brother Marty: “I owned that car along with my brother Stephan” (p. 1). </w:t>
      </w:r>
      <w:r w:rsidR="001F372C">
        <w:t xml:space="preserve">Erdrich introduces Marty in the context of his </w:t>
      </w:r>
      <w:r w:rsidR="008D56BA">
        <w:t xml:space="preserve">relationship to his </w:t>
      </w:r>
      <w:r w:rsidR="001F372C">
        <w:t>older brother Stephan</w:t>
      </w:r>
      <w:r w:rsidR="006F5515">
        <w:t>:</w:t>
      </w:r>
      <w:r w:rsidR="00231B97">
        <w:t xml:space="preserve"> </w:t>
      </w:r>
      <w:r w:rsidR="001F372C">
        <w:t>“his younger brother Marty (that’s myself)” (p. 1).</w:t>
      </w:r>
    </w:p>
    <w:p w14:paraId="197F866A" w14:textId="766490CC" w:rsidR="008B3F5B" w:rsidRPr="00FF426A" w:rsidRDefault="008B3F5B" w:rsidP="008B3F5B">
      <w:pPr>
        <w:pStyle w:val="Q"/>
      </w:pPr>
      <w:r>
        <w:t xml:space="preserve">What is the </w:t>
      </w:r>
      <w:r w:rsidR="00EC17C1">
        <w:t xml:space="preserve">effect of </w:t>
      </w:r>
      <w:r w:rsidR="008D56BA">
        <w:t xml:space="preserve">Marty’s </w:t>
      </w:r>
      <w:r w:rsidR="00EC17C1">
        <w:t xml:space="preserve">direct address </w:t>
      </w:r>
      <w:r w:rsidR="00144696">
        <w:t>on the tone of the story?</w:t>
      </w:r>
    </w:p>
    <w:p w14:paraId="4C54615B" w14:textId="5D266959" w:rsidR="008B3F5B" w:rsidRPr="00DD713D" w:rsidRDefault="00266276" w:rsidP="008B3F5B">
      <w:pPr>
        <w:pStyle w:val="SR"/>
        <w:rPr>
          <w:rFonts w:asciiTheme="majorHAnsi" w:hAnsiTheme="majorHAnsi"/>
        </w:rPr>
      </w:pPr>
      <w:r>
        <w:t xml:space="preserve">The </w:t>
      </w:r>
      <w:r w:rsidR="007926CE">
        <w:t>direct address</w:t>
      </w:r>
      <w:r w:rsidR="00EC17C1">
        <w:t xml:space="preserve">, “I’ll tell you when we first saw it” </w:t>
      </w:r>
      <w:r w:rsidR="008B3F5B">
        <w:t xml:space="preserve">develops </w:t>
      </w:r>
      <w:r w:rsidR="008D56BA">
        <w:t>a</w:t>
      </w:r>
      <w:r w:rsidR="00D41F39">
        <w:t xml:space="preserve"> reflective or</w:t>
      </w:r>
      <w:r w:rsidR="008B3F5B">
        <w:t xml:space="preserve"> </w:t>
      </w:r>
      <w:r w:rsidR="00EC17C1">
        <w:t xml:space="preserve">nostalgic </w:t>
      </w:r>
      <w:r w:rsidR="008B3F5B">
        <w:t>tone</w:t>
      </w:r>
      <w:r w:rsidR="0092609C">
        <w:t xml:space="preserve"> (p. 2)</w:t>
      </w:r>
      <w:r w:rsidR="007926CE">
        <w:t>. L</w:t>
      </w:r>
      <w:r w:rsidR="008B3F5B">
        <w:t>ike the narrator in “On the Rainy River,” Marty reflect</w:t>
      </w:r>
      <w:r w:rsidR="00144696">
        <w:t>s</w:t>
      </w:r>
      <w:r w:rsidR="008B3F5B">
        <w:t xml:space="preserve"> on the events of “The Red Convertible” from the present. This story of Marty and his brother, Stephan, has already occurred and Marty now </w:t>
      </w:r>
      <w:r w:rsidR="007926CE">
        <w:t>retells</w:t>
      </w:r>
      <w:r w:rsidR="008B3F5B">
        <w:t xml:space="preserve"> the story to the reader.</w:t>
      </w:r>
    </w:p>
    <w:p w14:paraId="3442373E" w14:textId="4743C1C8" w:rsidR="009F36E8" w:rsidRPr="009F36E8" w:rsidRDefault="009F36E8" w:rsidP="00DD713D">
      <w:pPr>
        <w:pStyle w:val="IN"/>
      </w:pPr>
      <w:r w:rsidRPr="00DD713D">
        <w:rPr>
          <w:b/>
        </w:rPr>
        <w:t>Differentiation Consideration</w:t>
      </w:r>
      <w:r>
        <w:t xml:space="preserve">: Consider posing the following question to scaffold student understanding to the previous question. </w:t>
      </w:r>
    </w:p>
    <w:p w14:paraId="60BF0FE4" w14:textId="5208E448" w:rsidR="00EA0A6B" w:rsidRPr="00290D90" w:rsidRDefault="00EA0A6B" w:rsidP="00DD713D">
      <w:pPr>
        <w:pStyle w:val="DCwithQ"/>
      </w:pPr>
      <w:r w:rsidRPr="00B44668">
        <w:t xml:space="preserve">How does the </w:t>
      </w:r>
      <w:r w:rsidR="009F36E8" w:rsidRPr="00B44668">
        <w:t xml:space="preserve">phrase </w:t>
      </w:r>
      <w:r w:rsidRPr="00B44668">
        <w:t>“I’ll tell you when we first saw it”</w:t>
      </w:r>
      <w:r w:rsidRPr="00290D90">
        <w:t xml:space="preserve"> (p. 2) develop point of view in the story? </w:t>
      </w:r>
    </w:p>
    <w:p w14:paraId="1CD1812F" w14:textId="6B5F678F" w:rsidR="00EA0A6B" w:rsidRPr="00FF426A" w:rsidRDefault="00EA0A6B" w:rsidP="00DD713D">
      <w:pPr>
        <w:pStyle w:val="DCwithSR"/>
        <w:rPr>
          <w:rFonts w:asciiTheme="majorHAnsi" w:hAnsiTheme="majorHAnsi"/>
        </w:rPr>
      </w:pPr>
      <w:r>
        <w:t>This phrase develops Marty’s point of view of narrator or storyteller because Marty, as the narrator, directly addresses the reader</w:t>
      </w:r>
      <w:r w:rsidR="00290D90">
        <w:t xml:space="preserve"> and indicates that </w:t>
      </w:r>
      <w:r w:rsidR="005D6B63">
        <w:t>he is telling a story</w:t>
      </w:r>
      <w:r w:rsidR="006F5515">
        <w:t xml:space="preserve">. Marty’s statement, </w:t>
      </w:r>
      <w:r w:rsidR="00E94640">
        <w:t>“Th</w:t>
      </w:r>
      <w:r w:rsidR="0092609C">
        <w:t xml:space="preserve">at time we first saw it!” </w:t>
      </w:r>
      <w:r w:rsidR="006F5515">
        <w:t>indicates</w:t>
      </w:r>
      <w:r w:rsidR="005D6B63">
        <w:t xml:space="preserve"> that </w:t>
      </w:r>
      <w:r w:rsidR="006F5515">
        <w:t xml:space="preserve">the action </w:t>
      </w:r>
      <w:r w:rsidR="005D6B63">
        <w:t>happened in the past</w:t>
      </w:r>
      <w:r w:rsidR="0092609C">
        <w:t xml:space="preserve"> (p. 2)</w:t>
      </w:r>
      <w:r w:rsidR="005D6B63">
        <w:t xml:space="preserve">. </w:t>
      </w:r>
    </w:p>
    <w:p w14:paraId="5C27B986" w14:textId="2A59FF36" w:rsidR="008B3F5B" w:rsidRDefault="008B3F5B" w:rsidP="008B3F5B">
      <w:pPr>
        <w:pStyle w:val="Q"/>
      </w:pPr>
      <w:r>
        <w:t>What does Marty’s statement</w:t>
      </w:r>
      <w:r w:rsidR="008D56BA">
        <w:t xml:space="preserve"> </w:t>
      </w:r>
      <w:r>
        <w:t>“Some people hang on to details when they travel, but we didn’t let them bother us</w:t>
      </w:r>
      <w:r w:rsidR="00F5237B">
        <w:t>”</w:t>
      </w:r>
      <w:r w:rsidR="00015163">
        <w:t xml:space="preserve"> (p. 2)</w:t>
      </w:r>
      <w:r w:rsidR="00F5237B">
        <w:t xml:space="preserve"> </w:t>
      </w:r>
      <w:r>
        <w:t>demonstrate about the brothers and their trip?</w:t>
      </w:r>
    </w:p>
    <w:p w14:paraId="7B051EDF" w14:textId="3E560A06" w:rsidR="008B3F5B" w:rsidRDefault="008B3F5B" w:rsidP="00DF138D">
      <w:pPr>
        <w:pStyle w:val="SR"/>
      </w:pPr>
      <w:r>
        <w:t xml:space="preserve">Marty says that they did not let the details “bother </w:t>
      </w:r>
      <w:r w:rsidR="00C13536">
        <w:t>[them]</w:t>
      </w:r>
      <w:r>
        <w:t xml:space="preserve">” (p. 2). </w:t>
      </w:r>
      <w:r w:rsidR="006854E9">
        <w:t xml:space="preserve">Thus, </w:t>
      </w:r>
      <w:r>
        <w:t xml:space="preserve">Marty and Stephan were not interested in where they were or where they were </w:t>
      </w:r>
      <w:r w:rsidR="0017747C">
        <w:t>going;</w:t>
      </w:r>
      <w:r>
        <w:t xml:space="preserve"> they enjoyed being with each other and living carefree or “here to there” (p. 2).</w:t>
      </w:r>
    </w:p>
    <w:p w14:paraId="0E7E3F03" w14:textId="77777777" w:rsidR="00F5237B" w:rsidRDefault="00F5237B" w:rsidP="00F5237B">
      <w:pPr>
        <w:pStyle w:val="IN"/>
      </w:pPr>
      <w:r w:rsidRPr="00D033EA">
        <w:rPr>
          <w:b/>
        </w:rPr>
        <w:t>Differentiation Consideration:</w:t>
      </w:r>
      <w:r>
        <w:t xml:space="preserve"> Considering posing the following question to scaffold student understanding to the previous question. </w:t>
      </w:r>
    </w:p>
    <w:p w14:paraId="1C43FC15" w14:textId="77777777" w:rsidR="00F5237B" w:rsidRDefault="00F5237B" w:rsidP="00F5237B">
      <w:pPr>
        <w:pStyle w:val="DCwithQ"/>
      </w:pPr>
      <w:r>
        <w:t>How does Marty describe the summer trip?</w:t>
      </w:r>
    </w:p>
    <w:p w14:paraId="772A68A0" w14:textId="3926552D" w:rsidR="00F5237B" w:rsidRDefault="00F5237B" w:rsidP="00F5237B">
      <w:pPr>
        <w:pStyle w:val="DCwithSR"/>
      </w:pPr>
      <w:r>
        <w:t>Marty describes the trip in a very general way, “I can’t tell you all the places we went</w:t>
      </w:r>
      <w:r w:rsidR="001317E5">
        <w:t xml:space="preserve"> to</w:t>
      </w:r>
      <w:r w:rsidR="00C13536">
        <w:t>,</w:t>
      </w:r>
      <w:r>
        <w:t>” and although he mentions a few specific locations such as “Wakpala” and “Montana</w:t>
      </w:r>
      <w:r w:rsidR="00C13536">
        <w:t>,</w:t>
      </w:r>
      <w:r>
        <w:t>” Marty does not provide many specific details about the locations or what they did during their trip</w:t>
      </w:r>
      <w:r w:rsidR="00C13536">
        <w:t xml:space="preserve"> (p. 2)</w:t>
      </w:r>
      <w:r>
        <w:t xml:space="preserve">. </w:t>
      </w:r>
      <w:r>
        <w:lastRenderedPageBreak/>
        <w:t>The only place Marty does describe in detail is</w:t>
      </w:r>
      <w:r w:rsidR="00C13536">
        <w:t xml:space="preserve"> the “one place with willows”</w:t>
      </w:r>
      <w:r>
        <w:t xml:space="preserve"> but the location did not matter, “it could have been anywhere” (p. 2). </w:t>
      </w:r>
    </w:p>
    <w:p w14:paraId="30FCA867" w14:textId="77777777" w:rsidR="00D8399C" w:rsidRDefault="00DF138D" w:rsidP="00DF138D">
      <w:pPr>
        <w:pStyle w:val="TA"/>
      </w:pPr>
      <w:r>
        <w:t>Lead a brief whole-class discussion of student responses.</w:t>
      </w:r>
    </w:p>
    <w:p w14:paraId="67D54F02" w14:textId="77777777" w:rsidR="00DF138D" w:rsidRDefault="00DF138D" w:rsidP="00D8399C">
      <w:pPr>
        <w:pStyle w:val="BR"/>
      </w:pPr>
    </w:p>
    <w:p w14:paraId="7D44E686" w14:textId="52B48716" w:rsidR="00D8399C" w:rsidRDefault="00D8399C" w:rsidP="00D8399C">
      <w:pPr>
        <w:pStyle w:val="TA"/>
      </w:pPr>
      <w:r>
        <w:t xml:space="preserve">Instruct student pairs </w:t>
      </w:r>
      <w:r w:rsidR="00B42A1F">
        <w:t>to</w:t>
      </w:r>
      <w:r>
        <w:t xml:space="preserve"> reread pages 3</w:t>
      </w:r>
      <w:r w:rsidR="00827DD5">
        <w:t>–</w:t>
      </w:r>
      <w:r>
        <w:t>4 of “The Red Convertible” (from “All her hair was in buns around her ears” to “it gave us a beautiful performance when we needed it”)</w:t>
      </w:r>
      <w:r w:rsidR="00BF6E95">
        <w:t xml:space="preserve"> and answer the following questions before sharing out with the class</w:t>
      </w:r>
      <w:r>
        <w:t>.</w:t>
      </w:r>
      <w:r w:rsidR="00B42A1F">
        <w:t xml:space="preserve"> </w:t>
      </w:r>
    </w:p>
    <w:p w14:paraId="574CAAF9" w14:textId="77777777" w:rsidR="00D8399C" w:rsidRDefault="00D8399C" w:rsidP="00D8399C">
      <w:pPr>
        <w:pStyle w:val="IN"/>
      </w:pPr>
      <w:r>
        <w:t xml:space="preserve">Explain to students that </w:t>
      </w:r>
      <w:r w:rsidRPr="000F4100">
        <w:t>Khe Sanh</w:t>
      </w:r>
      <w:r>
        <w:t xml:space="preserve"> is a city in Vietnam that was the site of a major battle during the Vietnam War.</w:t>
      </w:r>
    </w:p>
    <w:p w14:paraId="3347FBE2" w14:textId="72AF3EB1" w:rsidR="00D8399C" w:rsidRDefault="00D8399C" w:rsidP="00D8399C">
      <w:pPr>
        <w:pStyle w:val="IN"/>
      </w:pPr>
      <w:r>
        <w:rPr>
          <w:b/>
        </w:rPr>
        <w:t xml:space="preserve">Differentiation Consideration: </w:t>
      </w:r>
      <w:r w:rsidRPr="00A25D9C">
        <w:t>Consider providing</w:t>
      </w:r>
      <w:r>
        <w:t xml:space="preserve"> students with the following definitions: </w:t>
      </w:r>
      <w:r>
        <w:rPr>
          <w:i/>
        </w:rPr>
        <w:t xml:space="preserve">greener pastures </w:t>
      </w:r>
      <w:r>
        <w:t>means “a better or more exciting place</w:t>
      </w:r>
      <w:r w:rsidR="008E5B60">
        <w:t>,”</w:t>
      </w:r>
      <w:r>
        <w:t xml:space="preserve"> </w:t>
      </w:r>
      <w:r w:rsidR="008D427A">
        <w:rPr>
          <w:i/>
        </w:rPr>
        <w:t>m</w:t>
      </w:r>
      <w:r>
        <w:rPr>
          <w:i/>
        </w:rPr>
        <w:t>arine</w:t>
      </w:r>
      <w:r>
        <w:t xml:space="preserve"> means “a member of the U.S. Marine Corps (one of a class of naval troops serving both on shipboard and on land)</w:t>
      </w:r>
      <w:r w:rsidR="008E5B60">
        <w:t>,</w:t>
      </w:r>
      <w:r>
        <w:t>”</w:t>
      </w:r>
      <w:r w:rsidR="006F5515">
        <w:t xml:space="preserve"> </w:t>
      </w:r>
      <w:r>
        <w:t xml:space="preserve">and </w:t>
      </w:r>
      <w:r>
        <w:rPr>
          <w:i/>
        </w:rPr>
        <w:t>outhouse</w:t>
      </w:r>
      <w:r>
        <w:t xml:space="preserve"> means “</w:t>
      </w:r>
      <w:r w:rsidRPr="00015993">
        <w:t>a small outdoor building that is used as a toilet</w:t>
      </w:r>
      <w:r>
        <w:t xml:space="preserve">.” </w:t>
      </w:r>
    </w:p>
    <w:p w14:paraId="6B96D661" w14:textId="6E01161C" w:rsidR="00D8399C" w:rsidRDefault="00D8399C" w:rsidP="00D8399C">
      <w:pPr>
        <w:pStyle w:val="DCwithSA"/>
        <w:numPr>
          <w:ilvl w:val="0"/>
          <w:numId w:val="8"/>
        </w:numPr>
      </w:pPr>
      <w:r>
        <w:t xml:space="preserve">Students write the definitions of </w:t>
      </w:r>
      <w:r w:rsidR="00C13536">
        <w:rPr>
          <w:i/>
        </w:rPr>
        <w:t>greener pastures, m</w:t>
      </w:r>
      <w:r>
        <w:rPr>
          <w:i/>
        </w:rPr>
        <w:t>arine</w:t>
      </w:r>
      <w:r w:rsidR="008E5B60">
        <w:rPr>
          <w:i/>
        </w:rPr>
        <w:t>,</w:t>
      </w:r>
      <w:r>
        <w:rPr>
          <w:i/>
        </w:rPr>
        <w:t xml:space="preserve"> </w:t>
      </w:r>
      <w:r w:rsidRPr="006F5515">
        <w:t xml:space="preserve">and </w:t>
      </w:r>
      <w:r>
        <w:rPr>
          <w:i/>
        </w:rPr>
        <w:t xml:space="preserve">outhouse </w:t>
      </w:r>
      <w:r>
        <w:t>on their cop</w:t>
      </w:r>
      <w:r w:rsidR="007C60C0">
        <w:t>ies</w:t>
      </w:r>
      <w:r>
        <w:t xml:space="preserve"> of the text or in a vocabulary journal.</w:t>
      </w:r>
    </w:p>
    <w:p w14:paraId="14AB39CE" w14:textId="013CAAF7" w:rsidR="00D8399C" w:rsidRDefault="00D8399C" w:rsidP="00D8399C">
      <w:pPr>
        <w:pStyle w:val="Q"/>
      </w:pPr>
      <w:r>
        <w:t>Why d</w:t>
      </w:r>
      <w:r w:rsidR="006F5515">
        <w:t>o</w:t>
      </w:r>
      <w:r>
        <w:t xml:space="preserve"> the brothers</w:t>
      </w:r>
      <w:r w:rsidR="0017747C">
        <w:t xml:space="preserve"> “never want[] to leave”</w:t>
      </w:r>
      <w:r w:rsidR="00666A3D">
        <w:t xml:space="preserve"> (p. 3)</w:t>
      </w:r>
      <w:r w:rsidR="0017747C">
        <w:t xml:space="preserve"> </w:t>
      </w:r>
      <w:r>
        <w:t>Alaska?</w:t>
      </w:r>
    </w:p>
    <w:p w14:paraId="07D56357" w14:textId="135A6A93" w:rsidR="00D8399C" w:rsidRDefault="00D8399C" w:rsidP="00D8399C">
      <w:pPr>
        <w:pStyle w:val="SR"/>
      </w:pPr>
      <w:r>
        <w:t>They d</w:t>
      </w:r>
      <w:r w:rsidR="00015163">
        <w:t>o</w:t>
      </w:r>
      <w:r>
        <w:t xml:space="preserve"> not want to leave Alaska because they ha</w:t>
      </w:r>
      <w:r w:rsidR="00015163">
        <w:t>ve</w:t>
      </w:r>
      <w:r>
        <w:t xml:space="preserve"> a feeling of peace or freedom “like an animal in nature” (p. 3)</w:t>
      </w:r>
      <w:r w:rsidR="00D619BD">
        <w:t>. Additionally,</w:t>
      </w:r>
      <w:r>
        <w:t xml:space="preserve"> they d</w:t>
      </w:r>
      <w:r w:rsidR="00015163">
        <w:t>o</w:t>
      </w:r>
      <w:r>
        <w:t xml:space="preserve"> not need to “sleep</w:t>
      </w:r>
      <w:r w:rsidR="00C13536">
        <w:t xml:space="preserve"> hard”</w:t>
      </w:r>
      <w:r>
        <w:t xml:space="preserve"> or face obligations</w:t>
      </w:r>
      <w:r w:rsidR="00015163">
        <w:t xml:space="preserve"> while they are there</w:t>
      </w:r>
      <w:r>
        <w:t xml:space="preserve">, so they </w:t>
      </w:r>
      <w:r w:rsidR="00015163">
        <w:t xml:space="preserve">are </w:t>
      </w:r>
      <w:r>
        <w:t xml:space="preserve">able to “put away the world” (p. 3). </w:t>
      </w:r>
    </w:p>
    <w:p w14:paraId="2050A95E" w14:textId="77777777" w:rsidR="00D8399C" w:rsidRPr="00064CC6" w:rsidRDefault="00D8399C" w:rsidP="00D8399C">
      <w:pPr>
        <w:pStyle w:val="Q"/>
      </w:pPr>
      <w:r>
        <w:t>How do the interactions with Susy further develop the characters of Stephan and Marty?</w:t>
      </w:r>
    </w:p>
    <w:p w14:paraId="7C546219" w14:textId="77777777" w:rsidR="006854E9" w:rsidRDefault="006854E9" w:rsidP="00D8399C">
      <w:pPr>
        <w:pStyle w:val="SR"/>
      </w:pPr>
      <w:r>
        <w:t>Student response may include:</w:t>
      </w:r>
    </w:p>
    <w:p w14:paraId="7580F2EC" w14:textId="60E5162D" w:rsidR="006854E9" w:rsidRDefault="00D8399C" w:rsidP="00DD713D">
      <w:pPr>
        <w:pStyle w:val="SASRBullet"/>
      </w:pPr>
      <w:r>
        <w:t xml:space="preserve">The interactions with Susy demonstrate that Stephan and Marty make decisions together. </w:t>
      </w:r>
      <w:r w:rsidR="003B4C20">
        <w:t>For example, w</w:t>
      </w:r>
      <w:r>
        <w:t>hen the brothers first meet Susy, it is Stephan who tells her to “Hop on in,” and it is Stephan who agrees with Marty</w:t>
      </w:r>
      <w:r w:rsidR="00666A3D">
        <w:t xml:space="preserve"> when </w:t>
      </w:r>
      <w:r w:rsidR="006854E9">
        <w:t xml:space="preserve">Marty </w:t>
      </w:r>
      <w:r w:rsidR="00666A3D">
        <w:t>says</w:t>
      </w:r>
      <w:r>
        <w:t xml:space="preserve"> “</w:t>
      </w:r>
      <w:r w:rsidR="00C13536">
        <w:t>‘[</w:t>
      </w:r>
      <w:r>
        <w:t>w</w:t>
      </w:r>
      <w:r w:rsidR="00C13536">
        <w:t>]</w:t>
      </w:r>
      <w:r>
        <w:t>e’ll take you home</w:t>
      </w:r>
      <w:r w:rsidR="00C13536">
        <w:t xml:space="preserve">,’” </w:t>
      </w:r>
      <w:r>
        <w:t>even though she lives in Alaska</w:t>
      </w:r>
      <w:r w:rsidR="00C13536">
        <w:t xml:space="preserve"> (p. 3)</w:t>
      </w:r>
      <w:r>
        <w:t xml:space="preserve">. </w:t>
      </w:r>
    </w:p>
    <w:p w14:paraId="517E4DCB" w14:textId="0779262E" w:rsidR="00D8399C" w:rsidRPr="00064CC6" w:rsidRDefault="00D8399C" w:rsidP="00DD713D">
      <w:pPr>
        <w:pStyle w:val="SASRBullet"/>
      </w:pPr>
      <w:r>
        <w:t>When Stephan picks up Susy and pretends he has “</w:t>
      </w:r>
      <w:r w:rsidR="00C13536">
        <w:t>‘</w:t>
      </w:r>
      <w:r>
        <w:t>long pretty hair</w:t>
      </w:r>
      <w:r w:rsidR="00C13536">
        <w:t>’</w:t>
      </w:r>
      <w:r>
        <w:t>” (p. 3) it further develops his character by showing his sense of humor</w:t>
      </w:r>
      <w:r w:rsidR="006F5515">
        <w:t>:</w:t>
      </w:r>
      <w:r>
        <w:t xml:space="preserve"> “it was a funny sight, the way he did it” (p. 3</w:t>
      </w:r>
      <w:r w:rsidR="00827DD5">
        <w:t>–</w:t>
      </w:r>
      <w:r>
        <w:t xml:space="preserve">4).  </w:t>
      </w:r>
    </w:p>
    <w:p w14:paraId="757B4BFF" w14:textId="77777777" w:rsidR="00D8399C" w:rsidRDefault="00D8399C" w:rsidP="00D8399C">
      <w:pPr>
        <w:pStyle w:val="Q"/>
      </w:pPr>
      <w:r>
        <w:t xml:space="preserve">What is the impact of the pronoun “we” </w:t>
      </w:r>
      <w:r w:rsidR="00015163">
        <w:t>in the description of</w:t>
      </w:r>
      <w:r>
        <w:t xml:space="preserve"> the summer trip?</w:t>
      </w:r>
    </w:p>
    <w:p w14:paraId="161F5B05" w14:textId="7FD511B5" w:rsidR="00D8399C" w:rsidRDefault="00D8399C" w:rsidP="00D8399C">
      <w:pPr>
        <w:pStyle w:val="SR"/>
      </w:pPr>
      <w:r>
        <w:t>The use of the pronoun “we” demonstrates the close relationship between the brothers. In this section of text, and throughout Marty’s description of their trip</w:t>
      </w:r>
      <w:r w:rsidR="00F34774">
        <w:t>,</w:t>
      </w:r>
      <w:r>
        <w:t xml:space="preserve"> he refers to the both of</w:t>
      </w:r>
      <w:r w:rsidR="00F34774">
        <w:t xml:space="preserve"> them.</w:t>
      </w:r>
      <w:r>
        <w:t xml:space="preserve"> </w:t>
      </w:r>
      <w:r>
        <w:lastRenderedPageBreak/>
        <w:t>“That time we first saw it” (p. 2)</w:t>
      </w:r>
      <w:r w:rsidR="006F5515">
        <w:t>,</w:t>
      </w:r>
      <w:r>
        <w:t xml:space="preserve"> “We went places in that car” (p. 2)</w:t>
      </w:r>
      <w:r w:rsidR="006F5515">
        <w:t>,</w:t>
      </w:r>
      <w:r>
        <w:t xml:space="preserve"> and “we got up and took leave of those people” (p. 4) are all examples of their unity and close bond as brothers. </w:t>
      </w:r>
    </w:p>
    <w:p w14:paraId="4BF37927" w14:textId="488C60DF" w:rsidR="00D8399C" w:rsidRDefault="00266276" w:rsidP="00D8399C">
      <w:pPr>
        <w:pStyle w:val="Q"/>
      </w:pPr>
      <w:r>
        <w:t>How does the sentence</w:t>
      </w:r>
      <w:r w:rsidR="006F5515">
        <w:t>,</w:t>
      </w:r>
      <w:r w:rsidR="00D8399C">
        <w:t xml:space="preserve"> “We got home just in time, it turned out, for the Army to remember Stephan had signed up”</w:t>
      </w:r>
      <w:r w:rsidR="00015163">
        <w:t xml:space="preserve"> (p. 4)</w:t>
      </w:r>
      <w:r w:rsidR="006F5515">
        <w:t>,</w:t>
      </w:r>
      <w:r w:rsidR="00D8399C">
        <w:t xml:space="preserve"> further develop Stephan’s character? </w:t>
      </w:r>
    </w:p>
    <w:p w14:paraId="567B98B2" w14:textId="20C19775" w:rsidR="008D74E5" w:rsidRDefault="00266276" w:rsidP="00500AF2">
      <w:pPr>
        <w:pStyle w:val="SR"/>
      </w:pPr>
      <w:r>
        <w:t>This sentence</w:t>
      </w:r>
      <w:r w:rsidR="00D8399C" w:rsidRPr="00ED1597">
        <w:t xml:space="preserve"> shows that Stephan was enjoying himself so much on the road trip that he forgot</w:t>
      </w:r>
      <w:r w:rsidR="00E7719E">
        <w:t xml:space="preserve"> or did not “remember” </w:t>
      </w:r>
      <w:r w:rsidR="00D8399C" w:rsidRPr="00ED1597">
        <w:t xml:space="preserve">about the </w:t>
      </w:r>
      <w:r w:rsidR="00D8399C">
        <w:t>agreement</w:t>
      </w:r>
      <w:r w:rsidR="00D8399C" w:rsidRPr="00ED1597">
        <w:t xml:space="preserve"> he made</w:t>
      </w:r>
      <w:r w:rsidR="00500AF2">
        <w:t xml:space="preserve"> to join the Army</w:t>
      </w:r>
      <w:r w:rsidR="00C13536">
        <w:t xml:space="preserve"> (p. 4)</w:t>
      </w:r>
      <w:r w:rsidR="00D8399C" w:rsidRPr="00ED1597">
        <w:t>. On the road trip, he “put</w:t>
      </w:r>
      <w:r w:rsidR="0008581C">
        <w:t>[s]</w:t>
      </w:r>
      <w:r w:rsidR="00D8399C" w:rsidRPr="00ED1597">
        <w:t xml:space="preserve"> away the world”</w:t>
      </w:r>
      <w:r w:rsidR="00D8399C">
        <w:t xml:space="preserve"> </w:t>
      </w:r>
      <w:r w:rsidR="00D8399C" w:rsidRPr="00ED1597">
        <w:t xml:space="preserve">and therefore </w:t>
      </w:r>
      <w:r w:rsidR="00015163">
        <w:t>i</w:t>
      </w:r>
      <w:r w:rsidR="00D8399C" w:rsidRPr="00ED1597">
        <w:t>s</w:t>
      </w:r>
      <w:r w:rsidR="00D8399C">
        <w:t xml:space="preserve"> </w:t>
      </w:r>
      <w:r w:rsidR="00D8399C" w:rsidRPr="00ED1597">
        <w:t>n</w:t>
      </w:r>
      <w:r w:rsidR="00D8399C">
        <w:t>o</w:t>
      </w:r>
      <w:r w:rsidR="00D8399C" w:rsidRPr="00ED1597">
        <w:t>t thinking about his future</w:t>
      </w:r>
      <w:r w:rsidR="00C13536">
        <w:t xml:space="preserve"> (p. 3)</w:t>
      </w:r>
      <w:r w:rsidR="00D8399C" w:rsidRPr="00ED1597">
        <w:t xml:space="preserve">. </w:t>
      </w:r>
    </w:p>
    <w:p w14:paraId="5E9DC219" w14:textId="0AF442FE" w:rsidR="008D74E5" w:rsidRDefault="008D74E5" w:rsidP="00D8399C">
      <w:pPr>
        <w:pStyle w:val="Q"/>
      </w:pPr>
      <w:r>
        <w:t xml:space="preserve">How does </w:t>
      </w:r>
      <w:r w:rsidR="00B858F2">
        <w:t>the phrase</w:t>
      </w:r>
      <w:r w:rsidR="006F5515">
        <w:t>,</w:t>
      </w:r>
      <w:r w:rsidR="00B858F2">
        <w:t xml:space="preserve"> “it gave us a beautiful performance when we needed it”</w:t>
      </w:r>
      <w:r w:rsidR="00F616AD">
        <w:t xml:space="preserve"> </w:t>
      </w:r>
      <w:r w:rsidR="00015163">
        <w:t>(p. 4)</w:t>
      </w:r>
      <w:r w:rsidR="006F5515">
        <w:t>,</w:t>
      </w:r>
      <w:r w:rsidR="00015163">
        <w:t xml:space="preserve"> </w:t>
      </w:r>
      <w:r>
        <w:t xml:space="preserve">further develop the relationship between </w:t>
      </w:r>
      <w:r w:rsidR="00B858F2">
        <w:t>Stephan and Marty</w:t>
      </w:r>
      <w:r>
        <w:t>?</w:t>
      </w:r>
    </w:p>
    <w:p w14:paraId="652C2653" w14:textId="7CC10437" w:rsidR="00F616AD" w:rsidRDefault="00F616AD" w:rsidP="00BC585D">
      <w:pPr>
        <w:pStyle w:val="SR"/>
      </w:pPr>
      <w:r>
        <w:t>Marty’s description</w:t>
      </w:r>
      <w:r w:rsidR="002B453D">
        <w:t xml:space="preserve"> of the</w:t>
      </w:r>
      <w:r w:rsidR="00BD15F4">
        <w:t xml:space="preserve"> convertible’s “performance” as</w:t>
      </w:r>
      <w:r>
        <w:t xml:space="preserve"> “beautiful”</w:t>
      </w:r>
      <w:r w:rsidR="002B453D">
        <w:t xml:space="preserve"> </w:t>
      </w:r>
      <w:r w:rsidR="00B858F2">
        <w:t>demonstrates that Marty appreciates and treasures the memor</w:t>
      </w:r>
      <w:r w:rsidR="00DB43E1">
        <w:t>y of the road trip with Stephan (p. 4).</w:t>
      </w:r>
      <w:r w:rsidR="00B858F2">
        <w:t xml:space="preserve"> The summer trip</w:t>
      </w:r>
      <w:r w:rsidR="002B453D">
        <w:t xml:space="preserve"> in the convertible</w:t>
      </w:r>
      <w:r w:rsidR="00B858F2">
        <w:t xml:space="preserve"> </w:t>
      </w:r>
      <w:r w:rsidR="00315287">
        <w:t>represents</w:t>
      </w:r>
      <w:r w:rsidR="00B858F2">
        <w:t xml:space="preserve"> a significant event for Marty and Stephan before Stephan ha</w:t>
      </w:r>
      <w:r w:rsidR="00015163">
        <w:t>s</w:t>
      </w:r>
      <w:r w:rsidR="00DB43E1">
        <w:t xml:space="preserve"> to leave for “Khe Sanh” </w:t>
      </w:r>
      <w:r w:rsidR="00B858F2">
        <w:t>or the Vietnam War</w:t>
      </w:r>
      <w:r w:rsidR="00DB43E1">
        <w:t xml:space="preserve"> (p. 4)</w:t>
      </w:r>
      <w:r w:rsidR="00B858F2">
        <w:t>.</w:t>
      </w:r>
    </w:p>
    <w:p w14:paraId="1D2699F1" w14:textId="77777777" w:rsidR="00790BCC" w:rsidRPr="00790BCC" w:rsidRDefault="00D8399C" w:rsidP="007017EB">
      <w:pPr>
        <w:pStyle w:val="TA"/>
      </w:pPr>
      <w:r>
        <w:t>Lead a brief whole-class discussion of student responses.</w:t>
      </w:r>
    </w:p>
    <w:p w14:paraId="6CEC7A41" w14:textId="77777777" w:rsidR="00790BCC" w:rsidRPr="00790BCC" w:rsidRDefault="00D8399C" w:rsidP="007017EB">
      <w:pPr>
        <w:pStyle w:val="LearningSequenceHeader"/>
      </w:pPr>
      <w:r>
        <w:t>Activity 4: Quick Write</w:t>
      </w:r>
      <w:r>
        <w:tab/>
        <w:t>15</w:t>
      </w:r>
      <w:r w:rsidR="00790BCC" w:rsidRPr="00790BCC">
        <w:t>%</w:t>
      </w:r>
    </w:p>
    <w:p w14:paraId="471B094C" w14:textId="77777777" w:rsidR="00D8399C" w:rsidRDefault="00D8399C" w:rsidP="00D8399C">
      <w:pPr>
        <w:pStyle w:val="TA"/>
      </w:pPr>
      <w:r>
        <w:t>Instruct students to respond briefly in writing to the following prompt:</w:t>
      </w:r>
    </w:p>
    <w:p w14:paraId="734081D9" w14:textId="359C01DD" w:rsidR="00D8399C" w:rsidRDefault="00D8399C" w:rsidP="00D8399C">
      <w:pPr>
        <w:pStyle w:val="Q"/>
      </w:pPr>
      <w:r w:rsidRPr="0047312A">
        <w:t xml:space="preserve">What is the impact of Erdrich's choice to introduce Stephan through Marty's point of view?  </w:t>
      </w:r>
    </w:p>
    <w:p w14:paraId="0CC2487D" w14:textId="77777777" w:rsidR="00D8399C" w:rsidRDefault="00D8399C" w:rsidP="00D8399C">
      <w:pPr>
        <w:pStyle w:val="TA"/>
      </w:pPr>
      <w:r>
        <w:t>Instruct students to look at their annotations to find evidence. Instruct students to use this lesson’s vocabulary wherever possible in their written responses. Remind students to use the Short Response Rubric and Checklist to guide their written responses.</w:t>
      </w:r>
    </w:p>
    <w:p w14:paraId="14639132" w14:textId="77777777" w:rsidR="00D8399C" w:rsidRDefault="00D8399C" w:rsidP="00D8399C">
      <w:pPr>
        <w:pStyle w:val="SA"/>
        <w:numPr>
          <w:ilvl w:val="0"/>
          <w:numId w:val="8"/>
        </w:numPr>
      </w:pPr>
      <w:r>
        <w:t>Students listen and read the Quick Write prompt.</w:t>
      </w:r>
    </w:p>
    <w:p w14:paraId="4AC5DDF7" w14:textId="77777777" w:rsidR="00D8399C" w:rsidRDefault="00D8399C" w:rsidP="00D8399C">
      <w:pPr>
        <w:pStyle w:val="IN"/>
      </w:pPr>
      <w:r>
        <w:t>Display the</w:t>
      </w:r>
      <w:r w:rsidRPr="002C38DB">
        <w:t xml:space="preserve"> prompt for students to see</w:t>
      </w:r>
      <w:r>
        <w:t>, or provide the prompt in</w:t>
      </w:r>
      <w:r w:rsidRPr="002C38DB">
        <w:t xml:space="preserve"> hard copy</w:t>
      </w:r>
      <w:r>
        <w:t>.</w:t>
      </w:r>
    </w:p>
    <w:p w14:paraId="23E12C6A" w14:textId="77777777" w:rsidR="00D8399C" w:rsidRDefault="00D8399C" w:rsidP="00D8399C">
      <w:pPr>
        <w:pStyle w:val="TA"/>
        <w:rPr>
          <w:rFonts w:cs="Cambria"/>
        </w:rPr>
      </w:pPr>
      <w:r>
        <w:rPr>
          <w:rFonts w:cs="Cambria"/>
        </w:rPr>
        <w:t>Transition to the independent Quick Write.</w:t>
      </w:r>
      <w:r w:rsidRPr="000149E8">
        <w:t xml:space="preserve"> </w:t>
      </w:r>
    </w:p>
    <w:p w14:paraId="1071B6A0" w14:textId="77777777" w:rsidR="00D8399C" w:rsidRDefault="00D8399C" w:rsidP="00D8399C">
      <w:pPr>
        <w:pStyle w:val="SA"/>
        <w:numPr>
          <w:ilvl w:val="0"/>
          <w:numId w:val="8"/>
        </w:numPr>
      </w:pPr>
      <w:r>
        <w:t xml:space="preserve">Students independently answer the prompt, using evidence from the text. </w:t>
      </w:r>
    </w:p>
    <w:p w14:paraId="7577E2FA" w14:textId="77777777" w:rsidR="00D8399C" w:rsidRPr="00790BCC" w:rsidRDefault="00D8399C" w:rsidP="00D8399C">
      <w:pPr>
        <w:pStyle w:val="SR"/>
      </w:pPr>
      <w:r>
        <w:t>See the High Performance Response at the beginning of this lesson.</w:t>
      </w:r>
    </w:p>
    <w:p w14:paraId="134B7C45" w14:textId="77777777" w:rsidR="00790BCC" w:rsidRPr="00790BCC" w:rsidRDefault="00D8399C" w:rsidP="0092609C">
      <w:pPr>
        <w:pStyle w:val="LearningSequenceHeader"/>
        <w:keepNext/>
      </w:pPr>
      <w:r>
        <w:lastRenderedPageBreak/>
        <w:t>Activity 5: Closing</w:t>
      </w:r>
      <w:r>
        <w:tab/>
        <w:t>5</w:t>
      </w:r>
      <w:r w:rsidR="00790BCC" w:rsidRPr="00790BCC">
        <w:t>%</w:t>
      </w:r>
    </w:p>
    <w:p w14:paraId="51EB28D3" w14:textId="3D005A25" w:rsidR="009A7256" w:rsidRDefault="009A7256" w:rsidP="007017EB">
      <w:pPr>
        <w:pStyle w:val="TA"/>
      </w:pPr>
      <w:r>
        <w:t>Display and distribute the homework assignment. For homework, instruct students to read and annotate pages 4</w:t>
      </w:r>
      <w:r w:rsidR="00BF6E95">
        <w:t>–</w:t>
      </w:r>
      <w:r>
        <w:t xml:space="preserve">10 of “The Red Convertible” (from “It was at least two years before Stephan came home again” to “the sound of it going and running and going and running and running”). </w:t>
      </w:r>
    </w:p>
    <w:p w14:paraId="458A049D" w14:textId="77777777" w:rsidR="00790BCC" w:rsidRDefault="009A7256" w:rsidP="007017EB">
      <w:pPr>
        <w:pStyle w:val="TA"/>
      </w:pPr>
      <w:r>
        <w:t>Additionally, instruct students to briefly respon</w:t>
      </w:r>
      <w:r w:rsidR="00D7711B">
        <w:t>d</w:t>
      </w:r>
      <w:r>
        <w:t xml:space="preserve"> in writing to the following questions:</w:t>
      </w:r>
    </w:p>
    <w:p w14:paraId="5ADFCC55" w14:textId="77777777" w:rsidR="0017747C" w:rsidRDefault="0017747C" w:rsidP="0017747C">
      <w:pPr>
        <w:pStyle w:val="Q"/>
      </w:pPr>
      <w:r>
        <w:t>How does the scene on pages 4</w:t>
      </w:r>
      <w:r w:rsidR="00827DD5">
        <w:t>–</w:t>
      </w:r>
      <w:r>
        <w:t>5 impact the character development of Marty and Stephan?</w:t>
      </w:r>
    </w:p>
    <w:p w14:paraId="56AEB5CA" w14:textId="77777777" w:rsidR="009A7256" w:rsidRPr="00790BCC" w:rsidRDefault="0017747C" w:rsidP="006A1B87">
      <w:pPr>
        <w:pStyle w:val="Q"/>
      </w:pPr>
      <w:r>
        <w:t>How does “that picture” further develop Stephan and Marty’s relationship?</w:t>
      </w:r>
    </w:p>
    <w:p w14:paraId="0780E938" w14:textId="77777777" w:rsidR="00790BCC" w:rsidRPr="00790BCC" w:rsidRDefault="009A7256" w:rsidP="007017EB">
      <w:pPr>
        <w:pStyle w:val="SA"/>
        <w:numPr>
          <w:ilvl w:val="0"/>
          <w:numId w:val="8"/>
        </w:numPr>
      </w:pPr>
      <w:r>
        <w:t>Students follow along.</w:t>
      </w:r>
    </w:p>
    <w:p w14:paraId="777FACDB" w14:textId="77777777" w:rsidR="00790BCC" w:rsidRPr="00790BCC" w:rsidRDefault="00790BCC" w:rsidP="007017EB">
      <w:pPr>
        <w:pStyle w:val="Heading1"/>
      </w:pPr>
      <w:r w:rsidRPr="00790BCC">
        <w:t>Homework</w:t>
      </w:r>
    </w:p>
    <w:p w14:paraId="78175181" w14:textId="77777777" w:rsidR="00790BCC" w:rsidRDefault="009A7256" w:rsidP="003C058E">
      <w:r>
        <w:t>Read and annotate pages 4</w:t>
      </w:r>
      <w:r w:rsidR="00827DD5">
        <w:t>–</w:t>
      </w:r>
      <w:r>
        <w:t>10 of “The Red Convertible” (from “It was at least two years before Stephan came home again” to “the sound of it going and running and going and running and running”).</w:t>
      </w:r>
    </w:p>
    <w:p w14:paraId="319EBD1F" w14:textId="77777777" w:rsidR="009A7256" w:rsidRDefault="009A7256" w:rsidP="003C058E">
      <w:r>
        <w:t>Also, respond briefly in writing to the following questions:</w:t>
      </w:r>
    </w:p>
    <w:p w14:paraId="31CA2076" w14:textId="77777777" w:rsidR="0017747C" w:rsidRDefault="0017747C" w:rsidP="0017747C">
      <w:pPr>
        <w:pStyle w:val="Q"/>
      </w:pPr>
      <w:r>
        <w:t>How does the scene on pages 4</w:t>
      </w:r>
      <w:r w:rsidR="00827DD5">
        <w:t>–</w:t>
      </w:r>
      <w:r>
        <w:t>5 impact the character development of Marty and Stephan?</w:t>
      </w:r>
    </w:p>
    <w:p w14:paraId="324C0C4F" w14:textId="77777777" w:rsidR="009A7256" w:rsidRPr="00790BCC" w:rsidRDefault="0017747C" w:rsidP="00A51050">
      <w:pPr>
        <w:pStyle w:val="Q"/>
      </w:pPr>
      <w:r>
        <w:t>How does “that picture” further develop Stephan and Marty’s relationship?</w:t>
      </w:r>
      <w:r w:rsidR="00A51050" w:rsidRPr="00790BCC">
        <w:t xml:space="preserve"> </w:t>
      </w:r>
    </w:p>
    <w:p w14:paraId="2A810A71" w14:textId="77777777" w:rsidR="00790BCC" w:rsidRPr="00790BCC" w:rsidRDefault="009A7256" w:rsidP="009A7256">
      <w:pPr>
        <w:pStyle w:val="ToolHeader"/>
      </w:pPr>
      <w:r w:rsidRPr="00790BCC">
        <w:t xml:space="preserve"> </w:t>
      </w:r>
    </w:p>
    <w:p w14:paraId="337A5F6D" w14:textId="77777777" w:rsidR="007E484F" w:rsidRDefault="007E484F"/>
    <w:sectPr w:rsidR="007E484F" w:rsidSect="002C2C3D">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4C809" w14:textId="77777777" w:rsidR="000F74DF" w:rsidRDefault="000F74DF">
      <w:pPr>
        <w:spacing w:before="0" w:after="0" w:line="240" w:lineRule="auto"/>
      </w:pPr>
      <w:r>
        <w:separator/>
      </w:r>
    </w:p>
  </w:endnote>
  <w:endnote w:type="continuationSeparator" w:id="0">
    <w:p w14:paraId="732E3783" w14:textId="77777777" w:rsidR="000F74DF" w:rsidRDefault="000F74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08414" w14:textId="77777777" w:rsidR="00C13536" w:rsidRDefault="00C13536" w:rsidP="002C2C3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A17B0C9" w14:textId="77777777" w:rsidR="00C13536" w:rsidRDefault="00C13536" w:rsidP="002C2C3D">
    <w:pPr>
      <w:pStyle w:val="Footer"/>
    </w:pPr>
  </w:p>
  <w:p w14:paraId="49E5C75E" w14:textId="77777777" w:rsidR="00C13536" w:rsidRDefault="00C13536" w:rsidP="002C2C3D"/>
  <w:p w14:paraId="0F1E2B68" w14:textId="77777777" w:rsidR="00C13536" w:rsidRDefault="00C13536" w:rsidP="002C2C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9D42" w14:textId="77777777" w:rsidR="00C13536" w:rsidRPr="00563CB8" w:rsidRDefault="00C13536"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13536" w14:paraId="7BF03766" w14:textId="77777777" w:rsidTr="002C2C3D">
      <w:trPr>
        <w:trHeight w:val="705"/>
      </w:trPr>
      <w:tc>
        <w:tcPr>
          <w:tcW w:w="4609" w:type="dxa"/>
          <w:shd w:val="clear" w:color="auto" w:fill="auto"/>
          <w:vAlign w:val="center"/>
        </w:tcPr>
        <w:p w14:paraId="0C5FE05F" w14:textId="686CBFAC" w:rsidR="00C13536" w:rsidRPr="002E4C92" w:rsidRDefault="00C13536" w:rsidP="007017EB">
          <w:pPr>
            <w:pStyle w:val="FooterText"/>
          </w:pPr>
          <w:r w:rsidRPr="002E4C92">
            <w:t>File</w:t>
          </w:r>
          <w:r w:rsidRPr="0022531B">
            <w:t>:</w:t>
          </w:r>
          <w:r w:rsidRPr="0022531B">
            <w:rPr>
              <w:b w:val="0"/>
            </w:rPr>
            <w:t xml:space="preserve"> 11.4.1 Lesson 8</w:t>
          </w:r>
          <w:r w:rsidRPr="0022531B">
            <w:t xml:space="preserve"> Date:</w:t>
          </w:r>
          <w:r w:rsidRPr="0022531B">
            <w:rPr>
              <w:b w:val="0"/>
            </w:rPr>
            <w:t xml:space="preserve"> </w:t>
          </w:r>
          <w:r w:rsidR="0022531B">
            <w:rPr>
              <w:b w:val="0"/>
            </w:rPr>
            <w:t>10</w:t>
          </w:r>
          <w:r w:rsidRPr="0022531B">
            <w:rPr>
              <w:b w:val="0"/>
            </w:rPr>
            <w:t>/</w:t>
          </w:r>
          <w:r w:rsidR="0022531B">
            <w:rPr>
              <w:b w:val="0"/>
            </w:rPr>
            <w:t>31</w:t>
          </w:r>
          <w:r w:rsidRPr="0022531B">
            <w:rPr>
              <w:b w:val="0"/>
            </w:rPr>
            <w:t xml:space="preserve">/14 </w:t>
          </w:r>
          <w:r w:rsidRPr="0022531B">
            <w:t>Classroom Use:</w:t>
          </w:r>
          <w:r w:rsidRPr="0022531B">
            <w:rPr>
              <w:b w:val="0"/>
            </w:rPr>
            <w:t xml:space="preserve"> Starting 1</w:t>
          </w:r>
          <w:r w:rsidR="0022531B">
            <w:rPr>
              <w:b w:val="0"/>
            </w:rPr>
            <w:t>1</w:t>
          </w:r>
          <w:r w:rsidRPr="0022531B">
            <w:rPr>
              <w:b w:val="0"/>
            </w:rPr>
            <w:t>/2014</w:t>
          </w:r>
          <w:r w:rsidRPr="0039525B">
            <w:rPr>
              <w:b w:val="0"/>
            </w:rPr>
            <w:t xml:space="preserve"> </w:t>
          </w:r>
        </w:p>
        <w:p w14:paraId="552F457F" w14:textId="77777777" w:rsidR="00C13536" w:rsidRPr="0039525B" w:rsidRDefault="00C13536"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18A00B1" w14:textId="77777777" w:rsidR="00C13536" w:rsidRPr="0039525B" w:rsidRDefault="00C13536" w:rsidP="007017EB">
          <w:pPr>
            <w:pStyle w:val="FooterText"/>
            <w:rPr>
              <w:b w:val="0"/>
              <w:i/>
            </w:rPr>
          </w:pPr>
          <w:r w:rsidRPr="0039525B">
            <w:rPr>
              <w:b w:val="0"/>
              <w:i/>
              <w:sz w:val="12"/>
            </w:rPr>
            <w:t>Creative Commons Attribution-NonCommercial-ShareAlike 3.0 Unported License</w:t>
          </w:r>
        </w:p>
        <w:p w14:paraId="76493AD3" w14:textId="77777777" w:rsidR="00C13536" w:rsidRPr="002E4C92" w:rsidRDefault="000F74DF" w:rsidP="007017EB">
          <w:pPr>
            <w:pStyle w:val="FooterText"/>
          </w:pPr>
          <w:hyperlink r:id="rId1" w:history="1">
            <w:r w:rsidR="00C1353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2629727" w14:textId="77777777" w:rsidR="00C13536" w:rsidRPr="002E4C92" w:rsidRDefault="00C13536"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729A8">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14:paraId="4B4D9F97" w14:textId="77777777" w:rsidR="00C13536" w:rsidRPr="002E4C92" w:rsidRDefault="00C13536"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74F73CD" wp14:editId="6E1A770E">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98A3233" w14:textId="77777777" w:rsidR="00C13536" w:rsidRPr="007017EB" w:rsidRDefault="00C13536"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010B5" w14:textId="77777777" w:rsidR="000F74DF" w:rsidRDefault="000F74DF">
      <w:pPr>
        <w:spacing w:before="0" w:after="0" w:line="240" w:lineRule="auto"/>
      </w:pPr>
      <w:r>
        <w:separator/>
      </w:r>
    </w:p>
  </w:footnote>
  <w:footnote w:type="continuationSeparator" w:id="0">
    <w:p w14:paraId="7B0E0BC8" w14:textId="77777777" w:rsidR="000F74DF" w:rsidRDefault="000F74D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C13536" w:rsidRPr="00563CB8" w14:paraId="01C964E0" w14:textId="77777777" w:rsidTr="002C2C3D">
      <w:tc>
        <w:tcPr>
          <w:tcW w:w="3708" w:type="dxa"/>
          <w:shd w:val="clear" w:color="auto" w:fill="auto"/>
        </w:tcPr>
        <w:p w14:paraId="15636E27" w14:textId="77777777" w:rsidR="00C13536" w:rsidRPr="00563CB8" w:rsidRDefault="00C13536"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2859487" w14:textId="77777777" w:rsidR="00C13536" w:rsidRPr="00563CB8" w:rsidRDefault="00C13536" w:rsidP="007017EB">
          <w:pPr>
            <w:jc w:val="center"/>
          </w:pPr>
          <w:r w:rsidRPr="00563CB8">
            <w:t>D R A F T</w:t>
          </w:r>
        </w:p>
      </w:tc>
      <w:tc>
        <w:tcPr>
          <w:tcW w:w="3438" w:type="dxa"/>
          <w:shd w:val="clear" w:color="auto" w:fill="auto"/>
        </w:tcPr>
        <w:p w14:paraId="799FC805" w14:textId="77777777" w:rsidR="00C13536" w:rsidRPr="00E946A0" w:rsidRDefault="00C13536" w:rsidP="007017EB">
          <w:pPr>
            <w:pStyle w:val="PageHeader"/>
            <w:jc w:val="right"/>
            <w:rPr>
              <w:b w:val="0"/>
            </w:rPr>
          </w:pPr>
          <w:r>
            <w:rPr>
              <w:b w:val="0"/>
            </w:rPr>
            <w:t>Grade 11 • Module 4 • Unit 1 • Lesson 8</w:t>
          </w:r>
        </w:p>
      </w:tc>
    </w:tr>
  </w:tbl>
  <w:p w14:paraId="262F9EFF" w14:textId="77777777" w:rsidR="00C13536" w:rsidRPr="007017EB" w:rsidRDefault="00C13536"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15163"/>
    <w:rsid w:val="00052F5D"/>
    <w:rsid w:val="000729A8"/>
    <w:rsid w:val="00074FD2"/>
    <w:rsid w:val="0008581C"/>
    <w:rsid w:val="0008632A"/>
    <w:rsid w:val="000A3C98"/>
    <w:rsid w:val="000B3273"/>
    <w:rsid w:val="000B3A6F"/>
    <w:rsid w:val="000B3FDC"/>
    <w:rsid w:val="000C20D7"/>
    <w:rsid w:val="000E5A3E"/>
    <w:rsid w:val="000E6A1D"/>
    <w:rsid w:val="000F74DF"/>
    <w:rsid w:val="00120F5C"/>
    <w:rsid w:val="001270AE"/>
    <w:rsid w:val="001317E5"/>
    <w:rsid w:val="00144696"/>
    <w:rsid w:val="00144B97"/>
    <w:rsid w:val="00167218"/>
    <w:rsid w:val="001735F1"/>
    <w:rsid w:val="0017747C"/>
    <w:rsid w:val="001A419B"/>
    <w:rsid w:val="001A6067"/>
    <w:rsid w:val="001A6313"/>
    <w:rsid w:val="001B2B7A"/>
    <w:rsid w:val="001F372C"/>
    <w:rsid w:val="001F74A9"/>
    <w:rsid w:val="00205AD9"/>
    <w:rsid w:val="00212D5C"/>
    <w:rsid w:val="0022531B"/>
    <w:rsid w:val="00231B97"/>
    <w:rsid w:val="00262B6C"/>
    <w:rsid w:val="00266276"/>
    <w:rsid w:val="002726F4"/>
    <w:rsid w:val="00283FB3"/>
    <w:rsid w:val="00285524"/>
    <w:rsid w:val="00290D90"/>
    <w:rsid w:val="002B102F"/>
    <w:rsid w:val="002B3AF7"/>
    <w:rsid w:val="002B453D"/>
    <w:rsid w:val="002C081F"/>
    <w:rsid w:val="002C0E2B"/>
    <w:rsid w:val="002C2C3D"/>
    <w:rsid w:val="002C5437"/>
    <w:rsid w:val="002D7FFD"/>
    <w:rsid w:val="002E7BC8"/>
    <w:rsid w:val="00315287"/>
    <w:rsid w:val="00341F48"/>
    <w:rsid w:val="0034789B"/>
    <w:rsid w:val="00356D1E"/>
    <w:rsid w:val="00381FFC"/>
    <w:rsid w:val="003A55A7"/>
    <w:rsid w:val="003A7577"/>
    <w:rsid w:val="003B1406"/>
    <w:rsid w:val="003B4C20"/>
    <w:rsid w:val="003C058E"/>
    <w:rsid w:val="003F5F76"/>
    <w:rsid w:val="0041124D"/>
    <w:rsid w:val="004227BF"/>
    <w:rsid w:val="00423D3A"/>
    <w:rsid w:val="004533A6"/>
    <w:rsid w:val="00466BD5"/>
    <w:rsid w:val="0048043C"/>
    <w:rsid w:val="004959C7"/>
    <w:rsid w:val="004A5546"/>
    <w:rsid w:val="004B2072"/>
    <w:rsid w:val="004E5966"/>
    <w:rsid w:val="004E596D"/>
    <w:rsid w:val="00500AF2"/>
    <w:rsid w:val="0053331A"/>
    <w:rsid w:val="00552B92"/>
    <w:rsid w:val="00595FF9"/>
    <w:rsid w:val="005D6B63"/>
    <w:rsid w:val="005E7AB7"/>
    <w:rsid w:val="005F138A"/>
    <w:rsid w:val="00623B30"/>
    <w:rsid w:val="006323F5"/>
    <w:rsid w:val="0064658B"/>
    <w:rsid w:val="00666A3D"/>
    <w:rsid w:val="006854E9"/>
    <w:rsid w:val="006A1B87"/>
    <w:rsid w:val="006A3A5C"/>
    <w:rsid w:val="006D6F91"/>
    <w:rsid w:val="006F5515"/>
    <w:rsid w:val="007017EB"/>
    <w:rsid w:val="007143E1"/>
    <w:rsid w:val="00734351"/>
    <w:rsid w:val="00790BCC"/>
    <w:rsid w:val="007926CE"/>
    <w:rsid w:val="007973D8"/>
    <w:rsid w:val="007A15C2"/>
    <w:rsid w:val="007C60C0"/>
    <w:rsid w:val="007D2598"/>
    <w:rsid w:val="007E484F"/>
    <w:rsid w:val="008206AC"/>
    <w:rsid w:val="00823F1C"/>
    <w:rsid w:val="00825F1E"/>
    <w:rsid w:val="00827DD5"/>
    <w:rsid w:val="0084107E"/>
    <w:rsid w:val="00855C6A"/>
    <w:rsid w:val="00857D01"/>
    <w:rsid w:val="008877F0"/>
    <w:rsid w:val="00887FBB"/>
    <w:rsid w:val="008A085F"/>
    <w:rsid w:val="008A2AAE"/>
    <w:rsid w:val="008B3F5B"/>
    <w:rsid w:val="008B48BF"/>
    <w:rsid w:val="008C6490"/>
    <w:rsid w:val="008D427A"/>
    <w:rsid w:val="008D56BA"/>
    <w:rsid w:val="008D74E5"/>
    <w:rsid w:val="008E0122"/>
    <w:rsid w:val="008E5B60"/>
    <w:rsid w:val="00902CF8"/>
    <w:rsid w:val="00912AAE"/>
    <w:rsid w:val="00922E67"/>
    <w:rsid w:val="0092609C"/>
    <w:rsid w:val="009450B7"/>
    <w:rsid w:val="009450F1"/>
    <w:rsid w:val="00967181"/>
    <w:rsid w:val="0099167B"/>
    <w:rsid w:val="00991F20"/>
    <w:rsid w:val="009A7256"/>
    <w:rsid w:val="009A7D2C"/>
    <w:rsid w:val="009E3DE1"/>
    <w:rsid w:val="009E3FA5"/>
    <w:rsid w:val="009F36E8"/>
    <w:rsid w:val="009F48AA"/>
    <w:rsid w:val="00A207BA"/>
    <w:rsid w:val="00A21D63"/>
    <w:rsid w:val="00A37771"/>
    <w:rsid w:val="00A51050"/>
    <w:rsid w:val="00A73B0A"/>
    <w:rsid w:val="00A911F3"/>
    <w:rsid w:val="00AB758D"/>
    <w:rsid w:val="00AF0DA9"/>
    <w:rsid w:val="00B17B1B"/>
    <w:rsid w:val="00B332F4"/>
    <w:rsid w:val="00B345AF"/>
    <w:rsid w:val="00B42A1F"/>
    <w:rsid w:val="00B44668"/>
    <w:rsid w:val="00B57D6B"/>
    <w:rsid w:val="00B855C6"/>
    <w:rsid w:val="00B858F2"/>
    <w:rsid w:val="00BA348B"/>
    <w:rsid w:val="00BC585D"/>
    <w:rsid w:val="00BD15F4"/>
    <w:rsid w:val="00BE0DB9"/>
    <w:rsid w:val="00BE4CF7"/>
    <w:rsid w:val="00BF6E95"/>
    <w:rsid w:val="00C13536"/>
    <w:rsid w:val="00C32459"/>
    <w:rsid w:val="00C5268D"/>
    <w:rsid w:val="00C70755"/>
    <w:rsid w:val="00C8145D"/>
    <w:rsid w:val="00CA1411"/>
    <w:rsid w:val="00CB58BF"/>
    <w:rsid w:val="00CD7FBB"/>
    <w:rsid w:val="00D1610D"/>
    <w:rsid w:val="00D31F4D"/>
    <w:rsid w:val="00D41F39"/>
    <w:rsid w:val="00D43571"/>
    <w:rsid w:val="00D619BD"/>
    <w:rsid w:val="00D7711B"/>
    <w:rsid w:val="00D8399C"/>
    <w:rsid w:val="00D8637E"/>
    <w:rsid w:val="00D87C06"/>
    <w:rsid w:val="00DA7A7D"/>
    <w:rsid w:val="00DB43E1"/>
    <w:rsid w:val="00DC18C5"/>
    <w:rsid w:val="00DD713D"/>
    <w:rsid w:val="00DF138D"/>
    <w:rsid w:val="00E01FFC"/>
    <w:rsid w:val="00E03399"/>
    <w:rsid w:val="00E03403"/>
    <w:rsid w:val="00E2129F"/>
    <w:rsid w:val="00E27DD9"/>
    <w:rsid w:val="00E35B2D"/>
    <w:rsid w:val="00E6191C"/>
    <w:rsid w:val="00E73086"/>
    <w:rsid w:val="00E7719E"/>
    <w:rsid w:val="00E94640"/>
    <w:rsid w:val="00EA0A6B"/>
    <w:rsid w:val="00EA5069"/>
    <w:rsid w:val="00EB671F"/>
    <w:rsid w:val="00EC17C1"/>
    <w:rsid w:val="00ED3959"/>
    <w:rsid w:val="00F23A1F"/>
    <w:rsid w:val="00F34774"/>
    <w:rsid w:val="00F5237B"/>
    <w:rsid w:val="00F616AD"/>
    <w:rsid w:val="00F74383"/>
    <w:rsid w:val="00F77674"/>
    <w:rsid w:val="00F93DFE"/>
    <w:rsid w:val="00FA1222"/>
    <w:rsid w:val="00FA2468"/>
    <w:rsid w:val="00FD4EFA"/>
    <w:rsid w:val="00FF4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6F35A"/>
  <w15:docId w15:val="{A9CEC5B1-41DD-45F2-97DC-ABB744D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6323F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5</cp:revision>
  <dcterms:created xsi:type="dcterms:W3CDTF">2014-10-28T23:44:00Z</dcterms:created>
  <dcterms:modified xsi:type="dcterms:W3CDTF">2014-10-31T03:58:00Z</dcterms:modified>
</cp:coreProperties>
</file>