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15"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790BCC" w14:paraId="2A263C8C" w14:textId="77777777">
        <w:trPr>
          <w:trHeight w:val="1008"/>
        </w:trPr>
        <w:tc>
          <w:tcPr>
            <w:tcW w:w="1980" w:type="dxa"/>
            <w:shd w:val="clear" w:color="auto" w:fill="385623"/>
            <w:vAlign w:val="center"/>
          </w:tcPr>
          <w:p w14:paraId="7440C337" w14:textId="77777777" w:rsidR="00790BCC" w:rsidRPr="00D31F4D" w:rsidRDefault="00021D28" w:rsidP="00A715FA">
            <w:pPr>
              <w:pStyle w:val="Header-banner"/>
              <w:rPr>
                <w:rFonts w:asciiTheme="minorHAnsi" w:hAnsiTheme="minorHAnsi"/>
              </w:rPr>
            </w:pPr>
            <w:r>
              <w:rPr>
                <w:rFonts w:asciiTheme="minorHAnsi" w:hAnsiTheme="minorHAnsi"/>
              </w:rPr>
              <w:t>11.4.1</w:t>
            </w:r>
          </w:p>
        </w:tc>
        <w:tc>
          <w:tcPr>
            <w:tcW w:w="7380" w:type="dxa"/>
            <w:shd w:val="clear" w:color="auto" w:fill="76923C"/>
            <w:vAlign w:val="center"/>
          </w:tcPr>
          <w:p w14:paraId="738E036C" w14:textId="77777777" w:rsidR="00790BCC" w:rsidRPr="00D31F4D" w:rsidRDefault="00021D28" w:rsidP="00D31F4D">
            <w:pPr>
              <w:pStyle w:val="Header2banner"/>
              <w:rPr>
                <w:rFonts w:asciiTheme="minorHAnsi" w:hAnsiTheme="minorHAnsi"/>
              </w:rPr>
            </w:pPr>
            <w:r>
              <w:rPr>
                <w:rFonts w:asciiTheme="minorHAnsi" w:hAnsiTheme="minorHAnsi"/>
              </w:rPr>
              <w:t>Lesson 1</w:t>
            </w:r>
            <w:r w:rsidR="00860795">
              <w:rPr>
                <w:rFonts w:asciiTheme="minorHAnsi" w:hAnsiTheme="minorHAnsi"/>
              </w:rPr>
              <w:t>0</w:t>
            </w:r>
          </w:p>
        </w:tc>
      </w:tr>
    </w:tbl>
    <w:p w14:paraId="17ED9982" w14:textId="77777777" w:rsidR="00790BCC" w:rsidRPr="00790BCC" w:rsidRDefault="00790BCC" w:rsidP="00D31F4D">
      <w:pPr>
        <w:pStyle w:val="Heading1"/>
      </w:pPr>
      <w:r w:rsidRPr="00790BCC">
        <w:t>Introduction</w:t>
      </w:r>
    </w:p>
    <w:p w14:paraId="1126D11E" w14:textId="77777777" w:rsidR="001F519B" w:rsidRPr="00021D28" w:rsidRDefault="001D7AB7" w:rsidP="00043F3E">
      <w:r>
        <w:t>In this lesson</w:t>
      </w:r>
      <w:r w:rsidR="00A66B0F">
        <w:t>,</w:t>
      </w:r>
      <w:r>
        <w:t xml:space="preserve"> students </w:t>
      </w:r>
      <w:r w:rsidR="00864239">
        <w:t>apply</w:t>
      </w:r>
      <w:r>
        <w:t xml:space="preserve"> their reading and analysis of </w:t>
      </w:r>
      <w:r w:rsidR="00021D28">
        <w:t>“The Red Convertible”</w:t>
      </w:r>
      <w:r w:rsidR="007E2DE6">
        <w:t xml:space="preserve"> from </w:t>
      </w:r>
      <w:r w:rsidR="007E2DE6" w:rsidRPr="006946F3">
        <w:rPr>
          <w:i/>
        </w:rPr>
        <w:t>The Red Convertible</w:t>
      </w:r>
      <w:r w:rsidR="00021D28">
        <w:t xml:space="preserve"> </w:t>
      </w:r>
      <w:r w:rsidR="00F243E9">
        <w:t>by</w:t>
      </w:r>
      <w:r w:rsidR="00021D28">
        <w:t xml:space="preserve"> analyz</w:t>
      </w:r>
      <w:r w:rsidR="00F243E9">
        <w:t>ing</w:t>
      </w:r>
      <w:r w:rsidR="00021D28">
        <w:t xml:space="preserve"> the aesthetic impact of Erdrich’s choices in structuring the text. Students consider how the decision to provide information about the ending of the story in the first paragraph impacts the reader’s understanding of the story as a whole. After briefly responding in writing, students participate in a </w:t>
      </w:r>
      <w:r w:rsidR="00FE5B20">
        <w:t>whole</w:t>
      </w:r>
      <w:r w:rsidR="00F0130B">
        <w:t>-</w:t>
      </w:r>
      <w:r w:rsidR="00021D28">
        <w:t xml:space="preserve">class discussion </w:t>
      </w:r>
      <w:r w:rsidR="00864239">
        <w:t>about</w:t>
      </w:r>
      <w:r w:rsidR="00021D28">
        <w:t xml:space="preserve"> their responses </w:t>
      </w:r>
      <w:r w:rsidR="00864239">
        <w:t xml:space="preserve">regarding </w:t>
      </w:r>
      <w:r w:rsidR="00021D28">
        <w:t xml:space="preserve">the aesthetic impact of the structural choices made in the text. </w:t>
      </w:r>
      <w:r w:rsidR="00734BD3">
        <w:rPr>
          <w:rFonts w:asciiTheme="minorHAnsi" w:hAnsiTheme="minorHAnsi" w:cs="Arial"/>
          <w:color w:val="000000"/>
          <w:shd w:val="clear" w:color="auto" w:fill="FFFFFF"/>
        </w:rPr>
        <w:t xml:space="preserve">Student learning is assessed via a Quick Write </w:t>
      </w:r>
      <w:r w:rsidR="00EC2911" w:rsidRPr="004D6DD7">
        <w:t>at the end of the lesson</w:t>
      </w:r>
      <w:r w:rsidR="00734BD3">
        <w:rPr>
          <w:rFonts w:asciiTheme="minorHAnsi" w:hAnsiTheme="minorHAnsi" w:cs="Arial"/>
          <w:color w:val="000000"/>
          <w:shd w:val="clear" w:color="auto" w:fill="FFFFFF"/>
        </w:rPr>
        <w:t xml:space="preserve">: </w:t>
      </w:r>
      <w:r w:rsidR="00734BD3" w:rsidRPr="00021D28">
        <w:t>How does Erdrich structure the text? How does the structure contribute to the aesthetic impact of the text?</w:t>
      </w:r>
    </w:p>
    <w:p w14:paraId="19312AEA" w14:textId="77777777" w:rsidR="00790BCC" w:rsidRPr="00021D28" w:rsidRDefault="001D7AB7" w:rsidP="00043F3E">
      <w:r>
        <w:t>For homework</w:t>
      </w:r>
      <w:r w:rsidR="00DF6CA2">
        <w:t>,</w:t>
      </w:r>
      <w:r>
        <w:t xml:space="preserve"> students </w:t>
      </w:r>
      <w:r w:rsidR="00C61C96">
        <w:t>write a response analyzing</w:t>
      </w:r>
      <w:r w:rsidR="00860795">
        <w:t xml:space="preserve"> how Erdrich </w:t>
      </w:r>
      <w:r w:rsidR="006907E1">
        <w:t>uses</w:t>
      </w:r>
      <w:r w:rsidR="00B35FC0">
        <w:t xml:space="preserve"> the components of W.11-12.3.a in</w:t>
      </w:r>
      <w:r w:rsidR="00860795">
        <w:t xml:space="preserve"> the o</w:t>
      </w:r>
      <w:r w:rsidR="00E34EBC">
        <w:t>pening of “The Red Convertible,</w:t>
      </w:r>
      <w:r w:rsidR="00B35FC0">
        <w:t>”</w:t>
      </w:r>
      <w:r w:rsidR="00E34EBC">
        <w:rPr>
          <w:rFonts w:asciiTheme="minorHAnsi" w:hAnsiTheme="minorHAnsi" w:cs="Arial"/>
          <w:color w:val="000000"/>
          <w:shd w:val="clear" w:color="auto" w:fill="FFFFFF"/>
        </w:rPr>
        <w:t xml:space="preserve"> as well as continue Accountable Independent Reading (AIR).</w:t>
      </w:r>
    </w:p>
    <w:p w14:paraId="0E4823A2" w14:textId="77777777" w:rsidR="00790BCC" w:rsidRPr="00790BCC" w:rsidRDefault="00790BCC" w:rsidP="004111DE">
      <w:pPr>
        <w:pStyle w:val="Heading1"/>
        <w:spacing w:before="360"/>
      </w:pPr>
      <w:r w:rsidRPr="00790BCC">
        <w:t xml:space="preserve">Standards </w:t>
      </w:r>
    </w:p>
    <w:tbl>
      <w:tblPr>
        <w:tblW w:w="936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466"/>
        <w:gridCol w:w="7894"/>
      </w:tblGrid>
      <w:tr w:rsidR="00790BCC" w:rsidRPr="00790BCC" w14:paraId="0CAE17B4" w14:textId="77777777">
        <w:tc>
          <w:tcPr>
            <w:tcW w:w="9360" w:type="dxa"/>
            <w:gridSpan w:val="2"/>
            <w:shd w:val="clear" w:color="auto" w:fill="76923C"/>
          </w:tcPr>
          <w:p w14:paraId="008BC26A" w14:textId="77777777" w:rsidR="00790BCC" w:rsidRPr="00790BCC" w:rsidRDefault="00790BCC" w:rsidP="007017EB">
            <w:pPr>
              <w:pStyle w:val="TableHeaders"/>
            </w:pPr>
            <w:r w:rsidRPr="00790BCC">
              <w:t>Assessed Standard(s)</w:t>
            </w:r>
          </w:p>
        </w:tc>
      </w:tr>
      <w:tr w:rsidR="00021D28" w:rsidRPr="00790BCC" w14:paraId="6431EC8E" w14:textId="77777777">
        <w:tc>
          <w:tcPr>
            <w:tcW w:w="1466" w:type="dxa"/>
          </w:tcPr>
          <w:p w14:paraId="0DD01AE7" w14:textId="77777777" w:rsidR="00021D28" w:rsidRPr="00A734A4" w:rsidRDefault="00021D28" w:rsidP="00A734A4">
            <w:pPr>
              <w:pStyle w:val="TableText"/>
            </w:pPr>
            <w:r>
              <w:t>RL.11-12.5</w:t>
            </w:r>
          </w:p>
        </w:tc>
        <w:tc>
          <w:tcPr>
            <w:tcW w:w="7894" w:type="dxa"/>
          </w:tcPr>
          <w:p w14:paraId="03A4CBFA" w14:textId="77777777" w:rsidR="00021D28" w:rsidRPr="00860C51" w:rsidRDefault="00021D28" w:rsidP="00EC2911">
            <w:pPr>
              <w:pStyle w:val="TableText"/>
            </w:pPr>
            <w:r w:rsidRPr="00021D28">
              <w:t>Analyze how an author's choices concerning how to structure specific parts of a text (e.g., the choice of where to begin or end a story, the choice to provide a comedic or tragic resolution) contribute to its overall structure and meaning as well as its aesthetic impact.</w:t>
            </w:r>
          </w:p>
        </w:tc>
      </w:tr>
      <w:tr w:rsidR="009276E7" w:rsidRPr="00790BCC" w14:paraId="22ECD3C1" w14:textId="77777777">
        <w:tc>
          <w:tcPr>
            <w:tcW w:w="9360" w:type="dxa"/>
            <w:gridSpan w:val="2"/>
            <w:shd w:val="clear" w:color="auto" w:fill="76923C"/>
          </w:tcPr>
          <w:p w14:paraId="6A4CE4A7" w14:textId="77777777" w:rsidR="009276E7" w:rsidRPr="00790BCC" w:rsidRDefault="009276E7" w:rsidP="009276E7">
            <w:pPr>
              <w:pStyle w:val="TableHeaders"/>
            </w:pPr>
            <w:r w:rsidRPr="00790BCC">
              <w:t>Addressed Standard(s)</w:t>
            </w:r>
          </w:p>
        </w:tc>
      </w:tr>
      <w:tr w:rsidR="00811334" w:rsidRPr="00790BCC" w14:paraId="2D788B72" w14:textId="77777777">
        <w:tc>
          <w:tcPr>
            <w:tcW w:w="1466" w:type="dxa"/>
          </w:tcPr>
          <w:p w14:paraId="72845AF7" w14:textId="77777777" w:rsidR="00811334" w:rsidRDefault="00811334" w:rsidP="00811334">
            <w:pPr>
              <w:pStyle w:val="TableText"/>
            </w:pPr>
            <w:r>
              <w:t>W.11-12.9.a</w:t>
            </w:r>
          </w:p>
        </w:tc>
        <w:tc>
          <w:tcPr>
            <w:tcW w:w="7894" w:type="dxa"/>
          </w:tcPr>
          <w:p w14:paraId="5AA2BD59" w14:textId="77777777" w:rsidR="00811334" w:rsidRDefault="00811334" w:rsidP="00811334">
            <w:pPr>
              <w:pStyle w:val="TableText"/>
            </w:pPr>
            <w:r w:rsidRPr="00C863F7">
              <w:t>Draw evidence from literary or informational texts to su</w:t>
            </w:r>
            <w:r>
              <w:t xml:space="preserve">pport analysis, reflection, and </w:t>
            </w:r>
            <w:r w:rsidRPr="00C863F7">
              <w:t>research.</w:t>
            </w:r>
          </w:p>
          <w:p w14:paraId="3046F6D8" w14:textId="77777777" w:rsidR="00811334" w:rsidRPr="00F7509A" w:rsidRDefault="00811334" w:rsidP="00D83754">
            <w:pPr>
              <w:pStyle w:val="SubStandard"/>
            </w:pPr>
            <w:r w:rsidRPr="008D6277">
              <w:t xml:space="preserve">Apply </w:t>
            </w:r>
            <w:r w:rsidRPr="00BC3916">
              <w:rPr>
                <w:i/>
              </w:rPr>
              <w:t>grades 11</w:t>
            </w:r>
            <w:r>
              <w:rPr>
                <w:i/>
              </w:rPr>
              <w:t>–</w:t>
            </w:r>
            <w:r w:rsidRPr="00BC3916">
              <w:rPr>
                <w:i/>
              </w:rPr>
              <w:t xml:space="preserve">12 Reading standards </w:t>
            </w:r>
            <w:r w:rsidRPr="00C863F7">
              <w:t>to literature (e.g., "Demonstrate knowledge of eighteenth-, nineteenth- and early-twentieth-century foundational works of American literature, including how two or more texts from the same period treat similar themes or topics").</w:t>
            </w:r>
          </w:p>
        </w:tc>
      </w:tr>
      <w:tr w:rsidR="00811334" w:rsidRPr="00790BCC" w14:paraId="6B040F90" w14:textId="77777777">
        <w:tc>
          <w:tcPr>
            <w:tcW w:w="1466" w:type="dxa"/>
          </w:tcPr>
          <w:p w14:paraId="048A5921" w14:textId="77777777" w:rsidR="00811334" w:rsidRDefault="00811334" w:rsidP="00811334">
            <w:pPr>
              <w:pStyle w:val="TableText"/>
            </w:pPr>
            <w:r>
              <w:t>SL.11-12.1.a, c, d</w:t>
            </w:r>
          </w:p>
        </w:tc>
        <w:tc>
          <w:tcPr>
            <w:tcW w:w="7894" w:type="dxa"/>
          </w:tcPr>
          <w:p w14:paraId="4A89E9C1" w14:textId="77777777" w:rsidR="00811334" w:rsidRDefault="00811334" w:rsidP="00811334">
            <w:pPr>
              <w:pStyle w:val="TableText"/>
            </w:pPr>
            <w:r w:rsidRPr="00F7509A">
              <w:t xml:space="preserve">Initiate and participate effectively in a range of collaborative discussions (one-on-one, in groups, and teacher-led) with diverse partners </w:t>
            </w:r>
            <w:r w:rsidRPr="008D6277">
              <w:rPr>
                <w:i/>
              </w:rPr>
              <w:t>on grades 11–12 topics, texts, and issues</w:t>
            </w:r>
            <w:r w:rsidRPr="00F7509A">
              <w:t>, building on others' ideas and expressing their own clearly and persuasively.</w:t>
            </w:r>
          </w:p>
          <w:p w14:paraId="27D975BE" w14:textId="77777777" w:rsidR="00811334" w:rsidRDefault="00811334" w:rsidP="00D83754">
            <w:pPr>
              <w:pStyle w:val="SubStandard"/>
              <w:numPr>
                <w:ilvl w:val="0"/>
                <w:numId w:val="49"/>
              </w:numPr>
            </w:pPr>
            <w:r w:rsidRPr="00F7509A">
              <w:t xml:space="preserve">Come to discussions prepared, having read and researched material under study; </w:t>
            </w:r>
            <w:r w:rsidRPr="00F7509A">
              <w:lastRenderedPageBreak/>
              <w:t>explicitly draw on that preparation by referring to evidence from texts and other research on the topic or issue to stimulate a thoughtful, well-reasoned exchange of ideas.</w:t>
            </w:r>
          </w:p>
          <w:p w14:paraId="5C86D1B0" w14:textId="77777777" w:rsidR="00811334" w:rsidRDefault="00811334" w:rsidP="00811334">
            <w:pPr>
              <w:pStyle w:val="SubStandard"/>
              <w:numPr>
                <w:ilvl w:val="0"/>
                <w:numId w:val="47"/>
              </w:numPr>
              <w:rPr>
                <w:b/>
                <w:bCs/>
                <w:i/>
                <w:iCs/>
                <w:color w:val="404040" w:themeColor="text1" w:themeTint="BF"/>
                <w:sz w:val="20"/>
                <w:szCs w:val="20"/>
              </w:rPr>
            </w:pPr>
            <w:r w:rsidRPr="00F7509A">
              <w:t>Propel conversations by posing and responding to questions that probe reasoning and evidence; ensure a hearing for a full range of positions on a topic or issue; clarify, verify, or challenge ideas and conclusions; and promote divergent and creative perspectives.</w:t>
            </w:r>
          </w:p>
          <w:p w14:paraId="3B273AB5" w14:textId="77777777" w:rsidR="00811334" w:rsidRDefault="00811334" w:rsidP="00811334">
            <w:pPr>
              <w:pStyle w:val="SubStandard"/>
            </w:pPr>
            <w:r w:rsidRPr="00F7509A">
              <w:t>Respond thoughtfully to diverse perspectives; synthesize comments, claims, and evidence made on all sides of an issue; resolve contradictions when possible; and determine what additional information or research is required to deepen the investigation or complete the task.</w:t>
            </w:r>
          </w:p>
        </w:tc>
      </w:tr>
    </w:tbl>
    <w:p w14:paraId="15D5F10A" w14:textId="77777777" w:rsidR="00790BCC" w:rsidRPr="00790BCC" w:rsidRDefault="00790BCC" w:rsidP="00D31F4D">
      <w:pPr>
        <w:pStyle w:val="Heading1"/>
      </w:pPr>
      <w:r w:rsidRPr="00790BCC">
        <w:lastRenderedPageBreak/>
        <w:t>Assessment</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7367B02F" w14:textId="77777777">
        <w:tc>
          <w:tcPr>
            <w:tcW w:w="9360" w:type="dxa"/>
            <w:shd w:val="clear" w:color="auto" w:fill="76923C"/>
          </w:tcPr>
          <w:p w14:paraId="4B8CCB7F" w14:textId="77777777" w:rsidR="00790BCC" w:rsidRPr="00790BCC" w:rsidRDefault="00790BCC" w:rsidP="007017EB">
            <w:pPr>
              <w:pStyle w:val="TableHeaders"/>
            </w:pPr>
            <w:r w:rsidRPr="00790BCC">
              <w:t>Assessment(s)</w:t>
            </w:r>
          </w:p>
        </w:tc>
      </w:tr>
      <w:tr w:rsidR="00790BCC" w:rsidRPr="00790BCC" w14:paraId="108B2998" w14:textId="77777777">
        <w:tc>
          <w:tcPr>
            <w:tcW w:w="9360" w:type="dxa"/>
            <w:tcBorders>
              <w:top w:val="single" w:sz="4" w:space="0" w:color="auto"/>
              <w:left w:val="single" w:sz="4" w:space="0" w:color="auto"/>
              <w:bottom w:val="single" w:sz="4" w:space="0" w:color="auto"/>
              <w:right w:val="single" w:sz="4" w:space="0" w:color="auto"/>
            </w:tcBorders>
          </w:tcPr>
          <w:p w14:paraId="6BDEEE3D" w14:textId="77777777" w:rsidR="008D03D6" w:rsidRPr="00790BCC" w:rsidRDefault="008D03D6" w:rsidP="008D03D6">
            <w:pPr>
              <w:pStyle w:val="TableText"/>
            </w:pPr>
            <w:r w:rsidRPr="004D6DD7">
              <w:t>Student learning is assessed via a Quick Write at the end of the lesson. Students respond to the following prompt, citing textual evidence to support analysis and inferences drawn from the text.</w:t>
            </w:r>
          </w:p>
          <w:p w14:paraId="62667B0A" w14:textId="77777777" w:rsidR="00E32A48" w:rsidRPr="00790BCC" w:rsidRDefault="00021D28" w:rsidP="008D03D6">
            <w:pPr>
              <w:pStyle w:val="BulletedList"/>
            </w:pPr>
            <w:r w:rsidRPr="00021D28">
              <w:t>How does Erdrich structure the text? How does the structure contribute to the aesthetic impact of the text?</w:t>
            </w:r>
          </w:p>
        </w:tc>
      </w:tr>
      <w:tr w:rsidR="00790BCC" w:rsidRPr="00790BCC" w14:paraId="0D195C8E" w14:textId="77777777">
        <w:tc>
          <w:tcPr>
            <w:tcW w:w="9360" w:type="dxa"/>
            <w:shd w:val="clear" w:color="auto" w:fill="76923C"/>
          </w:tcPr>
          <w:p w14:paraId="45C76278" w14:textId="77777777" w:rsidR="00790BCC" w:rsidRPr="00790BCC" w:rsidRDefault="00790BCC" w:rsidP="007017EB">
            <w:pPr>
              <w:pStyle w:val="TableHeaders"/>
            </w:pPr>
            <w:r w:rsidRPr="00790BCC">
              <w:t>High Performance Response(s)</w:t>
            </w:r>
          </w:p>
        </w:tc>
      </w:tr>
      <w:tr w:rsidR="00790BCC" w:rsidRPr="00790BCC" w14:paraId="14F9F056" w14:textId="77777777">
        <w:tc>
          <w:tcPr>
            <w:tcW w:w="9360" w:type="dxa"/>
          </w:tcPr>
          <w:p w14:paraId="21006797" w14:textId="77777777" w:rsidR="00790BCC" w:rsidRPr="00790BCC" w:rsidRDefault="00790BCC" w:rsidP="00D31F4D">
            <w:pPr>
              <w:pStyle w:val="TableText"/>
            </w:pPr>
            <w:r w:rsidRPr="00790BCC">
              <w:t>A High Performance Response should:</w:t>
            </w:r>
          </w:p>
          <w:p w14:paraId="2792C195" w14:textId="6CEC811D" w:rsidR="00D73BD7" w:rsidRDefault="006B271D" w:rsidP="00DF6CA2">
            <w:pPr>
              <w:pStyle w:val="BulletedList"/>
            </w:pPr>
            <w:r>
              <w:t>Determine</w:t>
            </w:r>
            <w:r w:rsidR="0047504E">
              <w:t xml:space="preserve"> </w:t>
            </w:r>
            <w:r w:rsidR="002843AC">
              <w:t xml:space="preserve">Erdrich’s </w:t>
            </w:r>
            <w:r w:rsidR="0047504E">
              <w:t>structural choices in “The Red Convertible” (e.g.,</w:t>
            </w:r>
            <w:r w:rsidR="003F0B4F">
              <w:t xml:space="preserve"> Erdrich chooses to structure “The Red Convertible” through the repetition of key phrases and images like Stephan’s “boots filled with water” (p. 1)</w:t>
            </w:r>
            <w:r w:rsidR="00FE5B20">
              <w:t xml:space="preserve"> at the beginning of the text</w:t>
            </w:r>
            <w:r w:rsidR="003F0B4F">
              <w:t xml:space="preserve"> and “</w:t>
            </w:r>
            <w:r w:rsidR="004924E6">
              <w:t>‘[</w:t>
            </w:r>
            <w:r w:rsidR="003F0B4F">
              <w:t>m</w:t>
            </w:r>
            <w:r w:rsidR="004924E6">
              <w:t>]</w:t>
            </w:r>
            <w:r w:rsidR="003F0B4F">
              <w:t>y boots are filling</w:t>
            </w:r>
            <w:r w:rsidR="004924E6">
              <w:t>’</w:t>
            </w:r>
            <w:r w:rsidR="003F0B4F">
              <w:t>” (p. 10) at</w:t>
            </w:r>
            <w:r w:rsidR="00FE5B20">
              <w:t xml:space="preserve"> the</w:t>
            </w:r>
            <w:r w:rsidR="003F0B4F">
              <w:t xml:space="preserve"> ending of the text</w:t>
            </w:r>
            <w:r w:rsidR="00CB049D">
              <w:t>.)</w:t>
            </w:r>
            <w:r w:rsidR="006A030D">
              <w:t>.</w:t>
            </w:r>
          </w:p>
          <w:p w14:paraId="44192DAC" w14:textId="520AC128" w:rsidR="0047504E" w:rsidRPr="00790BCC" w:rsidRDefault="0047504E" w:rsidP="00721CC7">
            <w:pPr>
              <w:pStyle w:val="BulletedList"/>
            </w:pPr>
            <w:r>
              <w:t>Analyze how these structural choices contribute to the aesthetic impact of the text (e.g.,</w:t>
            </w:r>
            <w:r w:rsidR="003F0B4F">
              <w:t xml:space="preserve"> </w:t>
            </w:r>
            <w:r w:rsidR="00CB049D">
              <w:t>Erdrich’s</w:t>
            </w:r>
            <w:r w:rsidR="003F0B4F">
              <w:t xml:space="preserve"> choices</w:t>
            </w:r>
            <w:r w:rsidR="00CB049D">
              <w:t xml:space="preserve"> about where to begin and end the story</w:t>
            </w:r>
            <w:r w:rsidR="003F0B4F">
              <w:t xml:space="preserve"> heighten the beauty and tragedy of the text, since they create the sense of an aesthetic whole</w:t>
            </w:r>
            <w:r w:rsidR="00562BE4">
              <w:t xml:space="preserve"> or a text that comes full circle</w:t>
            </w:r>
            <w:r w:rsidR="003F0B4F">
              <w:t xml:space="preserve">. </w:t>
            </w:r>
            <w:r w:rsidR="00A74A5B">
              <w:t xml:space="preserve">For example, </w:t>
            </w:r>
            <w:r w:rsidR="00712275">
              <w:t xml:space="preserve">Erdrich uses </w:t>
            </w:r>
            <w:r w:rsidR="0039053D">
              <w:t xml:space="preserve">euphemism </w:t>
            </w:r>
            <w:r w:rsidR="00712275">
              <w:t>to structure the</w:t>
            </w:r>
            <w:r w:rsidR="00A74A5B">
              <w:t xml:space="preserve"> beginning of the</w:t>
            </w:r>
            <w:r w:rsidR="00712275">
              <w:t xml:space="preserve"> story, since the reader does not necessarily understand the full implication of “he bought out my share” until the story finishes</w:t>
            </w:r>
            <w:r w:rsidR="00310F25">
              <w:t xml:space="preserve"> (p. 1)</w:t>
            </w:r>
            <w:r w:rsidR="00712275">
              <w:t>.</w:t>
            </w:r>
            <w:r w:rsidR="0039053D">
              <w:t xml:space="preserve"> The phrase “he bought out my share” seems to mean that Steph</w:t>
            </w:r>
            <w:r w:rsidR="006343CB">
              <w:t>a</w:t>
            </w:r>
            <w:r w:rsidR="0039053D">
              <w:t>n purchased the car from Marty, but once the story is finished the reader realizes it implies Steph</w:t>
            </w:r>
            <w:r w:rsidR="006343CB">
              <w:t>a</w:t>
            </w:r>
            <w:r w:rsidR="0039053D">
              <w:t>n’s death.</w:t>
            </w:r>
            <w:r w:rsidR="00712275">
              <w:t xml:space="preserve"> Then the reader understands that the tragic resolution of the story is that Stephan is dead and the car is in the river.</w:t>
            </w:r>
            <w:r w:rsidR="008D10ED">
              <w:t xml:space="preserve"> The circular narration</w:t>
            </w:r>
            <w:r w:rsidR="008D03D6">
              <w:t xml:space="preserve"> also creates a tragic resolution through the delayed understanding</w:t>
            </w:r>
            <w:r w:rsidR="00A74A5B">
              <w:t xml:space="preserve"> of Stephan’s fate</w:t>
            </w:r>
            <w:r w:rsidR="008D03D6">
              <w:t xml:space="preserve">, as the reader finishes the story and then can go back </w:t>
            </w:r>
            <w:r w:rsidR="002843AC">
              <w:t xml:space="preserve">with a </w:t>
            </w:r>
            <w:r w:rsidR="002843AC">
              <w:lastRenderedPageBreak/>
              <w:t>more</w:t>
            </w:r>
            <w:r w:rsidR="008D03D6">
              <w:t xml:space="preserve"> complex understanding of the first paragraph</w:t>
            </w:r>
            <w:r w:rsidR="00A74A5B">
              <w:t xml:space="preserve"> to understand</w:t>
            </w:r>
            <w:r w:rsidR="00562BE4">
              <w:t xml:space="preserve"> figurative</w:t>
            </w:r>
            <w:r w:rsidR="00A74A5B">
              <w:t xml:space="preserve"> statements like “Stephan owns the whole car”</w:t>
            </w:r>
            <w:r w:rsidR="0007467D">
              <w:t xml:space="preserve"> (p. 1)</w:t>
            </w:r>
            <w:r w:rsidR="006A030D">
              <w:t>.</w:t>
            </w:r>
            <w:r>
              <w:t>)</w:t>
            </w:r>
            <w:r w:rsidR="00860795">
              <w:t>.</w:t>
            </w:r>
          </w:p>
        </w:tc>
      </w:tr>
    </w:tbl>
    <w:p w14:paraId="5385C658" w14:textId="77777777" w:rsidR="00790BCC" w:rsidRPr="00790BCC" w:rsidRDefault="00790BCC" w:rsidP="00B722B8">
      <w:pPr>
        <w:pStyle w:val="Heading1"/>
      </w:pPr>
      <w:r w:rsidRPr="00341F48">
        <w:lastRenderedPageBreak/>
        <w:t>Vocabulary</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617B59E3" w14:textId="77777777">
        <w:trPr>
          <w:trHeight w:val="337"/>
        </w:trPr>
        <w:tc>
          <w:tcPr>
            <w:tcW w:w="9434" w:type="dxa"/>
            <w:shd w:val="clear" w:color="auto" w:fill="76923C"/>
          </w:tcPr>
          <w:p w14:paraId="4E16F329" w14:textId="77777777" w:rsidR="00790BCC" w:rsidRPr="00790BCC" w:rsidRDefault="00790BCC" w:rsidP="00D31F4D">
            <w:pPr>
              <w:pStyle w:val="TableHeaders"/>
            </w:pPr>
            <w:r w:rsidRPr="00790BCC">
              <w:t>Vocabulary to provide directly (will not include extended instruction)</w:t>
            </w:r>
          </w:p>
        </w:tc>
      </w:tr>
      <w:tr w:rsidR="00790BCC" w:rsidRPr="00790BCC" w14:paraId="755B5E12" w14:textId="77777777">
        <w:trPr>
          <w:trHeight w:val="425"/>
        </w:trPr>
        <w:tc>
          <w:tcPr>
            <w:tcW w:w="9434" w:type="dxa"/>
          </w:tcPr>
          <w:p w14:paraId="54344C2E" w14:textId="77777777" w:rsidR="00790BCC" w:rsidRPr="00790BCC" w:rsidRDefault="00860C51" w:rsidP="00D31F4D">
            <w:pPr>
              <w:pStyle w:val="BulletedList"/>
            </w:pPr>
            <w:r>
              <w:t>None.*</w:t>
            </w:r>
          </w:p>
        </w:tc>
      </w:tr>
      <w:tr w:rsidR="00790BCC" w:rsidRPr="00790BCC" w14:paraId="7B892F83" w14:textId="77777777">
        <w:trPr>
          <w:trHeight w:val="337"/>
        </w:trPr>
        <w:tc>
          <w:tcPr>
            <w:tcW w:w="9434" w:type="dxa"/>
            <w:shd w:val="clear" w:color="auto" w:fill="76923C"/>
          </w:tcPr>
          <w:p w14:paraId="4D34BED1" w14:textId="77777777" w:rsidR="00790BCC" w:rsidRPr="00790BCC" w:rsidRDefault="00790BCC" w:rsidP="00D31F4D">
            <w:pPr>
              <w:pStyle w:val="TableHeaders"/>
            </w:pPr>
            <w:r w:rsidRPr="00790BCC">
              <w:t>Vocabulary to teach (may include direct word work and/or questions)</w:t>
            </w:r>
          </w:p>
        </w:tc>
      </w:tr>
      <w:tr w:rsidR="00790BCC" w:rsidRPr="00790BCC" w14:paraId="2745EB0C" w14:textId="77777777">
        <w:trPr>
          <w:trHeight w:val="439"/>
        </w:trPr>
        <w:tc>
          <w:tcPr>
            <w:tcW w:w="9434" w:type="dxa"/>
          </w:tcPr>
          <w:p w14:paraId="58F0C1C1" w14:textId="77777777" w:rsidR="00790BCC" w:rsidRPr="00790BCC" w:rsidRDefault="00860C51" w:rsidP="00D31F4D">
            <w:pPr>
              <w:pStyle w:val="BulletedList"/>
            </w:pPr>
            <w:r>
              <w:t>None.*</w:t>
            </w:r>
          </w:p>
        </w:tc>
      </w:tr>
      <w:tr w:rsidR="00790BCC" w:rsidRPr="00790BCC" w14:paraId="62028EA4" w14:textId="77777777">
        <w:trPr>
          <w:trHeight w:val="337"/>
        </w:trPr>
        <w:tc>
          <w:tcPr>
            <w:tcW w:w="9434" w:type="dxa"/>
            <w:tcBorders>
              <w:top w:val="single" w:sz="4" w:space="0" w:color="auto"/>
              <w:left w:val="single" w:sz="4" w:space="0" w:color="auto"/>
              <w:bottom w:val="single" w:sz="4" w:space="0" w:color="auto"/>
              <w:right w:val="single" w:sz="4" w:space="0" w:color="auto"/>
            </w:tcBorders>
            <w:shd w:val="clear" w:color="auto" w:fill="76923C"/>
          </w:tcPr>
          <w:p w14:paraId="4056EE58" w14:textId="77777777" w:rsidR="00790BCC" w:rsidRPr="00790BCC" w:rsidRDefault="00790BCC" w:rsidP="00D31F4D">
            <w:pPr>
              <w:pStyle w:val="TableHeaders"/>
            </w:pPr>
            <w:r w:rsidRPr="00790BCC">
              <w:t>Additional vocabulary to support English Language Learners (to provide directly)</w:t>
            </w:r>
          </w:p>
        </w:tc>
      </w:tr>
      <w:tr w:rsidR="00790BCC" w:rsidRPr="00790BCC" w14:paraId="530D9FC0" w14:textId="77777777">
        <w:trPr>
          <w:trHeight w:val="425"/>
        </w:trPr>
        <w:tc>
          <w:tcPr>
            <w:tcW w:w="9434" w:type="dxa"/>
            <w:tcBorders>
              <w:top w:val="single" w:sz="4" w:space="0" w:color="auto"/>
              <w:left w:val="single" w:sz="4" w:space="0" w:color="auto"/>
              <w:bottom w:val="single" w:sz="4" w:space="0" w:color="auto"/>
              <w:right w:val="single" w:sz="4" w:space="0" w:color="auto"/>
            </w:tcBorders>
          </w:tcPr>
          <w:p w14:paraId="17272044" w14:textId="77777777" w:rsidR="00790BCC" w:rsidRPr="00790BCC" w:rsidRDefault="00860C51" w:rsidP="00D31F4D">
            <w:pPr>
              <w:pStyle w:val="BulletedList"/>
            </w:pPr>
            <w:r>
              <w:t>None.*</w:t>
            </w:r>
          </w:p>
        </w:tc>
      </w:tr>
    </w:tbl>
    <w:p w14:paraId="4CB67ACA" w14:textId="1CF180D5" w:rsidR="00080329" w:rsidRPr="00721CC7" w:rsidRDefault="00080329" w:rsidP="00080329">
      <w:pPr>
        <w:rPr>
          <w:sz w:val="18"/>
        </w:rPr>
      </w:pPr>
      <w:r w:rsidRPr="00080329">
        <w:rPr>
          <w:sz w:val="18"/>
        </w:rPr>
        <w:t>*Because this is not a close reading lesson, there is no specified vocabulary. However, in the process of returning to the text, students may uncover unfamiliar words. Teachers can guide students to make meaning of these words by following the protocols described in 1</w:t>
      </w:r>
      <w:r w:rsidR="00E65C12">
        <w:rPr>
          <w:sz w:val="18"/>
        </w:rPr>
        <w:t>e</w:t>
      </w:r>
      <w:r w:rsidRPr="00080329">
        <w:rPr>
          <w:sz w:val="18"/>
        </w:rPr>
        <w:t xml:space="preserve"> of this document</w:t>
      </w:r>
      <w:r w:rsidR="002A6D17">
        <w:rPr>
          <w:sz w:val="18"/>
        </w:rPr>
        <w:t>:</w:t>
      </w:r>
      <w:r w:rsidRPr="00080329">
        <w:rPr>
          <w:sz w:val="18"/>
        </w:rPr>
        <w:t xml:space="preserve"> </w:t>
      </w:r>
      <w:hyperlink r:id="rId7" w:history="1">
        <w:r w:rsidRPr="00A70B80">
          <w:rPr>
            <w:rStyle w:val="Hyperlink"/>
            <w:bCs/>
            <w:sz w:val="18"/>
          </w:rPr>
          <w:t>http://www.engageny.org/sites/default/files/resource/attachments/9-12_ela_prefatory_material.pdf</w:t>
        </w:r>
      </w:hyperlink>
      <w:r w:rsidR="00FD7F1C" w:rsidRPr="00A70B80">
        <w:rPr>
          <w:rStyle w:val="Hyperlink"/>
          <w:bCs/>
          <w:color w:val="auto"/>
          <w:sz w:val="18"/>
          <w:u w:val="none"/>
        </w:rPr>
        <w:t>.</w:t>
      </w:r>
    </w:p>
    <w:p w14:paraId="0F9182C2" w14:textId="77777777" w:rsidR="006013EF" w:rsidRDefault="00790BCC" w:rsidP="00A70B80">
      <w:pPr>
        <w:pStyle w:val="Heading1"/>
      </w:pPr>
      <w:r w:rsidRPr="00790BCC">
        <w:t>Lesson Agenda/Overview</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5"/>
      </w:tblGrid>
      <w:tr w:rsidR="00790BCC" w:rsidRPr="00790BCC" w14:paraId="46354929" w14:textId="77777777">
        <w:tc>
          <w:tcPr>
            <w:tcW w:w="7650" w:type="dxa"/>
            <w:tcBorders>
              <w:bottom w:val="single" w:sz="4" w:space="0" w:color="auto"/>
            </w:tcBorders>
            <w:shd w:val="clear" w:color="auto" w:fill="76923C"/>
          </w:tcPr>
          <w:p w14:paraId="5C520B1D" w14:textId="77777777" w:rsidR="00790BCC" w:rsidRPr="00790BCC" w:rsidRDefault="00790BCC" w:rsidP="00D31F4D">
            <w:pPr>
              <w:pStyle w:val="TableHeaders"/>
            </w:pPr>
            <w:r w:rsidRPr="00790BCC">
              <w:t>Student-Facing Agenda</w:t>
            </w:r>
          </w:p>
        </w:tc>
        <w:tc>
          <w:tcPr>
            <w:tcW w:w="1705" w:type="dxa"/>
            <w:tcBorders>
              <w:bottom w:val="single" w:sz="4" w:space="0" w:color="auto"/>
            </w:tcBorders>
            <w:shd w:val="clear" w:color="auto" w:fill="76923C"/>
          </w:tcPr>
          <w:p w14:paraId="5281520B" w14:textId="77777777" w:rsidR="00790BCC" w:rsidRPr="00790BCC" w:rsidRDefault="00790BCC" w:rsidP="00D31F4D">
            <w:pPr>
              <w:pStyle w:val="TableHeaders"/>
            </w:pPr>
            <w:r w:rsidRPr="00790BCC">
              <w:t>% of Lesson</w:t>
            </w:r>
          </w:p>
        </w:tc>
      </w:tr>
      <w:tr w:rsidR="00790BCC" w:rsidRPr="00790BCC" w14:paraId="63785CC1" w14:textId="77777777">
        <w:trPr>
          <w:trHeight w:val="1313"/>
        </w:trPr>
        <w:tc>
          <w:tcPr>
            <w:tcW w:w="7650" w:type="dxa"/>
            <w:tcBorders>
              <w:bottom w:val="nil"/>
            </w:tcBorders>
          </w:tcPr>
          <w:p w14:paraId="05448995" w14:textId="77777777" w:rsidR="00790BCC" w:rsidRPr="00D31F4D" w:rsidRDefault="00790BCC" w:rsidP="00D31F4D">
            <w:pPr>
              <w:pStyle w:val="TableText"/>
              <w:rPr>
                <w:b/>
              </w:rPr>
            </w:pPr>
            <w:r w:rsidRPr="00D31F4D">
              <w:rPr>
                <w:b/>
              </w:rPr>
              <w:t>Standards &amp; Text:</w:t>
            </w:r>
          </w:p>
          <w:p w14:paraId="315ECAE2" w14:textId="6A89F69C" w:rsidR="00790BCC" w:rsidRPr="00790BCC" w:rsidRDefault="00E32A48" w:rsidP="00D31F4D">
            <w:pPr>
              <w:pStyle w:val="BulletedList"/>
            </w:pPr>
            <w:r>
              <w:t xml:space="preserve">Standards: </w:t>
            </w:r>
            <w:r w:rsidR="00F7509A">
              <w:t>RL.11-1</w:t>
            </w:r>
            <w:r w:rsidR="008D03D6">
              <w:t xml:space="preserve">2.5, </w:t>
            </w:r>
            <w:r w:rsidR="00F0130B">
              <w:t xml:space="preserve">W.11-12.9.a, </w:t>
            </w:r>
            <w:r w:rsidR="008D03D6">
              <w:t>SL.11-12.1.a</w:t>
            </w:r>
            <w:r w:rsidR="00CC1039">
              <w:t>,</w:t>
            </w:r>
            <w:r w:rsidR="00745C44">
              <w:t xml:space="preserve"> </w:t>
            </w:r>
            <w:r w:rsidR="00CC1039">
              <w:t>c,</w:t>
            </w:r>
            <w:r w:rsidR="00745C44">
              <w:t xml:space="preserve"> </w:t>
            </w:r>
            <w:r w:rsidR="00CC1039">
              <w:t>d</w:t>
            </w:r>
            <w:r w:rsidR="008D03D6">
              <w:t xml:space="preserve"> </w:t>
            </w:r>
          </w:p>
          <w:p w14:paraId="1C9A0AF5" w14:textId="49C6AD0A" w:rsidR="00790BCC" w:rsidRPr="00790BCC" w:rsidRDefault="00790BCC" w:rsidP="00DE2D09">
            <w:pPr>
              <w:pStyle w:val="BulletedList"/>
            </w:pPr>
            <w:r w:rsidRPr="00790BCC">
              <w:t xml:space="preserve">Text: </w:t>
            </w:r>
            <w:r w:rsidR="00F7509A">
              <w:t>“The Red Convertible”</w:t>
            </w:r>
            <w:r w:rsidR="00624D76">
              <w:t xml:space="preserve"> from </w:t>
            </w:r>
            <w:r w:rsidR="00624D76" w:rsidRPr="006946F3">
              <w:rPr>
                <w:i/>
              </w:rPr>
              <w:t>The Red Convertible</w:t>
            </w:r>
            <w:r w:rsidR="00DD29CB">
              <w:t xml:space="preserve"> by Louise Erdrich</w:t>
            </w:r>
          </w:p>
        </w:tc>
        <w:tc>
          <w:tcPr>
            <w:tcW w:w="1705" w:type="dxa"/>
            <w:tcBorders>
              <w:bottom w:val="nil"/>
            </w:tcBorders>
          </w:tcPr>
          <w:p w14:paraId="5CA31E16" w14:textId="77777777" w:rsidR="00790BCC" w:rsidRPr="00790BCC" w:rsidRDefault="00790BCC" w:rsidP="00790BCC"/>
          <w:p w14:paraId="78C61DF6" w14:textId="77777777" w:rsidR="00790BCC" w:rsidRPr="00790BCC" w:rsidRDefault="00790BCC" w:rsidP="00790BCC">
            <w:pPr>
              <w:spacing w:after="60" w:line="240" w:lineRule="auto"/>
            </w:pPr>
          </w:p>
        </w:tc>
      </w:tr>
      <w:tr w:rsidR="00790BCC" w:rsidRPr="00790BCC" w14:paraId="7B3B1E72" w14:textId="77777777">
        <w:tc>
          <w:tcPr>
            <w:tcW w:w="7650" w:type="dxa"/>
            <w:tcBorders>
              <w:top w:val="nil"/>
            </w:tcBorders>
          </w:tcPr>
          <w:p w14:paraId="1B8B31A8" w14:textId="77777777" w:rsidR="00790BCC" w:rsidRPr="00D31F4D" w:rsidRDefault="00790BCC" w:rsidP="00D31F4D">
            <w:pPr>
              <w:pStyle w:val="TableText"/>
              <w:rPr>
                <w:b/>
              </w:rPr>
            </w:pPr>
            <w:r w:rsidRPr="00D31F4D">
              <w:rPr>
                <w:b/>
              </w:rPr>
              <w:t>Learning Sequence:</w:t>
            </w:r>
          </w:p>
          <w:p w14:paraId="45FCAFD4" w14:textId="77777777" w:rsidR="00790BCC" w:rsidRPr="00790BCC" w:rsidRDefault="00790BCC" w:rsidP="00D31F4D">
            <w:pPr>
              <w:pStyle w:val="NumberedList"/>
            </w:pPr>
            <w:r w:rsidRPr="00790BCC">
              <w:t>Introduction of Lesson Agenda</w:t>
            </w:r>
          </w:p>
          <w:p w14:paraId="09F241E5" w14:textId="77777777" w:rsidR="00790BCC" w:rsidRDefault="00790BCC" w:rsidP="00D31F4D">
            <w:pPr>
              <w:pStyle w:val="NumberedList"/>
            </w:pPr>
            <w:r w:rsidRPr="00790BCC">
              <w:t>Homework Accountability</w:t>
            </w:r>
          </w:p>
          <w:p w14:paraId="2DD6948E" w14:textId="77777777" w:rsidR="00292955" w:rsidRDefault="00DD29CB" w:rsidP="00D31F4D">
            <w:pPr>
              <w:pStyle w:val="NumberedList"/>
            </w:pPr>
            <w:r>
              <w:t xml:space="preserve">Pre-Discussion </w:t>
            </w:r>
            <w:r w:rsidR="00F7509A">
              <w:t>Quick Write</w:t>
            </w:r>
          </w:p>
          <w:p w14:paraId="1C0DE56D" w14:textId="77777777" w:rsidR="00422E5B" w:rsidRDefault="008B4DC2" w:rsidP="00D31F4D">
            <w:pPr>
              <w:pStyle w:val="NumberedList"/>
            </w:pPr>
            <w:r>
              <w:t>Whole-C</w:t>
            </w:r>
            <w:r w:rsidR="00422E5B">
              <w:t>lass Discussion</w:t>
            </w:r>
          </w:p>
          <w:p w14:paraId="5C275845" w14:textId="77777777" w:rsidR="00DD29CB" w:rsidRPr="00790BCC" w:rsidRDefault="00DD29CB" w:rsidP="00D31F4D">
            <w:pPr>
              <w:pStyle w:val="NumberedList"/>
            </w:pPr>
            <w:r>
              <w:t>Quick Write</w:t>
            </w:r>
          </w:p>
          <w:p w14:paraId="6C722874" w14:textId="77777777" w:rsidR="00790BCC" w:rsidRPr="00790BCC" w:rsidRDefault="00790BCC" w:rsidP="00D31F4D">
            <w:pPr>
              <w:pStyle w:val="NumberedList"/>
            </w:pPr>
            <w:r w:rsidRPr="00790BCC">
              <w:t>Closing</w:t>
            </w:r>
          </w:p>
        </w:tc>
        <w:tc>
          <w:tcPr>
            <w:tcW w:w="1705" w:type="dxa"/>
            <w:tcBorders>
              <w:top w:val="nil"/>
            </w:tcBorders>
          </w:tcPr>
          <w:p w14:paraId="7286DEBA" w14:textId="77777777" w:rsidR="00790BCC" w:rsidRPr="00790BCC" w:rsidRDefault="00790BCC" w:rsidP="00790BCC">
            <w:pPr>
              <w:spacing w:before="40" w:after="40"/>
            </w:pPr>
          </w:p>
          <w:p w14:paraId="3B1B77B0" w14:textId="77777777" w:rsidR="00790BCC" w:rsidRPr="00790BCC" w:rsidRDefault="00790BCC" w:rsidP="00D31F4D">
            <w:pPr>
              <w:pStyle w:val="NumberedList"/>
              <w:numPr>
                <w:ilvl w:val="0"/>
                <w:numId w:val="13"/>
              </w:numPr>
            </w:pPr>
            <w:r w:rsidRPr="00790BCC">
              <w:t>5%</w:t>
            </w:r>
          </w:p>
          <w:p w14:paraId="27CB66FE" w14:textId="77777777" w:rsidR="00790BCC" w:rsidRPr="00790BCC" w:rsidRDefault="00F7509A" w:rsidP="00D31F4D">
            <w:pPr>
              <w:pStyle w:val="NumberedList"/>
              <w:numPr>
                <w:ilvl w:val="0"/>
                <w:numId w:val="13"/>
              </w:numPr>
            </w:pPr>
            <w:r>
              <w:t>1</w:t>
            </w:r>
            <w:r w:rsidR="00CD7064">
              <w:t>0</w:t>
            </w:r>
            <w:r w:rsidR="00790BCC" w:rsidRPr="00790BCC">
              <w:t>%</w:t>
            </w:r>
          </w:p>
          <w:p w14:paraId="413ADFC3" w14:textId="77777777" w:rsidR="00790BCC" w:rsidRDefault="00F7509A" w:rsidP="00D31F4D">
            <w:pPr>
              <w:pStyle w:val="NumberedList"/>
              <w:numPr>
                <w:ilvl w:val="0"/>
                <w:numId w:val="13"/>
              </w:numPr>
            </w:pPr>
            <w:r>
              <w:t>1</w:t>
            </w:r>
            <w:r w:rsidR="00CD7064">
              <w:t>5</w:t>
            </w:r>
            <w:r w:rsidR="00790BCC" w:rsidRPr="00790BCC">
              <w:t>%</w:t>
            </w:r>
          </w:p>
          <w:p w14:paraId="0AA70C3E" w14:textId="77777777" w:rsidR="00422E5B" w:rsidRDefault="001348D1" w:rsidP="00D31F4D">
            <w:pPr>
              <w:pStyle w:val="NumberedList"/>
              <w:numPr>
                <w:ilvl w:val="0"/>
                <w:numId w:val="13"/>
              </w:numPr>
            </w:pPr>
            <w:r>
              <w:t>45</w:t>
            </w:r>
            <w:r w:rsidR="00422E5B">
              <w:t>%</w:t>
            </w:r>
          </w:p>
          <w:p w14:paraId="458D562E" w14:textId="77777777" w:rsidR="00DD29CB" w:rsidRDefault="001348D1" w:rsidP="00D31F4D">
            <w:pPr>
              <w:pStyle w:val="NumberedList"/>
              <w:numPr>
                <w:ilvl w:val="0"/>
                <w:numId w:val="13"/>
              </w:numPr>
            </w:pPr>
            <w:r>
              <w:t>2</w:t>
            </w:r>
            <w:r w:rsidR="00CD7064">
              <w:t>0</w:t>
            </w:r>
            <w:r w:rsidR="00DD29CB">
              <w:t>%</w:t>
            </w:r>
          </w:p>
          <w:p w14:paraId="5A2FEA44" w14:textId="77777777" w:rsidR="00790BCC" w:rsidRPr="00790BCC" w:rsidRDefault="001348D1" w:rsidP="001348D1">
            <w:pPr>
              <w:pStyle w:val="NumberedList"/>
              <w:numPr>
                <w:ilvl w:val="0"/>
                <w:numId w:val="13"/>
              </w:numPr>
            </w:pPr>
            <w:r>
              <w:t>5%</w:t>
            </w:r>
          </w:p>
        </w:tc>
      </w:tr>
    </w:tbl>
    <w:p w14:paraId="260C0343" w14:textId="77777777" w:rsidR="00790BCC" w:rsidRPr="00790BCC" w:rsidRDefault="00790BCC" w:rsidP="00D31F4D">
      <w:pPr>
        <w:pStyle w:val="Heading1"/>
      </w:pPr>
      <w:r w:rsidRPr="00790BCC">
        <w:t>Materials</w:t>
      </w:r>
    </w:p>
    <w:p w14:paraId="35E5E0F4" w14:textId="77777777" w:rsidR="006A3B84" w:rsidRDefault="006A3B84" w:rsidP="006A3B84">
      <w:pPr>
        <w:pStyle w:val="BulletedList"/>
      </w:pPr>
      <w:r>
        <w:t>Copies of the 11.4.1 Lesson 10 Structure Tool for each student (optional)</w:t>
      </w:r>
    </w:p>
    <w:p w14:paraId="4EF3D2A5" w14:textId="3ECF61A7" w:rsidR="00CF5C29" w:rsidRDefault="00B91208">
      <w:pPr>
        <w:pStyle w:val="BulletedList"/>
      </w:pPr>
      <w:r>
        <w:lastRenderedPageBreak/>
        <w:t>Student c</w:t>
      </w:r>
      <w:r w:rsidR="00BC3916">
        <w:t xml:space="preserve">opies of the </w:t>
      </w:r>
      <w:r w:rsidR="002A6D17">
        <w:t xml:space="preserve">11.4 </w:t>
      </w:r>
      <w:r w:rsidR="00BC3916">
        <w:t>Speaking and Listening Rubri</w:t>
      </w:r>
      <w:r w:rsidR="00CA0D94">
        <w:t xml:space="preserve">c and Checklist </w:t>
      </w:r>
      <w:r w:rsidR="002A1349">
        <w:t>(refer to 11.4.1</w:t>
      </w:r>
      <w:r>
        <w:t xml:space="preserve"> Lesson </w:t>
      </w:r>
      <w:r w:rsidR="00CD7064">
        <w:t>3</w:t>
      </w:r>
      <w:r>
        <w:t>)</w:t>
      </w:r>
    </w:p>
    <w:p w14:paraId="3C7B6C88" w14:textId="77777777" w:rsidR="002A1349" w:rsidRDefault="002A1349">
      <w:pPr>
        <w:pStyle w:val="BulletedList"/>
      </w:pPr>
      <w:r>
        <w:t xml:space="preserve">Student copies of the Short Response Rubric and Checklist (refer to 11.4.1 Lesson 1) </w:t>
      </w:r>
    </w:p>
    <w:p w14:paraId="65FF6E40" w14:textId="77777777" w:rsidR="00790BCC" w:rsidRDefault="00790BCC" w:rsidP="00D31F4D">
      <w:pPr>
        <w:pStyle w:val="Heading1"/>
      </w:pPr>
      <w:r w:rsidRPr="00790BCC">
        <w:t>Learning Sequence</w:t>
      </w:r>
    </w:p>
    <w:tbl>
      <w:tblPr>
        <w:tblStyle w:val="TableGrid1"/>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F4D" w14:paraId="08720D76" w14:textId="77777777">
        <w:tc>
          <w:tcPr>
            <w:tcW w:w="9360" w:type="dxa"/>
            <w:gridSpan w:val="2"/>
            <w:shd w:val="clear" w:color="auto" w:fill="76923C"/>
          </w:tcPr>
          <w:p w14:paraId="13358D15" w14:textId="77777777" w:rsidR="00D31F4D" w:rsidRPr="00D31F4D" w:rsidRDefault="00D31F4D" w:rsidP="009450B7">
            <w:pPr>
              <w:pStyle w:val="TableHeaders"/>
            </w:pPr>
            <w:r w:rsidRPr="009450B7">
              <w:rPr>
                <w:sz w:val="22"/>
              </w:rPr>
              <w:t>How to Use the Learning Sequence</w:t>
            </w:r>
          </w:p>
        </w:tc>
      </w:tr>
      <w:tr w:rsidR="00D31F4D" w:rsidRPr="00D31F4D" w14:paraId="0252418F" w14:textId="77777777">
        <w:tc>
          <w:tcPr>
            <w:tcW w:w="894" w:type="dxa"/>
            <w:shd w:val="clear" w:color="auto" w:fill="76923C"/>
          </w:tcPr>
          <w:p w14:paraId="1A7B2F80" w14:textId="77777777" w:rsidR="00D31F4D" w:rsidRPr="009450B7" w:rsidRDefault="00D31F4D" w:rsidP="00D31F4D">
            <w:pPr>
              <w:pStyle w:val="TableHeaders"/>
              <w:rPr>
                <w:sz w:val="22"/>
              </w:rPr>
            </w:pPr>
            <w:r w:rsidRPr="009450B7">
              <w:rPr>
                <w:sz w:val="22"/>
              </w:rPr>
              <w:t>Symbol</w:t>
            </w:r>
          </w:p>
        </w:tc>
        <w:tc>
          <w:tcPr>
            <w:tcW w:w="8466" w:type="dxa"/>
            <w:shd w:val="clear" w:color="auto" w:fill="76923C"/>
          </w:tcPr>
          <w:p w14:paraId="02DA0DDB" w14:textId="77777777" w:rsidR="00D31F4D" w:rsidRPr="009450B7" w:rsidRDefault="00D31F4D" w:rsidP="00D31F4D">
            <w:pPr>
              <w:pStyle w:val="TableHeaders"/>
              <w:rPr>
                <w:sz w:val="22"/>
              </w:rPr>
            </w:pPr>
            <w:r w:rsidRPr="009450B7">
              <w:rPr>
                <w:sz w:val="22"/>
              </w:rPr>
              <w:t>Type of Text &amp; Interpretation of the Symbol</w:t>
            </w:r>
          </w:p>
        </w:tc>
      </w:tr>
      <w:tr w:rsidR="00D31F4D" w:rsidRPr="00D31F4D" w14:paraId="4E1F7D99" w14:textId="77777777">
        <w:tc>
          <w:tcPr>
            <w:tcW w:w="894" w:type="dxa"/>
          </w:tcPr>
          <w:p w14:paraId="28A9CADE" w14:textId="77777777" w:rsidR="00D31F4D" w:rsidRPr="00D31F4D" w:rsidRDefault="00D31F4D" w:rsidP="00D31F4D">
            <w:pPr>
              <w:spacing w:before="20" w:after="20" w:line="240" w:lineRule="auto"/>
              <w:jc w:val="center"/>
              <w:rPr>
                <w:b/>
                <w:color w:val="4F81BD"/>
              </w:rPr>
            </w:pPr>
            <w:r w:rsidRPr="00D31F4D">
              <w:rPr>
                <w:b/>
                <w:color w:val="4F81BD"/>
              </w:rPr>
              <w:t>10%</w:t>
            </w:r>
          </w:p>
        </w:tc>
        <w:tc>
          <w:tcPr>
            <w:tcW w:w="8466" w:type="dxa"/>
          </w:tcPr>
          <w:p w14:paraId="14D86ECD" w14:textId="77777777" w:rsidR="00D31F4D" w:rsidRPr="00D31F4D" w:rsidRDefault="00D31F4D" w:rsidP="00D31F4D">
            <w:pPr>
              <w:spacing w:before="20" w:after="20" w:line="240" w:lineRule="auto"/>
              <w:rPr>
                <w:b/>
                <w:color w:val="4F81BD"/>
              </w:rPr>
            </w:pPr>
            <w:r w:rsidRPr="00D31F4D">
              <w:rPr>
                <w:b/>
                <w:color w:val="4F81BD"/>
              </w:rPr>
              <w:t>Percentage indicates the percentage of lesson time each activity should take.</w:t>
            </w:r>
          </w:p>
        </w:tc>
      </w:tr>
      <w:tr w:rsidR="00D31F4D" w:rsidRPr="00D31F4D" w14:paraId="4198982B" w14:textId="77777777">
        <w:tc>
          <w:tcPr>
            <w:tcW w:w="894" w:type="dxa"/>
            <w:vMerge w:val="restart"/>
            <w:vAlign w:val="center"/>
          </w:tcPr>
          <w:p w14:paraId="2922293B" w14:textId="77777777" w:rsidR="00D31F4D" w:rsidRPr="00D31F4D" w:rsidRDefault="00D31F4D" w:rsidP="00D31F4D">
            <w:pPr>
              <w:spacing w:before="20" w:after="20" w:line="240" w:lineRule="auto"/>
              <w:jc w:val="center"/>
              <w:rPr>
                <w:sz w:val="18"/>
              </w:rPr>
            </w:pPr>
            <w:r w:rsidRPr="00D31F4D">
              <w:rPr>
                <w:sz w:val="18"/>
              </w:rPr>
              <w:t>no symbol</w:t>
            </w:r>
          </w:p>
        </w:tc>
        <w:tc>
          <w:tcPr>
            <w:tcW w:w="8466" w:type="dxa"/>
          </w:tcPr>
          <w:p w14:paraId="1E947D53" w14:textId="77777777" w:rsidR="00D31F4D" w:rsidRPr="00D31F4D" w:rsidRDefault="00D31F4D" w:rsidP="00D31F4D">
            <w:pPr>
              <w:spacing w:before="20" w:after="20" w:line="240" w:lineRule="auto"/>
            </w:pPr>
            <w:r w:rsidRPr="00D31F4D">
              <w:t>Plain text indicates teacher action.</w:t>
            </w:r>
          </w:p>
        </w:tc>
      </w:tr>
      <w:tr w:rsidR="00D31F4D" w:rsidRPr="00D31F4D" w14:paraId="3CA101F9" w14:textId="77777777">
        <w:tc>
          <w:tcPr>
            <w:tcW w:w="894" w:type="dxa"/>
            <w:vMerge/>
          </w:tcPr>
          <w:p w14:paraId="16127A3F" w14:textId="77777777" w:rsidR="00D31F4D" w:rsidRPr="00D31F4D" w:rsidRDefault="00D31F4D" w:rsidP="00D31F4D">
            <w:pPr>
              <w:spacing w:before="20" w:after="20" w:line="240" w:lineRule="auto"/>
              <w:jc w:val="center"/>
              <w:rPr>
                <w:b/>
                <w:color w:val="000000"/>
              </w:rPr>
            </w:pPr>
          </w:p>
        </w:tc>
        <w:tc>
          <w:tcPr>
            <w:tcW w:w="8466" w:type="dxa"/>
          </w:tcPr>
          <w:p w14:paraId="5DE88772" w14:textId="77777777" w:rsidR="00D31F4D" w:rsidRPr="00D31F4D" w:rsidRDefault="00D31F4D" w:rsidP="00D31F4D">
            <w:pPr>
              <w:spacing w:before="20" w:after="20" w:line="240" w:lineRule="auto"/>
              <w:rPr>
                <w:color w:val="4F81BD"/>
              </w:rPr>
            </w:pPr>
            <w:r w:rsidRPr="00D31F4D">
              <w:rPr>
                <w:b/>
              </w:rPr>
              <w:t>Bold text indicates questions for the teacher to ask students.</w:t>
            </w:r>
          </w:p>
        </w:tc>
      </w:tr>
      <w:tr w:rsidR="00D31F4D" w:rsidRPr="00D31F4D" w14:paraId="6C1C2BC1" w14:textId="77777777">
        <w:tc>
          <w:tcPr>
            <w:tcW w:w="894" w:type="dxa"/>
            <w:vMerge/>
          </w:tcPr>
          <w:p w14:paraId="07D573F8" w14:textId="77777777" w:rsidR="00D31F4D" w:rsidRPr="00D31F4D" w:rsidRDefault="00D31F4D" w:rsidP="00D31F4D">
            <w:pPr>
              <w:spacing w:before="20" w:after="20" w:line="240" w:lineRule="auto"/>
              <w:jc w:val="center"/>
              <w:rPr>
                <w:b/>
                <w:color w:val="000000"/>
              </w:rPr>
            </w:pPr>
          </w:p>
        </w:tc>
        <w:tc>
          <w:tcPr>
            <w:tcW w:w="8466" w:type="dxa"/>
          </w:tcPr>
          <w:p w14:paraId="22CEA1A6" w14:textId="77777777" w:rsidR="00D31F4D" w:rsidRPr="00D31F4D" w:rsidRDefault="00D31F4D" w:rsidP="00D31F4D">
            <w:pPr>
              <w:spacing w:before="20" w:after="20" w:line="240" w:lineRule="auto"/>
              <w:rPr>
                <w:i/>
              </w:rPr>
            </w:pPr>
            <w:r w:rsidRPr="00D31F4D">
              <w:rPr>
                <w:i/>
              </w:rPr>
              <w:t>Italicized text indicates a vocabulary word.</w:t>
            </w:r>
          </w:p>
        </w:tc>
      </w:tr>
      <w:tr w:rsidR="00D31F4D" w:rsidRPr="00D31F4D" w14:paraId="380458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0FC76BC6" w14:textId="77777777" w:rsidR="00D31F4D" w:rsidRPr="00D31F4D" w:rsidRDefault="00D31F4D" w:rsidP="00D31F4D">
            <w:pPr>
              <w:spacing w:before="40" w:after="0" w:line="240" w:lineRule="auto"/>
              <w:jc w:val="center"/>
            </w:pPr>
            <w:r w:rsidRPr="00D31F4D">
              <w:sym w:font="Webdings" w:char="F034"/>
            </w:r>
          </w:p>
        </w:tc>
        <w:tc>
          <w:tcPr>
            <w:tcW w:w="8466" w:type="dxa"/>
          </w:tcPr>
          <w:p w14:paraId="707E4AB1" w14:textId="77777777" w:rsidR="00D31F4D" w:rsidRPr="00D31F4D" w:rsidRDefault="00D31F4D" w:rsidP="00D31F4D">
            <w:pPr>
              <w:spacing w:before="20" w:after="20" w:line="240" w:lineRule="auto"/>
            </w:pPr>
            <w:r w:rsidRPr="00D31F4D">
              <w:t>Indicates student action(s).</w:t>
            </w:r>
          </w:p>
        </w:tc>
      </w:tr>
      <w:tr w:rsidR="00D31F4D" w:rsidRPr="00D31F4D" w14:paraId="1F17E5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19BA2AC0" w14:textId="77777777" w:rsidR="00D31F4D" w:rsidRPr="00D31F4D" w:rsidRDefault="00D31F4D" w:rsidP="00D31F4D">
            <w:pPr>
              <w:spacing w:before="80" w:after="0" w:line="240" w:lineRule="auto"/>
              <w:jc w:val="center"/>
            </w:pPr>
            <w:r w:rsidRPr="00D31F4D">
              <w:sym w:font="Webdings" w:char="F028"/>
            </w:r>
          </w:p>
        </w:tc>
        <w:tc>
          <w:tcPr>
            <w:tcW w:w="8466" w:type="dxa"/>
          </w:tcPr>
          <w:p w14:paraId="1606D4A1" w14:textId="77777777" w:rsidR="00D31F4D" w:rsidRPr="00D31F4D" w:rsidRDefault="00D31F4D" w:rsidP="00D31F4D">
            <w:pPr>
              <w:spacing w:before="20" w:after="20" w:line="240" w:lineRule="auto"/>
            </w:pPr>
            <w:r w:rsidRPr="00D31F4D">
              <w:t>Indicates possible student response(s) to teacher questions.</w:t>
            </w:r>
          </w:p>
        </w:tc>
      </w:tr>
      <w:tr w:rsidR="00D31F4D" w:rsidRPr="00D31F4D" w14:paraId="0C64B138" w14:textId="77777777">
        <w:tc>
          <w:tcPr>
            <w:tcW w:w="894" w:type="dxa"/>
            <w:vAlign w:val="bottom"/>
          </w:tcPr>
          <w:p w14:paraId="72DB9858" w14:textId="77777777" w:rsidR="00D31F4D" w:rsidRPr="00D31F4D" w:rsidRDefault="00D31F4D" w:rsidP="00D31F4D">
            <w:pPr>
              <w:spacing w:after="0" w:line="240" w:lineRule="auto"/>
              <w:jc w:val="center"/>
              <w:rPr>
                <w:color w:val="4F81BD"/>
              </w:rPr>
            </w:pPr>
            <w:r w:rsidRPr="00D31F4D">
              <w:rPr>
                <w:color w:val="4F81BD"/>
              </w:rPr>
              <w:sym w:font="Webdings" w:char="F069"/>
            </w:r>
          </w:p>
        </w:tc>
        <w:tc>
          <w:tcPr>
            <w:tcW w:w="8466" w:type="dxa"/>
          </w:tcPr>
          <w:p w14:paraId="6D706878" w14:textId="77777777" w:rsidR="00D31F4D" w:rsidRPr="00D31F4D" w:rsidRDefault="00D31F4D" w:rsidP="00D31F4D">
            <w:pPr>
              <w:spacing w:before="20" w:after="20" w:line="240" w:lineRule="auto"/>
              <w:rPr>
                <w:color w:val="4F81BD"/>
              </w:rPr>
            </w:pPr>
            <w:r w:rsidRPr="00D31F4D">
              <w:rPr>
                <w:color w:val="4F81BD"/>
              </w:rPr>
              <w:t>Indicates instructional notes for the teacher.</w:t>
            </w:r>
          </w:p>
        </w:tc>
      </w:tr>
    </w:tbl>
    <w:p w14:paraId="0DEF5AEF" w14:textId="77777777" w:rsidR="00790BCC" w:rsidRPr="00790BCC" w:rsidRDefault="00790BCC" w:rsidP="00F0130B">
      <w:pPr>
        <w:pStyle w:val="LearningSequenceHeader"/>
      </w:pPr>
      <w:r w:rsidRPr="00790BCC">
        <w:t>Activity 1: Introduction of Lesson Agenda</w:t>
      </w:r>
      <w:r w:rsidRPr="00790BCC">
        <w:tab/>
        <w:t>5%</w:t>
      </w:r>
    </w:p>
    <w:p w14:paraId="32802F08" w14:textId="77777777" w:rsidR="00F7509A" w:rsidRDefault="00860C51" w:rsidP="00F7509A">
      <w:pPr>
        <w:pStyle w:val="TA"/>
        <w:rPr>
          <w:i/>
        </w:rPr>
      </w:pPr>
      <w:r w:rsidRPr="00860C51">
        <w:t>Beg</w:t>
      </w:r>
      <w:r w:rsidR="001C620B">
        <w:t xml:space="preserve">in by reviewing the agenda and </w:t>
      </w:r>
      <w:r w:rsidRPr="00860C51">
        <w:t xml:space="preserve">the assessed standard for this lesson: </w:t>
      </w:r>
      <w:r w:rsidR="00F7509A">
        <w:t>RL.11-12.5</w:t>
      </w:r>
      <w:r w:rsidR="00723364">
        <w:t>. In this lesson</w:t>
      </w:r>
      <w:r w:rsidR="00DF6CA2">
        <w:t>,</w:t>
      </w:r>
      <w:r w:rsidR="00723364">
        <w:t xml:space="preserve"> students </w:t>
      </w:r>
      <w:r w:rsidR="005F25AF">
        <w:t>apply</w:t>
      </w:r>
      <w:r w:rsidR="00723364">
        <w:t xml:space="preserve"> their reading and analysis of </w:t>
      </w:r>
      <w:r w:rsidR="00F7509A">
        <w:t xml:space="preserve">“The Red Convertible” </w:t>
      </w:r>
      <w:r w:rsidR="005C7641">
        <w:t xml:space="preserve">in response </w:t>
      </w:r>
      <w:r w:rsidR="00F7509A">
        <w:t>to a prompt that asks them to identify and analyze the aesthetic impact of specific structural choices in the text. Students respond briefly in writing</w:t>
      </w:r>
      <w:r w:rsidR="00CE6050">
        <w:t xml:space="preserve"> before participating in a whole-</w:t>
      </w:r>
      <w:r w:rsidR="00F7509A">
        <w:t xml:space="preserve">class discussion. </w:t>
      </w:r>
      <w:r w:rsidR="00CE6050">
        <w:t>Students</w:t>
      </w:r>
      <w:r w:rsidR="00CE6050" w:rsidRPr="00CE6050">
        <w:t xml:space="preserve"> then have the opportunity to review or expand their Quick Write responses after the discussion.</w:t>
      </w:r>
      <w:r w:rsidR="00CE6050">
        <w:t xml:space="preserve"> S</w:t>
      </w:r>
      <w:r w:rsidR="00F7509A">
        <w:t xml:space="preserve">tudents continue to practice the narrative writing skills they have been </w:t>
      </w:r>
      <w:r w:rsidR="005C7641">
        <w:t>learning</w:t>
      </w:r>
      <w:r w:rsidR="00F7509A">
        <w:t xml:space="preserve"> throughout th</w:t>
      </w:r>
      <w:r w:rsidR="005C7641">
        <w:t>e</w:t>
      </w:r>
      <w:r w:rsidR="00F7509A">
        <w:t xml:space="preserve"> unit.</w:t>
      </w:r>
    </w:p>
    <w:p w14:paraId="7A992630" w14:textId="77777777" w:rsidR="00860C51" w:rsidRDefault="00860C51" w:rsidP="00F7509A">
      <w:pPr>
        <w:pStyle w:val="SA"/>
      </w:pPr>
      <w:r>
        <w:t>Students look at the agenda.</w:t>
      </w:r>
    </w:p>
    <w:p w14:paraId="605AE8EF" w14:textId="77777777" w:rsidR="00F97A14" w:rsidRDefault="00DB6C77" w:rsidP="009918E7">
      <w:pPr>
        <w:pStyle w:val="IN"/>
      </w:pPr>
      <w:r>
        <w:t xml:space="preserve">Students were introduced to RL.11-12.5 and the meaning of </w:t>
      </w:r>
      <w:r w:rsidRPr="00A70B80">
        <w:rPr>
          <w:i/>
        </w:rPr>
        <w:t>aesthetic</w:t>
      </w:r>
      <w:r>
        <w:t xml:space="preserve"> in 11.1.2 Lesson 1. </w:t>
      </w:r>
      <w:r w:rsidR="007D0622">
        <w:t xml:space="preserve">Consider reminding students that </w:t>
      </w:r>
      <w:r w:rsidR="007D0622" w:rsidRPr="00F97A14">
        <w:rPr>
          <w:i/>
        </w:rPr>
        <w:t>aesthetic</w:t>
      </w:r>
      <w:r w:rsidR="007D0622" w:rsidRPr="00B77638">
        <w:t xml:space="preserve"> means </w:t>
      </w:r>
      <w:r w:rsidR="007D0622">
        <w:t>“</w:t>
      </w:r>
      <w:r w:rsidR="007D0622" w:rsidRPr="00433397">
        <w:t>of or relating to the beautiful</w:t>
      </w:r>
      <w:r w:rsidR="00E962FE">
        <w:t>.</w:t>
      </w:r>
      <w:r w:rsidR="007D0622" w:rsidRPr="006946F3">
        <w:t>”</w:t>
      </w:r>
      <w:r w:rsidR="007D0622" w:rsidRPr="00F97A14">
        <w:rPr>
          <w:i/>
        </w:rPr>
        <w:t xml:space="preserve"> </w:t>
      </w:r>
    </w:p>
    <w:p w14:paraId="1AA70F70" w14:textId="77777777" w:rsidR="00790BCC" w:rsidRPr="00790BCC" w:rsidRDefault="00790BCC" w:rsidP="00F0130B">
      <w:pPr>
        <w:pStyle w:val="LearningSequenceHeader"/>
        <w:keepNext/>
      </w:pPr>
      <w:r w:rsidRPr="00790BCC">
        <w:t>Activity 2: Homework Accountability</w:t>
      </w:r>
      <w:r w:rsidRPr="00790BCC">
        <w:tab/>
      </w:r>
      <w:r w:rsidR="008B262B" w:rsidRPr="00790BCC">
        <w:t>1</w:t>
      </w:r>
      <w:r w:rsidR="00F7509A">
        <w:t>0</w:t>
      </w:r>
      <w:r w:rsidRPr="00790BCC">
        <w:t>%</w:t>
      </w:r>
    </w:p>
    <w:p w14:paraId="160803C5" w14:textId="437F9AB1" w:rsidR="00BC3916" w:rsidRPr="00427129" w:rsidRDefault="00BC3916" w:rsidP="00BC3916">
      <w:pPr>
        <w:pStyle w:val="TA"/>
      </w:pPr>
      <w:r>
        <w:t>In</w:t>
      </w:r>
      <w:r w:rsidRPr="00E51822">
        <w:t xml:space="preserve">struct students to talk in pairs about how they </w:t>
      </w:r>
      <w:r>
        <w:t>applied</w:t>
      </w:r>
      <w:r w:rsidRPr="00E51822">
        <w:t xml:space="preserve"> </w:t>
      </w:r>
      <w:r w:rsidR="00E962FE">
        <w:t xml:space="preserve">a </w:t>
      </w:r>
      <w:r w:rsidRPr="00E51822">
        <w:t>focus standard</w:t>
      </w:r>
      <w:r>
        <w:t xml:space="preserve"> </w:t>
      </w:r>
      <w:r w:rsidRPr="00E51822">
        <w:t xml:space="preserve">to their </w:t>
      </w:r>
      <w:r w:rsidR="00355A38">
        <w:t>AIR</w:t>
      </w:r>
      <w:r>
        <w:t xml:space="preserve"> </w:t>
      </w:r>
      <w:r w:rsidRPr="00E51822">
        <w:t>text</w:t>
      </w:r>
      <w:r w:rsidR="00E962FE">
        <w:t>s</w:t>
      </w:r>
      <w:r w:rsidRPr="00E51822">
        <w:t xml:space="preserve">. Select several students (or student pairs) to explain how they applied </w:t>
      </w:r>
      <w:r w:rsidR="00E962FE">
        <w:t>a</w:t>
      </w:r>
      <w:r w:rsidR="00E962FE" w:rsidRPr="00E51822">
        <w:t xml:space="preserve"> </w:t>
      </w:r>
      <w:r w:rsidRPr="00E51822">
        <w:t>focus standard to their AIR text</w:t>
      </w:r>
      <w:r w:rsidR="00E962FE">
        <w:t>s</w:t>
      </w:r>
      <w:r w:rsidRPr="00E51822">
        <w:t>.</w:t>
      </w:r>
    </w:p>
    <w:p w14:paraId="4C856C5D" w14:textId="77777777" w:rsidR="00BC3916" w:rsidRPr="005C7641" w:rsidRDefault="00BC3916" w:rsidP="005C7641">
      <w:pPr>
        <w:pStyle w:val="SA"/>
        <w:numPr>
          <w:ilvl w:val="0"/>
          <w:numId w:val="8"/>
        </w:numPr>
        <w:rPr>
          <w:b/>
        </w:rPr>
      </w:pPr>
      <w:r w:rsidRPr="00E51822">
        <w:t xml:space="preserve">Students (or student pairs) discuss and share how they applied </w:t>
      </w:r>
      <w:r w:rsidR="00E962FE">
        <w:t>a</w:t>
      </w:r>
      <w:r w:rsidR="00E962FE" w:rsidRPr="00E51822">
        <w:t xml:space="preserve"> </w:t>
      </w:r>
      <w:r w:rsidRPr="00E51822">
        <w:t>focus standard to their AIR text</w:t>
      </w:r>
      <w:r w:rsidR="00E962FE">
        <w:t>s</w:t>
      </w:r>
      <w:r w:rsidRPr="00E51822">
        <w:t xml:space="preserve"> from the previous lesson’s homework.</w:t>
      </w:r>
    </w:p>
    <w:p w14:paraId="359B16C9" w14:textId="77777777" w:rsidR="00BC3916" w:rsidRDefault="00BC3916" w:rsidP="005C7641">
      <w:pPr>
        <w:pStyle w:val="BR"/>
      </w:pPr>
    </w:p>
    <w:p w14:paraId="19C5DF2F" w14:textId="77777777" w:rsidR="00D16686" w:rsidRDefault="00860C51" w:rsidP="00233525">
      <w:pPr>
        <w:pStyle w:val="TA"/>
      </w:pPr>
      <w:r>
        <w:lastRenderedPageBreak/>
        <w:t>Instruct student</w:t>
      </w:r>
      <w:r w:rsidR="007D5207">
        <w:t xml:space="preserve"> pairs</w:t>
      </w:r>
      <w:r>
        <w:t xml:space="preserve"> to Turn-and-Talk about </w:t>
      </w:r>
      <w:r w:rsidR="00E450CA">
        <w:t>the</w:t>
      </w:r>
      <w:r w:rsidR="00F100BB">
        <w:t>ir response</w:t>
      </w:r>
      <w:r w:rsidR="00D16686">
        <w:t>s</w:t>
      </w:r>
      <w:r w:rsidR="00F100BB">
        <w:t xml:space="preserve"> to the </w:t>
      </w:r>
      <w:r w:rsidR="00CE6050">
        <w:t xml:space="preserve">previous lesson’s </w:t>
      </w:r>
      <w:r w:rsidR="00F100BB">
        <w:t xml:space="preserve">homework </w:t>
      </w:r>
      <w:r w:rsidR="00CE6050">
        <w:t>assignment.</w:t>
      </w:r>
      <w:r w:rsidR="00D16686">
        <w:t xml:space="preserve"> (How has your understanding of the first paragraph changed or developed through reading and analysis of the whole text?)</w:t>
      </w:r>
    </w:p>
    <w:p w14:paraId="570FD076" w14:textId="77777777" w:rsidR="00F100BB" w:rsidRDefault="00D16686" w:rsidP="00233525">
      <w:pPr>
        <w:pStyle w:val="SA"/>
      </w:pPr>
      <w:r>
        <w:t>Student pairs Turn-and-Talk about their homework responses.</w:t>
      </w:r>
    </w:p>
    <w:p w14:paraId="14BD1629" w14:textId="77777777" w:rsidR="0047504E" w:rsidRDefault="00F100BB" w:rsidP="0047504E">
      <w:pPr>
        <w:pStyle w:val="SR"/>
      </w:pPr>
      <w:r>
        <w:t>Student responses may include:</w:t>
      </w:r>
    </w:p>
    <w:p w14:paraId="3507EDD3" w14:textId="61194443" w:rsidR="00BC3916" w:rsidRDefault="00BC3916" w:rsidP="005C7641">
      <w:pPr>
        <w:pStyle w:val="SASRBullet"/>
      </w:pPr>
      <w:r>
        <w:t>In the first paragraph</w:t>
      </w:r>
      <w:r w:rsidR="00104D61">
        <w:t>,</w:t>
      </w:r>
      <w:r>
        <w:t xml:space="preserve"> Marty says that “Stephan owns the whole car</w:t>
      </w:r>
      <w:r w:rsidR="00194084">
        <w:t>,</w:t>
      </w:r>
      <w:r>
        <w:t>” which makes it seem as though the car is still around and Stephan is the owner</w:t>
      </w:r>
      <w:r w:rsidR="00757DCB">
        <w:t xml:space="preserve"> (p. 1)</w:t>
      </w:r>
      <w:r>
        <w:t>. After reading the full text</w:t>
      </w:r>
      <w:r w:rsidR="00104D61">
        <w:t>,</w:t>
      </w:r>
      <w:r>
        <w:t xml:space="preserve"> it becomes clear that statement is not saying exactly what it means</w:t>
      </w:r>
      <w:r w:rsidR="002C586B">
        <w:t xml:space="preserve">. </w:t>
      </w:r>
      <w:r>
        <w:t>Stephan “owns the whole car” because</w:t>
      </w:r>
      <w:r w:rsidR="001550D4">
        <w:t xml:space="preserve"> Marty cannot keep the car, and so</w:t>
      </w:r>
      <w:r>
        <w:t xml:space="preserve"> </w:t>
      </w:r>
      <w:r w:rsidR="001550D4">
        <w:t>he drives it</w:t>
      </w:r>
      <w:r>
        <w:t xml:space="preserve"> in</w:t>
      </w:r>
      <w:r w:rsidR="001550D4">
        <w:t>to</w:t>
      </w:r>
      <w:r>
        <w:t xml:space="preserve"> the river</w:t>
      </w:r>
      <w:r w:rsidR="001550D4">
        <w:t xml:space="preserve"> to reside</w:t>
      </w:r>
      <w:r>
        <w:t xml:space="preserve"> with </w:t>
      </w:r>
      <w:r w:rsidR="001550D4">
        <w:t>Stephan</w:t>
      </w:r>
      <w:r w:rsidR="004B6313">
        <w:t xml:space="preserve"> (p. 1)</w:t>
      </w:r>
      <w:r w:rsidR="00D80FB6">
        <w:t>.</w:t>
      </w:r>
    </w:p>
    <w:p w14:paraId="0C3B83B5" w14:textId="215CB328" w:rsidR="00BC3916" w:rsidRDefault="00BC3916" w:rsidP="005C7641">
      <w:pPr>
        <w:pStyle w:val="SASRBullet"/>
      </w:pPr>
      <w:r>
        <w:t>In the first paragraph</w:t>
      </w:r>
      <w:r w:rsidR="00104D61">
        <w:t>,</w:t>
      </w:r>
      <w:r>
        <w:t xml:space="preserve"> Marty says that Stephan’s “boots filled with water on a windy night” (p. 1). </w:t>
      </w:r>
      <w:r w:rsidR="00744F2E">
        <w:t>Before reading the story,</w:t>
      </w:r>
      <w:r>
        <w:t xml:space="preserve"> it is not completely clear what “boots filled with water” might mean, but after reading the full text it becomes clear that this statement implies Stephan’s death in the river at the end of the story</w:t>
      </w:r>
      <w:r w:rsidR="002C586B">
        <w:t xml:space="preserve"> (p. 1)</w:t>
      </w:r>
      <w:r>
        <w:t>.</w:t>
      </w:r>
    </w:p>
    <w:p w14:paraId="6238783D" w14:textId="77777777" w:rsidR="006D486B" w:rsidRPr="006D486B" w:rsidRDefault="00F100BB" w:rsidP="00EC2911">
      <w:pPr>
        <w:pStyle w:val="TA"/>
      </w:pPr>
      <w:r>
        <w:t xml:space="preserve">Lead a brief </w:t>
      </w:r>
      <w:r w:rsidR="00104D61">
        <w:t>whole-</w:t>
      </w:r>
      <w:r>
        <w:t>class discussion of student responses.</w:t>
      </w:r>
    </w:p>
    <w:p w14:paraId="2B69B2EC" w14:textId="77777777" w:rsidR="00790BCC" w:rsidRDefault="00860C51" w:rsidP="003F0B4F">
      <w:pPr>
        <w:pStyle w:val="LearningSequenceHeader"/>
      </w:pPr>
      <w:r>
        <w:t>Activity 3:</w:t>
      </w:r>
      <w:r w:rsidR="00F30709">
        <w:t xml:space="preserve"> </w:t>
      </w:r>
      <w:r w:rsidR="00231BF9">
        <w:t xml:space="preserve">Pre-Discussion </w:t>
      </w:r>
      <w:r w:rsidR="00592DE1">
        <w:t>Quick Write</w:t>
      </w:r>
      <w:r>
        <w:tab/>
      </w:r>
      <w:r w:rsidR="00592DE1">
        <w:t>1</w:t>
      </w:r>
      <w:r w:rsidR="00CD7064">
        <w:t>5</w:t>
      </w:r>
      <w:r w:rsidR="00790BCC" w:rsidRPr="00790BCC">
        <w:t>%</w:t>
      </w:r>
    </w:p>
    <w:p w14:paraId="1101DDC1" w14:textId="77777777" w:rsidR="0047504E" w:rsidRDefault="00CE6050" w:rsidP="00592DE1">
      <w:pPr>
        <w:pStyle w:val="TA"/>
      </w:pPr>
      <w:r>
        <w:t xml:space="preserve">Instruct </w:t>
      </w:r>
      <w:r w:rsidR="0047504E">
        <w:t xml:space="preserve">students </w:t>
      </w:r>
      <w:r>
        <w:t>to</w:t>
      </w:r>
      <w:r w:rsidR="0047504E">
        <w:t xml:space="preserve"> begin their analysis in this lesson by responding briefly in writing to the following prompt</w:t>
      </w:r>
      <w:r>
        <w:t>:</w:t>
      </w:r>
      <w:r w:rsidR="0047504E">
        <w:t xml:space="preserve"> </w:t>
      </w:r>
    </w:p>
    <w:p w14:paraId="0FA4FCAC" w14:textId="77777777" w:rsidR="00F100BB" w:rsidRDefault="00592DE1" w:rsidP="00592DE1">
      <w:pPr>
        <w:pStyle w:val="Q"/>
      </w:pPr>
      <w:r w:rsidRPr="00021D28">
        <w:t>How does Erdrich structure the text? How does the structure contribute to the aesthetic impact of the text?</w:t>
      </w:r>
    </w:p>
    <w:p w14:paraId="477E17DE" w14:textId="77777777" w:rsidR="00746D89" w:rsidRDefault="00746D89" w:rsidP="009918E7">
      <w:pPr>
        <w:pStyle w:val="SA"/>
      </w:pPr>
      <w:r>
        <w:t>Students listen and review the Quick Write prompt.</w:t>
      </w:r>
    </w:p>
    <w:p w14:paraId="4B668121" w14:textId="115E537E" w:rsidR="00505699" w:rsidRDefault="006D486B" w:rsidP="006D486B">
      <w:pPr>
        <w:pStyle w:val="IN"/>
      </w:pPr>
      <w:r>
        <w:rPr>
          <w:b/>
        </w:rPr>
        <w:t>Differentiation Consideration</w:t>
      </w:r>
      <w:r w:rsidR="00505699" w:rsidRPr="00F44C22">
        <w:rPr>
          <w:b/>
        </w:rPr>
        <w:t>:</w:t>
      </w:r>
      <w:r w:rsidR="00505699" w:rsidRPr="00E66660">
        <w:t xml:space="preserve"> </w:t>
      </w:r>
      <w:r w:rsidR="00505699" w:rsidRPr="00F44C22">
        <w:t>Consider posting or projecting the following guiding question to support students</w:t>
      </w:r>
      <w:r w:rsidR="00355A38">
        <w:t xml:space="preserve"> in their reading</w:t>
      </w:r>
      <w:r w:rsidR="00505699" w:rsidRPr="00F44C22">
        <w:t xml:space="preserve"> throughout this lesson</w:t>
      </w:r>
      <w:r w:rsidR="00505699">
        <w:t>:</w:t>
      </w:r>
    </w:p>
    <w:p w14:paraId="3674B4E4" w14:textId="77777777" w:rsidR="00592DE1" w:rsidRDefault="00F100BB" w:rsidP="006D486B">
      <w:pPr>
        <w:pStyle w:val="DCwithQ"/>
      </w:pPr>
      <w:r w:rsidRPr="00F100BB">
        <w:t xml:space="preserve"> How does Erdrich begin and end the story? What is important about these choices?</w:t>
      </w:r>
    </w:p>
    <w:p w14:paraId="364C69DE" w14:textId="77777777" w:rsidR="00746D89" w:rsidRDefault="00746D89" w:rsidP="00746D89">
      <w:pPr>
        <w:pStyle w:val="IN"/>
        <w:numPr>
          <w:ilvl w:val="0"/>
          <w:numId w:val="5"/>
        </w:numPr>
        <w:ind w:left="360"/>
      </w:pPr>
      <w:r>
        <w:t>Display the prompt for students to see, or provide the prompt in hard copy.</w:t>
      </w:r>
    </w:p>
    <w:p w14:paraId="2C8637BA" w14:textId="77777777" w:rsidR="0039053D" w:rsidRPr="002B59C4" w:rsidRDefault="0039053D" w:rsidP="0039053D">
      <w:pPr>
        <w:pStyle w:val="IN"/>
        <w:numPr>
          <w:ilvl w:val="0"/>
          <w:numId w:val="5"/>
        </w:numPr>
        <w:ind w:left="360"/>
        <w:rPr>
          <w:rFonts w:ascii="Times" w:hAnsi="Times" w:cs="Times"/>
          <w:sz w:val="24"/>
          <w:szCs w:val="24"/>
        </w:rPr>
      </w:pPr>
      <w:r>
        <w:t>Consider reminding students that the appropriate use of textual evidence to support their response</w:t>
      </w:r>
      <w:r w:rsidR="009712B2">
        <w:t>s</w:t>
      </w:r>
      <w:r>
        <w:t xml:space="preserve"> demonstrates their application of W.11-12.9.a.</w:t>
      </w:r>
    </w:p>
    <w:p w14:paraId="34149863" w14:textId="77777777" w:rsidR="00592DE1" w:rsidRDefault="00592DE1" w:rsidP="00592DE1">
      <w:pPr>
        <w:pStyle w:val="TA"/>
      </w:pPr>
      <w:r>
        <w:t xml:space="preserve">Transition to the independent Quick Write. </w:t>
      </w:r>
    </w:p>
    <w:p w14:paraId="1526E230" w14:textId="77777777" w:rsidR="00592DE1" w:rsidRDefault="00592DE1" w:rsidP="00592DE1">
      <w:pPr>
        <w:pStyle w:val="SA"/>
        <w:numPr>
          <w:ilvl w:val="0"/>
          <w:numId w:val="8"/>
        </w:numPr>
      </w:pPr>
      <w:r>
        <w:t xml:space="preserve">Students independently answer the prompt using evidence from the text. </w:t>
      </w:r>
    </w:p>
    <w:p w14:paraId="0FC00536" w14:textId="77777777" w:rsidR="00592DE1" w:rsidRDefault="00592DE1" w:rsidP="00592DE1">
      <w:pPr>
        <w:pStyle w:val="SR"/>
        <w:numPr>
          <w:ilvl w:val="0"/>
          <w:numId w:val="10"/>
        </w:numPr>
        <w:ind w:left="720"/>
      </w:pPr>
      <w:r>
        <w:t>See the High Performance Response at the beginning of this lesson.</w:t>
      </w:r>
    </w:p>
    <w:p w14:paraId="54949DD1" w14:textId="76E50883" w:rsidR="007D0622" w:rsidRPr="00790BCC" w:rsidRDefault="007D0622" w:rsidP="009918E7">
      <w:pPr>
        <w:pStyle w:val="IN"/>
      </w:pPr>
      <w:r>
        <w:lastRenderedPageBreak/>
        <w:t xml:space="preserve">This initial Quick Write is intended to </w:t>
      </w:r>
      <w:r w:rsidR="00CF23FF">
        <w:t xml:space="preserve">demonstrate </w:t>
      </w:r>
      <w:r>
        <w:t>student’s first thoughts and observations in respo</w:t>
      </w:r>
      <w:r w:rsidR="00CE6050">
        <w:t>nse to the prompt. Students</w:t>
      </w:r>
      <w:r>
        <w:t xml:space="preserve"> have additional time </w:t>
      </w:r>
      <w:r w:rsidR="00744F2E">
        <w:t>to develop</w:t>
      </w:r>
      <w:r>
        <w:t xml:space="preserve"> their analysis in this lesson and return to th</w:t>
      </w:r>
      <w:r w:rsidR="00F97A14">
        <w:t>is Quick Write</w:t>
      </w:r>
      <w:r>
        <w:t xml:space="preserve"> after a whole-class discussion. </w:t>
      </w:r>
    </w:p>
    <w:p w14:paraId="6477336A" w14:textId="77777777" w:rsidR="00422E5B" w:rsidRDefault="00422E5B">
      <w:pPr>
        <w:pStyle w:val="LearningSequenceHeader"/>
      </w:pPr>
      <w:r>
        <w:t xml:space="preserve">Activity 4: </w:t>
      </w:r>
      <w:r w:rsidR="008B4DC2">
        <w:t>Whole-</w:t>
      </w:r>
      <w:r>
        <w:t>Class Discussion</w:t>
      </w:r>
      <w:r>
        <w:tab/>
      </w:r>
      <w:r w:rsidR="001348D1">
        <w:t>45</w:t>
      </w:r>
      <w:r>
        <w:t>%</w:t>
      </w:r>
    </w:p>
    <w:p w14:paraId="4BFC5734" w14:textId="77777777" w:rsidR="003341DC" w:rsidRDefault="0047504E">
      <w:pPr>
        <w:pStyle w:val="TA"/>
      </w:pPr>
      <w:r>
        <w:t>Facilitate a</w:t>
      </w:r>
      <w:r w:rsidR="00422E5B">
        <w:t xml:space="preserve"> </w:t>
      </w:r>
      <w:r w:rsidR="00185E41">
        <w:t>whole-</w:t>
      </w:r>
      <w:r w:rsidR="00422E5B">
        <w:t>class discussion of student responses and observations</w:t>
      </w:r>
      <w:r>
        <w:t xml:space="preserve"> from their Quick Write responses</w:t>
      </w:r>
      <w:r w:rsidR="00422E5B">
        <w:t xml:space="preserve">. Encourage students to consider points of agreement or disagreement with other </w:t>
      </w:r>
      <w:r w:rsidR="00592DE1">
        <w:t xml:space="preserve">students </w:t>
      </w:r>
      <w:r w:rsidR="00422E5B">
        <w:t xml:space="preserve">and how the evidence and reasoning presented by other </w:t>
      </w:r>
      <w:r w:rsidR="00592DE1">
        <w:t>students</w:t>
      </w:r>
      <w:r w:rsidR="00422E5B">
        <w:t xml:space="preserve"> can help </w:t>
      </w:r>
      <w:r w:rsidR="00422E5B" w:rsidRPr="00AE6F89">
        <w:t>qualify or justify</w:t>
      </w:r>
      <w:r w:rsidR="00592DE1">
        <w:t xml:space="preserve"> the observations they generated independently</w:t>
      </w:r>
      <w:r w:rsidR="00422E5B">
        <w:t>.</w:t>
      </w:r>
      <w:r w:rsidR="00422E5B" w:rsidRPr="00AE6F89">
        <w:t xml:space="preserve"> </w:t>
      </w:r>
    </w:p>
    <w:p w14:paraId="2AAA3CBC" w14:textId="77777777" w:rsidR="00CE6050" w:rsidRPr="00760D26" w:rsidRDefault="00CE6050" w:rsidP="00CE6050">
      <w:pPr>
        <w:pStyle w:val="IN"/>
        <w:rPr>
          <w:b/>
        </w:rPr>
      </w:pPr>
      <w:r w:rsidRPr="00760D26">
        <w:rPr>
          <w:b/>
        </w:rPr>
        <w:t xml:space="preserve">Differentiation Consideration: </w:t>
      </w:r>
      <w:r>
        <w:t>Consider distributing the 11.4.1 Lesson 10 Structure Tool to support student discussion and evidence collection.</w:t>
      </w:r>
    </w:p>
    <w:p w14:paraId="5FE8BFC7" w14:textId="3AEB7B46" w:rsidR="00D03A0E" w:rsidRDefault="00D03A0E">
      <w:pPr>
        <w:pStyle w:val="TA"/>
      </w:pPr>
      <w:r>
        <w:t xml:space="preserve">Instruct students to use the relevant portions of the </w:t>
      </w:r>
      <w:r w:rsidR="007139E0">
        <w:t xml:space="preserve">11.4 </w:t>
      </w:r>
      <w:r>
        <w:t>Speaking and Listening Rubric and Checklist to guide their discussion.</w:t>
      </w:r>
    </w:p>
    <w:p w14:paraId="7F121A11" w14:textId="77777777" w:rsidR="00E5004E" w:rsidRDefault="00E5004E" w:rsidP="009918E7">
      <w:pPr>
        <w:pStyle w:val="IN"/>
      </w:pPr>
      <w:r>
        <w:t>Consider reminding stud</w:t>
      </w:r>
      <w:r w:rsidR="00EE1DA9">
        <w:t>ents of their previous work with SL.11-12.1.a, as</w:t>
      </w:r>
      <w:r>
        <w:t xml:space="preserve"> this discussion requires that students have come to class having read the material and asks them to explicitly draw</w:t>
      </w:r>
      <w:r w:rsidR="00702077">
        <w:t xml:space="preserve"> on</w:t>
      </w:r>
      <w:r>
        <w:t xml:space="preserve"> evidence from the text to support their </w:t>
      </w:r>
      <w:r w:rsidR="00702077">
        <w:t>discussion</w:t>
      </w:r>
      <w:r>
        <w:t>.</w:t>
      </w:r>
    </w:p>
    <w:p w14:paraId="747F0A24" w14:textId="77777777" w:rsidR="00E5004E" w:rsidRDefault="00E5004E" w:rsidP="009918E7">
      <w:pPr>
        <w:pStyle w:val="IN"/>
      </w:pPr>
      <w:r>
        <w:t>Consider reminding students of their previo</w:t>
      </w:r>
      <w:r w:rsidR="00EE1DA9">
        <w:t>us work with SL.11-12.1.c, as</w:t>
      </w:r>
      <w:r>
        <w:t xml:space="preserve"> this discussion requires that students pose and respond to questions, and qualify or justify their own points of agreement and disagreement with other students.</w:t>
      </w:r>
    </w:p>
    <w:p w14:paraId="48B4EC9B" w14:textId="77777777" w:rsidR="00E5004E" w:rsidRDefault="00E5004E" w:rsidP="009918E7">
      <w:pPr>
        <w:pStyle w:val="IN"/>
      </w:pPr>
      <w:r>
        <w:t>Consider reminding students of their previous work with SL.11-12.1.</w:t>
      </w:r>
      <w:r w:rsidR="007D0622">
        <w:t>d</w:t>
      </w:r>
      <w:r w:rsidR="00EE1DA9">
        <w:t>, as</w:t>
      </w:r>
      <w:r>
        <w:t xml:space="preserve"> this discussion requires that students seek to understand and respond thoughtfully to diverse perspectives in order to deepen the investigation of their position and observations.</w:t>
      </w:r>
    </w:p>
    <w:p w14:paraId="5FE5D4F1" w14:textId="77777777" w:rsidR="00231BF9" w:rsidRDefault="00422E5B" w:rsidP="00F100BB">
      <w:pPr>
        <w:pStyle w:val="SA"/>
      </w:pPr>
      <w:r>
        <w:t>Students share the</w:t>
      </w:r>
      <w:r w:rsidR="00592DE1">
        <w:t>ir</w:t>
      </w:r>
      <w:r>
        <w:t xml:space="preserve"> observations and evidence generated</w:t>
      </w:r>
      <w:r w:rsidR="0047504E">
        <w:t xml:space="preserve"> during the Quick Write</w:t>
      </w:r>
      <w:r>
        <w:t xml:space="preserve"> with the whole class.</w:t>
      </w:r>
    </w:p>
    <w:p w14:paraId="0F270B34" w14:textId="77777777" w:rsidR="00220684" w:rsidRDefault="00231BF9" w:rsidP="00220684">
      <w:pPr>
        <w:pStyle w:val="SR"/>
      </w:pPr>
      <w:r>
        <w:t>Student responses may include:</w:t>
      </w:r>
    </w:p>
    <w:p w14:paraId="67E581B6" w14:textId="4521965C" w:rsidR="00AF6FF1" w:rsidRDefault="00CE6050" w:rsidP="006946F3">
      <w:pPr>
        <w:pStyle w:val="SASRBullet"/>
      </w:pPr>
      <w:r>
        <w:t>Erdrich’s chooses</w:t>
      </w:r>
      <w:r w:rsidR="00231BF9" w:rsidRPr="006946F3">
        <w:t xml:space="preserve"> to structure the text by repeating key details and phrases </w:t>
      </w:r>
      <w:r w:rsidR="00BC3916" w:rsidRPr="006946F3">
        <w:t>at the beginning of the story, like “his boots filled with water</w:t>
      </w:r>
      <w:r w:rsidR="00231BF9" w:rsidRPr="006946F3">
        <w:t>” (p.</w:t>
      </w:r>
      <w:r w:rsidR="00BC3916" w:rsidRPr="006946F3">
        <w:t xml:space="preserve"> 1</w:t>
      </w:r>
      <w:r w:rsidR="00231BF9" w:rsidRPr="006946F3">
        <w:t>)</w:t>
      </w:r>
      <w:r w:rsidR="00BC3916" w:rsidRPr="006946F3">
        <w:t>,</w:t>
      </w:r>
      <w:r w:rsidR="00231BF9" w:rsidRPr="006946F3">
        <w:t xml:space="preserve"> and at the end of the story</w:t>
      </w:r>
      <w:r w:rsidR="00BC3916" w:rsidRPr="006946F3">
        <w:t>, like “</w:t>
      </w:r>
      <w:r w:rsidR="004924E6">
        <w:t>‘</w:t>
      </w:r>
      <w:r w:rsidR="00BC3916" w:rsidRPr="006946F3">
        <w:t>My boots are filling</w:t>
      </w:r>
      <w:r w:rsidR="004924E6">
        <w:t>’</w:t>
      </w:r>
      <w:r w:rsidR="00BC3916" w:rsidRPr="006946F3">
        <w:t>” (p. 10</w:t>
      </w:r>
      <w:r w:rsidR="00231BF9" w:rsidRPr="006946F3">
        <w:t>)</w:t>
      </w:r>
      <w:r w:rsidR="00AF6FF1" w:rsidRPr="006946F3">
        <w:t xml:space="preserve">. The story is like a closed circle or a cohesive whole because of the repetition that connects the beginning of the story to the story’s ending. This closed circle or cohesiveness of the story contributes to the aesthetic impact or beauty of the text by demonstrating Marty’s ongoing grief. </w:t>
      </w:r>
    </w:p>
    <w:p w14:paraId="6AAE0951" w14:textId="2D73C86E" w:rsidR="00A650F0" w:rsidRPr="009B1860" w:rsidRDefault="0044306F" w:rsidP="006946F3">
      <w:pPr>
        <w:pStyle w:val="IN"/>
      </w:pPr>
      <w:r w:rsidRPr="005608AD">
        <w:t>Explain to</w:t>
      </w:r>
      <w:r w:rsidR="005608AD" w:rsidRPr="005608AD">
        <w:t xml:space="preserve"> students that the repetition creates</w:t>
      </w:r>
      <w:r w:rsidRPr="00D25D96">
        <w:t xml:space="preserve"> circular narration</w:t>
      </w:r>
      <w:r w:rsidR="005608AD" w:rsidRPr="00956038">
        <w:t xml:space="preserve"> by connecting the story’s ending to the beginning</w:t>
      </w:r>
      <w:r w:rsidRPr="00956038">
        <w:t xml:space="preserve">. </w:t>
      </w:r>
      <w:r w:rsidR="005608AD" w:rsidRPr="00CE6050">
        <w:rPr>
          <w:i/>
        </w:rPr>
        <w:t>Circular narration</w:t>
      </w:r>
      <w:r w:rsidR="005608AD" w:rsidRPr="00956038">
        <w:t xml:space="preserve"> is “</w:t>
      </w:r>
      <w:r w:rsidR="005608AD" w:rsidRPr="006946F3">
        <w:t xml:space="preserve">a narrative that ends in the same place it began; a narrative that </w:t>
      </w:r>
      <w:r w:rsidR="005608AD" w:rsidRPr="006946F3">
        <w:lastRenderedPageBreak/>
        <w:t>has certain plot points repeated.</w:t>
      </w:r>
      <w:r w:rsidR="00D25D96">
        <w:t>”</w:t>
      </w:r>
      <w:r w:rsidR="005608AD" w:rsidRPr="006946F3">
        <w:t xml:space="preserve"> </w:t>
      </w:r>
      <w:r w:rsidRPr="005608AD">
        <w:t xml:space="preserve">Students will </w:t>
      </w:r>
      <w:r w:rsidR="00E44FA3" w:rsidRPr="00D25D96">
        <w:t>work with circular narration again</w:t>
      </w:r>
      <w:r w:rsidR="00E44FA3" w:rsidRPr="00956038">
        <w:t xml:space="preserve"> in </w:t>
      </w:r>
      <w:r w:rsidR="00F06B0C">
        <w:t>the following lesson</w:t>
      </w:r>
      <w:r w:rsidR="00E44FA3" w:rsidRPr="00956038">
        <w:t>.</w:t>
      </w:r>
    </w:p>
    <w:p w14:paraId="31A85F57" w14:textId="4CEDD66D" w:rsidR="00891EA1" w:rsidRDefault="00891EA1" w:rsidP="00DA4627">
      <w:pPr>
        <w:pStyle w:val="SASRBullet"/>
      </w:pPr>
      <w:r>
        <w:t>Erdr</w:t>
      </w:r>
      <w:r w:rsidR="00493A7E">
        <w:t>i</w:t>
      </w:r>
      <w:r>
        <w:t xml:space="preserve">ch also chooses to structure the opening of the text </w:t>
      </w:r>
      <w:r w:rsidR="00B2118A">
        <w:t>by using</w:t>
      </w:r>
      <w:r w:rsidR="00F45C92">
        <w:t xml:space="preserve"> figurative language to imply what happens at the end of the story. In the story’s introduction,</w:t>
      </w:r>
      <w:r>
        <w:t xml:space="preserve"> Marty states that Steph</w:t>
      </w:r>
      <w:r w:rsidR="006343CB">
        <w:t>a</w:t>
      </w:r>
      <w:r>
        <w:t>n “bought out my share</w:t>
      </w:r>
      <w:r w:rsidR="00197B9C">
        <w:t>,</w:t>
      </w:r>
      <w:r>
        <w:t>” which seems to mean that Steph</w:t>
      </w:r>
      <w:r w:rsidR="006343CB">
        <w:t>a</w:t>
      </w:r>
      <w:r>
        <w:t>n purchased the car from Marty</w:t>
      </w:r>
      <w:r w:rsidR="00197B9C">
        <w:t xml:space="preserve"> (p. 1)</w:t>
      </w:r>
      <w:r>
        <w:t>. After the story ends, the phrase “bought out my share” takes on a different meaning, since the reader knows that it is referring to Steph</w:t>
      </w:r>
      <w:r w:rsidR="006343CB">
        <w:t>a</w:t>
      </w:r>
      <w:r>
        <w:t>n’s death</w:t>
      </w:r>
      <w:r w:rsidR="00197B9C">
        <w:t xml:space="preserve"> (p. 1)</w:t>
      </w:r>
      <w:r>
        <w:t>.</w:t>
      </w:r>
    </w:p>
    <w:p w14:paraId="235E4A33" w14:textId="6B98F915" w:rsidR="00891EA1" w:rsidRDefault="009C7817" w:rsidP="006946F3">
      <w:pPr>
        <w:pStyle w:val="IN"/>
      </w:pPr>
      <w:r>
        <w:t>Explain to students that the phrase used at the beginning of the text to imply Steph</w:t>
      </w:r>
      <w:r w:rsidR="006343CB">
        <w:t>a</w:t>
      </w:r>
      <w:r>
        <w:t>n’s death is an indirect expression of the real meaning (Steph</w:t>
      </w:r>
      <w:r w:rsidR="006343CB">
        <w:t>a</w:t>
      </w:r>
      <w:r>
        <w:t xml:space="preserve">n’s death). This kind of indirect substitution is called a </w:t>
      </w:r>
      <w:r w:rsidRPr="006946F3">
        <w:rPr>
          <w:i/>
        </w:rPr>
        <w:t>euphemism</w:t>
      </w:r>
      <w:r>
        <w:t>: “</w:t>
      </w:r>
      <w:r w:rsidRPr="009C7817">
        <w:t>the substitution of a mild, indirect, or vague expression for one thought t</w:t>
      </w:r>
      <w:r>
        <w:t xml:space="preserve">o be offensive, harsh, or blunt.” Students may consider using </w:t>
      </w:r>
      <w:r w:rsidRPr="000F23F5">
        <w:rPr>
          <w:i/>
        </w:rPr>
        <w:t>euphemism</w:t>
      </w:r>
      <w:r>
        <w:t xml:space="preserve"> in their own narrative writing through</w:t>
      </w:r>
      <w:r w:rsidR="00B2118A">
        <w:t>out</w:t>
      </w:r>
      <w:r>
        <w:t xml:space="preserve"> 11.4.1 and 11.4.2. </w:t>
      </w:r>
    </w:p>
    <w:p w14:paraId="735145D7" w14:textId="34684411" w:rsidR="00D67D27" w:rsidRDefault="00231BF9" w:rsidP="00DA4627">
      <w:pPr>
        <w:pStyle w:val="SASRBullet"/>
      </w:pPr>
      <w:r>
        <w:t xml:space="preserve">Erdrich chooses to structure the text </w:t>
      </w:r>
      <w:r w:rsidR="008B2089">
        <w:t xml:space="preserve">through Marty’s reflections. The text </w:t>
      </w:r>
      <w:r>
        <w:t xml:space="preserve">begins </w:t>
      </w:r>
      <w:r w:rsidR="00BC3916">
        <w:t xml:space="preserve">in the past tense (“was”) </w:t>
      </w:r>
      <w:r>
        <w:t>with a memory</w:t>
      </w:r>
      <w:r w:rsidR="00BC3916">
        <w:t xml:space="preserve"> of a car Marty used to own with his brother, and the use of “now” further shows that the story is a reflection by setting up a “now” that is separate from the “then” in which the story takes place</w:t>
      </w:r>
      <w:r w:rsidR="000F23F5">
        <w:t xml:space="preserve"> (p. 1).</w:t>
      </w:r>
      <w:r w:rsidR="00BC3916">
        <w:t xml:space="preserve"> A</w:t>
      </w:r>
      <w:r>
        <w:t>t key points in the story</w:t>
      </w:r>
      <w:r w:rsidR="00B47C1B">
        <w:t>,</w:t>
      </w:r>
      <w:r>
        <w:t xml:space="preserve"> Erdrich chooses to remind the reader that this story is a reflection or memory</w:t>
      </w:r>
      <w:r w:rsidR="000C0EFB">
        <w:t>:</w:t>
      </w:r>
      <w:r w:rsidR="00956038">
        <w:t xml:space="preserve"> </w:t>
      </w:r>
      <w:r w:rsidR="00BC3916">
        <w:t>“That time we first saw it</w:t>
      </w:r>
      <w:r>
        <w:t xml:space="preserve">” (p. </w:t>
      </w:r>
      <w:r w:rsidR="00BC3916">
        <w:t>2</w:t>
      </w:r>
      <w:r>
        <w:t xml:space="preserve">), </w:t>
      </w:r>
      <w:r w:rsidR="00BC3916">
        <w:t>“That picture. I never look at it anymore</w:t>
      </w:r>
      <w:r>
        <w:t xml:space="preserve">” (p. </w:t>
      </w:r>
      <w:r w:rsidR="00BC3916">
        <w:t>7</w:t>
      </w:r>
      <w:r>
        <w:t>)</w:t>
      </w:r>
      <w:r w:rsidR="00940F55">
        <w:t xml:space="preserve">. </w:t>
      </w:r>
      <w:r w:rsidR="007D0622">
        <w:t xml:space="preserve">This structure </w:t>
      </w:r>
      <w:r w:rsidR="005118C2">
        <w:t>contributes to the aesthetic impact of the story by demonstrating</w:t>
      </w:r>
      <w:r w:rsidR="007D0622">
        <w:t xml:space="preserve"> the ongoing, “going and running and running” </w:t>
      </w:r>
      <w:r w:rsidR="00D67D27">
        <w:t>of the</w:t>
      </w:r>
      <w:r w:rsidR="007D0622">
        <w:t xml:space="preserve"> grief and pain in Marty’s life</w:t>
      </w:r>
      <w:r w:rsidR="0072619E">
        <w:t xml:space="preserve"> (p. 10)</w:t>
      </w:r>
      <w:r w:rsidR="007D0622">
        <w:t xml:space="preserve">. </w:t>
      </w:r>
    </w:p>
    <w:p w14:paraId="0FF1359B" w14:textId="77777777" w:rsidR="00722129" w:rsidRDefault="00891EA1" w:rsidP="006946F3">
      <w:pPr>
        <w:pStyle w:val="SASRBullet"/>
      </w:pPr>
      <w:r>
        <w:t xml:space="preserve">Erdrich chooses to structure the </w:t>
      </w:r>
      <w:r w:rsidR="005118C2">
        <w:t>ending</w:t>
      </w:r>
      <w:r>
        <w:t xml:space="preserve"> of the text as a tragedy. </w:t>
      </w:r>
      <w:r w:rsidR="00FD3464">
        <w:t xml:space="preserve">Marty’s grief continues to go, and run, even after the car has </w:t>
      </w:r>
      <w:r w:rsidR="00C42ED0">
        <w:t>sunk to the bottom of the river.</w:t>
      </w:r>
      <w:r w:rsidR="00FD3464">
        <w:t xml:space="preserve"> </w:t>
      </w:r>
      <w:r w:rsidR="00C42ED0">
        <w:t>The emotional impact of this</w:t>
      </w:r>
      <w:r w:rsidR="00FD3464">
        <w:t xml:space="preserve"> ending contributes to the</w:t>
      </w:r>
      <w:r w:rsidR="00722129">
        <w:t xml:space="preserve"> overall</w:t>
      </w:r>
      <w:r w:rsidR="00FD3464">
        <w:t xml:space="preserve"> aesthetic impact of the story</w:t>
      </w:r>
      <w:r w:rsidR="00C42ED0">
        <w:t xml:space="preserve"> because t</w:t>
      </w:r>
      <w:r>
        <w:t>he tension between the two brothers throughout the story resolves in tragedy</w:t>
      </w:r>
      <w:r w:rsidR="00722129">
        <w:t>.</w:t>
      </w:r>
    </w:p>
    <w:p w14:paraId="33A22F63" w14:textId="48E233D4" w:rsidR="00891EA1" w:rsidRDefault="00891EA1" w:rsidP="006946F3">
      <w:pPr>
        <w:pStyle w:val="IN"/>
      </w:pPr>
      <w:r>
        <w:t xml:space="preserve">Remind students of their work with </w:t>
      </w:r>
      <w:r w:rsidRPr="000F23F5">
        <w:rPr>
          <w:i/>
        </w:rPr>
        <w:t>tragic resolution</w:t>
      </w:r>
      <w:r>
        <w:t xml:space="preserve"> in </w:t>
      </w:r>
      <w:r w:rsidR="00F06B0C">
        <w:t>Unit</w:t>
      </w:r>
      <w:r>
        <w:t xml:space="preserve"> 11.1.2, where they analyzed the tragic resolution of Shakespeare’s </w:t>
      </w:r>
      <w:r w:rsidRPr="006946F3">
        <w:rPr>
          <w:i/>
        </w:rPr>
        <w:t xml:space="preserve">Hamlet. </w:t>
      </w:r>
      <w:r>
        <w:t xml:space="preserve">Explain to students that </w:t>
      </w:r>
      <w:r w:rsidRPr="00363CDE">
        <w:t>tragic resolution</w:t>
      </w:r>
      <w:r>
        <w:t xml:space="preserve"> in a Shakespearean tragedy follows a classic dramatic structure; tragic resolution in Erdrich’s story is similar in that the story ends in death, but is different from the Shakespearean form.</w:t>
      </w:r>
    </w:p>
    <w:p w14:paraId="7000A5A7" w14:textId="1A73D5BA" w:rsidR="00231BF9" w:rsidRDefault="00694329" w:rsidP="00233525">
      <w:pPr>
        <w:pStyle w:val="SASRBullet"/>
      </w:pPr>
      <w:r>
        <w:t>Marty</w:t>
      </w:r>
      <w:r w:rsidR="00FD3464">
        <w:t xml:space="preserve"> directly</w:t>
      </w:r>
      <w:r>
        <w:t xml:space="preserve"> addresses the reader</w:t>
      </w:r>
      <w:r w:rsidR="00CE6050">
        <w:t xml:space="preserve"> by saying,</w:t>
      </w:r>
      <w:r>
        <w:t xml:space="preserve"> “you understand” and demonstrates a desire for the reader to understand the events of the</w:t>
      </w:r>
      <w:r w:rsidR="00DC7C49">
        <w:t xml:space="preserve"> story</w:t>
      </w:r>
      <w:r w:rsidR="00363CDE">
        <w:t xml:space="preserve"> (p. 9)</w:t>
      </w:r>
      <w:r w:rsidR="00DC7C49">
        <w:t>. This contributes to the aesthetic impact by revealing Marty’s pain and the desire to share his pain with the reader.</w:t>
      </w:r>
      <w:r w:rsidR="0039053D">
        <w:t xml:space="preserve"> </w:t>
      </w:r>
    </w:p>
    <w:p w14:paraId="63DFFCD0" w14:textId="0E6A9934" w:rsidR="00F75553" w:rsidRPr="006946F3" w:rsidRDefault="00231BF9" w:rsidP="006946F3">
      <w:pPr>
        <w:pStyle w:val="SASRBullet"/>
        <w:rPr>
          <w:rFonts w:ascii="Times" w:eastAsia="Times New Roman" w:hAnsi="Times"/>
          <w:sz w:val="20"/>
          <w:szCs w:val="20"/>
        </w:rPr>
      </w:pPr>
      <w:r>
        <w:t>Erdrich chooses to structure the text through the</w:t>
      </w:r>
      <w:r w:rsidR="007D02C3">
        <w:t xml:space="preserve"> use of the convertible as a connecting detail; </w:t>
      </w:r>
      <w:r>
        <w:t>it is the title</w:t>
      </w:r>
      <w:r w:rsidR="00480AA9">
        <w:t xml:space="preserve"> and</w:t>
      </w:r>
      <w:r>
        <w:t xml:space="preserve"> appears in the first </w:t>
      </w:r>
      <w:r w:rsidR="00561B50">
        <w:t>sentence of the story</w:t>
      </w:r>
      <w:r w:rsidR="006C442E">
        <w:t>:</w:t>
      </w:r>
      <w:r w:rsidR="00561B50">
        <w:t xml:space="preserve"> </w:t>
      </w:r>
      <w:r w:rsidR="00694329">
        <w:t>“I was the first one to drive a convertible on my reservation</w:t>
      </w:r>
      <w:r w:rsidR="00561B50">
        <w:t xml:space="preserve">” (p. </w:t>
      </w:r>
      <w:r w:rsidR="00694329">
        <w:t>1</w:t>
      </w:r>
      <w:r w:rsidR="00561B50">
        <w:t>). The convertible also plays</w:t>
      </w:r>
      <w:r w:rsidR="00480AA9">
        <w:t xml:space="preserve"> a role</w:t>
      </w:r>
      <w:r w:rsidR="00561B50">
        <w:t xml:space="preserve"> in </w:t>
      </w:r>
      <w:r>
        <w:t>significant</w:t>
      </w:r>
      <w:r w:rsidR="00BC3916">
        <w:t xml:space="preserve"> moments throughout the story</w:t>
      </w:r>
      <w:r w:rsidR="00480AA9">
        <w:t>.</w:t>
      </w:r>
      <w:r w:rsidR="008B7082">
        <w:t xml:space="preserve"> Erdrich uses the</w:t>
      </w:r>
      <w:r w:rsidR="007D0622">
        <w:t xml:space="preserve"> convertible at every stage of the brothers’ </w:t>
      </w:r>
      <w:r w:rsidR="007D0622">
        <w:lastRenderedPageBreak/>
        <w:t>relationship, from when they were happy before Stephan left for the war, to the very end of Stephan’s life.</w:t>
      </w:r>
      <w:r w:rsidR="00480AA9">
        <w:t xml:space="preserve"> F</w:t>
      </w:r>
      <w:r w:rsidR="00561B50">
        <w:t xml:space="preserve">or example, during the summer road </w:t>
      </w:r>
      <w:r w:rsidR="00197B9C">
        <w:t>trip, “it</w:t>
      </w:r>
      <w:r w:rsidR="00561B50">
        <w:t xml:space="preserve"> gave us a beautiful performance when we needed it” (p. 4) and when Stephan turns his attention to fixing the car after he returns from the war</w:t>
      </w:r>
      <w:r w:rsidR="006B6D5C">
        <w:t>,</w:t>
      </w:r>
      <w:r w:rsidR="00561B50">
        <w:t xml:space="preserve"> </w:t>
      </w:r>
      <w:r w:rsidR="00BC3916">
        <w:t>“</w:t>
      </w:r>
      <w:r w:rsidR="00561B50">
        <w:t>I thought he’d freeze himself to death working on that vehicle</w:t>
      </w:r>
      <w:r>
        <w:t xml:space="preserve">” (p. </w:t>
      </w:r>
      <w:r w:rsidR="00561B50">
        <w:t>6</w:t>
      </w:r>
      <w:r>
        <w:t>)</w:t>
      </w:r>
      <w:r w:rsidR="00BC3916">
        <w:t>. Also,</w:t>
      </w:r>
      <w:r>
        <w:t xml:space="preserve"> </w:t>
      </w:r>
      <w:r w:rsidR="00BC3916">
        <w:t xml:space="preserve">Marty drives the car </w:t>
      </w:r>
      <w:r>
        <w:t xml:space="preserve">into the river </w:t>
      </w:r>
      <w:r w:rsidR="00BC3916">
        <w:t xml:space="preserve">at the end of the story </w:t>
      </w:r>
      <w:r w:rsidR="00940F55">
        <w:t xml:space="preserve">and </w:t>
      </w:r>
      <w:r w:rsidR="00BC3916">
        <w:t>watch</w:t>
      </w:r>
      <w:r w:rsidR="00940F55">
        <w:t>es</w:t>
      </w:r>
      <w:r w:rsidR="00BC3916">
        <w:t xml:space="preserve"> </w:t>
      </w:r>
      <w:r w:rsidR="00940F55">
        <w:t>“</w:t>
      </w:r>
      <w:r w:rsidR="00BC3916">
        <w:t xml:space="preserve">it plow softly into the </w:t>
      </w:r>
      <w:r w:rsidR="006A030D">
        <w:t>water</w:t>
      </w:r>
      <w:r>
        <w:t xml:space="preserve">” (p. </w:t>
      </w:r>
      <w:r w:rsidR="00BC3916">
        <w:t>10</w:t>
      </w:r>
      <w:r>
        <w:t>)</w:t>
      </w:r>
      <w:r w:rsidR="005D6212">
        <w:t xml:space="preserve">. </w:t>
      </w:r>
      <w:r w:rsidR="008B2089">
        <w:t>Through the</w:t>
      </w:r>
      <w:r w:rsidR="007D0622">
        <w:t xml:space="preserve"> convertible</w:t>
      </w:r>
      <w:r w:rsidR="008B2089">
        <w:t>,</w:t>
      </w:r>
      <w:r w:rsidR="007D0622">
        <w:t xml:space="preserve"> Marty tries to reach out to Stephan and remind him of the way </w:t>
      </w:r>
      <w:r w:rsidR="00940F55">
        <w:t>his life</w:t>
      </w:r>
      <w:r w:rsidR="007D0622">
        <w:t xml:space="preserve"> used to be, and Marty’s decision to drive the convertible into the river is representative of his powerlessness at being able to reach, or help, his brother. </w:t>
      </w:r>
      <w:r w:rsidR="00891EA1" w:rsidRPr="001B3AFB">
        <w:t>The symbolic nature of the convertible, and its connection to the brother's relationship, heightens the tragedy in Marty's final action with the car</w:t>
      </w:r>
      <w:r w:rsidR="00891EA1">
        <w:t xml:space="preserve"> since</w:t>
      </w:r>
      <w:r w:rsidR="00F75553">
        <w:t xml:space="preserve"> he realizes he cannot help his brother and ultimately loses him.</w:t>
      </w:r>
      <w:r w:rsidR="00891EA1">
        <w:t xml:space="preserve"> </w:t>
      </w:r>
    </w:p>
    <w:p w14:paraId="22F2AF3A" w14:textId="77777777" w:rsidR="003341DC" w:rsidRDefault="00422E5B" w:rsidP="006946F3">
      <w:pPr>
        <w:pStyle w:val="IN"/>
      </w:pPr>
      <w:r>
        <w:t xml:space="preserve">Consider </w:t>
      </w:r>
      <w:r w:rsidR="0047504E">
        <w:t xml:space="preserve">putting students into small groups and </w:t>
      </w:r>
      <w:r>
        <w:t>having each group elect a spokesperson to share their observations</w:t>
      </w:r>
      <w:r w:rsidR="0047504E">
        <w:t>,</w:t>
      </w:r>
      <w:r>
        <w:t xml:space="preserve"> or </w:t>
      </w:r>
      <w:r w:rsidR="00234F48">
        <w:t xml:space="preserve">asking </w:t>
      </w:r>
      <w:r>
        <w:t>students to volunteer to discuss the observ</w:t>
      </w:r>
      <w:r w:rsidR="0047504E">
        <w:t>ations and evidence generated during their Quick Write</w:t>
      </w:r>
      <w:r>
        <w:t>.</w:t>
      </w:r>
    </w:p>
    <w:p w14:paraId="5338FA9E" w14:textId="77777777" w:rsidR="00231BF9" w:rsidRDefault="00231BF9">
      <w:pPr>
        <w:pStyle w:val="IN"/>
      </w:pPr>
      <w:r>
        <w:rPr>
          <w:b/>
        </w:rPr>
        <w:t xml:space="preserve">Differentiation Consideration: </w:t>
      </w:r>
      <w:r>
        <w:t>If students would benefit from a more structured discussion, consider providing the following scaffolding questions to support their analysis and discussion:</w:t>
      </w:r>
    </w:p>
    <w:p w14:paraId="4BF3623A" w14:textId="77777777" w:rsidR="00231BF9" w:rsidRDefault="00231BF9" w:rsidP="00233525">
      <w:pPr>
        <w:pStyle w:val="DCwithQ"/>
      </w:pPr>
      <w:r>
        <w:t>What choices does Erdrich make in beginning and ending the story?</w:t>
      </w:r>
    </w:p>
    <w:p w14:paraId="530C3B50" w14:textId="77777777" w:rsidR="00231BF9" w:rsidRDefault="00231BF9" w:rsidP="00233525">
      <w:pPr>
        <w:pStyle w:val="DCwithQ"/>
      </w:pPr>
      <w:r>
        <w:t>How is the story structured?</w:t>
      </w:r>
    </w:p>
    <w:p w14:paraId="174C49A7" w14:textId="77777777" w:rsidR="00760D26" w:rsidRDefault="00F100BB" w:rsidP="00233525">
      <w:pPr>
        <w:pStyle w:val="DCwithQ"/>
      </w:pPr>
      <w:r>
        <w:t xml:space="preserve">How does the story's structure impact its meaning?  </w:t>
      </w:r>
    </w:p>
    <w:p w14:paraId="64B23A1F" w14:textId="77777777" w:rsidR="00592DE1" w:rsidRDefault="00592DE1" w:rsidP="00592DE1">
      <w:pPr>
        <w:pStyle w:val="TA"/>
      </w:pPr>
      <w:r>
        <w:t>Instruct students to</w:t>
      </w:r>
      <w:r w:rsidR="00367D03">
        <w:t xml:space="preserve"> form pairs and</w:t>
      </w:r>
      <w:r>
        <w:t xml:space="preserve"> briefly discuss how their opinions were challenged or verified through discussion, or if they made</w:t>
      </w:r>
      <w:r w:rsidRPr="00AE6F89">
        <w:t xml:space="preserve"> new connections in light of the e</w:t>
      </w:r>
      <w:r>
        <w:t xml:space="preserve">vidence and </w:t>
      </w:r>
      <w:r w:rsidR="0047504E">
        <w:t>reasoning presented during the</w:t>
      </w:r>
      <w:r>
        <w:t xml:space="preserve"> discussions.</w:t>
      </w:r>
    </w:p>
    <w:p w14:paraId="246CA8C8" w14:textId="77777777" w:rsidR="00592DE1" w:rsidRDefault="00592DE1" w:rsidP="00592DE1">
      <w:pPr>
        <w:pStyle w:val="SA"/>
      </w:pPr>
      <w:r>
        <w:t>Student</w:t>
      </w:r>
      <w:r w:rsidR="00367D03">
        <w:t xml:space="preserve"> pairs </w:t>
      </w:r>
      <w:r>
        <w:t>discuss how their opinions were challenged or verified through discussion, and any new connections they made during the discussion.</w:t>
      </w:r>
    </w:p>
    <w:p w14:paraId="7793BB3F" w14:textId="77777777" w:rsidR="00220684" w:rsidRDefault="00231BF9" w:rsidP="00233525">
      <w:pPr>
        <w:pStyle w:val="TA"/>
      </w:pPr>
      <w:r>
        <w:t xml:space="preserve">Lead a brief </w:t>
      </w:r>
      <w:r w:rsidR="00046CDB">
        <w:t>whole-</w:t>
      </w:r>
      <w:r>
        <w:t>class discussion of student observat</w:t>
      </w:r>
      <w:r w:rsidR="00046CDB">
        <w:t>ions</w:t>
      </w:r>
      <w:r>
        <w:t>.</w:t>
      </w:r>
    </w:p>
    <w:p w14:paraId="798361BC" w14:textId="77777777" w:rsidR="00231BF9" w:rsidRDefault="00231BF9" w:rsidP="002959FF">
      <w:pPr>
        <w:pStyle w:val="LearningSequenceHeader"/>
        <w:keepNext/>
      </w:pPr>
      <w:r>
        <w:t>Activity 5: Quick Write</w:t>
      </w:r>
      <w:r>
        <w:tab/>
      </w:r>
      <w:r w:rsidR="00C61C96">
        <w:t>2</w:t>
      </w:r>
      <w:r w:rsidR="00CD7064">
        <w:t>0</w:t>
      </w:r>
      <w:r>
        <w:t>%</w:t>
      </w:r>
    </w:p>
    <w:p w14:paraId="40496142" w14:textId="77777777" w:rsidR="00231BF9" w:rsidRDefault="00231BF9" w:rsidP="00231BF9">
      <w:pPr>
        <w:pStyle w:val="TA"/>
      </w:pPr>
      <w:r>
        <w:t>Instruct students to return to their Pre-Discussion Quick Write. Instruct students to independently revise or expand their Quick Write response in light of the whole</w:t>
      </w:r>
      <w:r w:rsidR="00951899">
        <w:t>-</w:t>
      </w:r>
      <w:r>
        <w:t>class discussion, adding any new connections, and strengthening or revising any verified or challenged opinions.</w:t>
      </w:r>
    </w:p>
    <w:p w14:paraId="5A24F379" w14:textId="77777777" w:rsidR="00231BF9" w:rsidRDefault="00231BF9" w:rsidP="00231BF9">
      <w:pPr>
        <w:pStyle w:val="Q"/>
      </w:pPr>
      <w:r w:rsidRPr="00021D28">
        <w:lastRenderedPageBreak/>
        <w:t>How does Erdrich structure the text? How does the structure contribute to the aesthetic impact of the text?</w:t>
      </w:r>
    </w:p>
    <w:p w14:paraId="569D4245" w14:textId="77777777" w:rsidR="00231BF9" w:rsidRDefault="00231BF9" w:rsidP="00231BF9">
      <w:pPr>
        <w:pStyle w:val="TA"/>
      </w:pPr>
      <w:r>
        <w:t>Instruct students to look at their annotations to find evidence. Also, remind students to use the Short Response Rubric and Checklist to guide their written responses.</w:t>
      </w:r>
    </w:p>
    <w:p w14:paraId="6A043EAF" w14:textId="77777777" w:rsidR="00231BF9" w:rsidRDefault="00231BF9" w:rsidP="00231BF9">
      <w:pPr>
        <w:pStyle w:val="SA"/>
        <w:numPr>
          <w:ilvl w:val="0"/>
          <w:numId w:val="8"/>
        </w:numPr>
      </w:pPr>
      <w:r>
        <w:t>Students listen and read the Quick Write prompt.</w:t>
      </w:r>
    </w:p>
    <w:p w14:paraId="3FE5B5D0" w14:textId="77777777" w:rsidR="00231BF9" w:rsidRDefault="00231BF9" w:rsidP="00231BF9">
      <w:pPr>
        <w:pStyle w:val="IN"/>
        <w:numPr>
          <w:ilvl w:val="0"/>
          <w:numId w:val="5"/>
        </w:numPr>
        <w:ind w:left="360"/>
      </w:pPr>
      <w:r>
        <w:t>Display the prompt for students to see, or provide the prompt in hard copy.</w:t>
      </w:r>
    </w:p>
    <w:p w14:paraId="6A7CB82A" w14:textId="77777777" w:rsidR="00231BF9" w:rsidRDefault="00231BF9" w:rsidP="00231BF9">
      <w:pPr>
        <w:pStyle w:val="TA"/>
      </w:pPr>
      <w:r>
        <w:t xml:space="preserve">Transition to the independent Quick Write. </w:t>
      </w:r>
    </w:p>
    <w:p w14:paraId="4DB207A9" w14:textId="77777777" w:rsidR="00231BF9" w:rsidRDefault="00231BF9" w:rsidP="00231BF9">
      <w:pPr>
        <w:pStyle w:val="SA"/>
      </w:pPr>
      <w:r w:rsidRPr="00231BF9">
        <w:t>Students revise or ex</w:t>
      </w:r>
      <w:r>
        <w:t>pand their Pre-Discussion Quick Write response</w:t>
      </w:r>
      <w:r w:rsidR="00147CCC">
        <w:t>s</w:t>
      </w:r>
      <w:r>
        <w:t xml:space="preserve">. </w:t>
      </w:r>
    </w:p>
    <w:p w14:paraId="41DCC785" w14:textId="77777777" w:rsidR="00231BF9" w:rsidRPr="00F100BB" w:rsidRDefault="00231BF9" w:rsidP="00233525">
      <w:pPr>
        <w:pStyle w:val="SR"/>
        <w:numPr>
          <w:ilvl w:val="0"/>
          <w:numId w:val="10"/>
        </w:numPr>
        <w:ind w:left="720"/>
      </w:pPr>
      <w:r>
        <w:t>See the High Performance Response at the beginning of this lesson.</w:t>
      </w:r>
    </w:p>
    <w:p w14:paraId="4DDF0D16" w14:textId="77777777" w:rsidR="00790BCC" w:rsidRPr="00790BCC" w:rsidRDefault="00860C51" w:rsidP="007017EB">
      <w:pPr>
        <w:pStyle w:val="LearningSequenceHeader"/>
      </w:pPr>
      <w:r>
        <w:t xml:space="preserve">Activity </w:t>
      </w:r>
      <w:r w:rsidR="001348D1">
        <w:t>6</w:t>
      </w:r>
      <w:r w:rsidR="00790BCC" w:rsidRPr="00790BCC">
        <w:t>: Closing</w:t>
      </w:r>
      <w:r w:rsidR="00790BCC" w:rsidRPr="00790BCC">
        <w:tab/>
        <w:t>5%</w:t>
      </w:r>
    </w:p>
    <w:p w14:paraId="0105E1AF" w14:textId="21C71A17" w:rsidR="00860795" w:rsidRDefault="00D018CB" w:rsidP="00592DE1">
      <w:pPr>
        <w:pStyle w:val="TA"/>
      </w:pPr>
      <w:r>
        <w:t xml:space="preserve">Display and distribute the homework assignment. </w:t>
      </w:r>
      <w:r w:rsidR="00A23B6F">
        <w:t>For homework, i</w:t>
      </w:r>
      <w:r w:rsidR="001D7AB7">
        <w:t xml:space="preserve">nstruct students </w:t>
      </w:r>
      <w:r w:rsidR="00A23B6F">
        <w:t>to</w:t>
      </w:r>
      <w:r w:rsidR="007D0622">
        <w:t xml:space="preserve"> review their </w:t>
      </w:r>
      <w:r w:rsidR="000D737B">
        <w:t xml:space="preserve">11.4 </w:t>
      </w:r>
      <w:r w:rsidR="007D0622">
        <w:t>Narrative Writing Rubric and Checklist</w:t>
      </w:r>
      <w:r w:rsidR="00860795">
        <w:t xml:space="preserve"> </w:t>
      </w:r>
      <w:r w:rsidR="007D0622">
        <w:t xml:space="preserve">for the skills outlined in W.11-12.3.a, as well as their work with </w:t>
      </w:r>
      <w:r w:rsidR="008D1686">
        <w:t>standard</w:t>
      </w:r>
      <w:r w:rsidR="00C302D0">
        <w:t xml:space="preserve"> W</w:t>
      </w:r>
      <w:r w:rsidR="008D1686">
        <w:t>.11-12.3.a</w:t>
      </w:r>
      <w:r w:rsidR="007D0622">
        <w:t xml:space="preserve"> </w:t>
      </w:r>
      <w:r w:rsidR="008D1686">
        <w:t>in</w:t>
      </w:r>
      <w:r w:rsidR="007D0622">
        <w:t xml:space="preserve"> 11.4.1 Lesson</w:t>
      </w:r>
      <w:r w:rsidR="009918E7">
        <w:t>s 6 and 7</w:t>
      </w:r>
      <w:r w:rsidR="007D0622">
        <w:t xml:space="preserve">. Instruct students to </w:t>
      </w:r>
      <w:r w:rsidR="00860795">
        <w:t>respond in writing to the following prompt:</w:t>
      </w:r>
    </w:p>
    <w:p w14:paraId="59AF9E23" w14:textId="36BC74E6" w:rsidR="00B35FC0" w:rsidRDefault="00B35FC0" w:rsidP="009918E7">
      <w:pPr>
        <w:pStyle w:val="Q"/>
      </w:pPr>
      <w:r w:rsidRPr="00B35FC0">
        <w:t>How does Erdrich use components of W.11-12.3</w:t>
      </w:r>
      <w:r w:rsidR="00884474">
        <w:t>.</w:t>
      </w:r>
      <w:r w:rsidRPr="00B35FC0">
        <w:t>a in the opening of “The Red Convertible”</w:t>
      </w:r>
      <w:r w:rsidR="00305314">
        <w:t>?</w:t>
      </w:r>
    </w:p>
    <w:p w14:paraId="41527AF5" w14:textId="77777777" w:rsidR="00E87F5D" w:rsidRDefault="00E87F5D" w:rsidP="00E87F5D">
      <w:pPr>
        <w:shd w:val="clear" w:color="auto" w:fill="FFFFFF"/>
        <w:spacing w:before="15" w:after="0" w:line="240" w:lineRule="auto"/>
        <w:rPr>
          <w:rFonts w:asciiTheme="minorHAnsi" w:eastAsia="Times New Roman" w:hAnsiTheme="minorHAnsi" w:cs="Arial"/>
          <w:color w:val="000000"/>
        </w:rPr>
      </w:pPr>
    </w:p>
    <w:p w14:paraId="1443F0EF" w14:textId="3802D2C5" w:rsidR="00E87F5D" w:rsidRPr="00E87F5D" w:rsidRDefault="00E87F5D" w:rsidP="00E87F5D">
      <w:pPr>
        <w:shd w:val="clear" w:color="auto" w:fill="FFFFFF"/>
        <w:spacing w:before="15" w:after="0" w:line="240" w:lineRule="auto"/>
        <w:rPr>
          <w:rFonts w:asciiTheme="minorHAnsi" w:eastAsia="Times New Roman" w:hAnsiTheme="minorHAnsi" w:cs="Arial"/>
          <w:color w:val="000000"/>
        </w:rPr>
      </w:pPr>
      <w:r w:rsidRPr="00E87F5D">
        <w:rPr>
          <w:rFonts w:asciiTheme="minorHAnsi" w:eastAsia="Times New Roman" w:hAnsiTheme="minorHAnsi" w:cs="Arial"/>
          <w:color w:val="000000"/>
        </w:rPr>
        <w:t xml:space="preserve">Additionally, students should continue to read their </w:t>
      </w:r>
      <w:bookmarkStart w:id="0" w:name="_GoBack"/>
      <w:r w:rsidRPr="00E87F5D">
        <w:rPr>
          <w:rFonts w:asciiTheme="minorHAnsi" w:eastAsia="Times New Roman" w:hAnsiTheme="minorHAnsi" w:cs="Arial"/>
          <w:color w:val="000000"/>
        </w:rPr>
        <w:t>AIR</w:t>
      </w:r>
      <w:bookmarkEnd w:id="0"/>
      <w:r w:rsidRPr="00E87F5D">
        <w:rPr>
          <w:rFonts w:asciiTheme="minorHAnsi" w:eastAsia="Times New Roman" w:hAnsiTheme="minorHAnsi" w:cs="Arial"/>
          <w:color w:val="000000"/>
        </w:rPr>
        <w:t xml:space="preserve"> text</w:t>
      </w:r>
      <w:r w:rsidR="008D1686">
        <w:rPr>
          <w:rFonts w:asciiTheme="minorHAnsi" w:eastAsia="Times New Roman" w:hAnsiTheme="minorHAnsi" w:cs="Arial"/>
          <w:color w:val="000000"/>
        </w:rPr>
        <w:t>s</w:t>
      </w:r>
      <w:r w:rsidRPr="00E87F5D">
        <w:rPr>
          <w:rFonts w:asciiTheme="minorHAnsi" w:eastAsia="Times New Roman" w:hAnsiTheme="minorHAnsi" w:cs="Arial"/>
          <w:color w:val="000000"/>
        </w:rPr>
        <w:t xml:space="preserve"> through the lens of a focus standard of their choice and prepare for a 3–5 minute discussion of their text</w:t>
      </w:r>
      <w:r w:rsidR="008D1686">
        <w:rPr>
          <w:rFonts w:asciiTheme="minorHAnsi" w:eastAsia="Times New Roman" w:hAnsiTheme="minorHAnsi" w:cs="Arial"/>
          <w:color w:val="000000"/>
        </w:rPr>
        <w:t>s</w:t>
      </w:r>
      <w:r w:rsidRPr="00E87F5D">
        <w:rPr>
          <w:rFonts w:asciiTheme="minorHAnsi" w:eastAsia="Times New Roman" w:hAnsiTheme="minorHAnsi" w:cs="Arial"/>
          <w:color w:val="000000"/>
        </w:rPr>
        <w:t xml:space="preserve"> based on that standard.</w:t>
      </w:r>
    </w:p>
    <w:p w14:paraId="0D7EB1D5" w14:textId="77777777" w:rsidR="001A0360" w:rsidRDefault="00720051">
      <w:pPr>
        <w:pStyle w:val="SA"/>
      </w:pPr>
      <w:r>
        <w:t xml:space="preserve">Students follow along. </w:t>
      </w:r>
    </w:p>
    <w:p w14:paraId="61239269" w14:textId="77777777" w:rsidR="00790BCC" w:rsidRPr="00790BCC" w:rsidRDefault="00790BCC" w:rsidP="00942601">
      <w:pPr>
        <w:pStyle w:val="Heading1"/>
        <w:keepNext w:val="0"/>
      </w:pPr>
      <w:r w:rsidRPr="00790BCC">
        <w:t>Homework</w:t>
      </w:r>
    </w:p>
    <w:p w14:paraId="2CB4B963" w14:textId="593FF71C" w:rsidR="00860795" w:rsidRDefault="007D0622" w:rsidP="00942601">
      <w:pPr>
        <w:keepLines/>
      </w:pPr>
      <w:r>
        <w:t>Review your</w:t>
      </w:r>
      <w:r w:rsidR="000D737B">
        <w:t xml:space="preserve"> 11.4</w:t>
      </w:r>
      <w:r>
        <w:t xml:space="preserve"> Narrative Writing Rubric and Checklist for the skills outlined in W.11-12.3.a and the work you did with that standard in 11.4.1 Lesson</w:t>
      </w:r>
      <w:r w:rsidR="009918E7">
        <w:t>s 6 and 7</w:t>
      </w:r>
      <w:r>
        <w:t xml:space="preserve">. </w:t>
      </w:r>
      <w:r w:rsidR="00860795">
        <w:t>Respond in writing to the following prompt:</w:t>
      </w:r>
    </w:p>
    <w:p w14:paraId="2C38CC61" w14:textId="76DD6222" w:rsidR="00B35FC0" w:rsidRPr="00B35FC0" w:rsidRDefault="00B35FC0" w:rsidP="00942601">
      <w:pPr>
        <w:pStyle w:val="Q"/>
        <w:keepLines/>
        <w:rPr>
          <w:rFonts w:ascii="Times" w:hAnsi="Times"/>
        </w:rPr>
      </w:pPr>
      <w:r w:rsidRPr="00B35FC0">
        <w:t>How does Erdrich use components of W.11-12.3</w:t>
      </w:r>
      <w:r w:rsidR="00FE0E35">
        <w:t>.</w:t>
      </w:r>
      <w:r w:rsidRPr="00B35FC0">
        <w:t>a in the opening of “The Red Convertible”</w:t>
      </w:r>
      <w:r w:rsidR="00920D8A">
        <w:t>?</w:t>
      </w:r>
    </w:p>
    <w:p w14:paraId="5D737042" w14:textId="5F6FED36" w:rsidR="00E87F5D" w:rsidRPr="00E87F5D" w:rsidRDefault="00E87F5D" w:rsidP="007139E0">
      <w:pPr>
        <w:shd w:val="clear" w:color="auto" w:fill="FFFFFF"/>
        <w:spacing w:before="240" w:after="0" w:line="240" w:lineRule="auto"/>
        <w:rPr>
          <w:rFonts w:asciiTheme="minorHAnsi" w:eastAsia="Times New Roman" w:hAnsiTheme="minorHAnsi" w:cs="Arial"/>
          <w:color w:val="000000"/>
        </w:rPr>
      </w:pPr>
      <w:r w:rsidRPr="00E87F5D">
        <w:rPr>
          <w:rFonts w:asciiTheme="minorHAnsi" w:eastAsia="Times New Roman" w:hAnsiTheme="minorHAnsi" w:cs="Arial"/>
          <w:color w:val="000000"/>
        </w:rPr>
        <w:t>Additionally, continue</w:t>
      </w:r>
      <w:r w:rsidR="007139E0">
        <w:rPr>
          <w:rFonts w:asciiTheme="minorHAnsi" w:eastAsia="Times New Roman" w:hAnsiTheme="minorHAnsi" w:cs="Arial"/>
          <w:color w:val="000000"/>
        </w:rPr>
        <w:t xml:space="preserve"> reading</w:t>
      </w:r>
      <w:r w:rsidRPr="00E87F5D">
        <w:rPr>
          <w:rFonts w:asciiTheme="minorHAnsi" w:eastAsia="Times New Roman" w:hAnsiTheme="minorHAnsi" w:cs="Arial"/>
          <w:color w:val="000000"/>
        </w:rPr>
        <w:t xml:space="preserve"> your Accountable Independent Reading </w:t>
      </w:r>
      <w:r w:rsidR="007D224A">
        <w:rPr>
          <w:rFonts w:asciiTheme="minorHAnsi" w:eastAsia="Times New Roman" w:hAnsiTheme="minorHAnsi" w:cs="Arial"/>
          <w:color w:val="000000"/>
        </w:rPr>
        <w:t xml:space="preserve">text </w:t>
      </w:r>
      <w:r w:rsidRPr="00E87F5D">
        <w:rPr>
          <w:rFonts w:asciiTheme="minorHAnsi" w:eastAsia="Times New Roman" w:hAnsiTheme="minorHAnsi" w:cs="Arial"/>
          <w:color w:val="000000"/>
        </w:rPr>
        <w:t>through the lens of a focus standard of your choice and prepare for a 3–5 minute discussion of your text based on that standard.</w:t>
      </w:r>
    </w:p>
    <w:p w14:paraId="30A68186" w14:textId="77777777" w:rsidR="00E6374D" w:rsidRDefault="00E6374D" w:rsidP="000F23F5">
      <w:pPr>
        <w:shd w:val="clear" w:color="auto" w:fill="FFFFFF"/>
        <w:spacing w:before="15" w:after="0" w:line="240" w:lineRule="auto"/>
        <w:sectPr w:rsidR="00E6374D">
          <w:headerReference w:type="default" r:id="rId8"/>
          <w:footerReference w:type="default" r:id="rId9"/>
          <w:pgSz w:w="12240" w:h="15840"/>
          <w:pgMar w:top="1440" w:right="1440" w:bottom="1440" w:left="1440" w:header="432" w:footer="648" w:gutter="0"/>
          <w:cols w:space="720"/>
          <w:docGrid w:linePitch="299"/>
        </w:sectPr>
      </w:pPr>
    </w:p>
    <w:p w14:paraId="35E83E21" w14:textId="77777777" w:rsidR="00993B8F" w:rsidRDefault="00993B8F" w:rsidP="00DF6E77">
      <w:pPr>
        <w:pStyle w:val="ToolHeader"/>
        <w:keepNext/>
      </w:pPr>
      <w:r w:rsidRPr="00993B8F">
        <w:lastRenderedPageBreak/>
        <w:t>1</w:t>
      </w:r>
      <w:r w:rsidR="00DF6E77">
        <w:t xml:space="preserve">1.4.1 Lesson 10 Structure Tool </w:t>
      </w:r>
      <w:r w:rsidR="00D03A0E">
        <w:t>(Optional)</w:t>
      </w: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3030"/>
        <w:gridCol w:w="732"/>
        <w:gridCol w:w="2700"/>
        <w:gridCol w:w="720"/>
        <w:gridCol w:w="1440"/>
      </w:tblGrid>
      <w:tr w:rsidR="00DF6E77" w14:paraId="721EF7E4" w14:textId="77777777">
        <w:trPr>
          <w:trHeight w:val="562"/>
        </w:trPr>
        <w:tc>
          <w:tcPr>
            <w:tcW w:w="828" w:type="dxa"/>
            <w:shd w:val="clear" w:color="auto" w:fill="D9D9D9"/>
            <w:vAlign w:val="center"/>
          </w:tcPr>
          <w:p w14:paraId="29A44B03" w14:textId="77777777" w:rsidR="00DF6E77" w:rsidRPr="00317D7B" w:rsidRDefault="00DF6E77" w:rsidP="0019757B">
            <w:pPr>
              <w:pStyle w:val="TableText"/>
              <w:rPr>
                <w:b/>
                <w:bCs/>
              </w:rPr>
            </w:pPr>
            <w:r w:rsidRPr="00317D7B">
              <w:rPr>
                <w:b/>
                <w:bCs/>
              </w:rPr>
              <w:t>Name:</w:t>
            </w:r>
          </w:p>
        </w:tc>
        <w:tc>
          <w:tcPr>
            <w:tcW w:w="3030" w:type="dxa"/>
            <w:vAlign w:val="center"/>
          </w:tcPr>
          <w:p w14:paraId="1EDE6F75" w14:textId="77777777" w:rsidR="00DF6E77" w:rsidRPr="00317D7B" w:rsidRDefault="00DF6E77" w:rsidP="0019757B">
            <w:pPr>
              <w:pStyle w:val="TableText"/>
              <w:rPr>
                <w:b/>
                <w:bCs/>
              </w:rPr>
            </w:pPr>
          </w:p>
        </w:tc>
        <w:tc>
          <w:tcPr>
            <w:tcW w:w="732" w:type="dxa"/>
            <w:shd w:val="clear" w:color="auto" w:fill="D9D9D9"/>
            <w:vAlign w:val="center"/>
          </w:tcPr>
          <w:p w14:paraId="5666AC47" w14:textId="77777777" w:rsidR="00DF6E77" w:rsidRPr="00317D7B" w:rsidRDefault="00DF6E77" w:rsidP="0019757B">
            <w:pPr>
              <w:pStyle w:val="TableText"/>
              <w:rPr>
                <w:b/>
                <w:bCs/>
              </w:rPr>
            </w:pPr>
            <w:r w:rsidRPr="00317D7B">
              <w:rPr>
                <w:b/>
                <w:bCs/>
              </w:rPr>
              <w:t>Class:</w:t>
            </w:r>
          </w:p>
        </w:tc>
        <w:tc>
          <w:tcPr>
            <w:tcW w:w="2700" w:type="dxa"/>
            <w:vAlign w:val="center"/>
          </w:tcPr>
          <w:p w14:paraId="3BEBF24A" w14:textId="77777777" w:rsidR="00DF6E77" w:rsidRPr="00317D7B" w:rsidRDefault="00DF6E77" w:rsidP="0019757B">
            <w:pPr>
              <w:pStyle w:val="TableText"/>
              <w:rPr>
                <w:b/>
                <w:bCs/>
              </w:rPr>
            </w:pPr>
          </w:p>
        </w:tc>
        <w:tc>
          <w:tcPr>
            <w:tcW w:w="720" w:type="dxa"/>
            <w:shd w:val="clear" w:color="auto" w:fill="D9D9D9"/>
            <w:vAlign w:val="center"/>
          </w:tcPr>
          <w:p w14:paraId="65BADA32" w14:textId="77777777" w:rsidR="00DF6E77" w:rsidRPr="00317D7B" w:rsidRDefault="00DF6E77" w:rsidP="0019757B">
            <w:pPr>
              <w:pStyle w:val="TableText"/>
              <w:rPr>
                <w:b/>
                <w:bCs/>
              </w:rPr>
            </w:pPr>
            <w:r w:rsidRPr="00317D7B">
              <w:rPr>
                <w:b/>
                <w:bCs/>
              </w:rPr>
              <w:t>Date:</w:t>
            </w:r>
          </w:p>
        </w:tc>
        <w:tc>
          <w:tcPr>
            <w:tcW w:w="1440" w:type="dxa"/>
            <w:vAlign w:val="center"/>
          </w:tcPr>
          <w:p w14:paraId="4C519DC9" w14:textId="77777777" w:rsidR="00DF6E77" w:rsidRPr="00317D7B" w:rsidRDefault="00DF6E77" w:rsidP="0019757B">
            <w:pPr>
              <w:pStyle w:val="TableText"/>
              <w:rPr>
                <w:b/>
                <w:bCs/>
              </w:rPr>
            </w:pPr>
          </w:p>
        </w:tc>
      </w:tr>
    </w:tbl>
    <w:p w14:paraId="2918D7CC" w14:textId="77777777" w:rsidR="00DF6E77" w:rsidRDefault="00DF6E77" w:rsidP="00DF6E77">
      <w:pPr>
        <w:spacing w:after="0"/>
        <w:rPr>
          <w:sz w:val="10"/>
          <w:szCs w:val="10"/>
        </w:rPr>
      </w:pP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DF6E77" w14:paraId="6BED59CC" w14:textId="77777777">
        <w:trPr>
          <w:trHeight w:val="562"/>
        </w:trPr>
        <w:tc>
          <w:tcPr>
            <w:tcW w:w="9450" w:type="dxa"/>
            <w:shd w:val="clear" w:color="auto" w:fill="D9D9D9"/>
            <w:vAlign w:val="center"/>
          </w:tcPr>
          <w:p w14:paraId="391B6B3A" w14:textId="77777777" w:rsidR="00DF6E77" w:rsidRPr="00DF6E77" w:rsidRDefault="00DF6E77" w:rsidP="00DF6E77">
            <w:pPr>
              <w:pStyle w:val="ToolTableText"/>
            </w:pPr>
            <w:r w:rsidRPr="00DF6E77">
              <w:rPr>
                <w:b/>
              </w:rPr>
              <w:t>Directions:</w:t>
            </w:r>
            <w:r w:rsidRPr="00DF6E77">
              <w:t xml:space="preserve"> Use this tool to collect and identify evidence in preparation for analyzing text structure: How does Erdrich structure the text? How does the structure contribute to the aesthetic impact of the text?</w:t>
            </w:r>
          </w:p>
        </w:tc>
      </w:tr>
    </w:tbl>
    <w:p w14:paraId="0B9ADD20" w14:textId="77777777" w:rsidR="00993B8F" w:rsidRPr="00993B8F" w:rsidRDefault="00993B8F" w:rsidP="00993B8F">
      <w:pPr>
        <w:spacing w:before="0" w:after="0"/>
        <w:rPr>
          <w:sz w:val="14"/>
          <w:szCs w:val="14"/>
        </w:rPr>
      </w:pPr>
    </w:p>
    <w:tbl>
      <w:tblPr>
        <w:tblStyle w:val="TableGrid"/>
        <w:tblW w:w="9504" w:type="dxa"/>
        <w:tblInd w:w="115" w:type="dxa"/>
        <w:tblLook w:val="04A0" w:firstRow="1" w:lastRow="0" w:firstColumn="1" w:lastColumn="0" w:noHBand="0" w:noVBand="1"/>
      </w:tblPr>
      <w:tblGrid>
        <w:gridCol w:w="3146"/>
        <w:gridCol w:w="3199"/>
        <w:gridCol w:w="3159"/>
      </w:tblGrid>
      <w:tr w:rsidR="00993B8F" w:rsidRPr="00DF6E77" w14:paraId="7CB63D07" w14:textId="77777777">
        <w:trPr>
          <w:trHeight w:val="266"/>
        </w:trPr>
        <w:tc>
          <w:tcPr>
            <w:tcW w:w="1655" w:type="pct"/>
            <w:tcBorders>
              <w:top w:val="single" w:sz="4" w:space="0" w:color="auto"/>
              <w:left w:val="single" w:sz="4" w:space="0" w:color="auto"/>
              <w:bottom w:val="single" w:sz="4" w:space="0" w:color="auto"/>
              <w:right w:val="single" w:sz="4" w:space="0" w:color="auto"/>
            </w:tcBorders>
            <w:shd w:val="clear" w:color="auto" w:fill="D9D9D9"/>
            <w:vAlign w:val="center"/>
          </w:tcPr>
          <w:p w14:paraId="4F21CB66" w14:textId="77777777" w:rsidR="00993B8F" w:rsidRPr="00DF6E77" w:rsidRDefault="00993B8F" w:rsidP="00DF6E77">
            <w:pPr>
              <w:pStyle w:val="ToolTableText"/>
              <w:rPr>
                <w:b/>
                <w:sz w:val="22"/>
                <w:szCs w:val="22"/>
              </w:rPr>
            </w:pPr>
            <w:r w:rsidRPr="00DF6E77">
              <w:rPr>
                <w:b/>
                <w:sz w:val="22"/>
                <w:szCs w:val="22"/>
              </w:rPr>
              <w:t>Evidence of how</w:t>
            </w:r>
            <w:r w:rsidR="00DF6E77">
              <w:rPr>
                <w:b/>
                <w:sz w:val="22"/>
                <w:szCs w:val="22"/>
              </w:rPr>
              <w:t xml:space="preserve"> the author structures the text</w:t>
            </w:r>
          </w:p>
        </w:tc>
        <w:tc>
          <w:tcPr>
            <w:tcW w:w="1683" w:type="pct"/>
            <w:tcBorders>
              <w:top w:val="single" w:sz="4" w:space="0" w:color="auto"/>
              <w:left w:val="single" w:sz="4" w:space="0" w:color="auto"/>
              <w:bottom w:val="single" w:sz="4" w:space="0" w:color="auto"/>
              <w:right w:val="single" w:sz="4" w:space="0" w:color="auto"/>
            </w:tcBorders>
            <w:shd w:val="clear" w:color="auto" w:fill="D9D9D9"/>
            <w:vAlign w:val="center"/>
          </w:tcPr>
          <w:p w14:paraId="5E84D96D" w14:textId="77777777" w:rsidR="00993B8F" w:rsidRPr="00DF6E77" w:rsidRDefault="00993B8F" w:rsidP="00DF6E77">
            <w:pPr>
              <w:pStyle w:val="ToolTableText"/>
              <w:rPr>
                <w:b/>
                <w:sz w:val="22"/>
                <w:szCs w:val="22"/>
              </w:rPr>
            </w:pPr>
            <w:r w:rsidRPr="00DF6E77">
              <w:rPr>
                <w:b/>
                <w:sz w:val="22"/>
                <w:szCs w:val="22"/>
              </w:rPr>
              <w:t>How does this structure inform the meaning of the text?</w:t>
            </w:r>
          </w:p>
        </w:tc>
        <w:tc>
          <w:tcPr>
            <w:tcW w:w="1662" w:type="pct"/>
            <w:tcBorders>
              <w:top w:val="single" w:sz="4" w:space="0" w:color="auto"/>
              <w:left w:val="single" w:sz="4" w:space="0" w:color="auto"/>
              <w:bottom w:val="single" w:sz="4" w:space="0" w:color="auto"/>
              <w:right w:val="single" w:sz="4" w:space="0" w:color="auto"/>
            </w:tcBorders>
            <w:shd w:val="clear" w:color="auto" w:fill="D9D9D9"/>
            <w:vAlign w:val="center"/>
          </w:tcPr>
          <w:p w14:paraId="29960E7B" w14:textId="77777777" w:rsidR="00993B8F" w:rsidRPr="00DF6E77" w:rsidRDefault="00993B8F" w:rsidP="00DF6E77">
            <w:pPr>
              <w:pStyle w:val="ToolTableText"/>
              <w:rPr>
                <w:b/>
                <w:sz w:val="22"/>
                <w:szCs w:val="22"/>
              </w:rPr>
            </w:pPr>
            <w:r w:rsidRPr="00DF6E77">
              <w:rPr>
                <w:b/>
                <w:sz w:val="22"/>
                <w:szCs w:val="22"/>
              </w:rPr>
              <w:t xml:space="preserve">What is the aesthetic impact of this structure? </w:t>
            </w:r>
          </w:p>
        </w:tc>
      </w:tr>
      <w:tr w:rsidR="00993B8F" w:rsidRPr="00DF6E77" w14:paraId="0BB6A5D9" w14:textId="77777777">
        <w:trPr>
          <w:trHeight w:val="1800"/>
        </w:trPr>
        <w:tc>
          <w:tcPr>
            <w:tcW w:w="1655" w:type="pct"/>
            <w:tcBorders>
              <w:top w:val="single" w:sz="4" w:space="0" w:color="auto"/>
              <w:left w:val="single" w:sz="4" w:space="0" w:color="auto"/>
              <w:bottom w:val="single" w:sz="4" w:space="0" w:color="auto"/>
              <w:right w:val="single" w:sz="4" w:space="0" w:color="auto"/>
            </w:tcBorders>
          </w:tcPr>
          <w:p w14:paraId="76502628" w14:textId="77777777" w:rsidR="00993B8F" w:rsidRPr="00DF6E77" w:rsidRDefault="00993B8F" w:rsidP="00DF6E77">
            <w:pPr>
              <w:pStyle w:val="ToolTableText"/>
              <w:rPr>
                <w:b/>
                <w:sz w:val="22"/>
                <w:szCs w:val="22"/>
              </w:rPr>
            </w:pPr>
          </w:p>
          <w:p w14:paraId="7BD4CD08" w14:textId="77777777" w:rsidR="00993B8F" w:rsidRPr="00DF6E77" w:rsidRDefault="00993B8F" w:rsidP="00DF6E77">
            <w:pPr>
              <w:pStyle w:val="ToolTableText"/>
              <w:rPr>
                <w:b/>
                <w:sz w:val="22"/>
                <w:szCs w:val="22"/>
              </w:rPr>
            </w:pPr>
          </w:p>
        </w:tc>
        <w:tc>
          <w:tcPr>
            <w:tcW w:w="1683" w:type="pct"/>
            <w:tcBorders>
              <w:top w:val="single" w:sz="4" w:space="0" w:color="auto"/>
              <w:left w:val="single" w:sz="4" w:space="0" w:color="auto"/>
              <w:bottom w:val="single" w:sz="4" w:space="0" w:color="auto"/>
              <w:right w:val="single" w:sz="4" w:space="0" w:color="auto"/>
            </w:tcBorders>
          </w:tcPr>
          <w:p w14:paraId="2DCA9987" w14:textId="77777777" w:rsidR="00993B8F" w:rsidRPr="00DF6E77" w:rsidRDefault="00993B8F" w:rsidP="00DF6E77">
            <w:pPr>
              <w:pStyle w:val="ToolTableText"/>
              <w:rPr>
                <w:b/>
                <w:sz w:val="22"/>
                <w:szCs w:val="22"/>
              </w:rPr>
            </w:pPr>
          </w:p>
        </w:tc>
        <w:tc>
          <w:tcPr>
            <w:tcW w:w="1662" w:type="pct"/>
            <w:tcBorders>
              <w:top w:val="single" w:sz="4" w:space="0" w:color="auto"/>
              <w:left w:val="single" w:sz="4" w:space="0" w:color="auto"/>
              <w:bottom w:val="single" w:sz="4" w:space="0" w:color="auto"/>
              <w:right w:val="single" w:sz="4" w:space="0" w:color="auto"/>
            </w:tcBorders>
          </w:tcPr>
          <w:p w14:paraId="50709FFE" w14:textId="77777777" w:rsidR="00993B8F" w:rsidRPr="00DF6E77" w:rsidRDefault="00993B8F" w:rsidP="00DF6E77">
            <w:pPr>
              <w:pStyle w:val="ToolTableText"/>
              <w:rPr>
                <w:b/>
                <w:sz w:val="22"/>
                <w:szCs w:val="22"/>
              </w:rPr>
            </w:pPr>
          </w:p>
        </w:tc>
      </w:tr>
      <w:tr w:rsidR="00993B8F" w:rsidRPr="00DF6E77" w14:paraId="74922AED" w14:textId="77777777">
        <w:trPr>
          <w:trHeight w:val="1800"/>
        </w:trPr>
        <w:tc>
          <w:tcPr>
            <w:tcW w:w="1655" w:type="pct"/>
            <w:tcBorders>
              <w:top w:val="single" w:sz="4" w:space="0" w:color="auto"/>
              <w:left w:val="single" w:sz="4" w:space="0" w:color="auto"/>
              <w:bottom w:val="single" w:sz="4" w:space="0" w:color="auto"/>
              <w:right w:val="single" w:sz="4" w:space="0" w:color="auto"/>
            </w:tcBorders>
          </w:tcPr>
          <w:p w14:paraId="79052FC0" w14:textId="77777777" w:rsidR="00993B8F" w:rsidRPr="00DF6E77" w:rsidRDefault="00993B8F" w:rsidP="00DF6E77">
            <w:pPr>
              <w:pStyle w:val="ToolTableText"/>
              <w:rPr>
                <w:b/>
                <w:sz w:val="22"/>
                <w:szCs w:val="22"/>
              </w:rPr>
            </w:pPr>
          </w:p>
          <w:p w14:paraId="5705C23F" w14:textId="77777777" w:rsidR="00993B8F" w:rsidRPr="00DF6E77" w:rsidRDefault="00993B8F" w:rsidP="00DF6E77">
            <w:pPr>
              <w:pStyle w:val="ToolTableText"/>
              <w:rPr>
                <w:b/>
                <w:sz w:val="22"/>
                <w:szCs w:val="22"/>
              </w:rPr>
            </w:pPr>
          </w:p>
        </w:tc>
        <w:tc>
          <w:tcPr>
            <w:tcW w:w="1683" w:type="pct"/>
            <w:tcBorders>
              <w:top w:val="single" w:sz="4" w:space="0" w:color="auto"/>
              <w:left w:val="single" w:sz="4" w:space="0" w:color="auto"/>
              <w:bottom w:val="single" w:sz="4" w:space="0" w:color="auto"/>
              <w:right w:val="single" w:sz="4" w:space="0" w:color="auto"/>
            </w:tcBorders>
          </w:tcPr>
          <w:p w14:paraId="12F9E180" w14:textId="77777777" w:rsidR="00993B8F" w:rsidRPr="00DF6E77" w:rsidRDefault="00993B8F" w:rsidP="00DF6E77">
            <w:pPr>
              <w:pStyle w:val="ToolTableText"/>
              <w:rPr>
                <w:b/>
                <w:sz w:val="22"/>
                <w:szCs w:val="22"/>
              </w:rPr>
            </w:pPr>
          </w:p>
        </w:tc>
        <w:tc>
          <w:tcPr>
            <w:tcW w:w="1662" w:type="pct"/>
            <w:tcBorders>
              <w:top w:val="single" w:sz="4" w:space="0" w:color="auto"/>
              <w:left w:val="single" w:sz="4" w:space="0" w:color="auto"/>
              <w:bottom w:val="single" w:sz="4" w:space="0" w:color="auto"/>
              <w:right w:val="single" w:sz="4" w:space="0" w:color="auto"/>
            </w:tcBorders>
          </w:tcPr>
          <w:p w14:paraId="174CB395" w14:textId="77777777" w:rsidR="00993B8F" w:rsidRPr="00DF6E77" w:rsidRDefault="00993B8F" w:rsidP="00DF6E77">
            <w:pPr>
              <w:pStyle w:val="ToolTableText"/>
              <w:rPr>
                <w:b/>
                <w:sz w:val="22"/>
                <w:szCs w:val="22"/>
              </w:rPr>
            </w:pPr>
          </w:p>
        </w:tc>
      </w:tr>
      <w:tr w:rsidR="00993B8F" w:rsidRPr="00DF6E77" w14:paraId="01D099E0" w14:textId="77777777">
        <w:trPr>
          <w:trHeight w:val="1800"/>
        </w:trPr>
        <w:tc>
          <w:tcPr>
            <w:tcW w:w="1655" w:type="pct"/>
            <w:tcBorders>
              <w:top w:val="single" w:sz="4" w:space="0" w:color="auto"/>
              <w:left w:val="single" w:sz="4" w:space="0" w:color="auto"/>
              <w:bottom w:val="single" w:sz="4" w:space="0" w:color="auto"/>
              <w:right w:val="single" w:sz="4" w:space="0" w:color="auto"/>
            </w:tcBorders>
          </w:tcPr>
          <w:p w14:paraId="2685B119" w14:textId="77777777" w:rsidR="00993B8F" w:rsidRPr="00DF6E77" w:rsidRDefault="00993B8F" w:rsidP="00DF6E77">
            <w:pPr>
              <w:pStyle w:val="ToolTableText"/>
              <w:rPr>
                <w:b/>
                <w:sz w:val="22"/>
                <w:szCs w:val="22"/>
              </w:rPr>
            </w:pPr>
          </w:p>
        </w:tc>
        <w:tc>
          <w:tcPr>
            <w:tcW w:w="1683" w:type="pct"/>
            <w:tcBorders>
              <w:top w:val="single" w:sz="4" w:space="0" w:color="auto"/>
              <w:left w:val="single" w:sz="4" w:space="0" w:color="auto"/>
              <w:bottom w:val="single" w:sz="4" w:space="0" w:color="auto"/>
              <w:right w:val="single" w:sz="4" w:space="0" w:color="auto"/>
            </w:tcBorders>
          </w:tcPr>
          <w:p w14:paraId="71E7CE3E" w14:textId="77777777" w:rsidR="00993B8F" w:rsidRPr="00DF6E77" w:rsidRDefault="00993B8F" w:rsidP="00DF6E77">
            <w:pPr>
              <w:pStyle w:val="ToolTableText"/>
              <w:rPr>
                <w:b/>
                <w:sz w:val="22"/>
                <w:szCs w:val="22"/>
              </w:rPr>
            </w:pPr>
          </w:p>
        </w:tc>
        <w:tc>
          <w:tcPr>
            <w:tcW w:w="1662" w:type="pct"/>
            <w:tcBorders>
              <w:top w:val="single" w:sz="4" w:space="0" w:color="auto"/>
              <w:left w:val="single" w:sz="4" w:space="0" w:color="auto"/>
              <w:bottom w:val="single" w:sz="4" w:space="0" w:color="auto"/>
              <w:right w:val="single" w:sz="4" w:space="0" w:color="auto"/>
            </w:tcBorders>
          </w:tcPr>
          <w:p w14:paraId="64E00945" w14:textId="77777777" w:rsidR="00993B8F" w:rsidRPr="00DF6E77" w:rsidRDefault="00993B8F" w:rsidP="00DF6E77">
            <w:pPr>
              <w:pStyle w:val="ToolTableText"/>
              <w:rPr>
                <w:b/>
                <w:sz w:val="22"/>
                <w:szCs w:val="22"/>
              </w:rPr>
            </w:pPr>
          </w:p>
        </w:tc>
      </w:tr>
      <w:tr w:rsidR="00993B8F" w:rsidRPr="00DF6E77" w14:paraId="5CFB3298" w14:textId="77777777">
        <w:trPr>
          <w:trHeight w:val="1800"/>
        </w:trPr>
        <w:tc>
          <w:tcPr>
            <w:tcW w:w="1655" w:type="pct"/>
            <w:tcBorders>
              <w:top w:val="single" w:sz="4" w:space="0" w:color="auto"/>
              <w:left w:val="single" w:sz="4" w:space="0" w:color="auto"/>
              <w:bottom w:val="single" w:sz="4" w:space="0" w:color="auto"/>
              <w:right w:val="single" w:sz="4" w:space="0" w:color="auto"/>
            </w:tcBorders>
          </w:tcPr>
          <w:p w14:paraId="3AABD8E1" w14:textId="77777777" w:rsidR="00993B8F" w:rsidRPr="00DF6E77" w:rsidRDefault="00993B8F" w:rsidP="00DF6E77">
            <w:pPr>
              <w:pStyle w:val="ToolTableText"/>
              <w:rPr>
                <w:b/>
                <w:sz w:val="22"/>
                <w:szCs w:val="22"/>
              </w:rPr>
            </w:pPr>
          </w:p>
        </w:tc>
        <w:tc>
          <w:tcPr>
            <w:tcW w:w="1683" w:type="pct"/>
            <w:tcBorders>
              <w:top w:val="single" w:sz="4" w:space="0" w:color="auto"/>
              <w:left w:val="single" w:sz="4" w:space="0" w:color="auto"/>
              <w:bottom w:val="single" w:sz="4" w:space="0" w:color="auto"/>
              <w:right w:val="single" w:sz="4" w:space="0" w:color="auto"/>
            </w:tcBorders>
          </w:tcPr>
          <w:p w14:paraId="6DABF38C" w14:textId="77777777" w:rsidR="00993B8F" w:rsidRPr="00DF6E77" w:rsidRDefault="00993B8F" w:rsidP="00DF6E77">
            <w:pPr>
              <w:pStyle w:val="ToolTableText"/>
              <w:rPr>
                <w:b/>
                <w:sz w:val="22"/>
                <w:szCs w:val="22"/>
              </w:rPr>
            </w:pPr>
          </w:p>
        </w:tc>
        <w:tc>
          <w:tcPr>
            <w:tcW w:w="1662" w:type="pct"/>
            <w:tcBorders>
              <w:top w:val="single" w:sz="4" w:space="0" w:color="auto"/>
              <w:left w:val="single" w:sz="4" w:space="0" w:color="auto"/>
              <w:bottom w:val="single" w:sz="4" w:space="0" w:color="auto"/>
              <w:right w:val="single" w:sz="4" w:space="0" w:color="auto"/>
            </w:tcBorders>
          </w:tcPr>
          <w:p w14:paraId="78AB4176" w14:textId="77777777" w:rsidR="00993B8F" w:rsidRPr="00DF6E77" w:rsidRDefault="00993B8F" w:rsidP="00DF6E77">
            <w:pPr>
              <w:pStyle w:val="ToolTableText"/>
              <w:rPr>
                <w:b/>
                <w:sz w:val="22"/>
                <w:szCs w:val="22"/>
              </w:rPr>
            </w:pPr>
          </w:p>
        </w:tc>
      </w:tr>
    </w:tbl>
    <w:p w14:paraId="2BD0CC42" w14:textId="77777777" w:rsidR="00DF6E77" w:rsidRDefault="00DF6E77" w:rsidP="00853D49">
      <w:pPr>
        <w:pStyle w:val="ToolHeader"/>
      </w:pPr>
    </w:p>
    <w:p w14:paraId="0438CE0E" w14:textId="77777777" w:rsidR="00DF6E77" w:rsidRDefault="00DF6E77">
      <w:pPr>
        <w:spacing w:before="0" w:after="160" w:line="259" w:lineRule="auto"/>
        <w:rPr>
          <w:rFonts w:asciiTheme="minorHAnsi" w:hAnsiTheme="minorHAnsi"/>
          <w:b/>
          <w:bCs/>
          <w:color w:val="365F91"/>
          <w:sz w:val="32"/>
          <w:szCs w:val="28"/>
        </w:rPr>
      </w:pPr>
      <w:r>
        <w:br w:type="page"/>
      </w:r>
    </w:p>
    <w:p w14:paraId="1245ACE8" w14:textId="77777777" w:rsidR="00853D49" w:rsidRDefault="00760D26" w:rsidP="00853D49">
      <w:pPr>
        <w:pStyle w:val="ToolHeader"/>
      </w:pPr>
      <w:r>
        <w:lastRenderedPageBreak/>
        <w:t xml:space="preserve">Model </w:t>
      </w:r>
      <w:r w:rsidR="00853D49">
        <w:t>1</w:t>
      </w:r>
      <w:r w:rsidR="00DF6E77">
        <w:t xml:space="preserve">1.4.1 Lesson 10 Structure Tool </w:t>
      </w:r>
      <w:r w:rsidR="00D03A0E">
        <w:t>(Optional)</w:t>
      </w: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3030"/>
        <w:gridCol w:w="732"/>
        <w:gridCol w:w="2700"/>
        <w:gridCol w:w="720"/>
        <w:gridCol w:w="1440"/>
      </w:tblGrid>
      <w:tr w:rsidR="00DF6E77" w14:paraId="25442A9C" w14:textId="77777777">
        <w:trPr>
          <w:trHeight w:val="562"/>
        </w:trPr>
        <w:tc>
          <w:tcPr>
            <w:tcW w:w="828" w:type="dxa"/>
            <w:shd w:val="clear" w:color="auto" w:fill="D9D9D9"/>
            <w:vAlign w:val="center"/>
          </w:tcPr>
          <w:p w14:paraId="1606EE24" w14:textId="77777777" w:rsidR="00DF6E77" w:rsidRPr="00317D7B" w:rsidRDefault="00DF6E77" w:rsidP="0019757B">
            <w:pPr>
              <w:pStyle w:val="TableText"/>
              <w:rPr>
                <w:b/>
                <w:bCs/>
              </w:rPr>
            </w:pPr>
            <w:r w:rsidRPr="00317D7B">
              <w:rPr>
                <w:b/>
                <w:bCs/>
              </w:rPr>
              <w:t>Name:</w:t>
            </w:r>
          </w:p>
        </w:tc>
        <w:tc>
          <w:tcPr>
            <w:tcW w:w="3030" w:type="dxa"/>
            <w:vAlign w:val="center"/>
          </w:tcPr>
          <w:p w14:paraId="22EA94DA" w14:textId="77777777" w:rsidR="00DF6E77" w:rsidRPr="00317D7B" w:rsidRDefault="00DF6E77" w:rsidP="0019757B">
            <w:pPr>
              <w:pStyle w:val="TableText"/>
              <w:rPr>
                <w:b/>
                <w:bCs/>
              </w:rPr>
            </w:pPr>
          </w:p>
        </w:tc>
        <w:tc>
          <w:tcPr>
            <w:tcW w:w="732" w:type="dxa"/>
            <w:shd w:val="clear" w:color="auto" w:fill="D9D9D9"/>
            <w:vAlign w:val="center"/>
          </w:tcPr>
          <w:p w14:paraId="1C5D2466" w14:textId="77777777" w:rsidR="00DF6E77" w:rsidRPr="00317D7B" w:rsidRDefault="00DF6E77" w:rsidP="0019757B">
            <w:pPr>
              <w:pStyle w:val="TableText"/>
              <w:rPr>
                <w:b/>
                <w:bCs/>
              </w:rPr>
            </w:pPr>
            <w:r w:rsidRPr="00317D7B">
              <w:rPr>
                <w:b/>
                <w:bCs/>
              </w:rPr>
              <w:t>Class:</w:t>
            </w:r>
          </w:p>
        </w:tc>
        <w:tc>
          <w:tcPr>
            <w:tcW w:w="2700" w:type="dxa"/>
            <w:vAlign w:val="center"/>
          </w:tcPr>
          <w:p w14:paraId="3C4A0F2F" w14:textId="77777777" w:rsidR="00DF6E77" w:rsidRPr="00317D7B" w:rsidRDefault="00DF6E77" w:rsidP="0019757B">
            <w:pPr>
              <w:pStyle w:val="TableText"/>
              <w:rPr>
                <w:b/>
                <w:bCs/>
              </w:rPr>
            </w:pPr>
          </w:p>
        </w:tc>
        <w:tc>
          <w:tcPr>
            <w:tcW w:w="720" w:type="dxa"/>
            <w:shd w:val="clear" w:color="auto" w:fill="D9D9D9"/>
            <w:vAlign w:val="center"/>
          </w:tcPr>
          <w:p w14:paraId="00354569" w14:textId="77777777" w:rsidR="00DF6E77" w:rsidRPr="00317D7B" w:rsidRDefault="00DF6E77" w:rsidP="0019757B">
            <w:pPr>
              <w:pStyle w:val="TableText"/>
              <w:rPr>
                <w:b/>
                <w:bCs/>
              </w:rPr>
            </w:pPr>
            <w:r w:rsidRPr="00317D7B">
              <w:rPr>
                <w:b/>
                <w:bCs/>
              </w:rPr>
              <w:t>Date:</w:t>
            </w:r>
          </w:p>
        </w:tc>
        <w:tc>
          <w:tcPr>
            <w:tcW w:w="1440" w:type="dxa"/>
            <w:vAlign w:val="center"/>
          </w:tcPr>
          <w:p w14:paraId="16B47DA0" w14:textId="77777777" w:rsidR="00DF6E77" w:rsidRPr="00317D7B" w:rsidRDefault="00DF6E77" w:rsidP="0019757B">
            <w:pPr>
              <w:pStyle w:val="TableText"/>
              <w:rPr>
                <w:b/>
                <w:bCs/>
              </w:rPr>
            </w:pPr>
          </w:p>
        </w:tc>
      </w:tr>
    </w:tbl>
    <w:p w14:paraId="43236F74" w14:textId="77777777" w:rsidR="00DF6E77" w:rsidRDefault="00DF6E77" w:rsidP="00DF6E77">
      <w:pPr>
        <w:spacing w:after="0"/>
        <w:rPr>
          <w:sz w:val="10"/>
          <w:szCs w:val="10"/>
        </w:rPr>
      </w:pP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DF6E77" w14:paraId="24EE2B40" w14:textId="77777777">
        <w:trPr>
          <w:trHeight w:val="562"/>
        </w:trPr>
        <w:tc>
          <w:tcPr>
            <w:tcW w:w="9450" w:type="dxa"/>
            <w:shd w:val="clear" w:color="auto" w:fill="D9D9D9"/>
            <w:vAlign w:val="center"/>
          </w:tcPr>
          <w:p w14:paraId="41779DD1" w14:textId="77777777" w:rsidR="00DF6E77" w:rsidRPr="00DF6E77" w:rsidRDefault="00DF6E77" w:rsidP="0019757B">
            <w:pPr>
              <w:pStyle w:val="ToolTableText"/>
            </w:pPr>
            <w:r w:rsidRPr="00DF6E77">
              <w:rPr>
                <w:b/>
              </w:rPr>
              <w:t>Directions:</w:t>
            </w:r>
            <w:r w:rsidRPr="00DF6E77">
              <w:t xml:space="preserve"> Use this tool to collect and identify evidence in preparation for analyzing text structure: How does Erdrich structure the text? How does the structure contribute to the aesthetic impact of the text?</w:t>
            </w:r>
          </w:p>
        </w:tc>
      </w:tr>
    </w:tbl>
    <w:p w14:paraId="5FFE054C" w14:textId="77777777" w:rsidR="00DF6E77" w:rsidRPr="00993B8F" w:rsidRDefault="00DF6E77" w:rsidP="00DF6E77">
      <w:pPr>
        <w:spacing w:before="0" w:after="0"/>
        <w:rPr>
          <w:sz w:val="14"/>
          <w:szCs w:val="14"/>
        </w:rPr>
      </w:pPr>
    </w:p>
    <w:tbl>
      <w:tblPr>
        <w:tblStyle w:val="TableGrid"/>
        <w:tblW w:w="9504" w:type="dxa"/>
        <w:tblInd w:w="115" w:type="dxa"/>
        <w:tblLook w:val="04A0" w:firstRow="1" w:lastRow="0" w:firstColumn="1" w:lastColumn="0" w:noHBand="0" w:noVBand="1"/>
      </w:tblPr>
      <w:tblGrid>
        <w:gridCol w:w="3146"/>
        <w:gridCol w:w="3199"/>
        <w:gridCol w:w="3159"/>
      </w:tblGrid>
      <w:tr w:rsidR="00DF6E77" w:rsidRPr="00DF6E77" w14:paraId="331F8D57" w14:textId="77777777">
        <w:trPr>
          <w:trHeight w:val="266"/>
        </w:trPr>
        <w:tc>
          <w:tcPr>
            <w:tcW w:w="1655" w:type="pct"/>
            <w:tcBorders>
              <w:top w:val="single" w:sz="4" w:space="0" w:color="auto"/>
              <w:left w:val="single" w:sz="4" w:space="0" w:color="auto"/>
              <w:bottom w:val="single" w:sz="4" w:space="0" w:color="auto"/>
              <w:right w:val="single" w:sz="4" w:space="0" w:color="auto"/>
            </w:tcBorders>
            <w:shd w:val="clear" w:color="auto" w:fill="D9D9D9"/>
            <w:vAlign w:val="center"/>
          </w:tcPr>
          <w:p w14:paraId="2F1E26A7" w14:textId="77777777" w:rsidR="00DF6E77" w:rsidRPr="00DF6E77" w:rsidRDefault="00DF6E77" w:rsidP="000E1953">
            <w:pPr>
              <w:pStyle w:val="ToolTableText"/>
              <w:rPr>
                <w:b/>
                <w:sz w:val="22"/>
                <w:szCs w:val="22"/>
              </w:rPr>
            </w:pPr>
            <w:r w:rsidRPr="00DF6E77">
              <w:rPr>
                <w:b/>
                <w:sz w:val="22"/>
                <w:szCs w:val="22"/>
              </w:rPr>
              <w:t>Evidence of how the author structures the text</w:t>
            </w:r>
          </w:p>
        </w:tc>
        <w:tc>
          <w:tcPr>
            <w:tcW w:w="1683" w:type="pct"/>
            <w:tcBorders>
              <w:top w:val="single" w:sz="4" w:space="0" w:color="auto"/>
              <w:left w:val="single" w:sz="4" w:space="0" w:color="auto"/>
              <w:bottom w:val="single" w:sz="4" w:space="0" w:color="auto"/>
              <w:right w:val="single" w:sz="4" w:space="0" w:color="auto"/>
            </w:tcBorders>
            <w:shd w:val="clear" w:color="auto" w:fill="D9D9D9"/>
            <w:vAlign w:val="center"/>
          </w:tcPr>
          <w:p w14:paraId="32BD99AE" w14:textId="77777777" w:rsidR="00DF6E77" w:rsidRPr="00DF6E77" w:rsidRDefault="00DF6E77" w:rsidP="000E1953">
            <w:pPr>
              <w:pStyle w:val="ToolTableText"/>
              <w:rPr>
                <w:b/>
                <w:sz w:val="22"/>
                <w:szCs w:val="22"/>
              </w:rPr>
            </w:pPr>
            <w:r w:rsidRPr="00DF6E77">
              <w:rPr>
                <w:b/>
                <w:sz w:val="22"/>
                <w:szCs w:val="22"/>
              </w:rPr>
              <w:t>How does this structure inform the meaning of the text?</w:t>
            </w:r>
          </w:p>
        </w:tc>
        <w:tc>
          <w:tcPr>
            <w:tcW w:w="1662" w:type="pct"/>
            <w:tcBorders>
              <w:top w:val="single" w:sz="4" w:space="0" w:color="auto"/>
              <w:left w:val="single" w:sz="4" w:space="0" w:color="auto"/>
              <w:bottom w:val="single" w:sz="4" w:space="0" w:color="auto"/>
              <w:right w:val="single" w:sz="4" w:space="0" w:color="auto"/>
            </w:tcBorders>
            <w:shd w:val="clear" w:color="auto" w:fill="D9D9D9"/>
            <w:vAlign w:val="center"/>
          </w:tcPr>
          <w:p w14:paraId="2EBD66DA" w14:textId="77777777" w:rsidR="00DF6E77" w:rsidRPr="00DF6E77" w:rsidRDefault="00DF6E77" w:rsidP="000E1953">
            <w:pPr>
              <w:pStyle w:val="ToolTableText"/>
              <w:rPr>
                <w:b/>
                <w:sz w:val="22"/>
                <w:szCs w:val="22"/>
              </w:rPr>
            </w:pPr>
            <w:r w:rsidRPr="00DF6E77">
              <w:rPr>
                <w:b/>
                <w:sz w:val="22"/>
                <w:szCs w:val="22"/>
              </w:rPr>
              <w:t xml:space="preserve">What is the aesthetic impact of this structure? </w:t>
            </w:r>
          </w:p>
        </w:tc>
      </w:tr>
      <w:tr w:rsidR="00DF6E77" w:rsidRPr="00DF6E77" w14:paraId="57240800" w14:textId="77777777">
        <w:trPr>
          <w:trHeight w:val="1800"/>
        </w:trPr>
        <w:tc>
          <w:tcPr>
            <w:tcW w:w="1655" w:type="pct"/>
            <w:tcBorders>
              <w:top w:val="single" w:sz="4" w:space="0" w:color="auto"/>
              <w:left w:val="single" w:sz="4" w:space="0" w:color="auto"/>
              <w:bottom w:val="single" w:sz="4" w:space="0" w:color="auto"/>
              <w:right w:val="single" w:sz="4" w:space="0" w:color="auto"/>
            </w:tcBorders>
          </w:tcPr>
          <w:p w14:paraId="5C7E1BC5" w14:textId="349217BF" w:rsidR="00DF6E77" w:rsidRPr="00DF6E77" w:rsidRDefault="00DF6E77" w:rsidP="002959FF">
            <w:pPr>
              <w:pStyle w:val="ToolTableText"/>
              <w:rPr>
                <w:b/>
                <w:sz w:val="22"/>
                <w:szCs w:val="22"/>
              </w:rPr>
            </w:pPr>
            <w:r w:rsidRPr="00DF6E77">
              <w:rPr>
                <w:sz w:val="22"/>
                <w:szCs w:val="22"/>
              </w:rPr>
              <w:t>Erdrich chooses to structure the text by repeating key details and phrases at the beginning of the story, like “his boots filled with water” (p. 1), and at the end of the story, like “</w:t>
            </w:r>
            <w:r w:rsidR="004924E6">
              <w:rPr>
                <w:sz w:val="22"/>
                <w:szCs w:val="22"/>
              </w:rPr>
              <w:t>‘</w:t>
            </w:r>
            <w:r w:rsidRPr="00DF6E77">
              <w:rPr>
                <w:sz w:val="22"/>
                <w:szCs w:val="22"/>
              </w:rPr>
              <w:t>My boots are filling</w:t>
            </w:r>
            <w:r w:rsidR="004924E6">
              <w:rPr>
                <w:sz w:val="22"/>
                <w:szCs w:val="22"/>
              </w:rPr>
              <w:t>’</w:t>
            </w:r>
            <w:r w:rsidRPr="00DF6E77">
              <w:rPr>
                <w:sz w:val="22"/>
                <w:szCs w:val="22"/>
              </w:rPr>
              <w:t>” (p. 10).</w:t>
            </w:r>
          </w:p>
        </w:tc>
        <w:tc>
          <w:tcPr>
            <w:tcW w:w="1683" w:type="pct"/>
            <w:tcBorders>
              <w:top w:val="single" w:sz="4" w:space="0" w:color="auto"/>
              <w:left w:val="single" w:sz="4" w:space="0" w:color="auto"/>
              <w:bottom w:val="single" w:sz="4" w:space="0" w:color="auto"/>
              <w:right w:val="single" w:sz="4" w:space="0" w:color="auto"/>
            </w:tcBorders>
          </w:tcPr>
          <w:p w14:paraId="6CFC343F" w14:textId="5ADCCA55" w:rsidR="00DF6E77" w:rsidRPr="00DF6E77" w:rsidRDefault="00DF6E77" w:rsidP="000E1953">
            <w:pPr>
              <w:pStyle w:val="ToolTableText"/>
              <w:rPr>
                <w:b/>
                <w:sz w:val="22"/>
                <w:szCs w:val="22"/>
              </w:rPr>
            </w:pPr>
            <w:r w:rsidRPr="00DF6E77">
              <w:rPr>
                <w:sz w:val="22"/>
                <w:szCs w:val="22"/>
              </w:rPr>
              <w:t>The meaning of the phrase “his boots filled with water” at the beginning of the story makes sense at the close of the story when Stephan repeats it after jumping in the river</w:t>
            </w:r>
            <w:r w:rsidR="000E1953">
              <w:rPr>
                <w:sz w:val="22"/>
                <w:szCs w:val="22"/>
              </w:rPr>
              <w:t xml:space="preserve"> </w:t>
            </w:r>
            <w:r w:rsidR="000E1953" w:rsidRPr="00DF6E77">
              <w:rPr>
                <w:sz w:val="22"/>
                <w:szCs w:val="22"/>
              </w:rPr>
              <w:t>(p. 1)</w:t>
            </w:r>
            <w:r w:rsidRPr="00DF6E77">
              <w:rPr>
                <w:sz w:val="22"/>
                <w:szCs w:val="22"/>
              </w:rPr>
              <w:t>. The repetition adds shades of meaning to the phrase, since the reader now knows what happens to Stephan and why his “boots filled with water” (p. 1).</w:t>
            </w:r>
          </w:p>
        </w:tc>
        <w:tc>
          <w:tcPr>
            <w:tcW w:w="1662" w:type="pct"/>
            <w:tcBorders>
              <w:top w:val="single" w:sz="4" w:space="0" w:color="auto"/>
              <w:left w:val="single" w:sz="4" w:space="0" w:color="auto"/>
              <w:bottom w:val="single" w:sz="4" w:space="0" w:color="auto"/>
              <w:right w:val="single" w:sz="4" w:space="0" w:color="auto"/>
            </w:tcBorders>
          </w:tcPr>
          <w:p w14:paraId="226D535E" w14:textId="77777777" w:rsidR="00DF6E77" w:rsidRPr="00DF6E77" w:rsidRDefault="00DF6E77" w:rsidP="006946F3">
            <w:pPr>
              <w:pStyle w:val="ToolTableText"/>
              <w:rPr>
                <w:b/>
                <w:sz w:val="22"/>
                <w:szCs w:val="22"/>
              </w:rPr>
            </w:pPr>
            <w:r w:rsidRPr="00DF6E77">
              <w:rPr>
                <w:sz w:val="22"/>
                <w:szCs w:val="22"/>
              </w:rPr>
              <w:t>This contributes to the aesthetic impact or beauty of the text by making the story come full circle</w:t>
            </w:r>
            <w:r w:rsidR="003F2B89">
              <w:rPr>
                <w:sz w:val="22"/>
                <w:szCs w:val="22"/>
              </w:rPr>
              <w:t xml:space="preserve"> and demonstrating Marty’s ongoing grief. The repetition creates</w:t>
            </w:r>
            <w:r w:rsidRPr="00DF6E77">
              <w:rPr>
                <w:sz w:val="22"/>
                <w:szCs w:val="22"/>
              </w:rPr>
              <w:t xml:space="preserve"> a complete story, almost like a closed circle, because the beginning of the story is directly linked to the story’s ending</w:t>
            </w:r>
            <w:r w:rsidR="003F2B89">
              <w:rPr>
                <w:sz w:val="22"/>
                <w:szCs w:val="22"/>
              </w:rPr>
              <w:t xml:space="preserve"> and</w:t>
            </w:r>
            <w:r w:rsidR="001E4BA7">
              <w:rPr>
                <w:sz w:val="22"/>
                <w:szCs w:val="22"/>
              </w:rPr>
              <w:t>,</w:t>
            </w:r>
            <w:r w:rsidR="003F2B89">
              <w:rPr>
                <w:sz w:val="22"/>
                <w:szCs w:val="22"/>
              </w:rPr>
              <w:t xml:space="preserve"> thus</w:t>
            </w:r>
            <w:r w:rsidR="001E4BA7">
              <w:rPr>
                <w:sz w:val="22"/>
                <w:szCs w:val="22"/>
              </w:rPr>
              <w:t>,</w:t>
            </w:r>
            <w:r w:rsidR="003F2B89">
              <w:rPr>
                <w:sz w:val="22"/>
                <w:szCs w:val="22"/>
              </w:rPr>
              <w:t xml:space="preserve"> shows the hopelessness that Marty continually feels</w:t>
            </w:r>
            <w:r w:rsidR="00537E10">
              <w:rPr>
                <w:sz w:val="22"/>
                <w:szCs w:val="22"/>
              </w:rPr>
              <w:t xml:space="preserve"> as a result of losing his brother.</w:t>
            </w:r>
          </w:p>
        </w:tc>
      </w:tr>
      <w:tr w:rsidR="00DF6E77" w:rsidRPr="00DF6E77" w14:paraId="32829C73" w14:textId="77777777">
        <w:trPr>
          <w:trHeight w:val="1800"/>
        </w:trPr>
        <w:tc>
          <w:tcPr>
            <w:tcW w:w="1655" w:type="pct"/>
            <w:tcBorders>
              <w:top w:val="single" w:sz="4" w:space="0" w:color="auto"/>
              <w:left w:val="single" w:sz="4" w:space="0" w:color="auto"/>
              <w:bottom w:val="single" w:sz="4" w:space="0" w:color="auto"/>
              <w:right w:val="single" w:sz="4" w:space="0" w:color="auto"/>
            </w:tcBorders>
          </w:tcPr>
          <w:p w14:paraId="1C53D373" w14:textId="17CA4C04" w:rsidR="00DF6E77" w:rsidRPr="00DF6E77" w:rsidRDefault="00DF6E77" w:rsidP="006B22E0">
            <w:pPr>
              <w:pStyle w:val="ToolTableText"/>
              <w:rPr>
                <w:b/>
                <w:sz w:val="22"/>
                <w:szCs w:val="22"/>
              </w:rPr>
            </w:pPr>
            <w:r w:rsidRPr="00DF6E77">
              <w:rPr>
                <w:sz w:val="22"/>
                <w:szCs w:val="22"/>
              </w:rPr>
              <w:t xml:space="preserve">Erdrich chooses to structure the text through Marty’s reflections. It begins in the past tense </w:t>
            </w:r>
            <w:r w:rsidR="006B22E0">
              <w:rPr>
                <w:sz w:val="22"/>
                <w:szCs w:val="22"/>
              </w:rPr>
              <w:t>(</w:t>
            </w:r>
            <w:r w:rsidRPr="00DF6E77">
              <w:rPr>
                <w:sz w:val="22"/>
                <w:szCs w:val="22"/>
              </w:rPr>
              <w:t>“was”</w:t>
            </w:r>
            <w:r w:rsidR="006B22E0">
              <w:rPr>
                <w:sz w:val="22"/>
                <w:szCs w:val="22"/>
              </w:rPr>
              <w:t>)</w:t>
            </w:r>
            <w:r w:rsidRPr="00DF6E77">
              <w:rPr>
                <w:sz w:val="22"/>
                <w:szCs w:val="22"/>
              </w:rPr>
              <w:t xml:space="preserve"> with a memory of a car Mar</w:t>
            </w:r>
            <w:r w:rsidR="002959FF">
              <w:rPr>
                <w:sz w:val="22"/>
                <w:szCs w:val="22"/>
              </w:rPr>
              <w:t>ty used to own with his brother</w:t>
            </w:r>
            <w:r w:rsidR="006B22E0">
              <w:rPr>
                <w:sz w:val="22"/>
                <w:szCs w:val="22"/>
              </w:rPr>
              <w:t xml:space="preserve"> </w:t>
            </w:r>
            <w:r w:rsidR="006B22E0" w:rsidRPr="00DF6E77">
              <w:rPr>
                <w:sz w:val="22"/>
                <w:szCs w:val="22"/>
              </w:rPr>
              <w:t>(p.1)</w:t>
            </w:r>
            <w:r w:rsidR="006B22E0">
              <w:rPr>
                <w:sz w:val="22"/>
                <w:szCs w:val="22"/>
              </w:rPr>
              <w:t>.</w:t>
            </w:r>
            <w:r w:rsidR="006B22E0" w:rsidRPr="00DF6E77">
              <w:rPr>
                <w:sz w:val="22"/>
                <w:szCs w:val="22"/>
              </w:rPr>
              <w:t xml:space="preserve"> </w:t>
            </w:r>
            <w:r w:rsidR="002959FF">
              <w:rPr>
                <w:sz w:val="22"/>
                <w:szCs w:val="22"/>
              </w:rPr>
              <w:t>T</w:t>
            </w:r>
            <w:r w:rsidRPr="00DF6E77">
              <w:rPr>
                <w:sz w:val="22"/>
                <w:szCs w:val="22"/>
              </w:rPr>
              <w:t>he use of “now” further shows that the story is a reflection by setting up a “now”</w:t>
            </w:r>
            <w:r w:rsidR="00DB7281">
              <w:rPr>
                <w:sz w:val="22"/>
                <w:szCs w:val="22"/>
              </w:rPr>
              <w:t xml:space="preserve"> </w:t>
            </w:r>
            <w:r w:rsidR="00DB7281" w:rsidRPr="00DF6E77">
              <w:rPr>
                <w:sz w:val="22"/>
                <w:szCs w:val="22"/>
              </w:rPr>
              <w:t xml:space="preserve">(p. 1) </w:t>
            </w:r>
            <w:r w:rsidRPr="00DF6E77">
              <w:rPr>
                <w:sz w:val="22"/>
                <w:szCs w:val="22"/>
              </w:rPr>
              <w:t>that is separate from the “then” in which the story takes place.</w:t>
            </w:r>
          </w:p>
        </w:tc>
        <w:tc>
          <w:tcPr>
            <w:tcW w:w="1683" w:type="pct"/>
            <w:tcBorders>
              <w:top w:val="single" w:sz="4" w:space="0" w:color="auto"/>
              <w:left w:val="single" w:sz="4" w:space="0" w:color="auto"/>
              <w:bottom w:val="single" w:sz="4" w:space="0" w:color="auto"/>
              <w:right w:val="single" w:sz="4" w:space="0" w:color="auto"/>
            </w:tcBorders>
          </w:tcPr>
          <w:p w14:paraId="56E3A862" w14:textId="77777777" w:rsidR="00DF6E77" w:rsidRPr="00DF6E77" w:rsidRDefault="00DF6E77" w:rsidP="00F36D85">
            <w:pPr>
              <w:pStyle w:val="ToolTableText"/>
              <w:rPr>
                <w:b/>
                <w:sz w:val="22"/>
                <w:szCs w:val="22"/>
              </w:rPr>
            </w:pPr>
            <w:r w:rsidRPr="00DF6E77">
              <w:rPr>
                <w:sz w:val="22"/>
                <w:szCs w:val="22"/>
              </w:rPr>
              <w:t>Through the reflective structure of the story, the reader understands that Marty’s grief continues to go, and run, even after the car has sunk to the bottom of the river</w:t>
            </w:r>
            <w:r w:rsidR="00DA4627">
              <w:rPr>
                <w:sz w:val="22"/>
                <w:szCs w:val="22"/>
              </w:rPr>
              <w:t>.</w:t>
            </w:r>
            <w:r w:rsidRPr="00DF6E77">
              <w:rPr>
                <w:sz w:val="22"/>
                <w:szCs w:val="22"/>
              </w:rPr>
              <w:t xml:space="preserve"> </w:t>
            </w:r>
          </w:p>
        </w:tc>
        <w:tc>
          <w:tcPr>
            <w:tcW w:w="1662" w:type="pct"/>
            <w:tcBorders>
              <w:top w:val="single" w:sz="4" w:space="0" w:color="auto"/>
              <w:left w:val="single" w:sz="4" w:space="0" w:color="auto"/>
              <w:bottom w:val="single" w:sz="4" w:space="0" w:color="auto"/>
              <w:right w:val="single" w:sz="4" w:space="0" w:color="auto"/>
            </w:tcBorders>
          </w:tcPr>
          <w:p w14:paraId="76BFADFC" w14:textId="25C2D2AD" w:rsidR="00DF6E77" w:rsidRPr="00DF6E77" w:rsidRDefault="00DF6E77" w:rsidP="00FF7B43">
            <w:pPr>
              <w:pStyle w:val="ToolTableText"/>
              <w:rPr>
                <w:b/>
                <w:sz w:val="22"/>
                <w:szCs w:val="22"/>
              </w:rPr>
            </w:pPr>
            <w:r w:rsidRPr="00DF6E77">
              <w:rPr>
                <w:sz w:val="22"/>
                <w:szCs w:val="22"/>
              </w:rPr>
              <w:t xml:space="preserve">These reflections contribute to the aesthetic impact of the text </w:t>
            </w:r>
            <w:r w:rsidR="00E829EF">
              <w:rPr>
                <w:sz w:val="22"/>
                <w:szCs w:val="22"/>
              </w:rPr>
              <w:t>by</w:t>
            </w:r>
            <w:r w:rsidRPr="00DF6E77">
              <w:rPr>
                <w:sz w:val="22"/>
                <w:szCs w:val="22"/>
              </w:rPr>
              <w:t xml:space="preserve"> show</w:t>
            </w:r>
            <w:r w:rsidR="00E829EF">
              <w:rPr>
                <w:sz w:val="22"/>
                <w:szCs w:val="22"/>
              </w:rPr>
              <w:t>ing</w:t>
            </w:r>
            <w:r w:rsidRPr="00DF6E77">
              <w:rPr>
                <w:sz w:val="22"/>
                <w:szCs w:val="22"/>
              </w:rPr>
              <w:t xml:space="preserve"> the ongoing, “going and running and running” </w:t>
            </w:r>
            <w:r w:rsidR="00E829EF">
              <w:rPr>
                <w:sz w:val="22"/>
                <w:szCs w:val="22"/>
              </w:rPr>
              <w:t>of the</w:t>
            </w:r>
            <w:r w:rsidRPr="00DF6E77">
              <w:rPr>
                <w:sz w:val="22"/>
                <w:szCs w:val="22"/>
              </w:rPr>
              <w:t xml:space="preserve"> grief and pain in Marty’s life</w:t>
            </w:r>
            <w:r w:rsidR="00FF7B43">
              <w:rPr>
                <w:sz w:val="22"/>
                <w:szCs w:val="22"/>
              </w:rPr>
              <w:t xml:space="preserve"> </w:t>
            </w:r>
            <w:r w:rsidR="00FF7B43" w:rsidRPr="00DF6E77">
              <w:rPr>
                <w:sz w:val="22"/>
                <w:szCs w:val="22"/>
              </w:rPr>
              <w:t>(p. 10)</w:t>
            </w:r>
            <w:r w:rsidR="006946F3">
              <w:rPr>
                <w:sz w:val="22"/>
                <w:szCs w:val="22"/>
              </w:rPr>
              <w:t>.</w:t>
            </w:r>
          </w:p>
        </w:tc>
      </w:tr>
      <w:tr w:rsidR="00DF6E77" w:rsidRPr="00DF6E77" w14:paraId="3AEBDE80" w14:textId="77777777">
        <w:trPr>
          <w:trHeight w:val="1800"/>
        </w:trPr>
        <w:tc>
          <w:tcPr>
            <w:tcW w:w="1655" w:type="pct"/>
            <w:tcBorders>
              <w:top w:val="single" w:sz="4" w:space="0" w:color="auto"/>
              <w:left w:val="single" w:sz="4" w:space="0" w:color="auto"/>
              <w:bottom w:val="single" w:sz="4" w:space="0" w:color="auto"/>
              <w:right w:val="single" w:sz="4" w:space="0" w:color="auto"/>
            </w:tcBorders>
          </w:tcPr>
          <w:p w14:paraId="57B8C403" w14:textId="77777777" w:rsidR="00DF6E77" w:rsidRPr="00DF6E77" w:rsidRDefault="00DF6E77" w:rsidP="00DA4627">
            <w:pPr>
              <w:pStyle w:val="ToolTableText"/>
              <w:rPr>
                <w:b/>
                <w:sz w:val="22"/>
                <w:szCs w:val="22"/>
              </w:rPr>
            </w:pPr>
            <w:r w:rsidRPr="00DF6E77">
              <w:rPr>
                <w:sz w:val="22"/>
                <w:szCs w:val="22"/>
              </w:rPr>
              <w:t>Erdrich chooses to structure the text through the red convertible as a connecting detail; it is the title an</w:t>
            </w:r>
            <w:r w:rsidR="00BA4826">
              <w:rPr>
                <w:sz w:val="22"/>
                <w:szCs w:val="22"/>
              </w:rPr>
              <w:t>d</w:t>
            </w:r>
            <w:r w:rsidRPr="00DF6E77">
              <w:rPr>
                <w:sz w:val="22"/>
                <w:szCs w:val="22"/>
              </w:rPr>
              <w:t xml:space="preserve"> appears in the first sentence of the story</w:t>
            </w:r>
            <w:r w:rsidR="006B19CF">
              <w:rPr>
                <w:sz w:val="22"/>
                <w:szCs w:val="22"/>
              </w:rPr>
              <w:t>:</w:t>
            </w:r>
            <w:r w:rsidRPr="00DF6E77">
              <w:rPr>
                <w:sz w:val="22"/>
                <w:szCs w:val="22"/>
              </w:rPr>
              <w:t xml:space="preserve"> “I was the first one to drive a convertible </w:t>
            </w:r>
            <w:r w:rsidRPr="00DF6E77">
              <w:rPr>
                <w:sz w:val="22"/>
                <w:szCs w:val="22"/>
              </w:rPr>
              <w:lastRenderedPageBreak/>
              <w:t>on my reservation” (p. 1)</w:t>
            </w:r>
            <w:r w:rsidR="00BA4826">
              <w:rPr>
                <w:sz w:val="22"/>
                <w:szCs w:val="22"/>
              </w:rPr>
              <w:t>.</w:t>
            </w:r>
          </w:p>
        </w:tc>
        <w:tc>
          <w:tcPr>
            <w:tcW w:w="1683" w:type="pct"/>
            <w:tcBorders>
              <w:top w:val="single" w:sz="4" w:space="0" w:color="auto"/>
              <w:left w:val="single" w:sz="4" w:space="0" w:color="auto"/>
              <w:bottom w:val="single" w:sz="4" w:space="0" w:color="auto"/>
              <w:right w:val="single" w:sz="4" w:space="0" w:color="auto"/>
            </w:tcBorders>
          </w:tcPr>
          <w:p w14:paraId="664497EE" w14:textId="3E18FCFB" w:rsidR="00DF6E77" w:rsidRPr="00DF6E77" w:rsidRDefault="00DF6E77" w:rsidP="00DF6E77">
            <w:pPr>
              <w:pStyle w:val="ToolTableText"/>
              <w:rPr>
                <w:b/>
                <w:sz w:val="22"/>
                <w:szCs w:val="22"/>
              </w:rPr>
            </w:pPr>
            <w:r w:rsidRPr="00DF6E77">
              <w:rPr>
                <w:sz w:val="22"/>
                <w:szCs w:val="22"/>
              </w:rPr>
              <w:lastRenderedPageBreak/>
              <w:t xml:space="preserve">Erdrich uses the convertible at every stage of the brothers’ relationship throughout the text. For example, during the summer road trip, before Stephan’s war experience, and again when Stephan turns his attention to </w:t>
            </w:r>
            <w:r w:rsidRPr="00DF6E77">
              <w:rPr>
                <w:sz w:val="22"/>
                <w:szCs w:val="22"/>
              </w:rPr>
              <w:lastRenderedPageBreak/>
              <w:t>fixing the car after he returns from the war</w:t>
            </w:r>
            <w:r w:rsidR="00186662">
              <w:rPr>
                <w:sz w:val="22"/>
                <w:szCs w:val="22"/>
              </w:rPr>
              <w:t>:</w:t>
            </w:r>
            <w:r w:rsidRPr="00DF6E77">
              <w:rPr>
                <w:sz w:val="22"/>
                <w:szCs w:val="22"/>
              </w:rPr>
              <w:t xml:space="preserve"> “I thought he’d freeze himself to death working on that vehicle” (p. 6). Also, Marty drives the car into the river at the end of the story and watches “it plow softly into the river” (p. 10). The red convertible symbolizes Marty’s continued attempts to reconnect with and save his brother.</w:t>
            </w:r>
          </w:p>
        </w:tc>
        <w:tc>
          <w:tcPr>
            <w:tcW w:w="1662" w:type="pct"/>
            <w:tcBorders>
              <w:top w:val="single" w:sz="4" w:space="0" w:color="auto"/>
              <w:left w:val="single" w:sz="4" w:space="0" w:color="auto"/>
              <w:bottom w:val="single" w:sz="4" w:space="0" w:color="auto"/>
              <w:right w:val="single" w:sz="4" w:space="0" w:color="auto"/>
            </w:tcBorders>
          </w:tcPr>
          <w:p w14:paraId="7085746D" w14:textId="5FAE039F" w:rsidR="006F2DEB" w:rsidRPr="00DD7679" w:rsidRDefault="0083334B" w:rsidP="006F2DEB">
            <w:pPr>
              <w:pStyle w:val="ToolTableText"/>
              <w:rPr>
                <w:rFonts w:ascii="Times" w:eastAsia="Times New Roman" w:hAnsi="Times"/>
                <w:sz w:val="22"/>
                <w:szCs w:val="22"/>
              </w:rPr>
            </w:pPr>
            <w:r w:rsidRPr="00DD7679">
              <w:rPr>
                <w:sz w:val="22"/>
                <w:szCs w:val="22"/>
              </w:rPr>
              <w:lastRenderedPageBreak/>
              <w:t xml:space="preserve">Through the convertible, Marty tries to reach out to Stephan and remind him of the way his life used to be, and Marty’s decision to drive the convertible into the river is representative of his powerlessness at being </w:t>
            </w:r>
            <w:r w:rsidRPr="00DD7679">
              <w:rPr>
                <w:sz w:val="22"/>
                <w:szCs w:val="22"/>
              </w:rPr>
              <w:lastRenderedPageBreak/>
              <w:t xml:space="preserve">able to reach, or help, his brother. </w:t>
            </w:r>
            <w:r w:rsidR="006F2DEB" w:rsidRPr="00DD7679">
              <w:rPr>
                <w:sz w:val="22"/>
                <w:szCs w:val="22"/>
              </w:rPr>
              <w:t>The symbolic nature of the convertible, and its connection to the brothers</w:t>
            </w:r>
            <w:r w:rsidR="00F254D1">
              <w:rPr>
                <w:sz w:val="22"/>
                <w:szCs w:val="22"/>
              </w:rPr>
              <w:t>’</w:t>
            </w:r>
            <w:r w:rsidR="006F2DEB" w:rsidRPr="00DD7679">
              <w:rPr>
                <w:sz w:val="22"/>
                <w:szCs w:val="22"/>
              </w:rPr>
              <w:t xml:space="preserve"> relationship, heightens the tragedy in Marty's final action with the car since he realizes he cannot help his brother and ultimately loses him.</w:t>
            </w:r>
            <w:r w:rsidR="003E1611" w:rsidRPr="00DD7679">
              <w:rPr>
                <w:sz w:val="22"/>
                <w:szCs w:val="22"/>
              </w:rPr>
              <w:t xml:space="preserve"> </w:t>
            </w:r>
          </w:p>
          <w:p w14:paraId="4AD07A2D" w14:textId="77777777" w:rsidR="00DF6E77" w:rsidRPr="00DF6E77" w:rsidRDefault="00DF6E77">
            <w:pPr>
              <w:pStyle w:val="ToolTableText"/>
              <w:rPr>
                <w:b/>
                <w:sz w:val="22"/>
                <w:szCs w:val="22"/>
              </w:rPr>
            </w:pPr>
          </w:p>
        </w:tc>
      </w:tr>
    </w:tbl>
    <w:p w14:paraId="05C3994A" w14:textId="77777777" w:rsidR="00DF6E77" w:rsidRDefault="00DF6E77" w:rsidP="00853D49">
      <w:pPr>
        <w:pStyle w:val="ToolHeader"/>
      </w:pPr>
    </w:p>
    <w:p w14:paraId="3BDC559E" w14:textId="77777777" w:rsidR="00853D49" w:rsidRDefault="00853D49" w:rsidP="00DD7679"/>
    <w:sectPr w:rsidR="00853D49" w:rsidSect="001A0950">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853BF" w14:textId="77777777" w:rsidR="00E025A2" w:rsidRDefault="00E025A2">
      <w:pPr>
        <w:spacing w:before="0" w:after="0" w:line="240" w:lineRule="auto"/>
      </w:pPr>
      <w:r>
        <w:separator/>
      </w:r>
    </w:p>
  </w:endnote>
  <w:endnote w:type="continuationSeparator" w:id="0">
    <w:p w14:paraId="175455E7" w14:textId="77777777" w:rsidR="00E025A2" w:rsidRDefault="00E025A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CCE06" w14:textId="77777777" w:rsidR="001F30C1" w:rsidRPr="00563CB8" w:rsidRDefault="001F30C1"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1F30C1" w14:paraId="3337DA54" w14:textId="77777777">
      <w:trPr>
        <w:trHeight w:val="705"/>
      </w:trPr>
      <w:tc>
        <w:tcPr>
          <w:tcW w:w="4609" w:type="dxa"/>
          <w:shd w:val="clear" w:color="auto" w:fill="auto"/>
          <w:vAlign w:val="center"/>
        </w:tcPr>
        <w:p w14:paraId="4D08C273" w14:textId="6D8C6A1A" w:rsidR="001F30C1" w:rsidRPr="002E4C92" w:rsidRDefault="001F30C1" w:rsidP="007017EB">
          <w:pPr>
            <w:pStyle w:val="FooterText"/>
          </w:pPr>
          <w:r w:rsidRPr="002A6D17">
            <w:t>File:</w:t>
          </w:r>
          <w:r w:rsidRPr="002A6D17">
            <w:rPr>
              <w:b w:val="0"/>
            </w:rPr>
            <w:t xml:space="preserve"> 11.4.1 Lesson 10</w:t>
          </w:r>
          <w:r w:rsidRPr="002A6D17">
            <w:t xml:space="preserve"> Date:</w:t>
          </w:r>
          <w:r w:rsidRPr="002A6D17">
            <w:rPr>
              <w:b w:val="0"/>
            </w:rPr>
            <w:t xml:space="preserve"> </w:t>
          </w:r>
          <w:r w:rsidR="002A6D17">
            <w:rPr>
              <w:b w:val="0"/>
            </w:rPr>
            <w:t>10</w:t>
          </w:r>
          <w:r w:rsidRPr="002A6D17">
            <w:rPr>
              <w:b w:val="0"/>
            </w:rPr>
            <w:t>/</w:t>
          </w:r>
          <w:r w:rsidR="002A6D17">
            <w:rPr>
              <w:b w:val="0"/>
            </w:rPr>
            <w:t>31</w:t>
          </w:r>
          <w:r w:rsidRPr="002A6D17">
            <w:rPr>
              <w:b w:val="0"/>
            </w:rPr>
            <w:t xml:space="preserve">/2014 </w:t>
          </w:r>
          <w:r w:rsidRPr="002A6D17">
            <w:t>Classroom Use:</w:t>
          </w:r>
          <w:r w:rsidRPr="002A6D17">
            <w:rPr>
              <w:b w:val="0"/>
            </w:rPr>
            <w:t xml:space="preserve"> 1</w:t>
          </w:r>
          <w:r w:rsidR="002A6D17">
            <w:rPr>
              <w:b w:val="0"/>
            </w:rPr>
            <w:t>1</w:t>
          </w:r>
          <w:r w:rsidRPr="002A6D17">
            <w:rPr>
              <w:b w:val="0"/>
            </w:rPr>
            <w:t>/2014</w:t>
          </w:r>
          <w:r w:rsidRPr="0039525B">
            <w:rPr>
              <w:b w:val="0"/>
            </w:rPr>
            <w:t xml:space="preserve"> </w:t>
          </w:r>
        </w:p>
        <w:p w14:paraId="6418A2CC" w14:textId="77777777" w:rsidR="001F30C1" w:rsidRPr="0039525B" w:rsidRDefault="001F30C1"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202A50F7" w14:textId="77777777" w:rsidR="001F30C1" w:rsidRPr="0039525B" w:rsidRDefault="001F30C1" w:rsidP="007017EB">
          <w:pPr>
            <w:pStyle w:val="FooterText"/>
            <w:rPr>
              <w:b w:val="0"/>
              <w:i/>
            </w:rPr>
          </w:pPr>
          <w:r w:rsidRPr="0039525B">
            <w:rPr>
              <w:b w:val="0"/>
              <w:i/>
              <w:sz w:val="12"/>
            </w:rPr>
            <w:t>Creative Commons Attribution-NonCommercial-ShareAlike 3.0 Unported License</w:t>
          </w:r>
        </w:p>
        <w:p w14:paraId="1270D9F1" w14:textId="77777777" w:rsidR="001F30C1" w:rsidRPr="002E4C92" w:rsidRDefault="00E025A2" w:rsidP="007017EB">
          <w:pPr>
            <w:pStyle w:val="FooterText"/>
          </w:pPr>
          <w:hyperlink r:id="rId1" w:history="1">
            <w:r w:rsidR="001F30C1"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0E65AD99" w14:textId="77777777" w:rsidR="001F30C1" w:rsidRPr="002E4C92" w:rsidRDefault="001F30C1"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0F3428">
            <w:rPr>
              <w:rFonts w:ascii="Calibri" w:hAnsi="Calibri" w:cs="Calibri"/>
              <w:b/>
              <w:noProof/>
              <w:color w:val="1F4E79"/>
              <w:sz w:val="28"/>
            </w:rPr>
            <w:t>12</w:t>
          </w:r>
          <w:r w:rsidRPr="002E4C92">
            <w:rPr>
              <w:rFonts w:ascii="Calibri" w:hAnsi="Calibri" w:cs="Calibri"/>
              <w:b/>
              <w:color w:val="1F4E79"/>
              <w:sz w:val="28"/>
            </w:rPr>
            <w:fldChar w:fldCharType="end"/>
          </w:r>
        </w:p>
      </w:tc>
      <w:tc>
        <w:tcPr>
          <w:tcW w:w="4325" w:type="dxa"/>
          <w:shd w:val="clear" w:color="auto" w:fill="auto"/>
          <w:vAlign w:val="bottom"/>
        </w:tcPr>
        <w:p w14:paraId="6DC17F27" w14:textId="77777777" w:rsidR="001F30C1" w:rsidRPr="002E4C92" w:rsidRDefault="001F30C1"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16116A67" wp14:editId="352BA92A">
                <wp:extent cx="1697355" cy="636270"/>
                <wp:effectExtent l="19050" t="0" r="0" b="0"/>
                <wp:docPr id="4"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00BF965F" w14:textId="77777777" w:rsidR="001F30C1" w:rsidRPr="007017EB" w:rsidRDefault="001F30C1"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9CBAB" w14:textId="77777777" w:rsidR="00E025A2" w:rsidRDefault="00E025A2">
      <w:pPr>
        <w:spacing w:before="0" w:after="0" w:line="240" w:lineRule="auto"/>
      </w:pPr>
      <w:r>
        <w:separator/>
      </w:r>
    </w:p>
  </w:footnote>
  <w:footnote w:type="continuationSeparator" w:id="0">
    <w:p w14:paraId="1E4EEA04" w14:textId="77777777" w:rsidR="00E025A2" w:rsidRDefault="00E025A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1F30C1" w:rsidRPr="00563CB8" w14:paraId="2BC9432F" w14:textId="77777777">
      <w:tc>
        <w:tcPr>
          <w:tcW w:w="3708" w:type="dxa"/>
          <w:shd w:val="clear" w:color="auto" w:fill="auto"/>
        </w:tcPr>
        <w:p w14:paraId="664FF80D" w14:textId="77777777" w:rsidR="001F30C1" w:rsidRPr="00563CB8" w:rsidRDefault="001F30C1"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24EBF9D8" w14:textId="77777777" w:rsidR="001F30C1" w:rsidRPr="00563CB8" w:rsidRDefault="001F30C1" w:rsidP="007017EB">
          <w:pPr>
            <w:jc w:val="center"/>
          </w:pPr>
          <w:r w:rsidRPr="00563CB8">
            <w:t>D R A F T</w:t>
          </w:r>
        </w:p>
      </w:tc>
      <w:tc>
        <w:tcPr>
          <w:tcW w:w="3438" w:type="dxa"/>
          <w:shd w:val="clear" w:color="auto" w:fill="auto"/>
        </w:tcPr>
        <w:p w14:paraId="0BDCAC43" w14:textId="77777777" w:rsidR="001F30C1" w:rsidRPr="00E946A0" w:rsidRDefault="001F30C1" w:rsidP="007017EB">
          <w:pPr>
            <w:pStyle w:val="PageHeader"/>
            <w:jc w:val="right"/>
            <w:rPr>
              <w:b w:val="0"/>
            </w:rPr>
          </w:pPr>
          <w:r>
            <w:rPr>
              <w:b w:val="0"/>
            </w:rPr>
            <w:t>Grade 11 • Module 4 • Unit 1 • Lesson 10</w:t>
          </w:r>
        </w:p>
      </w:tc>
    </w:tr>
  </w:tbl>
  <w:p w14:paraId="6323286E" w14:textId="77777777" w:rsidR="001F30C1" w:rsidRPr="007017EB" w:rsidRDefault="001F30C1"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9AE6D1C"/>
    <w:lvl w:ilvl="0">
      <w:start w:val="1"/>
      <w:numFmt w:val="decimal"/>
      <w:lvlText w:val="%1."/>
      <w:lvlJc w:val="left"/>
      <w:pPr>
        <w:tabs>
          <w:tab w:val="num" w:pos="1800"/>
        </w:tabs>
        <w:ind w:left="1800" w:hanging="360"/>
      </w:pPr>
    </w:lvl>
  </w:abstractNum>
  <w:abstractNum w:abstractNumId="1">
    <w:nsid w:val="FFFFFF7F"/>
    <w:multiLevelType w:val="singleLevel"/>
    <w:tmpl w:val="D67851A0"/>
    <w:lvl w:ilvl="0">
      <w:start w:val="1"/>
      <w:numFmt w:val="decimal"/>
      <w:lvlText w:val="%1."/>
      <w:lvlJc w:val="left"/>
      <w:pPr>
        <w:tabs>
          <w:tab w:val="num" w:pos="720"/>
        </w:tabs>
        <w:ind w:left="720" w:hanging="360"/>
      </w:pPr>
    </w:lvl>
  </w:abstractNum>
  <w:abstractNum w:abstractNumId="2">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911EE"/>
    <w:multiLevelType w:val="hybridMultilevel"/>
    <w:tmpl w:val="2FEE0B7C"/>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8466A8"/>
    <w:multiLevelType w:val="hybridMultilevel"/>
    <w:tmpl w:val="572A79B8"/>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C5336F"/>
    <w:multiLevelType w:val="hybridMultilevel"/>
    <w:tmpl w:val="2F4E1968"/>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alibri"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alibri"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alibri"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1ECB0C34"/>
    <w:multiLevelType w:val="hybridMultilevel"/>
    <w:tmpl w:val="AAFE539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5E50D2"/>
    <w:multiLevelType w:val="multilevel"/>
    <w:tmpl w:val="96DA931C"/>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24CF5478"/>
    <w:multiLevelType w:val="hybridMultilevel"/>
    <w:tmpl w:val="8FC4D142"/>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5BE2856"/>
    <w:multiLevelType w:val="hybridMultilevel"/>
    <w:tmpl w:val="6B949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5B4FD9"/>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AD346B8"/>
    <w:multiLevelType w:val="multilevel"/>
    <w:tmpl w:val="60447FEC"/>
    <w:lvl w:ilvl="0">
      <w:start w:val="1"/>
      <w:numFmt w:val="lowerLetter"/>
      <w:lvlText w:val="%1."/>
      <w:lvlJc w:val="left"/>
      <w:pPr>
        <w:ind w:left="360" w:hanging="360"/>
      </w:pPr>
      <w:rPr>
        <w:rFonts w:hint="default"/>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53C32F21"/>
    <w:multiLevelType w:val="multilevel"/>
    <w:tmpl w:val="0F0EDAA8"/>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5AC57447"/>
    <w:multiLevelType w:val="hybridMultilevel"/>
    <w:tmpl w:val="A5C62A46"/>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4939C6"/>
    <w:multiLevelType w:val="hybridMultilevel"/>
    <w:tmpl w:val="2DBE3358"/>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171F0E"/>
    <w:multiLevelType w:val="hybridMultilevel"/>
    <w:tmpl w:val="E364F9C4"/>
    <w:lvl w:ilvl="0" w:tplc="D122B6BA">
      <w:start w:val="1"/>
      <w:numFmt w:val="bullet"/>
      <w:pStyle w:val="INBullet"/>
      <w:lvlText w:val="o"/>
      <w:lvlJc w:val="left"/>
      <w:pPr>
        <w:ind w:left="1440" w:hanging="360"/>
      </w:pPr>
      <w:rPr>
        <w:rFonts w:ascii="Courier New" w:hAnsi="Courier New" w:cs="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7BC5519"/>
    <w:multiLevelType w:val="hybridMultilevel"/>
    <w:tmpl w:val="DE46D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B1732A"/>
    <w:multiLevelType w:val="hybridMultilevel"/>
    <w:tmpl w:val="BEB6019A"/>
    <w:lvl w:ilvl="0" w:tplc="C7BC0F20">
      <w:start w:val="1"/>
      <w:numFmt w:val="lowerLetter"/>
      <w:pStyle w:val="SubStandard"/>
      <w:lvlText w:val="%1."/>
      <w:lvlJc w:val="left"/>
      <w:pPr>
        <w:ind w:left="360" w:hanging="360"/>
      </w:pPr>
      <w:rPr>
        <w:rFonts w:hint="default"/>
        <w:b w:val="0"/>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lvlOverride w:ilvl="0">
      <w:startOverride w:val="1"/>
    </w:lvlOverride>
  </w:num>
  <w:num w:numId="2">
    <w:abstractNumId w:val="10"/>
    <w:lvlOverride w:ilvl="0">
      <w:startOverride w:val="1"/>
    </w:lvlOverride>
  </w:num>
  <w:num w:numId="3">
    <w:abstractNumId w:val="13"/>
  </w:num>
  <w:num w:numId="4">
    <w:abstractNumId w:val="16"/>
  </w:num>
  <w:num w:numId="5">
    <w:abstractNumId w:val="3"/>
  </w:num>
  <w:num w:numId="6">
    <w:abstractNumId w:val="18"/>
  </w:num>
  <w:num w:numId="7">
    <w:abstractNumId w:val="10"/>
    <w:lvlOverride w:ilvl="0">
      <w:startOverride w:val="1"/>
    </w:lvlOverride>
  </w:num>
  <w:num w:numId="8">
    <w:abstractNumId w:val="21"/>
  </w:num>
  <w:num w:numId="9">
    <w:abstractNumId w:val="4"/>
  </w:num>
  <w:num w:numId="10">
    <w:abstractNumId w:val="17"/>
  </w:num>
  <w:num w:numId="11">
    <w:abstractNumId w:val="22"/>
  </w:num>
  <w:num w:numId="12">
    <w:abstractNumId w:val="10"/>
  </w:num>
  <w:num w:numId="13">
    <w:abstractNumId w:val="10"/>
    <w:lvlOverride w:ilvl="0">
      <w:startOverride w:val="1"/>
    </w:lvlOverride>
  </w:num>
  <w:num w:numId="14">
    <w:abstractNumId w:val="7"/>
    <w:lvlOverride w:ilvl="0">
      <w:startOverride w:val="1"/>
    </w:lvlOverride>
  </w:num>
  <w:num w:numId="15">
    <w:abstractNumId w:val="21"/>
  </w:num>
  <w:num w:numId="16">
    <w:abstractNumId w:val="6"/>
  </w:num>
  <w:num w:numId="17">
    <w:abstractNumId w:val="2"/>
  </w:num>
  <w:num w:numId="18">
    <w:abstractNumId w:val="5"/>
  </w:num>
  <w:num w:numId="19">
    <w:abstractNumId w:val="20"/>
  </w:num>
  <w:num w:numId="20">
    <w:abstractNumId w:val="11"/>
  </w:num>
  <w:num w:numId="21">
    <w:abstractNumId w:val="8"/>
  </w:num>
  <w:num w:numId="22">
    <w:abstractNumId w:val="22"/>
  </w:num>
  <w:num w:numId="23">
    <w:abstractNumId w:val="22"/>
  </w:num>
  <w:num w:numId="24">
    <w:abstractNumId w:val="22"/>
    <w:lvlOverride w:ilvl="0">
      <w:startOverride w:val="2"/>
    </w:lvlOverride>
  </w:num>
  <w:num w:numId="25">
    <w:abstractNumId w:val="12"/>
  </w:num>
  <w:num w:numId="26">
    <w:abstractNumId w:val="15"/>
  </w:num>
  <w:num w:numId="27">
    <w:abstractNumId w:val="22"/>
    <w:lvlOverride w:ilvl="0">
      <w:startOverride w:val="1"/>
    </w:lvlOverride>
  </w:num>
  <w:num w:numId="28">
    <w:abstractNumId w:val="9"/>
  </w:num>
  <w:num w:numId="29">
    <w:abstractNumId w:val="22"/>
    <w:lvlOverride w:ilvl="0">
      <w:startOverride w:val="1"/>
    </w:lvlOverride>
  </w:num>
  <w:num w:numId="30">
    <w:abstractNumId w:val="22"/>
    <w:lvlOverride w:ilvl="0">
      <w:startOverride w:val="1"/>
    </w:lvlOverride>
  </w:num>
  <w:num w:numId="31">
    <w:abstractNumId w:val="16"/>
  </w:num>
  <w:num w:numId="32">
    <w:abstractNumId w:val="21"/>
  </w:num>
  <w:num w:numId="33">
    <w:abstractNumId w:val="21"/>
  </w:num>
  <w:num w:numId="34">
    <w:abstractNumId w:val="17"/>
  </w:num>
  <w:num w:numId="35">
    <w:abstractNumId w:val="6"/>
  </w:num>
  <w:num w:numId="36">
    <w:abstractNumId w:val="3"/>
  </w:num>
  <w:num w:numId="37">
    <w:abstractNumId w:val="18"/>
  </w:num>
  <w:num w:numId="38">
    <w:abstractNumId w:val="10"/>
    <w:lvlOverride w:ilvl="0">
      <w:startOverride w:val="1"/>
    </w:lvlOverride>
  </w:num>
  <w:num w:numId="39">
    <w:abstractNumId w:val="4"/>
  </w:num>
  <w:num w:numId="40">
    <w:abstractNumId w:val="22"/>
  </w:num>
  <w:num w:numId="41">
    <w:abstractNumId w:val="22"/>
    <w:lvlOverride w:ilvl="0">
      <w:startOverride w:val="1"/>
    </w:lvlOverride>
  </w:num>
  <w:num w:numId="42">
    <w:abstractNumId w:val="1"/>
  </w:num>
  <w:num w:numId="43">
    <w:abstractNumId w:val="0"/>
  </w:num>
  <w:num w:numId="44">
    <w:abstractNumId w:val="22"/>
    <w:lvlOverride w:ilvl="0">
      <w:startOverride w:val="3"/>
    </w:lvlOverride>
  </w:num>
  <w:num w:numId="45">
    <w:abstractNumId w:val="22"/>
    <w:lvlOverride w:ilvl="0">
      <w:startOverride w:val="2"/>
    </w:lvlOverride>
  </w:num>
  <w:num w:numId="46">
    <w:abstractNumId w:val="19"/>
  </w:num>
  <w:num w:numId="47">
    <w:abstractNumId w:val="22"/>
    <w:lvlOverride w:ilvl="0">
      <w:startOverride w:val="3"/>
    </w:lvlOverride>
  </w:num>
  <w:num w:numId="48">
    <w:abstractNumId w:val="14"/>
  </w:num>
  <w:num w:numId="49">
    <w:abstractNumId w:val="2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0BCC"/>
    <w:rsid w:val="000054D0"/>
    <w:rsid w:val="00021D28"/>
    <w:rsid w:val="000269FE"/>
    <w:rsid w:val="000325E9"/>
    <w:rsid w:val="00034988"/>
    <w:rsid w:val="0004096A"/>
    <w:rsid w:val="00043F3E"/>
    <w:rsid w:val="00045F44"/>
    <w:rsid w:val="000460EC"/>
    <w:rsid w:val="00046CDB"/>
    <w:rsid w:val="000474F1"/>
    <w:rsid w:val="000506F0"/>
    <w:rsid w:val="00070219"/>
    <w:rsid w:val="00071A42"/>
    <w:rsid w:val="00072609"/>
    <w:rsid w:val="0007467D"/>
    <w:rsid w:val="00080329"/>
    <w:rsid w:val="000A0E81"/>
    <w:rsid w:val="000B3273"/>
    <w:rsid w:val="000B3A6F"/>
    <w:rsid w:val="000B6FC1"/>
    <w:rsid w:val="000C0EFB"/>
    <w:rsid w:val="000C436E"/>
    <w:rsid w:val="000C4950"/>
    <w:rsid w:val="000C4F84"/>
    <w:rsid w:val="000D2733"/>
    <w:rsid w:val="000D4FA9"/>
    <w:rsid w:val="000D737B"/>
    <w:rsid w:val="000E1481"/>
    <w:rsid w:val="000E1953"/>
    <w:rsid w:val="000E295A"/>
    <w:rsid w:val="000F23F5"/>
    <w:rsid w:val="000F3428"/>
    <w:rsid w:val="000F5298"/>
    <w:rsid w:val="00100445"/>
    <w:rsid w:val="00104D61"/>
    <w:rsid w:val="0012472A"/>
    <w:rsid w:val="00131220"/>
    <w:rsid w:val="00133B0A"/>
    <w:rsid w:val="001348D1"/>
    <w:rsid w:val="00144B97"/>
    <w:rsid w:val="00147CCC"/>
    <w:rsid w:val="001550D4"/>
    <w:rsid w:val="00155ACE"/>
    <w:rsid w:val="00157F5E"/>
    <w:rsid w:val="00171B07"/>
    <w:rsid w:val="001735F1"/>
    <w:rsid w:val="00182927"/>
    <w:rsid w:val="00185E41"/>
    <w:rsid w:val="00186662"/>
    <w:rsid w:val="00191705"/>
    <w:rsid w:val="00194084"/>
    <w:rsid w:val="0019757B"/>
    <w:rsid w:val="00197ADB"/>
    <w:rsid w:val="00197B9C"/>
    <w:rsid w:val="001A0360"/>
    <w:rsid w:val="001A0950"/>
    <w:rsid w:val="001A0ADA"/>
    <w:rsid w:val="001B0B79"/>
    <w:rsid w:val="001B3AFB"/>
    <w:rsid w:val="001B7D24"/>
    <w:rsid w:val="001C5008"/>
    <w:rsid w:val="001C620B"/>
    <w:rsid w:val="001D4B81"/>
    <w:rsid w:val="001D7AB7"/>
    <w:rsid w:val="001E3ED5"/>
    <w:rsid w:val="001E4752"/>
    <w:rsid w:val="001E4BA7"/>
    <w:rsid w:val="001F30C1"/>
    <w:rsid w:val="001F519B"/>
    <w:rsid w:val="00202EEA"/>
    <w:rsid w:val="0020792A"/>
    <w:rsid w:val="00216967"/>
    <w:rsid w:val="00220684"/>
    <w:rsid w:val="00226526"/>
    <w:rsid w:val="00226950"/>
    <w:rsid w:val="00226CC6"/>
    <w:rsid w:val="00227FC9"/>
    <w:rsid w:val="00231BF9"/>
    <w:rsid w:val="00232F5D"/>
    <w:rsid w:val="00233525"/>
    <w:rsid w:val="00234F48"/>
    <w:rsid w:val="00236529"/>
    <w:rsid w:val="0025347B"/>
    <w:rsid w:val="00254023"/>
    <w:rsid w:val="00260F34"/>
    <w:rsid w:val="00263007"/>
    <w:rsid w:val="002665E0"/>
    <w:rsid w:val="002764F8"/>
    <w:rsid w:val="002843AC"/>
    <w:rsid w:val="0028569D"/>
    <w:rsid w:val="00292955"/>
    <w:rsid w:val="002959FF"/>
    <w:rsid w:val="002A1349"/>
    <w:rsid w:val="002A3446"/>
    <w:rsid w:val="002A6D17"/>
    <w:rsid w:val="002C45EA"/>
    <w:rsid w:val="002C586B"/>
    <w:rsid w:val="002D18C7"/>
    <w:rsid w:val="002D1B22"/>
    <w:rsid w:val="002E0360"/>
    <w:rsid w:val="003004E8"/>
    <w:rsid w:val="00305314"/>
    <w:rsid w:val="0030725E"/>
    <w:rsid w:val="00310F25"/>
    <w:rsid w:val="003127F5"/>
    <w:rsid w:val="0031444C"/>
    <w:rsid w:val="003270B2"/>
    <w:rsid w:val="003324B7"/>
    <w:rsid w:val="003341DC"/>
    <w:rsid w:val="00341F48"/>
    <w:rsid w:val="00350C8A"/>
    <w:rsid w:val="003526D2"/>
    <w:rsid w:val="00353B54"/>
    <w:rsid w:val="00355A38"/>
    <w:rsid w:val="00363CDE"/>
    <w:rsid w:val="00367D03"/>
    <w:rsid w:val="00374244"/>
    <w:rsid w:val="003810F5"/>
    <w:rsid w:val="0039053D"/>
    <w:rsid w:val="003B18DD"/>
    <w:rsid w:val="003B513A"/>
    <w:rsid w:val="003C7536"/>
    <w:rsid w:val="003D2807"/>
    <w:rsid w:val="003E1611"/>
    <w:rsid w:val="003F0B4F"/>
    <w:rsid w:val="003F2B89"/>
    <w:rsid w:val="00403F51"/>
    <w:rsid w:val="004111DE"/>
    <w:rsid w:val="004147F8"/>
    <w:rsid w:val="00417E95"/>
    <w:rsid w:val="0042046A"/>
    <w:rsid w:val="00422B57"/>
    <w:rsid w:val="00422E5B"/>
    <w:rsid w:val="0042646F"/>
    <w:rsid w:val="0044306F"/>
    <w:rsid w:val="004514F7"/>
    <w:rsid w:val="004520CB"/>
    <w:rsid w:val="0045398F"/>
    <w:rsid w:val="00463B52"/>
    <w:rsid w:val="0047304B"/>
    <w:rsid w:val="0047504E"/>
    <w:rsid w:val="00475E78"/>
    <w:rsid w:val="00480AA9"/>
    <w:rsid w:val="00491A0F"/>
    <w:rsid w:val="004924E6"/>
    <w:rsid w:val="00493A7E"/>
    <w:rsid w:val="004A3E5E"/>
    <w:rsid w:val="004B6313"/>
    <w:rsid w:val="004B6D6B"/>
    <w:rsid w:val="004C13A5"/>
    <w:rsid w:val="004D6E0D"/>
    <w:rsid w:val="004E095D"/>
    <w:rsid w:val="004E5B38"/>
    <w:rsid w:val="004E5BDF"/>
    <w:rsid w:val="004E6731"/>
    <w:rsid w:val="004F248D"/>
    <w:rsid w:val="004F4572"/>
    <w:rsid w:val="004F5634"/>
    <w:rsid w:val="00500149"/>
    <w:rsid w:val="00505699"/>
    <w:rsid w:val="0050734A"/>
    <w:rsid w:val="005105D9"/>
    <w:rsid w:val="00510642"/>
    <w:rsid w:val="00511315"/>
    <w:rsid w:val="005118C2"/>
    <w:rsid w:val="005147F6"/>
    <w:rsid w:val="005251B3"/>
    <w:rsid w:val="005318CD"/>
    <w:rsid w:val="00534F06"/>
    <w:rsid w:val="00536649"/>
    <w:rsid w:val="00537E10"/>
    <w:rsid w:val="00553EEF"/>
    <w:rsid w:val="00560110"/>
    <w:rsid w:val="005608AD"/>
    <w:rsid w:val="00561B50"/>
    <w:rsid w:val="00562BE4"/>
    <w:rsid w:val="005657B2"/>
    <w:rsid w:val="00565ECD"/>
    <w:rsid w:val="005660B0"/>
    <w:rsid w:val="00574570"/>
    <w:rsid w:val="00580802"/>
    <w:rsid w:val="00583F2D"/>
    <w:rsid w:val="005874DD"/>
    <w:rsid w:val="00592DE1"/>
    <w:rsid w:val="00594F40"/>
    <w:rsid w:val="005A4145"/>
    <w:rsid w:val="005C2E59"/>
    <w:rsid w:val="005C4F31"/>
    <w:rsid w:val="005C7641"/>
    <w:rsid w:val="005D57A2"/>
    <w:rsid w:val="005D6212"/>
    <w:rsid w:val="005F25AF"/>
    <w:rsid w:val="005F5A2B"/>
    <w:rsid w:val="006013EF"/>
    <w:rsid w:val="00604661"/>
    <w:rsid w:val="0061626F"/>
    <w:rsid w:val="00624D76"/>
    <w:rsid w:val="006343CB"/>
    <w:rsid w:val="006343D6"/>
    <w:rsid w:val="006436C1"/>
    <w:rsid w:val="006462C1"/>
    <w:rsid w:val="0064648D"/>
    <w:rsid w:val="00663A81"/>
    <w:rsid w:val="0067316C"/>
    <w:rsid w:val="006907E1"/>
    <w:rsid w:val="00692240"/>
    <w:rsid w:val="00694329"/>
    <w:rsid w:val="006946F3"/>
    <w:rsid w:val="00696273"/>
    <w:rsid w:val="006A030D"/>
    <w:rsid w:val="006A39DE"/>
    <w:rsid w:val="006A3B2E"/>
    <w:rsid w:val="006A3B84"/>
    <w:rsid w:val="006B19CF"/>
    <w:rsid w:val="006B20FA"/>
    <w:rsid w:val="006B22E0"/>
    <w:rsid w:val="006B271D"/>
    <w:rsid w:val="006B3D74"/>
    <w:rsid w:val="006B6D5C"/>
    <w:rsid w:val="006C442E"/>
    <w:rsid w:val="006C4F31"/>
    <w:rsid w:val="006D486B"/>
    <w:rsid w:val="006F2DEB"/>
    <w:rsid w:val="006F59E7"/>
    <w:rsid w:val="007017EB"/>
    <w:rsid w:val="00702077"/>
    <w:rsid w:val="00707559"/>
    <w:rsid w:val="00712275"/>
    <w:rsid w:val="00712EBF"/>
    <w:rsid w:val="007139E0"/>
    <w:rsid w:val="0071663B"/>
    <w:rsid w:val="00720051"/>
    <w:rsid w:val="00721CC7"/>
    <w:rsid w:val="00722129"/>
    <w:rsid w:val="00723364"/>
    <w:rsid w:val="0072619E"/>
    <w:rsid w:val="00734BD3"/>
    <w:rsid w:val="00736B54"/>
    <w:rsid w:val="00744F2E"/>
    <w:rsid w:val="00745C44"/>
    <w:rsid w:val="00746ACC"/>
    <w:rsid w:val="00746D89"/>
    <w:rsid w:val="00756780"/>
    <w:rsid w:val="007577E4"/>
    <w:rsid w:val="00757DCB"/>
    <w:rsid w:val="00760D26"/>
    <w:rsid w:val="00762E1F"/>
    <w:rsid w:val="00767EBF"/>
    <w:rsid w:val="00771658"/>
    <w:rsid w:val="00783EF0"/>
    <w:rsid w:val="00787373"/>
    <w:rsid w:val="00790BCC"/>
    <w:rsid w:val="0079434A"/>
    <w:rsid w:val="007A3CBD"/>
    <w:rsid w:val="007A69AF"/>
    <w:rsid w:val="007B5DB3"/>
    <w:rsid w:val="007B616D"/>
    <w:rsid w:val="007C1A51"/>
    <w:rsid w:val="007D02C3"/>
    <w:rsid w:val="007D0622"/>
    <w:rsid w:val="007D142F"/>
    <w:rsid w:val="007D224A"/>
    <w:rsid w:val="007D2598"/>
    <w:rsid w:val="007D2C83"/>
    <w:rsid w:val="007D47EA"/>
    <w:rsid w:val="007D5207"/>
    <w:rsid w:val="007E2DE6"/>
    <w:rsid w:val="007E3E6D"/>
    <w:rsid w:val="007E484F"/>
    <w:rsid w:val="007F5EDF"/>
    <w:rsid w:val="00803999"/>
    <w:rsid w:val="00803BB5"/>
    <w:rsid w:val="008069A9"/>
    <w:rsid w:val="00811334"/>
    <w:rsid w:val="00813B2A"/>
    <w:rsid w:val="00821F8F"/>
    <w:rsid w:val="0083334B"/>
    <w:rsid w:val="0084445A"/>
    <w:rsid w:val="00852F04"/>
    <w:rsid w:val="00853D49"/>
    <w:rsid w:val="00853FDD"/>
    <w:rsid w:val="00860795"/>
    <w:rsid w:val="00860C51"/>
    <w:rsid w:val="0086100B"/>
    <w:rsid w:val="00861F53"/>
    <w:rsid w:val="00864239"/>
    <w:rsid w:val="00882CEC"/>
    <w:rsid w:val="00884474"/>
    <w:rsid w:val="008860A9"/>
    <w:rsid w:val="00890E8D"/>
    <w:rsid w:val="00890FCC"/>
    <w:rsid w:val="00891EA1"/>
    <w:rsid w:val="008B0FEB"/>
    <w:rsid w:val="008B2089"/>
    <w:rsid w:val="008B262B"/>
    <w:rsid w:val="008B4AFF"/>
    <w:rsid w:val="008B4DC2"/>
    <w:rsid w:val="008B586E"/>
    <w:rsid w:val="008B7082"/>
    <w:rsid w:val="008C51C0"/>
    <w:rsid w:val="008C521B"/>
    <w:rsid w:val="008C5376"/>
    <w:rsid w:val="008C6516"/>
    <w:rsid w:val="008D03D6"/>
    <w:rsid w:val="008D0D76"/>
    <w:rsid w:val="008D10ED"/>
    <w:rsid w:val="008D1686"/>
    <w:rsid w:val="008D6124"/>
    <w:rsid w:val="008D6277"/>
    <w:rsid w:val="008E0122"/>
    <w:rsid w:val="00902CF8"/>
    <w:rsid w:val="009200ED"/>
    <w:rsid w:val="00920D8A"/>
    <w:rsid w:val="009230EA"/>
    <w:rsid w:val="009276E7"/>
    <w:rsid w:val="009278BA"/>
    <w:rsid w:val="00927E73"/>
    <w:rsid w:val="009321CE"/>
    <w:rsid w:val="00940F55"/>
    <w:rsid w:val="009418BA"/>
    <w:rsid w:val="00942601"/>
    <w:rsid w:val="009450B7"/>
    <w:rsid w:val="009450F1"/>
    <w:rsid w:val="00950471"/>
    <w:rsid w:val="00951899"/>
    <w:rsid w:val="00956038"/>
    <w:rsid w:val="009608CD"/>
    <w:rsid w:val="00970B0F"/>
    <w:rsid w:val="009712B2"/>
    <w:rsid w:val="009736FB"/>
    <w:rsid w:val="009804AD"/>
    <w:rsid w:val="00983B29"/>
    <w:rsid w:val="00990E57"/>
    <w:rsid w:val="009918E7"/>
    <w:rsid w:val="00993B8F"/>
    <w:rsid w:val="009A31E6"/>
    <w:rsid w:val="009B1860"/>
    <w:rsid w:val="009C3ED9"/>
    <w:rsid w:val="009C49FC"/>
    <w:rsid w:val="009C619C"/>
    <w:rsid w:val="009C7817"/>
    <w:rsid w:val="009E78D9"/>
    <w:rsid w:val="009F484F"/>
    <w:rsid w:val="00A03393"/>
    <w:rsid w:val="00A052E6"/>
    <w:rsid w:val="00A05DAA"/>
    <w:rsid w:val="00A065DF"/>
    <w:rsid w:val="00A0732F"/>
    <w:rsid w:val="00A17252"/>
    <w:rsid w:val="00A23B6F"/>
    <w:rsid w:val="00A26DCE"/>
    <w:rsid w:val="00A26EC1"/>
    <w:rsid w:val="00A2726B"/>
    <w:rsid w:val="00A42FB2"/>
    <w:rsid w:val="00A44022"/>
    <w:rsid w:val="00A449C8"/>
    <w:rsid w:val="00A56DA5"/>
    <w:rsid w:val="00A56FD5"/>
    <w:rsid w:val="00A62088"/>
    <w:rsid w:val="00A650F0"/>
    <w:rsid w:val="00A66B0F"/>
    <w:rsid w:val="00A70B80"/>
    <w:rsid w:val="00A715FA"/>
    <w:rsid w:val="00A734A4"/>
    <w:rsid w:val="00A74A5B"/>
    <w:rsid w:val="00A80A23"/>
    <w:rsid w:val="00A80BBA"/>
    <w:rsid w:val="00A844E3"/>
    <w:rsid w:val="00A84E0C"/>
    <w:rsid w:val="00AA0A42"/>
    <w:rsid w:val="00AA16BA"/>
    <w:rsid w:val="00AB758D"/>
    <w:rsid w:val="00AC36E2"/>
    <w:rsid w:val="00AC4B2F"/>
    <w:rsid w:val="00AC6334"/>
    <w:rsid w:val="00AE2D7E"/>
    <w:rsid w:val="00AE4C7D"/>
    <w:rsid w:val="00AE5F72"/>
    <w:rsid w:val="00AF565B"/>
    <w:rsid w:val="00AF6642"/>
    <w:rsid w:val="00AF6D95"/>
    <w:rsid w:val="00AF6FF1"/>
    <w:rsid w:val="00B0255D"/>
    <w:rsid w:val="00B03FFB"/>
    <w:rsid w:val="00B10806"/>
    <w:rsid w:val="00B147A7"/>
    <w:rsid w:val="00B15BC7"/>
    <w:rsid w:val="00B178E2"/>
    <w:rsid w:val="00B20BA8"/>
    <w:rsid w:val="00B2118A"/>
    <w:rsid w:val="00B22D6D"/>
    <w:rsid w:val="00B24D0C"/>
    <w:rsid w:val="00B35FC0"/>
    <w:rsid w:val="00B467BB"/>
    <w:rsid w:val="00B47C1B"/>
    <w:rsid w:val="00B54B5C"/>
    <w:rsid w:val="00B636C1"/>
    <w:rsid w:val="00B65620"/>
    <w:rsid w:val="00B66209"/>
    <w:rsid w:val="00B722B8"/>
    <w:rsid w:val="00B72F16"/>
    <w:rsid w:val="00B76B8E"/>
    <w:rsid w:val="00B91208"/>
    <w:rsid w:val="00BA140B"/>
    <w:rsid w:val="00BA4826"/>
    <w:rsid w:val="00BC2E11"/>
    <w:rsid w:val="00BC3916"/>
    <w:rsid w:val="00BC3D6B"/>
    <w:rsid w:val="00BC53FE"/>
    <w:rsid w:val="00BC69E7"/>
    <w:rsid w:val="00BD4106"/>
    <w:rsid w:val="00BE7530"/>
    <w:rsid w:val="00C0516C"/>
    <w:rsid w:val="00C20293"/>
    <w:rsid w:val="00C25A14"/>
    <w:rsid w:val="00C302D0"/>
    <w:rsid w:val="00C34E57"/>
    <w:rsid w:val="00C34FA6"/>
    <w:rsid w:val="00C41C10"/>
    <w:rsid w:val="00C42ED0"/>
    <w:rsid w:val="00C51F82"/>
    <w:rsid w:val="00C5268D"/>
    <w:rsid w:val="00C57596"/>
    <w:rsid w:val="00C61C96"/>
    <w:rsid w:val="00C635CB"/>
    <w:rsid w:val="00C706AE"/>
    <w:rsid w:val="00C86DA0"/>
    <w:rsid w:val="00C97E79"/>
    <w:rsid w:val="00CA0D94"/>
    <w:rsid w:val="00CA394A"/>
    <w:rsid w:val="00CB049D"/>
    <w:rsid w:val="00CB0D95"/>
    <w:rsid w:val="00CB1013"/>
    <w:rsid w:val="00CB64A8"/>
    <w:rsid w:val="00CC1039"/>
    <w:rsid w:val="00CD0AF2"/>
    <w:rsid w:val="00CD7064"/>
    <w:rsid w:val="00CD7FBB"/>
    <w:rsid w:val="00CE36B4"/>
    <w:rsid w:val="00CE6050"/>
    <w:rsid w:val="00CF23FF"/>
    <w:rsid w:val="00CF5C29"/>
    <w:rsid w:val="00CF6B63"/>
    <w:rsid w:val="00D00981"/>
    <w:rsid w:val="00D018CB"/>
    <w:rsid w:val="00D03A0E"/>
    <w:rsid w:val="00D049BB"/>
    <w:rsid w:val="00D16686"/>
    <w:rsid w:val="00D24609"/>
    <w:rsid w:val="00D2487D"/>
    <w:rsid w:val="00D24DC4"/>
    <w:rsid w:val="00D25D96"/>
    <w:rsid w:val="00D26FC2"/>
    <w:rsid w:val="00D31F4D"/>
    <w:rsid w:val="00D3413C"/>
    <w:rsid w:val="00D431E8"/>
    <w:rsid w:val="00D43571"/>
    <w:rsid w:val="00D43D08"/>
    <w:rsid w:val="00D442DD"/>
    <w:rsid w:val="00D573D8"/>
    <w:rsid w:val="00D67D27"/>
    <w:rsid w:val="00D73BD7"/>
    <w:rsid w:val="00D75D78"/>
    <w:rsid w:val="00D80FB6"/>
    <w:rsid w:val="00D81702"/>
    <w:rsid w:val="00D822F6"/>
    <w:rsid w:val="00D83754"/>
    <w:rsid w:val="00D861D6"/>
    <w:rsid w:val="00D876B5"/>
    <w:rsid w:val="00D95534"/>
    <w:rsid w:val="00DA4627"/>
    <w:rsid w:val="00DB363F"/>
    <w:rsid w:val="00DB6C77"/>
    <w:rsid w:val="00DB6D70"/>
    <w:rsid w:val="00DB7281"/>
    <w:rsid w:val="00DC7C49"/>
    <w:rsid w:val="00DD271F"/>
    <w:rsid w:val="00DD29CB"/>
    <w:rsid w:val="00DD2BCB"/>
    <w:rsid w:val="00DD4292"/>
    <w:rsid w:val="00DD6E5A"/>
    <w:rsid w:val="00DD7679"/>
    <w:rsid w:val="00DE2D09"/>
    <w:rsid w:val="00DE67A3"/>
    <w:rsid w:val="00DF00DD"/>
    <w:rsid w:val="00DF04C1"/>
    <w:rsid w:val="00DF486E"/>
    <w:rsid w:val="00DF6CA2"/>
    <w:rsid w:val="00DF6E77"/>
    <w:rsid w:val="00E025A2"/>
    <w:rsid w:val="00E16013"/>
    <w:rsid w:val="00E1613A"/>
    <w:rsid w:val="00E32A48"/>
    <w:rsid w:val="00E331A3"/>
    <w:rsid w:val="00E34EBC"/>
    <w:rsid w:val="00E40C1E"/>
    <w:rsid w:val="00E445EB"/>
    <w:rsid w:val="00E44FA3"/>
    <w:rsid w:val="00E450CA"/>
    <w:rsid w:val="00E5004E"/>
    <w:rsid w:val="00E57AB3"/>
    <w:rsid w:val="00E603F1"/>
    <w:rsid w:val="00E6206D"/>
    <w:rsid w:val="00E6374D"/>
    <w:rsid w:val="00E65C12"/>
    <w:rsid w:val="00E73691"/>
    <w:rsid w:val="00E829EF"/>
    <w:rsid w:val="00E8484F"/>
    <w:rsid w:val="00E87F5D"/>
    <w:rsid w:val="00E95C7F"/>
    <w:rsid w:val="00E962FE"/>
    <w:rsid w:val="00EA163C"/>
    <w:rsid w:val="00EA24D9"/>
    <w:rsid w:val="00EA5069"/>
    <w:rsid w:val="00EC15C2"/>
    <w:rsid w:val="00EC2911"/>
    <w:rsid w:val="00EC30BC"/>
    <w:rsid w:val="00ED3125"/>
    <w:rsid w:val="00EE1DA9"/>
    <w:rsid w:val="00EF74CD"/>
    <w:rsid w:val="00F0130B"/>
    <w:rsid w:val="00F013F3"/>
    <w:rsid w:val="00F06B0C"/>
    <w:rsid w:val="00F100BB"/>
    <w:rsid w:val="00F23027"/>
    <w:rsid w:val="00F23277"/>
    <w:rsid w:val="00F243E9"/>
    <w:rsid w:val="00F254D1"/>
    <w:rsid w:val="00F30709"/>
    <w:rsid w:val="00F310E7"/>
    <w:rsid w:val="00F3190A"/>
    <w:rsid w:val="00F31A0B"/>
    <w:rsid w:val="00F36D85"/>
    <w:rsid w:val="00F377A7"/>
    <w:rsid w:val="00F45C92"/>
    <w:rsid w:val="00F60660"/>
    <w:rsid w:val="00F62319"/>
    <w:rsid w:val="00F6473B"/>
    <w:rsid w:val="00F70600"/>
    <w:rsid w:val="00F70D34"/>
    <w:rsid w:val="00F7509A"/>
    <w:rsid w:val="00F75553"/>
    <w:rsid w:val="00F823D2"/>
    <w:rsid w:val="00F97A14"/>
    <w:rsid w:val="00FA6E28"/>
    <w:rsid w:val="00FC62C1"/>
    <w:rsid w:val="00FC6FFA"/>
    <w:rsid w:val="00FD3464"/>
    <w:rsid w:val="00FD4EFA"/>
    <w:rsid w:val="00FD78DD"/>
    <w:rsid w:val="00FD7F1C"/>
    <w:rsid w:val="00FD7F24"/>
    <w:rsid w:val="00FE0E35"/>
    <w:rsid w:val="00FE5B20"/>
    <w:rsid w:val="00FF0846"/>
    <w:rsid w:val="00FF7B4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46AEAC"/>
  <w15:docId w15:val="{3A853B34-91E1-4B95-9888-C98BD2933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A734A4"/>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A734A4"/>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734A4"/>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A734A4"/>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734A4"/>
    <w:pPr>
      <w:tabs>
        <w:tab w:val="center" w:pos="4320"/>
        <w:tab w:val="right" w:pos="8640"/>
      </w:tabs>
    </w:pPr>
    <w:rPr>
      <w:rFonts w:ascii="Times New Roman" w:hAnsi="Times New Roman"/>
      <w:sz w:val="20"/>
    </w:rPr>
  </w:style>
  <w:style w:type="character" w:customStyle="1" w:styleId="FooterChar">
    <w:name w:val="Footer Char"/>
    <w:link w:val="Footer"/>
    <w:uiPriority w:val="99"/>
    <w:rsid w:val="00A734A4"/>
    <w:rPr>
      <w:rFonts w:ascii="Times New Roman" w:eastAsia="Calibri" w:hAnsi="Times New Roman" w:cs="Times New Roman"/>
      <w:sz w:val="20"/>
    </w:rPr>
  </w:style>
  <w:style w:type="character" w:styleId="PageNumber">
    <w:name w:val="page number"/>
    <w:uiPriority w:val="99"/>
    <w:rsid w:val="00A734A4"/>
    <w:rPr>
      <w:rFonts w:cs="Times New Roman"/>
    </w:rPr>
  </w:style>
  <w:style w:type="character" w:styleId="Hyperlink">
    <w:name w:val="Hyperlink"/>
    <w:uiPriority w:val="99"/>
    <w:unhideWhenUsed/>
    <w:rsid w:val="00A734A4"/>
    <w:rPr>
      <w:color w:val="0000FF"/>
      <w:u w:val="single"/>
    </w:rPr>
  </w:style>
  <w:style w:type="table" w:styleId="TableGrid">
    <w:name w:val="Table Grid"/>
    <w:basedOn w:val="TableNormal"/>
    <w:uiPriority w:val="59"/>
    <w:rsid w:val="00A734A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A734A4"/>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A734A4"/>
    <w:pPr>
      <w:numPr>
        <w:numId w:val="38"/>
      </w:numPr>
      <w:spacing w:after="60" w:line="240" w:lineRule="auto"/>
    </w:pPr>
    <w:rPr>
      <w:rFonts w:ascii="Calibri" w:eastAsia="Calibri" w:hAnsi="Calibri" w:cs="Times New Roman"/>
    </w:rPr>
  </w:style>
  <w:style w:type="paragraph" w:customStyle="1" w:styleId="PageHeader">
    <w:name w:val="*PageHeader"/>
    <w:link w:val="PageHeaderChar"/>
    <w:qFormat/>
    <w:rsid w:val="00A734A4"/>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A734A4"/>
    <w:rPr>
      <w:rFonts w:ascii="Calibri" w:eastAsia="Calibri" w:hAnsi="Calibri" w:cs="Times New Roman"/>
      <w:b/>
      <w:sz w:val="18"/>
    </w:rPr>
  </w:style>
  <w:style w:type="paragraph" w:customStyle="1" w:styleId="FooterText">
    <w:name w:val="*FooterText"/>
    <w:link w:val="FooterTextChar"/>
    <w:qFormat/>
    <w:rsid w:val="00A734A4"/>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A734A4"/>
    <w:rPr>
      <w:rFonts w:ascii="Verdana" w:eastAsia="Verdana" w:hAnsi="Verdana" w:cs="Verdana"/>
      <w:color w:val="595959"/>
      <w:sz w:val="16"/>
    </w:rPr>
  </w:style>
  <w:style w:type="character" w:customStyle="1" w:styleId="FooterTextChar">
    <w:name w:val="FooterText Char"/>
    <w:basedOn w:val="folioChar"/>
    <w:link w:val="FooterText"/>
    <w:rsid w:val="00A734A4"/>
    <w:rPr>
      <w:rFonts w:ascii="Calibri" w:eastAsia="Verdana" w:hAnsi="Calibri" w:cs="Calibri"/>
      <w:b/>
      <w:color w:val="595959"/>
      <w:sz w:val="14"/>
    </w:rPr>
  </w:style>
  <w:style w:type="paragraph" w:styleId="Header">
    <w:name w:val="header"/>
    <w:basedOn w:val="Normal"/>
    <w:link w:val="HeaderChar"/>
    <w:uiPriority w:val="99"/>
    <w:unhideWhenUsed/>
    <w:rsid w:val="00A734A4"/>
    <w:pPr>
      <w:tabs>
        <w:tab w:val="center" w:pos="4680"/>
        <w:tab w:val="right" w:pos="9360"/>
      </w:tabs>
    </w:pPr>
    <w:rPr>
      <w:sz w:val="20"/>
    </w:rPr>
  </w:style>
  <w:style w:type="character" w:customStyle="1" w:styleId="HeaderChar">
    <w:name w:val="Header Char"/>
    <w:link w:val="Header"/>
    <w:uiPriority w:val="99"/>
    <w:rsid w:val="00A734A4"/>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qFormat/>
    <w:rsid w:val="00A734A4"/>
    <w:pPr>
      <w:numPr>
        <w:numId w:val="31"/>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A734A4"/>
    <w:rPr>
      <w:rFonts w:ascii="Calibri" w:eastAsia="Calibri" w:hAnsi="Calibri" w:cs="Times New Roman"/>
    </w:rPr>
  </w:style>
  <w:style w:type="paragraph" w:customStyle="1" w:styleId="ExcerptAuthor">
    <w:name w:val="*ExcerptAuthor"/>
    <w:basedOn w:val="Normal"/>
    <w:link w:val="ExcerptAuthorChar"/>
    <w:qFormat/>
    <w:rsid w:val="00A734A4"/>
    <w:pPr>
      <w:jc w:val="center"/>
    </w:pPr>
    <w:rPr>
      <w:rFonts w:asciiTheme="majorHAnsi" w:hAnsiTheme="majorHAnsi"/>
      <w:b/>
    </w:rPr>
  </w:style>
  <w:style w:type="character" w:customStyle="1" w:styleId="ExcerptAuthorChar">
    <w:name w:val="*ExcerptAuthor Char"/>
    <w:basedOn w:val="DefaultParagraphFont"/>
    <w:link w:val="ExcerptAuthor"/>
    <w:rsid w:val="00A734A4"/>
    <w:rPr>
      <w:rFonts w:asciiTheme="majorHAnsi" w:eastAsia="Calibri" w:hAnsiTheme="majorHAnsi" w:cs="Times New Roman"/>
      <w:b/>
    </w:rPr>
  </w:style>
  <w:style w:type="paragraph" w:customStyle="1" w:styleId="ExcerptBody">
    <w:name w:val="*ExcerptBody"/>
    <w:basedOn w:val="Normal"/>
    <w:link w:val="ExcerptBodyChar"/>
    <w:qFormat/>
    <w:rsid w:val="00A734A4"/>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A734A4"/>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A734A4"/>
    <w:pPr>
      <w:jc w:val="center"/>
    </w:pPr>
    <w:rPr>
      <w:rFonts w:asciiTheme="majorHAnsi" w:hAnsiTheme="majorHAnsi"/>
      <w:b/>
      <w:smallCaps/>
      <w:sz w:val="32"/>
    </w:rPr>
  </w:style>
  <w:style w:type="character" w:customStyle="1" w:styleId="ExcerptTitleChar">
    <w:name w:val="*ExcerptTitle Char"/>
    <w:basedOn w:val="DefaultParagraphFont"/>
    <w:link w:val="ExcerptTitle"/>
    <w:rsid w:val="00A734A4"/>
    <w:rPr>
      <w:rFonts w:asciiTheme="majorHAnsi" w:eastAsia="Calibri" w:hAnsiTheme="majorHAnsi" w:cs="Times New Roman"/>
      <w:b/>
      <w:smallCaps/>
      <w:sz w:val="32"/>
    </w:rPr>
  </w:style>
  <w:style w:type="paragraph" w:customStyle="1" w:styleId="IN">
    <w:name w:val="*IN*"/>
    <w:link w:val="INChar"/>
    <w:qFormat/>
    <w:rsid w:val="00A734A4"/>
    <w:pPr>
      <w:numPr>
        <w:numId w:val="36"/>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A734A4"/>
    <w:rPr>
      <w:rFonts w:ascii="Calibri" w:eastAsia="Calibri" w:hAnsi="Calibri" w:cs="Times New Roman"/>
      <w:color w:val="4F81BD"/>
    </w:rPr>
  </w:style>
  <w:style w:type="paragraph" w:customStyle="1" w:styleId="INBullet">
    <w:name w:val="*IN* Bullet"/>
    <w:link w:val="INBulletChar"/>
    <w:qFormat/>
    <w:rsid w:val="00A734A4"/>
    <w:pPr>
      <w:numPr>
        <w:numId w:val="37"/>
      </w:numPr>
      <w:spacing w:after="60" w:line="276" w:lineRule="auto"/>
    </w:pPr>
    <w:rPr>
      <w:rFonts w:ascii="Calibri" w:eastAsia="Calibri" w:hAnsi="Calibri" w:cs="Times New Roman"/>
      <w:color w:val="4F81BD"/>
    </w:rPr>
  </w:style>
  <w:style w:type="character" w:customStyle="1" w:styleId="INBulletChar">
    <w:name w:val="*IN* Bullet Char"/>
    <w:basedOn w:val="BulletedListChar"/>
    <w:link w:val="INBullet"/>
    <w:rsid w:val="00A734A4"/>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A734A4"/>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A734A4"/>
    <w:rPr>
      <w:rFonts w:eastAsia="Calibri" w:cs="Times New Roman"/>
      <w:b/>
      <w:bCs/>
      <w:color w:val="4F81BD"/>
      <w:sz w:val="28"/>
      <w:szCs w:val="26"/>
    </w:rPr>
  </w:style>
  <w:style w:type="character" w:customStyle="1" w:styleId="NumberedListChar">
    <w:name w:val="*Numbered List Char"/>
    <w:basedOn w:val="BulletedListChar"/>
    <w:link w:val="NumberedList"/>
    <w:rsid w:val="00A734A4"/>
    <w:rPr>
      <w:rFonts w:ascii="Calibri" w:eastAsia="Calibri" w:hAnsi="Calibri" w:cs="Times New Roman"/>
    </w:rPr>
  </w:style>
  <w:style w:type="paragraph" w:customStyle="1" w:styleId="Q">
    <w:name w:val="*Q*"/>
    <w:link w:val="QChar"/>
    <w:qFormat/>
    <w:rsid w:val="00A734A4"/>
    <w:pPr>
      <w:spacing w:before="240" w:after="0" w:line="276" w:lineRule="auto"/>
    </w:pPr>
    <w:rPr>
      <w:rFonts w:ascii="Calibri" w:eastAsia="Calibri" w:hAnsi="Calibri" w:cs="Times New Roman"/>
      <w:b/>
    </w:rPr>
  </w:style>
  <w:style w:type="character" w:customStyle="1" w:styleId="QChar">
    <w:name w:val="*Q* Char"/>
    <w:basedOn w:val="DefaultParagraphFont"/>
    <w:link w:val="Q"/>
    <w:rsid w:val="00A734A4"/>
    <w:rPr>
      <w:rFonts w:ascii="Calibri" w:eastAsia="Calibri" w:hAnsi="Calibri" w:cs="Times New Roman"/>
      <w:b/>
    </w:rPr>
  </w:style>
  <w:style w:type="paragraph" w:customStyle="1" w:styleId="SA">
    <w:name w:val="*SA*"/>
    <w:link w:val="SAChar"/>
    <w:qFormat/>
    <w:rsid w:val="00A734A4"/>
    <w:pPr>
      <w:numPr>
        <w:numId w:val="33"/>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A734A4"/>
    <w:rPr>
      <w:rFonts w:ascii="Calibri" w:eastAsia="Calibri" w:hAnsi="Calibri" w:cs="Times New Roman"/>
    </w:rPr>
  </w:style>
  <w:style w:type="paragraph" w:customStyle="1" w:styleId="SASRBullet">
    <w:name w:val="*SA/SR Bullet"/>
    <w:basedOn w:val="Normal"/>
    <w:link w:val="SASRBulletChar"/>
    <w:qFormat/>
    <w:rsid w:val="00A734A4"/>
    <w:pPr>
      <w:numPr>
        <w:ilvl w:val="1"/>
        <w:numId w:val="39"/>
      </w:numPr>
      <w:spacing w:before="120"/>
      <w:ind w:left="1080"/>
      <w:contextualSpacing/>
    </w:pPr>
  </w:style>
  <w:style w:type="character" w:customStyle="1" w:styleId="SASRBulletChar">
    <w:name w:val="*SA/SR Bullet Char"/>
    <w:basedOn w:val="DefaultParagraphFont"/>
    <w:link w:val="SASRBullet"/>
    <w:rsid w:val="00A734A4"/>
    <w:rPr>
      <w:rFonts w:ascii="Calibri" w:eastAsia="Calibri" w:hAnsi="Calibri" w:cs="Times New Roman"/>
    </w:rPr>
  </w:style>
  <w:style w:type="paragraph" w:customStyle="1" w:styleId="SR">
    <w:name w:val="*SR*"/>
    <w:link w:val="SRChar"/>
    <w:qFormat/>
    <w:rsid w:val="00A734A4"/>
    <w:pPr>
      <w:numPr>
        <w:numId w:val="34"/>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A734A4"/>
    <w:rPr>
      <w:rFonts w:ascii="Calibri" w:eastAsia="Calibri" w:hAnsi="Calibri" w:cs="Times New Roman"/>
    </w:rPr>
  </w:style>
  <w:style w:type="paragraph" w:customStyle="1" w:styleId="TableText">
    <w:name w:val="*TableText"/>
    <w:link w:val="TableTextChar"/>
    <w:qFormat/>
    <w:rsid w:val="00A734A4"/>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A734A4"/>
    <w:rPr>
      <w:rFonts w:ascii="Calibri" w:eastAsia="Calibri" w:hAnsi="Calibri" w:cs="Times New Roman"/>
    </w:rPr>
  </w:style>
  <w:style w:type="paragraph" w:customStyle="1" w:styleId="SubStandard">
    <w:name w:val="*SubStandard"/>
    <w:basedOn w:val="TableText"/>
    <w:link w:val="SubStandardChar"/>
    <w:qFormat/>
    <w:rsid w:val="00A734A4"/>
    <w:pPr>
      <w:numPr>
        <w:numId w:val="40"/>
      </w:numPr>
    </w:pPr>
  </w:style>
  <w:style w:type="character" w:customStyle="1" w:styleId="SubStandardChar">
    <w:name w:val="*SubStandard Char"/>
    <w:basedOn w:val="TableTextChar"/>
    <w:link w:val="SubStandard"/>
    <w:rsid w:val="00A734A4"/>
    <w:rPr>
      <w:rFonts w:ascii="Calibri" w:eastAsia="Calibri" w:hAnsi="Calibri" w:cs="Times New Roman"/>
    </w:rPr>
  </w:style>
  <w:style w:type="paragraph" w:customStyle="1" w:styleId="TA">
    <w:name w:val="*TA*"/>
    <w:link w:val="TAChar"/>
    <w:qFormat/>
    <w:rsid w:val="00A734A4"/>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A734A4"/>
    <w:rPr>
      <w:rFonts w:ascii="Calibri" w:eastAsia="Calibri" w:hAnsi="Calibri" w:cs="Times New Roman"/>
    </w:rPr>
  </w:style>
  <w:style w:type="paragraph" w:customStyle="1" w:styleId="TableHeaders">
    <w:name w:val="*TableHeaders"/>
    <w:basedOn w:val="Normal"/>
    <w:link w:val="TableHeadersChar"/>
    <w:qFormat/>
    <w:rsid w:val="00A734A4"/>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A734A4"/>
    <w:rPr>
      <w:rFonts w:ascii="Calibri" w:eastAsia="Calibri" w:hAnsi="Calibri" w:cs="Times New Roman"/>
      <w:b/>
      <w:color w:val="FFFFFF" w:themeColor="background1"/>
    </w:rPr>
  </w:style>
  <w:style w:type="paragraph" w:customStyle="1" w:styleId="ToolHeader">
    <w:name w:val="*ToolHeader"/>
    <w:link w:val="ToolHeaderChar"/>
    <w:qFormat/>
    <w:rsid w:val="00A734A4"/>
    <w:pPr>
      <w:spacing w:after="120" w:line="240" w:lineRule="auto"/>
    </w:pPr>
    <w:rPr>
      <w:rFonts w:eastAsia="Calibri" w:cs="Times New Roman"/>
      <w:b/>
      <w:bCs/>
      <w:color w:val="365F91"/>
      <w:sz w:val="32"/>
      <w:szCs w:val="28"/>
    </w:rPr>
  </w:style>
  <w:style w:type="paragraph" w:customStyle="1" w:styleId="ToolTableText">
    <w:name w:val="*ToolTableText"/>
    <w:qFormat/>
    <w:rsid w:val="00A734A4"/>
    <w:pPr>
      <w:spacing w:before="40" w:after="120" w:line="240" w:lineRule="auto"/>
    </w:pPr>
    <w:rPr>
      <w:rFonts w:ascii="Calibri" w:eastAsia="Calibri" w:hAnsi="Calibri" w:cs="Times New Roman"/>
    </w:rPr>
  </w:style>
  <w:style w:type="character" w:customStyle="1" w:styleId="apple-converted-space">
    <w:name w:val="apple-converted-space"/>
    <w:rsid w:val="00A734A4"/>
  </w:style>
  <w:style w:type="paragraph" w:styleId="BalloonText">
    <w:name w:val="Balloon Text"/>
    <w:basedOn w:val="Normal"/>
    <w:link w:val="BalloonTextChar"/>
    <w:uiPriority w:val="99"/>
    <w:semiHidden/>
    <w:unhideWhenUsed/>
    <w:rsid w:val="00A734A4"/>
    <w:rPr>
      <w:rFonts w:ascii="Tahoma" w:hAnsi="Tahoma"/>
      <w:sz w:val="16"/>
      <w:szCs w:val="16"/>
    </w:rPr>
  </w:style>
  <w:style w:type="character" w:customStyle="1" w:styleId="BalloonTextChar">
    <w:name w:val="Balloon Text Char"/>
    <w:link w:val="BalloonText"/>
    <w:uiPriority w:val="99"/>
    <w:semiHidden/>
    <w:rsid w:val="00A734A4"/>
    <w:rPr>
      <w:rFonts w:ascii="Tahoma" w:eastAsia="Calibri" w:hAnsi="Tahoma" w:cs="Times New Roman"/>
      <w:sz w:val="16"/>
      <w:szCs w:val="16"/>
    </w:rPr>
  </w:style>
  <w:style w:type="paragraph" w:styleId="BodyText">
    <w:name w:val="Body Text"/>
    <w:basedOn w:val="Normal"/>
    <w:link w:val="BodyTextChar"/>
    <w:rsid w:val="00A734A4"/>
    <w:pPr>
      <w:spacing w:after="120"/>
    </w:pPr>
  </w:style>
  <w:style w:type="character" w:customStyle="1" w:styleId="BodyTextChar">
    <w:name w:val="Body Text Char"/>
    <w:link w:val="BodyText"/>
    <w:rsid w:val="00A734A4"/>
    <w:rPr>
      <w:rFonts w:ascii="Calibri" w:eastAsia="Calibri" w:hAnsi="Calibri" w:cs="Times New Roman"/>
    </w:rPr>
  </w:style>
  <w:style w:type="paragraph" w:customStyle="1" w:styleId="ColorfulList-Accent11">
    <w:name w:val="Colorful List - Accent 11"/>
    <w:basedOn w:val="Normal"/>
    <w:uiPriority w:val="34"/>
    <w:rsid w:val="00A734A4"/>
    <w:pPr>
      <w:ind w:left="720"/>
      <w:contextualSpacing/>
    </w:pPr>
  </w:style>
  <w:style w:type="character" w:styleId="CommentReference">
    <w:name w:val="annotation reference"/>
    <w:uiPriority w:val="99"/>
    <w:semiHidden/>
    <w:unhideWhenUsed/>
    <w:rsid w:val="00A734A4"/>
    <w:rPr>
      <w:sz w:val="16"/>
      <w:szCs w:val="16"/>
    </w:rPr>
  </w:style>
  <w:style w:type="paragraph" w:styleId="CommentText">
    <w:name w:val="annotation text"/>
    <w:basedOn w:val="Normal"/>
    <w:link w:val="CommentTextChar"/>
    <w:uiPriority w:val="99"/>
    <w:unhideWhenUsed/>
    <w:rsid w:val="00A734A4"/>
    <w:rPr>
      <w:sz w:val="20"/>
    </w:rPr>
  </w:style>
  <w:style w:type="character" w:customStyle="1" w:styleId="CommentTextChar">
    <w:name w:val="Comment Text Char"/>
    <w:link w:val="CommentText"/>
    <w:uiPriority w:val="99"/>
    <w:rsid w:val="00A734A4"/>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A734A4"/>
    <w:rPr>
      <w:b/>
      <w:bCs/>
    </w:rPr>
  </w:style>
  <w:style w:type="character" w:customStyle="1" w:styleId="CommentSubjectChar">
    <w:name w:val="Comment Subject Char"/>
    <w:link w:val="CommentSubject"/>
    <w:uiPriority w:val="99"/>
    <w:semiHidden/>
    <w:rsid w:val="00A734A4"/>
    <w:rPr>
      <w:rFonts w:ascii="Calibri" w:eastAsia="Calibri" w:hAnsi="Calibri" w:cs="Times New Roman"/>
      <w:b/>
      <w:bCs/>
      <w:sz w:val="20"/>
    </w:rPr>
  </w:style>
  <w:style w:type="character" w:styleId="FollowedHyperlink">
    <w:name w:val="FollowedHyperlink"/>
    <w:uiPriority w:val="99"/>
    <w:semiHidden/>
    <w:unhideWhenUsed/>
    <w:rsid w:val="00A734A4"/>
    <w:rPr>
      <w:color w:val="954F72"/>
      <w:u w:val="single"/>
    </w:rPr>
  </w:style>
  <w:style w:type="character" w:styleId="FootnoteReference">
    <w:name w:val="footnote reference"/>
    <w:basedOn w:val="DefaultParagraphFont"/>
    <w:uiPriority w:val="99"/>
    <w:semiHidden/>
    <w:unhideWhenUsed/>
    <w:rsid w:val="00A734A4"/>
    <w:rPr>
      <w:vertAlign w:val="superscript"/>
    </w:rPr>
  </w:style>
  <w:style w:type="paragraph" w:styleId="FootnoteText">
    <w:name w:val="footnote text"/>
    <w:basedOn w:val="Normal"/>
    <w:link w:val="FootnoteTextChar"/>
    <w:uiPriority w:val="99"/>
    <w:semiHidden/>
    <w:unhideWhenUsed/>
    <w:rsid w:val="00A734A4"/>
    <w:rPr>
      <w:sz w:val="20"/>
    </w:rPr>
  </w:style>
  <w:style w:type="character" w:customStyle="1" w:styleId="FootnoteTextChar">
    <w:name w:val="Footnote Text Char"/>
    <w:basedOn w:val="DefaultParagraphFont"/>
    <w:link w:val="FootnoteText"/>
    <w:uiPriority w:val="99"/>
    <w:semiHidden/>
    <w:rsid w:val="00A734A4"/>
    <w:rPr>
      <w:rFonts w:ascii="Calibri" w:eastAsia="Calibri" w:hAnsi="Calibri" w:cs="Times New Roman"/>
      <w:sz w:val="20"/>
    </w:rPr>
  </w:style>
  <w:style w:type="paragraph" w:customStyle="1" w:styleId="Header-banner">
    <w:name w:val="Header-banner"/>
    <w:rsid w:val="00A734A4"/>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A734A4"/>
    <w:pPr>
      <w:spacing w:line="440" w:lineRule="exact"/>
      <w:jc w:val="left"/>
    </w:pPr>
    <w:rPr>
      <w:caps w:val="0"/>
    </w:rPr>
  </w:style>
  <w:style w:type="character" w:customStyle="1" w:styleId="Heading1Char">
    <w:name w:val="Heading 1 Char"/>
    <w:aliases w:val="*Headers Char"/>
    <w:link w:val="Heading1"/>
    <w:uiPriority w:val="9"/>
    <w:rsid w:val="00A734A4"/>
    <w:rPr>
      <w:rFonts w:eastAsia="Calibri" w:cs="Times New Roman"/>
      <w:b/>
      <w:bCs/>
      <w:color w:val="365F91"/>
      <w:sz w:val="32"/>
      <w:szCs w:val="28"/>
    </w:rPr>
  </w:style>
  <w:style w:type="character" w:customStyle="1" w:styleId="Heading2Char">
    <w:name w:val="Heading 2 Char"/>
    <w:link w:val="Heading2"/>
    <w:uiPriority w:val="9"/>
    <w:rsid w:val="00A734A4"/>
    <w:rPr>
      <w:rFonts w:ascii="Cambria" w:eastAsia="Calibri" w:hAnsi="Cambria" w:cs="Times New Roman"/>
      <w:b/>
      <w:bCs/>
      <w:i/>
      <w:color w:val="4F81BD"/>
      <w:sz w:val="26"/>
      <w:szCs w:val="26"/>
    </w:rPr>
  </w:style>
  <w:style w:type="character" w:customStyle="1" w:styleId="Heading3Char">
    <w:name w:val="Heading 3 Char"/>
    <w:link w:val="Heading3"/>
    <w:uiPriority w:val="9"/>
    <w:rsid w:val="00A734A4"/>
    <w:rPr>
      <w:rFonts w:ascii="Cambria" w:eastAsia="Calibri" w:hAnsi="Cambria" w:cs="Times New Roman"/>
      <w:b/>
      <w:bCs/>
      <w:i/>
      <w:color w:val="7F7F7F"/>
      <w:sz w:val="20"/>
    </w:rPr>
  </w:style>
  <w:style w:type="paragraph" w:styleId="ListParagraph">
    <w:name w:val="List Paragraph"/>
    <w:basedOn w:val="Normal"/>
    <w:link w:val="ListParagraphChar"/>
    <w:uiPriority w:val="34"/>
    <w:rsid w:val="00A734A4"/>
    <w:pPr>
      <w:ind w:left="720"/>
      <w:contextualSpacing/>
    </w:pPr>
  </w:style>
  <w:style w:type="character" w:customStyle="1" w:styleId="ListParagraphChar">
    <w:name w:val="List Paragraph Char"/>
    <w:basedOn w:val="DefaultParagraphFont"/>
    <w:link w:val="ListParagraph"/>
    <w:uiPriority w:val="34"/>
    <w:rsid w:val="00A734A4"/>
    <w:rPr>
      <w:rFonts w:ascii="Calibri" w:eastAsia="Calibri" w:hAnsi="Calibri" w:cs="Times New Roman"/>
    </w:rPr>
  </w:style>
  <w:style w:type="paragraph" w:customStyle="1" w:styleId="MediumGrid1-Accent21">
    <w:name w:val="Medium Grid 1 - Accent 21"/>
    <w:basedOn w:val="Normal"/>
    <w:uiPriority w:val="34"/>
    <w:rsid w:val="00A734A4"/>
    <w:pPr>
      <w:ind w:left="720"/>
      <w:contextualSpacing/>
    </w:pPr>
  </w:style>
  <w:style w:type="paragraph" w:customStyle="1" w:styleId="MediumList2-Accent41">
    <w:name w:val="Medium List 2 - Accent 41"/>
    <w:basedOn w:val="Normal"/>
    <w:link w:val="MediumList2-Accent41Char"/>
    <w:uiPriority w:val="34"/>
    <w:rsid w:val="00A734A4"/>
    <w:pPr>
      <w:spacing w:after="200"/>
      <w:ind w:left="720"/>
      <w:contextualSpacing/>
    </w:pPr>
  </w:style>
  <w:style w:type="character" w:customStyle="1" w:styleId="MediumList2-Accent41Char">
    <w:name w:val="Medium List 2 - Accent 41 Char"/>
    <w:basedOn w:val="DefaultParagraphFont"/>
    <w:link w:val="MediumList2-Accent41"/>
    <w:uiPriority w:val="34"/>
    <w:rsid w:val="00A734A4"/>
    <w:rPr>
      <w:rFonts w:ascii="Calibri" w:eastAsia="Calibri" w:hAnsi="Calibri" w:cs="Times New Roman"/>
    </w:rPr>
  </w:style>
  <w:style w:type="paragraph" w:customStyle="1" w:styleId="NoSpacing1">
    <w:name w:val="No Spacing1"/>
    <w:link w:val="NoSpacingChar"/>
    <w:rsid w:val="00A734A4"/>
    <w:pPr>
      <w:spacing w:after="0" w:line="240" w:lineRule="auto"/>
    </w:pPr>
    <w:rPr>
      <w:rFonts w:ascii="Tahoma" w:eastAsia="Calibri" w:hAnsi="Tahoma" w:cs="Times New Roman"/>
      <w:sz w:val="19"/>
    </w:rPr>
  </w:style>
  <w:style w:type="character" w:customStyle="1" w:styleId="NoSpacingChar">
    <w:name w:val="No Spacing Char"/>
    <w:link w:val="NoSpacing1"/>
    <w:rsid w:val="00A734A4"/>
    <w:rPr>
      <w:rFonts w:ascii="Tahoma" w:eastAsia="Calibri" w:hAnsi="Tahoma" w:cs="Times New Roman"/>
      <w:sz w:val="19"/>
    </w:rPr>
  </w:style>
  <w:style w:type="paragraph" w:styleId="NormalWeb">
    <w:name w:val="Normal (Web)"/>
    <w:basedOn w:val="Normal"/>
    <w:uiPriority w:val="99"/>
    <w:unhideWhenUsed/>
    <w:rsid w:val="00A734A4"/>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A734A4"/>
    <w:pPr>
      <w:autoSpaceDE w:val="0"/>
      <w:autoSpaceDN w:val="0"/>
      <w:adjustRightInd w:val="0"/>
      <w:spacing w:line="241" w:lineRule="atLeast"/>
    </w:pPr>
    <w:rPr>
      <w:rFonts w:ascii="Garamond" w:hAnsi="Garamond"/>
      <w:sz w:val="24"/>
      <w:szCs w:val="24"/>
    </w:rPr>
  </w:style>
  <w:style w:type="character" w:customStyle="1" w:styleId="reference-text">
    <w:name w:val="reference-text"/>
    <w:rsid w:val="00A734A4"/>
  </w:style>
  <w:style w:type="paragraph" w:styleId="Title">
    <w:name w:val="Title"/>
    <w:basedOn w:val="Normal"/>
    <w:next w:val="Normal"/>
    <w:link w:val="TitleChar"/>
    <w:uiPriority w:val="10"/>
    <w:rsid w:val="00A734A4"/>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734A4"/>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A734A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A734A4"/>
    <w:pPr>
      <w:ind w:left="360"/>
    </w:pPr>
    <w:rPr>
      <w:color w:val="4F81BD" w:themeColor="accent1"/>
    </w:rPr>
  </w:style>
  <w:style w:type="paragraph" w:customStyle="1" w:styleId="DCwithSA">
    <w:name w:val="*DC* with *SA*"/>
    <w:basedOn w:val="SA"/>
    <w:qFormat/>
    <w:rsid w:val="00A734A4"/>
    <w:rPr>
      <w:color w:val="4F81BD" w:themeColor="accent1"/>
    </w:rPr>
  </w:style>
  <w:style w:type="paragraph" w:customStyle="1" w:styleId="DCwithSR">
    <w:name w:val="*DC* with *SR*"/>
    <w:basedOn w:val="SR"/>
    <w:qFormat/>
    <w:rsid w:val="00A734A4"/>
    <w:pPr>
      <w:numPr>
        <w:numId w:val="35"/>
      </w:numPr>
    </w:pPr>
    <w:rPr>
      <w:color w:val="4F81BD" w:themeColor="accent1"/>
    </w:rPr>
  </w:style>
  <w:style w:type="character" w:customStyle="1" w:styleId="ToolHeaderChar">
    <w:name w:val="*ToolHeader Char"/>
    <w:basedOn w:val="DefaultParagraphFont"/>
    <w:link w:val="ToolHeader"/>
    <w:rsid w:val="00723364"/>
    <w:rPr>
      <w:rFonts w:eastAsia="Calibri" w:cs="Times New Roman"/>
      <w:b/>
      <w:bCs/>
      <w:color w:val="365F91"/>
      <w:sz w:val="32"/>
      <w:szCs w:val="28"/>
    </w:rPr>
  </w:style>
  <w:style w:type="paragraph" w:styleId="Revision">
    <w:name w:val="Revision"/>
    <w:hidden/>
    <w:semiHidden/>
    <w:rsid w:val="0018292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556143">
      <w:bodyDiv w:val="1"/>
      <w:marLeft w:val="0"/>
      <w:marRight w:val="0"/>
      <w:marTop w:val="0"/>
      <w:marBottom w:val="0"/>
      <w:divBdr>
        <w:top w:val="none" w:sz="0" w:space="0" w:color="auto"/>
        <w:left w:val="none" w:sz="0" w:space="0" w:color="auto"/>
        <w:bottom w:val="none" w:sz="0" w:space="0" w:color="auto"/>
        <w:right w:val="none" w:sz="0" w:space="0" w:color="auto"/>
      </w:divBdr>
    </w:div>
    <w:div w:id="356541259">
      <w:bodyDiv w:val="1"/>
      <w:marLeft w:val="0"/>
      <w:marRight w:val="0"/>
      <w:marTop w:val="0"/>
      <w:marBottom w:val="0"/>
      <w:divBdr>
        <w:top w:val="none" w:sz="0" w:space="0" w:color="auto"/>
        <w:left w:val="none" w:sz="0" w:space="0" w:color="auto"/>
        <w:bottom w:val="none" w:sz="0" w:space="0" w:color="auto"/>
        <w:right w:val="none" w:sz="0" w:space="0" w:color="auto"/>
      </w:divBdr>
    </w:div>
    <w:div w:id="373894667">
      <w:bodyDiv w:val="1"/>
      <w:marLeft w:val="0"/>
      <w:marRight w:val="0"/>
      <w:marTop w:val="0"/>
      <w:marBottom w:val="0"/>
      <w:divBdr>
        <w:top w:val="none" w:sz="0" w:space="0" w:color="auto"/>
        <w:left w:val="none" w:sz="0" w:space="0" w:color="auto"/>
        <w:bottom w:val="none" w:sz="0" w:space="0" w:color="auto"/>
        <w:right w:val="none" w:sz="0" w:space="0" w:color="auto"/>
      </w:divBdr>
      <w:divsChild>
        <w:div w:id="140121427">
          <w:marLeft w:val="0"/>
          <w:marRight w:val="0"/>
          <w:marTop w:val="0"/>
          <w:marBottom w:val="0"/>
          <w:divBdr>
            <w:top w:val="none" w:sz="0" w:space="0" w:color="auto"/>
            <w:left w:val="none" w:sz="0" w:space="0" w:color="auto"/>
            <w:bottom w:val="none" w:sz="0" w:space="0" w:color="auto"/>
            <w:right w:val="none" w:sz="0" w:space="0" w:color="auto"/>
          </w:divBdr>
          <w:divsChild>
            <w:div w:id="1101679181">
              <w:marLeft w:val="0"/>
              <w:marRight w:val="0"/>
              <w:marTop w:val="0"/>
              <w:marBottom w:val="0"/>
              <w:divBdr>
                <w:top w:val="none" w:sz="0" w:space="0" w:color="auto"/>
                <w:left w:val="none" w:sz="0" w:space="0" w:color="auto"/>
                <w:bottom w:val="none" w:sz="0" w:space="0" w:color="auto"/>
                <w:right w:val="none" w:sz="0" w:space="0" w:color="auto"/>
              </w:divBdr>
              <w:divsChild>
                <w:div w:id="1491171478">
                  <w:marLeft w:val="0"/>
                  <w:marRight w:val="0"/>
                  <w:marTop w:val="0"/>
                  <w:marBottom w:val="0"/>
                  <w:divBdr>
                    <w:top w:val="none" w:sz="0" w:space="0" w:color="auto"/>
                    <w:left w:val="none" w:sz="0" w:space="0" w:color="auto"/>
                    <w:bottom w:val="none" w:sz="0" w:space="0" w:color="auto"/>
                    <w:right w:val="none" w:sz="0" w:space="0" w:color="auto"/>
                  </w:divBdr>
                  <w:divsChild>
                    <w:div w:id="702707923">
                      <w:marLeft w:val="0"/>
                      <w:marRight w:val="0"/>
                      <w:marTop w:val="0"/>
                      <w:marBottom w:val="0"/>
                      <w:divBdr>
                        <w:top w:val="none" w:sz="0" w:space="0" w:color="auto"/>
                        <w:left w:val="none" w:sz="0" w:space="0" w:color="auto"/>
                        <w:bottom w:val="none" w:sz="0" w:space="0" w:color="auto"/>
                        <w:right w:val="none" w:sz="0" w:space="0" w:color="auto"/>
                      </w:divBdr>
                      <w:divsChild>
                        <w:div w:id="1243443286">
                          <w:marLeft w:val="0"/>
                          <w:marRight w:val="0"/>
                          <w:marTop w:val="15"/>
                          <w:marBottom w:val="0"/>
                          <w:divBdr>
                            <w:top w:val="none" w:sz="0" w:space="0" w:color="auto"/>
                            <w:left w:val="none" w:sz="0" w:space="0" w:color="auto"/>
                            <w:bottom w:val="none" w:sz="0" w:space="0" w:color="auto"/>
                            <w:right w:val="none" w:sz="0" w:space="0" w:color="auto"/>
                          </w:divBdr>
                          <w:divsChild>
                            <w:div w:id="91321788">
                              <w:marLeft w:val="0"/>
                              <w:marRight w:val="0"/>
                              <w:marTop w:val="0"/>
                              <w:marBottom w:val="0"/>
                              <w:divBdr>
                                <w:top w:val="none" w:sz="0" w:space="0" w:color="auto"/>
                                <w:left w:val="none" w:sz="0" w:space="0" w:color="auto"/>
                                <w:bottom w:val="none" w:sz="0" w:space="0" w:color="auto"/>
                                <w:right w:val="none" w:sz="0" w:space="0" w:color="auto"/>
                              </w:divBdr>
                              <w:divsChild>
                                <w:div w:id="177895331">
                                  <w:marLeft w:val="0"/>
                                  <w:marRight w:val="0"/>
                                  <w:marTop w:val="0"/>
                                  <w:marBottom w:val="0"/>
                                  <w:divBdr>
                                    <w:top w:val="none" w:sz="0" w:space="0" w:color="auto"/>
                                    <w:left w:val="none" w:sz="0" w:space="0" w:color="auto"/>
                                    <w:bottom w:val="none" w:sz="0" w:space="0" w:color="auto"/>
                                    <w:right w:val="none" w:sz="0" w:space="0" w:color="auto"/>
                                  </w:divBdr>
                                </w:div>
                                <w:div w:id="1385060340">
                                  <w:marLeft w:val="0"/>
                                  <w:marRight w:val="0"/>
                                  <w:marTop w:val="0"/>
                                  <w:marBottom w:val="0"/>
                                  <w:divBdr>
                                    <w:top w:val="none" w:sz="0" w:space="0" w:color="auto"/>
                                    <w:left w:val="none" w:sz="0" w:space="0" w:color="auto"/>
                                    <w:bottom w:val="none" w:sz="0" w:space="0" w:color="auto"/>
                                    <w:right w:val="none" w:sz="0" w:space="0" w:color="auto"/>
                                  </w:divBdr>
                                </w:div>
                                <w:div w:id="1503400427">
                                  <w:marLeft w:val="0"/>
                                  <w:marRight w:val="0"/>
                                  <w:marTop w:val="0"/>
                                  <w:marBottom w:val="0"/>
                                  <w:divBdr>
                                    <w:top w:val="none" w:sz="0" w:space="0" w:color="auto"/>
                                    <w:left w:val="none" w:sz="0" w:space="0" w:color="auto"/>
                                    <w:bottom w:val="none" w:sz="0" w:space="0" w:color="auto"/>
                                    <w:right w:val="none" w:sz="0" w:space="0" w:color="auto"/>
                                  </w:divBdr>
                                </w:div>
                                <w:div w:id="201506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3547280">
      <w:bodyDiv w:val="1"/>
      <w:marLeft w:val="0"/>
      <w:marRight w:val="0"/>
      <w:marTop w:val="0"/>
      <w:marBottom w:val="0"/>
      <w:divBdr>
        <w:top w:val="none" w:sz="0" w:space="0" w:color="auto"/>
        <w:left w:val="none" w:sz="0" w:space="0" w:color="auto"/>
        <w:bottom w:val="none" w:sz="0" w:space="0" w:color="auto"/>
        <w:right w:val="none" w:sz="0" w:space="0" w:color="auto"/>
      </w:divBdr>
    </w:div>
    <w:div w:id="888876069">
      <w:bodyDiv w:val="1"/>
      <w:marLeft w:val="0"/>
      <w:marRight w:val="0"/>
      <w:marTop w:val="0"/>
      <w:marBottom w:val="0"/>
      <w:divBdr>
        <w:top w:val="none" w:sz="0" w:space="0" w:color="auto"/>
        <w:left w:val="none" w:sz="0" w:space="0" w:color="auto"/>
        <w:bottom w:val="none" w:sz="0" w:space="0" w:color="auto"/>
        <w:right w:val="none" w:sz="0" w:space="0" w:color="auto"/>
      </w:divBdr>
    </w:div>
    <w:div w:id="939725302">
      <w:bodyDiv w:val="1"/>
      <w:marLeft w:val="0"/>
      <w:marRight w:val="0"/>
      <w:marTop w:val="0"/>
      <w:marBottom w:val="0"/>
      <w:divBdr>
        <w:top w:val="none" w:sz="0" w:space="0" w:color="auto"/>
        <w:left w:val="none" w:sz="0" w:space="0" w:color="auto"/>
        <w:bottom w:val="none" w:sz="0" w:space="0" w:color="auto"/>
        <w:right w:val="none" w:sz="0" w:space="0" w:color="auto"/>
      </w:divBdr>
      <w:divsChild>
        <w:div w:id="2095930169">
          <w:marLeft w:val="0"/>
          <w:marRight w:val="0"/>
          <w:marTop w:val="0"/>
          <w:marBottom w:val="0"/>
          <w:divBdr>
            <w:top w:val="none" w:sz="0" w:space="0" w:color="auto"/>
            <w:left w:val="none" w:sz="0" w:space="0" w:color="auto"/>
            <w:bottom w:val="none" w:sz="0" w:space="0" w:color="auto"/>
            <w:right w:val="none" w:sz="0" w:space="0" w:color="auto"/>
          </w:divBdr>
          <w:divsChild>
            <w:div w:id="1959557108">
              <w:marLeft w:val="0"/>
              <w:marRight w:val="0"/>
              <w:marTop w:val="0"/>
              <w:marBottom w:val="0"/>
              <w:divBdr>
                <w:top w:val="none" w:sz="0" w:space="0" w:color="auto"/>
                <w:left w:val="none" w:sz="0" w:space="0" w:color="auto"/>
                <w:bottom w:val="none" w:sz="0" w:space="0" w:color="auto"/>
                <w:right w:val="none" w:sz="0" w:space="0" w:color="auto"/>
              </w:divBdr>
              <w:divsChild>
                <w:div w:id="1927180559">
                  <w:marLeft w:val="0"/>
                  <w:marRight w:val="0"/>
                  <w:marTop w:val="0"/>
                  <w:marBottom w:val="0"/>
                  <w:divBdr>
                    <w:top w:val="none" w:sz="0" w:space="0" w:color="auto"/>
                    <w:left w:val="none" w:sz="0" w:space="0" w:color="auto"/>
                    <w:bottom w:val="none" w:sz="0" w:space="0" w:color="auto"/>
                    <w:right w:val="none" w:sz="0" w:space="0" w:color="auto"/>
                  </w:divBdr>
                  <w:divsChild>
                    <w:div w:id="521431003">
                      <w:marLeft w:val="0"/>
                      <w:marRight w:val="0"/>
                      <w:marTop w:val="0"/>
                      <w:marBottom w:val="0"/>
                      <w:divBdr>
                        <w:top w:val="none" w:sz="0" w:space="0" w:color="auto"/>
                        <w:left w:val="none" w:sz="0" w:space="0" w:color="auto"/>
                        <w:bottom w:val="none" w:sz="0" w:space="0" w:color="auto"/>
                        <w:right w:val="none" w:sz="0" w:space="0" w:color="auto"/>
                      </w:divBdr>
                      <w:divsChild>
                        <w:div w:id="988826580">
                          <w:marLeft w:val="0"/>
                          <w:marRight w:val="0"/>
                          <w:marTop w:val="15"/>
                          <w:marBottom w:val="0"/>
                          <w:divBdr>
                            <w:top w:val="none" w:sz="0" w:space="0" w:color="auto"/>
                            <w:left w:val="none" w:sz="0" w:space="0" w:color="auto"/>
                            <w:bottom w:val="none" w:sz="0" w:space="0" w:color="auto"/>
                            <w:right w:val="none" w:sz="0" w:space="0" w:color="auto"/>
                          </w:divBdr>
                          <w:divsChild>
                            <w:div w:id="1359548028">
                              <w:marLeft w:val="0"/>
                              <w:marRight w:val="0"/>
                              <w:marTop w:val="0"/>
                              <w:marBottom w:val="0"/>
                              <w:divBdr>
                                <w:top w:val="none" w:sz="0" w:space="0" w:color="auto"/>
                                <w:left w:val="none" w:sz="0" w:space="0" w:color="auto"/>
                                <w:bottom w:val="none" w:sz="0" w:space="0" w:color="auto"/>
                                <w:right w:val="none" w:sz="0" w:space="0" w:color="auto"/>
                              </w:divBdr>
                              <w:divsChild>
                                <w:div w:id="1077047436">
                                  <w:marLeft w:val="0"/>
                                  <w:marRight w:val="0"/>
                                  <w:marTop w:val="0"/>
                                  <w:marBottom w:val="0"/>
                                  <w:divBdr>
                                    <w:top w:val="none" w:sz="0" w:space="0" w:color="auto"/>
                                    <w:left w:val="none" w:sz="0" w:space="0" w:color="auto"/>
                                    <w:bottom w:val="none" w:sz="0" w:space="0" w:color="auto"/>
                                    <w:right w:val="none" w:sz="0" w:space="0" w:color="auto"/>
                                  </w:divBdr>
                                </w:div>
                                <w:div w:id="1339120466">
                                  <w:marLeft w:val="0"/>
                                  <w:marRight w:val="0"/>
                                  <w:marTop w:val="0"/>
                                  <w:marBottom w:val="0"/>
                                  <w:divBdr>
                                    <w:top w:val="none" w:sz="0" w:space="0" w:color="auto"/>
                                    <w:left w:val="none" w:sz="0" w:space="0" w:color="auto"/>
                                    <w:bottom w:val="none" w:sz="0" w:space="0" w:color="auto"/>
                                    <w:right w:val="none" w:sz="0" w:space="0" w:color="auto"/>
                                  </w:divBdr>
                                </w:div>
                                <w:div w:id="2068142344">
                                  <w:marLeft w:val="0"/>
                                  <w:marRight w:val="0"/>
                                  <w:marTop w:val="0"/>
                                  <w:marBottom w:val="0"/>
                                  <w:divBdr>
                                    <w:top w:val="none" w:sz="0" w:space="0" w:color="auto"/>
                                    <w:left w:val="none" w:sz="0" w:space="0" w:color="auto"/>
                                    <w:bottom w:val="none" w:sz="0" w:space="0" w:color="auto"/>
                                    <w:right w:val="none" w:sz="0" w:space="0" w:color="auto"/>
                                  </w:divBdr>
                                </w:div>
                                <w:div w:id="830415492">
                                  <w:marLeft w:val="0"/>
                                  <w:marRight w:val="0"/>
                                  <w:marTop w:val="0"/>
                                  <w:marBottom w:val="0"/>
                                  <w:divBdr>
                                    <w:top w:val="none" w:sz="0" w:space="0" w:color="auto"/>
                                    <w:left w:val="none" w:sz="0" w:space="0" w:color="auto"/>
                                    <w:bottom w:val="none" w:sz="0" w:space="0" w:color="auto"/>
                                    <w:right w:val="none" w:sz="0" w:space="0" w:color="auto"/>
                                  </w:divBdr>
                                </w:div>
                                <w:div w:id="98736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6529485">
      <w:bodyDiv w:val="1"/>
      <w:marLeft w:val="0"/>
      <w:marRight w:val="0"/>
      <w:marTop w:val="0"/>
      <w:marBottom w:val="0"/>
      <w:divBdr>
        <w:top w:val="none" w:sz="0" w:space="0" w:color="auto"/>
        <w:left w:val="none" w:sz="0" w:space="0" w:color="auto"/>
        <w:bottom w:val="none" w:sz="0" w:space="0" w:color="auto"/>
        <w:right w:val="none" w:sz="0" w:space="0" w:color="auto"/>
      </w:divBdr>
    </w:div>
    <w:div w:id="1331180871">
      <w:bodyDiv w:val="1"/>
      <w:marLeft w:val="0"/>
      <w:marRight w:val="0"/>
      <w:marTop w:val="0"/>
      <w:marBottom w:val="0"/>
      <w:divBdr>
        <w:top w:val="none" w:sz="0" w:space="0" w:color="auto"/>
        <w:left w:val="none" w:sz="0" w:space="0" w:color="auto"/>
        <w:bottom w:val="none" w:sz="0" w:space="0" w:color="auto"/>
        <w:right w:val="none" w:sz="0" w:space="0" w:color="auto"/>
      </w:divBdr>
      <w:divsChild>
        <w:div w:id="1277636533">
          <w:marLeft w:val="0"/>
          <w:marRight w:val="0"/>
          <w:marTop w:val="0"/>
          <w:marBottom w:val="0"/>
          <w:divBdr>
            <w:top w:val="none" w:sz="0" w:space="0" w:color="auto"/>
            <w:left w:val="none" w:sz="0" w:space="0" w:color="auto"/>
            <w:bottom w:val="none" w:sz="0" w:space="0" w:color="auto"/>
            <w:right w:val="none" w:sz="0" w:space="0" w:color="auto"/>
          </w:divBdr>
        </w:div>
      </w:divsChild>
    </w:div>
    <w:div w:id="137279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ngageny.org/sites/default/files/resource/attachments/9-12_ela_prefatory_materi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3427</Words>
  <Characters>19537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PCG Education</dc:creator>
  <cp:lastModifiedBy>Chmielewski, Elizabeth</cp:lastModifiedBy>
  <cp:revision>2</cp:revision>
  <cp:lastPrinted>2014-10-24T21:46:00Z</cp:lastPrinted>
  <dcterms:created xsi:type="dcterms:W3CDTF">2014-10-30T02:30:00Z</dcterms:created>
  <dcterms:modified xsi:type="dcterms:W3CDTF">2014-10-30T02:30:00Z</dcterms:modified>
</cp:coreProperties>
</file>