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1D6E56B4" w14:textId="77777777">
        <w:trPr>
          <w:trHeight w:val="1008"/>
        </w:trPr>
        <w:tc>
          <w:tcPr>
            <w:tcW w:w="1980" w:type="dxa"/>
            <w:tcBorders>
              <w:top w:val="nil"/>
            </w:tcBorders>
            <w:shd w:val="clear" w:color="auto" w:fill="403152"/>
            <w:vAlign w:val="center"/>
          </w:tcPr>
          <w:p w14:paraId="6B1DBB35" w14:textId="77777777" w:rsidR="00CC183D" w:rsidRPr="004E20B8" w:rsidRDefault="00F7243F" w:rsidP="00E75803">
            <w:pPr>
              <w:pStyle w:val="Header-banner"/>
              <w:rPr>
                <w:rFonts w:ascii="Calibri" w:hAnsi="Calibri"/>
              </w:rPr>
            </w:pPr>
            <w:r>
              <w:rPr>
                <w:rFonts w:ascii="Calibri" w:hAnsi="Calibri"/>
              </w:rPr>
              <w:t>11</w:t>
            </w:r>
            <w:r w:rsidR="00CC183D" w:rsidRPr="004E20B8">
              <w:rPr>
                <w:rFonts w:ascii="Calibri" w:hAnsi="Calibri"/>
              </w:rPr>
              <w:t>.</w:t>
            </w:r>
            <w:r>
              <w:rPr>
                <w:rFonts w:ascii="Calibri" w:hAnsi="Calibri"/>
              </w:rPr>
              <w:t>4</w:t>
            </w:r>
            <w:r w:rsidR="00CC183D" w:rsidRPr="004E20B8">
              <w:rPr>
                <w:rFonts w:ascii="Calibri" w:hAnsi="Calibri"/>
              </w:rPr>
              <w:t>.</w:t>
            </w:r>
            <w:r>
              <w:rPr>
                <w:rFonts w:ascii="Calibri" w:hAnsi="Calibri"/>
              </w:rPr>
              <w:t>1</w:t>
            </w:r>
          </w:p>
        </w:tc>
        <w:tc>
          <w:tcPr>
            <w:tcW w:w="7470" w:type="dxa"/>
            <w:tcBorders>
              <w:top w:val="nil"/>
            </w:tcBorders>
            <w:shd w:val="clear" w:color="auto" w:fill="5F497A"/>
            <w:vAlign w:val="center"/>
          </w:tcPr>
          <w:p w14:paraId="6EA3CFF8"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1BDF630A" w14:textId="77777777">
        <w:trPr>
          <w:trHeight w:val="720"/>
        </w:trPr>
        <w:tc>
          <w:tcPr>
            <w:tcW w:w="9450" w:type="dxa"/>
            <w:gridSpan w:val="2"/>
            <w:tcBorders>
              <w:bottom w:val="single" w:sz="8" w:space="0" w:color="403152"/>
            </w:tcBorders>
            <w:shd w:val="solid" w:color="F2F2F2" w:fill="auto"/>
            <w:vAlign w:val="center"/>
          </w:tcPr>
          <w:p w14:paraId="2D0109BD" w14:textId="77777777" w:rsidR="00CC183D" w:rsidRPr="00714725" w:rsidRDefault="00CC183D" w:rsidP="008A0182">
            <w:pPr>
              <w:pStyle w:val="Heading1nospace"/>
              <w:spacing w:before="60" w:after="0" w:line="240" w:lineRule="auto"/>
              <w:rPr>
                <w:rFonts w:eastAsia="Times New Roman" w:cs="Cambria"/>
                <w:bCs/>
                <w:color w:val="403152"/>
                <w:lang w:val="en-US"/>
              </w:rPr>
            </w:pPr>
            <w:r w:rsidRPr="00714725">
              <w:rPr>
                <w:rFonts w:eastAsia="Times New Roman" w:cs="Cambria"/>
                <w:bCs/>
                <w:lang w:val="en-US"/>
              </w:rPr>
              <w:t>“</w:t>
            </w:r>
            <w:r w:rsidR="00DF73EF">
              <w:rPr>
                <w:rFonts w:eastAsia="Times New Roman" w:cs="Cambria"/>
                <w:bCs/>
                <w:lang w:val="en-US"/>
              </w:rPr>
              <w:t xml:space="preserve">You’re twenty-one years old, you’re scared, and there’s a hard squeezing pressure in your chest. What </w:t>
            </w:r>
            <w:r w:rsidR="008A0182">
              <w:rPr>
                <w:rFonts w:eastAsia="Times New Roman" w:cs="Cambria"/>
                <w:bCs/>
                <w:lang w:val="en-US"/>
              </w:rPr>
              <w:t xml:space="preserve">would </w:t>
            </w:r>
            <w:r w:rsidR="00DF73EF">
              <w:rPr>
                <w:rFonts w:eastAsia="Times New Roman" w:cs="Cambria"/>
                <w:bCs/>
                <w:lang w:val="en-US"/>
              </w:rPr>
              <w:t>you do?</w:t>
            </w:r>
            <w:r w:rsidR="00241974">
              <w:rPr>
                <w:rFonts w:eastAsia="Times New Roman" w:cs="Cambria"/>
                <w:bCs/>
                <w:lang w:val="en-US"/>
              </w:rPr>
              <w:t>”</w:t>
            </w:r>
          </w:p>
        </w:tc>
      </w:tr>
      <w:tr w:rsidR="00CC183D" w:rsidRPr="00061D2A" w14:paraId="022DFBF8" w14:textId="77777777">
        <w:trPr>
          <w:trHeight w:val="576"/>
        </w:trPr>
        <w:tc>
          <w:tcPr>
            <w:tcW w:w="1980" w:type="dxa"/>
            <w:tcBorders>
              <w:top w:val="single" w:sz="8" w:space="0" w:color="403152"/>
              <w:bottom w:val="single" w:sz="8" w:space="0" w:color="403152"/>
            </w:tcBorders>
            <w:shd w:val="solid" w:color="F2F2F2" w:fill="auto"/>
            <w:vAlign w:val="center"/>
          </w:tcPr>
          <w:p w14:paraId="63E74621" w14:textId="77777777" w:rsidR="00CC183D" w:rsidRPr="004528EF" w:rsidRDefault="00CC183D" w:rsidP="00CC183D">
            <w:pPr>
              <w:rPr>
                <w:b/>
                <w:color w:val="1F497D"/>
              </w:rPr>
            </w:pPr>
            <w:r w:rsidRPr="004528EF">
              <w:rPr>
                <w:b/>
                <w:color w:val="1F497D"/>
              </w:rPr>
              <w:t>Text</w:t>
            </w:r>
            <w:r w:rsidR="002D13F1">
              <w:rPr>
                <w:b/>
                <w:color w:val="1F497D"/>
              </w:rPr>
              <w:t>s</w:t>
            </w:r>
          </w:p>
        </w:tc>
        <w:tc>
          <w:tcPr>
            <w:tcW w:w="7470" w:type="dxa"/>
            <w:tcBorders>
              <w:top w:val="single" w:sz="8" w:space="0" w:color="403152"/>
              <w:bottom w:val="single" w:sz="8" w:space="0" w:color="403152"/>
            </w:tcBorders>
            <w:shd w:val="solid" w:color="F2F2F2" w:fill="auto"/>
            <w:vAlign w:val="center"/>
          </w:tcPr>
          <w:p w14:paraId="3A7A557A" w14:textId="77777777" w:rsidR="00CC183D" w:rsidRPr="00677A89" w:rsidRDefault="00BC39EF" w:rsidP="00CC183D">
            <w:r>
              <w:t>“On the Rainy River”</w:t>
            </w:r>
            <w:r w:rsidR="005A51BD">
              <w:t xml:space="preserve"> from </w:t>
            </w:r>
            <w:r w:rsidR="005A51BD" w:rsidRPr="00057DE6">
              <w:rPr>
                <w:i/>
              </w:rPr>
              <w:t>The Things They Carried</w:t>
            </w:r>
            <w:r>
              <w:t xml:space="preserve"> by Tim O’Brien; “The Red Convertible”</w:t>
            </w:r>
            <w:r w:rsidR="005A51BD">
              <w:t xml:space="preserve"> from </w:t>
            </w:r>
            <w:r w:rsidR="005A51BD" w:rsidRPr="00057DE6">
              <w:rPr>
                <w:i/>
              </w:rPr>
              <w:t>The Red Convertible</w:t>
            </w:r>
            <w:r>
              <w:t xml:space="preserve"> by Louise Erdrich</w:t>
            </w:r>
          </w:p>
        </w:tc>
      </w:tr>
      <w:tr w:rsidR="00CC183D" w:rsidRPr="00061D2A" w14:paraId="1DB856F1" w14:textId="77777777">
        <w:trPr>
          <w:trHeight w:val="576"/>
        </w:trPr>
        <w:tc>
          <w:tcPr>
            <w:tcW w:w="1980" w:type="dxa"/>
            <w:tcBorders>
              <w:top w:val="single" w:sz="8" w:space="0" w:color="403152"/>
              <w:bottom w:val="nil"/>
            </w:tcBorders>
            <w:shd w:val="solid" w:color="F2F2F2" w:fill="auto"/>
            <w:vAlign w:val="center"/>
          </w:tcPr>
          <w:p w14:paraId="392819FB" w14:textId="77777777" w:rsidR="00CC183D" w:rsidRPr="004528EF" w:rsidRDefault="00CC183D" w:rsidP="00CC183D">
            <w:pPr>
              <w:rPr>
                <w:b/>
                <w:color w:val="1F497D"/>
              </w:rPr>
            </w:pPr>
            <w:r w:rsidRPr="004528EF">
              <w:rPr>
                <w:b/>
                <w:color w:val="1F497D"/>
              </w:rPr>
              <w:t>Number of Lessons in</w:t>
            </w:r>
            <w:r w:rsidR="008A0182">
              <w:rPr>
                <w:b/>
                <w:color w:val="1F497D"/>
              </w:rPr>
              <w:t xml:space="preserve"> </w:t>
            </w:r>
            <w:r w:rsidRPr="004528EF">
              <w:rPr>
                <w:b/>
                <w:color w:val="1F497D"/>
              </w:rPr>
              <w:t>Unit</w:t>
            </w:r>
          </w:p>
        </w:tc>
        <w:tc>
          <w:tcPr>
            <w:tcW w:w="7470" w:type="dxa"/>
            <w:tcBorders>
              <w:top w:val="single" w:sz="8" w:space="0" w:color="403152"/>
              <w:bottom w:val="nil"/>
            </w:tcBorders>
            <w:shd w:val="solid" w:color="F2F2F2" w:fill="auto"/>
            <w:vAlign w:val="center"/>
          </w:tcPr>
          <w:p w14:paraId="52799790" w14:textId="77777777" w:rsidR="00CC183D" w:rsidRPr="00061D2A" w:rsidRDefault="00BC39EF" w:rsidP="00CC183D">
            <w:r>
              <w:t>16</w:t>
            </w:r>
          </w:p>
        </w:tc>
      </w:tr>
    </w:tbl>
    <w:p w14:paraId="43EC170B" w14:textId="77777777" w:rsidR="00CC183D" w:rsidRPr="0015083C" w:rsidRDefault="00CC183D" w:rsidP="0015083C">
      <w:pPr>
        <w:pStyle w:val="Heading1"/>
      </w:pPr>
      <w:r w:rsidRPr="0015083C">
        <w:t>Introduction</w:t>
      </w:r>
    </w:p>
    <w:p w14:paraId="533CE360" w14:textId="77777777" w:rsidR="00CC183D" w:rsidRDefault="00CC183D" w:rsidP="00CC183D">
      <w:r w:rsidRPr="00677A89">
        <w:t xml:space="preserve">In </w:t>
      </w:r>
      <w:r w:rsidR="00123B0C">
        <w:t>the first unit of Module 11.4</w:t>
      </w:r>
      <w:r w:rsidRPr="00677A89">
        <w:t>, students</w:t>
      </w:r>
      <w:r w:rsidR="00355C06">
        <w:t xml:space="preserve"> continue to</w:t>
      </w:r>
      <w:r w:rsidRPr="00677A89">
        <w:t xml:space="preserve"> </w:t>
      </w:r>
      <w:r w:rsidR="00C000AF">
        <w:t>refine</w:t>
      </w:r>
      <w:r>
        <w:t xml:space="preserve"> the</w:t>
      </w:r>
      <w:r w:rsidRPr="00677A89">
        <w:t xml:space="preserve"> skills, practices, and r</w:t>
      </w:r>
      <w:r>
        <w:t>outines of</w:t>
      </w:r>
      <w:r w:rsidR="00C000AF">
        <w:t xml:space="preserve"> </w:t>
      </w:r>
      <w:r w:rsidRPr="00677A89">
        <w:t>reading</w:t>
      </w:r>
      <w:r w:rsidR="00C000AF">
        <w:t xml:space="preserve"> closely</w:t>
      </w:r>
      <w:r w:rsidRPr="00677A89">
        <w:t>, annotating text, and</w:t>
      </w:r>
      <w:r w:rsidR="000978E3">
        <w:t xml:space="preserve"> engaging in</w:t>
      </w:r>
      <w:r w:rsidRPr="00677A89">
        <w:t xml:space="preserve"> eviden</w:t>
      </w:r>
      <w:r w:rsidR="00C000AF">
        <w:t>ce-based discussion and writing</w:t>
      </w:r>
      <w:r w:rsidR="00355C06">
        <w:t xml:space="preserve"> introduced in </w:t>
      </w:r>
      <w:r w:rsidR="00205BC1">
        <w:t>Module</w:t>
      </w:r>
      <w:r w:rsidR="001F1D96">
        <w:t>s</w:t>
      </w:r>
      <w:r w:rsidR="00205BC1">
        <w:t xml:space="preserve"> </w:t>
      </w:r>
      <w:r w:rsidR="00355C06">
        <w:t>11.1, 11.2, and 11.3</w:t>
      </w:r>
      <w:r w:rsidR="00C000AF">
        <w:t xml:space="preserve">. </w:t>
      </w:r>
      <w:r w:rsidR="00704673">
        <w:t xml:space="preserve"> </w:t>
      </w:r>
    </w:p>
    <w:p w14:paraId="61EBC6AB" w14:textId="6D3F1F61" w:rsidR="00C33062" w:rsidRDefault="002526BA" w:rsidP="00CC183D">
      <w:r>
        <w:t>This</w:t>
      </w:r>
      <w:r w:rsidRPr="00677A89">
        <w:t xml:space="preserve"> </w:t>
      </w:r>
      <w:r>
        <w:t>unit</w:t>
      </w:r>
      <w:r w:rsidRPr="00677A89">
        <w:t xml:space="preserve"> </w:t>
      </w:r>
      <w:r>
        <w:t>focuses upon two masterful examples of the short story</w:t>
      </w:r>
      <w:r w:rsidR="00BC52BF">
        <w:t xml:space="preserve"> genre</w:t>
      </w:r>
      <w:r w:rsidR="00F47849">
        <w:t>:</w:t>
      </w:r>
      <w:r>
        <w:t xml:space="preserve"> Tim O’Brien’s “On the Rainy River”</w:t>
      </w:r>
      <w:r w:rsidR="002D13F1">
        <w:t xml:space="preserve"> from </w:t>
      </w:r>
      <w:r w:rsidR="002D13F1">
        <w:rPr>
          <w:i/>
        </w:rPr>
        <w:t>The Things They Carried</w:t>
      </w:r>
      <w:r>
        <w:t xml:space="preserve"> and Louise Erd</w:t>
      </w:r>
      <w:r w:rsidR="00E769A8">
        <w:t>ri</w:t>
      </w:r>
      <w:r>
        <w:t>ch’s “The Red Convertible”</w:t>
      </w:r>
      <w:r w:rsidR="002D13F1">
        <w:t xml:space="preserve"> From </w:t>
      </w:r>
      <w:r w:rsidR="002D13F1">
        <w:rPr>
          <w:i/>
        </w:rPr>
        <w:t>The Red Co</w:t>
      </w:r>
      <w:r w:rsidR="00E23F20">
        <w:rPr>
          <w:i/>
        </w:rPr>
        <w:t>n</w:t>
      </w:r>
      <w:r w:rsidR="002D13F1">
        <w:rPr>
          <w:i/>
        </w:rPr>
        <w:t>vertible</w:t>
      </w:r>
      <w:r w:rsidR="002D13F1">
        <w:t>.</w:t>
      </w:r>
      <w:r w:rsidR="005D0E09">
        <w:t xml:space="preserve"> Throughout the unit</w:t>
      </w:r>
      <w:r w:rsidR="00205BC1">
        <w:t xml:space="preserve">, </w:t>
      </w:r>
      <w:r w:rsidR="005D0E09">
        <w:t>s</w:t>
      </w:r>
      <w:r w:rsidR="00CC183D" w:rsidRPr="00677A89">
        <w:t>tudents</w:t>
      </w:r>
      <w:r w:rsidR="00400E63">
        <w:t xml:space="preserve"> trace the development and interaction of central ideas</w:t>
      </w:r>
      <w:r w:rsidR="00DF7061">
        <w:t>,</w:t>
      </w:r>
      <w:r w:rsidR="00400E63">
        <w:t xml:space="preserve"> and</w:t>
      </w:r>
      <w:r w:rsidR="00CC183D" w:rsidRPr="00677A89">
        <w:t xml:space="preserve"> </w:t>
      </w:r>
      <w:r w:rsidR="00205BC1">
        <w:t xml:space="preserve">consider </w:t>
      </w:r>
      <w:r w:rsidR="00CC183D" w:rsidRPr="00677A89">
        <w:t xml:space="preserve">how </w:t>
      </w:r>
      <w:r w:rsidR="00205BC1">
        <w:t>both</w:t>
      </w:r>
      <w:r w:rsidR="00CC183D">
        <w:t xml:space="preserve"> author</w:t>
      </w:r>
      <w:r w:rsidR="00205BC1">
        <w:t>s develop and relate story e</w:t>
      </w:r>
      <w:r w:rsidR="00F47849">
        <w:t>lements, including character,</w:t>
      </w:r>
      <w:r w:rsidR="00205BC1">
        <w:t xml:space="preserve"> setting</w:t>
      </w:r>
      <w:r w:rsidR="003402A6">
        <w:t>,</w:t>
      </w:r>
      <w:r w:rsidR="00F47849">
        <w:t xml:space="preserve"> and plot</w:t>
      </w:r>
      <w:r w:rsidR="00400E63">
        <w:t>.</w:t>
      </w:r>
      <w:r w:rsidR="000978E3">
        <w:t xml:space="preserve"> </w:t>
      </w:r>
      <w:r w:rsidR="00205BC1">
        <w:t>Students analy</w:t>
      </w:r>
      <w:r w:rsidR="00C33062">
        <w:t>ze</w:t>
      </w:r>
      <w:r w:rsidR="00205BC1">
        <w:t xml:space="preserve"> both authors</w:t>
      </w:r>
      <w:r w:rsidR="00D46E3E">
        <w:t>’</w:t>
      </w:r>
      <w:r w:rsidR="00205BC1">
        <w:t xml:space="preserve"> structural choices, </w:t>
      </w:r>
      <w:r w:rsidR="00D46E3E">
        <w:t xml:space="preserve">paying particular attention to </w:t>
      </w:r>
      <w:r w:rsidR="00205BC1">
        <w:t xml:space="preserve">the </w:t>
      </w:r>
      <w:r w:rsidR="00CC183D">
        <w:t xml:space="preserve">role that point of view plays in </w:t>
      </w:r>
      <w:r w:rsidR="00D46E3E">
        <w:t xml:space="preserve">each </w:t>
      </w:r>
      <w:r w:rsidR="00205BC1">
        <w:t xml:space="preserve">text. </w:t>
      </w:r>
      <w:r w:rsidR="000978E3">
        <w:t>Additionally, students are introduced to and practice narrative writing techniques outlined in W.11-12.3.a and W.11-12.3.b.</w:t>
      </w:r>
    </w:p>
    <w:p w14:paraId="2D31846F" w14:textId="77777777" w:rsidR="001B2DAB" w:rsidRDefault="00DF7061" w:rsidP="00CC183D">
      <w:r>
        <w:t>A</w:t>
      </w:r>
      <w:r w:rsidR="00CC183D" w:rsidRPr="00677A89">
        <w:t xml:space="preserve">s students read, discuss, and write about </w:t>
      </w:r>
      <w:r w:rsidR="0091305D">
        <w:t xml:space="preserve">each </w:t>
      </w:r>
      <w:r w:rsidR="00F338E0">
        <w:t xml:space="preserve">short </w:t>
      </w:r>
      <w:r w:rsidR="00AC58A3">
        <w:t>story</w:t>
      </w:r>
      <w:r w:rsidR="00CC183D" w:rsidRPr="00677A89">
        <w:t xml:space="preserve">, they examine how </w:t>
      </w:r>
      <w:r w:rsidR="002A1407">
        <w:t>O’Brien and Erdrich use</w:t>
      </w:r>
      <w:r w:rsidR="00C33062">
        <w:t xml:space="preserve"> narrative techniques to craft </w:t>
      </w:r>
      <w:r w:rsidR="00AC58A3">
        <w:t xml:space="preserve">their </w:t>
      </w:r>
      <w:r w:rsidR="00400E63">
        <w:t>stories</w:t>
      </w:r>
      <w:r w:rsidR="00C33062">
        <w:t>. Using the short stories</w:t>
      </w:r>
      <w:r w:rsidR="00C866BE">
        <w:t xml:space="preserve"> </w:t>
      </w:r>
      <w:r w:rsidR="00C33062">
        <w:t xml:space="preserve">as models, students learn and practice text-based narrative writing techniques </w:t>
      </w:r>
      <w:r w:rsidR="00C866BE">
        <w:t xml:space="preserve">detailed in </w:t>
      </w:r>
      <w:r w:rsidR="00C33062">
        <w:t xml:space="preserve">the standards W.11-12.3.a and W.11-12.3.b. </w:t>
      </w:r>
      <w:r w:rsidR="0013241E">
        <w:t>Students engage in the writing process</w:t>
      </w:r>
      <w:r w:rsidR="00482EDE">
        <w:t xml:space="preserve"> </w:t>
      </w:r>
      <w:r w:rsidR="0013241E">
        <w:t xml:space="preserve">several times throughout the unit, including pre-writing, brainstorming, drafting, peer review, revision, and editing. </w:t>
      </w:r>
    </w:p>
    <w:p w14:paraId="5FB268E5" w14:textId="0485C293" w:rsidR="00CC183D" w:rsidRPr="001D6842" w:rsidRDefault="00CC183D" w:rsidP="00793951">
      <w:pPr>
        <w:rPr>
          <w:rFonts w:ascii="Times" w:eastAsia="Times New Roman" w:hAnsi="Times"/>
          <w:sz w:val="20"/>
          <w:szCs w:val="20"/>
        </w:rPr>
      </w:pPr>
      <w:r w:rsidRPr="00A730B0">
        <w:t xml:space="preserve">There </w:t>
      </w:r>
      <w:r w:rsidR="00240430" w:rsidRPr="00A730B0">
        <w:t>are two</w:t>
      </w:r>
      <w:r w:rsidRPr="00A730B0">
        <w:t xml:space="preserve"> formal assessment</w:t>
      </w:r>
      <w:r w:rsidR="0091305D" w:rsidRPr="00A730B0">
        <w:t>s</w:t>
      </w:r>
      <w:r w:rsidRPr="00A730B0">
        <w:t xml:space="preserve"> in this unit</w:t>
      </w:r>
      <w:r w:rsidR="0057216F" w:rsidRPr="00A730B0">
        <w:t xml:space="preserve">. </w:t>
      </w:r>
      <w:r w:rsidR="009154F7">
        <w:t>In</w:t>
      </w:r>
      <w:r w:rsidR="009154F7" w:rsidRPr="00A730B0">
        <w:t xml:space="preserve"> </w:t>
      </w:r>
      <w:r w:rsidR="0057216F" w:rsidRPr="00A730B0">
        <w:t>t</w:t>
      </w:r>
      <w:r w:rsidR="00240430" w:rsidRPr="00A730B0">
        <w:t>he Mid-U</w:t>
      </w:r>
      <w:r w:rsidR="0057216F" w:rsidRPr="00A730B0">
        <w:t xml:space="preserve">nit Assessment, students </w:t>
      </w:r>
      <w:r w:rsidR="00211D8B">
        <w:t>craft</w:t>
      </w:r>
      <w:r w:rsidR="009154F7" w:rsidRPr="00A730B0">
        <w:t xml:space="preserve"> </w:t>
      </w:r>
      <w:r w:rsidR="00240430" w:rsidRPr="00A730B0">
        <w:t xml:space="preserve">a written response to a prompt that asks them to </w:t>
      </w:r>
      <w:r w:rsidR="00793951" w:rsidRPr="00A730B0">
        <w:t>choose</w:t>
      </w:r>
      <w:r w:rsidR="00793951" w:rsidRPr="00A730B0">
        <w:rPr>
          <w:rFonts w:eastAsia="Times New Roman" w:cs="Arial"/>
          <w:color w:val="000000"/>
          <w:shd w:val="clear" w:color="auto" w:fill="FFFFFF"/>
        </w:rPr>
        <w:t xml:space="preserve"> a specific part of </w:t>
      </w:r>
      <w:r w:rsidR="00F338E0">
        <w:rPr>
          <w:rFonts w:eastAsia="Times New Roman" w:cs="Arial"/>
          <w:color w:val="000000"/>
          <w:shd w:val="clear" w:color="auto" w:fill="FFFFFF"/>
        </w:rPr>
        <w:t>“</w:t>
      </w:r>
      <w:r w:rsidR="00F338E0" w:rsidRPr="00A730B0">
        <w:rPr>
          <w:rFonts w:eastAsia="Times New Roman" w:cs="Arial"/>
          <w:color w:val="000000"/>
          <w:shd w:val="clear" w:color="auto" w:fill="FFFFFF"/>
        </w:rPr>
        <w:t>On the Rainy River</w:t>
      </w:r>
      <w:r w:rsidR="00F338E0">
        <w:rPr>
          <w:rFonts w:eastAsia="Times New Roman" w:cs="Arial"/>
          <w:color w:val="000000"/>
          <w:shd w:val="clear" w:color="auto" w:fill="FFFFFF"/>
        </w:rPr>
        <w:t>”</w:t>
      </w:r>
      <w:r w:rsidR="00F338E0" w:rsidRPr="00A730B0" w:rsidDel="00F338E0">
        <w:rPr>
          <w:rFonts w:eastAsia="Times New Roman" w:cs="Arial"/>
          <w:color w:val="000000"/>
          <w:shd w:val="clear" w:color="auto" w:fill="FFFFFF"/>
        </w:rPr>
        <w:t xml:space="preserve"> </w:t>
      </w:r>
      <w:r w:rsidR="00793951" w:rsidRPr="00A730B0">
        <w:rPr>
          <w:rFonts w:eastAsia="Times New Roman" w:cs="Arial"/>
          <w:color w:val="000000"/>
          <w:shd w:val="clear" w:color="auto" w:fill="FFFFFF"/>
        </w:rPr>
        <w:t>and analyze how it contributes to the overall meaning and structure of</w:t>
      </w:r>
      <w:r w:rsidR="00F127E3" w:rsidRPr="00A730B0">
        <w:rPr>
          <w:rFonts w:eastAsia="Times New Roman" w:cs="Arial"/>
          <w:color w:val="000000"/>
          <w:shd w:val="clear" w:color="auto" w:fill="FFFFFF"/>
        </w:rPr>
        <w:t xml:space="preserve"> </w:t>
      </w:r>
      <w:r w:rsidR="00F338E0">
        <w:rPr>
          <w:rFonts w:eastAsia="Times New Roman" w:cs="Arial"/>
          <w:color w:val="000000"/>
          <w:shd w:val="clear" w:color="auto" w:fill="FFFFFF"/>
        </w:rPr>
        <w:t>the text.</w:t>
      </w:r>
      <w:r w:rsidR="00793951" w:rsidRPr="00A730B0">
        <w:t xml:space="preserve"> </w:t>
      </w:r>
      <w:r w:rsidR="0097551B" w:rsidRPr="00A730B0">
        <w:t xml:space="preserve">For Part 1 of </w:t>
      </w:r>
      <w:r w:rsidR="00123B0C" w:rsidRPr="00A730B0">
        <w:t xml:space="preserve">the </w:t>
      </w:r>
      <w:r w:rsidRPr="00A730B0">
        <w:rPr>
          <w:rFonts w:cs="Calibri"/>
          <w:color w:val="000000"/>
        </w:rPr>
        <w:t>End-of-Unit Assessment</w:t>
      </w:r>
      <w:r w:rsidR="0097551B" w:rsidRPr="00A730B0">
        <w:rPr>
          <w:rFonts w:cs="Calibri"/>
          <w:color w:val="000000"/>
        </w:rPr>
        <w:t>,</w:t>
      </w:r>
      <w:r w:rsidR="00123B0C" w:rsidRPr="00A730B0">
        <w:rPr>
          <w:rFonts w:cs="Calibri"/>
          <w:color w:val="000000"/>
        </w:rPr>
        <w:t xml:space="preserve"> </w:t>
      </w:r>
      <w:r w:rsidR="00240430" w:rsidRPr="00A730B0">
        <w:rPr>
          <w:rFonts w:cs="Calibri"/>
          <w:color w:val="000000"/>
        </w:rPr>
        <w:t xml:space="preserve">students engage in a </w:t>
      </w:r>
      <w:r w:rsidR="00123B0C" w:rsidRPr="00A730B0">
        <w:rPr>
          <w:rFonts w:cs="Calibri"/>
          <w:color w:val="000000"/>
        </w:rPr>
        <w:t>discussion that</w:t>
      </w:r>
      <w:r w:rsidRPr="00A730B0">
        <w:rPr>
          <w:rFonts w:cs="Calibri"/>
          <w:color w:val="000000"/>
        </w:rPr>
        <w:t xml:space="preserve"> asks </w:t>
      </w:r>
      <w:r w:rsidR="0091305D" w:rsidRPr="00A730B0">
        <w:rPr>
          <w:rFonts w:cs="Calibri"/>
          <w:color w:val="000000"/>
        </w:rPr>
        <w:t xml:space="preserve">them </w:t>
      </w:r>
      <w:r w:rsidR="00424CA9" w:rsidRPr="00A730B0">
        <w:rPr>
          <w:rFonts w:cs="Calibri"/>
          <w:color w:val="000000"/>
        </w:rPr>
        <w:t xml:space="preserve">to consider </w:t>
      </w:r>
      <w:r w:rsidR="000C4D50">
        <w:rPr>
          <w:rFonts w:cs="Calibri"/>
          <w:color w:val="000000"/>
        </w:rPr>
        <w:t xml:space="preserve">each author’s </w:t>
      </w:r>
      <w:r w:rsidR="00315CFA" w:rsidRPr="00A730B0">
        <w:rPr>
          <w:rFonts w:cs="Calibri"/>
          <w:color w:val="000000"/>
        </w:rPr>
        <w:t>point of view in</w:t>
      </w:r>
      <w:r w:rsidR="00123B0C" w:rsidRPr="00A730B0">
        <w:rPr>
          <w:rFonts w:cs="Calibri"/>
          <w:color w:val="000000"/>
        </w:rPr>
        <w:t xml:space="preserve"> “On the Rainy </w:t>
      </w:r>
      <w:r w:rsidR="00123B0C" w:rsidRPr="00A730B0">
        <w:rPr>
          <w:rFonts w:cs="Calibri"/>
          <w:color w:val="000000"/>
        </w:rPr>
        <w:lastRenderedPageBreak/>
        <w:t>River” and “The Red Convertible</w:t>
      </w:r>
      <w:r w:rsidR="00E90B4A" w:rsidRPr="00A730B0">
        <w:rPr>
          <w:rFonts w:cs="Calibri"/>
          <w:color w:val="000000"/>
        </w:rPr>
        <w:t>,</w:t>
      </w:r>
      <w:r w:rsidR="00123B0C" w:rsidRPr="00A730B0">
        <w:rPr>
          <w:rFonts w:cs="Calibri"/>
          <w:color w:val="000000"/>
        </w:rPr>
        <w:t>”</w:t>
      </w:r>
      <w:r w:rsidR="00424CA9" w:rsidRPr="00A730B0">
        <w:rPr>
          <w:rFonts w:cs="Calibri"/>
          <w:color w:val="000000"/>
        </w:rPr>
        <w:t xml:space="preserve"> and analyze key textual evidence in which </w:t>
      </w:r>
      <w:r w:rsidR="0091305D" w:rsidRPr="00A730B0">
        <w:rPr>
          <w:rFonts w:cs="Calibri"/>
          <w:color w:val="000000"/>
        </w:rPr>
        <w:t>what</w:t>
      </w:r>
      <w:r w:rsidR="00123B0C" w:rsidRPr="00A730B0">
        <w:rPr>
          <w:rFonts w:cs="Calibri"/>
          <w:color w:val="000000"/>
        </w:rPr>
        <w:t xml:space="preserve"> is </w:t>
      </w:r>
      <w:r w:rsidR="000C4D50">
        <w:rPr>
          <w:rFonts w:cs="Calibri"/>
          <w:color w:val="000000"/>
        </w:rPr>
        <w:t>stated directly</w:t>
      </w:r>
      <w:r w:rsidR="00123B0C" w:rsidRPr="00A730B0">
        <w:rPr>
          <w:rFonts w:cs="Calibri"/>
          <w:color w:val="000000"/>
        </w:rPr>
        <w:t xml:space="preserve"> differs from what is really meant</w:t>
      </w:r>
      <w:r w:rsidRPr="00A730B0">
        <w:rPr>
          <w:rFonts w:cs="Calibri"/>
          <w:color w:val="000000"/>
        </w:rPr>
        <w:t xml:space="preserve">. </w:t>
      </w:r>
      <w:r w:rsidR="00E90B4A" w:rsidRPr="00A730B0">
        <w:t xml:space="preserve">Part 2 </w:t>
      </w:r>
      <w:r w:rsidR="00123B0C" w:rsidRPr="00A730B0">
        <w:t>of the End-of-Unit Assessment ask</w:t>
      </w:r>
      <w:r w:rsidR="00E90B4A" w:rsidRPr="00A730B0">
        <w:t>s</w:t>
      </w:r>
      <w:r w:rsidR="00123B0C" w:rsidRPr="00A730B0">
        <w:t xml:space="preserve"> students</w:t>
      </w:r>
      <w:r w:rsidR="001D6842" w:rsidRPr="00A730B0">
        <w:t xml:space="preserve"> to engage in the narrative writing process </w:t>
      </w:r>
      <w:r w:rsidR="00DF7061">
        <w:t>to craft</w:t>
      </w:r>
      <w:r w:rsidR="001D6842" w:rsidRPr="00A730B0">
        <w:t xml:space="preserve"> a text-based response to the following prompt: </w:t>
      </w:r>
      <w:r w:rsidR="001D6842" w:rsidRPr="00A730B0">
        <w:rPr>
          <w:rFonts w:eastAsia="Times New Roman" w:cs="Arial"/>
          <w:color w:val="000000"/>
          <w:shd w:val="clear" w:color="auto" w:fill="FFFFFF"/>
        </w:rPr>
        <w:t>Consider another character’s point of view in either “On the Rainy River” or “</w:t>
      </w:r>
      <w:r w:rsidR="00DF7061">
        <w:rPr>
          <w:rFonts w:eastAsia="Times New Roman" w:cs="Arial"/>
          <w:color w:val="000000"/>
          <w:shd w:val="clear" w:color="auto" w:fill="FFFFFF"/>
        </w:rPr>
        <w:t xml:space="preserve">The </w:t>
      </w:r>
      <w:r w:rsidR="001D6842" w:rsidRPr="00A730B0">
        <w:rPr>
          <w:rFonts w:eastAsia="Times New Roman" w:cs="Arial"/>
          <w:color w:val="000000"/>
          <w:shd w:val="clear" w:color="auto" w:fill="FFFFFF"/>
        </w:rPr>
        <w:t xml:space="preserve">Red Convertible” and retell a key scene from either text through </w:t>
      </w:r>
      <w:r w:rsidR="005C36B6">
        <w:rPr>
          <w:rFonts w:eastAsia="Times New Roman" w:cs="Arial"/>
          <w:color w:val="000000"/>
          <w:shd w:val="clear" w:color="auto" w:fill="FFFFFF"/>
        </w:rPr>
        <w:t xml:space="preserve">that </w:t>
      </w:r>
      <w:r w:rsidR="001D6842" w:rsidRPr="00A730B0">
        <w:rPr>
          <w:rFonts w:eastAsia="Times New Roman" w:cs="Arial"/>
          <w:color w:val="000000"/>
          <w:shd w:val="clear" w:color="auto" w:fill="FFFFFF"/>
        </w:rPr>
        <w:t>character’s point of view.</w:t>
      </w:r>
      <w:r w:rsidR="001D6842" w:rsidRPr="00A730B0">
        <w:rPr>
          <w:rFonts w:eastAsia="Times New Roman"/>
        </w:rPr>
        <w:t xml:space="preserve"> Students </w:t>
      </w:r>
      <w:r w:rsidR="005C36B6">
        <w:t>use</w:t>
      </w:r>
      <w:r w:rsidR="005C36B6" w:rsidRPr="00A730B0">
        <w:t xml:space="preserve"> the narrative writing skills they have develop</w:t>
      </w:r>
      <w:r w:rsidR="005C36B6">
        <w:t>ed</w:t>
      </w:r>
      <w:r w:rsidR="005C36B6" w:rsidRPr="00A730B0">
        <w:t xml:space="preserve"> throughout this unit</w:t>
      </w:r>
      <w:r w:rsidR="005C36B6">
        <w:t xml:space="preserve"> to</w:t>
      </w:r>
      <w:r w:rsidR="005C36B6" w:rsidRPr="00A730B0">
        <w:rPr>
          <w:rFonts w:eastAsia="Times New Roman"/>
        </w:rPr>
        <w:t xml:space="preserve"> </w:t>
      </w:r>
      <w:r w:rsidR="001D6842" w:rsidRPr="00A730B0">
        <w:rPr>
          <w:rFonts w:eastAsia="Times New Roman"/>
        </w:rPr>
        <w:t xml:space="preserve">brainstorm, pre-write, draft, </w:t>
      </w:r>
      <w:r w:rsidR="00123B0C" w:rsidRPr="00A730B0">
        <w:t>p</w:t>
      </w:r>
      <w:r w:rsidR="001D6842" w:rsidRPr="00A730B0">
        <w:t>eer review, revise</w:t>
      </w:r>
      <w:r w:rsidR="00881AB7" w:rsidRPr="00A730B0">
        <w:t>,</w:t>
      </w:r>
      <w:r w:rsidR="001D6842" w:rsidRPr="00A730B0">
        <w:t xml:space="preserve"> and publish the</w:t>
      </w:r>
      <w:r w:rsidR="005C36B6">
        <w:t>ir</w:t>
      </w:r>
      <w:r w:rsidR="00123B0C" w:rsidRPr="00A730B0">
        <w:t xml:space="preserve"> narrative writing</w:t>
      </w:r>
      <w:r w:rsidR="005C36B6">
        <w:t xml:space="preserve"> pieces.</w:t>
      </w:r>
    </w:p>
    <w:p w14:paraId="5A6EF979" w14:textId="77777777" w:rsidR="00CC183D" w:rsidRDefault="00CC183D" w:rsidP="00CC183D">
      <w:pPr>
        <w:pStyle w:val="Heading1"/>
      </w:pPr>
      <w:r>
        <w:t>Literacy Skills and Habits</w:t>
      </w:r>
    </w:p>
    <w:p w14:paraId="6E658074" w14:textId="77777777" w:rsidR="00240430" w:rsidRPr="00677A89" w:rsidRDefault="00240430" w:rsidP="00240430">
      <w:pPr>
        <w:pStyle w:val="BulletedList"/>
      </w:pPr>
      <w:r>
        <w:t xml:space="preserve">Read closely for textual </w:t>
      </w:r>
      <w:r w:rsidRPr="00677A89">
        <w:t>details</w:t>
      </w:r>
    </w:p>
    <w:p w14:paraId="46FDD8C1" w14:textId="77777777" w:rsidR="00240430" w:rsidRPr="00677A89" w:rsidRDefault="00240430" w:rsidP="00240430">
      <w:pPr>
        <w:pStyle w:val="BulletedList"/>
      </w:pPr>
      <w:r w:rsidRPr="00677A89">
        <w:t>Annotate texts to support comprehension and analysis</w:t>
      </w:r>
    </w:p>
    <w:p w14:paraId="13712C46" w14:textId="77777777" w:rsidR="00240430" w:rsidRPr="00677A89" w:rsidRDefault="00240430" w:rsidP="00240430">
      <w:pPr>
        <w:pStyle w:val="BulletedList"/>
      </w:pPr>
      <w:r w:rsidRPr="00677A89">
        <w:t>Engage in productive</w:t>
      </w:r>
      <w:r>
        <w:t>,</w:t>
      </w:r>
      <w:r w:rsidRPr="00677A89">
        <w:t xml:space="preserve"> evidence-based discussions about text</w:t>
      </w:r>
      <w:r>
        <w:t>s</w:t>
      </w:r>
    </w:p>
    <w:p w14:paraId="77BC29D5" w14:textId="77777777" w:rsidR="00240430" w:rsidRDefault="00240430" w:rsidP="00240430">
      <w:pPr>
        <w:pStyle w:val="BulletedList"/>
      </w:pPr>
      <w:r w:rsidRPr="00677A89">
        <w:t>Collect and organize evidence from texts to support analysis in writing</w:t>
      </w:r>
    </w:p>
    <w:p w14:paraId="089DB742" w14:textId="77777777" w:rsidR="00240430" w:rsidRDefault="00240430" w:rsidP="00240430">
      <w:pPr>
        <w:pStyle w:val="BulletedList"/>
      </w:pPr>
      <w:r>
        <w:t>Collect and organize evidence from text</w:t>
      </w:r>
      <w:r w:rsidR="009E19DD">
        <w:t>s</w:t>
      </w:r>
      <w:r>
        <w:t xml:space="preserve"> to support analysis in discussion</w:t>
      </w:r>
    </w:p>
    <w:p w14:paraId="258C2197" w14:textId="77777777" w:rsidR="00240430" w:rsidRPr="009023D9" w:rsidRDefault="00240430" w:rsidP="00240430">
      <w:pPr>
        <w:pStyle w:val="BulletedList"/>
      </w:pPr>
      <w:r>
        <w:t>Use vocabulary strategies to define unknown words</w:t>
      </w:r>
    </w:p>
    <w:p w14:paraId="468A3BDE" w14:textId="77777777" w:rsidR="00240430" w:rsidRDefault="00240430" w:rsidP="00240430">
      <w:pPr>
        <w:pStyle w:val="BulletedList"/>
      </w:pPr>
      <w:r>
        <w:t xml:space="preserve">Independently read </w:t>
      </w:r>
      <w:r w:rsidR="0046450B">
        <w:t xml:space="preserve">a </w:t>
      </w:r>
      <w:r>
        <w:t>text in preparation for supported analysis</w:t>
      </w:r>
    </w:p>
    <w:p w14:paraId="402780D3" w14:textId="77777777" w:rsidR="00240430" w:rsidRPr="003539A7" w:rsidRDefault="00240430" w:rsidP="00240430">
      <w:pPr>
        <w:pStyle w:val="BulletedList"/>
      </w:pPr>
      <w:r w:rsidRPr="003539A7">
        <w:t>Paraphrase and quote relevant evidence from a text</w:t>
      </w:r>
    </w:p>
    <w:p w14:paraId="4685FBF0" w14:textId="77777777" w:rsidR="00240430" w:rsidRDefault="00240430" w:rsidP="00240430">
      <w:pPr>
        <w:pStyle w:val="BulletedList"/>
      </w:pPr>
      <w:r w:rsidRPr="003539A7">
        <w:t>Generate and respond to questions in scholarly discourse</w:t>
      </w:r>
    </w:p>
    <w:p w14:paraId="1D1F0580" w14:textId="77777777" w:rsidR="00240430" w:rsidRDefault="00240430" w:rsidP="00240430">
      <w:pPr>
        <w:pStyle w:val="BulletedList"/>
      </w:pPr>
      <w:r>
        <w:t>Examine and analyze fiction texts for effective narrative writing technique</w:t>
      </w:r>
    </w:p>
    <w:p w14:paraId="4A22B4C6" w14:textId="77777777" w:rsidR="00240430" w:rsidRDefault="00240430" w:rsidP="00240430">
      <w:pPr>
        <w:pStyle w:val="BulletedList"/>
      </w:pPr>
      <w:r>
        <w:t>Practice narrative w</w:t>
      </w:r>
      <w:r w:rsidR="0086687B">
        <w:t>riting techniques and skills</w:t>
      </w:r>
    </w:p>
    <w:p w14:paraId="307DEF64" w14:textId="77777777" w:rsidR="00240430" w:rsidRDefault="00240430" w:rsidP="00240430">
      <w:pPr>
        <w:pStyle w:val="BulletedList"/>
      </w:pPr>
      <w:r>
        <w:t>Engage in</w:t>
      </w:r>
      <w:r w:rsidR="00BC319D">
        <w:t xml:space="preserve"> the writing process of brainstorming, prewriting, drafting,</w:t>
      </w:r>
      <w:r>
        <w:t xml:space="preserve"> peer review,</w:t>
      </w:r>
      <w:r w:rsidR="00BC319D">
        <w:t xml:space="preserve"> revision,</w:t>
      </w:r>
      <w:r>
        <w:t xml:space="preserve"> and publication of narrative writing</w:t>
      </w:r>
    </w:p>
    <w:p w14:paraId="6A559289" w14:textId="77777777" w:rsidR="00CC183D" w:rsidRDefault="00CC183D" w:rsidP="00CC183D">
      <w:pPr>
        <w:pStyle w:val="Heading1"/>
      </w:pPr>
      <w:r>
        <w:t>Standards for This Unit</w:t>
      </w: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92"/>
        <w:gridCol w:w="7878"/>
      </w:tblGrid>
      <w:tr w:rsidR="00E75803" w:rsidRPr="00401E53" w14:paraId="07FF33A9" w14:textId="77777777" w:rsidTr="00E23F20">
        <w:tc>
          <w:tcPr>
            <w:tcW w:w="9470" w:type="dxa"/>
            <w:gridSpan w:val="2"/>
            <w:shd w:val="clear" w:color="auto" w:fill="5F497A"/>
          </w:tcPr>
          <w:p w14:paraId="6FE38F59" w14:textId="77777777"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895EAD" w:rsidRPr="00E75803" w14:paraId="5878863C" w14:textId="77777777" w:rsidTr="00E23F20">
        <w:tc>
          <w:tcPr>
            <w:tcW w:w="9470" w:type="dxa"/>
            <w:gridSpan w:val="2"/>
            <w:shd w:val="clear" w:color="auto" w:fill="auto"/>
          </w:tcPr>
          <w:p w14:paraId="646D8447" w14:textId="77777777" w:rsidR="00895EAD" w:rsidRPr="00895EAD" w:rsidRDefault="00895EAD" w:rsidP="00F61E99">
            <w:pPr>
              <w:pStyle w:val="TableText"/>
            </w:pPr>
            <w:r>
              <w:t>None.</w:t>
            </w:r>
          </w:p>
        </w:tc>
      </w:tr>
      <w:tr w:rsidR="00CC183D" w:rsidRPr="00401E53" w14:paraId="1FCC1F01" w14:textId="77777777" w:rsidTr="00E23F20">
        <w:tc>
          <w:tcPr>
            <w:tcW w:w="9470" w:type="dxa"/>
            <w:gridSpan w:val="2"/>
            <w:shd w:val="clear" w:color="auto" w:fill="5F497A"/>
          </w:tcPr>
          <w:p w14:paraId="22C2A1F6" w14:textId="77777777" w:rsidR="00CC183D" w:rsidRPr="00714725" w:rsidRDefault="00CC183D" w:rsidP="00401E53">
            <w:pPr>
              <w:pStyle w:val="TableHeaders"/>
              <w:rPr>
                <w:lang w:val="en-US" w:eastAsia="en-US"/>
              </w:rPr>
            </w:pPr>
            <w:r w:rsidRPr="00714725">
              <w:rPr>
                <w:lang w:val="en-US" w:eastAsia="en-US"/>
              </w:rPr>
              <w:t>CCS Standards: Reading — Literature</w:t>
            </w:r>
          </w:p>
        </w:tc>
      </w:tr>
      <w:tr w:rsidR="00BC39EF" w:rsidRPr="00677A89" w14:paraId="5C45FF67" w14:textId="77777777" w:rsidTr="00E23F20">
        <w:tc>
          <w:tcPr>
            <w:tcW w:w="1592" w:type="dxa"/>
            <w:shd w:val="clear" w:color="auto" w:fill="auto"/>
          </w:tcPr>
          <w:p w14:paraId="74CE2B86" w14:textId="77777777" w:rsidR="00BC39EF" w:rsidRPr="00F31624" w:rsidRDefault="00BC39EF" w:rsidP="00BC39EF">
            <w:pPr>
              <w:pStyle w:val="TableHeaders"/>
              <w:rPr>
                <w:color w:val="auto"/>
                <w:lang w:val="en-US" w:eastAsia="en-US"/>
              </w:rPr>
            </w:pPr>
            <w:r w:rsidRPr="00F31624">
              <w:rPr>
                <w:color w:val="auto"/>
                <w:lang w:val="en-US" w:eastAsia="en-US"/>
              </w:rPr>
              <w:t>RL.11-12.2</w:t>
            </w:r>
          </w:p>
        </w:tc>
        <w:tc>
          <w:tcPr>
            <w:tcW w:w="7878" w:type="dxa"/>
          </w:tcPr>
          <w:p w14:paraId="24689C6E" w14:textId="77777777" w:rsidR="00BC39EF" w:rsidRPr="00AD083F" w:rsidRDefault="00BC39EF" w:rsidP="00A2634F">
            <w:pPr>
              <w:pStyle w:val="TableText"/>
              <w:rPr>
                <w:b/>
              </w:rPr>
            </w:pPr>
            <w:r w:rsidRPr="00AD083F">
              <w:rPr>
                <w:b/>
              </w:rPr>
              <w:t xml:space="preserve">Determine two or more </w:t>
            </w:r>
            <w:r w:rsidR="00A2634F">
              <w:rPr>
                <w:b/>
              </w:rPr>
              <w:t xml:space="preserve">themes or </w:t>
            </w:r>
            <w:r w:rsidRPr="00AD083F">
              <w:rPr>
                <w:b/>
              </w:rPr>
              <w:t xml:space="preserve">central ideas of a text and analyze their development over the course of the text, including how they interact and build on one another to provide a complex </w:t>
            </w:r>
            <w:r w:rsidR="00A2634F">
              <w:rPr>
                <w:b/>
              </w:rPr>
              <w:t>account;</w:t>
            </w:r>
            <w:r w:rsidRPr="00AD083F">
              <w:rPr>
                <w:b/>
              </w:rPr>
              <w:t xml:space="preserve"> provide an objective summary of the text.</w:t>
            </w:r>
          </w:p>
        </w:tc>
      </w:tr>
      <w:tr w:rsidR="00BC39EF" w:rsidRPr="0015083C" w14:paraId="0360661F" w14:textId="77777777" w:rsidTr="00E23F20">
        <w:tc>
          <w:tcPr>
            <w:tcW w:w="1592" w:type="dxa"/>
            <w:shd w:val="clear" w:color="auto" w:fill="auto"/>
          </w:tcPr>
          <w:p w14:paraId="0463EB49" w14:textId="77777777" w:rsidR="00BC39EF" w:rsidRPr="00F31624" w:rsidRDefault="00BC39EF" w:rsidP="00BC39EF">
            <w:pPr>
              <w:pStyle w:val="TableHeaders"/>
              <w:rPr>
                <w:color w:val="auto"/>
                <w:lang w:val="en-US" w:eastAsia="en-US"/>
              </w:rPr>
            </w:pPr>
            <w:r w:rsidRPr="00F31624">
              <w:rPr>
                <w:color w:val="auto"/>
                <w:lang w:val="en-US" w:eastAsia="en-US"/>
              </w:rPr>
              <w:lastRenderedPageBreak/>
              <w:t>RL.11-12.3</w:t>
            </w:r>
          </w:p>
        </w:tc>
        <w:tc>
          <w:tcPr>
            <w:tcW w:w="7878" w:type="dxa"/>
          </w:tcPr>
          <w:p w14:paraId="08461355" w14:textId="77777777" w:rsidR="00BC39EF" w:rsidRPr="0030208B" w:rsidRDefault="00F6430C" w:rsidP="0030208B">
            <w:pPr>
              <w:pStyle w:val="TableText"/>
              <w:rPr>
                <w:b/>
              </w:rPr>
            </w:pPr>
            <w:r w:rsidRPr="0030208B">
              <w:rPr>
                <w:b/>
              </w:rPr>
              <w:t>Analyze the impact of the author's choices regarding how to develop and relate elements of a story or drama (e.g., where a story is set, how the action is ordered, how the characters are introduced and developed).</w:t>
            </w:r>
          </w:p>
        </w:tc>
      </w:tr>
      <w:tr w:rsidR="00895EAD" w:rsidRPr="007A12D1" w14:paraId="7908C052" w14:textId="77777777" w:rsidTr="00E23F20">
        <w:tc>
          <w:tcPr>
            <w:tcW w:w="1592" w:type="dxa"/>
            <w:shd w:val="clear" w:color="auto" w:fill="auto"/>
          </w:tcPr>
          <w:p w14:paraId="243A5641" w14:textId="77777777" w:rsidR="00895EAD" w:rsidRPr="00F31624" w:rsidRDefault="00895EAD" w:rsidP="00895EAD">
            <w:pPr>
              <w:pStyle w:val="TableHeaders"/>
              <w:rPr>
                <w:color w:val="auto"/>
                <w:lang w:val="en-US" w:eastAsia="en-US"/>
              </w:rPr>
            </w:pPr>
            <w:r w:rsidRPr="00F31624">
              <w:rPr>
                <w:color w:val="auto"/>
                <w:lang w:val="en-US" w:eastAsia="en-US"/>
              </w:rPr>
              <w:t>RL.11-12.5</w:t>
            </w:r>
          </w:p>
        </w:tc>
        <w:tc>
          <w:tcPr>
            <w:tcW w:w="7878" w:type="dxa"/>
            <w:shd w:val="clear" w:color="auto" w:fill="auto"/>
          </w:tcPr>
          <w:p w14:paraId="6D0BCEC8" w14:textId="77777777" w:rsidR="00895EAD" w:rsidRPr="0030208B" w:rsidRDefault="00BC39EF" w:rsidP="0030208B">
            <w:pPr>
              <w:pStyle w:val="TableText"/>
              <w:rPr>
                <w:b/>
              </w:rPr>
            </w:pPr>
            <w:r w:rsidRPr="0030208B">
              <w:rPr>
                <w:b/>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895EAD" w:rsidRPr="00401E53" w14:paraId="52BDA852" w14:textId="77777777" w:rsidTr="00E23F20">
        <w:tc>
          <w:tcPr>
            <w:tcW w:w="1592" w:type="dxa"/>
            <w:shd w:val="clear" w:color="auto" w:fill="auto"/>
          </w:tcPr>
          <w:p w14:paraId="5FC6F8C2" w14:textId="77777777" w:rsidR="00895EAD" w:rsidRPr="00F31624" w:rsidRDefault="00895EAD" w:rsidP="00895EAD">
            <w:pPr>
              <w:pStyle w:val="TableHeaders"/>
              <w:rPr>
                <w:color w:val="auto"/>
                <w:lang w:val="en-US" w:eastAsia="en-US"/>
              </w:rPr>
            </w:pPr>
            <w:r w:rsidRPr="00F31624">
              <w:rPr>
                <w:color w:val="auto"/>
                <w:lang w:val="en-US" w:eastAsia="en-US"/>
              </w:rPr>
              <w:t>RL.11-12.6</w:t>
            </w:r>
          </w:p>
        </w:tc>
        <w:tc>
          <w:tcPr>
            <w:tcW w:w="7878" w:type="dxa"/>
            <w:shd w:val="clear" w:color="auto" w:fill="auto"/>
          </w:tcPr>
          <w:p w14:paraId="6F4204C3" w14:textId="77777777" w:rsidR="00895EAD" w:rsidRPr="0030208B" w:rsidRDefault="00F6430C" w:rsidP="0030208B">
            <w:pPr>
              <w:pStyle w:val="TableText"/>
              <w:rPr>
                <w:b/>
              </w:rPr>
            </w:pPr>
            <w:r w:rsidRPr="0030208B">
              <w:rPr>
                <w:b/>
              </w:rPr>
              <w:t>Analyze a case in which grasping a point of view requires distinguishing what is directly stated in a text from what is really meant (e.g., satire, sarcasm, irony, or understatement).</w:t>
            </w:r>
          </w:p>
        </w:tc>
      </w:tr>
      <w:tr w:rsidR="00DF7061" w:rsidRPr="00714725" w14:paraId="04637A67" w14:textId="77777777" w:rsidTr="00E23F20">
        <w:tc>
          <w:tcPr>
            <w:tcW w:w="9470" w:type="dxa"/>
            <w:gridSpan w:val="2"/>
            <w:shd w:val="clear" w:color="auto" w:fill="5F497A"/>
          </w:tcPr>
          <w:p w14:paraId="50EF38D1" w14:textId="77777777" w:rsidR="00DF7061" w:rsidRPr="00714725" w:rsidRDefault="00DF7061" w:rsidP="00DB3054">
            <w:pPr>
              <w:pStyle w:val="TableHeaders"/>
              <w:rPr>
                <w:lang w:val="en-US" w:eastAsia="en-US"/>
              </w:rPr>
            </w:pPr>
            <w:r w:rsidRPr="00714725">
              <w:rPr>
                <w:lang w:val="en-US" w:eastAsia="en-US"/>
              </w:rPr>
              <w:t xml:space="preserve">CCS Standards: Reading — </w:t>
            </w:r>
            <w:r w:rsidR="00DB3054">
              <w:rPr>
                <w:lang w:val="en-US" w:eastAsia="en-US"/>
              </w:rPr>
              <w:t>Informational</w:t>
            </w:r>
          </w:p>
        </w:tc>
      </w:tr>
      <w:tr w:rsidR="006852DC" w:rsidRPr="00401E53" w14:paraId="0B19016F" w14:textId="77777777" w:rsidTr="00E23F20">
        <w:tc>
          <w:tcPr>
            <w:tcW w:w="9470" w:type="dxa"/>
            <w:gridSpan w:val="2"/>
            <w:shd w:val="clear" w:color="auto" w:fill="auto"/>
          </w:tcPr>
          <w:p w14:paraId="775B780A" w14:textId="77777777" w:rsidR="006852DC" w:rsidRPr="00DB3054" w:rsidRDefault="00DB3054" w:rsidP="002D3750">
            <w:pPr>
              <w:pStyle w:val="TableHeaders"/>
              <w:rPr>
                <w:b w:val="0"/>
                <w:color w:val="auto"/>
              </w:rPr>
            </w:pPr>
            <w:r w:rsidRPr="00DB3054">
              <w:rPr>
                <w:b w:val="0"/>
                <w:color w:val="auto"/>
              </w:rPr>
              <w:t>None.</w:t>
            </w:r>
          </w:p>
        </w:tc>
      </w:tr>
      <w:tr w:rsidR="00895EAD" w:rsidRPr="00401E53" w14:paraId="3D8D9497" w14:textId="77777777" w:rsidTr="00E23F20">
        <w:tc>
          <w:tcPr>
            <w:tcW w:w="9470" w:type="dxa"/>
            <w:gridSpan w:val="2"/>
            <w:shd w:val="clear" w:color="auto" w:fill="5F497A"/>
          </w:tcPr>
          <w:p w14:paraId="5958C515" w14:textId="77777777" w:rsidR="00895EAD" w:rsidRPr="00714725" w:rsidRDefault="00895EAD" w:rsidP="00895EAD">
            <w:pPr>
              <w:pStyle w:val="TableHeaders"/>
              <w:rPr>
                <w:lang w:val="en-US" w:eastAsia="en-US"/>
              </w:rPr>
            </w:pPr>
            <w:r w:rsidRPr="00895EAD">
              <w:rPr>
                <w:lang w:val="en-US" w:eastAsia="en-US"/>
              </w:rPr>
              <w:t xml:space="preserve">CCS Standards: </w:t>
            </w:r>
            <w:r>
              <w:rPr>
                <w:lang w:val="en-US" w:eastAsia="en-US"/>
              </w:rPr>
              <w:t>Writing</w:t>
            </w:r>
          </w:p>
        </w:tc>
      </w:tr>
      <w:tr w:rsidR="00BC39EF" w:rsidRPr="00401E53" w14:paraId="6BF6DB44" w14:textId="77777777" w:rsidTr="00E23F20">
        <w:tc>
          <w:tcPr>
            <w:tcW w:w="1592" w:type="dxa"/>
            <w:shd w:val="clear" w:color="auto" w:fill="auto"/>
          </w:tcPr>
          <w:p w14:paraId="7B8A3626" w14:textId="77777777" w:rsidR="00BC39EF" w:rsidRPr="00F31624" w:rsidRDefault="00BC39EF" w:rsidP="00BC39EF">
            <w:pPr>
              <w:pStyle w:val="TableHeaders"/>
              <w:rPr>
                <w:color w:val="auto"/>
                <w:lang w:val="en-US" w:eastAsia="en-US"/>
              </w:rPr>
            </w:pPr>
            <w:r w:rsidRPr="00F31624">
              <w:rPr>
                <w:color w:val="auto"/>
                <w:lang w:val="en-US" w:eastAsia="en-US"/>
              </w:rPr>
              <w:t>W.11-12.2.a-f</w:t>
            </w:r>
          </w:p>
        </w:tc>
        <w:tc>
          <w:tcPr>
            <w:tcW w:w="7878" w:type="dxa"/>
          </w:tcPr>
          <w:p w14:paraId="004C5315" w14:textId="77777777" w:rsidR="00BC39EF" w:rsidRPr="00BC39EF" w:rsidRDefault="00BC39EF" w:rsidP="00BC39EF">
            <w:pPr>
              <w:pStyle w:val="SubStandard"/>
              <w:numPr>
                <w:ilvl w:val="0"/>
                <w:numId w:val="0"/>
              </w:numPr>
              <w:rPr>
                <w:b/>
              </w:rPr>
            </w:pPr>
            <w:r w:rsidRPr="00BC39EF">
              <w:rPr>
                <w:b/>
              </w:rPr>
              <w:t>Write informative/explanatory texts to examine and convey complex ideas, concepts, and information clearly and accurately through the effective selection, organization, and analysis of content.</w:t>
            </w:r>
          </w:p>
          <w:p w14:paraId="0B1C0919" w14:textId="77777777" w:rsidR="00BC39EF" w:rsidRPr="00BC39EF" w:rsidRDefault="00BC39EF" w:rsidP="00BC39EF">
            <w:pPr>
              <w:pStyle w:val="SubStandard"/>
              <w:rPr>
                <w:b/>
              </w:rPr>
            </w:pPr>
            <w:r w:rsidRPr="00BC39EF">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D95CDF6" w14:textId="77777777" w:rsidR="00BC39EF" w:rsidRPr="00BC39EF" w:rsidRDefault="00BC39EF" w:rsidP="00BC39EF">
            <w:pPr>
              <w:pStyle w:val="SubStandard"/>
              <w:rPr>
                <w:b/>
              </w:rPr>
            </w:pPr>
            <w:r w:rsidRPr="00BC39EF">
              <w:rPr>
                <w:b/>
              </w:rPr>
              <w:t>Develop the topic thoroughly by selecting the most significant and relevant facts, extended definitions, concrete details, quotations, or other information and examples appropriate to the audience’s knowledge of the topic.</w:t>
            </w:r>
          </w:p>
          <w:p w14:paraId="070B4255" w14:textId="77777777" w:rsidR="00BC39EF" w:rsidRPr="00BC39EF" w:rsidRDefault="00BC39EF" w:rsidP="00BC39EF">
            <w:pPr>
              <w:pStyle w:val="SubStandard"/>
              <w:rPr>
                <w:b/>
              </w:rPr>
            </w:pPr>
            <w:r w:rsidRPr="00BC39EF">
              <w:rPr>
                <w:b/>
              </w:rPr>
              <w:t>Use appropriate and varied transitions and syntax to link the major sections of the text, create cohesion, and clarify the relationships among complex ideas and concepts.</w:t>
            </w:r>
          </w:p>
          <w:p w14:paraId="55FC779E" w14:textId="77777777" w:rsidR="00BC39EF" w:rsidRPr="00BC39EF" w:rsidRDefault="00BC39EF" w:rsidP="00BC39EF">
            <w:pPr>
              <w:pStyle w:val="SubStandard"/>
              <w:rPr>
                <w:b/>
              </w:rPr>
            </w:pPr>
            <w:r w:rsidRPr="00BC39EF">
              <w:rPr>
                <w:b/>
              </w:rPr>
              <w:t xml:space="preserve">Use precise language, domain-specific vocabulary, and techniques such as metaphor, simile, and analogy to manage the complexity of the topic. </w:t>
            </w:r>
          </w:p>
          <w:p w14:paraId="5185BFD7" w14:textId="77777777" w:rsidR="00BC39EF" w:rsidRPr="00BC39EF" w:rsidRDefault="00BC39EF" w:rsidP="00BC39EF">
            <w:pPr>
              <w:pStyle w:val="SubStandard"/>
              <w:rPr>
                <w:b/>
              </w:rPr>
            </w:pPr>
            <w:r w:rsidRPr="00BC39EF">
              <w:rPr>
                <w:b/>
              </w:rPr>
              <w:t>Establish and maintain a formal style and objective tone while attending to the norms and conventions of the discipline in which they are writing.</w:t>
            </w:r>
          </w:p>
          <w:p w14:paraId="131D73F9" w14:textId="77777777" w:rsidR="00BC39EF" w:rsidRPr="00BC39EF" w:rsidRDefault="00BC39EF" w:rsidP="00BC39EF">
            <w:pPr>
              <w:pStyle w:val="SubStandard"/>
              <w:rPr>
                <w:b/>
              </w:rPr>
            </w:pPr>
            <w:r w:rsidRPr="00BC39EF">
              <w:rPr>
                <w:b/>
              </w:rPr>
              <w:t>Provide a concluding statement or section that follows from and supports the information or explanation presented (e.g., articulating implications or the significance of the topic).</w:t>
            </w:r>
          </w:p>
        </w:tc>
      </w:tr>
      <w:tr w:rsidR="00BC39EF" w:rsidRPr="00401E53" w14:paraId="40AABBC3" w14:textId="77777777" w:rsidTr="00E23F20">
        <w:tc>
          <w:tcPr>
            <w:tcW w:w="1592" w:type="dxa"/>
            <w:shd w:val="clear" w:color="auto" w:fill="auto"/>
          </w:tcPr>
          <w:p w14:paraId="7846A84D" w14:textId="77777777" w:rsidR="00BC39EF" w:rsidRPr="00F31624" w:rsidRDefault="00A2634F" w:rsidP="00BC39EF">
            <w:pPr>
              <w:pStyle w:val="TableHeaders"/>
              <w:rPr>
                <w:color w:val="auto"/>
                <w:lang w:val="en-US" w:eastAsia="en-US"/>
              </w:rPr>
            </w:pPr>
            <w:r>
              <w:rPr>
                <w:color w:val="auto"/>
                <w:lang w:val="en-US" w:eastAsia="en-US"/>
              </w:rPr>
              <w:t xml:space="preserve">W.11-12.3.a, </w:t>
            </w:r>
            <w:r w:rsidR="00BC39EF" w:rsidRPr="00F31624">
              <w:rPr>
                <w:color w:val="auto"/>
                <w:lang w:val="en-US" w:eastAsia="en-US"/>
              </w:rPr>
              <w:t>b</w:t>
            </w:r>
          </w:p>
        </w:tc>
        <w:tc>
          <w:tcPr>
            <w:tcW w:w="7878" w:type="dxa"/>
            <w:shd w:val="clear" w:color="auto" w:fill="auto"/>
          </w:tcPr>
          <w:p w14:paraId="49B381B1" w14:textId="77777777" w:rsidR="00BC39EF" w:rsidRPr="00BC39EF" w:rsidRDefault="00BC39EF" w:rsidP="00BC39EF">
            <w:pPr>
              <w:pStyle w:val="TableHeaders"/>
              <w:rPr>
                <w:color w:val="auto"/>
                <w:lang w:val="en-US" w:eastAsia="en-US"/>
              </w:rPr>
            </w:pPr>
            <w:r w:rsidRPr="00BC39EF">
              <w:rPr>
                <w:color w:val="auto"/>
                <w:lang w:val="en-US" w:eastAsia="en-US"/>
              </w:rPr>
              <w:t>Write narratives to develop real or imagined experiences or events using effective technique, well-chosen details, and well-structured event sequences.</w:t>
            </w:r>
          </w:p>
          <w:p w14:paraId="0683368D" w14:textId="77777777" w:rsidR="00BC39EF" w:rsidRPr="00A2634F" w:rsidRDefault="00BC39EF" w:rsidP="00A2634F">
            <w:pPr>
              <w:pStyle w:val="SubStandard"/>
              <w:numPr>
                <w:ilvl w:val="0"/>
                <w:numId w:val="31"/>
              </w:numPr>
              <w:rPr>
                <w:b/>
              </w:rPr>
            </w:pPr>
            <w:r w:rsidRPr="00A2634F">
              <w:rPr>
                <w:b/>
              </w:rPr>
              <w:lastRenderedPageBreak/>
              <w:t>Engage and orient the reader by setting out a problem, situation, or observation and its significance, establishing one or multiple point(s) of view, and introducing a narrator and/or characters; create a smooth progression of experiences or events.</w:t>
            </w:r>
          </w:p>
          <w:p w14:paraId="72D06B21" w14:textId="77777777" w:rsidR="00BC39EF" w:rsidRPr="00A2634F" w:rsidRDefault="00BC39EF" w:rsidP="00A2634F">
            <w:pPr>
              <w:pStyle w:val="SubStandard"/>
              <w:rPr>
                <w:b/>
              </w:rPr>
            </w:pPr>
            <w:r w:rsidRPr="00A2634F">
              <w:rPr>
                <w:b/>
              </w:rPr>
              <w:t>Use narrative techniques, such as dialogue, pacing, description, reflection, and multiple plot lines, to develop experiences, events, and/or characters.</w:t>
            </w:r>
          </w:p>
        </w:tc>
      </w:tr>
      <w:tr w:rsidR="00BC39EF" w:rsidRPr="00401E53" w14:paraId="03596976" w14:textId="77777777" w:rsidTr="00E23F20">
        <w:tc>
          <w:tcPr>
            <w:tcW w:w="1592" w:type="dxa"/>
            <w:shd w:val="clear" w:color="auto" w:fill="auto"/>
          </w:tcPr>
          <w:p w14:paraId="70F1FB88" w14:textId="77777777" w:rsidR="00BC39EF" w:rsidRPr="00F31624" w:rsidRDefault="00BC39EF" w:rsidP="00BC39EF">
            <w:pPr>
              <w:pStyle w:val="TableHeaders"/>
              <w:rPr>
                <w:color w:val="auto"/>
                <w:lang w:val="en-US" w:eastAsia="en-US"/>
              </w:rPr>
            </w:pPr>
            <w:r w:rsidRPr="00F31624">
              <w:rPr>
                <w:color w:val="auto"/>
                <w:lang w:val="en-US" w:eastAsia="en-US"/>
              </w:rPr>
              <w:lastRenderedPageBreak/>
              <w:t>W.11-12.4</w:t>
            </w:r>
          </w:p>
        </w:tc>
        <w:tc>
          <w:tcPr>
            <w:tcW w:w="7878" w:type="dxa"/>
          </w:tcPr>
          <w:p w14:paraId="0E4B8C7E" w14:textId="77777777" w:rsidR="00BC39EF" w:rsidRPr="00BC39EF" w:rsidRDefault="00BC39EF" w:rsidP="00BC39EF">
            <w:pPr>
              <w:pStyle w:val="TableText"/>
              <w:rPr>
                <w:b/>
              </w:rPr>
            </w:pPr>
            <w:r w:rsidRPr="00BC39EF">
              <w:rPr>
                <w:b/>
              </w:rPr>
              <w:t>Produce clear and coherent writing in which the development, organization, and style are appropriate to task, purpose, and audience.</w:t>
            </w:r>
          </w:p>
        </w:tc>
      </w:tr>
      <w:tr w:rsidR="00BC39EF" w:rsidRPr="00401E53" w14:paraId="4825DCC3" w14:textId="77777777" w:rsidTr="00E23F20">
        <w:tc>
          <w:tcPr>
            <w:tcW w:w="1592" w:type="dxa"/>
            <w:shd w:val="clear" w:color="auto" w:fill="auto"/>
          </w:tcPr>
          <w:p w14:paraId="182F8360" w14:textId="77777777" w:rsidR="00BC39EF" w:rsidRPr="00F31624" w:rsidRDefault="00BC39EF" w:rsidP="00BC39EF">
            <w:pPr>
              <w:pStyle w:val="TableHeaders"/>
              <w:rPr>
                <w:color w:val="auto"/>
                <w:lang w:val="en-US" w:eastAsia="en-US"/>
              </w:rPr>
            </w:pPr>
            <w:r w:rsidRPr="00F31624">
              <w:rPr>
                <w:color w:val="auto"/>
                <w:lang w:val="en-US" w:eastAsia="en-US"/>
              </w:rPr>
              <w:t>W.11-12.5</w:t>
            </w:r>
          </w:p>
        </w:tc>
        <w:tc>
          <w:tcPr>
            <w:tcW w:w="7878" w:type="dxa"/>
          </w:tcPr>
          <w:p w14:paraId="71CFB37E" w14:textId="77777777" w:rsidR="00BC39EF" w:rsidRPr="00BC39EF" w:rsidRDefault="00BC39EF" w:rsidP="00BC39EF">
            <w:pPr>
              <w:pStyle w:val="TableText"/>
              <w:rPr>
                <w:b/>
              </w:rPr>
            </w:pPr>
            <w:r w:rsidRPr="00BC39EF">
              <w:rPr>
                <w:b/>
              </w:rPr>
              <w:t xml:space="preserve">Develop and strengthen writing as needed by planning, revising, editing, rewriting, or trying a new approach, focusing on addressing what is most significant for a specific purpose and audience. </w:t>
            </w:r>
          </w:p>
        </w:tc>
      </w:tr>
      <w:tr w:rsidR="00BC39EF" w:rsidRPr="00401E53" w14:paraId="01650796" w14:textId="77777777" w:rsidTr="00E23F20">
        <w:tc>
          <w:tcPr>
            <w:tcW w:w="1592" w:type="dxa"/>
            <w:shd w:val="clear" w:color="auto" w:fill="auto"/>
          </w:tcPr>
          <w:p w14:paraId="6F930592" w14:textId="77777777" w:rsidR="00BC39EF" w:rsidRPr="00BC39EF" w:rsidRDefault="00BC39EF" w:rsidP="00BC39EF">
            <w:pPr>
              <w:pStyle w:val="TableHeaders"/>
              <w:rPr>
                <w:b w:val="0"/>
                <w:color w:val="auto"/>
                <w:lang w:val="en-US" w:eastAsia="en-US"/>
              </w:rPr>
            </w:pPr>
            <w:r w:rsidRPr="00BC39EF">
              <w:rPr>
                <w:b w:val="0"/>
                <w:color w:val="auto"/>
                <w:lang w:val="en-US" w:eastAsia="en-US"/>
              </w:rPr>
              <w:t>W.11-12.6</w:t>
            </w:r>
          </w:p>
        </w:tc>
        <w:tc>
          <w:tcPr>
            <w:tcW w:w="7878" w:type="dxa"/>
          </w:tcPr>
          <w:p w14:paraId="76499EFB" w14:textId="77777777" w:rsidR="00BC39EF" w:rsidRPr="00BC39EF" w:rsidRDefault="00BC39EF" w:rsidP="00BC39EF">
            <w:pPr>
              <w:pStyle w:val="TableText"/>
            </w:pPr>
            <w:r w:rsidRPr="00BC39EF">
              <w:t>Use technology, including the Internet, to produce, publish, and update individual or shared writing products in response to ongoing feedback, including new arguments or information.</w:t>
            </w:r>
          </w:p>
        </w:tc>
      </w:tr>
      <w:tr w:rsidR="00BC39EF" w:rsidRPr="00401E53" w14:paraId="463D9089" w14:textId="77777777" w:rsidTr="00E23F20">
        <w:tc>
          <w:tcPr>
            <w:tcW w:w="1592" w:type="dxa"/>
            <w:shd w:val="clear" w:color="auto" w:fill="auto"/>
          </w:tcPr>
          <w:p w14:paraId="1BE0B779" w14:textId="77777777" w:rsidR="00BC39EF" w:rsidRPr="00F31624" w:rsidRDefault="00BC39EF" w:rsidP="00BC39EF">
            <w:pPr>
              <w:pStyle w:val="TableHeaders"/>
              <w:rPr>
                <w:b w:val="0"/>
                <w:color w:val="auto"/>
                <w:lang w:val="en-US" w:eastAsia="en-US"/>
              </w:rPr>
            </w:pPr>
            <w:r w:rsidRPr="00F31624">
              <w:rPr>
                <w:b w:val="0"/>
                <w:color w:val="auto"/>
                <w:lang w:val="en-US" w:eastAsia="en-US"/>
              </w:rPr>
              <w:t>W.11-12.9.a</w:t>
            </w:r>
          </w:p>
        </w:tc>
        <w:tc>
          <w:tcPr>
            <w:tcW w:w="7878" w:type="dxa"/>
            <w:shd w:val="clear" w:color="auto" w:fill="auto"/>
          </w:tcPr>
          <w:p w14:paraId="16EB565B" w14:textId="77777777" w:rsidR="00BC39EF" w:rsidRPr="00BC39EF" w:rsidRDefault="00BC39EF" w:rsidP="00BC39EF">
            <w:pPr>
              <w:spacing w:before="40" w:after="40"/>
            </w:pPr>
            <w:r w:rsidRPr="00BC39EF">
              <w:t>Draw evidence from literary or informational texts to support analysis, reflection, and research.</w:t>
            </w:r>
          </w:p>
          <w:p w14:paraId="5D5CA548" w14:textId="77777777" w:rsidR="00BC39EF" w:rsidRPr="00895EAD" w:rsidRDefault="00BC39EF" w:rsidP="00A2634F">
            <w:pPr>
              <w:pStyle w:val="SubStandard"/>
              <w:numPr>
                <w:ilvl w:val="0"/>
                <w:numId w:val="32"/>
              </w:numPr>
            </w:pPr>
            <w:r w:rsidRPr="00BC39EF">
              <w:t xml:space="preserve">Apply </w:t>
            </w:r>
            <w:r w:rsidRPr="00A2634F">
              <w:rPr>
                <w:i/>
              </w:rPr>
              <w:t>grades 11–12 Reading standards</w:t>
            </w:r>
            <w:r w:rsidRPr="00BC39EF">
              <w:t xml:space="preserve"> to literature (e.g., “Demonstrate knowledge of eighteenth-, nineteenth- and early-twentieth-century foundational works of American literature, including how two or more texts from the same period treat similar themes or topics”).</w:t>
            </w:r>
          </w:p>
        </w:tc>
      </w:tr>
      <w:tr w:rsidR="00BC39EF" w:rsidRPr="00401E53" w14:paraId="7710BFA8" w14:textId="77777777" w:rsidTr="00E23F20">
        <w:tc>
          <w:tcPr>
            <w:tcW w:w="9470" w:type="dxa"/>
            <w:gridSpan w:val="2"/>
            <w:shd w:val="clear" w:color="auto" w:fill="5F497A"/>
          </w:tcPr>
          <w:p w14:paraId="42DEC3F7" w14:textId="77777777" w:rsidR="00BC39EF" w:rsidRPr="00714725" w:rsidRDefault="00BC39EF" w:rsidP="00BC39EF">
            <w:pPr>
              <w:pStyle w:val="TableHeaders"/>
              <w:rPr>
                <w:lang w:val="en-US" w:eastAsia="en-US"/>
              </w:rPr>
            </w:pPr>
            <w:r w:rsidRPr="00714725">
              <w:rPr>
                <w:lang w:val="en-US" w:eastAsia="en-US"/>
              </w:rPr>
              <w:t>CCS Standards: Speaking &amp; Listening</w:t>
            </w:r>
          </w:p>
        </w:tc>
      </w:tr>
      <w:tr w:rsidR="00BC39EF" w:rsidRPr="005E59CC" w14:paraId="18D2E3E3" w14:textId="77777777" w:rsidTr="00E23F20">
        <w:tc>
          <w:tcPr>
            <w:tcW w:w="1592" w:type="dxa"/>
          </w:tcPr>
          <w:p w14:paraId="58958392" w14:textId="77777777" w:rsidR="00BC39EF" w:rsidRPr="00664154" w:rsidRDefault="008E6CD8" w:rsidP="00BC39EF">
            <w:pPr>
              <w:pStyle w:val="TableText"/>
            </w:pPr>
            <w:r>
              <w:rPr>
                <w:b/>
              </w:rPr>
              <w:t>SL.11-12.1.a, c</w:t>
            </w:r>
            <w:r w:rsidR="00664154">
              <w:rPr>
                <w:b/>
              </w:rPr>
              <w:t xml:space="preserve">, </w:t>
            </w:r>
            <w:r w:rsidR="00664154">
              <w:t>d</w:t>
            </w:r>
          </w:p>
        </w:tc>
        <w:tc>
          <w:tcPr>
            <w:tcW w:w="7878" w:type="dxa"/>
          </w:tcPr>
          <w:p w14:paraId="7AE55579" w14:textId="77777777" w:rsidR="00BC39EF" w:rsidRPr="00BC39EF" w:rsidRDefault="00BC39EF" w:rsidP="00BC39EF">
            <w:pPr>
              <w:pStyle w:val="TableText"/>
              <w:rPr>
                <w:b/>
                <w:lang w:eastAsia="ja-JP"/>
              </w:rPr>
            </w:pPr>
            <w:r w:rsidRPr="00BC39EF">
              <w:rPr>
                <w:b/>
                <w:lang w:eastAsia="ja-JP"/>
              </w:rPr>
              <w:t xml:space="preserve">Initiate and participate effectively in a range of collaborative discussions (one-on- one, in groups, and teacher-led) with diverse partners on </w:t>
            </w:r>
            <w:r w:rsidRPr="00A2634F">
              <w:rPr>
                <w:b/>
                <w:i/>
                <w:lang w:eastAsia="ja-JP"/>
              </w:rPr>
              <w:t>grades 11–12 topics, texts, and issues</w:t>
            </w:r>
            <w:r w:rsidRPr="00BC39EF">
              <w:rPr>
                <w:b/>
                <w:lang w:eastAsia="ja-JP"/>
              </w:rPr>
              <w:t>, building on others’ ideas and expressing their own clearly and persuasively.</w:t>
            </w:r>
          </w:p>
          <w:p w14:paraId="4B0CF034" w14:textId="77777777" w:rsidR="00BC39EF" w:rsidRPr="00664154" w:rsidRDefault="00BC39EF" w:rsidP="00664154">
            <w:pPr>
              <w:pStyle w:val="SubStandard"/>
              <w:numPr>
                <w:ilvl w:val="0"/>
                <w:numId w:val="33"/>
              </w:numPr>
              <w:rPr>
                <w:b/>
                <w:lang w:eastAsia="ja-JP"/>
              </w:rPr>
            </w:pPr>
            <w:r w:rsidRPr="00664154">
              <w:rPr>
                <w:b/>
                <w:lang w:eastAsia="ja-JP"/>
              </w:rPr>
              <w:t>Come to discussions prepared, having read and researched material under study; explicitly draw on that preparation by referring to evidence from texts and other research on the topic or issue to stimulate a thoughtful, well-reasoned exchange of ideas.</w:t>
            </w:r>
          </w:p>
          <w:p w14:paraId="4A67CE6F" w14:textId="77777777" w:rsidR="00BC39EF" w:rsidRPr="00664154" w:rsidRDefault="00BC39EF" w:rsidP="00664154">
            <w:pPr>
              <w:pStyle w:val="SubStandard"/>
              <w:numPr>
                <w:ilvl w:val="0"/>
                <w:numId w:val="35"/>
              </w:numPr>
              <w:rPr>
                <w:b/>
                <w:lang w:eastAsia="ja-JP"/>
              </w:rPr>
            </w:pPr>
            <w:r w:rsidRPr="00664154">
              <w:rPr>
                <w:b/>
                <w:lang w:eastAsia="ja-JP"/>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B676679" w14:textId="77777777" w:rsidR="00664154" w:rsidRPr="00664154" w:rsidDel="001047F1" w:rsidRDefault="00664154" w:rsidP="00664154">
            <w:pPr>
              <w:pStyle w:val="SubStandard"/>
              <w:rPr>
                <w:lang w:eastAsia="ja-JP"/>
              </w:rPr>
            </w:pPr>
            <w:r w:rsidRPr="00664154">
              <w:t xml:space="preserve">Respond thoughtfully to diverse perspectives; synthesize comments, claims, and evidence made on all sides of an issue; resolve contradictions when possible; and </w:t>
            </w:r>
            <w:r w:rsidRPr="00664154">
              <w:lastRenderedPageBreak/>
              <w:t>determine what additional information or research is required to deepen the investigation or complete the task</w:t>
            </w:r>
            <w:r>
              <w:t>.</w:t>
            </w:r>
            <w:r w:rsidRPr="00664154">
              <w:rPr>
                <w:lang w:eastAsia="ja-JP"/>
              </w:rPr>
              <w:t xml:space="preserve"> </w:t>
            </w:r>
          </w:p>
        </w:tc>
      </w:tr>
      <w:tr w:rsidR="00BC39EF" w:rsidRPr="007A12D1" w14:paraId="75C98D5E" w14:textId="77777777" w:rsidTr="00E23F20">
        <w:tc>
          <w:tcPr>
            <w:tcW w:w="9470" w:type="dxa"/>
            <w:gridSpan w:val="2"/>
            <w:shd w:val="clear" w:color="auto" w:fill="5F497A"/>
          </w:tcPr>
          <w:p w14:paraId="6D7D2A38" w14:textId="77777777" w:rsidR="00BC39EF" w:rsidRPr="00714725" w:rsidRDefault="00BC39EF" w:rsidP="00BC39EF">
            <w:pPr>
              <w:pStyle w:val="TableHeaders"/>
              <w:rPr>
                <w:lang w:val="en-US" w:eastAsia="en-US"/>
              </w:rPr>
            </w:pPr>
            <w:r w:rsidRPr="00714725">
              <w:rPr>
                <w:lang w:val="en-US" w:eastAsia="en-US"/>
              </w:rPr>
              <w:lastRenderedPageBreak/>
              <w:t>CCS Standards: Language</w:t>
            </w:r>
          </w:p>
        </w:tc>
      </w:tr>
      <w:tr w:rsidR="00BC39EF" w:rsidRPr="00677A89" w14:paraId="1CBEE1F8" w14:textId="77777777" w:rsidTr="00E23F20">
        <w:trPr>
          <w:trHeight w:val="403"/>
        </w:trPr>
        <w:tc>
          <w:tcPr>
            <w:tcW w:w="1592" w:type="dxa"/>
            <w:tcMar>
              <w:top w:w="100" w:type="dxa"/>
              <w:left w:w="108" w:type="dxa"/>
              <w:bottom w:w="100" w:type="dxa"/>
              <w:right w:w="108" w:type="dxa"/>
            </w:tcMar>
          </w:tcPr>
          <w:p w14:paraId="5041460F" w14:textId="77777777" w:rsidR="00BC39EF" w:rsidRPr="00057DE6" w:rsidRDefault="00BC39EF" w:rsidP="00BC39EF">
            <w:pPr>
              <w:pStyle w:val="TableText"/>
              <w:rPr>
                <w:b/>
                <w:spacing w:val="-4"/>
              </w:rPr>
            </w:pPr>
            <w:r w:rsidRPr="00057DE6">
              <w:rPr>
                <w:b/>
                <w:spacing w:val="-4"/>
              </w:rPr>
              <w:t>L.11-12.1</w:t>
            </w:r>
          </w:p>
        </w:tc>
        <w:tc>
          <w:tcPr>
            <w:tcW w:w="7878" w:type="dxa"/>
          </w:tcPr>
          <w:p w14:paraId="7329917A" w14:textId="77777777" w:rsidR="00BC39EF" w:rsidRPr="00057DE6" w:rsidRDefault="00BC39EF" w:rsidP="00BC39EF">
            <w:pPr>
              <w:pStyle w:val="TableText"/>
              <w:rPr>
                <w:b/>
              </w:rPr>
            </w:pPr>
            <w:r w:rsidRPr="00057DE6">
              <w:rPr>
                <w:b/>
              </w:rPr>
              <w:t>Demonstrate command of the conventions of standard English grammar and usage when writing or speaking.</w:t>
            </w:r>
          </w:p>
        </w:tc>
      </w:tr>
      <w:tr w:rsidR="00BC39EF" w:rsidRPr="00677A89" w14:paraId="3AE9C614" w14:textId="77777777" w:rsidTr="00E23F20">
        <w:tc>
          <w:tcPr>
            <w:tcW w:w="1592" w:type="dxa"/>
            <w:tcMar>
              <w:top w:w="100" w:type="dxa"/>
              <w:left w:w="108" w:type="dxa"/>
              <w:bottom w:w="100" w:type="dxa"/>
              <w:right w:w="108" w:type="dxa"/>
            </w:tcMar>
          </w:tcPr>
          <w:p w14:paraId="61EFA941" w14:textId="77777777" w:rsidR="00BC39EF" w:rsidRPr="00057DE6" w:rsidRDefault="00BC39EF" w:rsidP="00BC39EF">
            <w:pPr>
              <w:pStyle w:val="TableText"/>
              <w:rPr>
                <w:b/>
                <w:spacing w:val="-4"/>
              </w:rPr>
            </w:pPr>
            <w:r w:rsidRPr="00057DE6">
              <w:rPr>
                <w:b/>
                <w:spacing w:val="-4"/>
              </w:rPr>
              <w:t>L.11-12.2</w:t>
            </w:r>
          </w:p>
        </w:tc>
        <w:tc>
          <w:tcPr>
            <w:tcW w:w="7878" w:type="dxa"/>
          </w:tcPr>
          <w:p w14:paraId="423D0B5D" w14:textId="77777777" w:rsidR="00BC39EF" w:rsidRPr="00057DE6" w:rsidRDefault="00BC39EF" w:rsidP="00BC39EF">
            <w:pPr>
              <w:pStyle w:val="TableText"/>
              <w:rPr>
                <w:b/>
              </w:rPr>
            </w:pPr>
            <w:r w:rsidRPr="00057DE6">
              <w:rPr>
                <w:b/>
              </w:rPr>
              <w:t>Demonstrate command of the conventions of standard English capitalization, punctuation, and spelling when writing.</w:t>
            </w:r>
          </w:p>
        </w:tc>
      </w:tr>
      <w:tr w:rsidR="00BC39EF" w:rsidRPr="00677A89" w14:paraId="4B8CDEC7" w14:textId="77777777" w:rsidTr="00E23F20">
        <w:tc>
          <w:tcPr>
            <w:tcW w:w="1592" w:type="dxa"/>
            <w:tcMar>
              <w:top w:w="100" w:type="dxa"/>
              <w:left w:w="108" w:type="dxa"/>
              <w:bottom w:w="100" w:type="dxa"/>
              <w:right w:w="108" w:type="dxa"/>
            </w:tcMar>
          </w:tcPr>
          <w:p w14:paraId="3560B832" w14:textId="77777777" w:rsidR="00BC39EF" w:rsidRPr="007A12D1" w:rsidRDefault="00BC39EF" w:rsidP="00BC39EF">
            <w:pPr>
              <w:pStyle w:val="TableText"/>
              <w:rPr>
                <w:spacing w:val="-4"/>
              </w:rPr>
            </w:pPr>
            <w:r>
              <w:rPr>
                <w:spacing w:val="-4"/>
              </w:rPr>
              <w:t>L.11-12.4.a</w:t>
            </w:r>
          </w:p>
        </w:tc>
        <w:tc>
          <w:tcPr>
            <w:tcW w:w="7878" w:type="dxa"/>
          </w:tcPr>
          <w:p w14:paraId="5A872237" w14:textId="77777777" w:rsidR="00BC39EF" w:rsidRDefault="00BC39EF" w:rsidP="00BC39EF">
            <w:pPr>
              <w:pStyle w:val="TableText"/>
            </w:pPr>
            <w:r>
              <w:t xml:space="preserve">Determine or clarify the meaning of unknown and multiple-meaning words and phrases based on </w:t>
            </w:r>
            <w:r w:rsidRPr="00664154">
              <w:rPr>
                <w:i/>
              </w:rPr>
              <w:t>grades 11–12 reading and content</w:t>
            </w:r>
            <w:r>
              <w:t>, choosing flexibly from a range of strategies.</w:t>
            </w:r>
          </w:p>
          <w:p w14:paraId="0D387FD6" w14:textId="77777777" w:rsidR="00BC39EF" w:rsidRPr="006D3F09" w:rsidRDefault="00BC39EF" w:rsidP="00664154">
            <w:pPr>
              <w:pStyle w:val="SubStandard"/>
              <w:numPr>
                <w:ilvl w:val="0"/>
                <w:numId w:val="38"/>
              </w:numPr>
            </w:pPr>
            <w:r>
              <w:t>Use context (e.g., the overall meaning of a sentence, paragraph, or text; a word’s</w:t>
            </w:r>
            <w:r w:rsidR="00664154">
              <w:t xml:space="preserve"> </w:t>
            </w:r>
            <w:r>
              <w:t>position or function in a sentence) as a clue to the meaning of a word or phrase.</w:t>
            </w:r>
          </w:p>
        </w:tc>
      </w:tr>
      <w:tr w:rsidR="00BC39EF" w:rsidRPr="00677A89" w14:paraId="4BF20B38" w14:textId="77777777" w:rsidTr="00E23F20">
        <w:tc>
          <w:tcPr>
            <w:tcW w:w="1592" w:type="dxa"/>
            <w:tcMar>
              <w:top w:w="100" w:type="dxa"/>
              <w:left w:w="108" w:type="dxa"/>
              <w:bottom w:w="100" w:type="dxa"/>
              <w:right w:w="108" w:type="dxa"/>
            </w:tcMar>
          </w:tcPr>
          <w:p w14:paraId="764B4E4F" w14:textId="77777777" w:rsidR="00BC39EF" w:rsidRDefault="00BC39EF" w:rsidP="00BC39EF">
            <w:pPr>
              <w:pStyle w:val="TableText"/>
              <w:rPr>
                <w:spacing w:val="-4"/>
              </w:rPr>
            </w:pPr>
            <w:r>
              <w:rPr>
                <w:spacing w:val="-4"/>
              </w:rPr>
              <w:t>L.11-12.5</w:t>
            </w:r>
          </w:p>
        </w:tc>
        <w:tc>
          <w:tcPr>
            <w:tcW w:w="7878" w:type="dxa"/>
          </w:tcPr>
          <w:p w14:paraId="42081A9F" w14:textId="77777777" w:rsidR="00BC39EF" w:rsidRPr="006D3F09" w:rsidRDefault="00BC39EF" w:rsidP="00BC39EF">
            <w:pPr>
              <w:pStyle w:val="TableText"/>
            </w:pPr>
            <w:r w:rsidRPr="00BC39EF">
              <w:t>Demonstrate understanding of figurative language, word relationships, and nuances in word meanings.</w:t>
            </w:r>
          </w:p>
        </w:tc>
      </w:tr>
    </w:tbl>
    <w:p w14:paraId="1FA54BCC" w14:textId="77777777"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14:paraId="23598C88" w14:textId="77777777" w:rsidR="00CC183D" w:rsidRDefault="00CC183D" w:rsidP="00E23F20">
      <w:pPr>
        <w:pStyle w:val="Heading1"/>
        <w:spacing w:before="360"/>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14:paraId="31123D0F" w14:textId="77777777" w:rsidTr="00C46F19">
        <w:tc>
          <w:tcPr>
            <w:tcW w:w="9477" w:type="dxa"/>
            <w:gridSpan w:val="2"/>
            <w:shd w:val="clear" w:color="auto" w:fill="5F497A"/>
          </w:tcPr>
          <w:p w14:paraId="3D70F275" w14:textId="77777777" w:rsidR="00CC183D" w:rsidRPr="00714725" w:rsidRDefault="00CC183D" w:rsidP="00CC183D">
            <w:pPr>
              <w:pStyle w:val="TableHeaders"/>
              <w:rPr>
                <w:lang w:val="en-US" w:eastAsia="en-US"/>
              </w:rPr>
            </w:pPr>
            <w:r w:rsidRPr="00714725">
              <w:rPr>
                <w:lang w:val="en-US" w:eastAsia="en-US"/>
              </w:rPr>
              <w:t>Ongoing Assessment</w:t>
            </w:r>
          </w:p>
        </w:tc>
      </w:tr>
      <w:tr w:rsidR="00CC183D" w:rsidRPr="00677A89" w14:paraId="02E58FF5" w14:textId="77777777" w:rsidTr="00C46F19">
        <w:tc>
          <w:tcPr>
            <w:tcW w:w="1630" w:type="dxa"/>
          </w:tcPr>
          <w:p w14:paraId="23BD3806" w14:textId="77777777" w:rsidR="00CC183D" w:rsidRPr="00677A89" w:rsidRDefault="00CC183D" w:rsidP="007A12D1">
            <w:pPr>
              <w:pStyle w:val="TableText"/>
            </w:pPr>
            <w:r w:rsidRPr="00677A89">
              <w:t>Standards Assessed</w:t>
            </w:r>
          </w:p>
        </w:tc>
        <w:tc>
          <w:tcPr>
            <w:tcW w:w="7847" w:type="dxa"/>
          </w:tcPr>
          <w:p w14:paraId="2D1B1446" w14:textId="77777777" w:rsidR="00CC183D" w:rsidRPr="00F31624" w:rsidRDefault="00F31624" w:rsidP="007A12D1">
            <w:pPr>
              <w:pStyle w:val="TableText"/>
            </w:pPr>
            <w:r>
              <w:t>RL.</w:t>
            </w:r>
            <w:r w:rsidR="00230DAF">
              <w:t>11-12.2, RL.11-12.3,</w:t>
            </w:r>
            <w:r>
              <w:t xml:space="preserve"> RL.11-12.5,</w:t>
            </w:r>
            <w:r w:rsidR="00230DAF">
              <w:t xml:space="preserve"> RL.11-12.6</w:t>
            </w:r>
            <w:r>
              <w:t>, W.1</w:t>
            </w:r>
            <w:r w:rsidR="00230DAF">
              <w:t>1-12.4, W.11-12.5, SL.11-12.1.a, c</w:t>
            </w:r>
          </w:p>
        </w:tc>
      </w:tr>
      <w:tr w:rsidR="00CC183D" w:rsidRPr="00677A89" w14:paraId="09D2F456" w14:textId="77777777" w:rsidTr="00C46F19">
        <w:tc>
          <w:tcPr>
            <w:tcW w:w="1630" w:type="dxa"/>
          </w:tcPr>
          <w:p w14:paraId="3BD06B44" w14:textId="77777777" w:rsidR="00CC183D" w:rsidRPr="00677A89" w:rsidRDefault="00CC183D" w:rsidP="007A12D1">
            <w:pPr>
              <w:pStyle w:val="TableText"/>
            </w:pPr>
            <w:r w:rsidRPr="00677A89">
              <w:t>Description of Assessment</w:t>
            </w:r>
          </w:p>
        </w:tc>
        <w:tc>
          <w:tcPr>
            <w:tcW w:w="7847" w:type="dxa"/>
          </w:tcPr>
          <w:p w14:paraId="45AFF190" w14:textId="734F9460" w:rsidR="00CC183D" w:rsidRPr="00677A89" w:rsidRDefault="00752C25" w:rsidP="00E23F20">
            <w:pPr>
              <w:pStyle w:val="TableText"/>
            </w:pPr>
            <w:r>
              <w:t>Assessments for reading lessons vary</w:t>
            </w:r>
            <w:r w:rsidRPr="00F31624">
              <w:t xml:space="preserve"> </w:t>
            </w:r>
            <w:r w:rsidR="00F31624" w:rsidRPr="00F31624">
              <w:t xml:space="preserve">but may include </w:t>
            </w:r>
            <w:r w:rsidR="00230DAF">
              <w:t>informal</w:t>
            </w:r>
            <w:r w:rsidR="00F31624" w:rsidRPr="00F31624">
              <w:t xml:space="preserve"> written responses</w:t>
            </w:r>
            <w:r w:rsidR="00F31624">
              <w:t xml:space="preserve"> or evidence-based discussions</w:t>
            </w:r>
            <w:r w:rsidR="00230DAF">
              <w:t xml:space="preserve"> in response to text-</w:t>
            </w:r>
            <w:r w:rsidR="00E23F20">
              <w:t>based</w:t>
            </w:r>
            <w:r w:rsidR="00F31624" w:rsidRPr="00F31624">
              <w:t xml:space="preserve"> questions</w:t>
            </w:r>
            <w:r w:rsidR="00230DAF">
              <w:t xml:space="preserve"> and prompt</w:t>
            </w:r>
            <w:r w:rsidR="00577F11">
              <w:t>s</w:t>
            </w:r>
            <w:r w:rsidR="00F31624" w:rsidRPr="00F31624">
              <w:t xml:space="preserve">. </w:t>
            </w:r>
            <w:r w:rsidR="00230DAF">
              <w:t>Additional</w:t>
            </w:r>
            <w:r w:rsidR="00855660">
              <w:t>ly,</w:t>
            </w:r>
            <w:r w:rsidR="00A7637C">
              <w:t xml:space="preserve"> </w:t>
            </w:r>
            <w:r>
              <w:t xml:space="preserve">students plan, draft, and peer review responses to </w:t>
            </w:r>
            <w:r w:rsidR="005E7135">
              <w:t xml:space="preserve">text-based </w:t>
            </w:r>
            <w:r w:rsidR="00A7637C">
              <w:t>narrative writing prompts</w:t>
            </w:r>
            <w:r w:rsidR="00F31624">
              <w:t>.</w:t>
            </w:r>
          </w:p>
        </w:tc>
      </w:tr>
    </w:tbl>
    <w:p w14:paraId="7CF4449B" w14:textId="77777777" w:rsidR="00CC183D" w:rsidRDefault="00CC183D" w:rsidP="00E23F20">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F31624" w:rsidRPr="00F31624" w14:paraId="04871910" w14:textId="77777777" w:rsidTr="001943B7">
        <w:tc>
          <w:tcPr>
            <w:tcW w:w="9460" w:type="dxa"/>
            <w:gridSpan w:val="2"/>
            <w:shd w:val="clear" w:color="auto" w:fill="5F497A"/>
          </w:tcPr>
          <w:p w14:paraId="41F8E572" w14:textId="77777777" w:rsidR="00F31624" w:rsidRPr="00F31624" w:rsidRDefault="00F31624" w:rsidP="00F31624">
            <w:pPr>
              <w:spacing w:before="40" w:after="40" w:line="240" w:lineRule="auto"/>
              <w:rPr>
                <w:b/>
                <w:color w:val="FFFFFF"/>
              </w:rPr>
            </w:pPr>
            <w:r>
              <w:rPr>
                <w:b/>
                <w:color w:val="FFFFFF"/>
              </w:rPr>
              <w:t>Mid</w:t>
            </w:r>
            <w:r w:rsidRPr="00F31624">
              <w:rPr>
                <w:b/>
                <w:color w:val="FFFFFF"/>
              </w:rPr>
              <w:t>-Unit Assessment</w:t>
            </w:r>
          </w:p>
        </w:tc>
      </w:tr>
      <w:tr w:rsidR="00F31624" w:rsidRPr="00F31624" w14:paraId="62F89167" w14:textId="77777777" w:rsidTr="001943B7">
        <w:tc>
          <w:tcPr>
            <w:tcW w:w="1710" w:type="dxa"/>
          </w:tcPr>
          <w:p w14:paraId="4DD93BB3" w14:textId="77777777" w:rsidR="00F31624" w:rsidRPr="00F31624" w:rsidRDefault="00F31624" w:rsidP="00F31624">
            <w:pPr>
              <w:spacing w:before="40" w:after="40"/>
            </w:pPr>
            <w:r w:rsidRPr="00F31624">
              <w:t>Standards Assessed</w:t>
            </w:r>
          </w:p>
        </w:tc>
        <w:tc>
          <w:tcPr>
            <w:tcW w:w="7750" w:type="dxa"/>
          </w:tcPr>
          <w:p w14:paraId="21D42768" w14:textId="77777777" w:rsidR="00F31624" w:rsidRPr="00F31624" w:rsidRDefault="00440E16" w:rsidP="00F31624">
            <w:pPr>
              <w:spacing w:before="40" w:after="40"/>
            </w:pPr>
            <w:r>
              <w:t>RL.11-12.5</w:t>
            </w:r>
            <w:r w:rsidR="00F31624">
              <w:t>, W.11-12.2.a-f</w:t>
            </w:r>
          </w:p>
        </w:tc>
      </w:tr>
      <w:tr w:rsidR="00F31624" w:rsidRPr="00F31624" w14:paraId="4D36EFEA" w14:textId="77777777" w:rsidTr="00690CD0">
        <w:trPr>
          <w:trHeight w:val="440"/>
        </w:trPr>
        <w:tc>
          <w:tcPr>
            <w:tcW w:w="1710" w:type="dxa"/>
          </w:tcPr>
          <w:p w14:paraId="74EF0756" w14:textId="77777777" w:rsidR="00F31624" w:rsidRPr="00F31624" w:rsidRDefault="00F31624" w:rsidP="00F31624">
            <w:pPr>
              <w:spacing w:before="40" w:after="40"/>
            </w:pPr>
            <w:r w:rsidRPr="00F31624">
              <w:t>Description of Assessment</w:t>
            </w:r>
          </w:p>
        </w:tc>
        <w:tc>
          <w:tcPr>
            <w:tcW w:w="7750" w:type="dxa"/>
          </w:tcPr>
          <w:p w14:paraId="10F9762A" w14:textId="77777777" w:rsidR="00F31624" w:rsidRPr="00DA0EDB" w:rsidRDefault="004466BD" w:rsidP="00E23F20">
            <w:pPr>
              <w:spacing w:after="0"/>
              <w:rPr>
                <w:rFonts w:eastAsia="Times New Roman"/>
              </w:rPr>
            </w:pPr>
            <w:r>
              <w:t>Students write</w:t>
            </w:r>
            <w:r w:rsidR="00690CD0" w:rsidRPr="00DA0EDB">
              <w:t xml:space="preserve"> a multi-paragraph response to the following prompt</w:t>
            </w:r>
            <w:r w:rsidR="00BC39EF" w:rsidRPr="00DA0EDB">
              <w:t xml:space="preserve">: </w:t>
            </w:r>
            <w:r w:rsidR="00690CD0" w:rsidRPr="00DA0EDB">
              <w:rPr>
                <w:rFonts w:eastAsia="Times New Roman" w:cs="Arial"/>
                <w:color w:val="000000"/>
                <w:shd w:val="clear" w:color="auto" w:fill="FFFFFF"/>
              </w:rPr>
              <w:t>Choose a specific part of the text and analyze how it contributes to the overall meaning and structure of the text.</w:t>
            </w:r>
          </w:p>
        </w:tc>
      </w:tr>
    </w:tbl>
    <w:p w14:paraId="4F9EC8DC" w14:textId="77777777" w:rsidR="00F31624" w:rsidRDefault="00F31624"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734586A4" w14:textId="77777777" w:rsidTr="00285B7F">
        <w:tc>
          <w:tcPr>
            <w:tcW w:w="9460" w:type="dxa"/>
            <w:gridSpan w:val="2"/>
            <w:shd w:val="clear" w:color="auto" w:fill="5F497A"/>
          </w:tcPr>
          <w:p w14:paraId="3FF69F2E" w14:textId="77777777" w:rsidR="00CC183D" w:rsidRPr="00714725" w:rsidRDefault="00CC183D" w:rsidP="00CC183D">
            <w:pPr>
              <w:pStyle w:val="TableHeaders"/>
              <w:rPr>
                <w:lang w:val="en-US" w:eastAsia="en-US"/>
              </w:rPr>
            </w:pPr>
            <w:r w:rsidRPr="00714725">
              <w:rPr>
                <w:lang w:val="en-US" w:eastAsia="en-US"/>
              </w:rPr>
              <w:t>End-of-Unit Assessment</w:t>
            </w:r>
          </w:p>
        </w:tc>
      </w:tr>
      <w:tr w:rsidR="00CC183D" w:rsidRPr="00677A89" w14:paraId="2740F8E3" w14:textId="77777777" w:rsidTr="00285B7F">
        <w:tc>
          <w:tcPr>
            <w:tcW w:w="1710" w:type="dxa"/>
          </w:tcPr>
          <w:p w14:paraId="4D4B471A" w14:textId="77777777" w:rsidR="00CC183D" w:rsidRPr="00677A89" w:rsidRDefault="00CC183D" w:rsidP="007A12D1">
            <w:pPr>
              <w:pStyle w:val="TableText"/>
            </w:pPr>
            <w:r w:rsidRPr="00677A89">
              <w:t>Standards Assessed</w:t>
            </w:r>
          </w:p>
        </w:tc>
        <w:tc>
          <w:tcPr>
            <w:tcW w:w="7750" w:type="dxa"/>
          </w:tcPr>
          <w:p w14:paraId="5BF37E4B" w14:textId="1A8644C4" w:rsidR="00CC183D" w:rsidRPr="00F31624" w:rsidRDefault="00F31624" w:rsidP="002D13F1">
            <w:pPr>
              <w:pStyle w:val="TableText"/>
            </w:pPr>
            <w:r>
              <w:t>RL.11-12.6, W.11-12</w:t>
            </w:r>
            <w:r w:rsidR="00664154">
              <w:t xml:space="preserve">.3.a, </w:t>
            </w:r>
            <w:r w:rsidR="00381A66">
              <w:t>b,  SL.11-12.1.a, c</w:t>
            </w:r>
            <w:r w:rsidR="00462707">
              <w:t>, L.11-12.1</w:t>
            </w:r>
            <w:r w:rsidR="00664154">
              <w:t>, L.11-12.2</w:t>
            </w:r>
          </w:p>
        </w:tc>
      </w:tr>
      <w:tr w:rsidR="00CC183D" w:rsidRPr="00677A89" w14:paraId="1E14DC90" w14:textId="77777777" w:rsidTr="00285B7F">
        <w:trPr>
          <w:trHeight w:val="740"/>
        </w:trPr>
        <w:tc>
          <w:tcPr>
            <w:tcW w:w="1710" w:type="dxa"/>
          </w:tcPr>
          <w:p w14:paraId="0298D6B0" w14:textId="77777777" w:rsidR="00CC183D" w:rsidRPr="00677A89" w:rsidRDefault="00CC183D" w:rsidP="007A12D1">
            <w:pPr>
              <w:pStyle w:val="TableText"/>
            </w:pPr>
            <w:r w:rsidRPr="00677A89">
              <w:t>Description of Assessment</w:t>
            </w:r>
          </w:p>
        </w:tc>
        <w:tc>
          <w:tcPr>
            <w:tcW w:w="7750" w:type="dxa"/>
          </w:tcPr>
          <w:p w14:paraId="3C70D695" w14:textId="77777777" w:rsidR="00CC183D" w:rsidRPr="00F31624" w:rsidRDefault="00F31624" w:rsidP="00F31624">
            <w:pPr>
              <w:pStyle w:val="TableText"/>
            </w:pPr>
            <w:r w:rsidRPr="00F31624">
              <w:rPr>
                <w:b/>
              </w:rPr>
              <w:t>Part 1:</w:t>
            </w:r>
            <w:r>
              <w:rPr>
                <w:b/>
              </w:rPr>
              <w:t xml:space="preserve"> </w:t>
            </w:r>
            <w:r w:rsidR="005F3CF1">
              <w:t>Students engage in a formal,</w:t>
            </w:r>
            <w:r w:rsidR="00B04310">
              <w:t xml:space="preserve"> e</w:t>
            </w:r>
            <w:r w:rsidR="006F7C91">
              <w:t>vidence-</w:t>
            </w:r>
            <w:r w:rsidR="00B04310">
              <w:t>based d</w:t>
            </w:r>
            <w:r w:rsidR="00BC39EF" w:rsidRPr="00BC39EF">
              <w:t>iscussion</w:t>
            </w:r>
            <w:r w:rsidR="005F3CF1">
              <w:t xml:space="preserve"> in response to the following prompt</w:t>
            </w:r>
            <w:r w:rsidR="00BC39EF" w:rsidRPr="00BC39EF">
              <w:t>: Consider the point of view in each text. Choose evidence from both texts in which what is directly stated differs from what is really meant. Explain what is really meant by the chosen text evidence.</w:t>
            </w:r>
          </w:p>
          <w:p w14:paraId="4FE4F842" w14:textId="77777777" w:rsidR="00F31624" w:rsidRPr="007574F8" w:rsidRDefault="00F31624" w:rsidP="007574F8">
            <w:pPr>
              <w:rPr>
                <w:rFonts w:ascii="Times" w:eastAsia="Times New Roman" w:hAnsi="Times"/>
                <w:sz w:val="20"/>
                <w:szCs w:val="20"/>
              </w:rPr>
            </w:pPr>
            <w:r w:rsidRPr="00F31624">
              <w:rPr>
                <w:b/>
              </w:rPr>
              <w:t>Part 2:</w:t>
            </w:r>
            <w:r w:rsidR="00BC39EF">
              <w:rPr>
                <w:b/>
              </w:rPr>
              <w:t xml:space="preserve"> </w:t>
            </w:r>
            <w:r w:rsidR="00BC39EF" w:rsidRPr="00DA0EDB">
              <w:t>Students</w:t>
            </w:r>
            <w:r w:rsidR="00FD42AE" w:rsidRPr="00DA0EDB">
              <w:t xml:space="preserve"> brainstorm, prewrite, draft, peer review, </w:t>
            </w:r>
            <w:r w:rsidR="00BC39EF" w:rsidRPr="00DA0EDB">
              <w:t>revise</w:t>
            </w:r>
            <w:r w:rsidR="00FD42AE" w:rsidRPr="00DA0EDB">
              <w:t>, edit and publish a text-based</w:t>
            </w:r>
            <w:r w:rsidR="00BC39EF" w:rsidRPr="00DA0EDB">
              <w:t xml:space="preserve"> narrative writing</w:t>
            </w:r>
            <w:r w:rsidR="00FD42AE" w:rsidRPr="00DA0EDB">
              <w:t xml:space="preserve"> piece</w:t>
            </w:r>
            <w:r w:rsidR="007574F8" w:rsidRPr="00DA0EDB">
              <w:t xml:space="preserve"> in response to the following prompt: </w:t>
            </w:r>
            <w:r w:rsidR="007574F8" w:rsidRPr="00DA0EDB">
              <w:rPr>
                <w:rFonts w:eastAsia="Times New Roman" w:cs="Arial"/>
                <w:color w:val="000000"/>
                <w:shd w:val="clear" w:color="auto" w:fill="FFFFFF"/>
              </w:rPr>
              <w:t>Consider another character’s point of view in either “On the Rainy River” or “</w:t>
            </w:r>
            <w:r w:rsidR="00664154">
              <w:rPr>
                <w:rFonts w:eastAsia="Times New Roman" w:cs="Arial"/>
                <w:color w:val="000000"/>
                <w:shd w:val="clear" w:color="auto" w:fill="FFFFFF"/>
              </w:rPr>
              <w:t xml:space="preserve">The </w:t>
            </w:r>
            <w:r w:rsidR="007574F8" w:rsidRPr="00DA0EDB">
              <w:rPr>
                <w:rFonts w:eastAsia="Times New Roman" w:cs="Arial"/>
                <w:color w:val="000000"/>
                <w:shd w:val="clear" w:color="auto" w:fill="FFFFFF"/>
              </w:rPr>
              <w:t>Red Convertible” and retell a key scene from either text through th</w:t>
            </w:r>
            <w:r w:rsidR="00462707">
              <w:rPr>
                <w:rFonts w:eastAsia="Times New Roman" w:cs="Arial"/>
                <w:color w:val="000000"/>
                <w:shd w:val="clear" w:color="auto" w:fill="FFFFFF"/>
              </w:rPr>
              <w:t>at</w:t>
            </w:r>
            <w:r w:rsidR="007574F8" w:rsidRPr="00DA0EDB">
              <w:rPr>
                <w:rFonts w:eastAsia="Times New Roman" w:cs="Arial"/>
                <w:color w:val="000000"/>
                <w:shd w:val="clear" w:color="auto" w:fill="FFFFFF"/>
              </w:rPr>
              <w:t xml:space="preserve"> character’s point of view. </w:t>
            </w:r>
          </w:p>
        </w:tc>
      </w:tr>
    </w:tbl>
    <w:p w14:paraId="215E38F6" w14:textId="77777777" w:rsidR="00CC183D" w:rsidRDefault="00CC183D" w:rsidP="00CC183D">
      <w:pPr>
        <w:pStyle w:val="Heading1"/>
      </w:pPr>
      <w: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887"/>
        <w:gridCol w:w="5724"/>
      </w:tblGrid>
      <w:tr w:rsidR="00CC183D" w:rsidRPr="00C46F19" w14:paraId="5CACE912" w14:textId="77777777" w:rsidTr="00F61E99">
        <w:trPr>
          <w:cantSplit/>
          <w:tblHeader/>
        </w:trPr>
        <w:tc>
          <w:tcPr>
            <w:tcW w:w="0" w:type="auto"/>
            <w:shd w:val="clear" w:color="auto" w:fill="5F497A"/>
            <w:vAlign w:val="center"/>
          </w:tcPr>
          <w:p w14:paraId="36BBF522" w14:textId="77777777" w:rsidR="00CC183D" w:rsidRPr="00714725" w:rsidRDefault="00CC183D" w:rsidP="00C46F19">
            <w:pPr>
              <w:pStyle w:val="TableHeaders"/>
              <w:rPr>
                <w:lang w:val="en-US" w:eastAsia="en-US"/>
              </w:rPr>
            </w:pPr>
            <w:bookmarkStart w:id="0" w:name="_GoBack"/>
            <w:r w:rsidRPr="00714725">
              <w:rPr>
                <w:lang w:val="en-US" w:eastAsia="en-US"/>
              </w:rPr>
              <w:t>Lesson</w:t>
            </w:r>
          </w:p>
        </w:tc>
        <w:tc>
          <w:tcPr>
            <w:tcW w:w="0" w:type="auto"/>
            <w:shd w:val="clear" w:color="auto" w:fill="5F497A"/>
            <w:vAlign w:val="center"/>
          </w:tcPr>
          <w:p w14:paraId="63B7E2EE" w14:textId="77777777"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14:paraId="2089AC8A" w14:textId="77777777" w:rsidR="00CC183D" w:rsidRPr="00714725" w:rsidRDefault="00CC183D" w:rsidP="00C46F19">
            <w:pPr>
              <w:pStyle w:val="TableHeaders"/>
              <w:rPr>
                <w:lang w:val="en-US" w:eastAsia="en-US"/>
              </w:rPr>
            </w:pPr>
            <w:r w:rsidRPr="00714725">
              <w:rPr>
                <w:lang w:val="en-US" w:eastAsia="en-US"/>
              </w:rPr>
              <w:t>Learning Outcomes/Goals</w:t>
            </w:r>
          </w:p>
        </w:tc>
      </w:tr>
      <w:tr w:rsidR="00CC183D" w:rsidRPr="001F7CAA" w14:paraId="6E457641" w14:textId="77777777" w:rsidTr="00F61E99">
        <w:trPr>
          <w:cantSplit/>
        </w:trPr>
        <w:tc>
          <w:tcPr>
            <w:tcW w:w="0" w:type="auto"/>
            <w:shd w:val="clear" w:color="auto" w:fill="FFFFFF"/>
          </w:tcPr>
          <w:p w14:paraId="7076478E" w14:textId="77777777" w:rsidR="00CC183D" w:rsidRPr="001F7CAA" w:rsidRDefault="00CC183D" w:rsidP="001F7CAA">
            <w:pPr>
              <w:pStyle w:val="TableText"/>
            </w:pPr>
            <w:r w:rsidRPr="001F7CAA">
              <w:t>1</w:t>
            </w:r>
          </w:p>
        </w:tc>
        <w:tc>
          <w:tcPr>
            <w:tcW w:w="0" w:type="auto"/>
            <w:shd w:val="clear" w:color="auto" w:fill="FFFFFF"/>
          </w:tcPr>
          <w:p w14:paraId="04A401A2" w14:textId="1DACDD3E" w:rsidR="00CC183D" w:rsidRPr="001F7CAA" w:rsidRDefault="00F31624" w:rsidP="00DB3054">
            <w:pPr>
              <w:pStyle w:val="TableText"/>
            </w:pPr>
            <w:r w:rsidRPr="00F31624">
              <w:t>"On the Rainy River"</w:t>
            </w:r>
            <w:r w:rsidR="00605069">
              <w:t xml:space="preserve"> from </w:t>
            </w:r>
            <w:r w:rsidR="00605069">
              <w:rPr>
                <w:i/>
              </w:rPr>
              <w:t>The Things They Carried</w:t>
            </w:r>
            <w:r w:rsidR="00605069">
              <w:t xml:space="preserve"> by Tim O’Brien,</w:t>
            </w:r>
            <w:r w:rsidR="00B277C4">
              <w:t xml:space="preserve"> </w:t>
            </w:r>
            <w:r w:rsidR="00D272D6">
              <w:t>pages 37</w:t>
            </w:r>
            <w:r w:rsidR="00DB3054">
              <w:t>–</w:t>
            </w:r>
            <w:r w:rsidR="00B277C4">
              <w:t>44</w:t>
            </w:r>
            <w:r w:rsidR="005D5533">
              <w:t xml:space="preserve"> </w:t>
            </w:r>
          </w:p>
        </w:tc>
        <w:tc>
          <w:tcPr>
            <w:tcW w:w="5724" w:type="dxa"/>
            <w:shd w:val="clear" w:color="auto" w:fill="FFFFFF"/>
          </w:tcPr>
          <w:p w14:paraId="22DF5ED2" w14:textId="77777777" w:rsidR="00CC183D" w:rsidRPr="00C43949" w:rsidRDefault="00AE56C4" w:rsidP="00020D17">
            <w:pPr>
              <w:pStyle w:val="TableText"/>
            </w:pPr>
            <w:r w:rsidRPr="00C43949">
              <w:t xml:space="preserve">In this first lesson of the unit and module, students begin analysis of “On the Rainy River,” a short story from </w:t>
            </w:r>
            <w:r w:rsidRPr="005A51BD">
              <w:rPr>
                <w:i/>
              </w:rPr>
              <w:t xml:space="preserve">The Things They Carried </w:t>
            </w:r>
            <w:r w:rsidRPr="005A51BD">
              <w:t xml:space="preserve">by Tim O’Brien. </w:t>
            </w:r>
            <w:r w:rsidRPr="00057DE6">
              <w:rPr>
                <w:rFonts w:cs="Arial"/>
                <w:color w:val="000000"/>
                <w:shd w:val="clear" w:color="auto" w:fill="FFFFFF"/>
              </w:rPr>
              <w:t>Students analyze the impact of the narrator’s first person point of view on the developing story, taking into consideration how the narrator positions himself in relation to the 20-year-old events he recounts.</w:t>
            </w:r>
          </w:p>
        </w:tc>
      </w:tr>
      <w:tr w:rsidR="00CC183D" w:rsidRPr="001F7CAA" w14:paraId="0F94EA2E" w14:textId="77777777" w:rsidTr="00F61E99">
        <w:trPr>
          <w:cantSplit/>
        </w:trPr>
        <w:tc>
          <w:tcPr>
            <w:tcW w:w="0" w:type="auto"/>
            <w:shd w:val="clear" w:color="auto" w:fill="FFFFFF"/>
          </w:tcPr>
          <w:p w14:paraId="79D67EE4" w14:textId="77777777" w:rsidR="00CC183D" w:rsidRPr="001F7CAA" w:rsidRDefault="00CC183D" w:rsidP="001F7CAA">
            <w:pPr>
              <w:pStyle w:val="TableText"/>
            </w:pPr>
            <w:r w:rsidRPr="001F7CAA">
              <w:t>2</w:t>
            </w:r>
          </w:p>
        </w:tc>
        <w:tc>
          <w:tcPr>
            <w:tcW w:w="0" w:type="auto"/>
            <w:shd w:val="clear" w:color="auto" w:fill="FFFFFF"/>
          </w:tcPr>
          <w:p w14:paraId="34CEE498" w14:textId="010D8D7A" w:rsidR="00CC183D" w:rsidRPr="001F7CAA" w:rsidRDefault="00F31624" w:rsidP="00DB3054">
            <w:pPr>
              <w:pStyle w:val="TableText"/>
            </w:pPr>
            <w:r w:rsidRPr="00F31624">
              <w:t>"On the Rainy River</w:t>
            </w:r>
            <w:r w:rsidR="00B277C4">
              <w:t>,</w:t>
            </w:r>
            <w:r w:rsidR="00D272D6">
              <w:t>”</w:t>
            </w:r>
            <w:r w:rsidR="00B277C4" w:rsidRPr="00F31624" w:rsidDel="00B277C4">
              <w:t xml:space="preserve"> </w:t>
            </w:r>
            <w:r w:rsidR="00211D8B">
              <w:t xml:space="preserve">from </w:t>
            </w:r>
            <w:r w:rsidR="00211D8B">
              <w:rPr>
                <w:i/>
              </w:rPr>
              <w:t>The Things They Carried</w:t>
            </w:r>
            <w:r w:rsidR="00211D8B">
              <w:t xml:space="preserve"> by Tim O’Brien, </w:t>
            </w:r>
            <w:r w:rsidR="00B277C4">
              <w:t>pages</w:t>
            </w:r>
            <w:r w:rsidRPr="00F31624">
              <w:t xml:space="preserve"> 44</w:t>
            </w:r>
            <w:r w:rsidR="00DB3054">
              <w:softHyphen/>
              <w:t>–</w:t>
            </w:r>
            <w:r w:rsidR="00B678BE">
              <w:t>51</w:t>
            </w:r>
          </w:p>
        </w:tc>
        <w:tc>
          <w:tcPr>
            <w:tcW w:w="5724" w:type="dxa"/>
            <w:shd w:val="clear" w:color="auto" w:fill="FFFFFF"/>
          </w:tcPr>
          <w:p w14:paraId="00246720" w14:textId="77777777" w:rsidR="00CC183D" w:rsidRPr="009B6DF6" w:rsidRDefault="00057DE6" w:rsidP="00DB3054">
            <w:pPr>
              <w:pStyle w:val="TableText"/>
            </w:pPr>
            <w:r w:rsidRPr="009B6DF6">
              <w:rPr>
                <w:rFonts w:cs="Arial"/>
                <w:color w:val="000000"/>
                <w:shd w:val="clear" w:color="auto" w:fill="FFFFFF"/>
              </w:rPr>
              <w:t>In this lesson, students continue to read and analyze “On the Rainy River.</w:t>
            </w:r>
            <w:r w:rsidR="000D353E" w:rsidRPr="009B6DF6">
              <w:rPr>
                <w:rFonts w:cs="Arial"/>
                <w:color w:val="000000"/>
                <w:shd w:val="clear" w:color="auto" w:fill="FFFFFF"/>
              </w:rPr>
              <w:t>”</w:t>
            </w:r>
            <w:r w:rsidRPr="009B6DF6">
              <w:rPr>
                <w:rFonts w:cs="Arial"/>
                <w:color w:val="000000"/>
                <w:shd w:val="clear" w:color="auto" w:fill="FFFFFF"/>
              </w:rPr>
              <w:t xml:space="preserve"> </w:t>
            </w:r>
            <w:r w:rsidR="00DB3054">
              <w:rPr>
                <w:rFonts w:cs="Arial"/>
                <w:color w:val="000000"/>
                <w:shd w:val="clear" w:color="auto" w:fill="FFFFFF"/>
              </w:rPr>
              <w:t>This</w:t>
            </w:r>
            <w:r w:rsidRPr="009B6DF6">
              <w:rPr>
                <w:rFonts w:cs="Arial"/>
                <w:color w:val="000000"/>
                <w:shd w:val="clear" w:color="auto" w:fill="FFFFFF"/>
              </w:rPr>
              <w:t xml:space="preserve"> excerpt </w:t>
            </w:r>
            <w:r w:rsidR="00DB3054">
              <w:rPr>
                <w:rFonts w:cs="Arial"/>
                <w:color w:val="000000"/>
                <w:shd w:val="clear" w:color="auto" w:fill="FFFFFF"/>
              </w:rPr>
              <w:t>introduces</w:t>
            </w:r>
            <w:r w:rsidRPr="009B6DF6">
              <w:rPr>
                <w:rFonts w:cs="Arial"/>
                <w:color w:val="000000"/>
                <w:shd w:val="clear" w:color="auto" w:fill="FFFFFF"/>
              </w:rPr>
              <w:t xml:space="preserve"> the Tip Top Lodge, where the narrator goes to contemplate leaving the United States to escape the draft. This excerpt also introduces students to a pivotal character in the story, Elroy Berdahl, the proprietor of the Tip Top Lodge.</w:t>
            </w:r>
            <w:r w:rsidRPr="009B6DF6" w:rsidDel="00BD016B">
              <w:rPr>
                <w:rFonts w:cs="Arial"/>
                <w:color w:val="000000"/>
                <w:shd w:val="clear" w:color="auto" w:fill="FFFFFF"/>
              </w:rPr>
              <w:t xml:space="preserve"> </w:t>
            </w:r>
            <w:r w:rsidRPr="009B6DF6">
              <w:rPr>
                <w:rFonts w:cs="Arial"/>
                <w:color w:val="000000"/>
                <w:shd w:val="clear" w:color="auto" w:fill="FFFFFF"/>
              </w:rPr>
              <w:t>Students pay particular attention to the way interrelated elements contribute to plot development in this excerpt.</w:t>
            </w:r>
          </w:p>
        </w:tc>
      </w:tr>
      <w:tr w:rsidR="00CC183D" w:rsidRPr="001F7CAA" w14:paraId="233743CC" w14:textId="77777777" w:rsidTr="00F61E99">
        <w:trPr>
          <w:cantSplit/>
        </w:trPr>
        <w:tc>
          <w:tcPr>
            <w:tcW w:w="0" w:type="auto"/>
            <w:shd w:val="clear" w:color="auto" w:fill="FFFFFF"/>
          </w:tcPr>
          <w:p w14:paraId="5EE898FD" w14:textId="77777777" w:rsidR="00CC183D" w:rsidRPr="001F7CAA" w:rsidRDefault="00CC183D" w:rsidP="001F7CAA">
            <w:pPr>
              <w:pStyle w:val="TableText"/>
            </w:pPr>
            <w:r w:rsidRPr="001F7CAA">
              <w:lastRenderedPageBreak/>
              <w:t>3</w:t>
            </w:r>
          </w:p>
        </w:tc>
        <w:tc>
          <w:tcPr>
            <w:tcW w:w="0" w:type="auto"/>
            <w:shd w:val="clear" w:color="auto" w:fill="FFFFFF"/>
          </w:tcPr>
          <w:p w14:paraId="1C42058C" w14:textId="2737369C" w:rsidR="00CC183D" w:rsidRPr="001F7CAA" w:rsidRDefault="00F31624" w:rsidP="00DB3054">
            <w:pPr>
              <w:pStyle w:val="TableText"/>
            </w:pPr>
            <w:r w:rsidRPr="00F31624">
              <w:t>"On the Rainy River</w:t>
            </w:r>
            <w:r w:rsidR="00B277C4">
              <w:t>,</w:t>
            </w:r>
            <w:r w:rsidRPr="00F31624">
              <w:t>"</w:t>
            </w:r>
            <w:r w:rsidR="00211D8B">
              <w:t xml:space="preserve"> from </w:t>
            </w:r>
            <w:r w:rsidR="00211D8B">
              <w:rPr>
                <w:i/>
              </w:rPr>
              <w:t>The Things They Carried</w:t>
            </w:r>
            <w:r w:rsidR="00211D8B">
              <w:t xml:space="preserve"> by Tim O’Brien,</w:t>
            </w:r>
            <w:r w:rsidRPr="00F31624">
              <w:t xml:space="preserve"> </w:t>
            </w:r>
            <w:r w:rsidR="00B277C4">
              <w:t>pages</w:t>
            </w:r>
            <w:r w:rsidR="00B678BE">
              <w:t xml:space="preserve"> 52</w:t>
            </w:r>
            <w:r w:rsidR="00DB3054">
              <w:t>–</w:t>
            </w:r>
            <w:r w:rsidR="00B678BE">
              <w:t>58</w:t>
            </w:r>
          </w:p>
        </w:tc>
        <w:tc>
          <w:tcPr>
            <w:tcW w:w="5724" w:type="dxa"/>
            <w:shd w:val="clear" w:color="auto" w:fill="FFFFFF"/>
          </w:tcPr>
          <w:p w14:paraId="2BDB9D88" w14:textId="0BB0675F" w:rsidR="00CC183D" w:rsidRPr="001F7CAA" w:rsidRDefault="00E72190" w:rsidP="00605069">
            <w:r>
              <w:t>In this lesson, students read and analyze pages 52</w:t>
            </w:r>
            <w:r w:rsidR="00605069">
              <w:t>–</w:t>
            </w:r>
            <w:r>
              <w:t xml:space="preserve">58 of “On the Rainy River” in which the narrator confronts his decision to flee the United States and the draft. Students discuss the conclusion of the text, including the relationship between the narrator and Elroy, and how point of view develops central ideas, while completing an Evidence Collection Tool. Students use the </w:t>
            </w:r>
            <w:r w:rsidR="00605069">
              <w:t xml:space="preserve">11.4.1 Lesson 3 </w:t>
            </w:r>
            <w:r>
              <w:t>Evidence Collection Tool to guide small group discussions about how the narrator’s point of view develops central ideas in the text.</w:t>
            </w:r>
          </w:p>
        </w:tc>
      </w:tr>
      <w:tr w:rsidR="00CC183D" w:rsidRPr="001F7CAA" w14:paraId="048352EC" w14:textId="77777777" w:rsidTr="00F61E99">
        <w:trPr>
          <w:cantSplit/>
        </w:trPr>
        <w:tc>
          <w:tcPr>
            <w:tcW w:w="0" w:type="auto"/>
            <w:shd w:val="clear" w:color="auto" w:fill="FFFFFF"/>
          </w:tcPr>
          <w:p w14:paraId="1A30B756" w14:textId="77777777" w:rsidR="00CC183D" w:rsidRPr="001F7CAA" w:rsidRDefault="00CC183D" w:rsidP="001F7CAA">
            <w:pPr>
              <w:pStyle w:val="TableText"/>
            </w:pPr>
            <w:r w:rsidRPr="001F7CAA">
              <w:t>4</w:t>
            </w:r>
          </w:p>
        </w:tc>
        <w:tc>
          <w:tcPr>
            <w:tcW w:w="0" w:type="auto"/>
            <w:shd w:val="clear" w:color="auto" w:fill="FFFFFF"/>
          </w:tcPr>
          <w:p w14:paraId="59F629FE" w14:textId="3381DA3C" w:rsidR="00CC183D" w:rsidRPr="001F7CAA" w:rsidRDefault="00D272D6" w:rsidP="00F82CAF">
            <w:pPr>
              <w:pStyle w:val="TableText"/>
            </w:pPr>
            <w:r>
              <w:t>“On the Rainy River”</w:t>
            </w:r>
            <w:r w:rsidR="00B678BE">
              <w:t xml:space="preserve"> </w:t>
            </w:r>
            <w:r w:rsidR="00211D8B">
              <w:t xml:space="preserve">from </w:t>
            </w:r>
            <w:r w:rsidR="00211D8B">
              <w:rPr>
                <w:i/>
              </w:rPr>
              <w:t>The Things They Carried</w:t>
            </w:r>
            <w:r w:rsidR="00211D8B">
              <w:t xml:space="preserve"> by Tim O’Brien</w:t>
            </w:r>
          </w:p>
        </w:tc>
        <w:tc>
          <w:tcPr>
            <w:tcW w:w="5724" w:type="dxa"/>
            <w:shd w:val="clear" w:color="auto" w:fill="FFFFFF"/>
          </w:tcPr>
          <w:p w14:paraId="53B5E79D" w14:textId="77777777" w:rsidR="00CC183D" w:rsidRPr="001F7CAA" w:rsidRDefault="00707BD7" w:rsidP="00FB38E4">
            <w:pPr>
              <w:pStyle w:val="TableText"/>
            </w:pPr>
            <w:r>
              <w:t xml:space="preserve">In this lesson, students prepare for the Mid-Unit Assessment in the following lesson by engaging in an evidence-based discussion analyzing Tim O’Brien’s “On the Rainy River.” This lesson provides the first opportunity for students to discuss the story in its entirety, specifically focusing on how certain parts of the text contribute to the overall meaning and structure of the text. </w:t>
            </w:r>
          </w:p>
        </w:tc>
      </w:tr>
      <w:tr w:rsidR="00CC183D" w:rsidRPr="001F7CAA" w14:paraId="7E1B7541" w14:textId="77777777" w:rsidTr="00F61E99">
        <w:trPr>
          <w:cantSplit/>
        </w:trPr>
        <w:tc>
          <w:tcPr>
            <w:tcW w:w="0" w:type="auto"/>
            <w:shd w:val="clear" w:color="auto" w:fill="FFFFFF"/>
          </w:tcPr>
          <w:p w14:paraId="3D10D5E4" w14:textId="77777777" w:rsidR="00CC183D" w:rsidRPr="001F7CAA" w:rsidRDefault="00CC183D" w:rsidP="001F7CAA">
            <w:pPr>
              <w:pStyle w:val="TableText"/>
            </w:pPr>
            <w:r w:rsidRPr="001F7CAA">
              <w:t>5</w:t>
            </w:r>
          </w:p>
        </w:tc>
        <w:tc>
          <w:tcPr>
            <w:tcW w:w="0" w:type="auto"/>
            <w:shd w:val="clear" w:color="auto" w:fill="FFFFFF"/>
          </w:tcPr>
          <w:p w14:paraId="49EA6179" w14:textId="3D00294C" w:rsidR="00CC183D" w:rsidRPr="001F7CAA" w:rsidRDefault="00D272D6" w:rsidP="00C46F19">
            <w:pPr>
              <w:pStyle w:val="TableText"/>
            </w:pPr>
            <w:r>
              <w:t>“On the Rainy River”</w:t>
            </w:r>
            <w:r w:rsidR="00211D8B">
              <w:t xml:space="preserve"> from </w:t>
            </w:r>
            <w:r w:rsidR="00211D8B">
              <w:rPr>
                <w:i/>
              </w:rPr>
              <w:t>The Things They Carried</w:t>
            </w:r>
            <w:r w:rsidR="00211D8B">
              <w:t xml:space="preserve"> by Tim O’Brien</w:t>
            </w:r>
          </w:p>
        </w:tc>
        <w:tc>
          <w:tcPr>
            <w:tcW w:w="5724" w:type="dxa"/>
            <w:shd w:val="clear" w:color="auto" w:fill="FFFFFF"/>
          </w:tcPr>
          <w:p w14:paraId="3FAA2A09" w14:textId="77777777" w:rsidR="00CC183D" w:rsidRPr="001F7CAA" w:rsidRDefault="009C6A23" w:rsidP="00DB3054">
            <w:r>
              <w:t>In this lesson, the Mid-Unit Assessment, students use textual evidence from Tim O’Brien’s “On the Rainy River” to craft a formal, multi-paragraph response to the following prompt: Choose a specific part of the text and analyze how it contributes to the overall meaning and structure of the text.</w:t>
            </w:r>
          </w:p>
        </w:tc>
      </w:tr>
      <w:tr w:rsidR="00CC183D" w:rsidRPr="001F7CAA" w14:paraId="7FA1BD2A" w14:textId="77777777" w:rsidTr="00F61E99">
        <w:trPr>
          <w:cantSplit/>
        </w:trPr>
        <w:tc>
          <w:tcPr>
            <w:tcW w:w="0" w:type="auto"/>
            <w:shd w:val="clear" w:color="auto" w:fill="FFFFFF"/>
          </w:tcPr>
          <w:p w14:paraId="7E6E4495" w14:textId="77777777" w:rsidR="00CC183D" w:rsidRPr="001F7CAA" w:rsidRDefault="00CC183D" w:rsidP="001F7CAA">
            <w:pPr>
              <w:pStyle w:val="TableText"/>
            </w:pPr>
            <w:r w:rsidRPr="001F7CAA">
              <w:t>6</w:t>
            </w:r>
          </w:p>
        </w:tc>
        <w:tc>
          <w:tcPr>
            <w:tcW w:w="0" w:type="auto"/>
            <w:shd w:val="clear" w:color="auto" w:fill="FFFFFF"/>
          </w:tcPr>
          <w:p w14:paraId="6749FFA3" w14:textId="23B44161" w:rsidR="00CC183D" w:rsidRPr="001F7CAA" w:rsidRDefault="00C43949" w:rsidP="001F7CAA">
            <w:pPr>
              <w:pStyle w:val="TableText"/>
            </w:pPr>
            <w:r>
              <w:t>“On the Rainy River”</w:t>
            </w:r>
            <w:r w:rsidR="00211D8B">
              <w:t xml:space="preserve"> from </w:t>
            </w:r>
            <w:r w:rsidR="00211D8B">
              <w:rPr>
                <w:i/>
              </w:rPr>
              <w:t>The Things They Carried</w:t>
            </w:r>
            <w:r w:rsidR="00211D8B">
              <w:t xml:space="preserve"> by Tim O’Brien</w:t>
            </w:r>
          </w:p>
        </w:tc>
        <w:tc>
          <w:tcPr>
            <w:tcW w:w="5724" w:type="dxa"/>
            <w:shd w:val="clear" w:color="auto" w:fill="FFFFFF"/>
          </w:tcPr>
          <w:p w14:paraId="1CE105A1" w14:textId="77777777" w:rsidR="00CC183D" w:rsidRPr="001F7CAA" w:rsidRDefault="00AA7680" w:rsidP="00DB3054">
            <w:pPr>
              <w:pStyle w:val="TableText"/>
            </w:pPr>
            <w:r>
              <w:t xml:space="preserve">In this lesson, students are introduced to writing standard W.11-12.3.a, which requires students to create an engaging narrative introduction that orients the reader to a problem, situation, or observation and its significance; establish point of view; introduce characters or a narrator; and create a smooth progression of experiences or events. This is the first of several lessons in the module that include targeted writing instruction on W.11-12.3. </w:t>
            </w:r>
          </w:p>
        </w:tc>
      </w:tr>
      <w:tr w:rsidR="00240430" w:rsidRPr="001F7CAA" w14:paraId="6A44635F" w14:textId="77777777" w:rsidTr="00F61E99">
        <w:trPr>
          <w:cantSplit/>
        </w:trPr>
        <w:tc>
          <w:tcPr>
            <w:tcW w:w="0" w:type="auto"/>
            <w:shd w:val="clear" w:color="auto" w:fill="FFFFFF"/>
          </w:tcPr>
          <w:p w14:paraId="7AE2DFA0" w14:textId="77777777" w:rsidR="00240430" w:rsidRPr="001F7CAA" w:rsidRDefault="00240430" w:rsidP="001F7CAA">
            <w:pPr>
              <w:pStyle w:val="TableText"/>
            </w:pPr>
            <w:r>
              <w:t>7</w:t>
            </w:r>
          </w:p>
        </w:tc>
        <w:tc>
          <w:tcPr>
            <w:tcW w:w="0" w:type="auto"/>
            <w:shd w:val="clear" w:color="auto" w:fill="FFFFFF"/>
          </w:tcPr>
          <w:p w14:paraId="6CAA0890" w14:textId="3CEC999F" w:rsidR="00240430" w:rsidRPr="001F7CAA" w:rsidRDefault="00C43949" w:rsidP="001F7CAA">
            <w:pPr>
              <w:pStyle w:val="TableText"/>
            </w:pPr>
            <w:r>
              <w:t>“On the Rainy River”</w:t>
            </w:r>
            <w:r w:rsidR="00211D8B">
              <w:t xml:space="preserve"> from </w:t>
            </w:r>
            <w:r w:rsidR="00211D8B">
              <w:rPr>
                <w:i/>
              </w:rPr>
              <w:t>The Things They Carried</w:t>
            </w:r>
            <w:r w:rsidR="00211D8B">
              <w:t xml:space="preserve"> by Tim O’Brien</w:t>
            </w:r>
          </w:p>
        </w:tc>
        <w:tc>
          <w:tcPr>
            <w:tcW w:w="5724" w:type="dxa"/>
            <w:shd w:val="clear" w:color="auto" w:fill="FFFFFF"/>
          </w:tcPr>
          <w:p w14:paraId="52177DDD" w14:textId="77777777" w:rsidR="00240430" w:rsidRPr="001F7CAA" w:rsidRDefault="0091457D" w:rsidP="00DB3054">
            <w:r w:rsidRPr="00E45A5F">
              <w:t>In this lesson</w:t>
            </w:r>
            <w:r>
              <w:t>, students engage in peer review and revision of their text-based narrative writing piece</w:t>
            </w:r>
            <w:r w:rsidR="00C23414">
              <w:t>s</w:t>
            </w:r>
            <w:r>
              <w:t xml:space="preserve"> from the previous lesson</w:t>
            </w:r>
            <w:r w:rsidR="006D5456">
              <w:t>.</w:t>
            </w:r>
            <w:r>
              <w:t xml:space="preserve"> The peer review is based on W.11-12.3.a</w:t>
            </w:r>
            <w:r w:rsidR="00DB3054">
              <w:t>. S</w:t>
            </w:r>
            <w:r>
              <w:t xml:space="preserve">tudents revise their narrative writing pieces based on the peer review process and the Peer Review Accountability Tool. </w:t>
            </w:r>
          </w:p>
        </w:tc>
      </w:tr>
      <w:tr w:rsidR="00240430" w:rsidRPr="001F7CAA" w14:paraId="6014B6E4" w14:textId="77777777" w:rsidTr="00F61E99">
        <w:trPr>
          <w:cantSplit/>
        </w:trPr>
        <w:tc>
          <w:tcPr>
            <w:tcW w:w="0" w:type="auto"/>
            <w:shd w:val="clear" w:color="auto" w:fill="FFFFFF"/>
          </w:tcPr>
          <w:p w14:paraId="5CA5166A" w14:textId="77777777" w:rsidR="00240430" w:rsidRPr="001F7CAA" w:rsidRDefault="00240430" w:rsidP="001F7CAA">
            <w:pPr>
              <w:pStyle w:val="TableText"/>
            </w:pPr>
            <w:r>
              <w:lastRenderedPageBreak/>
              <w:t>8</w:t>
            </w:r>
          </w:p>
        </w:tc>
        <w:tc>
          <w:tcPr>
            <w:tcW w:w="0" w:type="auto"/>
            <w:shd w:val="clear" w:color="auto" w:fill="FFFFFF"/>
          </w:tcPr>
          <w:p w14:paraId="4459D7B8" w14:textId="097A64CF" w:rsidR="00240430" w:rsidRPr="001F7CAA" w:rsidRDefault="00F82CAF" w:rsidP="00C23414">
            <w:pPr>
              <w:pStyle w:val="TableText"/>
            </w:pPr>
            <w:r w:rsidRPr="00F31624">
              <w:t>"The Red Convertible"</w:t>
            </w:r>
            <w:r w:rsidR="00C23414">
              <w:t xml:space="preserve"> from </w:t>
            </w:r>
            <w:r w:rsidR="00C23414">
              <w:rPr>
                <w:i/>
              </w:rPr>
              <w:t>The Red Convertible</w:t>
            </w:r>
            <w:r w:rsidR="00C23414">
              <w:t xml:space="preserve"> by Louise Erdrich,</w:t>
            </w:r>
            <w:r>
              <w:t xml:space="preserve"> pages 1</w:t>
            </w:r>
            <w:r w:rsidR="00DB3054">
              <w:t>–</w:t>
            </w:r>
            <w:r>
              <w:t xml:space="preserve">4 </w:t>
            </w:r>
          </w:p>
        </w:tc>
        <w:tc>
          <w:tcPr>
            <w:tcW w:w="5724" w:type="dxa"/>
            <w:shd w:val="clear" w:color="auto" w:fill="FFFFFF"/>
          </w:tcPr>
          <w:p w14:paraId="45B5874F" w14:textId="77777777" w:rsidR="00240430" w:rsidRPr="001F7CAA" w:rsidRDefault="00FB38E4" w:rsidP="00DB3054">
            <w:pPr>
              <w:pStyle w:val="TableText"/>
            </w:pPr>
            <w:r>
              <w:t>In this lesson, students begin reading and analy</w:t>
            </w:r>
            <w:r w:rsidR="00DB3054">
              <w:t>zing</w:t>
            </w:r>
            <w:r>
              <w:t xml:space="preserve"> Louise Erdrich’s “The Red Convertible” from </w:t>
            </w:r>
            <w:r w:rsidRPr="00C13536">
              <w:rPr>
                <w:i/>
              </w:rPr>
              <w:t>The Red Convertible</w:t>
            </w:r>
            <w:r>
              <w:t>. Students read pages 1–4,</w:t>
            </w:r>
            <w:r w:rsidRPr="00A911F3">
              <w:t xml:space="preserve"> </w:t>
            </w:r>
            <w:r>
              <w:t>in which Marty introduces himself and recounts a trip he took with his brother Stephan in a red convertible. Analysis focuses on the development of the narrator, Marty, and his brother, Stephan, and specifically on how Marty’s point of view impacts the character development of Stephan.</w:t>
            </w:r>
          </w:p>
        </w:tc>
      </w:tr>
      <w:tr w:rsidR="00240430" w:rsidRPr="001F7CAA" w14:paraId="7401C7A2" w14:textId="77777777" w:rsidTr="00F61E99">
        <w:trPr>
          <w:cantSplit/>
        </w:trPr>
        <w:tc>
          <w:tcPr>
            <w:tcW w:w="0" w:type="auto"/>
            <w:shd w:val="clear" w:color="auto" w:fill="FFFFFF"/>
          </w:tcPr>
          <w:p w14:paraId="15B936D3" w14:textId="77777777" w:rsidR="00240430" w:rsidRPr="001F7CAA" w:rsidRDefault="00240430" w:rsidP="001F7CAA">
            <w:pPr>
              <w:pStyle w:val="TableText"/>
            </w:pPr>
            <w:r>
              <w:t>9</w:t>
            </w:r>
          </w:p>
        </w:tc>
        <w:tc>
          <w:tcPr>
            <w:tcW w:w="0" w:type="auto"/>
            <w:shd w:val="clear" w:color="auto" w:fill="FFFFFF"/>
          </w:tcPr>
          <w:p w14:paraId="7D790900" w14:textId="66F48080" w:rsidR="00240430" w:rsidRPr="001F7CAA" w:rsidRDefault="00F31624" w:rsidP="00DB3054">
            <w:pPr>
              <w:pStyle w:val="TableText"/>
            </w:pPr>
            <w:r w:rsidRPr="00F31624">
              <w:t>"The Red Convertible</w:t>
            </w:r>
            <w:r w:rsidR="00F82CAF">
              <w:t>,</w:t>
            </w:r>
            <w:r w:rsidRPr="00F31624">
              <w:t>"</w:t>
            </w:r>
            <w:r w:rsidR="00211D8B">
              <w:t xml:space="preserve"> from </w:t>
            </w:r>
            <w:r w:rsidR="00211D8B">
              <w:rPr>
                <w:i/>
              </w:rPr>
              <w:t>The Red Convertible</w:t>
            </w:r>
            <w:r w:rsidR="00211D8B">
              <w:t xml:space="preserve"> by Louise Erdrich, </w:t>
            </w:r>
            <w:r w:rsidR="00F82CAF">
              <w:t>pages 4</w:t>
            </w:r>
            <w:r w:rsidR="00DB3054">
              <w:t>–</w:t>
            </w:r>
            <w:r w:rsidR="00F82CAF">
              <w:t>10</w:t>
            </w:r>
          </w:p>
        </w:tc>
        <w:tc>
          <w:tcPr>
            <w:tcW w:w="5724" w:type="dxa"/>
            <w:shd w:val="clear" w:color="auto" w:fill="FFFFFF"/>
          </w:tcPr>
          <w:p w14:paraId="275B48BA" w14:textId="5DDDF632" w:rsidR="00240430" w:rsidRPr="00B06498" w:rsidRDefault="00A642CC" w:rsidP="00DB3054">
            <w:pPr>
              <w:pStyle w:val="TableText"/>
            </w:pPr>
            <w:r w:rsidRPr="00B06498">
              <w:t xml:space="preserve">In this lesson, students complete their reading and analysis of </w:t>
            </w:r>
            <w:r w:rsidRPr="00B06498">
              <w:rPr>
                <w:rFonts w:cs="Arial"/>
                <w:color w:val="000000"/>
                <w:shd w:val="clear" w:color="auto" w:fill="FFFFFF"/>
              </w:rPr>
              <w:t>"The Red Convertible.</w:t>
            </w:r>
            <w:r w:rsidR="00CE0583" w:rsidRPr="00B06498">
              <w:rPr>
                <w:rFonts w:cs="Arial"/>
                <w:color w:val="000000"/>
                <w:shd w:val="clear" w:color="auto" w:fill="FFFFFF"/>
              </w:rPr>
              <w:t>”</w:t>
            </w:r>
            <w:r w:rsidRPr="00B06498">
              <w:rPr>
                <w:rFonts w:cs="Arial"/>
                <w:color w:val="000000"/>
                <w:shd w:val="clear" w:color="auto" w:fill="FFFFFF"/>
              </w:rPr>
              <w:t xml:space="preserve"> Students read pages 4–10, in which Stephan returns from the Vietnam War, and Marty describes the events leading up to the final moments of Stephan’s life. </w:t>
            </w:r>
            <w:r w:rsidR="00DB3054">
              <w:rPr>
                <w:rFonts w:cs="Arial"/>
                <w:color w:val="000000"/>
                <w:shd w:val="clear" w:color="auto" w:fill="FFFFFF"/>
              </w:rPr>
              <w:t>A</w:t>
            </w:r>
            <w:r w:rsidRPr="00B06498">
              <w:rPr>
                <w:rFonts w:cs="Arial"/>
                <w:color w:val="000000"/>
                <w:shd w:val="clear" w:color="auto" w:fill="FFFFFF"/>
              </w:rPr>
              <w:t>nalysis focuses on how elements in the text impact the development of the relationship between</w:t>
            </w:r>
            <w:r w:rsidR="00CE0583" w:rsidRPr="00B06498">
              <w:rPr>
                <w:rFonts w:cs="Arial"/>
                <w:color w:val="000000"/>
                <w:shd w:val="clear" w:color="auto" w:fill="FFFFFF"/>
              </w:rPr>
              <w:t xml:space="preserve"> </w:t>
            </w:r>
            <w:r w:rsidRPr="00B06498">
              <w:rPr>
                <w:rFonts w:cs="Arial"/>
                <w:color w:val="000000"/>
                <w:shd w:val="clear" w:color="auto" w:fill="FFFFFF"/>
              </w:rPr>
              <w:t>two central characters in this excerpt. Students consider the setting of the river, the dialogue and interactions between the two brothers, and how Erdrich uses the red convertible both literally and symbolically to develop and refine the relationship between the two brothers.</w:t>
            </w:r>
          </w:p>
        </w:tc>
      </w:tr>
      <w:tr w:rsidR="00240430" w:rsidRPr="001F7CAA" w14:paraId="459A1845" w14:textId="77777777" w:rsidTr="00F61E99">
        <w:trPr>
          <w:cantSplit/>
        </w:trPr>
        <w:tc>
          <w:tcPr>
            <w:tcW w:w="0" w:type="auto"/>
            <w:shd w:val="clear" w:color="auto" w:fill="FFFFFF"/>
          </w:tcPr>
          <w:p w14:paraId="0354774F" w14:textId="77777777" w:rsidR="00240430" w:rsidRPr="001F7CAA" w:rsidRDefault="00240430" w:rsidP="001F7CAA">
            <w:pPr>
              <w:pStyle w:val="TableText"/>
            </w:pPr>
            <w:r>
              <w:t>10</w:t>
            </w:r>
          </w:p>
        </w:tc>
        <w:tc>
          <w:tcPr>
            <w:tcW w:w="0" w:type="auto"/>
            <w:shd w:val="clear" w:color="auto" w:fill="FFFFFF"/>
          </w:tcPr>
          <w:p w14:paraId="5A71C313" w14:textId="57C6077F" w:rsidR="00240430" w:rsidRPr="001F7CAA" w:rsidRDefault="00F31624" w:rsidP="00AF4FD6">
            <w:pPr>
              <w:pStyle w:val="TableText"/>
            </w:pPr>
            <w:r w:rsidRPr="00F31624">
              <w:t xml:space="preserve">"The Red Convertible" </w:t>
            </w:r>
            <w:r w:rsidR="00211D8B">
              <w:t xml:space="preserve">from </w:t>
            </w:r>
            <w:r w:rsidR="00211D8B">
              <w:rPr>
                <w:i/>
              </w:rPr>
              <w:t>The Red Convertible</w:t>
            </w:r>
            <w:r w:rsidR="00211D8B">
              <w:t xml:space="preserve"> by Louise Erdrich</w:t>
            </w:r>
          </w:p>
        </w:tc>
        <w:tc>
          <w:tcPr>
            <w:tcW w:w="5724" w:type="dxa"/>
            <w:shd w:val="clear" w:color="auto" w:fill="FFFFFF"/>
          </w:tcPr>
          <w:p w14:paraId="5955A4A4" w14:textId="77777777" w:rsidR="00240430" w:rsidRPr="001F7CAA" w:rsidRDefault="001F47E2" w:rsidP="00DB3054">
            <w:pPr>
              <w:pStyle w:val="TableText"/>
            </w:pPr>
            <w:r>
              <w:t xml:space="preserve">In this lesson, students apply their reading and analysis of “The Red Convertible” by analyzing the aesthetic impact of Erdrich’s choices in structuring the text. Students consider how the decision to provide information about the ending of the story in the first paragraph impacts the reader’s understanding of the story as a whole. After briefly responding in writing, students participate in a whole-class discussion about their responses regarding the aesthetic impact of the </w:t>
            </w:r>
            <w:r w:rsidR="00DB3054">
              <w:t xml:space="preserve">author’s </w:t>
            </w:r>
            <w:r>
              <w:t>structural choices in the text.</w:t>
            </w:r>
          </w:p>
        </w:tc>
      </w:tr>
      <w:tr w:rsidR="00240430" w:rsidRPr="001F7CAA" w14:paraId="3A221B99" w14:textId="77777777" w:rsidTr="00F61E99">
        <w:trPr>
          <w:cantSplit/>
        </w:trPr>
        <w:tc>
          <w:tcPr>
            <w:tcW w:w="0" w:type="auto"/>
            <w:shd w:val="clear" w:color="auto" w:fill="FFFFFF"/>
          </w:tcPr>
          <w:p w14:paraId="43A1F019" w14:textId="77777777" w:rsidR="00240430" w:rsidRDefault="00240430" w:rsidP="001F7CAA">
            <w:pPr>
              <w:pStyle w:val="TableText"/>
            </w:pPr>
            <w:r>
              <w:lastRenderedPageBreak/>
              <w:t>11</w:t>
            </w:r>
          </w:p>
        </w:tc>
        <w:tc>
          <w:tcPr>
            <w:tcW w:w="0" w:type="auto"/>
            <w:shd w:val="clear" w:color="auto" w:fill="FFFFFF"/>
          </w:tcPr>
          <w:p w14:paraId="3684D18A" w14:textId="509763CE" w:rsidR="00240430" w:rsidRPr="001F7CAA" w:rsidRDefault="00211D8B" w:rsidP="00E23F20">
            <w:pPr>
              <w:pStyle w:val="TableText"/>
            </w:pPr>
            <w:r>
              <w:t xml:space="preserve">“The Things They Carried” from </w:t>
            </w:r>
            <w:r>
              <w:rPr>
                <w:i/>
              </w:rPr>
              <w:t>The Things They Carried</w:t>
            </w:r>
            <w:r>
              <w:t xml:space="preserve"> by Tim O’Brien</w:t>
            </w:r>
            <w:r w:rsidR="00E23F20">
              <w:t xml:space="preserve">; </w:t>
            </w:r>
            <w:r w:rsidR="00C43949">
              <w:t>“The Red Convertible”</w:t>
            </w:r>
            <w:r>
              <w:t xml:space="preserve"> from </w:t>
            </w:r>
            <w:r>
              <w:rPr>
                <w:i/>
              </w:rPr>
              <w:t>The Red Convertible</w:t>
            </w:r>
            <w:r>
              <w:t xml:space="preserve"> by Louise Erdrich</w:t>
            </w:r>
          </w:p>
        </w:tc>
        <w:tc>
          <w:tcPr>
            <w:tcW w:w="5724" w:type="dxa"/>
            <w:shd w:val="clear" w:color="auto" w:fill="FFFFFF"/>
          </w:tcPr>
          <w:p w14:paraId="20676889" w14:textId="273AB51B" w:rsidR="00240430" w:rsidRPr="001F7CAA" w:rsidRDefault="00877F8F" w:rsidP="00C23414">
            <w:pPr>
              <w:pStyle w:val="TableText"/>
            </w:pPr>
            <w:r>
              <w:t>In this lesson, narrative writing instruction continues with the introduction of a new sub</w:t>
            </w:r>
            <w:r w:rsidR="00DB3054">
              <w:t>standard</w:t>
            </w:r>
            <w:r w:rsidR="00C23414">
              <w:t>:</w:t>
            </w:r>
            <w:r>
              <w:t xml:space="preserve"> W.11-12.3.b, which requires students to incorporate narrative techniques into their writing to develop events, experiences, and characters. Students review the two texts in this unit, “On the Rainy River” from </w:t>
            </w:r>
            <w:r w:rsidRPr="00FD228E">
              <w:rPr>
                <w:i/>
              </w:rPr>
              <w:t>The Things They Carried</w:t>
            </w:r>
            <w:r>
              <w:t xml:space="preserve"> and “The Red Convertible” from </w:t>
            </w:r>
            <w:r w:rsidRPr="00462E5E">
              <w:rPr>
                <w:i/>
              </w:rPr>
              <w:t>The Red Convertible</w:t>
            </w:r>
            <w:r>
              <w:t>, to identify and analyze the authors’ use of narrative techniques.</w:t>
            </w:r>
          </w:p>
        </w:tc>
      </w:tr>
      <w:tr w:rsidR="00240430" w:rsidRPr="001F7CAA" w14:paraId="1EF8B90F" w14:textId="77777777" w:rsidTr="00F61E99">
        <w:trPr>
          <w:cantSplit/>
        </w:trPr>
        <w:tc>
          <w:tcPr>
            <w:tcW w:w="0" w:type="auto"/>
            <w:shd w:val="clear" w:color="auto" w:fill="FFFFFF"/>
          </w:tcPr>
          <w:p w14:paraId="49898F87" w14:textId="77777777" w:rsidR="00240430" w:rsidRDefault="00240430" w:rsidP="001F7CAA">
            <w:pPr>
              <w:pStyle w:val="TableText"/>
            </w:pPr>
            <w:r>
              <w:t>12</w:t>
            </w:r>
          </w:p>
        </w:tc>
        <w:tc>
          <w:tcPr>
            <w:tcW w:w="0" w:type="auto"/>
            <w:shd w:val="clear" w:color="auto" w:fill="FFFFFF"/>
          </w:tcPr>
          <w:p w14:paraId="3D540ACE" w14:textId="23340A78" w:rsidR="00240430" w:rsidRPr="001F7CAA" w:rsidRDefault="00C43949" w:rsidP="00F82CAF">
            <w:pPr>
              <w:pStyle w:val="TableText"/>
            </w:pPr>
            <w:r>
              <w:t xml:space="preserve"> “The Red Convertible”</w:t>
            </w:r>
            <w:r w:rsidR="00211D8B">
              <w:t xml:space="preserve"> from </w:t>
            </w:r>
            <w:r w:rsidR="00211D8B">
              <w:rPr>
                <w:i/>
              </w:rPr>
              <w:t>The Red Convertible</w:t>
            </w:r>
            <w:r w:rsidR="00211D8B">
              <w:t xml:space="preserve"> by Louise Erdrich</w:t>
            </w:r>
          </w:p>
        </w:tc>
        <w:tc>
          <w:tcPr>
            <w:tcW w:w="5724" w:type="dxa"/>
            <w:shd w:val="clear" w:color="auto" w:fill="FFFFFF"/>
          </w:tcPr>
          <w:p w14:paraId="5C2F55BA" w14:textId="77777777" w:rsidR="00240430" w:rsidRPr="001F7CAA" w:rsidRDefault="006652F0" w:rsidP="00C86FB8">
            <w:pPr>
              <w:pStyle w:val="TableText"/>
            </w:pPr>
            <w:r w:rsidRPr="00485A2A">
              <w:t xml:space="preserve">In this lesson, students </w:t>
            </w:r>
            <w:r w:rsidRPr="0074560F">
              <w:t xml:space="preserve">engage in </w:t>
            </w:r>
            <w:r w:rsidRPr="00485A2A">
              <w:t>peer review and revision of their</w:t>
            </w:r>
            <w:r>
              <w:t xml:space="preserve"> text-based</w:t>
            </w:r>
            <w:r w:rsidRPr="00485A2A">
              <w:t xml:space="preserve"> narrative writing</w:t>
            </w:r>
            <w:r>
              <w:t xml:space="preserve"> pieces</w:t>
            </w:r>
            <w:r w:rsidRPr="00485A2A">
              <w:t xml:space="preserve"> from th</w:t>
            </w:r>
            <w:r w:rsidRPr="0074560F">
              <w:t>e previous lesson</w:t>
            </w:r>
            <w:r w:rsidRPr="00485A2A">
              <w:t xml:space="preserve">. Students peer review and revise </w:t>
            </w:r>
            <w:r>
              <w:t xml:space="preserve">their writing </w:t>
            </w:r>
            <w:r w:rsidRPr="00485A2A">
              <w:t xml:space="preserve">for </w:t>
            </w:r>
            <w:r>
              <w:t xml:space="preserve">components of </w:t>
            </w:r>
            <w:r w:rsidRPr="00485A2A">
              <w:t>W.11-12.3.b</w:t>
            </w:r>
            <w:r>
              <w:t>:</w:t>
            </w:r>
            <w:r w:rsidRPr="00485A2A">
              <w:t xml:space="preserve"> effective use of narrative writing techniques</w:t>
            </w:r>
            <w:r>
              <w:t xml:space="preserve"> to develop experiences, events, and/or characters</w:t>
            </w:r>
            <w:r w:rsidRPr="00485A2A">
              <w:t>.</w:t>
            </w:r>
          </w:p>
        </w:tc>
      </w:tr>
      <w:tr w:rsidR="00240430" w:rsidRPr="001F7CAA" w14:paraId="6002B357" w14:textId="77777777" w:rsidTr="00F61E99">
        <w:trPr>
          <w:cantSplit/>
        </w:trPr>
        <w:tc>
          <w:tcPr>
            <w:tcW w:w="0" w:type="auto"/>
            <w:shd w:val="clear" w:color="auto" w:fill="FFFFFF"/>
          </w:tcPr>
          <w:p w14:paraId="46E02AEC" w14:textId="77777777" w:rsidR="00240430" w:rsidRDefault="00240430" w:rsidP="001F7CAA">
            <w:pPr>
              <w:pStyle w:val="TableText"/>
            </w:pPr>
            <w:r>
              <w:t>13</w:t>
            </w:r>
          </w:p>
        </w:tc>
        <w:tc>
          <w:tcPr>
            <w:tcW w:w="0" w:type="auto"/>
            <w:shd w:val="clear" w:color="auto" w:fill="FFFFFF"/>
          </w:tcPr>
          <w:p w14:paraId="20DB7B99" w14:textId="604F02A2" w:rsidR="00240430" w:rsidRPr="001F7CAA" w:rsidRDefault="00AF4FD6" w:rsidP="00F82CAF">
            <w:pPr>
              <w:pStyle w:val="TableText"/>
            </w:pPr>
            <w:r>
              <w:t xml:space="preserve">“On the Rainy River” </w:t>
            </w:r>
            <w:r w:rsidR="00211D8B">
              <w:t xml:space="preserve">from </w:t>
            </w:r>
            <w:r w:rsidR="00211D8B">
              <w:rPr>
                <w:i/>
              </w:rPr>
              <w:t>The Things They Carried</w:t>
            </w:r>
            <w:r w:rsidR="00E23F20">
              <w:t xml:space="preserve"> by Tim O’Brien; </w:t>
            </w:r>
            <w:r>
              <w:t>“The Red Convertible”</w:t>
            </w:r>
            <w:r w:rsidR="00211D8B">
              <w:t xml:space="preserve"> from </w:t>
            </w:r>
            <w:r w:rsidR="00211D8B">
              <w:rPr>
                <w:i/>
              </w:rPr>
              <w:t>The Red Convertible</w:t>
            </w:r>
            <w:r w:rsidR="00211D8B">
              <w:t xml:space="preserve"> by Louise Erdrich</w:t>
            </w:r>
          </w:p>
        </w:tc>
        <w:tc>
          <w:tcPr>
            <w:tcW w:w="5724" w:type="dxa"/>
            <w:shd w:val="clear" w:color="auto" w:fill="FFFFFF"/>
          </w:tcPr>
          <w:p w14:paraId="1F216A96" w14:textId="77777777" w:rsidR="00240430" w:rsidRPr="001F7CAA" w:rsidRDefault="004C710D" w:rsidP="000E607B">
            <w:r>
              <w:t>In this lesson, students return to analyzing the 11.4.1 texts for Part 1 of the End-of-Unit Assessment. Students participate in small group discussions, analyzing both texts in this unit: “On the Rainy River” and “The Red Conve</w:t>
            </w:r>
            <w:r w:rsidR="000E607B">
              <w:t>rtible</w:t>
            </w:r>
            <w:r>
              <w:t>.</w:t>
            </w:r>
            <w:r w:rsidR="000E607B">
              <w:t>”</w:t>
            </w:r>
            <w:r>
              <w:t xml:space="preserve"> Students review the texts and complete the 11.4.1 End-of-Unit Evidence Collection Tool before enga</w:t>
            </w:r>
            <w:r w:rsidR="000E607B">
              <w:t>ging in a text-based discussion</w:t>
            </w:r>
            <w:r>
              <w:t xml:space="preserve">. Student learning is assessed via discussion in response to the following prompt: Consider the point of view in each text. Choose evidence from both texts in which what is directly stated differs from what is really meant. Explain what is really meant by the chosen text evidence. </w:t>
            </w:r>
          </w:p>
        </w:tc>
      </w:tr>
      <w:tr w:rsidR="00240430" w:rsidRPr="001F7CAA" w14:paraId="7C989BC5" w14:textId="77777777" w:rsidTr="00F61E99">
        <w:trPr>
          <w:cantSplit/>
        </w:trPr>
        <w:tc>
          <w:tcPr>
            <w:tcW w:w="0" w:type="auto"/>
            <w:shd w:val="clear" w:color="auto" w:fill="FFFFFF"/>
          </w:tcPr>
          <w:p w14:paraId="62A6E8F2" w14:textId="77777777" w:rsidR="00240430" w:rsidRDefault="00240430" w:rsidP="001F7CAA">
            <w:pPr>
              <w:pStyle w:val="TableText"/>
            </w:pPr>
            <w:r>
              <w:lastRenderedPageBreak/>
              <w:t>14</w:t>
            </w:r>
          </w:p>
        </w:tc>
        <w:tc>
          <w:tcPr>
            <w:tcW w:w="0" w:type="auto"/>
            <w:shd w:val="clear" w:color="auto" w:fill="FFFFFF"/>
          </w:tcPr>
          <w:p w14:paraId="38436BAC" w14:textId="38D57645" w:rsidR="00240430" w:rsidRPr="001F7CAA" w:rsidRDefault="00F82CAF" w:rsidP="00E23F20">
            <w:pPr>
              <w:pStyle w:val="TableText"/>
            </w:pPr>
            <w:r w:rsidDel="00F82CAF">
              <w:t xml:space="preserve"> </w:t>
            </w:r>
            <w:r w:rsidR="00211D8B">
              <w:t xml:space="preserve">“On the Rainy River” from </w:t>
            </w:r>
            <w:r w:rsidR="00211D8B">
              <w:rPr>
                <w:i/>
              </w:rPr>
              <w:t>The Things They Carried</w:t>
            </w:r>
            <w:r w:rsidR="00211D8B">
              <w:t xml:space="preserve"> by Tim O’Brien</w:t>
            </w:r>
            <w:r w:rsidR="00E23F20">
              <w:t xml:space="preserve">; </w:t>
            </w:r>
            <w:r w:rsidR="00211D8B">
              <w:t xml:space="preserve">“The Red Convertible” from </w:t>
            </w:r>
            <w:r w:rsidR="00211D8B">
              <w:rPr>
                <w:i/>
              </w:rPr>
              <w:t>The Red Convertible</w:t>
            </w:r>
            <w:r w:rsidR="00211D8B">
              <w:t xml:space="preserve"> by Louise Erdrich</w:t>
            </w:r>
          </w:p>
        </w:tc>
        <w:tc>
          <w:tcPr>
            <w:tcW w:w="5724" w:type="dxa"/>
            <w:shd w:val="clear" w:color="auto" w:fill="FFFFFF"/>
          </w:tcPr>
          <w:p w14:paraId="0D868492" w14:textId="12429797" w:rsidR="00240430" w:rsidRPr="00B06498" w:rsidRDefault="0056120A" w:rsidP="006912D8">
            <w:r w:rsidRPr="00B06498">
              <w:t xml:space="preserve">In this lesson, students begin Part 2 of the End-of-Unit Assessment by planning their text-based narrative writing </w:t>
            </w:r>
            <w:r w:rsidR="00503510" w:rsidRPr="00B06498">
              <w:t>in response to the following prompt: Consider another character’s point of view in either “On the Rainy River” or “The Red Convertible” and retell a key scene from either text through that character’s point of view. S</w:t>
            </w:r>
            <w:r w:rsidRPr="00B06498">
              <w:t>tudents choose a character and a scene from one of the two</w:t>
            </w:r>
            <w:r w:rsidR="00503510" w:rsidRPr="00B06498">
              <w:t xml:space="preserve"> unit</w:t>
            </w:r>
            <w:r w:rsidRPr="00B06498">
              <w:t xml:space="preserve"> texts, and brainstorm and prewrite in preparation for drafting</w:t>
            </w:r>
            <w:r w:rsidR="00503510" w:rsidRPr="00B06498">
              <w:t xml:space="preserve"> text-based</w:t>
            </w:r>
            <w:r w:rsidRPr="00B06498">
              <w:t xml:space="preserve"> narrative writing pieces, using the skills outlined in W.11-12.3.a</w:t>
            </w:r>
            <w:r w:rsidR="00FD4F2F">
              <w:t>,</w:t>
            </w:r>
            <w:r w:rsidRPr="00B06498">
              <w:t>b.</w:t>
            </w:r>
            <w:r w:rsidR="00503510" w:rsidRPr="00B06498">
              <w:t xml:space="preserve"> </w:t>
            </w:r>
          </w:p>
        </w:tc>
      </w:tr>
      <w:tr w:rsidR="00240430" w:rsidRPr="001F7CAA" w14:paraId="00077E31" w14:textId="77777777" w:rsidTr="00F61E99">
        <w:trPr>
          <w:cantSplit/>
        </w:trPr>
        <w:tc>
          <w:tcPr>
            <w:tcW w:w="0" w:type="auto"/>
            <w:shd w:val="clear" w:color="auto" w:fill="FFFFFF"/>
          </w:tcPr>
          <w:p w14:paraId="059CC064" w14:textId="77777777" w:rsidR="00240430" w:rsidRDefault="00240430" w:rsidP="001F7CAA">
            <w:pPr>
              <w:pStyle w:val="TableText"/>
            </w:pPr>
            <w:r>
              <w:t>15</w:t>
            </w:r>
          </w:p>
        </w:tc>
        <w:tc>
          <w:tcPr>
            <w:tcW w:w="0" w:type="auto"/>
            <w:shd w:val="clear" w:color="auto" w:fill="FFFFFF"/>
          </w:tcPr>
          <w:p w14:paraId="698D7E7D" w14:textId="77560E5F" w:rsidR="00240430" w:rsidRPr="001F7CAA" w:rsidRDefault="00211D8B" w:rsidP="00E23F20">
            <w:pPr>
              <w:pStyle w:val="TableText"/>
            </w:pPr>
            <w:r>
              <w:t xml:space="preserve">“On the Rainy River” from </w:t>
            </w:r>
            <w:r>
              <w:rPr>
                <w:i/>
              </w:rPr>
              <w:t>The Things They Carried</w:t>
            </w:r>
            <w:r>
              <w:t xml:space="preserve"> by Tim O’Brien</w:t>
            </w:r>
            <w:r w:rsidR="00E23F20">
              <w:t xml:space="preserve">; </w:t>
            </w:r>
            <w:r>
              <w:t xml:space="preserve">“The Red Convertible” from </w:t>
            </w:r>
            <w:r>
              <w:rPr>
                <w:i/>
              </w:rPr>
              <w:t>The Red Convertible</w:t>
            </w:r>
            <w:r>
              <w:t xml:space="preserve"> by Louise Erdrich</w:t>
            </w:r>
          </w:p>
        </w:tc>
        <w:tc>
          <w:tcPr>
            <w:tcW w:w="5724" w:type="dxa"/>
            <w:shd w:val="clear" w:color="auto" w:fill="FFFFFF"/>
          </w:tcPr>
          <w:p w14:paraId="743A6A28" w14:textId="77777777" w:rsidR="00240430" w:rsidRPr="001F7CAA" w:rsidRDefault="006F4312" w:rsidP="006F4312">
            <w:pPr>
              <w:pStyle w:val="TableText"/>
            </w:pPr>
            <w:r>
              <w:t>In this lesson, students continue Part 2 of the End-of-Unit Assessment by peer reviewing and revising their narrative writing from the previous lesson. Students peer review and revise for standards W.11-12.3.a and W.11-12.3.b, including engaging introductions and effective use of narrative writing techniques such as dialogue, pacing, description, or reflection</w:t>
            </w:r>
            <w:r w:rsidR="006912D8">
              <w:t>.</w:t>
            </w:r>
          </w:p>
        </w:tc>
      </w:tr>
      <w:tr w:rsidR="00240430" w:rsidRPr="001F7CAA" w14:paraId="64BAEA60" w14:textId="77777777" w:rsidTr="00F61E99">
        <w:trPr>
          <w:cantSplit/>
        </w:trPr>
        <w:tc>
          <w:tcPr>
            <w:tcW w:w="0" w:type="auto"/>
            <w:shd w:val="clear" w:color="auto" w:fill="FFFFFF"/>
          </w:tcPr>
          <w:p w14:paraId="3A80C271" w14:textId="77777777" w:rsidR="00240430" w:rsidRDefault="00240430" w:rsidP="001F7CAA">
            <w:pPr>
              <w:pStyle w:val="TableText"/>
            </w:pPr>
            <w:r>
              <w:t>16</w:t>
            </w:r>
          </w:p>
        </w:tc>
        <w:tc>
          <w:tcPr>
            <w:tcW w:w="0" w:type="auto"/>
            <w:shd w:val="clear" w:color="auto" w:fill="FFFFFF"/>
          </w:tcPr>
          <w:p w14:paraId="78B03C12" w14:textId="25C4726A" w:rsidR="00240430" w:rsidRPr="001F7CAA" w:rsidRDefault="00B83324" w:rsidP="00E23F20">
            <w:pPr>
              <w:pStyle w:val="TableText"/>
            </w:pPr>
            <w:r>
              <w:t>“</w:t>
            </w:r>
            <w:r w:rsidR="00211D8B">
              <w:t xml:space="preserve">“On the Rainy River” from </w:t>
            </w:r>
            <w:r w:rsidR="00211D8B">
              <w:rPr>
                <w:i/>
              </w:rPr>
              <w:t>The Things They Carried</w:t>
            </w:r>
            <w:r w:rsidR="00211D8B">
              <w:t xml:space="preserve"> by Tim O’Brien</w:t>
            </w:r>
            <w:r w:rsidR="00E23F20">
              <w:t xml:space="preserve">; </w:t>
            </w:r>
            <w:r w:rsidR="00211D8B">
              <w:t xml:space="preserve">“The Red Convertible” from </w:t>
            </w:r>
            <w:r w:rsidR="00211D8B">
              <w:rPr>
                <w:i/>
              </w:rPr>
              <w:t>The Red Convertible</w:t>
            </w:r>
            <w:r w:rsidR="00211D8B">
              <w:t xml:space="preserve"> by Louise Erdrich</w:t>
            </w:r>
          </w:p>
        </w:tc>
        <w:tc>
          <w:tcPr>
            <w:tcW w:w="5724" w:type="dxa"/>
            <w:shd w:val="clear" w:color="auto" w:fill="FFFFFF"/>
          </w:tcPr>
          <w:p w14:paraId="1BFD6FE8" w14:textId="77777777" w:rsidR="00240430" w:rsidRPr="001F7CAA" w:rsidRDefault="00AE7F17" w:rsidP="006912D8">
            <w:r w:rsidRPr="009B1AFA">
              <w:t>In this</w:t>
            </w:r>
            <w:r>
              <w:t xml:space="preserve"> last</w:t>
            </w:r>
            <w:r w:rsidRPr="009B1AFA">
              <w:t xml:space="preserve"> lesson</w:t>
            </w:r>
            <w:r>
              <w:t xml:space="preserve"> of the unit</w:t>
            </w:r>
            <w:r w:rsidRPr="009B1AFA">
              <w:t xml:space="preserve">, </w:t>
            </w:r>
            <w:r w:rsidR="006912D8">
              <w:t xml:space="preserve">students complete </w:t>
            </w:r>
            <w:r>
              <w:t>Part 2 of the End-of-Unit Assessment</w:t>
            </w:r>
            <w:r w:rsidR="006912D8">
              <w:t>.</w:t>
            </w:r>
            <w:r>
              <w:t xml:space="preserve"> </w:t>
            </w:r>
            <w:r w:rsidR="006912D8">
              <w:t>S</w:t>
            </w:r>
            <w:r w:rsidRPr="009B1AFA">
              <w:t>tudents</w:t>
            </w:r>
            <w:r>
              <w:t xml:space="preserve"> work in class to finalize their</w:t>
            </w:r>
            <w:r w:rsidRPr="009B1AFA">
              <w:t xml:space="preserve"> </w:t>
            </w:r>
            <w:r>
              <w:t>narrative writing pieces by</w:t>
            </w:r>
            <w:r w:rsidRPr="009B1AFA">
              <w:t xml:space="preserve"> editing, polishing, and rewriting as necessary</w:t>
            </w:r>
            <w:r>
              <w:t xml:space="preserve">. Students also publish their narrative writing pieces on a class blog, which serves as a repository for student writing throughout this module. </w:t>
            </w:r>
          </w:p>
        </w:tc>
      </w:tr>
    </w:tbl>
    <w:bookmarkEnd w:id="0"/>
    <w:p w14:paraId="71BE4F92" w14:textId="77777777" w:rsidR="00CC183D" w:rsidRDefault="00CC183D" w:rsidP="00CC183D">
      <w:pPr>
        <w:pStyle w:val="Heading1"/>
      </w:pPr>
      <w:r>
        <w:t>Preparation, Materials, and Resources</w:t>
      </w:r>
    </w:p>
    <w:p w14:paraId="2CFF870E" w14:textId="77777777" w:rsidR="00CC183D" w:rsidRPr="008F708C" w:rsidRDefault="00CC183D" w:rsidP="00CC183D">
      <w:pPr>
        <w:rPr>
          <w:b/>
        </w:rPr>
      </w:pPr>
      <w:r w:rsidRPr="008F708C">
        <w:rPr>
          <w:b/>
        </w:rPr>
        <w:t>Preparation</w:t>
      </w:r>
    </w:p>
    <w:p w14:paraId="61ECF708" w14:textId="7C660AB2" w:rsidR="00CC183D" w:rsidRDefault="00CC183D" w:rsidP="00CC183D">
      <w:pPr>
        <w:pStyle w:val="BulletedList"/>
      </w:pPr>
      <w:r w:rsidRPr="007B5476">
        <w:t xml:space="preserve">Read and annotate </w:t>
      </w:r>
      <w:r w:rsidR="00F714D2">
        <w:t>“On the Rainy River”</w:t>
      </w:r>
      <w:r w:rsidR="00FD4F2F">
        <w:t xml:space="preserve"> from </w:t>
      </w:r>
      <w:r w:rsidR="00FD4F2F">
        <w:rPr>
          <w:i/>
        </w:rPr>
        <w:t>The Things They Carried</w:t>
      </w:r>
      <w:r w:rsidR="00F714D2">
        <w:t xml:space="preserve"> by Tim O’</w:t>
      </w:r>
      <w:r w:rsidR="00240430">
        <w:t>Brien and “The Red Convertible”</w:t>
      </w:r>
      <w:r w:rsidR="00FD4F2F">
        <w:t xml:space="preserve"> from </w:t>
      </w:r>
      <w:r w:rsidR="00FD4F2F">
        <w:rPr>
          <w:i/>
        </w:rPr>
        <w:t>The Red Co</w:t>
      </w:r>
      <w:r w:rsidR="00E23F20">
        <w:rPr>
          <w:i/>
        </w:rPr>
        <w:t>n</w:t>
      </w:r>
      <w:r w:rsidR="00FD4F2F">
        <w:rPr>
          <w:i/>
        </w:rPr>
        <w:t>vertible</w:t>
      </w:r>
      <w:r w:rsidR="00240430">
        <w:t xml:space="preserve"> by Louise Erdrich</w:t>
      </w:r>
      <w:r w:rsidR="00F714D2">
        <w:t>.</w:t>
      </w:r>
    </w:p>
    <w:p w14:paraId="5ACDCAAB" w14:textId="77777777" w:rsidR="00CC183D" w:rsidRDefault="00F714D2" w:rsidP="00CC183D">
      <w:pPr>
        <w:pStyle w:val="BulletedList"/>
      </w:pPr>
      <w:r>
        <w:t>Review the Short Response Rubric and Checklist.</w:t>
      </w:r>
    </w:p>
    <w:p w14:paraId="23E4D704" w14:textId="77777777" w:rsidR="00FD4F2F" w:rsidRDefault="00FD4F2F" w:rsidP="00FD4F2F">
      <w:pPr>
        <w:pStyle w:val="BulletedList"/>
      </w:pPr>
      <w:r>
        <w:t xml:space="preserve">Review the 11.4 Speaking and Listening Rubric and Checklist. </w:t>
      </w:r>
    </w:p>
    <w:p w14:paraId="1D198694" w14:textId="77777777" w:rsidR="00F714D2" w:rsidRDefault="00F714D2" w:rsidP="00CC183D">
      <w:pPr>
        <w:pStyle w:val="BulletedList"/>
      </w:pPr>
      <w:r>
        <w:t xml:space="preserve">Review the </w:t>
      </w:r>
      <w:r w:rsidR="00FD4F2F">
        <w:t xml:space="preserve">11.4 </w:t>
      </w:r>
      <w:r>
        <w:t>Narrative Writing Rubric and Checklist.</w:t>
      </w:r>
    </w:p>
    <w:p w14:paraId="4F930A06" w14:textId="77777777" w:rsidR="00F714D2" w:rsidRDefault="00157472" w:rsidP="00CC183D">
      <w:pPr>
        <w:pStyle w:val="BulletedList"/>
      </w:pPr>
      <w:r>
        <w:t>Review the 11.4.1</w:t>
      </w:r>
      <w:r w:rsidR="00F714D2">
        <w:t xml:space="preserve"> Mid-Unit Assessment and End-of-Unit Text Analysis Rubrics and Checklists.</w:t>
      </w:r>
    </w:p>
    <w:p w14:paraId="56F45654" w14:textId="77777777" w:rsidR="00CC183D" w:rsidRDefault="00CC183D" w:rsidP="00CC183D">
      <w:pPr>
        <w:pStyle w:val="BulletedList"/>
      </w:pPr>
      <w:r>
        <w:lastRenderedPageBreak/>
        <w:t>Review all unit standards and post in classroom</w:t>
      </w:r>
      <w:r w:rsidR="00F714D2">
        <w:t>.</w:t>
      </w:r>
    </w:p>
    <w:p w14:paraId="76A0BFA9" w14:textId="77777777" w:rsidR="00CC183D" w:rsidRDefault="00CC183D" w:rsidP="00CC183D">
      <w:pPr>
        <w:rPr>
          <w:b/>
        </w:rPr>
      </w:pPr>
    </w:p>
    <w:p w14:paraId="0FE5ACDC" w14:textId="77777777" w:rsidR="00CC183D" w:rsidRPr="008F708C" w:rsidRDefault="00CC183D" w:rsidP="000A0D39">
      <w:pPr>
        <w:keepNext/>
        <w:rPr>
          <w:b/>
        </w:rPr>
      </w:pPr>
      <w:r w:rsidRPr="008F708C">
        <w:rPr>
          <w:b/>
        </w:rPr>
        <w:t>Materials</w:t>
      </w:r>
      <w:r>
        <w:rPr>
          <w:b/>
        </w:rPr>
        <w:t xml:space="preserve"> and </w:t>
      </w:r>
      <w:r w:rsidRPr="008F708C">
        <w:rPr>
          <w:b/>
        </w:rPr>
        <w:t>Resources</w:t>
      </w:r>
    </w:p>
    <w:p w14:paraId="79252E23" w14:textId="77777777" w:rsidR="00FD4F2F" w:rsidRPr="007B5476" w:rsidRDefault="00FD4F2F" w:rsidP="00FD4F2F">
      <w:pPr>
        <w:pStyle w:val="BulletedList"/>
      </w:pPr>
      <w:r>
        <w:t xml:space="preserve">Chart Paper </w:t>
      </w:r>
    </w:p>
    <w:p w14:paraId="2267FA17" w14:textId="77777777" w:rsidR="00CC183D" w:rsidRDefault="00CC183D" w:rsidP="00240430">
      <w:pPr>
        <w:pStyle w:val="BulletedList"/>
      </w:pPr>
      <w:r w:rsidRPr="007B5476">
        <w:t xml:space="preserve">Copies of </w:t>
      </w:r>
      <w:r w:rsidR="006C5BE5">
        <w:t>“On the Rainy River”</w:t>
      </w:r>
      <w:r w:rsidR="00FD4F2F">
        <w:t xml:space="preserve"> from </w:t>
      </w:r>
      <w:r w:rsidR="00FD4F2F">
        <w:rPr>
          <w:i/>
        </w:rPr>
        <w:t>The Things They Carried</w:t>
      </w:r>
      <w:r w:rsidR="006C5BE5">
        <w:t xml:space="preserve"> by Tim O’</w:t>
      </w:r>
      <w:r w:rsidR="00240430" w:rsidRPr="00240430">
        <w:t>Brien and “The Red Convertible”</w:t>
      </w:r>
      <w:r w:rsidR="00FD4F2F">
        <w:t xml:space="preserve"> from </w:t>
      </w:r>
      <w:r w:rsidR="00FD4F2F">
        <w:rPr>
          <w:i/>
        </w:rPr>
        <w:t>The Red Convertible</w:t>
      </w:r>
      <w:r w:rsidR="00240430" w:rsidRPr="00240430">
        <w:t xml:space="preserve"> by Louise Erdrich</w:t>
      </w:r>
    </w:p>
    <w:p w14:paraId="7ECF3A2D" w14:textId="77777777" w:rsidR="00CC183D" w:rsidRPr="007B5476" w:rsidRDefault="00CC183D" w:rsidP="00CC183D">
      <w:pPr>
        <w:pStyle w:val="BulletedList"/>
      </w:pPr>
      <w:r w:rsidRPr="007B5476">
        <w:t>Writing utensils including pencils, pens, markers, and highlighters</w:t>
      </w:r>
    </w:p>
    <w:p w14:paraId="6EF7DC03" w14:textId="77777777" w:rsidR="00CC183D" w:rsidRPr="007B5476" w:rsidRDefault="00CC183D" w:rsidP="00CC183D">
      <w:pPr>
        <w:pStyle w:val="BulletedList"/>
      </w:pPr>
      <w:r w:rsidRPr="007B5476">
        <w:t>Methods for collecting student work: student notebooks</w:t>
      </w:r>
      <w:r>
        <w:t>,</w:t>
      </w:r>
      <w:r w:rsidRPr="007B5476">
        <w:t xml:space="preserve"> folders</w:t>
      </w:r>
      <w:r>
        <w:t>, etc.</w:t>
      </w:r>
    </w:p>
    <w:p w14:paraId="35C04F1C" w14:textId="77777777" w:rsidR="00CC183D" w:rsidRDefault="00CC183D" w:rsidP="00CC183D">
      <w:pPr>
        <w:pStyle w:val="BulletedList"/>
      </w:pPr>
      <w:r w:rsidRPr="007B5476">
        <w:t>Access to technology (if possible): interactive whiteboard,</w:t>
      </w:r>
      <w:r w:rsidR="00CA6F61">
        <w:t xml:space="preserve"> document camera,</w:t>
      </w:r>
      <w:r w:rsidRPr="007B5476">
        <w:t xml:space="preserve"> LCD projector</w:t>
      </w:r>
      <w:r w:rsidR="00CA6F61">
        <w:t>, computers for individual students (for word processing and blogging narrative writing)</w:t>
      </w:r>
    </w:p>
    <w:p w14:paraId="2DA7ADEE" w14:textId="77777777" w:rsidR="00FD4F2F" w:rsidRDefault="00FD4F2F" w:rsidP="00FD4F2F">
      <w:pPr>
        <w:pStyle w:val="BulletedList"/>
      </w:pPr>
      <w:r w:rsidRPr="007B5476">
        <w:t>S</w:t>
      </w:r>
      <w:r>
        <w:t>elf-stick</w:t>
      </w:r>
      <w:r w:rsidRPr="007B5476">
        <w:t xml:space="preserve"> notes for students</w:t>
      </w:r>
    </w:p>
    <w:p w14:paraId="62156E28" w14:textId="77777777" w:rsidR="00CC183D" w:rsidRPr="007B5476" w:rsidRDefault="00CC183D" w:rsidP="00CC183D">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14:paraId="6B2FE06D" w14:textId="77777777" w:rsidR="00CC183D" w:rsidRDefault="00CC183D" w:rsidP="00CC183D">
      <w:pPr>
        <w:pStyle w:val="BulletedList"/>
      </w:pPr>
      <w:r w:rsidRPr="007B5476">
        <w:t xml:space="preserve">Copies of the </w:t>
      </w:r>
      <w:r w:rsidR="006C5BE5">
        <w:t>Short Response Rubric and Checklist</w:t>
      </w:r>
    </w:p>
    <w:p w14:paraId="26C1A505" w14:textId="77777777" w:rsidR="00FD4F2F" w:rsidRDefault="00FD4F2F" w:rsidP="00FD4F2F">
      <w:pPr>
        <w:pStyle w:val="BulletedList"/>
      </w:pPr>
      <w:r>
        <w:t xml:space="preserve">Copies of the 11.4 Speaking and Listening Rubric and Checklist </w:t>
      </w:r>
    </w:p>
    <w:p w14:paraId="6DE46830" w14:textId="77777777" w:rsidR="00CC183D" w:rsidRDefault="00CC183D" w:rsidP="00CC183D">
      <w:pPr>
        <w:pStyle w:val="BulletedList"/>
      </w:pPr>
      <w:r>
        <w:t xml:space="preserve">Copies of the </w:t>
      </w:r>
      <w:r w:rsidR="00FD4F2F">
        <w:t xml:space="preserve">11.4 </w:t>
      </w:r>
      <w:r w:rsidR="006C5BE5">
        <w:t>Narrative Writing Rubric and Checklist</w:t>
      </w:r>
    </w:p>
    <w:p w14:paraId="6D752D39" w14:textId="1FAAB82D" w:rsidR="00CC183D" w:rsidRDefault="00CC183D" w:rsidP="00CC183D">
      <w:pPr>
        <w:pStyle w:val="BulletedList"/>
        <w:ind w:left="317" w:hanging="317"/>
      </w:pPr>
      <w:r>
        <w:t xml:space="preserve">Copies of </w:t>
      </w:r>
      <w:r w:rsidR="00240430">
        <w:t>11.4</w:t>
      </w:r>
      <w:r>
        <w:t xml:space="preserve"> Common Core Learning Standards Tool</w:t>
      </w:r>
    </w:p>
    <w:p w14:paraId="4354D36D" w14:textId="77777777" w:rsidR="00FD4F2F" w:rsidRDefault="00FD4F2F" w:rsidP="00CC183D">
      <w:pPr>
        <w:pStyle w:val="BulletedList"/>
        <w:ind w:left="317" w:hanging="317"/>
      </w:pPr>
      <w:r>
        <w:t>Copies of the 11.4.1 Mid-Unit and End-of-Unit Text Analysis Rubrics and Checklists</w:t>
      </w:r>
    </w:p>
    <w:p w14:paraId="283FCFD8" w14:textId="77777777" w:rsidR="001E6F3B" w:rsidRDefault="001E6F3B" w:rsidP="00CC183D">
      <w:pPr>
        <w:pStyle w:val="BulletedList"/>
        <w:ind w:left="317" w:hanging="317"/>
      </w:pPr>
      <w:r>
        <w:t>Copies of the Peer Review Accountability Tool</w:t>
      </w:r>
    </w:p>
    <w:sectPr w:rsidR="001E6F3B"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E852" w14:textId="77777777" w:rsidR="00C04A35" w:rsidRDefault="00C04A35">
      <w:r>
        <w:separator/>
      </w:r>
    </w:p>
  </w:endnote>
  <w:endnote w:type="continuationSeparator" w:id="0">
    <w:p w14:paraId="3E0A7B40" w14:textId="77777777" w:rsidR="00C04A35" w:rsidRDefault="00C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C721" w14:textId="77777777" w:rsidR="00211D8B" w:rsidRPr="00563CB8" w:rsidRDefault="00211D8B"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11D8B" w14:paraId="2FF08BCE" w14:textId="77777777">
      <w:trPr>
        <w:trHeight w:val="705"/>
      </w:trPr>
      <w:tc>
        <w:tcPr>
          <w:tcW w:w="4609" w:type="dxa"/>
          <w:tcBorders>
            <w:top w:val="single" w:sz="8" w:space="0" w:color="244061"/>
          </w:tcBorders>
          <w:vAlign w:val="center"/>
        </w:tcPr>
        <w:p w14:paraId="54251B3F" w14:textId="77777777" w:rsidR="00211D8B" w:rsidRPr="00CC183D" w:rsidRDefault="00211D8B" w:rsidP="00CC183D">
          <w:pPr>
            <w:pStyle w:val="FooterText"/>
            <w:rPr>
              <w:rFonts w:ascii="Calibri" w:hAnsi="Calibri"/>
            </w:rPr>
          </w:pPr>
          <w:r w:rsidRPr="00CC183D">
            <w:rPr>
              <w:rFonts w:ascii="Calibri" w:hAnsi="Calibri"/>
            </w:rPr>
            <w:t xml:space="preserve">File: </w:t>
          </w:r>
          <w:r>
            <w:rPr>
              <w:rFonts w:ascii="Calibri" w:hAnsi="Calibri"/>
            </w:rPr>
            <w:t>11</w:t>
          </w:r>
          <w:r w:rsidRPr="001B2DAB">
            <w:rPr>
              <w:rFonts w:ascii="Calibri" w:hAnsi="Calibri"/>
              <w:b w:val="0"/>
            </w:rPr>
            <w:t>.</w:t>
          </w:r>
          <w:r>
            <w:rPr>
              <w:rFonts w:ascii="Calibri" w:hAnsi="Calibri"/>
              <w:b w:val="0"/>
            </w:rPr>
            <w:t>4</w:t>
          </w:r>
          <w:r w:rsidRPr="001B2DAB">
            <w:rPr>
              <w:rFonts w:ascii="Calibri" w:hAnsi="Calibri"/>
              <w:b w:val="0"/>
            </w:rPr>
            <w:t>.</w:t>
          </w:r>
          <w:r>
            <w:rPr>
              <w:rFonts w:ascii="Calibri" w:hAnsi="Calibri"/>
              <w:b w:val="0"/>
            </w:rPr>
            <w:t>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Date: </w:t>
          </w:r>
          <w:r>
            <w:rPr>
              <w:rFonts w:ascii="Calibri" w:hAnsi="Calibri"/>
              <w:b w:val="0"/>
            </w:rPr>
            <w:t>10</w:t>
          </w:r>
          <w:r w:rsidRPr="001B2DAB">
            <w:rPr>
              <w:rFonts w:ascii="Calibri" w:hAnsi="Calibri"/>
              <w:b w:val="0"/>
            </w:rPr>
            <w:t>/</w:t>
          </w:r>
          <w:r>
            <w:rPr>
              <w:rFonts w:ascii="Calibri" w:hAnsi="Calibri"/>
              <w:b w:val="0"/>
            </w:rPr>
            <w:t>31</w:t>
          </w:r>
          <w:r w:rsidRPr="001B2DAB">
            <w:rPr>
              <w:rFonts w:ascii="Calibri" w:hAnsi="Calibri"/>
              <w:b w:val="0"/>
            </w:rPr>
            <w:t>/14</w:t>
          </w:r>
          <w:r w:rsidRPr="00CC183D">
            <w:rPr>
              <w:rFonts w:ascii="Calibri" w:hAnsi="Calibri"/>
            </w:rPr>
            <w:t xml:space="preserve"> Classroom Use: </w:t>
          </w:r>
          <w:r>
            <w:rPr>
              <w:rFonts w:ascii="Calibri" w:hAnsi="Calibri"/>
              <w:b w:val="0"/>
            </w:rPr>
            <w:t>Starting 11</w:t>
          </w:r>
          <w:r w:rsidRPr="001B2DAB">
            <w:rPr>
              <w:rFonts w:ascii="Calibri" w:hAnsi="Calibri"/>
              <w:b w:val="0"/>
            </w:rPr>
            <w:t>/2014</w:t>
          </w:r>
          <w:r w:rsidRPr="00CC183D">
            <w:rPr>
              <w:rFonts w:ascii="Calibri" w:hAnsi="Calibri"/>
            </w:rPr>
            <w:t xml:space="preserve"> </w:t>
          </w:r>
        </w:p>
        <w:p w14:paraId="2E932D0F" w14:textId="77777777" w:rsidR="00211D8B" w:rsidRPr="001B2DAB" w:rsidRDefault="00211D8B"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5F3464E0" w14:textId="77777777" w:rsidR="00211D8B" w:rsidRPr="001B2DAB" w:rsidRDefault="00211D8B"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780EC9B3" w14:textId="77777777" w:rsidR="00211D8B" w:rsidRPr="00CC183D" w:rsidRDefault="00C04A35" w:rsidP="00CC183D">
          <w:pPr>
            <w:pStyle w:val="FooterText"/>
            <w:rPr>
              <w:rFonts w:ascii="Calibri" w:hAnsi="Calibri"/>
            </w:rPr>
          </w:pPr>
          <w:hyperlink r:id="rId1" w:history="1">
            <w:r w:rsidR="00211D8B"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6A5CE08B" w14:textId="77777777" w:rsidR="00211D8B" w:rsidRPr="00714725" w:rsidRDefault="00211D8B"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E23F20">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081F32E7" w14:textId="77777777" w:rsidR="00211D8B" w:rsidRPr="00714725" w:rsidRDefault="00E23F20"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pict w14:anchorId="4806E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25pt;visibility:visible">
                <v:imagedata r:id="rId2" o:title=""/>
              </v:shape>
            </w:pict>
          </w:r>
        </w:p>
      </w:tc>
    </w:tr>
  </w:tbl>
  <w:p w14:paraId="3A30270B" w14:textId="77777777" w:rsidR="00211D8B" w:rsidRPr="00677A89" w:rsidRDefault="00211D8B"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8833B" w14:textId="77777777" w:rsidR="00C04A35" w:rsidRDefault="00C04A35">
      <w:r>
        <w:separator/>
      </w:r>
    </w:p>
  </w:footnote>
  <w:footnote w:type="continuationSeparator" w:id="0">
    <w:p w14:paraId="65F5E7FC" w14:textId="77777777" w:rsidR="00C04A35" w:rsidRDefault="00C04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211D8B" w14:paraId="74265326" w14:textId="77777777" w:rsidTr="00FD514A">
      <w:tc>
        <w:tcPr>
          <w:tcW w:w="3618" w:type="dxa"/>
        </w:tcPr>
        <w:p w14:paraId="0B2A05A0" w14:textId="77777777" w:rsidR="00211D8B" w:rsidRPr="00CC183D" w:rsidRDefault="00211D8B" w:rsidP="001B2DAB">
          <w:pPr>
            <w:pStyle w:val="PageHeader"/>
          </w:pPr>
          <w:r w:rsidRPr="00CC183D">
            <w:t>NYS Common Core ELA &amp; Literacy Curriculum</w:t>
          </w:r>
        </w:p>
      </w:tc>
      <w:tc>
        <w:tcPr>
          <w:tcW w:w="2880" w:type="dxa"/>
          <w:vAlign w:val="center"/>
        </w:tcPr>
        <w:p w14:paraId="66268485" w14:textId="77777777" w:rsidR="00211D8B" w:rsidRPr="001B2DAB" w:rsidRDefault="00211D8B" w:rsidP="001B2DAB">
          <w:pPr>
            <w:jc w:val="center"/>
          </w:pPr>
          <w:r w:rsidRPr="001B2DAB">
            <w:t>D R A F T</w:t>
          </w:r>
        </w:p>
      </w:tc>
      <w:tc>
        <w:tcPr>
          <w:tcW w:w="3240" w:type="dxa"/>
        </w:tcPr>
        <w:p w14:paraId="6EB6C166" w14:textId="77777777" w:rsidR="00211D8B" w:rsidRPr="001B2DAB" w:rsidRDefault="00211D8B" w:rsidP="00E75803">
          <w:pPr>
            <w:pStyle w:val="PageHeader"/>
            <w:rPr>
              <w:b w:val="0"/>
            </w:rPr>
          </w:pPr>
          <w:r w:rsidRPr="001B2DAB">
            <w:rPr>
              <w:b w:val="0"/>
            </w:rPr>
            <w:t xml:space="preserve">Grade </w:t>
          </w:r>
          <w:r>
            <w:rPr>
              <w:b w:val="0"/>
            </w:rPr>
            <w:t>11</w:t>
          </w:r>
          <w:r w:rsidRPr="001B2DAB">
            <w:rPr>
              <w:b w:val="0"/>
            </w:rPr>
            <w:t xml:space="preserve"> • Module </w:t>
          </w:r>
          <w:r>
            <w:rPr>
              <w:b w:val="0"/>
            </w:rPr>
            <w:t xml:space="preserve">4 </w:t>
          </w:r>
          <w:r w:rsidRPr="001B2DAB">
            <w:rPr>
              <w:b w:val="0"/>
            </w:rPr>
            <w:t xml:space="preserve">• Unit </w:t>
          </w:r>
          <w:r>
            <w:rPr>
              <w:b w:val="0"/>
            </w:rPr>
            <w:t>1</w:t>
          </w:r>
          <w:r w:rsidRPr="001B2DAB">
            <w:rPr>
              <w:b w:val="0"/>
            </w:rPr>
            <w:t xml:space="preserve"> Overview</w:t>
          </w:r>
        </w:p>
      </w:tc>
    </w:tr>
  </w:tbl>
  <w:p w14:paraId="7D50C4A0" w14:textId="77777777" w:rsidR="00211D8B" w:rsidRDefault="00211D8B"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BEC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B457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64F8"/>
    <w:multiLevelType w:val="multilevel"/>
    <w:tmpl w:val="BE5C72F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7">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8">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1732A"/>
    <w:multiLevelType w:val="hybridMultilevel"/>
    <w:tmpl w:val="87C64724"/>
    <w:lvl w:ilvl="0" w:tplc="7F4273C8">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20"/>
  </w:num>
  <w:num w:numId="5">
    <w:abstractNumId w:val="16"/>
  </w:num>
  <w:num w:numId="6">
    <w:abstractNumId w:val="22"/>
  </w:num>
  <w:num w:numId="7">
    <w:abstractNumId w:val="26"/>
  </w:num>
  <w:num w:numId="8">
    <w:abstractNumId w:val="14"/>
  </w:num>
  <w:num w:numId="9">
    <w:abstractNumId w:val="10"/>
  </w:num>
  <w:num w:numId="10">
    <w:abstractNumId w:val="21"/>
  </w:num>
  <w:num w:numId="11">
    <w:abstractNumId w:val="2"/>
  </w:num>
  <w:num w:numId="12">
    <w:abstractNumId w:val="25"/>
  </w:num>
  <w:num w:numId="13">
    <w:abstractNumId w:val="8"/>
    <w:lvlOverride w:ilvl="0">
      <w:startOverride w:val="1"/>
    </w:lvlOverride>
  </w:num>
  <w:num w:numId="14">
    <w:abstractNumId w:val="27"/>
  </w:num>
  <w:num w:numId="15">
    <w:abstractNumId w:val="4"/>
  </w:num>
  <w:num w:numId="16">
    <w:abstractNumId w:val="23"/>
  </w:num>
  <w:num w:numId="17">
    <w:abstractNumId w:val="7"/>
  </w:num>
  <w:num w:numId="18">
    <w:abstractNumId w:val="30"/>
  </w:num>
  <w:num w:numId="19">
    <w:abstractNumId w:val="11"/>
  </w:num>
  <w:num w:numId="20">
    <w:abstractNumId w:val="28"/>
  </w:num>
  <w:num w:numId="21">
    <w:abstractNumId w:val="13"/>
  </w:num>
  <w:num w:numId="22">
    <w:abstractNumId w:val="0"/>
  </w:num>
  <w:num w:numId="23">
    <w:abstractNumId w:val="3"/>
  </w:num>
  <w:num w:numId="24">
    <w:abstractNumId w:val="31"/>
  </w:num>
  <w:num w:numId="25">
    <w:abstractNumId w:val="24"/>
  </w:num>
  <w:num w:numId="26">
    <w:abstractNumId w:val="5"/>
  </w:num>
  <w:num w:numId="27">
    <w:abstractNumId w:val="15"/>
  </w:num>
  <w:num w:numId="28">
    <w:abstractNumId w:val="6"/>
  </w:num>
  <w:num w:numId="29">
    <w:abstractNumId w:val="29"/>
  </w:num>
  <w:num w:numId="30">
    <w:abstractNumId w:val="1"/>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9"/>
  </w:num>
  <w:num w:numId="35">
    <w:abstractNumId w:val="29"/>
    <w:lvlOverride w:ilvl="0">
      <w:startOverride w:val="3"/>
    </w:lvlOverride>
  </w:num>
  <w:num w:numId="36">
    <w:abstractNumId w:val="29"/>
  </w:num>
  <w:num w:numId="37">
    <w:abstractNumId w:val="12"/>
  </w:num>
  <w:num w:numId="38">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C94"/>
    <w:rsid w:val="000014B1"/>
    <w:rsid w:val="00020D17"/>
    <w:rsid w:val="00030B4D"/>
    <w:rsid w:val="00057DE6"/>
    <w:rsid w:val="0007569E"/>
    <w:rsid w:val="000921DA"/>
    <w:rsid w:val="0009700D"/>
    <w:rsid w:val="000978E3"/>
    <w:rsid w:val="000A0D39"/>
    <w:rsid w:val="000C4D50"/>
    <w:rsid w:val="000D353E"/>
    <w:rsid w:val="000D5259"/>
    <w:rsid w:val="000E0A1B"/>
    <w:rsid w:val="000E607B"/>
    <w:rsid w:val="00123B0C"/>
    <w:rsid w:val="0013241E"/>
    <w:rsid w:val="0015083C"/>
    <w:rsid w:val="00151918"/>
    <w:rsid w:val="001565D9"/>
    <w:rsid w:val="00157472"/>
    <w:rsid w:val="0016606D"/>
    <w:rsid w:val="001943B7"/>
    <w:rsid w:val="001A59B6"/>
    <w:rsid w:val="001B2DAB"/>
    <w:rsid w:val="001C640B"/>
    <w:rsid w:val="001D2E0D"/>
    <w:rsid w:val="001D3631"/>
    <w:rsid w:val="001D6842"/>
    <w:rsid w:val="001E4C0A"/>
    <w:rsid w:val="001E6F3B"/>
    <w:rsid w:val="001F1D96"/>
    <w:rsid w:val="001F47E2"/>
    <w:rsid w:val="001F7CAA"/>
    <w:rsid w:val="0020351B"/>
    <w:rsid w:val="00205BC1"/>
    <w:rsid w:val="00211D8B"/>
    <w:rsid w:val="00223A63"/>
    <w:rsid w:val="00230DAF"/>
    <w:rsid w:val="00237CEF"/>
    <w:rsid w:val="00240430"/>
    <w:rsid w:val="00241974"/>
    <w:rsid w:val="002526BA"/>
    <w:rsid w:val="00285B7F"/>
    <w:rsid w:val="0029387D"/>
    <w:rsid w:val="002A1407"/>
    <w:rsid w:val="002D13F1"/>
    <w:rsid w:val="002D3750"/>
    <w:rsid w:val="002E0EE2"/>
    <w:rsid w:val="00300A8C"/>
    <w:rsid w:val="0030208B"/>
    <w:rsid w:val="00315CFA"/>
    <w:rsid w:val="003168A2"/>
    <w:rsid w:val="003402A6"/>
    <w:rsid w:val="00355C06"/>
    <w:rsid w:val="003722B4"/>
    <w:rsid w:val="0037632C"/>
    <w:rsid w:val="00381A66"/>
    <w:rsid w:val="003E75C2"/>
    <w:rsid w:val="003F7360"/>
    <w:rsid w:val="00400E63"/>
    <w:rsid w:val="00401E53"/>
    <w:rsid w:val="0040699E"/>
    <w:rsid w:val="00406C52"/>
    <w:rsid w:val="00424CA9"/>
    <w:rsid w:val="00437454"/>
    <w:rsid w:val="00440E16"/>
    <w:rsid w:val="004466BD"/>
    <w:rsid w:val="00454401"/>
    <w:rsid w:val="00456406"/>
    <w:rsid w:val="00462707"/>
    <w:rsid w:val="0046450B"/>
    <w:rsid w:val="00466B4A"/>
    <w:rsid w:val="00482EDE"/>
    <w:rsid w:val="004B640E"/>
    <w:rsid w:val="004C710D"/>
    <w:rsid w:val="004C7DAA"/>
    <w:rsid w:val="00503510"/>
    <w:rsid w:val="005044AB"/>
    <w:rsid w:val="0056120A"/>
    <w:rsid w:val="00567843"/>
    <w:rsid w:val="0057216F"/>
    <w:rsid w:val="0057310F"/>
    <w:rsid w:val="00577F11"/>
    <w:rsid w:val="005A51BD"/>
    <w:rsid w:val="005C36B6"/>
    <w:rsid w:val="005D0E09"/>
    <w:rsid w:val="005D16B3"/>
    <w:rsid w:val="005D5533"/>
    <w:rsid w:val="005E455B"/>
    <w:rsid w:val="005E59CC"/>
    <w:rsid w:val="005E7135"/>
    <w:rsid w:val="005F3CF1"/>
    <w:rsid w:val="005F42A3"/>
    <w:rsid w:val="00605069"/>
    <w:rsid w:val="00664154"/>
    <w:rsid w:val="006652F0"/>
    <w:rsid w:val="006852DC"/>
    <w:rsid w:val="00690CD0"/>
    <w:rsid w:val="006912D8"/>
    <w:rsid w:val="006A2CC3"/>
    <w:rsid w:val="006C5BE5"/>
    <w:rsid w:val="006D5456"/>
    <w:rsid w:val="006E133C"/>
    <w:rsid w:val="006F4312"/>
    <w:rsid w:val="006F7C91"/>
    <w:rsid w:val="00704673"/>
    <w:rsid w:val="00707BD7"/>
    <w:rsid w:val="00714725"/>
    <w:rsid w:val="00717680"/>
    <w:rsid w:val="00740E37"/>
    <w:rsid w:val="00752C25"/>
    <w:rsid w:val="007574F8"/>
    <w:rsid w:val="00793951"/>
    <w:rsid w:val="007A12D1"/>
    <w:rsid w:val="007B2092"/>
    <w:rsid w:val="007B7B51"/>
    <w:rsid w:val="007F04B0"/>
    <w:rsid w:val="00831AF8"/>
    <w:rsid w:val="00855660"/>
    <w:rsid w:val="0086687B"/>
    <w:rsid w:val="00877F8F"/>
    <w:rsid w:val="00881AB7"/>
    <w:rsid w:val="00890D39"/>
    <w:rsid w:val="00895EAD"/>
    <w:rsid w:val="008A0182"/>
    <w:rsid w:val="008B072A"/>
    <w:rsid w:val="008E6CD8"/>
    <w:rsid w:val="0091305D"/>
    <w:rsid w:val="0091457D"/>
    <w:rsid w:val="009154F7"/>
    <w:rsid w:val="0097551B"/>
    <w:rsid w:val="009B6DF6"/>
    <w:rsid w:val="009C6A23"/>
    <w:rsid w:val="009D4345"/>
    <w:rsid w:val="009E19DD"/>
    <w:rsid w:val="009E74DE"/>
    <w:rsid w:val="00A073C3"/>
    <w:rsid w:val="00A14BA3"/>
    <w:rsid w:val="00A2634F"/>
    <w:rsid w:val="00A32DB0"/>
    <w:rsid w:val="00A4514C"/>
    <w:rsid w:val="00A642CC"/>
    <w:rsid w:val="00A730B0"/>
    <w:rsid w:val="00A7637C"/>
    <w:rsid w:val="00AA1736"/>
    <w:rsid w:val="00AA7680"/>
    <w:rsid w:val="00AB3E80"/>
    <w:rsid w:val="00AC58A3"/>
    <w:rsid w:val="00AC73C5"/>
    <w:rsid w:val="00AE56C4"/>
    <w:rsid w:val="00AE7F17"/>
    <w:rsid w:val="00AF4FD6"/>
    <w:rsid w:val="00AF57A9"/>
    <w:rsid w:val="00B01459"/>
    <w:rsid w:val="00B04310"/>
    <w:rsid w:val="00B06498"/>
    <w:rsid w:val="00B16F57"/>
    <w:rsid w:val="00B277C4"/>
    <w:rsid w:val="00B678BE"/>
    <w:rsid w:val="00B81032"/>
    <w:rsid w:val="00B83324"/>
    <w:rsid w:val="00BB004C"/>
    <w:rsid w:val="00BC1141"/>
    <w:rsid w:val="00BC11A1"/>
    <w:rsid w:val="00BC319D"/>
    <w:rsid w:val="00BC39EF"/>
    <w:rsid w:val="00BC52BF"/>
    <w:rsid w:val="00BD666A"/>
    <w:rsid w:val="00BE3304"/>
    <w:rsid w:val="00C000AF"/>
    <w:rsid w:val="00C04A35"/>
    <w:rsid w:val="00C066FE"/>
    <w:rsid w:val="00C13265"/>
    <w:rsid w:val="00C23414"/>
    <w:rsid w:val="00C25505"/>
    <w:rsid w:val="00C33062"/>
    <w:rsid w:val="00C43949"/>
    <w:rsid w:val="00C46F19"/>
    <w:rsid w:val="00C866BE"/>
    <w:rsid w:val="00C86FB8"/>
    <w:rsid w:val="00CA6F61"/>
    <w:rsid w:val="00CC183D"/>
    <w:rsid w:val="00CD57D8"/>
    <w:rsid w:val="00CD5826"/>
    <w:rsid w:val="00CE0583"/>
    <w:rsid w:val="00D272D6"/>
    <w:rsid w:val="00D45EB1"/>
    <w:rsid w:val="00D46E3E"/>
    <w:rsid w:val="00D80EB1"/>
    <w:rsid w:val="00D81CFB"/>
    <w:rsid w:val="00D86428"/>
    <w:rsid w:val="00D86DBB"/>
    <w:rsid w:val="00D87C94"/>
    <w:rsid w:val="00DA0EDB"/>
    <w:rsid w:val="00DB3054"/>
    <w:rsid w:val="00DE37A6"/>
    <w:rsid w:val="00DF7061"/>
    <w:rsid w:val="00DF73EF"/>
    <w:rsid w:val="00E01A59"/>
    <w:rsid w:val="00E1782F"/>
    <w:rsid w:val="00E21F9C"/>
    <w:rsid w:val="00E23F20"/>
    <w:rsid w:val="00E521CF"/>
    <w:rsid w:val="00E72190"/>
    <w:rsid w:val="00E75803"/>
    <w:rsid w:val="00E769A8"/>
    <w:rsid w:val="00E85F86"/>
    <w:rsid w:val="00E864E2"/>
    <w:rsid w:val="00E90B4A"/>
    <w:rsid w:val="00EC5BD6"/>
    <w:rsid w:val="00F127E3"/>
    <w:rsid w:val="00F31624"/>
    <w:rsid w:val="00F338E0"/>
    <w:rsid w:val="00F47849"/>
    <w:rsid w:val="00F514E7"/>
    <w:rsid w:val="00F61E99"/>
    <w:rsid w:val="00F6430C"/>
    <w:rsid w:val="00F714D2"/>
    <w:rsid w:val="00F7243F"/>
    <w:rsid w:val="00F82CAF"/>
    <w:rsid w:val="00FB38E4"/>
    <w:rsid w:val="00FB6E84"/>
    <w:rsid w:val="00FD42AE"/>
    <w:rsid w:val="00FD4F2F"/>
    <w:rsid w:val="00FD514A"/>
    <w:rsid w:val="00FD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B2CAA"/>
  <w15:docId w15:val="{3DA64BD5-1F1B-4411-A7AC-AC6713A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LightShading-Accent51">
    <w:name w:val="Light Shading - Accent 5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link w:val="QChar"/>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LightList-Accent51">
    <w:name w:val="Light List - Accent 5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customStyle="1" w:styleId="MediumList1-Accent41">
    <w:name w:val="Medium List 1 - Accent 41"/>
    <w:hidden/>
    <w:uiPriority w:val="99"/>
    <w:semiHidden/>
    <w:rsid w:val="00285B7F"/>
    <w:rPr>
      <w:rFonts w:eastAsia="Calibri"/>
      <w:sz w:val="22"/>
      <w:szCs w:val="22"/>
    </w:rPr>
  </w:style>
  <w:style w:type="paragraph" w:customStyle="1" w:styleId="ColorfulList-Accent21">
    <w:name w:val="Colorful List - Accent 2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character" w:customStyle="1" w:styleId="PlainTable31">
    <w:name w:val="Plain Table 31"/>
    <w:uiPriority w:val="19"/>
    <w:qFormat/>
    <w:rsid w:val="00BC39EF"/>
    <w:rPr>
      <w:i/>
      <w:iCs/>
      <w:color w:val="404040"/>
    </w:rPr>
  </w:style>
  <w:style w:type="paragraph" w:customStyle="1" w:styleId="SubStandard">
    <w:name w:val="*SubStandard"/>
    <w:basedOn w:val="Normal"/>
    <w:link w:val="SubStandardChar"/>
    <w:qFormat/>
    <w:rsid w:val="00BC39EF"/>
    <w:pPr>
      <w:numPr>
        <w:numId w:val="36"/>
      </w:numPr>
      <w:spacing w:before="40" w:after="40"/>
    </w:pPr>
  </w:style>
  <w:style w:type="character" w:customStyle="1" w:styleId="SubStandardChar">
    <w:name w:val="*SubStandard Char"/>
    <w:link w:val="SubStandard"/>
    <w:rsid w:val="00BC39EF"/>
    <w:rPr>
      <w:rFonts w:eastAsia="Calibri"/>
      <w:sz w:val="22"/>
      <w:szCs w:val="22"/>
    </w:rPr>
  </w:style>
  <w:style w:type="paragraph" w:customStyle="1" w:styleId="LightList-Accent31">
    <w:name w:val="Light List - Accent 31"/>
    <w:hidden/>
    <w:uiPriority w:val="71"/>
    <w:rsid w:val="00C000AF"/>
    <w:rPr>
      <w:rFonts w:eastAsia="Calibri"/>
      <w:sz w:val="22"/>
      <w:szCs w:val="22"/>
    </w:rPr>
  </w:style>
  <w:style w:type="character" w:customStyle="1" w:styleId="QChar">
    <w:name w:val="*Q* Char"/>
    <w:link w:val="Q"/>
    <w:rsid w:val="00503510"/>
    <w:rPr>
      <w:rFonts w:eastAsia="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200">
      <w:bodyDiv w:val="1"/>
      <w:marLeft w:val="0"/>
      <w:marRight w:val="0"/>
      <w:marTop w:val="0"/>
      <w:marBottom w:val="0"/>
      <w:divBdr>
        <w:top w:val="none" w:sz="0" w:space="0" w:color="auto"/>
        <w:left w:val="none" w:sz="0" w:space="0" w:color="auto"/>
        <w:bottom w:val="none" w:sz="0" w:space="0" w:color="auto"/>
        <w:right w:val="none" w:sz="0" w:space="0" w:color="auto"/>
      </w:divBdr>
    </w:div>
    <w:div w:id="411270673">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91288210">
      <w:bodyDiv w:val="1"/>
      <w:marLeft w:val="0"/>
      <w:marRight w:val="0"/>
      <w:marTop w:val="0"/>
      <w:marBottom w:val="0"/>
      <w:divBdr>
        <w:top w:val="none" w:sz="0" w:space="0" w:color="auto"/>
        <w:left w:val="none" w:sz="0" w:space="0" w:color="auto"/>
        <w:bottom w:val="none" w:sz="0" w:space="0" w:color="auto"/>
        <w:right w:val="none" w:sz="0" w:space="0" w:color="auto"/>
      </w:divBdr>
    </w:div>
    <w:div w:id="918251461">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11250057">
      <w:bodyDiv w:val="1"/>
      <w:marLeft w:val="0"/>
      <w:marRight w:val="0"/>
      <w:marTop w:val="0"/>
      <w:marBottom w:val="0"/>
      <w:divBdr>
        <w:top w:val="none" w:sz="0" w:space="0" w:color="auto"/>
        <w:left w:val="none" w:sz="0" w:space="0" w:color="auto"/>
        <w:bottom w:val="none" w:sz="0" w:space="0" w:color="auto"/>
        <w:right w:val="none" w:sz="0" w:space="0" w:color="auto"/>
      </w:divBdr>
    </w:div>
    <w:div w:id="1548105136">
      <w:bodyDiv w:val="1"/>
      <w:marLeft w:val="0"/>
      <w:marRight w:val="0"/>
      <w:marTop w:val="0"/>
      <w:marBottom w:val="0"/>
      <w:divBdr>
        <w:top w:val="none" w:sz="0" w:space="0" w:color="auto"/>
        <w:left w:val="none" w:sz="0" w:space="0" w:color="auto"/>
        <w:bottom w:val="none" w:sz="0" w:space="0" w:color="auto"/>
        <w:right w:val="none" w:sz="0" w:space="0" w:color="auto"/>
      </w:divBdr>
    </w:div>
    <w:div w:id="18104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20929</CharactersWithSpaces>
  <SharedDoc>false</SharedDoc>
  <HLinks>
    <vt:vector size="6" baseType="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2014-10-30T00:27:00Z</cp:lastPrinted>
  <dcterms:created xsi:type="dcterms:W3CDTF">2014-10-31T15:47:00Z</dcterms:created>
  <dcterms:modified xsi:type="dcterms:W3CDTF">2014-10-31T15:47:00Z</dcterms:modified>
</cp:coreProperties>
</file>