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50" w:type="dxa"/>
        <w:tblBorders>
          <w:insideH w:val="single" w:sz="18" w:space="0" w:color="FFFFFF"/>
          <w:insideV w:val="single" w:sz="18" w:space="0" w:color="FFFFFF"/>
        </w:tblBorders>
        <w:shd w:val="clear" w:color="1F497D" w:fill="244061"/>
        <w:tblLook w:val="00A0" w:firstRow="1" w:lastRow="0" w:firstColumn="1" w:lastColumn="0" w:noHBand="0" w:noVBand="0"/>
      </w:tblPr>
      <w:tblGrid>
        <w:gridCol w:w="1980"/>
        <w:gridCol w:w="7470"/>
      </w:tblGrid>
      <w:tr w:rsidR="00F814D5" w:rsidRPr="00042178" w14:paraId="2F0A527C" w14:textId="77777777" w:rsidTr="0026193E">
        <w:trPr>
          <w:trHeight w:val="1008"/>
        </w:trPr>
        <w:tc>
          <w:tcPr>
            <w:tcW w:w="1980" w:type="dxa"/>
            <w:shd w:val="clear" w:color="auto" w:fill="385623"/>
            <w:vAlign w:val="center"/>
          </w:tcPr>
          <w:p w14:paraId="0A8B545B" w14:textId="77777777" w:rsidR="00F814D5" w:rsidRPr="00042178" w:rsidRDefault="00B52267" w:rsidP="00B231AA">
            <w:pPr>
              <w:pStyle w:val="Header-banner"/>
              <w:rPr>
                <w:rFonts w:asciiTheme="minorHAnsi" w:hAnsiTheme="minorHAnsi"/>
              </w:rPr>
            </w:pPr>
            <w:bookmarkStart w:id="0" w:name="_GoBack"/>
            <w:bookmarkEnd w:id="0"/>
            <w:r w:rsidRPr="00042178">
              <w:rPr>
                <w:rFonts w:asciiTheme="minorHAnsi" w:hAnsiTheme="minorHAnsi"/>
              </w:rPr>
              <w:t>11.3</w:t>
            </w:r>
            <w:r w:rsidR="00F814D5" w:rsidRPr="00042178">
              <w:rPr>
                <w:rFonts w:asciiTheme="minorHAnsi" w:hAnsiTheme="minorHAnsi"/>
              </w:rPr>
              <w:t>.</w:t>
            </w:r>
            <w:r w:rsidRPr="00042178">
              <w:rPr>
                <w:rFonts w:asciiTheme="minorHAnsi" w:hAnsiTheme="minorHAnsi"/>
              </w:rPr>
              <w:t>2</w:t>
            </w:r>
          </w:p>
        </w:tc>
        <w:tc>
          <w:tcPr>
            <w:tcW w:w="7470" w:type="dxa"/>
            <w:shd w:val="clear" w:color="auto" w:fill="76923C"/>
            <w:vAlign w:val="center"/>
          </w:tcPr>
          <w:p w14:paraId="1E2FE8FF" w14:textId="77777777" w:rsidR="00F814D5" w:rsidRPr="00042178" w:rsidRDefault="00F814D5" w:rsidP="00B231AA">
            <w:pPr>
              <w:pStyle w:val="Header2banner"/>
              <w:spacing w:line="240" w:lineRule="auto"/>
              <w:rPr>
                <w:rFonts w:asciiTheme="minorHAnsi" w:hAnsiTheme="minorHAnsi"/>
              </w:rPr>
            </w:pPr>
            <w:r w:rsidRPr="00042178">
              <w:rPr>
                <w:rFonts w:asciiTheme="minorHAnsi" w:hAnsiTheme="minorHAnsi"/>
              </w:rPr>
              <w:t xml:space="preserve">Lesson </w:t>
            </w:r>
            <w:r w:rsidR="00B52267" w:rsidRPr="00042178">
              <w:rPr>
                <w:rFonts w:asciiTheme="minorHAnsi" w:hAnsiTheme="minorHAnsi"/>
              </w:rPr>
              <w:t>7</w:t>
            </w:r>
          </w:p>
        </w:tc>
      </w:tr>
    </w:tbl>
    <w:p w14:paraId="3A0B1C57" w14:textId="77777777" w:rsidR="005C4572" w:rsidRPr="00042178" w:rsidRDefault="00C4787C" w:rsidP="00E946A0">
      <w:pPr>
        <w:pStyle w:val="Heading1"/>
      </w:pPr>
      <w:r w:rsidRPr="00042178">
        <w:t>Introduction</w:t>
      </w:r>
    </w:p>
    <w:p w14:paraId="574AFF69" w14:textId="77777777" w:rsidR="007508BF" w:rsidRPr="00042178" w:rsidRDefault="007508BF" w:rsidP="007508BF">
      <w:r w:rsidRPr="00042178">
        <w:t xml:space="preserve">In this lesson, students begin </w:t>
      </w:r>
      <w:r w:rsidR="00CF40DA">
        <w:t>to conduct</w:t>
      </w:r>
      <w:r w:rsidR="00CF40DA" w:rsidRPr="00042178">
        <w:t xml:space="preserve"> </w:t>
      </w:r>
      <w:r w:rsidRPr="00042178">
        <w:t xml:space="preserve">searches independently using the Research Frame (created in Lesson 6) and associated search tools. This lesson is the first of three lessons in which students conduct sustained, independent research during class. While researching, students consider how to use inquiry questions to drive research and continually assess sources for credibility and usefulness in answering inquiry questions. </w:t>
      </w:r>
    </w:p>
    <w:p w14:paraId="733535C2" w14:textId="77777777" w:rsidR="007508BF" w:rsidRPr="00042178" w:rsidRDefault="007508BF" w:rsidP="007508BF">
      <w:r w:rsidRPr="00042178">
        <w:t>This lesson is the first of three independent search lessons (</w:t>
      </w:r>
      <w:r w:rsidR="004D288B" w:rsidRPr="00042178">
        <w:t>11</w:t>
      </w:r>
      <w:r w:rsidRPr="00042178">
        <w:t xml:space="preserve">.3.2 Lessons 7–9) assessed using a Conducting Independent Searches Checklist. The Conducting Independent Searches Checklist serves as an assessment tool for the teacher while also focusing students on specific aspects of the search process for each search lesson. The teacher provides feedback on two </w:t>
      </w:r>
      <w:r w:rsidR="00CF40DA">
        <w:t>of the</w:t>
      </w:r>
      <w:r w:rsidRPr="00042178">
        <w:t xml:space="preserve"> criteria from the Conducting Independent Searches Checklist for each of the three lessons. For this lesson, the focal criteria are 1 and 2. Lesson 8’s focal criteria are 3 and 4, and Lesson 9’s focal criteria are 5 and 6. </w:t>
      </w:r>
    </w:p>
    <w:p w14:paraId="2B2C4454" w14:textId="77777777" w:rsidR="00AB2FD3" w:rsidRDefault="007508BF" w:rsidP="007508BF">
      <w:r w:rsidRPr="00042178">
        <w:t xml:space="preserve">Students begin the lesson </w:t>
      </w:r>
      <w:r w:rsidR="00CF40DA">
        <w:t>with</w:t>
      </w:r>
      <w:r w:rsidRPr="00042178">
        <w:t xml:space="preserve"> a research process check-in during which they update their Student Research Plan. The teacher introduces students to the Conducting Independent Searches Checklist, and students conduct research using the steps that they were introduced to in previous lessons. </w:t>
      </w:r>
      <w:r w:rsidR="00E91BA1" w:rsidRPr="00042178">
        <w:t>Student learning in this lesson is assessed via individual students’ completed research tools, including Potential Sources Tools, Taking Notes Tools, and a current Research Frame</w:t>
      </w:r>
      <w:r w:rsidRPr="00042178">
        <w:t xml:space="preserve">. </w:t>
      </w:r>
    </w:p>
    <w:p w14:paraId="5B5C52C7" w14:textId="5C460868" w:rsidR="007508BF" w:rsidRPr="00042178" w:rsidRDefault="007508BF" w:rsidP="007508BF">
      <w:r w:rsidRPr="00042178">
        <w:t>For homework, students continue conducting searches independently, following the steps taught in Lessons 3–5 (plan for searches, assess sources, annotate sources, record notes, and evaluate arguments)</w:t>
      </w:r>
      <w:r w:rsidR="00CF40DA">
        <w:t xml:space="preserve">. Students also </w:t>
      </w:r>
      <w:r w:rsidRPr="00042178">
        <w:t xml:space="preserve">add to the vocabulary journal </w:t>
      </w:r>
      <w:r w:rsidR="00CF40DA">
        <w:t>any</w:t>
      </w:r>
      <w:r w:rsidRPr="00042178">
        <w:t xml:space="preserve"> new vocabulary the have learned throughout the research process. </w:t>
      </w:r>
    </w:p>
    <w:p w14:paraId="7FE08D82" w14:textId="77777777" w:rsidR="00C4787C" w:rsidRPr="00042178" w:rsidRDefault="00C4787C" w:rsidP="00E946A0">
      <w:pPr>
        <w:pStyle w:val="Heading1"/>
      </w:pPr>
      <w:r w:rsidRPr="00042178">
        <w:t xml:space="preserve">Standards </w:t>
      </w:r>
    </w:p>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327"/>
        <w:gridCol w:w="7909"/>
      </w:tblGrid>
      <w:tr w:rsidR="00F308FF" w:rsidRPr="00042178" w14:paraId="2777759C" w14:textId="77777777" w:rsidTr="0026193E">
        <w:tc>
          <w:tcPr>
            <w:tcW w:w="9236" w:type="dxa"/>
            <w:gridSpan w:val="2"/>
            <w:shd w:val="clear" w:color="auto" w:fill="76923C"/>
          </w:tcPr>
          <w:p w14:paraId="64A19FAC" w14:textId="77777777" w:rsidR="00F308FF" w:rsidRPr="00042178" w:rsidRDefault="00F308FF" w:rsidP="00B00346">
            <w:pPr>
              <w:pStyle w:val="TableHeaders"/>
            </w:pPr>
            <w:r w:rsidRPr="00042178">
              <w:t>Assessed Standard</w:t>
            </w:r>
            <w:r w:rsidR="00583FF7" w:rsidRPr="00042178">
              <w:t>(s)</w:t>
            </w:r>
          </w:p>
        </w:tc>
      </w:tr>
      <w:tr w:rsidR="00FB2878" w:rsidRPr="00042178" w14:paraId="0EF0107F" w14:textId="77777777" w:rsidTr="0026193E">
        <w:tc>
          <w:tcPr>
            <w:tcW w:w="1327" w:type="dxa"/>
          </w:tcPr>
          <w:p w14:paraId="2CE79945" w14:textId="77777777" w:rsidR="004D288B" w:rsidRPr="00042178" w:rsidRDefault="004D288B" w:rsidP="004D288B">
            <w:pPr>
              <w:pStyle w:val="TableText"/>
            </w:pPr>
            <w:r w:rsidRPr="00042178">
              <w:t>W.11-12.8</w:t>
            </w:r>
          </w:p>
          <w:p w14:paraId="4BEFBD5D" w14:textId="77777777" w:rsidR="00FB2878" w:rsidRPr="00042178" w:rsidRDefault="00FB2878" w:rsidP="000B2D56">
            <w:pPr>
              <w:pStyle w:val="TableText"/>
            </w:pPr>
          </w:p>
        </w:tc>
        <w:tc>
          <w:tcPr>
            <w:tcW w:w="7909" w:type="dxa"/>
          </w:tcPr>
          <w:p w14:paraId="474075B2" w14:textId="77777777" w:rsidR="00CF498D" w:rsidRPr="00042178" w:rsidRDefault="004D288B" w:rsidP="004D288B">
            <w:pPr>
              <w:pStyle w:val="TableText"/>
            </w:pPr>
            <w:r w:rsidRPr="00042178">
              <w:t>Gather relevant information from multiple authoritative print and digital sources, using advanced searches effectively; assess the strengths and limitations of each source in terms of the task, purpose, and audience; integrate information into the text selectively to maintain the flow of ideas, avoiding plagiarism and overreliance on any one source and following a standard format for citation.</w:t>
            </w:r>
          </w:p>
        </w:tc>
      </w:tr>
      <w:tr w:rsidR="00F308FF" w:rsidRPr="00042178" w14:paraId="6DD2C173" w14:textId="77777777" w:rsidTr="0026193E">
        <w:tc>
          <w:tcPr>
            <w:tcW w:w="9236" w:type="dxa"/>
            <w:gridSpan w:val="2"/>
            <w:shd w:val="clear" w:color="auto" w:fill="76923C"/>
          </w:tcPr>
          <w:p w14:paraId="1515510B" w14:textId="77777777" w:rsidR="00F308FF" w:rsidRPr="00042178" w:rsidRDefault="00F308FF" w:rsidP="00B00346">
            <w:pPr>
              <w:pStyle w:val="TableHeaders"/>
            </w:pPr>
            <w:r w:rsidRPr="00042178">
              <w:lastRenderedPageBreak/>
              <w:t>Addressed Standard</w:t>
            </w:r>
            <w:r w:rsidR="00583FF7" w:rsidRPr="00042178">
              <w:t>(s)</w:t>
            </w:r>
          </w:p>
        </w:tc>
      </w:tr>
      <w:tr w:rsidR="000B2D56" w:rsidRPr="00042178" w14:paraId="2D1112A7" w14:textId="77777777" w:rsidTr="0026193E">
        <w:tc>
          <w:tcPr>
            <w:tcW w:w="1327" w:type="dxa"/>
          </w:tcPr>
          <w:p w14:paraId="49544A4B" w14:textId="77777777" w:rsidR="004D288B" w:rsidRPr="00042178" w:rsidRDefault="004D288B" w:rsidP="004D288B">
            <w:pPr>
              <w:pStyle w:val="TableText"/>
            </w:pPr>
            <w:r w:rsidRPr="00042178">
              <w:t>W.11-12.7</w:t>
            </w:r>
          </w:p>
          <w:p w14:paraId="41B30047" w14:textId="77777777" w:rsidR="000B2D56" w:rsidRPr="00042178" w:rsidRDefault="000B2D56" w:rsidP="000B2D56">
            <w:pPr>
              <w:pStyle w:val="TableText"/>
            </w:pPr>
          </w:p>
        </w:tc>
        <w:tc>
          <w:tcPr>
            <w:tcW w:w="7909" w:type="dxa"/>
          </w:tcPr>
          <w:p w14:paraId="0B1E8641" w14:textId="77777777" w:rsidR="000B2D56" w:rsidRPr="00042178" w:rsidRDefault="004D288B" w:rsidP="000B2D56">
            <w:pPr>
              <w:pStyle w:val="TableText"/>
            </w:pPr>
            <w:r w:rsidRPr="00042178">
              <w:t>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tc>
      </w:tr>
      <w:tr w:rsidR="004D288B" w:rsidRPr="00042178" w14:paraId="5B163082" w14:textId="77777777" w:rsidTr="0026193E">
        <w:tc>
          <w:tcPr>
            <w:tcW w:w="1327" w:type="dxa"/>
          </w:tcPr>
          <w:p w14:paraId="03055C80" w14:textId="77777777" w:rsidR="004D288B" w:rsidRPr="00042178" w:rsidRDefault="004D288B" w:rsidP="00067AE2">
            <w:pPr>
              <w:pStyle w:val="TableText"/>
            </w:pPr>
            <w:r w:rsidRPr="00042178">
              <w:t>L.11-12.4.a</w:t>
            </w:r>
            <w:r w:rsidR="00067AE2" w:rsidRPr="00042178">
              <w:t>-</w:t>
            </w:r>
            <w:r w:rsidRPr="00042178">
              <w:t>d</w:t>
            </w:r>
          </w:p>
        </w:tc>
        <w:tc>
          <w:tcPr>
            <w:tcW w:w="7909" w:type="dxa"/>
          </w:tcPr>
          <w:p w14:paraId="7FBA4714" w14:textId="77777777" w:rsidR="004D288B" w:rsidRPr="00042178" w:rsidRDefault="004D288B" w:rsidP="004D288B">
            <w:pPr>
              <w:pStyle w:val="TableText"/>
            </w:pPr>
            <w:r w:rsidRPr="00042178">
              <w:t xml:space="preserve">Determine or clarify the meaning of unknown and multiple-meaning words and phrases based on </w:t>
            </w:r>
            <w:r w:rsidRPr="00CF40DA">
              <w:rPr>
                <w:i/>
              </w:rPr>
              <w:t>grades 11–12 reading and content</w:t>
            </w:r>
            <w:r w:rsidRPr="00042178">
              <w:t>, choosing flexibly from a range of strategies.</w:t>
            </w:r>
          </w:p>
          <w:p w14:paraId="2845CD65" w14:textId="77777777" w:rsidR="004D288B" w:rsidRPr="00042178" w:rsidRDefault="004D288B" w:rsidP="004D288B">
            <w:pPr>
              <w:pStyle w:val="SubStandard"/>
            </w:pPr>
            <w:r w:rsidRPr="00042178">
              <w:t>Use context (e.g., the overall meaning of a sentence, paragraph, or text; a word’s position or function in a sentence) as a clue to the meaning of a word or phrase.</w:t>
            </w:r>
          </w:p>
          <w:p w14:paraId="18E5614D" w14:textId="77777777" w:rsidR="004D288B" w:rsidRPr="00042178" w:rsidRDefault="004D288B" w:rsidP="004D288B">
            <w:pPr>
              <w:pStyle w:val="SubStandard"/>
            </w:pPr>
            <w:r w:rsidRPr="00042178">
              <w:t xml:space="preserve">Identify and correctly use patterns of word changes that indicate different meanings or parts of speech (e.g., </w:t>
            </w:r>
            <w:r w:rsidRPr="00CF40DA">
              <w:rPr>
                <w:i/>
              </w:rPr>
              <w:t>conceive, conception, conceivable</w:t>
            </w:r>
            <w:r w:rsidRPr="00042178">
              <w:t>).</w:t>
            </w:r>
          </w:p>
          <w:p w14:paraId="32D296FF" w14:textId="77777777" w:rsidR="004D288B" w:rsidRPr="00042178" w:rsidRDefault="004D288B" w:rsidP="004D288B">
            <w:pPr>
              <w:pStyle w:val="SubStandard"/>
              <w:rPr>
                <w:szCs w:val="20"/>
              </w:rPr>
            </w:pPr>
            <w:r w:rsidRPr="00042178">
              <w:rPr>
                <w:shd w:val="clear" w:color="auto" w:fill="FFFFFF"/>
                <w:lang w:eastAsia="fr-FR"/>
              </w:rPr>
              <w:t xml:space="preserve">Consult general and specialized reference materials (e.g., dictionaries, glossaries, </w:t>
            </w:r>
            <w:r w:rsidRPr="00042178">
              <w:rPr>
                <w:shd w:val="clear" w:color="auto" w:fill="FFFFFF"/>
              </w:rPr>
              <w:t>thesauruses), both print and digital, to find the pronunciation of a word or determine or clarify its precise meaning, its part of speech, its etymology, or its standard usage.</w:t>
            </w:r>
          </w:p>
          <w:p w14:paraId="53F78E2D" w14:textId="77777777" w:rsidR="004D288B" w:rsidRPr="00042178" w:rsidRDefault="004D288B" w:rsidP="004D288B">
            <w:pPr>
              <w:pStyle w:val="SubStandard"/>
            </w:pPr>
            <w:r w:rsidRPr="00042178">
              <w:rPr>
                <w:shd w:val="clear" w:color="auto" w:fill="FFFFFF"/>
              </w:rPr>
              <w:t>Verify the preliminary determination of the meaning of a word or phrase (e.g., by checking the inferred meaning in context or in a dictionary).</w:t>
            </w:r>
          </w:p>
        </w:tc>
      </w:tr>
    </w:tbl>
    <w:p w14:paraId="7D4FD519" w14:textId="77777777" w:rsidR="00C4787C" w:rsidRPr="00042178" w:rsidRDefault="00C4787C" w:rsidP="00E946A0">
      <w:pPr>
        <w:pStyle w:val="Heading1"/>
      </w:pPr>
      <w:r w:rsidRPr="00042178">
        <w:t>Assessment</w:t>
      </w:r>
    </w:p>
    <w:tbl>
      <w:tblPr>
        <w:tblW w:w="92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0"/>
      </w:tblGrid>
      <w:tr w:rsidR="00263AF5" w:rsidRPr="00042178" w14:paraId="297F58D3" w14:textId="77777777" w:rsidTr="0026193E">
        <w:tc>
          <w:tcPr>
            <w:tcW w:w="9270" w:type="dxa"/>
            <w:shd w:val="clear" w:color="auto" w:fill="76923C"/>
          </w:tcPr>
          <w:p w14:paraId="7AAF132B" w14:textId="77777777" w:rsidR="00D920A6" w:rsidRPr="00042178" w:rsidRDefault="00D920A6" w:rsidP="00B00346">
            <w:pPr>
              <w:pStyle w:val="TableHeaders"/>
            </w:pPr>
            <w:r w:rsidRPr="00042178">
              <w:t>Assessment(s)</w:t>
            </w:r>
          </w:p>
        </w:tc>
      </w:tr>
      <w:tr w:rsidR="00B231AA" w:rsidRPr="00042178" w14:paraId="0D35082A" w14:textId="77777777" w:rsidTr="0026193E">
        <w:tc>
          <w:tcPr>
            <w:tcW w:w="9270" w:type="dxa"/>
            <w:tcBorders>
              <w:top w:val="single" w:sz="4" w:space="0" w:color="auto"/>
              <w:left w:val="single" w:sz="4" w:space="0" w:color="auto"/>
              <w:bottom w:val="single" w:sz="4" w:space="0" w:color="auto"/>
              <w:right w:val="single" w:sz="4" w:space="0" w:color="auto"/>
            </w:tcBorders>
          </w:tcPr>
          <w:p w14:paraId="157F6867" w14:textId="77777777" w:rsidR="007508BF" w:rsidRPr="00042178" w:rsidRDefault="007508BF" w:rsidP="007508BF">
            <w:pPr>
              <w:pStyle w:val="TableText"/>
              <w:rPr>
                <w:color w:val="000000"/>
                <w:szCs w:val="27"/>
                <w:shd w:val="clear" w:color="auto" w:fill="FFFFFF"/>
                <w:lang w:eastAsia="fr-FR"/>
              </w:rPr>
            </w:pPr>
            <w:r w:rsidRPr="00042178">
              <w:t>Student learning in this lesson is assessed via individual students’ completed research tools, including Potential Sources Tools, Taking Notes Tools, and a current Research Frame.</w:t>
            </w:r>
          </w:p>
          <w:p w14:paraId="53D4F169" w14:textId="77777777" w:rsidR="007508BF" w:rsidRPr="00042178" w:rsidRDefault="007508BF" w:rsidP="007508BF">
            <w:pPr>
              <w:pStyle w:val="IN"/>
            </w:pPr>
            <w:r w:rsidRPr="00042178">
              <w:t xml:space="preserve">Consider using a form of electronic folders or other technological media to house and manage the Research Portfolio contents. Teachers who choose to use Google Drive or other cloud-based online organizational formats should display sample folders for all students to see. </w:t>
            </w:r>
          </w:p>
          <w:p w14:paraId="2B3E399D" w14:textId="77777777" w:rsidR="00B231AA" w:rsidRPr="00042178" w:rsidRDefault="007508BF" w:rsidP="007508BF">
            <w:pPr>
              <w:pStyle w:val="IN"/>
            </w:pPr>
            <w:r w:rsidRPr="00042178">
              <w:t>The research tools are assessed using criteria 1 and 2 from the Conducting Independent Searches Checklist. Complete feedback for criteria 1 and 2 on the checklist for each student based on their research tools.</w:t>
            </w:r>
          </w:p>
        </w:tc>
      </w:tr>
      <w:tr w:rsidR="00263AF5" w:rsidRPr="00042178" w14:paraId="437367C2" w14:textId="77777777" w:rsidTr="0026193E">
        <w:tc>
          <w:tcPr>
            <w:tcW w:w="9270" w:type="dxa"/>
            <w:shd w:val="clear" w:color="auto" w:fill="76923C"/>
          </w:tcPr>
          <w:p w14:paraId="4686FBB7" w14:textId="77777777" w:rsidR="00D920A6" w:rsidRPr="00042178" w:rsidRDefault="00D920A6" w:rsidP="00B00346">
            <w:pPr>
              <w:pStyle w:val="TableHeaders"/>
            </w:pPr>
            <w:r w:rsidRPr="00042178">
              <w:t>High Performance Response(s)</w:t>
            </w:r>
          </w:p>
        </w:tc>
      </w:tr>
      <w:tr w:rsidR="00D920A6" w:rsidRPr="00042178" w14:paraId="10B7E181" w14:textId="77777777" w:rsidTr="0026193E">
        <w:tc>
          <w:tcPr>
            <w:tcW w:w="9270" w:type="dxa"/>
          </w:tcPr>
          <w:p w14:paraId="3D6053DF" w14:textId="77777777" w:rsidR="00BE4EBD" w:rsidRPr="00042178" w:rsidRDefault="000B2D56" w:rsidP="008151E5">
            <w:pPr>
              <w:pStyle w:val="TableText"/>
            </w:pPr>
            <w:r w:rsidRPr="00042178">
              <w:t xml:space="preserve">A </w:t>
            </w:r>
            <w:r w:rsidR="006475CB" w:rsidRPr="00042178">
              <w:t>H</w:t>
            </w:r>
            <w:r w:rsidR="00BE4EBD" w:rsidRPr="00042178">
              <w:t xml:space="preserve">igh </w:t>
            </w:r>
            <w:r w:rsidR="006475CB" w:rsidRPr="00042178">
              <w:t>P</w:t>
            </w:r>
            <w:r w:rsidR="00BE4EBD" w:rsidRPr="00042178">
              <w:t xml:space="preserve">erformance </w:t>
            </w:r>
            <w:r w:rsidR="006475CB" w:rsidRPr="00042178">
              <w:t>R</w:t>
            </w:r>
            <w:r w:rsidR="00850CE6" w:rsidRPr="00042178">
              <w:t>esponse</w:t>
            </w:r>
            <w:r w:rsidR="00BE4EBD" w:rsidRPr="00042178">
              <w:t xml:space="preserve"> </w:t>
            </w:r>
            <w:r w:rsidR="00553ACA" w:rsidRPr="00042178">
              <w:t>should</w:t>
            </w:r>
            <w:r w:rsidR="00BE4EBD" w:rsidRPr="00042178">
              <w:t>:</w:t>
            </w:r>
          </w:p>
          <w:p w14:paraId="337E560C" w14:textId="77777777" w:rsidR="00D920A6" w:rsidRPr="00042178" w:rsidRDefault="007508BF" w:rsidP="00064850">
            <w:pPr>
              <w:pStyle w:val="BulletedList"/>
            </w:pPr>
            <w:r w:rsidRPr="00042178">
              <w:t>Align to criteria 1 and 2 from the Conducting Independent Searches Checklist.</w:t>
            </w:r>
          </w:p>
        </w:tc>
      </w:tr>
    </w:tbl>
    <w:p w14:paraId="7952CEDA" w14:textId="77777777" w:rsidR="00C4787C" w:rsidRPr="00042178" w:rsidRDefault="00C4787C" w:rsidP="00E946A0">
      <w:pPr>
        <w:pStyle w:val="Heading1"/>
      </w:pPr>
      <w:r w:rsidRPr="00042178">
        <w:t>Vocabulary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C02EC2" w:rsidRPr="00042178" w14:paraId="575A415F" w14:textId="77777777" w:rsidTr="0026193E">
        <w:tc>
          <w:tcPr>
            <w:tcW w:w="9242" w:type="dxa"/>
            <w:shd w:val="clear" w:color="auto" w:fill="76923C"/>
          </w:tcPr>
          <w:p w14:paraId="78D67BDA" w14:textId="77777777" w:rsidR="00D920A6" w:rsidRPr="00042178" w:rsidRDefault="00F308FF" w:rsidP="00B00346">
            <w:pPr>
              <w:pStyle w:val="TableHeaders"/>
            </w:pPr>
            <w:r w:rsidRPr="00042178">
              <w:t>Vocabulary to provide directly (will not include extended instruction)</w:t>
            </w:r>
          </w:p>
        </w:tc>
      </w:tr>
      <w:tr w:rsidR="00D920A6" w:rsidRPr="00042178" w14:paraId="30C18D5A" w14:textId="77777777" w:rsidTr="0026193E">
        <w:tc>
          <w:tcPr>
            <w:tcW w:w="9242" w:type="dxa"/>
          </w:tcPr>
          <w:p w14:paraId="3C8AB7FF" w14:textId="4024EB2E" w:rsidR="000B2D56" w:rsidRPr="00042178" w:rsidRDefault="007508BF" w:rsidP="000B2D56">
            <w:pPr>
              <w:pStyle w:val="BulletedList"/>
            </w:pPr>
            <w:r w:rsidRPr="00042178">
              <w:t>None</w:t>
            </w:r>
            <w:r w:rsidR="00EE41AF">
              <w:t>.</w:t>
            </w:r>
            <w:r w:rsidRPr="00042178">
              <w:t>*</w:t>
            </w:r>
          </w:p>
        </w:tc>
      </w:tr>
      <w:tr w:rsidR="00263AF5" w:rsidRPr="00042178" w14:paraId="38AA78EE" w14:textId="77777777" w:rsidTr="0026193E">
        <w:tc>
          <w:tcPr>
            <w:tcW w:w="9242" w:type="dxa"/>
            <w:shd w:val="clear" w:color="auto" w:fill="76923C"/>
          </w:tcPr>
          <w:p w14:paraId="0C5875C3" w14:textId="77777777" w:rsidR="00D920A6" w:rsidRPr="00042178" w:rsidRDefault="00BA46CB" w:rsidP="00B00346">
            <w:pPr>
              <w:pStyle w:val="TableHeaders"/>
            </w:pPr>
            <w:r w:rsidRPr="00042178">
              <w:t>Vocabulary to teach (may include direct word work and/or questions)</w:t>
            </w:r>
          </w:p>
        </w:tc>
      </w:tr>
      <w:tr w:rsidR="00B231AA" w:rsidRPr="00042178" w14:paraId="0F6A4B87" w14:textId="77777777" w:rsidTr="0026193E">
        <w:tc>
          <w:tcPr>
            <w:tcW w:w="9242" w:type="dxa"/>
          </w:tcPr>
          <w:p w14:paraId="7EEE1A0C" w14:textId="5CA1A432" w:rsidR="00B231AA" w:rsidRPr="00042178" w:rsidRDefault="007508BF" w:rsidP="000B2D56">
            <w:pPr>
              <w:pStyle w:val="BulletedList"/>
            </w:pPr>
            <w:r w:rsidRPr="00042178">
              <w:t>None</w:t>
            </w:r>
            <w:r w:rsidR="00EE41AF">
              <w:t>.</w:t>
            </w:r>
            <w:r w:rsidRPr="00042178">
              <w:t>*</w:t>
            </w:r>
          </w:p>
        </w:tc>
      </w:tr>
      <w:tr w:rsidR="00C32048" w:rsidRPr="00790BCC" w14:paraId="3F695D13" w14:textId="77777777" w:rsidTr="0026193E">
        <w:tc>
          <w:tcPr>
            <w:tcW w:w="9242" w:type="dxa"/>
            <w:tcBorders>
              <w:top w:val="single" w:sz="4" w:space="0" w:color="auto"/>
              <w:left w:val="single" w:sz="4" w:space="0" w:color="auto"/>
              <w:bottom w:val="single" w:sz="4" w:space="0" w:color="auto"/>
              <w:right w:val="single" w:sz="4" w:space="0" w:color="auto"/>
            </w:tcBorders>
            <w:shd w:val="clear" w:color="auto" w:fill="76923C"/>
          </w:tcPr>
          <w:p w14:paraId="1B58F986" w14:textId="77777777" w:rsidR="00C32048" w:rsidRPr="00790BCC" w:rsidRDefault="00C32048" w:rsidP="00102DAB">
            <w:pPr>
              <w:pStyle w:val="TableHeaders"/>
            </w:pPr>
            <w:r w:rsidRPr="00790BCC">
              <w:t>Additional vocabulary to support English Language Learners (to provide directly)</w:t>
            </w:r>
          </w:p>
        </w:tc>
      </w:tr>
      <w:tr w:rsidR="00C32048" w:rsidRPr="00042178" w14:paraId="3EC80AF4" w14:textId="77777777" w:rsidTr="0026193E">
        <w:tc>
          <w:tcPr>
            <w:tcW w:w="9242" w:type="dxa"/>
          </w:tcPr>
          <w:p w14:paraId="15718355" w14:textId="071F7394" w:rsidR="00C32048" w:rsidRPr="00042178" w:rsidRDefault="00EE41AF" w:rsidP="000B2D56">
            <w:pPr>
              <w:pStyle w:val="BulletedList"/>
            </w:pPr>
            <w:r>
              <w:t>None.*</w:t>
            </w:r>
          </w:p>
        </w:tc>
      </w:tr>
    </w:tbl>
    <w:p w14:paraId="7BE0359C" w14:textId="77777777" w:rsidR="007508BF" w:rsidRPr="00042178" w:rsidRDefault="007508BF" w:rsidP="007508BF">
      <w:pPr>
        <w:rPr>
          <w:sz w:val="18"/>
          <w:szCs w:val="18"/>
        </w:rPr>
      </w:pPr>
      <w:r w:rsidRPr="00042178">
        <w:rPr>
          <w:sz w:val="18"/>
          <w:szCs w:val="18"/>
        </w:rPr>
        <w:t>*In their research and reading, students will encounter domain-specific vocabulary related to their individual research questions/problems. Students will track some of this vocabulary in their vocabulary journals when conducting independent searches during class and for homework.</w:t>
      </w:r>
    </w:p>
    <w:p w14:paraId="63758B05" w14:textId="77777777" w:rsidR="00C4787C" w:rsidRPr="00042178" w:rsidRDefault="00C4787C" w:rsidP="00E946A0">
      <w:pPr>
        <w:pStyle w:val="Heading1"/>
      </w:pPr>
      <w:r w:rsidRPr="00042178">
        <w:t>Lesson Agenda/Overview</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7"/>
        <w:gridCol w:w="1615"/>
      </w:tblGrid>
      <w:tr w:rsidR="00263AF5" w:rsidRPr="00042178" w14:paraId="0831AAEB" w14:textId="77777777" w:rsidTr="0026193E">
        <w:tc>
          <w:tcPr>
            <w:tcW w:w="7627" w:type="dxa"/>
            <w:tcBorders>
              <w:bottom w:val="single" w:sz="4" w:space="0" w:color="auto"/>
            </w:tcBorders>
            <w:shd w:val="clear" w:color="auto" w:fill="76923C"/>
          </w:tcPr>
          <w:p w14:paraId="2F6327A4" w14:textId="77777777" w:rsidR="00730123" w:rsidRPr="00042178" w:rsidRDefault="00730123" w:rsidP="00B00346">
            <w:pPr>
              <w:pStyle w:val="TableHeaders"/>
            </w:pPr>
            <w:r w:rsidRPr="00042178">
              <w:t>Student-Facing Agenda</w:t>
            </w:r>
          </w:p>
        </w:tc>
        <w:tc>
          <w:tcPr>
            <w:tcW w:w="1615" w:type="dxa"/>
            <w:tcBorders>
              <w:bottom w:val="single" w:sz="4" w:space="0" w:color="auto"/>
            </w:tcBorders>
            <w:shd w:val="clear" w:color="auto" w:fill="76923C"/>
          </w:tcPr>
          <w:p w14:paraId="09F49CD7" w14:textId="77777777" w:rsidR="00730123" w:rsidRPr="00042178" w:rsidRDefault="00730123" w:rsidP="00B00346">
            <w:pPr>
              <w:pStyle w:val="TableHeaders"/>
            </w:pPr>
            <w:r w:rsidRPr="00042178">
              <w:t>% of Lesson</w:t>
            </w:r>
          </w:p>
        </w:tc>
      </w:tr>
      <w:tr w:rsidR="00730123" w:rsidRPr="00042178" w14:paraId="2809EF6A" w14:textId="77777777" w:rsidTr="0026193E">
        <w:trPr>
          <w:trHeight w:val="782"/>
        </w:trPr>
        <w:tc>
          <w:tcPr>
            <w:tcW w:w="7627" w:type="dxa"/>
            <w:tcBorders>
              <w:bottom w:val="nil"/>
            </w:tcBorders>
          </w:tcPr>
          <w:p w14:paraId="74769F6F" w14:textId="04E1B35D" w:rsidR="005F5D35" w:rsidRPr="00042178" w:rsidRDefault="005F5D35" w:rsidP="000B2D56">
            <w:pPr>
              <w:pStyle w:val="TableText"/>
              <w:rPr>
                <w:b/>
              </w:rPr>
            </w:pPr>
            <w:r w:rsidRPr="00042178">
              <w:rPr>
                <w:b/>
              </w:rPr>
              <w:t>Standards:</w:t>
            </w:r>
          </w:p>
          <w:p w14:paraId="05CF49A8" w14:textId="77777777" w:rsidR="00730123" w:rsidRPr="00042178" w:rsidRDefault="00BE4EBD" w:rsidP="00CF40DA">
            <w:pPr>
              <w:pStyle w:val="BulletedList"/>
            </w:pPr>
            <w:r w:rsidRPr="00042178">
              <w:t xml:space="preserve">Standards: </w:t>
            </w:r>
            <w:r w:rsidR="00E93825" w:rsidRPr="00042178">
              <w:t>W.11-12.</w:t>
            </w:r>
            <w:r w:rsidR="00CF40DA">
              <w:t>8</w:t>
            </w:r>
            <w:r w:rsidR="00E93825" w:rsidRPr="00042178">
              <w:t>, W.11-12.</w:t>
            </w:r>
            <w:r w:rsidR="00CF40DA">
              <w:t>7</w:t>
            </w:r>
            <w:r w:rsidR="00E93825" w:rsidRPr="00042178">
              <w:t xml:space="preserve">, </w:t>
            </w:r>
            <w:r w:rsidR="00067AE2" w:rsidRPr="00042178">
              <w:t>L.11-12.4.a-</w:t>
            </w:r>
            <w:r w:rsidR="00E93825" w:rsidRPr="00042178">
              <w:t>d</w:t>
            </w:r>
          </w:p>
        </w:tc>
        <w:tc>
          <w:tcPr>
            <w:tcW w:w="1615" w:type="dxa"/>
            <w:tcBorders>
              <w:bottom w:val="nil"/>
            </w:tcBorders>
          </w:tcPr>
          <w:p w14:paraId="7C496DE5" w14:textId="77777777" w:rsidR="00AF5A63" w:rsidRPr="00042178" w:rsidRDefault="00AF5A63" w:rsidP="00546D71">
            <w:pPr>
              <w:pStyle w:val="NumberedList"/>
              <w:numPr>
                <w:ilvl w:val="0"/>
                <w:numId w:val="0"/>
              </w:numPr>
            </w:pPr>
          </w:p>
        </w:tc>
      </w:tr>
      <w:tr w:rsidR="00546D71" w:rsidRPr="00042178" w14:paraId="66B708E6" w14:textId="77777777" w:rsidTr="0026193E">
        <w:tc>
          <w:tcPr>
            <w:tcW w:w="7627" w:type="dxa"/>
            <w:tcBorders>
              <w:top w:val="nil"/>
            </w:tcBorders>
          </w:tcPr>
          <w:p w14:paraId="20328DDA" w14:textId="77777777" w:rsidR="00546D71" w:rsidRPr="00042178" w:rsidRDefault="00546D71" w:rsidP="000B2D56">
            <w:pPr>
              <w:pStyle w:val="TableText"/>
              <w:rPr>
                <w:b/>
              </w:rPr>
            </w:pPr>
            <w:r w:rsidRPr="00042178">
              <w:rPr>
                <w:b/>
              </w:rPr>
              <w:t>Learning Sequence:</w:t>
            </w:r>
          </w:p>
          <w:p w14:paraId="4E789D97" w14:textId="77777777" w:rsidR="007508BF" w:rsidRPr="00042178" w:rsidRDefault="007508BF" w:rsidP="007508BF">
            <w:pPr>
              <w:pStyle w:val="NumberedList"/>
            </w:pPr>
            <w:r w:rsidRPr="00042178">
              <w:t>Introduction of Lesson Agenda</w:t>
            </w:r>
          </w:p>
          <w:p w14:paraId="044288F2" w14:textId="77777777" w:rsidR="007508BF" w:rsidRPr="00042178" w:rsidRDefault="007508BF" w:rsidP="007508BF">
            <w:pPr>
              <w:pStyle w:val="NumberedList"/>
            </w:pPr>
            <w:r w:rsidRPr="00042178">
              <w:t>Homework Accountability and Research Check-In</w:t>
            </w:r>
          </w:p>
          <w:p w14:paraId="078C4C49" w14:textId="77777777" w:rsidR="007508BF" w:rsidRPr="00042178" w:rsidRDefault="007508BF" w:rsidP="007508BF">
            <w:pPr>
              <w:pStyle w:val="NumberedList"/>
            </w:pPr>
            <w:r w:rsidRPr="00042178">
              <w:t xml:space="preserve">Conducting Independent Searches Checklist </w:t>
            </w:r>
          </w:p>
          <w:p w14:paraId="2C5751FB" w14:textId="77777777" w:rsidR="007508BF" w:rsidRPr="00042178" w:rsidRDefault="007508BF" w:rsidP="007508BF">
            <w:pPr>
              <w:pStyle w:val="NumberedList"/>
            </w:pPr>
            <w:r w:rsidRPr="00042178">
              <w:t>Independent Searches</w:t>
            </w:r>
          </w:p>
          <w:p w14:paraId="2CF0CC46" w14:textId="77777777" w:rsidR="007508BF" w:rsidRPr="00042178" w:rsidRDefault="007508BF" w:rsidP="007508BF">
            <w:pPr>
              <w:pStyle w:val="NumberedList"/>
            </w:pPr>
            <w:r w:rsidRPr="00042178">
              <w:t>Assessment</w:t>
            </w:r>
          </w:p>
          <w:p w14:paraId="2CD954D9" w14:textId="77777777" w:rsidR="00546D71" w:rsidRPr="00042178" w:rsidRDefault="007508BF" w:rsidP="007508BF">
            <w:pPr>
              <w:pStyle w:val="NumberedList"/>
            </w:pPr>
            <w:r w:rsidRPr="00042178">
              <w:t>Closing</w:t>
            </w:r>
          </w:p>
        </w:tc>
        <w:tc>
          <w:tcPr>
            <w:tcW w:w="1615" w:type="dxa"/>
            <w:tcBorders>
              <w:top w:val="nil"/>
            </w:tcBorders>
          </w:tcPr>
          <w:p w14:paraId="2898E43F" w14:textId="77777777" w:rsidR="00546D71" w:rsidRPr="00042178" w:rsidRDefault="00546D71" w:rsidP="000B2D56">
            <w:pPr>
              <w:pStyle w:val="TableText"/>
            </w:pPr>
          </w:p>
          <w:p w14:paraId="0C790F72" w14:textId="77777777" w:rsidR="007508BF" w:rsidRPr="00042178" w:rsidRDefault="007508BF" w:rsidP="00C32048">
            <w:pPr>
              <w:pStyle w:val="NumberedList"/>
              <w:numPr>
                <w:ilvl w:val="0"/>
                <w:numId w:val="40"/>
              </w:numPr>
            </w:pPr>
            <w:r w:rsidRPr="00042178">
              <w:t>5%</w:t>
            </w:r>
          </w:p>
          <w:p w14:paraId="1B5231A1" w14:textId="77777777" w:rsidR="007508BF" w:rsidRPr="00042178" w:rsidRDefault="007508BF" w:rsidP="007508BF">
            <w:pPr>
              <w:pStyle w:val="NumberedList"/>
            </w:pPr>
            <w:r w:rsidRPr="00042178">
              <w:t>15%</w:t>
            </w:r>
          </w:p>
          <w:p w14:paraId="3B469D38" w14:textId="77777777" w:rsidR="007508BF" w:rsidRPr="00042178" w:rsidRDefault="007508BF" w:rsidP="007508BF">
            <w:pPr>
              <w:pStyle w:val="NumberedList"/>
            </w:pPr>
            <w:r w:rsidRPr="00042178">
              <w:t>15%</w:t>
            </w:r>
          </w:p>
          <w:p w14:paraId="1F0A3BDF" w14:textId="77777777" w:rsidR="007508BF" w:rsidRPr="00042178" w:rsidRDefault="007508BF" w:rsidP="007508BF">
            <w:pPr>
              <w:pStyle w:val="NumberedList"/>
            </w:pPr>
            <w:r w:rsidRPr="00042178">
              <w:t>55%</w:t>
            </w:r>
          </w:p>
          <w:p w14:paraId="66A79B46" w14:textId="77777777" w:rsidR="007508BF" w:rsidRPr="00042178" w:rsidRDefault="007508BF" w:rsidP="007508BF">
            <w:pPr>
              <w:pStyle w:val="NumberedList"/>
            </w:pPr>
            <w:r w:rsidRPr="00042178">
              <w:t>5%</w:t>
            </w:r>
          </w:p>
          <w:p w14:paraId="46FCAE49" w14:textId="77777777" w:rsidR="00546D71" w:rsidRPr="00042178" w:rsidRDefault="007508BF" w:rsidP="007508BF">
            <w:pPr>
              <w:pStyle w:val="NumberedList"/>
            </w:pPr>
            <w:r w:rsidRPr="00042178">
              <w:t>5%</w:t>
            </w:r>
          </w:p>
        </w:tc>
      </w:tr>
    </w:tbl>
    <w:p w14:paraId="16DD4C5A" w14:textId="77777777" w:rsidR="003368BF" w:rsidRPr="00042178" w:rsidRDefault="00F308FF" w:rsidP="00E946A0">
      <w:pPr>
        <w:pStyle w:val="Heading1"/>
      </w:pPr>
      <w:r w:rsidRPr="00042178">
        <w:t>Materials</w:t>
      </w:r>
    </w:p>
    <w:p w14:paraId="42C6E8A5" w14:textId="77777777" w:rsidR="007508BF" w:rsidRPr="00042178" w:rsidRDefault="007508BF" w:rsidP="007508BF">
      <w:pPr>
        <w:pStyle w:val="BulletedList"/>
        <w:ind w:left="360" w:hanging="360"/>
      </w:pPr>
      <w:r w:rsidRPr="00042178">
        <w:t>Research Portfolios (refer to 11.3.2 Lesson 1)</w:t>
      </w:r>
    </w:p>
    <w:p w14:paraId="63D7D483" w14:textId="77777777" w:rsidR="007508BF" w:rsidRPr="00042178" w:rsidRDefault="007508BF" w:rsidP="007508BF">
      <w:pPr>
        <w:pStyle w:val="BulletedList"/>
        <w:ind w:left="360" w:hanging="360"/>
      </w:pPr>
      <w:r w:rsidRPr="00042178">
        <w:t>Student copies of the Research Plan (refer to 11.3.2 Lesson 2)</w:t>
      </w:r>
    </w:p>
    <w:p w14:paraId="6A0085DF" w14:textId="77777777" w:rsidR="007508BF" w:rsidRPr="00042178" w:rsidRDefault="007508BF" w:rsidP="007508BF">
      <w:pPr>
        <w:pStyle w:val="BulletedList"/>
        <w:ind w:left="360" w:hanging="360"/>
      </w:pPr>
      <w:r w:rsidRPr="00042178">
        <w:t>Copies of the Conducting Independent Searches Checklist for each student</w:t>
      </w:r>
    </w:p>
    <w:p w14:paraId="311CA583" w14:textId="77777777" w:rsidR="007508BF" w:rsidRPr="00042178" w:rsidRDefault="007508BF" w:rsidP="007508BF">
      <w:pPr>
        <w:pStyle w:val="BulletedList"/>
        <w:ind w:left="360" w:hanging="360"/>
      </w:pPr>
      <w:r w:rsidRPr="00042178">
        <w:t>Extra copies of the Research Frame Tool (refer to 11.3.2 Lesson 6)</w:t>
      </w:r>
    </w:p>
    <w:p w14:paraId="330662D7" w14:textId="77777777" w:rsidR="007508BF" w:rsidRPr="00042178" w:rsidRDefault="007508BF" w:rsidP="007508BF">
      <w:pPr>
        <w:pStyle w:val="BulletedList"/>
        <w:ind w:left="360" w:hanging="360"/>
      </w:pPr>
      <w:r w:rsidRPr="00042178">
        <w:t>Extra copies of the Potential Sources Tool (refer to 11.3.2 Lesson 3)</w:t>
      </w:r>
    </w:p>
    <w:p w14:paraId="170A9A30" w14:textId="77777777" w:rsidR="007508BF" w:rsidRPr="00042178" w:rsidRDefault="007508BF" w:rsidP="007508BF">
      <w:pPr>
        <w:pStyle w:val="BulletedList"/>
        <w:ind w:left="360" w:hanging="360"/>
      </w:pPr>
      <w:r w:rsidRPr="00042178">
        <w:t>Student copies of the Assessing Sources Handout (refer to 11.3.2 Lesson 3)</w:t>
      </w:r>
    </w:p>
    <w:p w14:paraId="0CC9F33D" w14:textId="77777777" w:rsidR="007508BF" w:rsidRPr="00042178" w:rsidRDefault="007508BF" w:rsidP="007508BF">
      <w:pPr>
        <w:pStyle w:val="BulletedList"/>
        <w:ind w:left="360" w:hanging="360"/>
      </w:pPr>
      <w:r w:rsidRPr="00042178">
        <w:t>Extra copies of the Taking Notes Tool (refer to 11.3.2 Lesson 4)</w:t>
      </w:r>
    </w:p>
    <w:p w14:paraId="3A852FCC" w14:textId="77777777" w:rsidR="007508BF" w:rsidRPr="00042178" w:rsidRDefault="007508BF" w:rsidP="007508BF">
      <w:pPr>
        <w:pStyle w:val="BulletedList"/>
        <w:ind w:left="360" w:hanging="360"/>
      </w:pPr>
      <w:r w:rsidRPr="00042178">
        <w:t>Computers with Internet connection (one for each student)</w:t>
      </w:r>
    </w:p>
    <w:p w14:paraId="22876746" w14:textId="77777777" w:rsidR="00C4787C" w:rsidRPr="00042178" w:rsidRDefault="00C4787C" w:rsidP="00E946A0">
      <w:pPr>
        <w:pStyle w:val="Heading1"/>
      </w:pPr>
      <w:r w:rsidRPr="00042178">
        <w:t>Learning Sequence</w:t>
      </w:r>
    </w:p>
    <w:tbl>
      <w:tblPr>
        <w:tblStyle w:val="TableGrid"/>
        <w:tblW w:w="936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894"/>
        <w:gridCol w:w="8466"/>
      </w:tblGrid>
      <w:tr w:rsidR="00546D71" w:rsidRPr="00042178" w14:paraId="5252EB37" w14:textId="77777777" w:rsidTr="0026193E">
        <w:tc>
          <w:tcPr>
            <w:tcW w:w="9360" w:type="dxa"/>
            <w:gridSpan w:val="2"/>
            <w:shd w:val="clear" w:color="auto" w:fill="76923C" w:themeFill="accent3" w:themeFillShade="BF"/>
          </w:tcPr>
          <w:p w14:paraId="3F91AAD1" w14:textId="77777777" w:rsidR="00546D71" w:rsidRPr="00042178" w:rsidRDefault="00546D71" w:rsidP="00B00346">
            <w:pPr>
              <w:pStyle w:val="TableHeaders"/>
            </w:pPr>
            <w:r w:rsidRPr="00042178">
              <w:t>How to Use the Learning Sequence</w:t>
            </w:r>
          </w:p>
        </w:tc>
      </w:tr>
      <w:tr w:rsidR="00546D71" w:rsidRPr="00042178" w14:paraId="73F65988" w14:textId="77777777" w:rsidTr="0026193E">
        <w:tc>
          <w:tcPr>
            <w:tcW w:w="894" w:type="dxa"/>
            <w:shd w:val="clear" w:color="auto" w:fill="76923C" w:themeFill="accent3" w:themeFillShade="BF"/>
          </w:tcPr>
          <w:p w14:paraId="52168E45" w14:textId="77777777" w:rsidR="00546D71" w:rsidRPr="00042178" w:rsidRDefault="00546D71" w:rsidP="00B00346">
            <w:pPr>
              <w:pStyle w:val="TableHeaders"/>
            </w:pPr>
            <w:r w:rsidRPr="00042178">
              <w:t>Symbol</w:t>
            </w:r>
          </w:p>
        </w:tc>
        <w:tc>
          <w:tcPr>
            <w:tcW w:w="8466" w:type="dxa"/>
            <w:shd w:val="clear" w:color="auto" w:fill="76923C" w:themeFill="accent3" w:themeFillShade="BF"/>
          </w:tcPr>
          <w:p w14:paraId="465CDF7B" w14:textId="77777777" w:rsidR="00546D71" w:rsidRPr="00042178" w:rsidRDefault="00546D71" w:rsidP="00B00346">
            <w:pPr>
              <w:pStyle w:val="TableHeaders"/>
            </w:pPr>
            <w:r w:rsidRPr="00042178">
              <w:t>Type of Text &amp; Interpretation of the Symbol</w:t>
            </w:r>
          </w:p>
        </w:tc>
      </w:tr>
      <w:tr w:rsidR="00546D71" w:rsidRPr="00042178" w14:paraId="7530DB01" w14:textId="77777777" w:rsidTr="0026193E">
        <w:tc>
          <w:tcPr>
            <w:tcW w:w="894" w:type="dxa"/>
          </w:tcPr>
          <w:p w14:paraId="4CD5AD2B" w14:textId="77777777" w:rsidR="00546D71" w:rsidRPr="00042178" w:rsidRDefault="00546D71" w:rsidP="007508BF">
            <w:pPr>
              <w:spacing w:before="20" w:after="20" w:line="240" w:lineRule="auto"/>
              <w:jc w:val="center"/>
              <w:rPr>
                <w:rFonts w:asciiTheme="minorHAnsi" w:hAnsiTheme="minorHAnsi"/>
                <w:b/>
                <w:color w:val="4F81BD" w:themeColor="accent1"/>
                <w:sz w:val="20"/>
              </w:rPr>
            </w:pPr>
            <w:r w:rsidRPr="00042178">
              <w:rPr>
                <w:rFonts w:asciiTheme="minorHAnsi" w:hAnsiTheme="minorHAnsi"/>
                <w:b/>
                <w:color w:val="4F81BD" w:themeColor="accent1"/>
                <w:sz w:val="20"/>
              </w:rPr>
              <w:t>10%</w:t>
            </w:r>
          </w:p>
        </w:tc>
        <w:tc>
          <w:tcPr>
            <w:tcW w:w="8466" w:type="dxa"/>
          </w:tcPr>
          <w:p w14:paraId="3C6120B7" w14:textId="77777777" w:rsidR="00546D71" w:rsidRPr="00042178" w:rsidRDefault="00546D71" w:rsidP="007508BF">
            <w:pPr>
              <w:spacing w:before="20" w:after="20" w:line="240" w:lineRule="auto"/>
              <w:rPr>
                <w:rFonts w:asciiTheme="minorHAnsi" w:hAnsiTheme="minorHAnsi"/>
                <w:b/>
                <w:color w:val="4F81BD" w:themeColor="accent1"/>
                <w:sz w:val="20"/>
              </w:rPr>
            </w:pPr>
            <w:r w:rsidRPr="00042178">
              <w:rPr>
                <w:rFonts w:asciiTheme="minorHAnsi" w:hAnsiTheme="minorHAnsi"/>
                <w:b/>
                <w:color w:val="4F81BD" w:themeColor="accent1"/>
                <w:sz w:val="20"/>
              </w:rPr>
              <w:t>Percentage indicates the percentage of lesson time each activity should take.</w:t>
            </w:r>
          </w:p>
        </w:tc>
      </w:tr>
      <w:tr w:rsidR="00A948B3" w:rsidRPr="00042178" w14:paraId="0FA75C88" w14:textId="77777777" w:rsidTr="0026193E">
        <w:tc>
          <w:tcPr>
            <w:tcW w:w="894" w:type="dxa"/>
            <w:vMerge w:val="restart"/>
            <w:vAlign w:val="center"/>
          </w:tcPr>
          <w:p w14:paraId="6E4E9CFD" w14:textId="77777777" w:rsidR="00A948B3" w:rsidRPr="00042178" w:rsidRDefault="0097223B" w:rsidP="00A948B3">
            <w:pPr>
              <w:spacing w:before="20" w:after="20" w:line="240" w:lineRule="auto"/>
              <w:jc w:val="center"/>
              <w:rPr>
                <w:sz w:val="18"/>
              </w:rPr>
            </w:pPr>
            <w:r w:rsidRPr="00042178">
              <w:rPr>
                <w:sz w:val="18"/>
              </w:rPr>
              <w:t>n</w:t>
            </w:r>
            <w:r w:rsidR="00A948B3" w:rsidRPr="00042178">
              <w:rPr>
                <w:sz w:val="18"/>
              </w:rPr>
              <w:t>o symbol</w:t>
            </w:r>
          </w:p>
        </w:tc>
        <w:tc>
          <w:tcPr>
            <w:tcW w:w="8466" w:type="dxa"/>
          </w:tcPr>
          <w:p w14:paraId="58E977D7" w14:textId="77777777" w:rsidR="00A948B3" w:rsidRPr="00042178" w:rsidRDefault="00A948B3" w:rsidP="007508BF">
            <w:pPr>
              <w:spacing w:before="20" w:after="20" w:line="240" w:lineRule="auto"/>
              <w:rPr>
                <w:sz w:val="20"/>
              </w:rPr>
            </w:pPr>
            <w:r w:rsidRPr="00042178">
              <w:rPr>
                <w:sz w:val="20"/>
              </w:rPr>
              <w:t>Plain text indicates teacher action.</w:t>
            </w:r>
          </w:p>
        </w:tc>
      </w:tr>
      <w:tr w:rsidR="00A948B3" w:rsidRPr="00042178" w14:paraId="4A05F680" w14:textId="77777777" w:rsidTr="0026193E">
        <w:tc>
          <w:tcPr>
            <w:tcW w:w="894" w:type="dxa"/>
            <w:vMerge/>
          </w:tcPr>
          <w:p w14:paraId="229596B0" w14:textId="77777777" w:rsidR="00A948B3" w:rsidRPr="00042178" w:rsidRDefault="00A948B3" w:rsidP="007508BF">
            <w:pPr>
              <w:spacing w:before="20" w:after="20" w:line="240" w:lineRule="auto"/>
              <w:jc w:val="center"/>
              <w:rPr>
                <w:b/>
                <w:color w:val="000000" w:themeColor="text1"/>
                <w:sz w:val="20"/>
              </w:rPr>
            </w:pPr>
          </w:p>
        </w:tc>
        <w:tc>
          <w:tcPr>
            <w:tcW w:w="8466" w:type="dxa"/>
          </w:tcPr>
          <w:p w14:paraId="5FC2AA23" w14:textId="77777777" w:rsidR="00A948B3" w:rsidRPr="00042178" w:rsidRDefault="00BA46CB" w:rsidP="00A948B3">
            <w:pPr>
              <w:spacing w:before="20" w:after="20" w:line="240" w:lineRule="auto"/>
              <w:rPr>
                <w:color w:val="4F81BD" w:themeColor="accent1"/>
                <w:sz w:val="20"/>
              </w:rPr>
            </w:pPr>
            <w:r w:rsidRPr="00042178">
              <w:rPr>
                <w:b/>
                <w:sz w:val="20"/>
              </w:rPr>
              <w:t>Bold text indicates questions for the teacher to ask students.</w:t>
            </w:r>
          </w:p>
        </w:tc>
      </w:tr>
      <w:tr w:rsidR="00A948B3" w:rsidRPr="00042178" w14:paraId="74444C01" w14:textId="77777777" w:rsidTr="0026193E">
        <w:tc>
          <w:tcPr>
            <w:tcW w:w="894" w:type="dxa"/>
            <w:vMerge/>
          </w:tcPr>
          <w:p w14:paraId="61CE7B04" w14:textId="77777777" w:rsidR="00A948B3" w:rsidRPr="00042178" w:rsidRDefault="00A948B3" w:rsidP="007508BF">
            <w:pPr>
              <w:spacing w:before="20" w:after="20" w:line="240" w:lineRule="auto"/>
              <w:jc w:val="center"/>
              <w:rPr>
                <w:b/>
                <w:color w:val="000000" w:themeColor="text1"/>
                <w:sz w:val="20"/>
              </w:rPr>
            </w:pPr>
          </w:p>
        </w:tc>
        <w:tc>
          <w:tcPr>
            <w:tcW w:w="8466" w:type="dxa"/>
          </w:tcPr>
          <w:p w14:paraId="49524595" w14:textId="77777777" w:rsidR="00A948B3" w:rsidRPr="00042178" w:rsidRDefault="00A948B3" w:rsidP="00A948B3">
            <w:pPr>
              <w:spacing w:before="20" w:after="20" w:line="240" w:lineRule="auto"/>
              <w:rPr>
                <w:i/>
                <w:sz w:val="20"/>
              </w:rPr>
            </w:pPr>
            <w:r w:rsidRPr="00042178">
              <w:rPr>
                <w:i/>
                <w:sz w:val="20"/>
              </w:rPr>
              <w:t>Italicized text indicates a vocabulary word.</w:t>
            </w:r>
          </w:p>
        </w:tc>
      </w:tr>
      <w:tr w:rsidR="00546D71" w:rsidRPr="00042178" w14:paraId="30FAB9CD" w14:textId="77777777" w:rsidTr="002619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bottom"/>
          </w:tcPr>
          <w:p w14:paraId="7B24AB42" w14:textId="77777777" w:rsidR="00546D71" w:rsidRPr="00042178" w:rsidRDefault="00546D71" w:rsidP="002A5337">
            <w:pPr>
              <w:spacing w:before="40" w:after="0" w:line="240" w:lineRule="auto"/>
              <w:jc w:val="center"/>
              <w:rPr>
                <w:sz w:val="20"/>
              </w:rPr>
            </w:pPr>
            <w:r w:rsidRPr="00042178">
              <w:sym w:font="Webdings" w:char="F034"/>
            </w:r>
          </w:p>
        </w:tc>
        <w:tc>
          <w:tcPr>
            <w:tcW w:w="8466" w:type="dxa"/>
          </w:tcPr>
          <w:p w14:paraId="48CB0E91" w14:textId="77777777" w:rsidR="00546D71" w:rsidRPr="00042178" w:rsidRDefault="00546D71" w:rsidP="007508BF">
            <w:pPr>
              <w:spacing w:before="20" w:after="20" w:line="240" w:lineRule="auto"/>
              <w:rPr>
                <w:sz w:val="20"/>
              </w:rPr>
            </w:pPr>
            <w:r w:rsidRPr="00042178">
              <w:rPr>
                <w:sz w:val="20"/>
              </w:rPr>
              <w:t>Indicates student action(s).</w:t>
            </w:r>
          </w:p>
        </w:tc>
      </w:tr>
      <w:tr w:rsidR="00546D71" w:rsidRPr="00042178" w14:paraId="7BE5998A" w14:textId="77777777" w:rsidTr="002619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center"/>
          </w:tcPr>
          <w:p w14:paraId="1DB6C13F" w14:textId="77777777" w:rsidR="00546D71" w:rsidRPr="00042178" w:rsidRDefault="00546D71" w:rsidP="002A5337">
            <w:pPr>
              <w:spacing w:before="80" w:after="0" w:line="240" w:lineRule="auto"/>
              <w:jc w:val="center"/>
              <w:rPr>
                <w:sz w:val="20"/>
              </w:rPr>
            </w:pPr>
            <w:r w:rsidRPr="00042178">
              <w:rPr>
                <w:sz w:val="20"/>
              </w:rPr>
              <w:sym w:font="Webdings" w:char="F028"/>
            </w:r>
          </w:p>
        </w:tc>
        <w:tc>
          <w:tcPr>
            <w:tcW w:w="8466" w:type="dxa"/>
          </w:tcPr>
          <w:p w14:paraId="07204437" w14:textId="77777777" w:rsidR="00546D71" w:rsidRPr="00042178" w:rsidRDefault="00546D71" w:rsidP="007508BF">
            <w:pPr>
              <w:spacing w:before="20" w:after="20" w:line="240" w:lineRule="auto"/>
              <w:rPr>
                <w:sz w:val="20"/>
              </w:rPr>
            </w:pPr>
            <w:r w:rsidRPr="00042178">
              <w:rPr>
                <w:sz w:val="20"/>
              </w:rPr>
              <w:t>Indicates possible student response(s) to teacher questions.</w:t>
            </w:r>
          </w:p>
        </w:tc>
      </w:tr>
      <w:tr w:rsidR="00546D71" w:rsidRPr="00042178" w14:paraId="79F8EE83" w14:textId="77777777" w:rsidTr="0026193E">
        <w:tc>
          <w:tcPr>
            <w:tcW w:w="894" w:type="dxa"/>
            <w:vAlign w:val="bottom"/>
          </w:tcPr>
          <w:p w14:paraId="32403FBD" w14:textId="77777777" w:rsidR="00546D71" w:rsidRPr="00042178" w:rsidRDefault="00546D71" w:rsidP="002A5337">
            <w:pPr>
              <w:spacing w:after="0" w:line="240" w:lineRule="auto"/>
              <w:jc w:val="center"/>
              <w:rPr>
                <w:color w:val="4F81BD" w:themeColor="accent1"/>
                <w:sz w:val="20"/>
              </w:rPr>
            </w:pPr>
            <w:r w:rsidRPr="00042178">
              <w:rPr>
                <w:color w:val="4F81BD" w:themeColor="accent1"/>
                <w:sz w:val="20"/>
              </w:rPr>
              <w:sym w:font="Webdings" w:char="F069"/>
            </w:r>
          </w:p>
        </w:tc>
        <w:tc>
          <w:tcPr>
            <w:tcW w:w="8466" w:type="dxa"/>
          </w:tcPr>
          <w:p w14:paraId="65DA1232" w14:textId="77777777" w:rsidR="00546D71" w:rsidRPr="00042178" w:rsidRDefault="00546D71" w:rsidP="007508BF">
            <w:pPr>
              <w:spacing w:before="20" w:after="20" w:line="240" w:lineRule="auto"/>
              <w:rPr>
                <w:color w:val="4F81BD" w:themeColor="accent1"/>
                <w:sz w:val="20"/>
              </w:rPr>
            </w:pPr>
            <w:r w:rsidRPr="00042178">
              <w:rPr>
                <w:color w:val="4F81BD" w:themeColor="accent1"/>
                <w:sz w:val="20"/>
              </w:rPr>
              <w:t>Indicates instructional notes for the teacher.</w:t>
            </w:r>
          </w:p>
        </w:tc>
      </w:tr>
    </w:tbl>
    <w:p w14:paraId="5DE31C70" w14:textId="77777777" w:rsidR="00607856" w:rsidRPr="00042178" w:rsidRDefault="00BB27BA" w:rsidP="00CE2836">
      <w:pPr>
        <w:pStyle w:val="LearningSequenceHeader"/>
      </w:pPr>
      <w:r w:rsidRPr="00042178">
        <w:t>Activity 1</w:t>
      </w:r>
      <w:r w:rsidR="00607856" w:rsidRPr="00042178">
        <w:t xml:space="preserve">: </w:t>
      </w:r>
      <w:r w:rsidRPr="00042178">
        <w:t>Introduction of Lesson Agenda</w:t>
      </w:r>
      <w:r w:rsidR="00607856" w:rsidRPr="00042178">
        <w:tab/>
      </w:r>
      <w:r w:rsidRPr="00042178">
        <w:t>5</w:t>
      </w:r>
      <w:r w:rsidR="00607856" w:rsidRPr="00042178">
        <w:t>%</w:t>
      </w:r>
    </w:p>
    <w:p w14:paraId="6CC6D079" w14:textId="6A244DF5" w:rsidR="007508BF" w:rsidRPr="00042178" w:rsidRDefault="007508BF" w:rsidP="007508BF">
      <w:pPr>
        <w:pStyle w:val="TA"/>
      </w:pPr>
      <w:r w:rsidRPr="00042178">
        <w:rPr>
          <w:rFonts w:asciiTheme="minorHAnsi" w:hAnsiTheme="minorHAnsi"/>
        </w:rPr>
        <w:t xml:space="preserve">Begin by reviewing the agenda and the assessed </w:t>
      </w:r>
      <w:r w:rsidR="004D288B" w:rsidRPr="00042178">
        <w:rPr>
          <w:rFonts w:asciiTheme="minorHAnsi" w:hAnsiTheme="minorHAnsi"/>
        </w:rPr>
        <w:t>standard for this lesson: W.11-12</w:t>
      </w:r>
      <w:r w:rsidRPr="00042178">
        <w:rPr>
          <w:rFonts w:asciiTheme="minorHAnsi" w:hAnsiTheme="minorHAnsi"/>
        </w:rPr>
        <w:t xml:space="preserve">.8. </w:t>
      </w:r>
      <w:r w:rsidRPr="00042178">
        <w:t>Students begin the lesson with a research process check-in</w:t>
      </w:r>
      <w:r w:rsidR="00EE41AF">
        <w:t>,</w:t>
      </w:r>
      <w:r w:rsidRPr="00042178">
        <w:t xml:space="preserve"> during which they update their Student Research Plan. Students are then introduced to the Conducting Independent Searches Checklist, and conduct research using the steps they learned in previous lessons. This lesson is the first of three independent search lessons (</w:t>
      </w:r>
      <w:r w:rsidR="004D288B" w:rsidRPr="00042178">
        <w:t>11</w:t>
      </w:r>
      <w:r w:rsidRPr="00042178">
        <w:t xml:space="preserve">.3.2 Lessons 7–9) that are assessed using a Conducting Independent Searches Checklist, which focuses students on specific aspects of the search process for each </w:t>
      </w:r>
      <w:r w:rsidR="00CF40DA">
        <w:t xml:space="preserve">of the independent </w:t>
      </w:r>
      <w:r w:rsidRPr="00042178">
        <w:t>search</w:t>
      </w:r>
      <w:r w:rsidR="00CF40DA">
        <w:t>es</w:t>
      </w:r>
      <w:r w:rsidRPr="00042178">
        <w:t xml:space="preserve"> lesson</w:t>
      </w:r>
      <w:r w:rsidR="00CF40DA">
        <w:t>s</w:t>
      </w:r>
      <w:r w:rsidRPr="00042178">
        <w:t xml:space="preserve">. </w:t>
      </w:r>
    </w:p>
    <w:p w14:paraId="22389F5B" w14:textId="77777777" w:rsidR="007508BF" w:rsidRPr="00042178" w:rsidRDefault="007508BF" w:rsidP="007508BF">
      <w:pPr>
        <w:pStyle w:val="SA"/>
      </w:pPr>
      <w:r w:rsidRPr="00042178">
        <w:t>Students look at the agenda.</w:t>
      </w:r>
    </w:p>
    <w:p w14:paraId="71462106" w14:textId="0DCFA2A6" w:rsidR="000B2D56" w:rsidRPr="00042178" w:rsidRDefault="000B2D56" w:rsidP="00CE2836">
      <w:pPr>
        <w:pStyle w:val="LearningSequenceHeader"/>
      </w:pPr>
      <w:r w:rsidRPr="00042178">
        <w:t>Activity 2: Homework Accountability</w:t>
      </w:r>
      <w:r w:rsidR="00EE41AF">
        <w:t xml:space="preserve"> and Research Check-In</w:t>
      </w:r>
      <w:r w:rsidRPr="00042178">
        <w:tab/>
      </w:r>
      <w:r w:rsidR="009479D5" w:rsidRPr="00042178">
        <w:t>15</w:t>
      </w:r>
      <w:r w:rsidRPr="00042178">
        <w:t>%</w:t>
      </w:r>
    </w:p>
    <w:p w14:paraId="2A6DE183" w14:textId="77777777" w:rsidR="00E86B26" w:rsidRPr="00042178" w:rsidRDefault="00E91BA1" w:rsidP="00E91BA1">
      <w:pPr>
        <w:pStyle w:val="TA"/>
      </w:pPr>
      <w:r w:rsidRPr="00042178">
        <w:t>Instruct students to talk in pairs and discuss the</w:t>
      </w:r>
      <w:r w:rsidRPr="00042178" w:rsidDel="00C01328">
        <w:t xml:space="preserve"> </w:t>
      </w:r>
      <w:r w:rsidRPr="00042178">
        <w:t>homework from the previous lesson</w:t>
      </w:r>
      <w:r w:rsidR="00CF40DA">
        <w:t>.</w:t>
      </w:r>
      <w:r w:rsidRPr="00042178">
        <w:t xml:space="preserve"> (</w:t>
      </w:r>
      <w:r w:rsidR="007508BF" w:rsidRPr="00042178">
        <w:t xml:space="preserve">Select one to two of your strongest inquiry questions to begin pursuing through independent research by following the research steps outlined in Lessons 3–5 (plan for searches, assess sources, annotate sources, record notes, and evaluate arguments), using the </w:t>
      </w:r>
      <w:r w:rsidR="00CF40DA">
        <w:t>appropriate</w:t>
      </w:r>
      <w:r w:rsidR="007508BF" w:rsidRPr="00042178">
        <w:t xml:space="preserve"> tools for each of the </w:t>
      </w:r>
      <w:r w:rsidR="00CF40DA">
        <w:t>steps</w:t>
      </w:r>
      <w:r w:rsidR="007508BF" w:rsidRPr="00042178">
        <w:t xml:space="preserve">. </w:t>
      </w:r>
      <w:r w:rsidR="00CF40DA">
        <w:t>C</w:t>
      </w:r>
      <w:r w:rsidR="007508BF" w:rsidRPr="00042178">
        <w:t>ontinue to add new vocabulary learned through the research process to the vocabulary journal</w:t>
      </w:r>
      <w:r w:rsidR="00CF40DA">
        <w:t>.</w:t>
      </w:r>
      <w:r w:rsidRPr="00042178">
        <w:t xml:space="preserve">) </w:t>
      </w:r>
      <w:r w:rsidR="00CF40DA">
        <w:t>Instruct</w:t>
      </w:r>
      <w:r w:rsidRPr="00042178">
        <w:t xml:space="preserve"> students to share </w:t>
      </w:r>
      <w:r w:rsidR="007508BF" w:rsidRPr="00042178">
        <w:t>one credible</w:t>
      </w:r>
      <w:r w:rsidR="00CF40DA">
        <w:t xml:space="preserve"> and relevant source they found f</w:t>
      </w:r>
      <w:r w:rsidR="007508BF" w:rsidRPr="00042178">
        <w:t>o</w:t>
      </w:r>
      <w:r w:rsidR="00CF40DA">
        <w:t>r</w:t>
      </w:r>
      <w:r w:rsidR="007508BF" w:rsidRPr="00042178">
        <w:t xml:space="preserve"> one of the inquiry questions</w:t>
      </w:r>
      <w:r w:rsidR="00CF40DA">
        <w:t>,</w:t>
      </w:r>
      <w:r w:rsidR="007508BF" w:rsidRPr="00042178">
        <w:t xml:space="preserve"> and two new vocabulary words learned through the source.</w:t>
      </w:r>
    </w:p>
    <w:p w14:paraId="54711BA8" w14:textId="77777777" w:rsidR="007508BF" w:rsidRPr="00042178" w:rsidRDefault="00E86B26" w:rsidP="00E86B26">
      <w:pPr>
        <w:pStyle w:val="SA"/>
      </w:pPr>
      <w:r w:rsidRPr="00042178">
        <w:t>Student pairs discuss the homework from the previous lesson.</w:t>
      </w:r>
      <w:r w:rsidR="007508BF" w:rsidRPr="00042178">
        <w:t xml:space="preserve"> </w:t>
      </w:r>
    </w:p>
    <w:p w14:paraId="123ED74C" w14:textId="77777777" w:rsidR="0087565B" w:rsidRPr="00042178" w:rsidRDefault="00424A3C" w:rsidP="00067AE2">
      <w:pPr>
        <w:pStyle w:val="SR"/>
      </w:pPr>
      <w:r w:rsidRPr="00042178">
        <w:t xml:space="preserve">Student responses will vary based on their individual research questions/problems and research conducted. Students should use the language of the </w:t>
      </w:r>
      <w:r w:rsidR="0087565B" w:rsidRPr="00042178">
        <w:t>research steps in discussion.</w:t>
      </w:r>
    </w:p>
    <w:p w14:paraId="0FD63B3B" w14:textId="0BBF2948" w:rsidR="007508BF" w:rsidRPr="00042178" w:rsidRDefault="007508BF" w:rsidP="007508BF">
      <w:pPr>
        <w:pStyle w:val="SASRBullet"/>
      </w:pPr>
      <w:r w:rsidRPr="00042178">
        <w:t>My question “</w:t>
      </w:r>
      <w:r w:rsidR="000979F8" w:rsidRPr="00042178">
        <w:t>Why do people engage in genocide</w:t>
      </w:r>
      <w:r w:rsidR="002F1754">
        <w:t>?</w:t>
      </w:r>
      <w:r w:rsidR="00067AE2" w:rsidRPr="00042178">
        <w:t>”</w:t>
      </w:r>
      <w:r w:rsidRPr="00042178">
        <w:t xml:space="preserve"> led me to a source called “</w:t>
      </w:r>
      <w:r w:rsidR="000979F8" w:rsidRPr="00042178">
        <w:t xml:space="preserve">Why </w:t>
      </w:r>
      <w:r w:rsidR="003B19D1" w:rsidRPr="00042178">
        <w:t>G</w:t>
      </w:r>
      <w:r w:rsidR="000979F8" w:rsidRPr="00042178">
        <w:t>enocide?</w:t>
      </w:r>
      <w:r w:rsidRPr="00042178">
        <w:t xml:space="preserve">” in </w:t>
      </w:r>
      <w:r w:rsidR="000979F8" w:rsidRPr="00042178">
        <w:rPr>
          <w:i/>
        </w:rPr>
        <w:t>The Humanist</w:t>
      </w:r>
      <w:r w:rsidRPr="00042178">
        <w:t xml:space="preserve">. And, it is credible because the </w:t>
      </w:r>
      <w:r w:rsidR="000979F8" w:rsidRPr="00042178">
        <w:t>author</w:t>
      </w:r>
      <w:r w:rsidR="00EE41AF">
        <w:t>,</w:t>
      </w:r>
      <w:r w:rsidR="000979F8" w:rsidRPr="00042178">
        <w:t xml:space="preserve"> Fred Edwords</w:t>
      </w:r>
      <w:r w:rsidR="00EE41AF">
        <w:t>,</w:t>
      </w:r>
      <w:r w:rsidR="000979F8" w:rsidRPr="00042178">
        <w:t xml:space="preserve"> is a </w:t>
      </w:r>
      <w:r w:rsidR="00505336" w:rsidRPr="00042178">
        <w:t xml:space="preserve">prominent speaker on issues of international humanitarian action. </w:t>
      </w:r>
    </w:p>
    <w:p w14:paraId="28AAF7E3" w14:textId="77777777" w:rsidR="007508BF" w:rsidRPr="00042178" w:rsidRDefault="007508BF" w:rsidP="007508BF">
      <w:pPr>
        <w:pStyle w:val="SASRBullet"/>
      </w:pPr>
      <w:r w:rsidRPr="00042178">
        <w:t xml:space="preserve">I learned </w:t>
      </w:r>
      <w:r w:rsidRPr="00042178">
        <w:rPr>
          <w:i/>
        </w:rPr>
        <w:t>fundamental</w:t>
      </w:r>
      <w:r w:rsidRPr="00042178">
        <w:t xml:space="preserve"> means “forming a necessary base or core” and </w:t>
      </w:r>
      <w:r w:rsidRPr="00042178">
        <w:rPr>
          <w:i/>
        </w:rPr>
        <w:t xml:space="preserve">innumerable </w:t>
      </w:r>
      <w:r w:rsidRPr="00042178">
        <w:t>means “too many to be counted.”</w:t>
      </w:r>
      <w:r w:rsidRPr="00042178">
        <w:rPr>
          <w:i/>
        </w:rPr>
        <w:t xml:space="preserve"> </w:t>
      </w:r>
    </w:p>
    <w:p w14:paraId="41F494CF" w14:textId="77777777" w:rsidR="007508BF" w:rsidRPr="00042178" w:rsidRDefault="007508BF" w:rsidP="007508BF">
      <w:pPr>
        <w:pStyle w:val="IN"/>
      </w:pPr>
      <w:r w:rsidRPr="00042178">
        <w:t>Consider collecting students’ homework to assess the progress of their research.</w:t>
      </w:r>
    </w:p>
    <w:p w14:paraId="5EFD9EC4" w14:textId="77777777" w:rsidR="007508BF" w:rsidRPr="00042178" w:rsidRDefault="007508BF" w:rsidP="007508BF">
      <w:pPr>
        <w:pStyle w:val="BR"/>
      </w:pPr>
    </w:p>
    <w:p w14:paraId="42C0AFAD" w14:textId="77777777" w:rsidR="007508BF" w:rsidRPr="00042178" w:rsidRDefault="007508BF" w:rsidP="007508BF">
      <w:pPr>
        <w:pStyle w:val="TA"/>
      </w:pPr>
      <w:r w:rsidRPr="00042178">
        <w:t>Instruct students to take out the Student Research Plan from the front of their Research Portfolio</w:t>
      </w:r>
      <w:r w:rsidR="006475CB" w:rsidRPr="00042178">
        <w:t>s</w:t>
      </w:r>
      <w:r w:rsidRPr="00042178">
        <w:t>.</w:t>
      </w:r>
    </w:p>
    <w:p w14:paraId="75205DF4" w14:textId="77777777" w:rsidR="007508BF" w:rsidRPr="00042178" w:rsidRDefault="007508BF" w:rsidP="007508BF">
      <w:pPr>
        <w:pStyle w:val="SA"/>
      </w:pPr>
      <w:r w:rsidRPr="00042178">
        <w:t>Students take out their Student Research Plans.</w:t>
      </w:r>
    </w:p>
    <w:p w14:paraId="75C15F3C" w14:textId="77777777" w:rsidR="007508BF" w:rsidRPr="00042178" w:rsidRDefault="007508BF" w:rsidP="007508BF">
      <w:pPr>
        <w:pStyle w:val="TA"/>
      </w:pPr>
      <w:r w:rsidRPr="00042178">
        <w:t xml:space="preserve">Return the previous lesson’s assessment, the Research Frame, with feedback to each student, and instruct students to examine the feedback. </w:t>
      </w:r>
    </w:p>
    <w:p w14:paraId="166F7BE8" w14:textId="77777777" w:rsidR="007508BF" w:rsidRPr="00042178" w:rsidRDefault="007508BF" w:rsidP="007508BF">
      <w:pPr>
        <w:pStyle w:val="SA"/>
      </w:pPr>
      <w:r w:rsidRPr="00042178">
        <w:t xml:space="preserve">Students examine the feedback on the Research Frame.  </w:t>
      </w:r>
    </w:p>
    <w:p w14:paraId="4DF1378A" w14:textId="77777777" w:rsidR="007508BF" w:rsidRPr="00042178" w:rsidRDefault="007508BF" w:rsidP="007508BF">
      <w:pPr>
        <w:pStyle w:val="TA"/>
        <w:rPr>
          <w:rFonts w:ascii="Times" w:hAnsi="Times"/>
          <w:sz w:val="20"/>
          <w:szCs w:val="20"/>
        </w:rPr>
      </w:pPr>
      <w:r w:rsidRPr="00042178">
        <w:rPr>
          <w:shd w:val="clear" w:color="auto" w:fill="FFFFFF"/>
        </w:rPr>
        <w:t>Instruct students to review the Research Plan Part 2, where it discusses annotating and taking notes on sources, and building a Research Frame. Instruct students to use the previous lesson's homework and assessment (Research Frame) to journal about their research progress and next steps.</w:t>
      </w:r>
      <w:r w:rsidRPr="00042178">
        <w:t xml:space="preserve"> </w:t>
      </w:r>
    </w:p>
    <w:p w14:paraId="39EC952E" w14:textId="77777777" w:rsidR="007508BF" w:rsidRPr="00042178" w:rsidRDefault="007508BF" w:rsidP="007508BF">
      <w:pPr>
        <w:pStyle w:val="SA"/>
      </w:pPr>
      <w:r w:rsidRPr="00042178">
        <w:t xml:space="preserve">Students review the Research Plan Part 2, and use the previous lesson’s homework and assessment to journal about their research progress and next steps. </w:t>
      </w:r>
    </w:p>
    <w:p w14:paraId="4423DCB4" w14:textId="77777777" w:rsidR="007508BF" w:rsidRPr="00042178" w:rsidRDefault="00424A3C" w:rsidP="007508BF">
      <w:pPr>
        <w:pStyle w:val="SR"/>
      </w:pPr>
      <w:r w:rsidRPr="00042178">
        <w:t xml:space="preserve">Student responses will vary based on their individual research questions/problems and research conducted. Students should use the language of the </w:t>
      </w:r>
      <w:r w:rsidR="007508BF" w:rsidRPr="00042178">
        <w:t>Research Plan</w:t>
      </w:r>
      <w:r w:rsidRPr="00042178">
        <w:t>.</w:t>
      </w:r>
    </w:p>
    <w:p w14:paraId="2ED6BACF" w14:textId="77777777" w:rsidR="007508BF" w:rsidRPr="00042178" w:rsidRDefault="007508BF" w:rsidP="007508BF">
      <w:pPr>
        <w:pStyle w:val="IN"/>
      </w:pPr>
      <w:r w:rsidRPr="00042178">
        <w:t xml:space="preserve">Instruct students to continue the Research Journal started in Lesson 2. Students can write on separate sheets of paper or in a notebook and keep the Research Journal in the Research Portfolio. </w:t>
      </w:r>
    </w:p>
    <w:p w14:paraId="7EC973BB" w14:textId="77777777" w:rsidR="007508BF" w:rsidRPr="00042178" w:rsidRDefault="007508BF" w:rsidP="007508BF">
      <w:pPr>
        <w:pStyle w:val="TA"/>
      </w:pPr>
      <w:r w:rsidRPr="00042178">
        <w:t xml:space="preserve">Instruct students to file the Research Plan in the front section of the Research Portfolio and organize the materials from the previous lesson in Section 2: Gathering and Analyzing Information. </w:t>
      </w:r>
    </w:p>
    <w:p w14:paraId="1169D9A7" w14:textId="77777777" w:rsidR="000B2D56" w:rsidRPr="00042178" w:rsidRDefault="007508BF" w:rsidP="00E91BA1">
      <w:pPr>
        <w:pStyle w:val="SA"/>
      </w:pPr>
      <w:r w:rsidRPr="00042178">
        <w:t xml:space="preserve">Students file the Student Research Plan in the front section of the Research Portfolio. </w:t>
      </w:r>
    </w:p>
    <w:p w14:paraId="24CF93F1" w14:textId="77777777" w:rsidR="000B2D56" w:rsidRPr="00042178" w:rsidRDefault="000B2D56" w:rsidP="00CE2836">
      <w:pPr>
        <w:pStyle w:val="LearningSequenceHeader"/>
      </w:pPr>
      <w:r w:rsidRPr="00042178">
        <w:t xml:space="preserve">Activity 3: </w:t>
      </w:r>
      <w:r w:rsidR="00042136" w:rsidRPr="00042178">
        <w:t>Conducting Independent Searches</w:t>
      </w:r>
      <w:r w:rsidR="00CF40DA">
        <w:t xml:space="preserve"> Checklist</w:t>
      </w:r>
      <w:r w:rsidR="00042136" w:rsidRPr="00042178">
        <w:tab/>
        <w:t>15</w:t>
      </w:r>
      <w:r w:rsidRPr="00042178">
        <w:t>%</w:t>
      </w:r>
    </w:p>
    <w:p w14:paraId="4A6B47D6" w14:textId="77777777" w:rsidR="007508BF" w:rsidRPr="00042178" w:rsidRDefault="007508BF" w:rsidP="007508BF">
      <w:pPr>
        <w:pStyle w:val="TA"/>
      </w:pPr>
      <w:r w:rsidRPr="00042178">
        <w:t xml:space="preserve">Explain to students that this lesson begins a series of three lessons in which students conduct independent searches during class time and for homework. Inform students that each </w:t>
      </w:r>
      <w:r w:rsidR="00CF40DA">
        <w:t xml:space="preserve">of these </w:t>
      </w:r>
      <w:r w:rsidRPr="00042178">
        <w:t xml:space="preserve">independent </w:t>
      </w:r>
      <w:r w:rsidR="00CF40DA">
        <w:t>searches</w:t>
      </w:r>
      <w:r w:rsidR="000B734A" w:rsidRPr="00042178">
        <w:t xml:space="preserve"> lesson</w:t>
      </w:r>
      <w:r w:rsidR="00CF40DA">
        <w:t>s</w:t>
      </w:r>
      <w:r w:rsidR="000B734A" w:rsidRPr="00042178">
        <w:t xml:space="preserve"> (11</w:t>
      </w:r>
      <w:r w:rsidRPr="00042178">
        <w:t xml:space="preserve">.3.2 Lessons 7–9) has a different focus but includes all the steps of the research process taught in previous lessons. </w:t>
      </w:r>
    </w:p>
    <w:p w14:paraId="10AFBAEE" w14:textId="77777777" w:rsidR="007508BF" w:rsidRPr="00042178" w:rsidRDefault="007508BF" w:rsidP="007508BF">
      <w:pPr>
        <w:pStyle w:val="SA"/>
      </w:pPr>
      <w:r w:rsidRPr="00042178">
        <w:t xml:space="preserve">Students listen. </w:t>
      </w:r>
    </w:p>
    <w:p w14:paraId="40A2FC4D" w14:textId="77777777" w:rsidR="007508BF" w:rsidRPr="00042178" w:rsidRDefault="007508BF" w:rsidP="007508BF">
      <w:pPr>
        <w:pStyle w:val="TA"/>
      </w:pPr>
      <w:r w:rsidRPr="00042178">
        <w:t xml:space="preserve">Display and distribute the Conducting Independent Searches Checklist. Explain to students that the Conducting Independent Searches Checklist synthesizes all the criteria for an effective search into one list. </w:t>
      </w:r>
      <w:r w:rsidR="00E91BA1" w:rsidRPr="00042178">
        <w:t>E</w:t>
      </w:r>
      <w:r w:rsidRPr="00042178">
        <w:t xml:space="preserve">ach of the three independent searches lessons will focus on two </w:t>
      </w:r>
      <w:r w:rsidR="00CF40DA">
        <w:t xml:space="preserve">of the </w:t>
      </w:r>
      <w:r w:rsidRPr="00042178">
        <w:t xml:space="preserve">criteria to assess research progress. Inform students that for this lesson, criteria 1 and 2 are the focus. However, students should still consider all the research steps because all of the criteria are important in conducting effective research. Remind students that the skills necessary to meet the criteria have been taught throughout the previous lessons. </w:t>
      </w:r>
    </w:p>
    <w:p w14:paraId="47B5E685" w14:textId="77777777" w:rsidR="007508BF" w:rsidRPr="00042178" w:rsidRDefault="007508BF" w:rsidP="007508BF">
      <w:pPr>
        <w:pStyle w:val="SA"/>
      </w:pPr>
      <w:r w:rsidRPr="00042178">
        <w:t xml:space="preserve">Students examine the Conducting Independent Searches Checklist. </w:t>
      </w:r>
    </w:p>
    <w:p w14:paraId="28596046" w14:textId="77777777" w:rsidR="007508BF" w:rsidRPr="00042178" w:rsidRDefault="007508BF" w:rsidP="007508BF">
      <w:pPr>
        <w:pStyle w:val="TA"/>
      </w:pPr>
      <w:r w:rsidRPr="00042178">
        <w:t>Instruct students to read the criteria in the Conducting Independent Searches Checklist</w:t>
      </w:r>
      <w:r w:rsidR="00CF40DA">
        <w:t xml:space="preserve">. Instruct students to form pairs to discuss the </w:t>
      </w:r>
      <w:r w:rsidRPr="00042178">
        <w:t xml:space="preserve">criteria’s specific actions and any questions </w:t>
      </w:r>
      <w:r w:rsidR="00CF40DA">
        <w:t>they have about the criteria.</w:t>
      </w:r>
      <w:r w:rsidRPr="00042178">
        <w:t xml:space="preserve"> Instruct student pairs to answer the following questions before sharing out with the class. </w:t>
      </w:r>
    </w:p>
    <w:p w14:paraId="07CF1CBF" w14:textId="77777777" w:rsidR="007508BF" w:rsidRPr="00042178" w:rsidRDefault="007508BF" w:rsidP="007508BF">
      <w:pPr>
        <w:pStyle w:val="Q"/>
      </w:pPr>
      <w:r w:rsidRPr="00042178">
        <w:t xml:space="preserve">What specific action is required for criterion 1, “Uses inquiry questions to drive research and identify sources”? </w:t>
      </w:r>
    </w:p>
    <w:p w14:paraId="2F8E9185" w14:textId="77777777" w:rsidR="007508BF" w:rsidRPr="00042178" w:rsidRDefault="007508BF" w:rsidP="007508BF">
      <w:pPr>
        <w:pStyle w:val="SR"/>
      </w:pPr>
      <w:r w:rsidRPr="00042178">
        <w:t xml:space="preserve">The criterion’s action is that the inquiry questions should drive the research. We should be searching for sources that provide information related to our inquiry questions. The research is based on inquiry or answering questions to gain a deeper understanding of the problem-based question. </w:t>
      </w:r>
    </w:p>
    <w:p w14:paraId="0B7175C2" w14:textId="77777777" w:rsidR="007508BF" w:rsidRPr="00042178" w:rsidRDefault="007508BF" w:rsidP="007508BF">
      <w:pPr>
        <w:pStyle w:val="Q"/>
      </w:pPr>
      <w:r w:rsidRPr="00042178">
        <w:t>What specific action is required for criterion 2, “Continually assesses sources for credibility; identifies the usefulness of a particular source and explains why a particular source does or does not help respond to an inquiry question”?</w:t>
      </w:r>
    </w:p>
    <w:p w14:paraId="1ABF502C" w14:textId="77777777" w:rsidR="007508BF" w:rsidRPr="00042178" w:rsidRDefault="007508BF" w:rsidP="007508BF">
      <w:pPr>
        <w:pStyle w:val="SR"/>
      </w:pPr>
      <w:r w:rsidRPr="00042178">
        <w:t xml:space="preserve">This criterion is describing how to assess sources by using the Potential Sources Tool and Assessing Sources Handout introduced in earlier lessons. It is important to get rid of any sources that are not credible, accessible, or relevant. </w:t>
      </w:r>
    </w:p>
    <w:p w14:paraId="38736068" w14:textId="77777777" w:rsidR="007508BF" w:rsidRPr="00042178" w:rsidRDefault="007508BF" w:rsidP="007508BF">
      <w:pPr>
        <w:pStyle w:val="Q"/>
      </w:pPr>
      <w:r w:rsidRPr="00042178">
        <w:t>What specific action is required for criterion 3, “Determines if information is sufficient to address established inquiry paths and questions in the Research Frame and adjusts the search accordingly”?</w:t>
      </w:r>
    </w:p>
    <w:p w14:paraId="3D464701" w14:textId="77777777" w:rsidR="007508BF" w:rsidRPr="00042178" w:rsidRDefault="007508BF" w:rsidP="007508BF">
      <w:pPr>
        <w:pStyle w:val="SR"/>
      </w:pPr>
      <w:r w:rsidRPr="00042178">
        <w:t xml:space="preserve">This criterion’s action is describing how to assess the research and </w:t>
      </w:r>
      <w:r w:rsidR="00CF40DA">
        <w:t xml:space="preserve">determine </w:t>
      </w:r>
      <w:r w:rsidRPr="00042178">
        <w:t xml:space="preserve">if there is enough </w:t>
      </w:r>
      <w:r w:rsidR="00CF40DA">
        <w:t xml:space="preserve">information </w:t>
      </w:r>
      <w:r w:rsidRPr="00042178">
        <w:t xml:space="preserve">to answer inquiry questions or address inquiry paths. Sometimes new questions emerge and some questions need to be eliminated based on the direction of the research. Sometimes additional sources need to be explored. </w:t>
      </w:r>
    </w:p>
    <w:p w14:paraId="4C1EC74E" w14:textId="77777777" w:rsidR="007508BF" w:rsidRPr="00042178" w:rsidRDefault="007508BF" w:rsidP="007508BF">
      <w:pPr>
        <w:pStyle w:val="Q"/>
      </w:pPr>
      <w:r w:rsidRPr="00042178">
        <w:t>What specific action is required for criterion 4, “Reads sources closely, analyzes details and ideas, and records notes for each source to determine how it addresses inquiry questions and paths”?</w:t>
      </w:r>
    </w:p>
    <w:p w14:paraId="53D0E249" w14:textId="77777777" w:rsidR="007508BF" w:rsidRPr="00042178" w:rsidRDefault="007508BF" w:rsidP="007508BF">
      <w:pPr>
        <w:pStyle w:val="SR"/>
      </w:pPr>
      <w:r w:rsidRPr="00042178">
        <w:t xml:space="preserve">This criterion’s action is about selecting key sources to read closely for information that addresses select inquiry questions and paths. </w:t>
      </w:r>
    </w:p>
    <w:p w14:paraId="0F85FA64" w14:textId="77777777" w:rsidR="007508BF" w:rsidRPr="00042178" w:rsidRDefault="007508BF" w:rsidP="007508BF">
      <w:pPr>
        <w:pStyle w:val="Q"/>
      </w:pPr>
      <w:r w:rsidRPr="00042178">
        <w:t>What specific action is required for criterion 5, “Makes decisions about the research direction based on reviews of annotation and notes and relevance to inquiry questions/paths. This may include discontinuing inquiry paths and adding inquiry paths/questions”?</w:t>
      </w:r>
    </w:p>
    <w:p w14:paraId="21E38913" w14:textId="77777777" w:rsidR="007508BF" w:rsidRPr="00042178" w:rsidRDefault="007508BF" w:rsidP="007508BF">
      <w:pPr>
        <w:pStyle w:val="SR"/>
      </w:pPr>
      <w:r w:rsidRPr="00042178">
        <w:t xml:space="preserve">This criterion’s action is about deciding which inquiry paths and questions have been addressed by the research and making decisions about which direction to go with the research. </w:t>
      </w:r>
    </w:p>
    <w:p w14:paraId="310E60F7" w14:textId="77777777" w:rsidR="007508BF" w:rsidRPr="00042178" w:rsidRDefault="007508BF" w:rsidP="007508BF">
      <w:pPr>
        <w:pStyle w:val="Q"/>
      </w:pPr>
      <w:r w:rsidRPr="00042178">
        <w:t>What specific action is required for criterion 6, “Marks key info in sources, takes notes of initial impressions, identifies additional research needs, and inserts codes to link to inquiry paths”?</w:t>
      </w:r>
    </w:p>
    <w:p w14:paraId="0FAAAD03" w14:textId="77777777" w:rsidR="007508BF" w:rsidRPr="00042178" w:rsidRDefault="007508BF" w:rsidP="007508BF">
      <w:pPr>
        <w:pStyle w:val="SR"/>
      </w:pPr>
      <w:r w:rsidRPr="00042178">
        <w:t xml:space="preserve">This criterion’s action is about annotating and taking notes on key sources, but also beginning to analyze those sources for how they answer the selected inquiry question. This criterion also contributes to changes in research direction that might take place. </w:t>
      </w:r>
    </w:p>
    <w:p w14:paraId="21BC184B" w14:textId="77777777" w:rsidR="007508BF" w:rsidRPr="00042178" w:rsidRDefault="007508BF" w:rsidP="007508BF">
      <w:pPr>
        <w:pStyle w:val="IN"/>
      </w:pPr>
      <w:r w:rsidRPr="00042178">
        <w:t xml:space="preserve">Look for </w:t>
      </w:r>
      <w:r w:rsidR="00F91623">
        <w:t>student</w:t>
      </w:r>
      <w:r w:rsidRPr="00042178">
        <w:t xml:space="preserve"> understanding of the criterion’s action, its nonlinear nature, and the repetitive practices that research calls for. Consider generating follow-up questions as necessary. </w:t>
      </w:r>
    </w:p>
    <w:p w14:paraId="47FCC4AC" w14:textId="77777777" w:rsidR="007508BF" w:rsidRPr="00042178" w:rsidRDefault="007508BF" w:rsidP="007508BF">
      <w:pPr>
        <w:pStyle w:val="IN"/>
      </w:pPr>
      <w:r w:rsidRPr="00042178">
        <w:t xml:space="preserve">Students do not need to complete the Conducing Independent Searches Checklist; it is for assessment purposes only. </w:t>
      </w:r>
    </w:p>
    <w:p w14:paraId="4711C2A4" w14:textId="18C4B9AD" w:rsidR="007508BF" w:rsidRPr="00042178" w:rsidRDefault="007508BF" w:rsidP="007508BF">
      <w:pPr>
        <w:pStyle w:val="TA"/>
      </w:pPr>
      <w:r w:rsidRPr="00042178">
        <w:t>Lead a brief</w:t>
      </w:r>
      <w:r w:rsidR="00EE41AF">
        <w:t>,</w:t>
      </w:r>
      <w:r w:rsidRPr="00042178">
        <w:t xml:space="preserve"> whole-class discussion of students’ responses and questions.</w:t>
      </w:r>
    </w:p>
    <w:p w14:paraId="0F64E459" w14:textId="77777777" w:rsidR="00FD0B2F" w:rsidRPr="00042178" w:rsidRDefault="00FD0B2F" w:rsidP="00FD0B2F">
      <w:pPr>
        <w:pStyle w:val="BR"/>
      </w:pPr>
    </w:p>
    <w:p w14:paraId="2C98EAD9" w14:textId="1A9CE0EF" w:rsidR="00707670" w:rsidRPr="00042178" w:rsidRDefault="00FD0B2F" w:rsidP="00707670">
      <w:pPr>
        <w:pStyle w:val="TA"/>
      </w:pPr>
      <w:r w:rsidRPr="00042178">
        <w:t xml:space="preserve">Explain to students that a key component </w:t>
      </w:r>
      <w:r w:rsidR="0007297D" w:rsidRPr="00042178">
        <w:t xml:space="preserve">in </w:t>
      </w:r>
      <w:r w:rsidRPr="00042178">
        <w:t>crafting an effective</w:t>
      </w:r>
      <w:r w:rsidR="00EE41AF">
        <w:t xml:space="preserve"> r</w:t>
      </w:r>
      <w:r w:rsidRPr="00042178">
        <w:t>esearch-</w:t>
      </w:r>
      <w:r w:rsidR="00EE41AF">
        <w:t>b</w:t>
      </w:r>
      <w:r w:rsidRPr="00042178">
        <w:t>ased</w:t>
      </w:r>
      <w:r w:rsidR="0007297D" w:rsidRPr="00042178">
        <w:t xml:space="preserve"> </w:t>
      </w:r>
      <w:r w:rsidR="00EE41AF">
        <w:t>a</w:t>
      </w:r>
      <w:r w:rsidRPr="00042178">
        <w:t xml:space="preserve">rgument paper </w:t>
      </w:r>
      <w:r w:rsidR="0027261C" w:rsidRPr="00042178">
        <w:t xml:space="preserve">is </w:t>
      </w:r>
      <w:r w:rsidR="0007297D" w:rsidRPr="00042178">
        <w:t xml:space="preserve">using </w:t>
      </w:r>
      <w:r w:rsidR="0027261C" w:rsidRPr="00042178">
        <w:t xml:space="preserve">a variety of credible sources. </w:t>
      </w:r>
      <w:r w:rsidR="004973F3" w:rsidRPr="00042178">
        <w:t xml:space="preserve">As students begin to </w:t>
      </w:r>
      <w:r w:rsidR="00042178" w:rsidRPr="00042178">
        <w:t>identify</w:t>
      </w:r>
      <w:r w:rsidR="004973F3" w:rsidRPr="00042178">
        <w:t xml:space="preserve"> key sources for their paper</w:t>
      </w:r>
      <w:r w:rsidR="0007297D" w:rsidRPr="00042178">
        <w:t>,</w:t>
      </w:r>
      <w:r w:rsidR="004973F3" w:rsidRPr="00042178">
        <w:t xml:space="preserve"> they should keep in mind the variety of sources available and avoid overreliance</w:t>
      </w:r>
      <w:r w:rsidR="00F35D6F" w:rsidRPr="00042178">
        <w:t xml:space="preserve"> on one source. </w:t>
      </w:r>
      <w:r w:rsidR="00042178" w:rsidRPr="00042178">
        <w:t xml:space="preserve">A </w:t>
      </w:r>
      <w:r w:rsidR="00F35D6F" w:rsidRPr="00042178">
        <w:t xml:space="preserve">diversity of sources will allow </w:t>
      </w:r>
      <w:r w:rsidR="00042178" w:rsidRPr="00042178">
        <w:t>students</w:t>
      </w:r>
      <w:r w:rsidR="004973F3" w:rsidRPr="00042178">
        <w:t xml:space="preserve"> to craft </w:t>
      </w:r>
      <w:r w:rsidR="00042178" w:rsidRPr="00042178">
        <w:t>an</w:t>
      </w:r>
      <w:r w:rsidR="00F91623">
        <w:t xml:space="preserve"> effective research-based a</w:t>
      </w:r>
      <w:r w:rsidR="004973F3" w:rsidRPr="00042178">
        <w:t xml:space="preserve">rgument paper </w:t>
      </w:r>
      <w:r w:rsidR="00F35D6F" w:rsidRPr="00042178">
        <w:t>by providing multiple perspectives,</w:t>
      </w:r>
      <w:r w:rsidR="00042178" w:rsidRPr="00042178">
        <w:t xml:space="preserve"> a</w:t>
      </w:r>
      <w:r w:rsidR="00F35D6F" w:rsidRPr="00042178">
        <w:t xml:space="preserve"> variety of evidence</w:t>
      </w:r>
      <w:r w:rsidR="0007297D" w:rsidRPr="00042178">
        <w:t>,</w:t>
      </w:r>
      <w:r w:rsidR="00F35D6F" w:rsidRPr="00042178">
        <w:t xml:space="preserve"> and differing audiences. </w:t>
      </w:r>
    </w:p>
    <w:p w14:paraId="0176495F" w14:textId="77777777" w:rsidR="0048529D" w:rsidRPr="00042178" w:rsidRDefault="000974FC" w:rsidP="00E91BA1">
      <w:pPr>
        <w:pStyle w:val="SA"/>
      </w:pPr>
      <w:r w:rsidRPr="00042178">
        <w:t xml:space="preserve">Students listen. </w:t>
      </w:r>
    </w:p>
    <w:p w14:paraId="31E98061" w14:textId="77777777" w:rsidR="00F91623" w:rsidRDefault="000974FC" w:rsidP="00707670">
      <w:pPr>
        <w:pStyle w:val="TA"/>
      </w:pPr>
      <w:r w:rsidRPr="00042178">
        <w:t xml:space="preserve">Inform students that diversity within their sources can mean many different things. It is possible to have diversity of one sort and not of another. </w:t>
      </w:r>
      <w:r w:rsidR="001D734A" w:rsidRPr="00042178">
        <w:t xml:space="preserve">For example a paper </w:t>
      </w:r>
      <w:r w:rsidR="003A7152" w:rsidRPr="00042178">
        <w:t>in which</w:t>
      </w:r>
      <w:r w:rsidR="001D734A" w:rsidRPr="00042178">
        <w:t xml:space="preserve"> every source is a high school teacher might include some biases as the sources all have a similar viewpoint</w:t>
      </w:r>
      <w:r w:rsidR="003A7152" w:rsidRPr="00042178">
        <w:t>,</w:t>
      </w:r>
      <w:r w:rsidR="00F92434" w:rsidRPr="00042178">
        <w:t xml:space="preserve"> even if all of the sources are in diverse publications</w:t>
      </w:r>
      <w:r w:rsidR="001D734A" w:rsidRPr="00042178">
        <w:t>. Diversity among sources can also include</w:t>
      </w:r>
      <w:r w:rsidR="003A7152" w:rsidRPr="00042178">
        <w:t>:</w:t>
      </w:r>
      <w:r w:rsidR="001D734A" w:rsidRPr="00042178">
        <w:t xml:space="preserve"> the medium of the source</w:t>
      </w:r>
      <w:r w:rsidR="00F91623">
        <w:t xml:space="preserve"> (e.g.,</w:t>
      </w:r>
      <w:r w:rsidR="001D734A" w:rsidRPr="00042178">
        <w:t xml:space="preserve"> video interviews or print articles</w:t>
      </w:r>
      <w:r w:rsidR="00F91623">
        <w:t>)</w:t>
      </w:r>
      <w:r w:rsidR="003A7152" w:rsidRPr="00042178">
        <w:t>;</w:t>
      </w:r>
      <w:r w:rsidR="001D734A" w:rsidRPr="00042178">
        <w:t xml:space="preserve"> its format</w:t>
      </w:r>
      <w:r w:rsidR="00F91623">
        <w:t xml:space="preserve"> (e.g.,</w:t>
      </w:r>
      <w:r w:rsidR="001D734A" w:rsidRPr="00042178">
        <w:t xml:space="preserve"> newspaper article or academic text</w:t>
      </w:r>
      <w:r w:rsidR="00F91623">
        <w:t>)</w:t>
      </w:r>
      <w:r w:rsidR="003A7152" w:rsidRPr="00042178">
        <w:t>;</w:t>
      </w:r>
      <w:r w:rsidR="001D734A" w:rsidRPr="00042178">
        <w:t xml:space="preserve"> </w:t>
      </w:r>
      <w:r w:rsidR="00F92434" w:rsidRPr="00042178">
        <w:t>and the cultural perspective of the author</w:t>
      </w:r>
      <w:r w:rsidR="00F91623">
        <w:t xml:space="preserve"> (e.g.,</w:t>
      </w:r>
      <w:r w:rsidR="00F92434" w:rsidRPr="00042178">
        <w:t xml:space="preserve"> an author from Canada or an author from Beirut</w:t>
      </w:r>
      <w:r w:rsidR="00F91623">
        <w:t>)</w:t>
      </w:r>
      <w:r w:rsidR="00F92434" w:rsidRPr="00042178">
        <w:t xml:space="preserve">. </w:t>
      </w:r>
      <w:r w:rsidR="001D734A" w:rsidRPr="00042178">
        <w:t>Explain to students that while it is not necessary that every source represent an entirely unique and varied perspective</w:t>
      </w:r>
      <w:r w:rsidR="003A7152" w:rsidRPr="00042178">
        <w:t>,</w:t>
      </w:r>
      <w:r w:rsidR="001D734A" w:rsidRPr="00042178">
        <w:t xml:space="preserve"> the more diverse and comprehensive </w:t>
      </w:r>
      <w:r w:rsidR="00E91BA1" w:rsidRPr="00042178">
        <w:t xml:space="preserve">sources they can </w:t>
      </w:r>
      <w:r w:rsidR="00042178" w:rsidRPr="00042178">
        <w:t>reference,</w:t>
      </w:r>
      <w:r w:rsidR="001D734A" w:rsidRPr="00042178">
        <w:t xml:space="preserve"> the stronger their paper</w:t>
      </w:r>
      <w:r w:rsidR="00042178" w:rsidRPr="00042178">
        <w:t>s will be</w:t>
      </w:r>
      <w:r w:rsidR="001D734A" w:rsidRPr="00042178">
        <w:t xml:space="preserve">. </w:t>
      </w:r>
    </w:p>
    <w:p w14:paraId="65EECBEC" w14:textId="77777777" w:rsidR="000974FC" w:rsidRPr="00042178" w:rsidRDefault="000974FC" w:rsidP="00707670">
      <w:pPr>
        <w:pStyle w:val="TA"/>
      </w:pPr>
      <w:r w:rsidRPr="00042178">
        <w:t xml:space="preserve">Ask students the following questions to help </w:t>
      </w:r>
      <w:r w:rsidR="001D734A" w:rsidRPr="00042178">
        <w:t xml:space="preserve">solidify their understanding of source diversity. </w:t>
      </w:r>
    </w:p>
    <w:p w14:paraId="15121B67" w14:textId="77777777" w:rsidR="0048529D" w:rsidRPr="00042178" w:rsidRDefault="001D734A" w:rsidP="00E91BA1">
      <w:pPr>
        <w:pStyle w:val="Q"/>
      </w:pPr>
      <w:r w:rsidRPr="00042178">
        <w:t xml:space="preserve">What </w:t>
      </w:r>
      <w:r w:rsidR="00042178" w:rsidRPr="00042178">
        <w:t>are</w:t>
      </w:r>
      <w:r w:rsidRPr="00042178">
        <w:t xml:space="preserve"> some examples of a source list that is not diverse?</w:t>
      </w:r>
    </w:p>
    <w:p w14:paraId="72B2078C" w14:textId="77777777" w:rsidR="0048529D" w:rsidRPr="00042178" w:rsidRDefault="00042178" w:rsidP="00E91BA1">
      <w:pPr>
        <w:pStyle w:val="SR"/>
      </w:pPr>
      <w:r w:rsidRPr="00042178">
        <w:t>A</w:t>
      </w:r>
      <w:r w:rsidR="001D734A" w:rsidRPr="00042178">
        <w:t>ll of the sources c</w:t>
      </w:r>
      <w:r w:rsidRPr="00042178">
        <w:t>o</w:t>
      </w:r>
      <w:r w:rsidR="001D734A" w:rsidRPr="00042178">
        <w:t xml:space="preserve">me from the same publication. </w:t>
      </w:r>
    </w:p>
    <w:p w14:paraId="32D86A7D" w14:textId="77777777" w:rsidR="0048529D" w:rsidRPr="00042178" w:rsidRDefault="00042178" w:rsidP="00E91BA1">
      <w:pPr>
        <w:pStyle w:val="SR"/>
      </w:pPr>
      <w:r w:rsidRPr="00042178">
        <w:t>All of the sources co</w:t>
      </w:r>
      <w:r w:rsidR="001D734A" w:rsidRPr="00042178">
        <w:t>me from the same country.</w:t>
      </w:r>
    </w:p>
    <w:p w14:paraId="337A1527" w14:textId="77777777" w:rsidR="0048529D" w:rsidRPr="00042178" w:rsidRDefault="00042178" w:rsidP="00E91BA1">
      <w:pPr>
        <w:pStyle w:val="SR"/>
      </w:pPr>
      <w:r w:rsidRPr="00042178">
        <w:t>All of the sources a</w:t>
      </w:r>
      <w:r w:rsidR="001D734A" w:rsidRPr="00042178">
        <w:t>re newspaper articles.</w:t>
      </w:r>
    </w:p>
    <w:p w14:paraId="6D8A478A" w14:textId="77777777" w:rsidR="0048529D" w:rsidRPr="00042178" w:rsidRDefault="001D734A" w:rsidP="00E91BA1">
      <w:pPr>
        <w:pStyle w:val="Q"/>
      </w:pPr>
      <w:r w:rsidRPr="00042178">
        <w:t xml:space="preserve">How can </w:t>
      </w:r>
      <w:r w:rsidR="00F91623">
        <w:t>you</w:t>
      </w:r>
      <w:r w:rsidRPr="00042178">
        <w:t xml:space="preserve"> ensure that </w:t>
      </w:r>
      <w:r w:rsidR="00F91623">
        <w:t>y</w:t>
      </w:r>
      <w:r w:rsidRPr="00042178">
        <w:t>our sources are diverse?</w:t>
      </w:r>
    </w:p>
    <w:p w14:paraId="6CE7792F" w14:textId="77777777" w:rsidR="0048529D" w:rsidRPr="00042178" w:rsidRDefault="00042178" w:rsidP="00E91BA1">
      <w:pPr>
        <w:pStyle w:val="SR"/>
      </w:pPr>
      <w:r w:rsidRPr="00042178">
        <w:t>Pay</w:t>
      </w:r>
      <w:r w:rsidR="001D734A" w:rsidRPr="00042178">
        <w:t xml:space="preserve"> attention to </w:t>
      </w:r>
      <w:r w:rsidRPr="00042178">
        <w:t>the medium, perspective, and origin of each source</w:t>
      </w:r>
      <w:r w:rsidR="001D734A" w:rsidRPr="00042178">
        <w:t>.</w:t>
      </w:r>
    </w:p>
    <w:p w14:paraId="0720EA40" w14:textId="77777777" w:rsidR="001D734A" w:rsidRPr="00042178" w:rsidRDefault="001D734A">
      <w:pPr>
        <w:pStyle w:val="TA"/>
      </w:pPr>
      <w:r w:rsidRPr="00042178">
        <w:t xml:space="preserve">Instruct students to keep these considerations in mind as they gather sources through this module. </w:t>
      </w:r>
      <w:r w:rsidR="00042178" w:rsidRPr="00042178">
        <w:t>A</w:t>
      </w:r>
      <w:r w:rsidRPr="00042178">
        <w:t xml:space="preserve"> diverse pool of potential sources </w:t>
      </w:r>
      <w:r w:rsidR="00F91623">
        <w:t>provides</w:t>
      </w:r>
      <w:r w:rsidRPr="00042178">
        <w:t xml:space="preserve"> </w:t>
      </w:r>
      <w:r w:rsidR="00042178" w:rsidRPr="00042178">
        <w:t xml:space="preserve">a strong foundation for </w:t>
      </w:r>
      <w:r w:rsidRPr="00042178">
        <w:t xml:space="preserve">their claims and reasoning. </w:t>
      </w:r>
    </w:p>
    <w:p w14:paraId="14C75B91" w14:textId="77777777" w:rsidR="0048529D" w:rsidRPr="00042178" w:rsidRDefault="001D734A" w:rsidP="00E91BA1">
      <w:pPr>
        <w:pStyle w:val="SA"/>
      </w:pPr>
      <w:r w:rsidRPr="00042178">
        <w:t>Students listen.</w:t>
      </w:r>
    </w:p>
    <w:p w14:paraId="3F1073A3" w14:textId="77777777" w:rsidR="00707670" w:rsidRPr="00042178" w:rsidRDefault="00707670" w:rsidP="00707670">
      <w:pPr>
        <w:pStyle w:val="LearningSequenceHeader"/>
      </w:pPr>
      <w:r w:rsidRPr="00042178">
        <w:t>Activity 4</w:t>
      </w:r>
      <w:r w:rsidR="00042136" w:rsidRPr="00042178">
        <w:t>: Independent Searches</w:t>
      </w:r>
      <w:r w:rsidR="00042136" w:rsidRPr="00042178">
        <w:tab/>
        <w:t>55</w:t>
      </w:r>
      <w:r w:rsidRPr="00042178">
        <w:t>%</w:t>
      </w:r>
    </w:p>
    <w:p w14:paraId="75310343" w14:textId="77777777" w:rsidR="007508BF" w:rsidRPr="00042178" w:rsidRDefault="007508BF" w:rsidP="007508BF">
      <w:pPr>
        <w:pStyle w:val="TA"/>
      </w:pPr>
      <w:r w:rsidRPr="00042178">
        <w:t xml:space="preserve">Instruct students to </w:t>
      </w:r>
      <w:r w:rsidR="00F91623">
        <w:t>work</w:t>
      </w:r>
      <w:r w:rsidRPr="00042178">
        <w:t xml:space="preserve"> on their independent searches. </w:t>
      </w:r>
      <w:r w:rsidR="00F91623">
        <w:t>Inform</w:t>
      </w:r>
      <w:r w:rsidRPr="00042178">
        <w:t xml:space="preserve"> students they will be assessed on criteria 1 and 2 on the Conducting Independent Searches Checklist. Remind students of the research steps (planning for searches, assessing sources, annotating, taking notes, and evaluating arguments). Remind students to organize all search materials in their Research Portfolios, Section 2. </w:t>
      </w:r>
    </w:p>
    <w:p w14:paraId="74571361" w14:textId="77777777" w:rsidR="007508BF" w:rsidRPr="00042178" w:rsidRDefault="007508BF" w:rsidP="007508BF">
      <w:pPr>
        <w:pStyle w:val="TA"/>
      </w:pPr>
      <w:r w:rsidRPr="00042178">
        <w:t>Transition students to independent searches. Distribute extra Potential Sources Tools, Taking Notes Tools, and Research Frame Tools as needed to each student.</w:t>
      </w:r>
    </w:p>
    <w:p w14:paraId="4B8F5BC3" w14:textId="77777777" w:rsidR="007508BF" w:rsidRPr="00042178" w:rsidRDefault="007508BF" w:rsidP="007508BF">
      <w:pPr>
        <w:pStyle w:val="SA"/>
      </w:pPr>
      <w:r w:rsidRPr="00042178">
        <w:t>Students do their independent searches, using the Research Frame and</w:t>
      </w:r>
      <w:r w:rsidR="00F91623">
        <w:t xml:space="preserve"> the steps from earlier lessons.</w:t>
      </w:r>
    </w:p>
    <w:p w14:paraId="55C0147E" w14:textId="77777777" w:rsidR="007508BF" w:rsidRPr="00042178" w:rsidRDefault="007508BF" w:rsidP="007508BF">
      <w:pPr>
        <w:pStyle w:val="IN"/>
      </w:pPr>
      <w:r w:rsidRPr="00042178">
        <w:t>Consider dis</w:t>
      </w:r>
      <w:r w:rsidR="00E93825" w:rsidRPr="00042178">
        <w:t>playing the search steps from 11</w:t>
      </w:r>
      <w:r w:rsidRPr="00042178">
        <w:t>.3.2 Lessons 3–5 for students to see.</w:t>
      </w:r>
    </w:p>
    <w:p w14:paraId="44DEF8A5" w14:textId="77777777" w:rsidR="007508BF" w:rsidRPr="00042178" w:rsidRDefault="007508BF" w:rsidP="007508BF">
      <w:pPr>
        <w:pStyle w:val="IN"/>
      </w:pPr>
      <w:r w:rsidRPr="00042178">
        <w:t>Consider using the media center or library for this lesson so students have access to librarians or media specialists.</w:t>
      </w:r>
    </w:p>
    <w:p w14:paraId="38F5A7BC" w14:textId="77777777" w:rsidR="007508BF" w:rsidRPr="00042178" w:rsidRDefault="007508BF" w:rsidP="007508BF">
      <w:pPr>
        <w:pStyle w:val="IN"/>
      </w:pPr>
      <w:r w:rsidRPr="00042178">
        <w:t>Students need access to computers with Internet capacity for research purposes. Prepare for the lesson ahead of time by reserving space in rooms with technology access for all students.</w:t>
      </w:r>
    </w:p>
    <w:p w14:paraId="4330B050" w14:textId="77777777" w:rsidR="007508BF" w:rsidRPr="00042178" w:rsidRDefault="007508BF" w:rsidP="007508BF">
      <w:pPr>
        <w:pStyle w:val="IN"/>
      </w:pPr>
      <w:r w:rsidRPr="00042178">
        <w:t>Consider drawing students’ attention to thei</w:t>
      </w:r>
      <w:r w:rsidR="00E93825" w:rsidRPr="00042178">
        <w:t>r application of standard W.11-12</w:t>
      </w:r>
      <w:r w:rsidRPr="00042178">
        <w:t xml:space="preserve">.7, through the use of research skills necessary to complete this activity.  </w:t>
      </w:r>
    </w:p>
    <w:p w14:paraId="3DE8BECF" w14:textId="77777777" w:rsidR="007508BF" w:rsidRPr="00042178" w:rsidRDefault="007508BF" w:rsidP="007508BF">
      <w:pPr>
        <w:pStyle w:val="TA"/>
      </w:pPr>
      <w:r w:rsidRPr="00042178">
        <w:t xml:space="preserve">Circulate to support students as they engage in the research process. Ask students to consult the Conducting Independent Searches Checklist as a reminder of the components of the research process. </w:t>
      </w:r>
    </w:p>
    <w:p w14:paraId="24ECEB8F" w14:textId="77777777" w:rsidR="007508BF" w:rsidRPr="00042178" w:rsidRDefault="007508BF" w:rsidP="007508BF">
      <w:pPr>
        <w:pStyle w:val="IN"/>
        <w:rPr>
          <w:shd w:val="clear" w:color="auto" w:fill="FFFFFF"/>
        </w:rPr>
      </w:pPr>
      <w:r w:rsidRPr="00042178">
        <w:rPr>
          <w:shd w:val="clear" w:color="auto" w:fill="FFFFFF"/>
        </w:rPr>
        <w:t>Place students in heterogeneous groups of four or five that remain consistent throughout the module. Consider forming groups ahead of time to maximize the range of different research topics and questions within each group. The goal of these groups is to create small communities of inquiry/research teams that provide support and accountability to each other. Students should know about their teammates’ topics, research questions, central claims, etc. Students should share claims and evidence that arise from their individual inquiry and learn from each other’s research processes, which they may use to potentially refine their own inquiry topics and questions.</w:t>
      </w:r>
    </w:p>
    <w:p w14:paraId="3015970E" w14:textId="77777777" w:rsidR="007508BF" w:rsidRPr="00042178" w:rsidRDefault="007508BF" w:rsidP="007508BF">
      <w:pPr>
        <w:pStyle w:val="IN"/>
      </w:pPr>
      <w:r w:rsidRPr="00042178">
        <w:rPr>
          <w:b/>
        </w:rPr>
        <w:t>Differentiation Consideration:</w:t>
      </w:r>
      <w:r w:rsidRPr="00042178">
        <w:t xml:space="preserve"> Some of the topics students are researching may yield complex or inaccessible texts. To address this concern, consider recommending that students make use of free databases accessible through </w:t>
      </w:r>
      <w:hyperlink r:id="rId8" w:tgtFrame="_blank" w:history="1">
        <w:r w:rsidRPr="00042178">
          <w:rPr>
            <w:rStyle w:val="TAChar"/>
          </w:rPr>
          <w:t>http://novelnewyork.org/</w:t>
        </w:r>
      </w:hyperlink>
      <w:r w:rsidRPr="00042178">
        <w:t xml:space="preserve"> such as Grolier, Gale, and ProQuest; these databases allow searches by subject/keyword and students may filter the searches so that only texts within certain Lexile ranges are returned. Consider collaborating with a librarian or media specialist to access these databases and create filtered searches that support students’ reading levels.</w:t>
      </w:r>
    </w:p>
    <w:p w14:paraId="4750C037" w14:textId="77777777" w:rsidR="00707670" w:rsidRPr="00042178" w:rsidRDefault="007508BF" w:rsidP="00E91BA1">
      <w:pPr>
        <w:pStyle w:val="IN"/>
      </w:pPr>
      <w:r w:rsidRPr="00042178">
        <w:t xml:space="preserve">Remind students to </w:t>
      </w:r>
      <w:r w:rsidR="00F91623">
        <w:t>consider</w:t>
      </w:r>
      <w:r w:rsidRPr="00042178">
        <w:t xml:space="preserve"> print and non-text media when researching and to think about how visuals or auditory media can provide information or demonstrate information in ways different from text. </w:t>
      </w:r>
    </w:p>
    <w:p w14:paraId="7FEAC66F" w14:textId="77777777" w:rsidR="00707670" w:rsidRPr="00042178" w:rsidRDefault="00707670" w:rsidP="00707670">
      <w:pPr>
        <w:pStyle w:val="LearningSequenceHeader"/>
      </w:pPr>
      <w:r w:rsidRPr="00042178">
        <w:t>Activity 5</w:t>
      </w:r>
      <w:r w:rsidR="00042136" w:rsidRPr="00042178">
        <w:t>: Assessment</w:t>
      </w:r>
      <w:r w:rsidR="00042136" w:rsidRPr="00042178">
        <w:tab/>
        <w:t>5</w:t>
      </w:r>
      <w:r w:rsidRPr="00042178">
        <w:t>%</w:t>
      </w:r>
    </w:p>
    <w:p w14:paraId="6CCB82F6" w14:textId="77777777" w:rsidR="007508BF" w:rsidRPr="00042178" w:rsidRDefault="007508BF" w:rsidP="007508BF">
      <w:pPr>
        <w:pStyle w:val="TA"/>
      </w:pPr>
      <w:r w:rsidRPr="00042178">
        <w:t>Collect the completed research tools from the lesson, including the Potential Sources Tools, Taking Notes Tools, and a current Research Frame.</w:t>
      </w:r>
    </w:p>
    <w:p w14:paraId="566C1446" w14:textId="77777777" w:rsidR="007508BF" w:rsidRPr="00042178" w:rsidRDefault="007508BF" w:rsidP="007508BF">
      <w:pPr>
        <w:pStyle w:val="SA"/>
      </w:pPr>
      <w:r w:rsidRPr="00042178">
        <w:t xml:space="preserve">Students turn in the completed research tools from the lesson. </w:t>
      </w:r>
    </w:p>
    <w:p w14:paraId="0B52937B" w14:textId="77777777" w:rsidR="007508BF" w:rsidRPr="00042178" w:rsidRDefault="007508BF" w:rsidP="007508BF">
      <w:pPr>
        <w:pStyle w:val="IN"/>
      </w:pPr>
      <w:r w:rsidRPr="00042178">
        <w:rPr>
          <w:b/>
        </w:rPr>
        <w:t xml:space="preserve">Differentiation Consideration: </w:t>
      </w:r>
      <w:r w:rsidRPr="00042178">
        <w:t xml:space="preserve">For further assessment, and to have students begin developing their argument writing skills, consider having students respond briefly in writing to the following prompt: </w:t>
      </w:r>
    </w:p>
    <w:p w14:paraId="79F0852F" w14:textId="77777777" w:rsidR="00707670" w:rsidRDefault="007508BF" w:rsidP="0060666F">
      <w:pPr>
        <w:pStyle w:val="Q"/>
        <w:ind w:left="360"/>
        <w:rPr>
          <w:color w:val="4F81BD" w:themeColor="accent1"/>
          <w:shd w:val="clear" w:color="auto" w:fill="FFFFFF"/>
          <w:lang w:eastAsia="fr-FR"/>
        </w:rPr>
      </w:pPr>
      <w:r w:rsidRPr="00042178">
        <w:rPr>
          <w:color w:val="4F81BD" w:themeColor="accent1"/>
          <w:shd w:val="clear" w:color="auto" w:fill="FFFFFF"/>
          <w:lang w:eastAsia="fr-FR"/>
        </w:rPr>
        <w:t xml:space="preserve">Choose one central claim researched today. Identify the evidence that supports this claim and evaluate how the evidence is relevant and sufficient to the claim. </w:t>
      </w:r>
    </w:p>
    <w:p w14:paraId="0ACAE07E" w14:textId="583AE45D" w:rsidR="006913F4" w:rsidRPr="006913F4" w:rsidRDefault="006913F4" w:rsidP="006913F4">
      <w:pPr>
        <w:pStyle w:val="TA"/>
        <w:ind w:left="360"/>
        <w:rPr>
          <w:color w:val="4F81BD" w:themeColor="accent1"/>
          <w:shd w:val="clear" w:color="auto" w:fill="FFFFFF"/>
          <w:lang w:eastAsia="fr-FR"/>
        </w:rPr>
      </w:pPr>
      <w:r w:rsidRPr="006913F4">
        <w:rPr>
          <w:color w:val="4F81BD" w:themeColor="accent1"/>
          <w:shd w:val="clear" w:color="auto" w:fill="FFFFFF"/>
          <w:lang w:eastAsia="fr-FR"/>
        </w:rPr>
        <w:t>Instruct students to look at the annotations in their sources and research tools to find evidence. Remind students to use the Conducting Independent Searches Checklist to guide their written responses.</w:t>
      </w:r>
    </w:p>
    <w:p w14:paraId="1B32626C" w14:textId="77777777" w:rsidR="009403AD" w:rsidRPr="00042178" w:rsidRDefault="00C5015B" w:rsidP="00CE2836">
      <w:pPr>
        <w:pStyle w:val="LearningSequenceHeader"/>
      </w:pPr>
      <w:r w:rsidRPr="00042178">
        <w:t>Activity 6</w:t>
      </w:r>
      <w:r w:rsidR="009403AD" w:rsidRPr="00042178">
        <w:t>: Closing</w:t>
      </w:r>
      <w:r w:rsidR="009403AD" w:rsidRPr="00042178">
        <w:tab/>
        <w:t>5%</w:t>
      </w:r>
    </w:p>
    <w:p w14:paraId="76F696EF" w14:textId="77777777" w:rsidR="007508BF" w:rsidRPr="00042178" w:rsidRDefault="007508BF" w:rsidP="007508BF">
      <w:pPr>
        <w:pStyle w:val="TA"/>
      </w:pPr>
      <w:r w:rsidRPr="00042178">
        <w:t xml:space="preserve">Display and distribute the homework assignment. For homework, instruct students to continue conducting searches independently, following the steps taught in </w:t>
      </w:r>
      <w:r w:rsidR="00E93825" w:rsidRPr="00042178">
        <w:t>11</w:t>
      </w:r>
      <w:r w:rsidRPr="00042178">
        <w:t>.3.2 Lessons 3–5 (plan for searches, assess sources, annotate sources, record notes, and evaluate argument)</w:t>
      </w:r>
      <w:r w:rsidR="00F91623">
        <w:t>. In addition, instruct students to</w:t>
      </w:r>
      <w:r w:rsidRPr="00042178">
        <w:t xml:space="preserve"> add to the vocabulary journal </w:t>
      </w:r>
      <w:r w:rsidR="00F91623">
        <w:t>any</w:t>
      </w:r>
      <w:r w:rsidRPr="00042178">
        <w:t xml:space="preserve"> new vocabulary learned through the research process.</w:t>
      </w:r>
    </w:p>
    <w:p w14:paraId="6D093686" w14:textId="77777777" w:rsidR="007508BF" w:rsidRPr="00042178" w:rsidRDefault="007508BF" w:rsidP="007508BF">
      <w:pPr>
        <w:pStyle w:val="SA"/>
      </w:pPr>
      <w:r w:rsidRPr="00042178">
        <w:t xml:space="preserve">Students follow along. </w:t>
      </w:r>
    </w:p>
    <w:p w14:paraId="157D9B82" w14:textId="77777777" w:rsidR="007508BF" w:rsidRPr="00042178" w:rsidRDefault="007508BF" w:rsidP="007508BF">
      <w:pPr>
        <w:pStyle w:val="IN"/>
      </w:pPr>
      <w:r w:rsidRPr="00042178">
        <w:t xml:space="preserve">Distribute additional tools as needed. Students should bring to class annotated sources and completed research tools as evidence of their independent research.  </w:t>
      </w:r>
    </w:p>
    <w:p w14:paraId="0EC38234" w14:textId="77777777" w:rsidR="007508BF" w:rsidRPr="00042178" w:rsidRDefault="007508BF" w:rsidP="007508BF">
      <w:pPr>
        <w:pStyle w:val="IN"/>
      </w:pPr>
      <w:r w:rsidRPr="00042178">
        <w:t>Consider reminding students to use the vocabular</w:t>
      </w:r>
      <w:r w:rsidR="000B734A" w:rsidRPr="00042178">
        <w:t>y strategies in standards L.11-12</w:t>
      </w:r>
      <w:r w:rsidRPr="00042178">
        <w:t>.4.a</w:t>
      </w:r>
      <w:r w:rsidR="0060666F" w:rsidRPr="00042178">
        <w:t>-</w:t>
      </w:r>
      <w:r w:rsidRPr="00042178">
        <w:t xml:space="preserve">d when completing the vocabulary journal. </w:t>
      </w:r>
    </w:p>
    <w:p w14:paraId="7D66AC4D" w14:textId="77777777" w:rsidR="007508BF" w:rsidRPr="00042178" w:rsidRDefault="007508BF" w:rsidP="007508BF">
      <w:pPr>
        <w:pStyle w:val="Heading1"/>
      </w:pPr>
      <w:r w:rsidRPr="00042178">
        <w:t>Homework</w:t>
      </w:r>
    </w:p>
    <w:p w14:paraId="66ECF4A4" w14:textId="77777777" w:rsidR="00F91623" w:rsidRDefault="007508BF" w:rsidP="007508BF">
      <w:r w:rsidRPr="00042178">
        <w:t xml:space="preserve">Continue conducting searches independently, </w:t>
      </w:r>
      <w:r w:rsidR="00E93825" w:rsidRPr="00042178">
        <w:t>following the steps taught in 11</w:t>
      </w:r>
      <w:r w:rsidRPr="00042178">
        <w:t>.3.2 Lessons 3–5 (plan for searches, assess sources, annotate sources, recor</w:t>
      </w:r>
      <w:r w:rsidR="00F91623">
        <w:t>d notes, and evaluate argument).</w:t>
      </w:r>
      <w:r w:rsidR="00F91623" w:rsidRPr="00F91623">
        <w:t xml:space="preserve"> </w:t>
      </w:r>
      <w:r w:rsidR="00F91623" w:rsidRPr="00042178">
        <w:t>Bring to class annotated sources and completed research tools from your searches.</w:t>
      </w:r>
    </w:p>
    <w:p w14:paraId="2B721C5C" w14:textId="77777777" w:rsidR="007508BF" w:rsidRPr="00042178" w:rsidRDefault="00F91623" w:rsidP="007508BF">
      <w:r>
        <w:t>A</w:t>
      </w:r>
      <w:r w:rsidR="007508BF" w:rsidRPr="00042178">
        <w:t xml:space="preserve">dd to the vocabulary journal any new vocabulary you learn through the research process. </w:t>
      </w:r>
    </w:p>
    <w:p w14:paraId="53B6B4A9" w14:textId="77777777" w:rsidR="007508BF" w:rsidRPr="00042178" w:rsidRDefault="005837C5" w:rsidP="000979F8">
      <w:pPr>
        <w:pStyle w:val="ToolHeader"/>
      </w:pPr>
      <w:r w:rsidRPr="00042178">
        <w:rPr>
          <w:i/>
        </w:rPr>
        <w:br w:type="page"/>
      </w:r>
      <w:r w:rsidR="007508BF" w:rsidRPr="00042178">
        <w:t>Conducting Independent Searches Checklist</w:t>
      </w:r>
    </w:p>
    <w:tbl>
      <w:tblPr>
        <w:tblStyle w:val="TableGrid"/>
        <w:tblW w:w="9360" w:type="dxa"/>
        <w:tblInd w:w="-5" w:type="dxa"/>
        <w:tblLook w:val="04A0" w:firstRow="1" w:lastRow="0" w:firstColumn="1" w:lastColumn="0" w:noHBand="0" w:noVBand="1"/>
      </w:tblPr>
      <w:tblGrid>
        <w:gridCol w:w="843"/>
        <w:gridCol w:w="2786"/>
        <w:gridCol w:w="732"/>
        <w:gridCol w:w="3045"/>
        <w:gridCol w:w="720"/>
        <w:gridCol w:w="1234"/>
      </w:tblGrid>
      <w:tr w:rsidR="007508BF" w:rsidRPr="00042178" w14:paraId="67A80F33" w14:textId="77777777" w:rsidTr="00DE777B">
        <w:trPr>
          <w:trHeight w:val="557"/>
        </w:trPr>
        <w:tc>
          <w:tcPr>
            <w:tcW w:w="843" w:type="dxa"/>
            <w:shd w:val="clear" w:color="auto" w:fill="D9D9D9" w:themeFill="background1" w:themeFillShade="D9"/>
            <w:vAlign w:val="center"/>
          </w:tcPr>
          <w:p w14:paraId="233D9CED" w14:textId="77777777" w:rsidR="007508BF" w:rsidRPr="00042178" w:rsidRDefault="007508BF" w:rsidP="007508BF">
            <w:pPr>
              <w:pStyle w:val="TableText"/>
              <w:rPr>
                <w:b/>
              </w:rPr>
            </w:pPr>
            <w:r w:rsidRPr="00042178">
              <w:rPr>
                <w:b/>
              </w:rPr>
              <w:t>Name:</w:t>
            </w:r>
          </w:p>
        </w:tc>
        <w:tc>
          <w:tcPr>
            <w:tcW w:w="2786" w:type="dxa"/>
            <w:vAlign w:val="center"/>
          </w:tcPr>
          <w:p w14:paraId="0DB9E84C" w14:textId="77777777" w:rsidR="007508BF" w:rsidRPr="00042178" w:rsidRDefault="007508BF" w:rsidP="00DE777B">
            <w:pPr>
              <w:pStyle w:val="TableText"/>
              <w:ind w:left="14"/>
              <w:rPr>
                <w:b/>
              </w:rPr>
            </w:pPr>
          </w:p>
        </w:tc>
        <w:tc>
          <w:tcPr>
            <w:tcW w:w="732" w:type="dxa"/>
            <w:shd w:val="clear" w:color="auto" w:fill="D9D9D9" w:themeFill="background1" w:themeFillShade="D9"/>
            <w:vAlign w:val="center"/>
          </w:tcPr>
          <w:p w14:paraId="301167EE" w14:textId="77777777" w:rsidR="007508BF" w:rsidRPr="00042178" w:rsidRDefault="007508BF" w:rsidP="007508BF">
            <w:pPr>
              <w:pStyle w:val="TableText"/>
              <w:rPr>
                <w:b/>
              </w:rPr>
            </w:pPr>
            <w:r w:rsidRPr="00042178">
              <w:rPr>
                <w:b/>
              </w:rPr>
              <w:t>Class:</w:t>
            </w:r>
          </w:p>
        </w:tc>
        <w:tc>
          <w:tcPr>
            <w:tcW w:w="3045" w:type="dxa"/>
            <w:vAlign w:val="center"/>
          </w:tcPr>
          <w:p w14:paraId="26CCD168" w14:textId="77777777" w:rsidR="007508BF" w:rsidRPr="00042178" w:rsidRDefault="007508BF" w:rsidP="007508BF">
            <w:pPr>
              <w:pStyle w:val="TableText"/>
              <w:rPr>
                <w:b/>
              </w:rPr>
            </w:pPr>
          </w:p>
        </w:tc>
        <w:tc>
          <w:tcPr>
            <w:tcW w:w="720" w:type="dxa"/>
            <w:shd w:val="clear" w:color="auto" w:fill="D9D9D9" w:themeFill="background1" w:themeFillShade="D9"/>
            <w:vAlign w:val="center"/>
          </w:tcPr>
          <w:p w14:paraId="1A8A4240" w14:textId="77777777" w:rsidR="007508BF" w:rsidRPr="00042178" w:rsidRDefault="007508BF" w:rsidP="007508BF">
            <w:pPr>
              <w:pStyle w:val="TableText"/>
              <w:rPr>
                <w:b/>
              </w:rPr>
            </w:pPr>
            <w:r w:rsidRPr="00042178">
              <w:rPr>
                <w:b/>
              </w:rPr>
              <w:t>Date:</w:t>
            </w:r>
          </w:p>
        </w:tc>
        <w:tc>
          <w:tcPr>
            <w:tcW w:w="1234" w:type="dxa"/>
            <w:vAlign w:val="center"/>
          </w:tcPr>
          <w:p w14:paraId="451C3EF5" w14:textId="77777777" w:rsidR="007508BF" w:rsidRPr="00042178" w:rsidRDefault="007508BF" w:rsidP="007508BF">
            <w:pPr>
              <w:pStyle w:val="TableText"/>
              <w:rPr>
                <w:b/>
              </w:rPr>
            </w:pPr>
          </w:p>
        </w:tc>
      </w:tr>
    </w:tbl>
    <w:tbl>
      <w:tblPr>
        <w:tblStyle w:val="TableGrid"/>
        <w:tblpPr w:leftFromText="180" w:rightFromText="180" w:vertAnchor="text" w:horzAnchor="margin" w:tblpX="13" w:tblpY="95"/>
        <w:tblW w:w="0" w:type="auto"/>
        <w:tblLook w:val="04A0" w:firstRow="1" w:lastRow="0" w:firstColumn="1" w:lastColumn="0" w:noHBand="0" w:noVBand="1"/>
      </w:tblPr>
      <w:tblGrid>
        <w:gridCol w:w="3765"/>
        <w:gridCol w:w="5585"/>
      </w:tblGrid>
      <w:tr w:rsidR="007508BF" w:rsidRPr="00042178" w14:paraId="51EE7923" w14:textId="77777777" w:rsidTr="00DE777B">
        <w:tc>
          <w:tcPr>
            <w:tcW w:w="3765" w:type="dxa"/>
            <w:shd w:val="clear" w:color="auto" w:fill="D9D9D9" w:themeFill="background1" w:themeFillShade="D9"/>
          </w:tcPr>
          <w:p w14:paraId="355BFB55" w14:textId="77777777" w:rsidR="007508BF" w:rsidRPr="00042178" w:rsidRDefault="007508BF" w:rsidP="00DE777B">
            <w:pPr>
              <w:pStyle w:val="ToolTableText"/>
              <w:rPr>
                <w:b/>
              </w:rPr>
            </w:pPr>
            <w:r w:rsidRPr="00042178">
              <w:rPr>
                <w:b/>
              </w:rPr>
              <w:t>Conducting Independent Searches Criteria</w:t>
            </w:r>
          </w:p>
        </w:tc>
        <w:tc>
          <w:tcPr>
            <w:tcW w:w="5585" w:type="dxa"/>
            <w:shd w:val="clear" w:color="auto" w:fill="D9D9D9" w:themeFill="background1" w:themeFillShade="D9"/>
          </w:tcPr>
          <w:p w14:paraId="24C5C39F" w14:textId="77777777" w:rsidR="007508BF" w:rsidRPr="00042178" w:rsidRDefault="007508BF" w:rsidP="00DE777B">
            <w:pPr>
              <w:pStyle w:val="ToolTableText"/>
              <w:rPr>
                <w:b/>
              </w:rPr>
            </w:pPr>
            <w:r w:rsidRPr="00042178">
              <w:rPr>
                <w:b/>
              </w:rPr>
              <w:t>Teacher Feedback</w:t>
            </w:r>
          </w:p>
        </w:tc>
      </w:tr>
      <w:tr w:rsidR="007508BF" w:rsidRPr="00042178" w14:paraId="51C03395" w14:textId="77777777" w:rsidTr="00DE777B">
        <w:trPr>
          <w:trHeight w:val="999"/>
        </w:trPr>
        <w:tc>
          <w:tcPr>
            <w:tcW w:w="3765" w:type="dxa"/>
          </w:tcPr>
          <w:p w14:paraId="44AA0D67" w14:textId="77777777" w:rsidR="007508BF" w:rsidRPr="00042178" w:rsidRDefault="007508BF" w:rsidP="00DE777B">
            <w:pPr>
              <w:pStyle w:val="ToolTableText"/>
              <w:numPr>
                <w:ilvl w:val="0"/>
                <w:numId w:val="39"/>
              </w:numPr>
              <w:ind w:left="270" w:hanging="270"/>
            </w:pPr>
            <w:r w:rsidRPr="00042178">
              <w:t xml:space="preserve">Uses inquiry questions to drive research and identify sources. </w:t>
            </w:r>
          </w:p>
        </w:tc>
        <w:tc>
          <w:tcPr>
            <w:tcW w:w="5585" w:type="dxa"/>
          </w:tcPr>
          <w:p w14:paraId="4AD11284" w14:textId="77777777" w:rsidR="007508BF" w:rsidRPr="00042178" w:rsidRDefault="007508BF" w:rsidP="00DE777B">
            <w:pPr>
              <w:pStyle w:val="ToolTableText"/>
            </w:pPr>
          </w:p>
        </w:tc>
      </w:tr>
      <w:tr w:rsidR="007508BF" w:rsidRPr="00042178" w14:paraId="047643A8" w14:textId="77777777" w:rsidTr="00DE777B">
        <w:trPr>
          <w:trHeight w:val="1440"/>
        </w:trPr>
        <w:tc>
          <w:tcPr>
            <w:tcW w:w="3765" w:type="dxa"/>
          </w:tcPr>
          <w:p w14:paraId="5587CEF8" w14:textId="77777777" w:rsidR="007508BF" w:rsidRPr="00042178" w:rsidRDefault="007508BF" w:rsidP="00DE777B">
            <w:pPr>
              <w:pStyle w:val="ToolTableText"/>
              <w:numPr>
                <w:ilvl w:val="0"/>
                <w:numId w:val="39"/>
              </w:numPr>
              <w:ind w:left="270" w:hanging="270"/>
            </w:pPr>
            <w:r w:rsidRPr="00042178">
              <w:t xml:space="preserve">Continually assesses sources for credibility; identifies the usefulness of a particular source and explains why a particular source does or does not help respond to an inquiry question. </w:t>
            </w:r>
          </w:p>
        </w:tc>
        <w:tc>
          <w:tcPr>
            <w:tcW w:w="5585" w:type="dxa"/>
          </w:tcPr>
          <w:p w14:paraId="561BD2E3" w14:textId="77777777" w:rsidR="007508BF" w:rsidRPr="00042178" w:rsidRDefault="007508BF" w:rsidP="00DE777B">
            <w:pPr>
              <w:pStyle w:val="ToolTableText"/>
            </w:pPr>
          </w:p>
        </w:tc>
      </w:tr>
      <w:tr w:rsidR="007508BF" w:rsidRPr="00042178" w14:paraId="50114F22" w14:textId="77777777" w:rsidTr="00DE777B">
        <w:trPr>
          <w:trHeight w:val="1080"/>
        </w:trPr>
        <w:tc>
          <w:tcPr>
            <w:tcW w:w="3765" w:type="dxa"/>
          </w:tcPr>
          <w:p w14:paraId="480E3ACE" w14:textId="77777777" w:rsidR="007508BF" w:rsidRPr="00042178" w:rsidRDefault="007508BF" w:rsidP="00DE777B">
            <w:pPr>
              <w:pStyle w:val="ToolTableText"/>
              <w:numPr>
                <w:ilvl w:val="0"/>
                <w:numId w:val="39"/>
              </w:numPr>
              <w:ind w:left="270" w:hanging="270"/>
            </w:pPr>
            <w:r w:rsidRPr="00042178">
              <w:t>Determines if information is sufficient to address established inquiry paths and questions in the Research Frame and adjusts the search accordingly.</w:t>
            </w:r>
          </w:p>
        </w:tc>
        <w:tc>
          <w:tcPr>
            <w:tcW w:w="5585" w:type="dxa"/>
          </w:tcPr>
          <w:p w14:paraId="64F2C235" w14:textId="77777777" w:rsidR="007508BF" w:rsidRPr="00042178" w:rsidRDefault="007508BF" w:rsidP="00DE777B">
            <w:pPr>
              <w:pStyle w:val="ToolTableText"/>
            </w:pPr>
          </w:p>
        </w:tc>
      </w:tr>
      <w:tr w:rsidR="007508BF" w:rsidRPr="00042178" w14:paraId="3138503E" w14:textId="77777777" w:rsidTr="00DE777B">
        <w:trPr>
          <w:trHeight w:val="1080"/>
        </w:trPr>
        <w:tc>
          <w:tcPr>
            <w:tcW w:w="3765" w:type="dxa"/>
          </w:tcPr>
          <w:p w14:paraId="4315AA10" w14:textId="77777777" w:rsidR="007508BF" w:rsidRPr="00042178" w:rsidRDefault="007508BF" w:rsidP="00DE777B">
            <w:pPr>
              <w:pStyle w:val="ToolTableText"/>
              <w:numPr>
                <w:ilvl w:val="0"/>
                <w:numId w:val="39"/>
              </w:numPr>
              <w:ind w:left="270" w:hanging="270"/>
            </w:pPr>
            <w:r w:rsidRPr="00042178">
              <w:t>Reads sources closely, analyzes details and ideas, and records notes for each source to determine how it addresses inquiry questions and paths.</w:t>
            </w:r>
          </w:p>
        </w:tc>
        <w:tc>
          <w:tcPr>
            <w:tcW w:w="5585" w:type="dxa"/>
          </w:tcPr>
          <w:p w14:paraId="3129F211" w14:textId="77777777" w:rsidR="007508BF" w:rsidRPr="00042178" w:rsidRDefault="007508BF" w:rsidP="00DE777B">
            <w:pPr>
              <w:pStyle w:val="ToolTableText"/>
            </w:pPr>
          </w:p>
        </w:tc>
      </w:tr>
      <w:tr w:rsidR="007508BF" w:rsidRPr="00042178" w14:paraId="77FADC49" w14:textId="77777777" w:rsidTr="00DE777B">
        <w:trPr>
          <w:trHeight w:val="1080"/>
        </w:trPr>
        <w:tc>
          <w:tcPr>
            <w:tcW w:w="3765" w:type="dxa"/>
          </w:tcPr>
          <w:p w14:paraId="586B1ABC" w14:textId="77777777" w:rsidR="007508BF" w:rsidRPr="00042178" w:rsidRDefault="007508BF" w:rsidP="00DE777B">
            <w:pPr>
              <w:pStyle w:val="ToolTableText"/>
              <w:numPr>
                <w:ilvl w:val="0"/>
                <w:numId w:val="39"/>
              </w:numPr>
              <w:ind w:left="270" w:hanging="270"/>
            </w:pPr>
            <w:r w:rsidRPr="00042178">
              <w:t>Makes decisions about the research direction based on reviews of annotation and notes and relevance to inquiry questions/paths. This may include discontinuing inquiry paths and adding inquiry paths/questions.</w:t>
            </w:r>
          </w:p>
        </w:tc>
        <w:tc>
          <w:tcPr>
            <w:tcW w:w="5585" w:type="dxa"/>
          </w:tcPr>
          <w:p w14:paraId="1FED91B0" w14:textId="77777777" w:rsidR="007508BF" w:rsidRPr="00042178" w:rsidRDefault="007508BF" w:rsidP="00DE777B">
            <w:pPr>
              <w:pStyle w:val="ToolTableText"/>
            </w:pPr>
          </w:p>
        </w:tc>
      </w:tr>
      <w:tr w:rsidR="007508BF" w:rsidRPr="00042178" w14:paraId="6EAE18EA" w14:textId="77777777" w:rsidTr="00DE777B">
        <w:trPr>
          <w:trHeight w:val="1080"/>
        </w:trPr>
        <w:tc>
          <w:tcPr>
            <w:tcW w:w="3765" w:type="dxa"/>
          </w:tcPr>
          <w:p w14:paraId="6DE1C411" w14:textId="0F6DF53D" w:rsidR="007508BF" w:rsidRPr="00042178" w:rsidRDefault="007508BF" w:rsidP="00DE777B">
            <w:pPr>
              <w:pStyle w:val="NumberedList"/>
              <w:numPr>
                <w:ilvl w:val="0"/>
                <w:numId w:val="39"/>
              </w:numPr>
              <w:ind w:left="270" w:hanging="270"/>
            </w:pPr>
            <w:r w:rsidRPr="00042178">
              <w:t>Marks key info</w:t>
            </w:r>
            <w:r w:rsidR="00EE41AF">
              <w:t>rmation</w:t>
            </w:r>
            <w:r w:rsidRPr="00042178">
              <w:t xml:space="preserve"> in sources, takes notes of initial impressions, identifies additional research needs, and inserts codes to link to inquiry paths. </w:t>
            </w:r>
          </w:p>
        </w:tc>
        <w:tc>
          <w:tcPr>
            <w:tcW w:w="5585" w:type="dxa"/>
          </w:tcPr>
          <w:p w14:paraId="092BC195" w14:textId="77777777" w:rsidR="007508BF" w:rsidRPr="00042178" w:rsidRDefault="007508BF" w:rsidP="00DE777B">
            <w:pPr>
              <w:pStyle w:val="ToolTableText"/>
            </w:pPr>
          </w:p>
        </w:tc>
      </w:tr>
    </w:tbl>
    <w:p w14:paraId="27FEB428" w14:textId="39DC2FEF" w:rsidR="002041CD" w:rsidRPr="005837C5" w:rsidRDefault="007508BF" w:rsidP="000979F8">
      <w:r w:rsidRPr="00042178">
        <w:rPr>
          <w:sz w:val="18"/>
          <w:szCs w:val="18"/>
        </w:rPr>
        <w:t xml:space="preserve">From Research Criteria Matrix Grades 6–12, by Odell Education, </w:t>
      </w:r>
      <w:hyperlink r:id="rId9" w:history="1">
        <w:r w:rsidRPr="00EE41AF">
          <w:rPr>
            <w:rStyle w:val="Hyperlink"/>
            <w:sz w:val="18"/>
            <w:szCs w:val="18"/>
            <w:u w:val="none"/>
          </w:rPr>
          <w:t>www.odelleducation.com</w:t>
        </w:r>
      </w:hyperlink>
      <w:r w:rsidRPr="00042178">
        <w:rPr>
          <w:sz w:val="18"/>
          <w:szCs w:val="18"/>
        </w:rPr>
        <w:t>. Copyright (</w:t>
      </w:r>
      <w:r w:rsidR="00AB2FD3">
        <w:rPr>
          <w:sz w:val="18"/>
          <w:szCs w:val="18"/>
        </w:rPr>
        <w:t>2012–</w:t>
      </w:r>
      <w:r w:rsidRPr="00042178">
        <w:rPr>
          <w:sz w:val="18"/>
          <w:szCs w:val="18"/>
        </w:rPr>
        <w:t xml:space="preserve">2013) by Odell Education. Modified in Partnership with permission under an Attribution-NonCommercial 3.0 Unported license: </w:t>
      </w:r>
      <w:hyperlink r:id="rId10" w:history="1">
        <w:r w:rsidRPr="00EE41AF">
          <w:rPr>
            <w:rStyle w:val="Hyperlink"/>
            <w:sz w:val="18"/>
            <w:szCs w:val="18"/>
            <w:u w:val="none"/>
          </w:rPr>
          <w:t>http://creativecommons.org/licenses/by-nc/3.0/</w:t>
        </w:r>
      </w:hyperlink>
      <w:r w:rsidRPr="00042178">
        <w:rPr>
          <w:sz w:val="18"/>
          <w:szCs w:val="18"/>
        </w:rPr>
        <w:t>.</w:t>
      </w:r>
      <w:r>
        <w:rPr>
          <w:sz w:val="18"/>
          <w:szCs w:val="18"/>
        </w:rPr>
        <w:t xml:space="preserve"> </w:t>
      </w:r>
    </w:p>
    <w:sectPr w:rsidR="002041CD" w:rsidRPr="005837C5" w:rsidSect="004713C2">
      <w:headerReference w:type="default" r:id="rId11"/>
      <w:footerReference w:type="even" r:id="rId12"/>
      <w:footerReference w:type="default" r:id="rId13"/>
      <w:pgSz w:w="12240" w:h="15840"/>
      <w:pgMar w:top="1440" w:right="1440" w:bottom="1440" w:left="1440" w:header="432" w:footer="6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5D74A6" w14:textId="77777777" w:rsidR="006254E8" w:rsidRDefault="006254E8" w:rsidP="00E946A0">
      <w:r>
        <w:separator/>
      </w:r>
    </w:p>
    <w:p w14:paraId="2350D514" w14:textId="77777777" w:rsidR="006254E8" w:rsidRDefault="006254E8" w:rsidP="00E946A0"/>
  </w:endnote>
  <w:endnote w:type="continuationSeparator" w:id="0">
    <w:p w14:paraId="1BA73C28" w14:textId="77777777" w:rsidR="006254E8" w:rsidRDefault="006254E8" w:rsidP="00E946A0">
      <w:r>
        <w:continuationSeparator/>
      </w:r>
    </w:p>
    <w:p w14:paraId="79BB91C9" w14:textId="77777777" w:rsidR="006254E8" w:rsidRDefault="006254E8" w:rsidP="00E946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2C7AA5" w14:textId="77777777" w:rsidR="00CF40DA" w:rsidRDefault="00CF40DA" w:rsidP="00E946A0">
    <w:pPr>
      <w:pStyle w:val="Footer"/>
      <w:rPr>
        <w:rStyle w:val="PageNumber"/>
        <w:rFonts w:ascii="Calibri" w:hAnsi="Calibri"/>
        <w:sz w:val="22"/>
      </w:rPr>
    </w:pPr>
    <w:r>
      <w:rPr>
        <w:rStyle w:val="PageNumber"/>
      </w:rPr>
      <w:fldChar w:fldCharType="begin"/>
    </w:r>
    <w:r>
      <w:rPr>
        <w:rStyle w:val="PageNumber"/>
      </w:rPr>
      <w:instrText xml:space="preserve">PAGE  </w:instrText>
    </w:r>
    <w:r>
      <w:rPr>
        <w:rStyle w:val="PageNumber"/>
      </w:rPr>
      <w:fldChar w:fldCharType="end"/>
    </w:r>
  </w:p>
  <w:p w14:paraId="3C6A088C" w14:textId="77777777" w:rsidR="00CF40DA" w:rsidRDefault="00CF40DA" w:rsidP="00E946A0">
    <w:pPr>
      <w:pStyle w:val="Footer"/>
    </w:pPr>
  </w:p>
  <w:p w14:paraId="4AD6BF52" w14:textId="77777777" w:rsidR="00CF40DA" w:rsidRDefault="00CF40DA" w:rsidP="00E946A0"/>
  <w:p w14:paraId="2B768C2D" w14:textId="77777777" w:rsidR="00CF40DA" w:rsidRDefault="00CF40DA" w:rsidP="00E946A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C2BA31" w14:textId="77777777" w:rsidR="00CF40DA" w:rsidRPr="00563CB8" w:rsidRDefault="00CF40DA" w:rsidP="004F2969">
    <w:pPr>
      <w:spacing w:before="0" w:after="0" w:line="240" w:lineRule="auto"/>
      <w:rPr>
        <w:sz w:val="14"/>
      </w:rPr>
    </w:pPr>
  </w:p>
  <w:tbl>
    <w:tblPr>
      <w:tblW w:w="4991" w:type="pct"/>
      <w:tblBorders>
        <w:top w:val="single" w:sz="8" w:space="0" w:color="244061"/>
      </w:tblBorders>
      <w:tblLook w:val="04A0" w:firstRow="1" w:lastRow="0" w:firstColumn="1" w:lastColumn="0" w:noHBand="0" w:noVBand="1"/>
    </w:tblPr>
    <w:tblGrid>
      <w:gridCol w:w="4483"/>
      <w:gridCol w:w="611"/>
      <w:gridCol w:w="4249"/>
    </w:tblGrid>
    <w:tr w:rsidR="00CF40DA" w14:paraId="093B27AE" w14:textId="77777777">
      <w:trPr>
        <w:trHeight w:val="705"/>
      </w:trPr>
      <w:tc>
        <w:tcPr>
          <w:tcW w:w="4609" w:type="dxa"/>
          <w:shd w:val="clear" w:color="auto" w:fill="auto"/>
          <w:vAlign w:val="center"/>
        </w:tcPr>
        <w:p w14:paraId="3F6DD3D3" w14:textId="38515389" w:rsidR="00CF40DA" w:rsidRPr="002E4C92" w:rsidRDefault="00CF40DA" w:rsidP="004F2969">
          <w:pPr>
            <w:pStyle w:val="FooterText"/>
          </w:pPr>
          <w:r w:rsidRPr="002E4C92">
            <w:t>File:</w:t>
          </w:r>
          <w:r w:rsidRPr="0039525B">
            <w:rPr>
              <w:b w:val="0"/>
            </w:rPr>
            <w:t xml:space="preserve"> </w:t>
          </w:r>
          <w:r>
            <w:rPr>
              <w:b w:val="0"/>
            </w:rPr>
            <w:t>11.3.2 Lesson 7</w:t>
          </w:r>
          <w:r w:rsidRPr="002E4C92">
            <w:t xml:space="preserve"> Date:</w:t>
          </w:r>
          <w:r w:rsidR="00AB2FD3">
            <w:rPr>
              <w:b w:val="0"/>
            </w:rPr>
            <w:t xml:space="preserve"> </w:t>
          </w:r>
          <w:r w:rsidR="00840A59">
            <w:rPr>
              <w:b w:val="0"/>
            </w:rPr>
            <w:t>9/12</w:t>
          </w:r>
          <w:r w:rsidRPr="0039525B">
            <w:rPr>
              <w:b w:val="0"/>
            </w:rPr>
            <w:t>/1</w:t>
          </w:r>
          <w:r>
            <w:rPr>
              <w:b w:val="0"/>
            </w:rPr>
            <w:t>4</w:t>
          </w:r>
          <w:r w:rsidRPr="0039525B">
            <w:rPr>
              <w:b w:val="0"/>
            </w:rPr>
            <w:t xml:space="preserve"> </w:t>
          </w:r>
          <w:r w:rsidRPr="002E4C92">
            <w:t>Classroom Use:</w:t>
          </w:r>
          <w:r>
            <w:rPr>
              <w:b w:val="0"/>
            </w:rPr>
            <w:t xml:space="preserve"> Starting 9</w:t>
          </w:r>
          <w:r w:rsidRPr="0039525B">
            <w:rPr>
              <w:b w:val="0"/>
            </w:rPr>
            <w:t>/201</w:t>
          </w:r>
          <w:r>
            <w:rPr>
              <w:b w:val="0"/>
            </w:rPr>
            <w:t>4</w:t>
          </w:r>
          <w:r w:rsidRPr="0039525B">
            <w:rPr>
              <w:b w:val="0"/>
            </w:rPr>
            <w:t xml:space="preserve"> </w:t>
          </w:r>
        </w:p>
        <w:p w14:paraId="73642063" w14:textId="77777777" w:rsidR="00CF40DA" w:rsidRPr="0039525B" w:rsidRDefault="00CF40DA" w:rsidP="004F2969">
          <w:pPr>
            <w:pStyle w:val="FooterText"/>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14:paraId="633B74E4" w14:textId="77777777" w:rsidR="00CF40DA" w:rsidRPr="0039525B" w:rsidRDefault="00CF40DA" w:rsidP="004F2969">
          <w:pPr>
            <w:pStyle w:val="FooterText"/>
            <w:rPr>
              <w:b w:val="0"/>
              <w:i/>
            </w:rPr>
          </w:pPr>
          <w:r w:rsidRPr="0039525B">
            <w:rPr>
              <w:b w:val="0"/>
              <w:i/>
              <w:sz w:val="12"/>
            </w:rPr>
            <w:t>Creative Commons Attribution-NonCommercial-ShareAlike 3.0 Unported License</w:t>
          </w:r>
        </w:p>
        <w:p w14:paraId="7B0043A3" w14:textId="77777777" w:rsidR="00CF40DA" w:rsidRPr="002E4C92" w:rsidRDefault="006254E8" w:rsidP="004F2969">
          <w:pPr>
            <w:pStyle w:val="FooterText"/>
          </w:pPr>
          <w:hyperlink r:id="rId1" w:history="1">
            <w:r w:rsidR="00CF40DA" w:rsidRPr="0054791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14:paraId="542FCB3C" w14:textId="77777777" w:rsidR="00CF40DA" w:rsidRPr="002E4C92" w:rsidRDefault="00CF40DA" w:rsidP="004F2969">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6254E8">
            <w:rPr>
              <w:rFonts w:ascii="Calibri" w:hAnsi="Calibri" w:cs="Calibri"/>
              <w:b/>
              <w:noProof/>
              <w:color w:val="1F4E79"/>
              <w:sz w:val="28"/>
            </w:rPr>
            <w:t>1</w:t>
          </w:r>
          <w:r w:rsidRPr="002E4C92">
            <w:rPr>
              <w:rFonts w:ascii="Calibri" w:hAnsi="Calibri" w:cs="Calibri"/>
              <w:b/>
              <w:color w:val="1F4E79"/>
              <w:sz w:val="28"/>
            </w:rPr>
            <w:fldChar w:fldCharType="end"/>
          </w:r>
        </w:p>
      </w:tc>
      <w:tc>
        <w:tcPr>
          <w:tcW w:w="4325" w:type="dxa"/>
          <w:shd w:val="clear" w:color="auto" w:fill="auto"/>
          <w:vAlign w:val="bottom"/>
        </w:tcPr>
        <w:p w14:paraId="4894A2ED" w14:textId="77777777" w:rsidR="00CF40DA" w:rsidRPr="002E4C92" w:rsidRDefault="00CF40DA" w:rsidP="0039525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54D7FA90" wp14:editId="7CB4477E">
                <wp:extent cx="1697355" cy="636270"/>
                <wp:effectExtent l="19050" t="0" r="0" b="0"/>
                <wp:docPr id="1"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14:paraId="3D6DFFEC" w14:textId="77777777" w:rsidR="00CF40DA" w:rsidRPr="0039525B" w:rsidRDefault="00CF40DA" w:rsidP="0039525B">
    <w:pPr>
      <w:pStyle w:val="Footer"/>
      <w:spacing w:before="0" w:after="0" w:line="240" w:lineRule="auto"/>
      <w:rPr>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53B0FE" w14:textId="77777777" w:rsidR="006254E8" w:rsidRDefault="006254E8" w:rsidP="00E946A0">
      <w:r>
        <w:separator/>
      </w:r>
    </w:p>
    <w:p w14:paraId="30B9B94C" w14:textId="77777777" w:rsidR="006254E8" w:rsidRDefault="006254E8" w:rsidP="00E946A0"/>
  </w:footnote>
  <w:footnote w:type="continuationSeparator" w:id="0">
    <w:p w14:paraId="6DF20A88" w14:textId="77777777" w:rsidR="006254E8" w:rsidRDefault="006254E8" w:rsidP="00E946A0">
      <w:r>
        <w:continuationSeparator/>
      </w:r>
    </w:p>
    <w:p w14:paraId="798AED5A" w14:textId="77777777" w:rsidR="006254E8" w:rsidRDefault="006254E8" w:rsidP="00E946A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3630"/>
      <w:gridCol w:w="2369"/>
      <w:gridCol w:w="3361"/>
    </w:tblGrid>
    <w:tr w:rsidR="00CF40DA" w:rsidRPr="00563CB8" w14:paraId="04F0A86D" w14:textId="77777777">
      <w:tc>
        <w:tcPr>
          <w:tcW w:w="3708" w:type="dxa"/>
          <w:shd w:val="clear" w:color="auto" w:fill="auto"/>
        </w:tcPr>
        <w:p w14:paraId="4DA8AACB" w14:textId="77777777" w:rsidR="00CF40DA" w:rsidRPr="00563CB8" w:rsidRDefault="00CF40DA" w:rsidP="00E946A0">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14:paraId="5AACF959" w14:textId="77777777" w:rsidR="00CF40DA" w:rsidRPr="00563CB8" w:rsidRDefault="00CF40DA" w:rsidP="00E946A0">
          <w:pPr>
            <w:jc w:val="center"/>
          </w:pPr>
          <w:r w:rsidRPr="00563CB8">
            <w:t>D R A F T</w:t>
          </w:r>
        </w:p>
      </w:tc>
      <w:tc>
        <w:tcPr>
          <w:tcW w:w="3438" w:type="dxa"/>
          <w:shd w:val="clear" w:color="auto" w:fill="auto"/>
        </w:tcPr>
        <w:p w14:paraId="38E6AFBD" w14:textId="77777777" w:rsidR="00CF40DA" w:rsidRPr="00E946A0" w:rsidRDefault="00CF40DA" w:rsidP="00E946A0">
          <w:pPr>
            <w:pStyle w:val="PageHeader"/>
            <w:jc w:val="right"/>
            <w:rPr>
              <w:b w:val="0"/>
            </w:rPr>
          </w:pPr>
          <w:r>
            <w:rPr>
              <w:b w:val="0"/>
            </w:rPr>
            <w:t>Grade 11 • Module 3 • Unit 2• Lesson 7</w:t>
          </w:r>
        </w:p>
      </w:tc>
    </w:tr>
  </w:tbl>
  <w:p w14:paraId="1F7A0B02" w14:textId="77777777" w:rsidR="00CF40DA" w:rsidRDefault="00CF40DA" w:rsidP="00E946A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5863EE"/>
    <w:multiLevelType w:val="hybridMultilevel"/>
    <w:tmpl w:val="1D2C6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A510B0"/>
    <w:multiLevelType w:val="hybridMultilevel"/>
    <w:tmpl w:val="BDE6B81C"/>
    <w:lvl w:ilvl="0" w:tplc="5FD4D16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F23389"/>
    <w:multiLevelType w:val="hybridMultilevel"/>
    <w:tmpl w:val="1FA202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8">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5601282"/>
    <w:multiLevelType w:val="hybridMultilevel"/>
    <w:tmpl w:val="B890DC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E73B79"/>
    <w:multiLevelType w:val="hybridMultilevel"/>
    <w:tmpl w:val="8940FCD2"/>
    <w:lvl w:ilvl="0" w:tplc="B4769F7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1">
    <w:nsid w:val="2EDF5633"/>
    <w:multiLevelType w:val="hybridMultilevel"/>
    <w:tmpl w:val="DA6628DE"/>
    <w:lvl w:ilvl="0" w:tplc="5806626C">
      <w:start w:val="1"/>
      <w:numFmt w:val="decimal"/>
      <w:lvlText w:val="%1."/>
      <w:lvlJc w:val="left"/>
      <w:pPr>
        <w:ind w:left="763" w:hanging="360"/>
      </w:pPr>
      <w:rPr>
        <w:rFonts w:ascii="Calibri" w:eastAsia="Times New Roman" w:hAnsi="Calibri" w:cs="Times New Roman"/>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12">
    <w:nsid w:val="38CD60BD"/>
    <w:multiLevelType w:val="hybridMultilevel"/>
    <w:tmpl w:val="14CC397C"/>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E90AC8"/>
    <w:multiLevelType w:val="hybridMultilevel"/>
    <w:tmpl w:val="736A0F2A"/>
    <w:lvl w:ilvl="0" w:tplc="03A07396">
      <w:numFmt w:val="bullet"/>
      <w:lvlText w:val="•"/>
      <w:lvlJc w:val="left"/>
      <w:pPr>
        <w:ind w:left="720" w:hanging="72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CCC062B"/>
    <w:multiLevelType w:val="hybridMultilevel"/>
    <w:tmpl w:val="466E3DC6"/>
    <w:lvl w:ilvl="0" w:tplc="5BB487B6">
      <w:start w:val="2"/>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E0F5251"/>
    <w:multiLevelType w:val="hybridMultilevel"/>
    <w:tmpl w:val="58260208"/>
    <w:lvl w:ilvl="0" w:tplc="B7748834">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995041F"/>
    <w:multiLevelType w:val="hybridMultilevel"/>
    <w:tmpl w:val="0832E2B6"/>
    <w:lvl w:ilvl="0" w:tplc="E5325B2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7">
    <w:nsid w:val="5AC57447"/>
    <w:multiLevelType w:val="hybridMultilevel"/>
    <w:tmpl w:val="3E7A38EC"/>
    <w:lvl w:ilvl="0" w:tplc="23E44AD0">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B453E7"/>
    <w:multiLevelType w:val="hybridMultilevel"/>
    <w:tmpl w:val="2AAA2C7A"/>
    <w:lvl w:ilvl="0" w:tplc="F5A43402">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7171F0E"/>
    <w:multiLevelType w:val="hybridMultilevel"/>
    <w:tmpl w:val="889E8C6E"/>
    <w:lvl w:ilvl="0" w:tplc="D122B6BA">
      <w:start w:val="1"/>
      <w:numFmt w:val="bullet"/>
      <w:pStyle w:val="IN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B1A15BF"/>
    <w:multiLevelType w:val="hybridMultilevel"/>
    <w:tmpl w:val="F73A0EE6"/>
    <w:lvl w:ilvl="0" w:tplc="061238F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C262C50"/>
    <w:multiLevelType w:val="hybridMultilevel"/>
    <w:tmpl w:val="7D4A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CB34FA9"/>
    <w:multiLevelType w:val="hybridMultilevel"/>
    <w:tmpl w:val="079E7E3C"/>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FE863E1"/>
    <w:multiLevelType w:val="hybridMultilevel"/>
    <w:tmpl w:val="D86060D4"/>
    <w:lvl w:ilvl="0" w:tplc="53101E8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0B1732A"/>
    <w:multiLevelType w:val="hybridMultilevel"/>
    <w:tmpl w:val="E4ECD5DC"/>
    <w:lvl w:ilvl="0" w:tplc="17E40626">
      <w:start w:val="1"/>
      <w:numFmt w:val="lowerLetter"/>
      <w:pStyle w:val="SubStandard"/>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7595190C"/>
    <w:multiLevelType w:val="hybridMultilevel"/>
    <w:tmpl w:val="AF20E4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6C35755"/>
    <w:multiLevelType w:val="hybridMultilevel"/>
    <w:tmpl w:val="34029460"/>
    <w:lvl w:ilvl="0" w:tplc="A5BEFA20">
      <w:start w:val="1"/>
      <w:numFmt w:val="bullet"/>
      <w:lvlText w:val=""/>
      <w:lvlJc w:val="left"/>
      <w:pPr>
        <w:ind w:left="144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C077A8A"/>
    <w:multiLevelType w:val="hybridMultilevel"/>
    <w:tmpl w:val="DA6628DE"/>
    <w:lvl w:ilvl="0" w:tplc="5806626C">
      <w:start w:val="1"/>
      <w:numFmt w:val="decimal"/>
      <w:lvlText w:val="%1."/>
      <w:lvlJc w:val="left"/>
      <w:pPr>
        <w:ind w:left="763" w:hanging="360"/>
      </w:pPr>
      <w:rPr>
        <w:rFonts w:ascii="Calibri" w:eastAsia="Times New Roman" w:hAnsi="Calibri" w:cs="Times New Roman"/>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num w:numId="1">
    <w:abstractNumId w:val="17"/>
  </w:num>
  <w:num w:numId="2">
    <w:abstractNumId w:val="2"/>
  </w:num>
  <w:num w:numId="3">
    <w:abstractNumId w:val="1"/>
  </w:num>
  <w:num w:numId="4">
    <w:abstractNumId w:val="8"/>
    <w:lvlOverride w:ilvl="0">
      <w:startOverride w:val="1"/>
    </w:lvlOverride>
  </w:num>
  <w:num w:numId="5">
    <w:abstractNumId w:val="7"/>
  </w:num>
  <w:num w:numId="6">
    <w:abstractNumId w:val="7"/>
  </w:num>
  <w:num w:numId="7">
    <w:abstractNumId w:val="7"/>
    <w:lvlOverride w:ilvl="0">
      <w:startOverride w:val="1"/>
    </w:lvlOverride>
  </w:num>
  <w:num w:numId="8">
    <w:abstractNumId w:val="8"/>
  </w:num>
  <w:num w:numId="9">
    <w:abstractNumId w:val="8"/>
    <w:lvlOverride w:ilvl="0">
      <w:startOverride w:val="1"/>
    </w:lvlOverride>
  </w:num>
  <w:num w:numId="10">
    <w:abstractNumId w:val="7"/>
    <w:lvlOverride w:ilvl="0">
      <w:startOverride w:val="1"/>
    </w:lvlOverride>
  </w:num>
  <w:num w:numId="11">
    <w:abstractNumId w:val="0"/>
  </w:num>
  <w:num w:numId="12">
    <w:abstractNumId w:val="28"/>
  </w:num>
  <w:num w:numId="13">
    <w:abstractNumId w:val="7"/>
    <w:lvlOverride w:ilvl="0">
      <w:startOverride w:val="1"/>
    </w:lvlOverride>
  </w:num>
  <w:num w:numId="14">
    <w:abstractNumId w:val="6"/>
  </w:num>
  <w:num w:numId="15">
    <w:abstractNumId w:val="3"/>
  </w:num>
  <w:num w:numId="16">
    <w:abstractNumId w:val="22"/>
  </w:num>
  <w:num w:numId="17">
    <w:abstractNumId w:val="13"/>
  </w:num>
  <w:num w:numId="18">
    <w:abstractNumId w:val="14"/>
  </w:num>
  <w:num w:numId="19">
    <w:abstractNumId w:val="11"/>
  </w:num>
  <w:num w:numId="20">
    <w:abstractNumId w:val="4"/>
  </w:num>
  <w:num w:numId="21">
    <w:abstractNumId w:val="8"/>
    <w:lvlOverride w:ilvl="0">
      <w:startOverride w:val="1"/>
    </w:lvlOverride>
  </w:num>
  <w:num w:numId="22">
    <w:abstractNumId w:val="1"/>
    <w:lvlOverride w:ilvl="0">
      <w:startOverride w:val="1"/>
    </w:lvlOverride>
  </w:num>
  <w:num w:numId="23">
    <w:abstractNumId w:val="24"/>
  </w:num>
  <w:num w:numId="24">
    <w:abstractNumId w:val="5"/>
  </w:num>
  <w:num w:numId="25">
    <w:abstractNumId w:val="21"/>
  </w:num>
  <w:num w:numId="26">
    <w:abstractNumId w:val="15"/>
  </w:num>
  <w:num w:numId="27">
    <w:abstractNumId w:val="2"/>
    <w:lvlOverride w:ilvl="0">
      <w:startOverride w:val="1"/>
    </w:lvlOverride>
  </w:num>
  <w:num w:numId="28">
    <w:abstractNumId w:val="18"/>
  </w:num>
  <w:num w:numId="29">
    <w:abstractNumId w:val="10"/>
  </w:num>
  <w:num w:numId="30">
    <w:abstractNumId w:val="16"/>
  </w:num>
  <w:num w:numId="31">
    <w:abstractNumId w:val="27"/>
  </w:num>
  <w:num w:numId="32">
    <w:abstractNumId w:val="19"/>
  </w:num>
  <w:num w:numId="33">
    <w:abstractNumId w:val="23"/>
  </w:num>
  <w:num w:numId="34">
    <w:abstractNumId w:val="8"/>
    <w:lvlOverride w:ilvl="0">
      <w:startOverride w:val="1"/>
    </w:lvlOverride>
  </w:num>
  <w:num w:numId="35">
    <w:abstractNumId w:val="20"/>
  </w:num>
  <w:num w:numId="36">
    <w:abstractNumId w:val="9"/>
  </w:num>
  <w:num w:numId="37">
    <w:abstractNumId w:val="12"/>
  </w:num>
  <w:num w:numId="38">
    <w:abstractNumId w:val="25"/>
  </w:num>
  <w:num w:numId="39">
    <w:abstractNumId w:val="26"/>
  </w:num>
  <w:num w:numId="40">
    <w:abstractNumId w:val="8"/>
    <w:lvlOverride w:ilvl="0">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88B"/>
    <w:rsid w:val="00007CBA"/>
    <w:rsid w:val="00007F67"/>
    <w:rsid w:val="00011E99"/>
    <w:rsid w:val="000134DA"/>
    <w:rsid w:val="000137C5"/>
    <w:rsid w:val="00014D5D"/>
    <w:rsid w:val="00020527"/>
    <w:rsid w:val="00021589"/>
    <w:rsid w:val="0002335F"/>
    <w:rsid w:val="00034778"/>
    <w:rsid w:val="00042136"/>
    <w:rsid w:val="00042178"/>
    <w:rsid w:val="00053088"/>
    <w:rsid w:val="00062291"/>
    <w:rsid w:val="0006233C"/>
    <w:rsid w:val="00064850"/>
    <w:rsid w:val="0006563B"/>
    <w:rsid w:val="00066123"/>
    <w:rsid w:val="00067088"/>
    <w:rsid w:val="0006776C"/>
    <w:rsid w:val="00067AE2"/>
    <w:rsid w:val="00071936"/>
    <w:rsid w:val="00072749"/>
    <w:rsid w:val="0007297D"/>
    <w:rsid w:val="000742AA"/>
    <w:rsid w:val="00075649"/>
    <w:rsid w:val="00080A8A"/>
    <w:rsid w:val="000848B2"/>
    <w:rsid w:val="00086A06"/>
    <w:rsid w:val="00090200"/>
    <w:rsid w:val="00092730"/>
    <w:rsid w:val="00092C82"/>
    <w:rsid w:val="00095BBA"/>
    <w:rsid w:val="00096A06"/>
    <w:rsid w:val="000974FC"/>
    <w:rsid w:val="000979F8"/>
    <w:rsid w:val="000A1206"/>
    <w:rsid w:val="000A26A7"/>
    <w:rsid w:val="000A3640"/>
    <w:rsid w:val="000B1882"/>
    <w:rsid w:val="000B2D56"/>
    <w:rsid w:val="000B3015"/>
    <w:rsid w:val="000B3836"/>
    <w:rsid w:val="000B6EA7"/>
    <w:rsid w:val="000B734A"/>
    <w:rsid w:val="000C0112"/>
    <w:rsid w:val="000C169A"/>
    <w:rsid w:val="000C4439"/>
    <w:rsid w:val="000C4813"/>
    <w:rsid w:val="000C5656"/>
    <w:rsid w:val="000C5893"/>
    <w:rsid w:val="000C7748"/>
    <w:rsid w:val="000D0F3D"/>
    <w:rsid w:val="000D0FAE"/>
    <w:rsid w:val="000D2521"/>
    <w:rsid w:val="000E0B69"/>
    <w:rsid w:val="000E4DBA"/>
    <w:rsid w:val="000F192C"/>
    <w:rsid w:val="000F2414"/>
    <w:rsid w:val="000F7D35"/>
    <w:rsid w:val="000F7F56"/>
    <w:rsid w:val="0010235F"/>
    <w:rsid w:val="00110A04"/>
    <w:rsid w:val="001114EF"/>
    <w:rsid w:val="00111A39"/>
    <w:rsid w:val="00113501"/>
    <w:rsid w:val="001159C2"/>
    <w:rsid w:val="001215F2"/>
    <w:rsid w:val="00121C27"/>
    <w:rsid w:val="001258FD"/>
    <w:rsid w:val="00133528"/>
    <w:rsid w:val="001352AE"/>
    <w:rsid w:val="001362D4"/>
    <w:rsid w:val="00140413"/>
    <w:rsid w:val="001509EC"/>
    <w:rsid w:val="0015118C"/>
    <w:rsid w:val="00156124"/>
    <w:rsid w:val="001657A6"/>
    <w:rsid w:val="001708C2"/>
    <w:rsid w:val="001723D5"/>
    <w:rsid w:val="00175B00"/>
    <w:rsid w:val="0018630D"/>
    <w:rsid w:val="00186355"/>
    <w:rsid w:val="001864E6"/>
    <w:rsid w:val="00186FDA"/>
    <w:rsid w:val="0018762C"/>
    <w:rsid w:val="001945FA"/>
    <w:rsid w:val="00194F1D"/>
    <w:rsid w:val="001A5133"/>
    <w:rsid w:val="001B0794"/>
    <w:rsid w:val="001B1487"/>
    <w:rsid w:val="001C1C99"/>
    <w:rsid w:val="001C35E3"/>
    <w:rsid w:val="001C5188"/>
    <w:rsid w:val="001C6B70"/>
    <w:rsid w:val="001D047B"/>
    <w:rsid w:val="001D0518"/>
    <w:rsid w:val="001D641A"/>
    <w:rsid w:val="001D734A"/>
    <w:rsid w:val="001D7A65"/>
    <w:rsid w:val="001E189E"/>
    <w:rsid w:val="001F0991"/>
    <w:rsid w:val="001F6C4F"/>
    <w:rsid w:val="002009F7"/>
    <w:rsid w:val="0020138A"/>
    <w:rsid w:val="002041CD"/>
    <w:rsid w:val="00207C8B"/>
    <w:rsid w:val="00217CAF"/>
    <w:rsid w:val="00224590"/>
    <w:rsid w:val="002306FF"/>
    <w:rsid w:val="00231919"/>
    <w:rsid w:val="00240FF7"/>
    <w:rsid w:val="0024557C"/>
    <w:rsid w:val="00245B86"/>
    <w:rsid w:val="002516D4"/>
    <w:rsid w:val="00251A7C"/>
    <w:rsid w:val="00251DAB"/>
    <w:rsid w:val="00252D78"/>
    <w:rsid w:val="00253110"/>
    <w:rsid w:val="0026193E"/>
    <w:rsid w:val="002619B1"/>
    <w:rsid w:val="002635F4"/>
    <w:rsid w:val="00263AF5"/>
    <w:rsid w:val="002661A8"/>
    <w:rsid w:val="0027261C"/>
    <w:rsid w:val="00274573"/>
    <w:rsid w:val="002748DB"/>
    <w:rsid w:val="00274FEB"/>
    <w:rsid w:val="00276DB9"/>
    <w:rsid w:val="0028184C"/>
    <w:rsid w:val="00284B9E"/>
    <w:rsid w:val="00284FC0"/>
    <w:rsid w:val="00290F88"/>
    <w:rsid w:val="00294055"/>
    <w:rsid w:val="0029527C"/>
    <w:rsid w:val="00296256"/>
    <w:rsid w:val="00297DC5"/>
    <w:rsid w:val="002A21DE"/>
    <w:rsid w:val="002A5337"/>
    <w:rsid w:val="002C0245"/>
    <w:rsid w:val="002C02FB"/>
    <w:rsid w:val="002C5F0D"/>
    <w:rsid w:val="002D5EB9"/>
    <w:rsid w:val="002D632F"/>
    <w:rsid w:val="002E27AE"/>
    <w:rsid w:val="002E4C92"/>
    <w:rsid w:val="002F03D2"/>
    <w:rsid w:val="002F14AA"/>
    <w:rsid w:val="002F1754"/>
    <w:rsid w:val="002F3D65"/>
    <w:rsid w:val="003067BF"/>
    <w:rsid w:val="00311E81"/>
    <w:rsid w:val="00317306"/>
    <w:rsid w:val="003201AC"/>
    <w:rsid w:val="0032239A"/>
    <w:rsid w:val="00335168"/>
    <w:rsid w:val="003368BF"/>
    <w:rsid w:val="003440A9"/>
    <w:rsid w:val="00347761"/>
    <w:rsid w:val="00347DD9"/>
    <w:rsid w:val="00350B03"/>
    <w:rsid w:val="00351804"/>
    <w:rsid w:val="00351F18"/>
    <w:rsid w:val="00352361"/>
    <w:rsid w:val="00353081"/>
    <w:rsid w:val="00355B9E"/>
    <w:rsid w:val="00356656"/>
    <w:rsid w:val="00362010"/>
    <w:rsid w:val="00364CD8"/>
    <w:rsid w:val="00370C53"/>
    <w:rsid w:val="00372441"/>
    <w:rsid w:val="0037258B"/>
    <w:rsid w:val="00374C35"/>
    <w:rsid w:val="00376DBB"/>
    <w:rsid w:val="003822E1"/>
    <w:rsid w:val="003826B0"/>
    <w:rsid w:val="0038382F"/>
    <w:rsid w:val="00383A2A"/>
    <w:rsid w:val="003851B2"/>
    <w:rsid w:val="003854D3"/>
    <w:rsid w:val="0038635E"/>
    <w:rsid w:val="003908D2"/>
    <w:rsid w:val="003924D0"/>
    <w:rsid w:val="0039525B"/>
    <w:rsid w:val="003A3AB0"/>
    <w:rsid w:val="003A6785"/>
    <w:rsid w:val="003A7152"/>
    <w:rsid w:val="003B19D1"/>
    <w:rsid w:val="003B3DB9"/>
    <w:rsid w:val="003B7708"/>
    <w:rsid w:val="003C2022"/>
    <w:rsid w:val="003C24AD"/>
    <w:rsid w:val="003C2CF1"/>
    <w:rsid w:val="003D2601"/>
    <w:rsid w:val="003D27E3"/>
    <w:rsid w:val="003D28E6"/>
    <w:rsid w:val="003D7469"/>
    <w:rsid w:val="003E2C04"/>
    <w:rsid w:val="003E3757"/>
    <w:rsid w:val="003E693A"/>
    <w:rsid w:val="003F2833"/>
    <w:rsid w:val="003F3D65"/>
    <w:rsid w:val="003F68F4"/>
    <w:rsid w:val="00405198"/>
    <w:rsid w:val="00412A7D"/>
    <w:rsid w:val="004179FD"/>
    <w:rsid w:val="00421157"/>
    <w:rsid w:val="0042474E"/>
    <w:rsid w:val="00424A3C"/>
    <w:rsid w:val="00425E32"/>
    <w:rsid w:val="00432D7F"/>
    <w:rsid w:val="00436909"/>
    <w:rsid w:val="00437FD0"/>
    <w:rsid w:val="004402AC"/>
    <w:rsid w:val="004403EE"/>
    <w:rsid w:val="00440948"/>
    <w:rsid w:val="004452D5"/>
    <w:rsid w:val="00446AFD"/>
    <w:rsid w:val="004528AF"/>
    <w:rsid w:val="004536D7"/>
    <w:rsid w:val="00455FC4"/>
    <w:rsid w:val="00456F88"/>
    <w:rsid w:val="0045725F"/>
    <w:rsid w:val="00457F98"/>
    <w:rsid w:val="00470E93"/>
    <w:rsid w:val="004713C2"/>
    <w:rsid w:val="00472F34"/>
    <w:rsid w:val="0047469B"/>
    <w:rsid w:val="00477B3D"/>
    <w:rsid w:val="00482C15"/>
    <w:rsid w:val="004838D9"/>
    <w:rsid w:val="00484822"/>
    <w:rsid w:val="0048529D"/>
    <w:rsid w:val="00485D55"/>
    <w:rsid w:val="0049409E"/>
    <w:rsid w:val="004955F5"/>
    <w:rsid w:val="004973F3"/>
    <w:rsid w:val="004A3F30"/>
    <w:rsid w:val="004B22B8"/>
    <w:rsid w:val="004B3E41"/>
    <w:rsid w:val="004B552B"/>
    <w:rsid w:val="004B7C07"/>
    <w:rsid w:val="004C602D"/>
    <w:rsid w:val="004C6CD8"/>
    <w:rsid w:val="004D288B"/>
    <w:rsid w:val="004D487C"/>
    <w:rsid w:val="004D5473"/>
    <w:rsid w:val="004D7029"/>
    <w:rsid w:val="004E1B0E"/>
    <w:rsid w:val="004F2363"/>
    <w:rsid w:val="004F2969"/>
    <w:rsid w:val="004F353F"/>
    <w:rsid w:val="004F62CF"/>
    <w:rsid w:val="005008F1"/>
    <w:rsid w:val="00502FAD"/>
    <w:rsid w:val="00505336"/>
    <w:rsid w:val="00507DF5"/>
    <w:rsid w:val="005121D2"/>
    <w:rsid w:val="00513C73"/>
    <w:rsid w:val="00513E84"/>
    <w:rsid w:val="00517918"/>
    <w:rsid w:val="0052385B"/>
    <w:rsid w:val="0052413A"/>
    <w:rsid w:val="0052748A"/>
    <w:rsid w:val="0052769A"/>
    <w:rsid w:val="00527DE8"/>
    <w:rsid w:val="005324A5"/>
    <w:rsid w:val="00540029"/>
    <w:rsid w:val="00541A6A"/>
    <w:rsid w:val="00542523"/>
    <w:rsid w:val="00546D71"/>
    <w:rsid w:val="0054791C"/>
    <w:rsid w:val="0055340D"/>
    <w:rsid w:val="0055385D"/>
    <w:rsid w:val="00553ACA"/>
    <w:rsid w:val="00561640"/>
    <w:rsid w:val="00563CB8"/>
    <w:rsid w:val="00563DC9"/>
    <w:rsid w:val="005641F5"/>
    <w:rsid w:val="00565871"/>
    <w:rsid w:val="00567E85"/>
    <w:rsid w:val="00570901"/>
    <w:rsid w:val="00576E4A"/>
    <w:rsid w:val="00581401"/>
    <w:rsid w:val="005837C5"/>
    <w:rsid w:val="00583FF7"/>
    <w:rsid w:val="00585771"/>
    <w:rsid w:val="00585A0D"/>
    <w:rsid w:val="005875D8"/>
    <w:rsid w:val="00592D68"/>
    <w:rsid w:val="00593697"/>
    <w:rsid w:val="00595905"/>
    <w:rsid w:val="005960E3"/>
    <w:rsid w:val="005A7630"/>
    <w:rsid w:val="005A7968"/>
    <w:rsid w:val="005B22B2"/>
    <w:rsid w:val="005B3D78"/>
    <w:rsid w:val="005B7E6E"/>
    <w:rsid w:val="005C4572"/>
    <w:rsid w:val="005C7B5F"/>
    <w:rsid w:val="005D1462"/>
    <w:rsid w:val="005D7C72"/>
    <w:rsid w:val="005E2E87"/>
    <w:rsid w:val="005F147C"/>
    <w:rsid w:val="005F5D35"/>
    <w:rsid w:val="005F657A"/>
    <w:rsid w:val="00603970"/>
    <w:rsid w:val="006044CD"/>
    <w:rsid w:val="0060666F"/>
    <w:rsid w:val="00607856"/>
    <w:rsid w:val="006124D5"/>
    <w:rsid w:val="0062277B"/>
    <w:rsid w:val="006254E8"/>
    <w:rsid w:val="006261E1"/>
    <w:rsid w:val="00626E4A"/>
    <w:rsid w:val="0063653C"/>
    <w:rsid w:val="006375AF"/>
    <w:rsid w:val="00641DC5"/>
    <w:rsid w:val="00643550"/>
    <w:rsid w:val="00644540"/>
    <w:rsid w:val="00645C3F"/>
    <w:rsid w:val="00646088"/>
    <w:rsid w:val="006475CB"/>
    <w:rsid w:val="00651092"/>
    <w:rsid w:val="00653ABB"/>
    <w:rsid w:val="0066211A"/>
    <w:rsid w:val="00663A00"/>
    <w:rsid w:val="006640A5"/>
    <w:rsid w:val="006661AE"/>
    <w:rsid w:val="006667A3"/>
    <w:rsid w:val="0068018C"/>
    <w:rsid w:val="00684179"/>
    <w:rsid w:val="006913F4"/>
    <w:rsid w:val="0069247E"/>
    <w:rsid w:val="00696173"/>
    <w:rsid w:val="006A09D6"/>
    <w:rsid w:val="006A3594"/>
    <w:rsid w:val="006B0965"/>
    <w:rsid w:val="006B61DD"/>
    <w:rsid w:val="006B7CCB"/>
    <w:rsid w:val="006D5208"/>
    <w:rsid w:val="006E4C84"/>
    <w:rsid w:val="006E7A67"/>
    <w:rsid w:val="006E7D3C"/>
    <w:rsid w:val="006F3BD7"/>
    <w:rsid w:val="00706B79"/>
    <w:rsid w:val="00706F7A"/>
    <w:rsid w:val="00707670"/>
    <w:rsid w:val="0071568E"/>
    <w:rsid w:val="0072440D"/>
    <w:rsid w:val="00724760"/>
    <w:rsid w:val="00730123"/>
    <w:rsid w:val="0073192F"/>
    <w:rsid w:val="00733C74"/>
    <w:rsid w:val="00737EE7"/>
    <w:rsid w:val="00741955"/>
    <w:rsid w:val="007508BF"/>
    <w:rsid w:val="007623AE"/>
    <w:rsid w:val="0076269D"/>
    <w:rsid w:val="00766336"/>
    <w:rsid w:val="0076658E"/>
    <w:rsid w:val="00767641"/>
    <w:rsid w:val="00772135"/>
    <w:rsid w:val="00772FCA"/>
    <w:rsid w:val="0077398D"/>
    <w:rsid w:val="00787662"/>
    <w:rsid w:val="00796D57"/>
    <w:rsid w:val="00797281"/>
    <w:rsid w:val="007B0EDD"/>
    <w:rsid w:val="007B764B"/>
    <w:rsid w:val="007C14C1"/>
    <w:rsid w:val="007C7DB0"/>
    <w:rsid w:val="007D1715"/>
    <w:rsid w:val="007D2F12"/>
    <w:rsid w:val="007E463A"/>
    <w:rsid w:val="007E4E86"/>
    <w:rsid w:val="007E7665"/>
    <w:rsid w:val="007F76FC"/>
    <w:rsid w:val="00804C62"/>
    <w:rsid w:val="00807C6B"/>
    <w:rsid w:val="008139A0"/>
    <w:rsid w:val="008151E5"/>
    <w:rsid w:val="00815FB2"/>
    <w:rsid w:val="00820EF9"/>
    <w:rsid w:val="0082210F"/>
    <w:rsid w:val="008228CD"/>
    <w:rsid w:val="008261D2"/>
    <w:rsid w:val="00831B4C"/>
    <w:rsid w:val="008336BE"/>
    <w:rsid w:val="00835495"/>
    <w:rsid w:val="00840A59"/>
    <w:rsid w:val="008434A6"/>
    <w:rsid w:val="0084358E"/>
    <w:rsid w:val="00847A03"/>
    <w:rsid w:val="00850CE6"/>
    <w:rsid w:val="00853CF3"/>
    <w:rsid w:val="008572B2"/>
    <w:rsid w:val="00860A88"/>
    <w:rsid w:val="00864A80"/>
    <w:rsid w:val="00872393"/>
    <w:rsid w:val="008732CC"/>
    <w:rsid w:val="00874AF4"/>
    <w:rsid w:val="0087565B"/>
    <w:rsid w:val="00875D0A"/>
    <w:rsid w:val="00876632"/>
    <w:rsid w:val="00880AAD"/>
    <w:rsid w:val="00883761"/>
    <w:rsid w:val="00884AB6"/>
    <w:rsid w:val="008907FE"/>
    <w:rsid w:val="00893930"/>
    <w:rsid w:val="00893A85"/>
    <w:rsid w:val="00897E18"/>
    <w:rsid w:val="008A0F55"/>
    <w:rsid w:val="008A1774"/>
    <w:rsid w:val="008A2DA8"/>
    <w:rsid w:val="008A5010"/>
    <w:rsid w:val="008A7263"/>
    <w:rsid w:val="008B1311"/>
    <w:rsid w:val="008B31CC"/>
    <w:rsid w:val="008B456C"/>
    <w:rsid w:val="008B5DE1"/>
    <w:rsid w:val="008C1826"/>
    <w:rsid w:val="008C7679"/>
    <w:rsid w:val="008D0396"/>
    <w:rsid w:val="008D3566"/>
    <w:rsid w:val="008D3BC0"/>
    <w:rsid w:val="008D5D6B"/>
    <w:rsid w:val="008E2674"/>
    <w:rsid w:val="009000C9"/>
    <w:rsid w:val="00903656"/>
    <w:rsid w:val="009062ED"/>
    <w:rsid w:val="0090775D"/>
    <w:rsid w:val="00910D8E"/>
    <w:rsid w:val="009135A8"/>
    <w:rsid w:val="0091722D"/>
    <w:rsid w:val="00922E34"/>
    <w:rsid w:val="00933100"/>
    <w:rsid w:val="009403AD"/>
    <w:rsid w:val="0094277B"/>
    <w:rsid w:val="009479D5"/>
    <w:rsid w:val="00953E44"/>
    <w:rsid w:val="0096199D"/>
    <w:rsid w:val="00962802"/>
    <w:rsid w:val="00963CDE"/>
    <w:rsid w:val="00966D72"/>
    <w:rsid w:val="00967678"/>
    <w:rsid w:val="0097223B"/>
    <w:rsid w:val="009732BA"/>
    <w:rsid w:val="0098148A"/>
    <w:rsid w:val="009859E7"/>
    <w:rsid w:val="009A0390"/>
    <w:rsid w:val="009A3159"/>
    <w:rsid w:val="009B0F30"/>
    <w:rsid w:val="009B12D0"/>
    <w:rsid w:val="009B14FE"/>
    <w:rsid w:val="009B4FE2"/>
    <w:rsid w:val="009B7417"/>
    <w:rsid w:val="009B7C85"/>
    <w:rsid w:val="009C0391"/>
    <w:rsid w:val="009C2014"/>
    <w:rsid w:val="009C3C09"/>
    <w:rsid w:val="009D0B7A"/>
    <w:rsid w:val="009D12CD"/>
    <w:rsid w:val="009D2572"/>
    <w:rsid w:val="009E05C6"/>
    <w:rsid w:val="009E07D2"/>
    <w:rsid w:val="009E734D"/>
    <w:rsid w:val="009F31D9"/>
    <w:rsid w:val="009F3652"/>
    <w:rsid w:val="00A0163A"/>
    <w:rsid w:val="00A07A4E"/>
    <w:rsid w:val="00A14F0A"/>
    <w:rsid w:val="00A24DAB"/>
    <w:rsid w:val="00A253EA"/>
    <w:rsid w:val="00A32E00"/>
    <w:rsid w:val="00A4462B"/>
    <w:rsid w:val="00A4688B"/>
    <w:rsid w:val="00A61FC1"/>
    <w:rsid w:val="00A65FF8"/>
    <w:rsid w:val="00A75116"/>
    <w:rsid w:val="00A77308"/>
    <w:rsid w:val="00A77D77"/>
    <w:rsid w:val="00A908AC"/>
    <w:rsid w:val="00A948B3"/>
    <w:rsid w:val="00A95E92"/>
    <w:rsid w:val="00A968CA"/>
    <w:rsid w:val="00AA0831"/>
    <w:rsid w:val="00AA1DC0"/>
    <w:rsid w:val="00AA3F32"/>
    <w:rsid w:val="00AA5F43"/>
    <w:rsid w:val="00AB2FD3"/>
    <w:rsid w:val="00AC1DE5"/>
    <w:rsid w:val="00AC1F67"/>
    <w:rsid w:val="00AC2AB4"/>
    <w:rsid w:val="00AC6562"/>
    <w:rsid w:val="00AD26BF"/>
    <w:rsid w:val="00AD2E2E"/>
    <w:rsid w:val="00AD440D"/>
    <w:rsid w:val="00AE01CA"/>
    <w:rsid w:val="00AE14E2"/>
    <w:rsid w:val="00AE3076"/>
    <w:rsid w:val="00AE7BFD"/>
    <w:rsid w:val="00AF1F26"/>
    <w:rsid w:val="00AF3526"/>
    <w:rsid w:val="00AF5A63"/>
    <w:rsid w:val="00B00346"/>
    <w:rsid w:val="00B01708"/>
    <w:rsid w:val="00B044E7"/>
    <w:rsid w:val="00B10BF2"/>
    <w:rsid w:val="00B1409A"/>
    <w:rsid w:val="00B205E1"/>
    <w:rsid w:val="00B20B90"/>
    <w:rsid w:val="00B231AA"/>
    <w:rsid w:val="00B23AD5"/>
    <w:rsid w:val="00B27639"/>
    <w:rsid w:val="00B30BF5"/>
    <w:rsid w:val="00B31BA2"/>
    <w:rsid w:val="00B4648C"/>
    <w:rsid w:val="00B46C45"/>
    <w:rsid w:val="00B52267"/>
    <w:rsid w:val="00B5282C"/>
    <w:rsid w:val="00B57A9F"/>
    <w:rsid w:val="00B6092B"/>
    <w:rsid w:val="00B66DB7"/>
    <w:rsid w:val="00B71188"/>
    <w:rsid w:val="00B7194E"/>
    <w:rsid w:val="00B7344A"/>
    <w:rsid w:val="00B75489"/>
    <w:rsid w:val="00B76D5E"/>
    <w:rsid w:val="00B80621"/>
    <w:rsid w:val="00BA15C4"/>
    <w:rsid w:val="00BA4548"/>
    <w:rsid w:val="00BA46CB"/>
    <w:rsid w:val="00BA536E"/>
    <w:rsid w:val="00BA6CB2"/>
    <w:rsid w:val="00BA6E05"/>
    <w:rsid w:val="00BA7D7C"/>
    <w:rsid w:val="00BA7F1C"/>
    <w:rsid w:val="00BB27BA"/>
    <w:rsid w:val="00BB3487"/>
    <w:rsid w:val="00BB459A"/>
    <w:rsid w:val="00BB4709"/>
    <w:rsid w:val="00BC1873"/>
    <w:rsid w:val="00BC3880"/>
    <w:rsid w:val="00BC4ADE"/>
    <w:rsid w:val="00BC54A9"/>
    <w:rsid w:val="00BC55AA"/>
    <w:rsid w:val="00BD28C9"/>
    <w:rsid w:val="00BD37FA"/>
    <w:rsid w:val="00BD7AD4"/>
    <w:rsid w:val="00BD7B6F"/>
    <w:rsid w:val="00BE4EBD"/>
    <w:rsid w:val="00BE6E43"/>
    <w:rsid w:val="00BE6EFE"/>
    <w:rsid w:val="00BF6DF5"/>
    <w:rsid w:val="00C02E75"/>
    <w:rsid w:val="00C02EC2"/>
    <w:rsid w:val="00C07D88"/>
    <w:rsid w:val="00C151B9"/>
    <w:rsid w:val="00C17AF0"/>
    <w:rsid w:val="00C208EA"/>
    <w:rsid w:val="00C2283A"/>
    <w:rsid w:val="00C252EF"/>
    <w:rsid w:val="00C25C43"/>
    <w:rsid w:val="00C27E34"/>
    <w:rsid w:val="00C315B6"/>
    <w:rsid w:val="00C32048"/>
    <w:rsid w:val="00C34B83"/>
    <w:rsid w:val="00C419B4"/>
    <w:rsid w:val="00C424C5"/>
    <w:rsid w:val="00C42C58"/>
    <w:rsid w:val="00C441BE"/>
    <w:rsid w:val="00C4787C"/>
    <w:rsid w:val="00C5015B"/>
    <w:rsid w:val="00C512D6"/>
    <w:rsid w:val="00C52FD6"/>
    <w:rsid w:val="00C7162F"/>
    <w:rsid w:val="00C745E1"/>
    <w:rsid w:val="00C920BB"/>
    <w:rsid w:val="00C9359E"/>
    <w:rsid w:val="00C94AC5"/>
    <w:rsid w:val="00C9623A"/>
    <w:rsid w:val="00CA53F8"/>
    <w:rsid w:val="00CA6CC7"/>
    <w:rsid w:val="00CB4795"/>
    <w:rsid w:val="00CC1BF8"/>
    <w:rsid w:val="00CC2982"/>
    <w:rsid w:val="00CC3C40"/>
    <w:rsid w:val="00CC605E"/>
    <w:rsid w:val="00CC6E60"/>
    <w:rsid w:val="00CC6EAD"/>
    <w:rsid w:val="00CD1A34"/>
    <w:rsid w:val="00CD3A81"/>
    <w:rsid w:val="00CD4793"/>
    <w:rsid w:val="00CD61D0"/>
    <w:rsid w:val="00CE0D9A"/>
    <w:rsid w:val="00CE2836"/>
    <w:rsid w:val="00CE5BEA"/>
    <w:rsid w:val="00CE6C54"/>
    <w:rsid w:val="00CF08C2"/>
    <w:rsid w:val="00CF2582"/>
    <w:rsid w:val="00CF2986"/>
    <w:rsid w:val="00CF40DA"/>
    <w:rsid w:val="00CF498D"/>
    <w:rsid w:val="00D031FA"/>
    <w:rsid w:val="00D066C5"/>
    <w:rsid w:val="00D22B12"/>
    <w:rsid w:val="00D2326D"/>
    <w:rsid w:val="00D257AC"/>
    <w:rsid w:val="00D3179C"/>
    <w:rsid w:val="00D31C4D"/>
    <w:rsid w:val="00D3492E"/>
    <w:rsid w:val="00D36C11"/>
    <w:rsid w:val="00D374A9"/>
    <w:rsid w:val="00D41B54"/>
    <w:rsid w:val="00D4259D"/>
    <w:rsid w:val="00D44710"/>
    <w:rsid w:val="00D4700C"/>
    <w:rsid w:val="00D479EE"/>
    <w:rsid w:val="00D52801"/>
    <w:rsid w:val="00D5676B"/>
    <w:rsid w:val="00D57066"/>
    <w:rsid w:val="00D672D1"/>
    <w:rsid w:val="00D920A6"/>
    <w:rsid w:val="00D9328F"/>
    <w:rsid w:val="00D94FAB"/>
    <w:rsid w:val="00D95A65"/>
    <w:rsid w:val="00DA030E"/>
    <w:rsid w:val="00DB34C3"/>
    <w:rsid w:val="00DB3C98"/>
    <w:rsid w:val="00DC0419"/>
    <w:rsid w:val="00DC0591"/>
    <w:rsid w:val="00DC240A"/>
    <w:rsid w:val="00DC7604"/>
    <w:rsid w:val="00DD207B"/>
    <w:rsid w:val="00DD6609"/>
    <w:rsid w:val="00DD6BA0"/>
    <w:rsid w:val="00DE777B"/>
    <w:rsid w:val="00DF3D1C"/>
    <w:rsid w:val="00DF5111"/>
    <w:rsid w:val="00E0286B"/>
    <w:rsid w:val="00E16070"/>
    <w:rsid w:val="00E173B3"/>
    <w:rsid w:val="00E223DA"/>
    <w:rsid w:val="00E22A24"/>
    <w:rsid w:val="00E238CB"/>
    <w:rsid w:val="00E26A26"/>
    <w:rsid w:val="00E31D9D"/>
    <w:rsid w:val="00E3245A"/>
    <w:rsid w:val="00E45468"/>
    <w:rsid w:val="00E45753"/>
    <w:rsid w:val="00E46711"/>
    <w:rsid w:val="00E52DF1"/>
    <w:rsid w:val="00E53E91"/>
    <w:rsid w:val="00E560AD"/>
    <w:rsid w:val="00E56C25"/>
    <w:rsid w:val="00E6036C"/>
    <w:rsid w:val="00E60525"/>
    <w:rsid w:val="00E618D5"/>
    <w:rsid w:val="00E63363"/>
    <w:rsid w:val="00E6588C"/>
    <w:rsid w:val="00E65C14"/>
    <w:rsid w:val="00E7559A"/>
    <w:rsid w:val="00E7754E"/>
    <w:rsid w:val="00E84E5C"/>
    <w:rsid w:val="00E86B26"/>
    <w:rsid w:val="00E9190E"/>
    <w:rsid w:val="00E91BA1"/>
    <w:rsid w:val="00E93803"/>
    <w:rsid w:val="00E93825"/>
    <w:rsid w:val="00E946A0"/>
    <w:rsid w:val="00EA0C17"/>
    <w:rsid w:val="00EA25F1"/>
    <w:rsid w:val="00EA3693"/>
    <w:rsid w:val="00EA44C5"/>
    <w:rsid w:val="00EA74B5"/>
    <w:rsid w:val="00EB4655"/>
    <w:rsid w:val="00EB4AAC"/>
    <w:rsid w:val="00EB6D24"/>
    <w:rsid w:val="00EB782B"/>
    <w:rsid w:val="00EC15E4"/>
    <w:rsid w:val="00EC1E30"/>
    <w:rsid w:val="00EC238E"/>
    <w:rsid w:val="00EC3F22"/>
    <w:rsid w:val="00ED0044"/>
    <w:rsid w:val="00ED34EC"/>
    <w:rsid w:val="00ED491F"/>
    <w:rsid w:val="00EE360E"/>
    <w:rsid w:val="00EE3697"/>
    <w:rsid w:val="00EE41AF"/>
    <w:rsid w:val="00EE5F60"/>
    <w:rsid w:val="00EE66B9"/>
    <w:rsid w:val="00EF12C5"/>
    <w:rsid w:val="00F07B41"/>
    <w:rsid w:val="00F10E78"/>
    <w:rsid w:val="00F10E87"/>
    <w:rsid w:val="00F1286F"/>
    <w:rsid w:val="00F12958"/>
    <w:rsid w:val="00F13B7D"/>
    <w:rsid w:val="00F143C7"/>
    <w:rsid w:val="00F146F0"/>
    <w:rsid w:val="00F21CD9"/>
    <w:rsid w:val="00F308FF"/>
    <w:rsid w:val="00F355C2"/>
    <w:rsid w:val="00F35D6F"/>
    <w:rsid w:val="00F36D38"/>
    <w:rsid w:val="00F37F20"/>
    <w:rsid w:val="00F41D88"/>
    <w:rsid w:val="00F43401"/>
    <w:rsid w:val="00F43553"/>
    <w:rsid w:val="00F4386A"/>
    <w:rsid w:val="00F44637"/>
    <w:rsid w:val="00F4480D"/>
    <w:rsid w:val="00F457A9"/>
    <w:rsid w:val="00F52488"/>
    <w:rsid w:val="00F544D9"/>
    <w:rsid w:val="00F55F78"/>
    <w:rsid w:val="00F60C57"/>
    <w:rsid w:val="00F63336"/>
    <w:rsid w:val="00F64807"/>
    <w:rsid w:val="00F6568B"/>
    <w:rsid w:val="00F814D5"/>
    <w:rsid w:val="00F87643"/>
    <w:rsid w:val="00F87BB7"/>
    <w:rsid w:val="00F91623"/>
    <w:rsid w:val="00F92434"/>
    <w:rsid w:val="00F92CB6"/>
    <w:rsid w:val="00F942C8"/>
    <w:rsid w:val="00F954F7"/>
    <w:rsid w:val="00FA0A05"/>
    <w:rsid w:val="00FA2BE5"/>
    <w:rsid w:val="00FA3204"/>
    <w:rsid w:val="00FA3976"/>
    <w:rsid w:val="00FB2878"/>
    <w:rsid w:val="00FB4685"/>
    <w:rsid w:val="00FB75ED"/>
    <w:rsid w:val="00FC349F"/>
    <w:rsid w:val="00FC714C"/>
    <w:rsid w:val="00FD0B2F"/>
    <w:rsid w:val="00FD275D"/>
    <w:rsid w:val="00FD5B71"/>
    <w:rsid w:val="00FD6A91"/>
    <w:rsid w:val="00FE06D2"/>
    <w:rsid w:val="00FE12D4"/>
    <w:rsid w:val="00FE28A3"/>
    <w:rsid w:val="00FE2A44"/>
    <w:rsid w:val="00FE662D"/>
    <w:rsid w:val="00FF02DE"/>
    <w:rsid w:val="00FF1FA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C53FC8"/>
  <w15:docId w15:val="{E30245FF-A627-43B1-B309-B26F9B8EC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lsdException w:name="heading 3" w:uiPriority="9"/>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0"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E946A0"/>
    <w:pPr>
      <w:spacing w:before="60" w:after="180" w:line="276" w:lineRule="auto"/>
    </w:pPr>
    <w:rPr>
      <w:sz w:val="22"/>
      <w:szCs w:val="22"/>
    </w:rPr>
  </w:style>
  <w:style w:type="paragraph" w:styleId="Heading1">
    <w:name w:val="heading 1"/>
    <w:aliases w:val="*Headers"/>
    <w:basedOn w:val="Normal"/>
    <w:next w:val="Normal"/>
    <w:link w:val="Heading1Char"/>
    <w:uiPriority w:val="9"/>
    <w:qFormat/>
    <w:rsid w:val="00A24DAB"/>
    <w:pPr>
      <w:keepNext/>
      <w:keepLines/>
      <w:spacing w:before="480" w:after="120"/>
      <w:outlineLvl w:val="0"/>
    </w:pPr>
    <w:rPr>
      <w:rFonts w:asciiTheme="minorHAnsi" w:hAnsiTheme="minorHAnsi"/>
      <w:b/>
      <w:bCs/>
      <w:color w:val="365F91"/>
      <w:sz w:val="32"/>
      <w:szCs w:val="28"/>
    </w:rPr>
  </w:style>
  <w:style w:type="paragraph" w:styleId="Heading2">
    <w:name w:val="heading 2"/>
    <w:basedOn w:val="Normal"/>
    <w:next w:val="Normal"/>
    <w:link w:val="Heading2Char"/>
    <w:uiPriority w:val="9"/>
    <w:rsid w:val="00A4688B"/>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7B59E5"/>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4688B"/>
    <w:pPr>
      <w:tabs>
        <w:tab w:val="center" w:pos="4320"/>
        <w:tab w:val="right" w:pos="8640"/>
      </w:tabs>
    </w:pPr>
    <w:rPr>
      <w:rFonts w:ascii="Times New Roman" w:hAnsi="Times New Roman"/>
      <w:sz w:val="20"/>
    </w:rPr>
  </w:style>
  <w:style w:type="character" w:customStyle="1" w:styleId="FooterChar">
    <w:name w:val="Footer Char"/>
    <w:link w:val="Footer"/>
    <w:uiPriority w:val="99"/>
    <w:rsid w:val="00A4688B"/>
    <w:rPr>
      <w:rFonts w:ascii="Times New Roman" w:eastAsia="Times New Roman" w:hAnsi="Times New Roman" w:cs="Times New Roman"/>
      <w:sz w:val="20"/>
      <w:szCs w:val="20"/>
    </w:rPr>
  </w:style>
  <w:style w:type="character" w:styleId="PageNumber">
    <w:name w:val="page number"/>
    <w:uiPriority w:val="99"/>
    <w:rsid w:val="00A4688B"/>
    <w:rPr>
      <w:rFonts w:cs="Times New Roman"/>
    </w:rPr>
  </w:style>
  <w:style w:type="character" w:customStyle="1" w:styleId="apple-converted-space">
    <w:name w:val="apple-converted-space"/>
    <w:rsid w:val="00A4688B"/>
  </w:style>
  <w:style w:type="paragraph" w:styleId="Title">
    <w:name w:val="Title"/>
    <w:basedOn w:val="Normal"/>
    <w:next w:val="Normal"/>
    <w:link w:val="TitleChar"/>
    <w:uiPriority w:val="10"/>
    <w:rsid w:val="00A4688B"/>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A4688B"/>
    <w:rPr>
      <w:rFonts w:ascii="Cambria" w:eastAsia="Times New Roman" w:hAnsi="Cambria" w:cs="Times New Roman"/>
      <w:color w:val="17365D"/>
      <w:spacing w:val="5"/>
      <w:kern w:val="28"/>
      <w:sz w:val="52"/>
      <w:szCs w:val="52"/>
    </w:rPr>
  </w:style>
  <w:style w:type="character" w:customStyle="1" w:styleId="Heading1Char">
    <w:name w:val="Heading 1 Char"/>
    <w:aliases w:val="*Headers Char"/>
    <w:link w:val="Heading1"/>
    <w:uiPriority w:val="9"/>
    <w:rsid w:val="00A24DAB"/>
    <w:rPr>
      <w:rFonts w:asciiTheme="minorHAnsi" w:hAnsiTheme="minorHAnsi"/>
      <w:b/>
      <w:bCs/>
      <w:color w:val="365F91"/>
      <w:sz w:val="32"/>
      <w:szCs w:val="28"/>
    </w:rPr>
  </w:style>
  <w:style w:type="character" w:customStyle="1" w:styleId="Heading2Char">
    <w:name w:val="Heading 2 Char"/>
    <w:link w:val="Heading2"/>
    <w:uiPriority w:val="9"/>
    <w:rsid w:val="00A4688B"/>
    <w:rPr>
      <w:rFonts w:ascii="Cambria" w:eastAsia="Times New Roman" w:hAnsi="Cambria" w:cs="Times New Roman"/>
      <w:b/>
      <w:bCs/>
      <w:i/>
      <w:color w:val="4F81BD"/>
      <w:sz w:val="26"/>
      <w:szCs w:val="26"/>
    </w:rPr>
  </w:style>
  <w:style w:type="character" w:customStyle="1" w:styleId="Heading3Char">
    <w:name w:val="Heading 3 Char"/>
    <w:link w:val="Heading3"/>
    <w:uiPriority w:val="9"/>
    <w:rsid w:val="007B59E5"/>
    <w:rPr>
      <w:rFonts w:ascii="Cambria" w:eastAsia="Times New Roman" w:hAnsi="Cambria"/>
      <w:b/>
      <w:bCs/>
      <w:i/>
      <w:color w:val="7F7F7F"/>
    </w:rPr>
  </w:style>
  <w:style w:type="paragraph" w:customStyle="1" w:styleId="MediumGrid1-Accent21">
    <w:name w:val="Medium Grid 1 - Accent 21"/>
    <w:basedOn w:val="Normal"/>
    <w:uiPriority w:val="34"/>
    <w:rsid w:val="00A4688B"/>
    <w:pPr>
      <w:ind w:left="720"/>
      <w:contextualSpacing/>
    </w:pPr>
  </w:style>
  <w:style w:type="paragraph" w:styleId="Header">
    <w:name w:val="header"/>
    <w:basedOn w:val="Normal"/>
    <w:link w:val="HeaderChar"/>
    <w:uiPriority w:val="99"/>
    <w:unhideWhenUsed/>
    <w:rsid w:val="00FD5D11"/>
    <w:pPr>
      <w:tabs>
        <w:tab w:val="center" w:pos="4680"/>
        <w:tab w:val="right" w:pos="9360"/>
      </w:tabs>
    </w:pPr>
    <w:rPr>
      <w:sz w:val="20"/>
    </w:rPr>
  </w:style>
  <w:style w:type="character" w:customStyle="1" w:styleId="HeaderChar">
    <w:name w:val="Header Char"/>
    <w:link w:val="Header"/>
    <w:uiPriority w:val="99"/>
    <w:rsid w:val="00FD5D11"/>
    <w:rPr>
      <w:rFonts w:eastAsia="Times New Roman"/>
    </w:rPr>
  </w:style>
  <w:style w:type="paragraph" w:styleId="NormalWeb">
    <w:name w:val="Normal (Web)"/>
    <w:basedOn w:val="Normal"/>
    <w:uiPriority w:val="99"/>
    <w:unhideWhenUsed/>
    <w:rsid w:val="00A71CC9"/>
    <w:pPr>
      <w:spacing w:before="100" w:beforeAutospacing="1" w:after="100" w:afterAutospacing="1"/>
    </w:pPr>
    <w:rPr>
      <w:rFonts w:ascii="Times New Roman" w:hAnsi="Times New Roman"/>
      <w:sz w:val="24"/>
      <w:szCs w:val="24"/>
    </w:rPr>
  </w:style>
  <w:style w:type="character" w:styleId="CommentReference">
    <w:name w:val="annotation reference"/>
    <w:uiPriority w:val="99"/>
    <w:semiHidden/>
    <w:unhideWhenUsed/>
    <w:rsid w:val="00156811"/>
    <w:rPr>
      <w:sz w:val="16"/>
      <w:szCs w:val="16"/>
    </w:rPr>
  </w:style>
  <w:style w:type="paragraph" w:styleId="CommentText">
    <w:name w:val="annotation text"/>
    <w:basedOn w:val="Normal"/>
    <w:link w:val="CommentTextChar"/>
    <w:uiPriority w:val="99"/>
    <w:unhideWhenUsed/>
    <w:rsid w:val="00156811"/>
    <w:rPr>
      <w:sz w:val="20"/>
    </w:rPr>
  </w:style>
  <w:style w:type="character" w:customStyle="1" w:styleId="CommentTextChar">
    <w:name w:val="Comment Text Char"/>
    <w:link w:val="CommentText"/>
    <w:uiPriority w:val="99"/>
    <w:rsid w:val="00156811"/>
    <w:rPr>
      <w:rFonts w:eastAsia="Times New Roman"/>
    </w:rPr>
  </w:style>
  <w:style w:type="paragraph" w:styleId="CommentSubject">
    <w:name w:val="annotation subject"/>
    <w:basedOn w:val="CommentText"/>
    <w:next w:val="CommentText"/>
    <w:link w:val="CommentSubjectChar"/>
    <w:uiPriority w:val="99"/>
    <w:semiHidden/>
    <w:unhideWhenUsed/>
    <w:rsid w:val="00156811"/>
    <w:rPr>
      <w:b/>
      <w:bCs/>
    </w:rPr>
  </w:style>
  <w:style w:type="character" w:customStyle="1" w:styleId="CommentSubjectChar">
    <w:name w:val="Comment Subject Char"/>
    <w:link w:val="CommentSubject"/>
    <w:uiPriority w:val="99"/>
    <w:semiHidden/>
    <w:rsid w:val="00156811"/>
    <w:rPr>
      <w:rFonts w:eastAsia="Times New Roman"/>
      <w:b/>
      <w:bCs/>
    </w:rPr>
  </w:style>
  <w:style w:type="paragraph" w:styleId="BalloonText">
    <w:name w:val="Balloon Text"/>
    <w:basedOn w:val="Normal"/>
    <w:link w:val="BalloonTextChar"/>
    <w:uiPriority w:val="99"/>
    <w:semiHidden/>
    <w:unhideWhenUsed/>
    <w:rsid w:val="00156811"/>
    <w:rPr>
      <w:rFonts w:ascii="Tahoma" w:hAnsi="Tahoma"/>
      <w:sz w:val="16"/>
      <w:szCs w:val="16"/>
    </w:rPr>
  </w:style>
  <w:style w:type="character" w:customStyle="1" w:styleId="BalloonTextChar">
    <w:name w:val="Balloon Text Char"/>
    <w:link w:val="BalloonText"/>
    <w:uiPriority w:val="99"/>
    <w:semiHidden/>
    <w:rsid w:val="00156811"/>
    <w:rPr>
      <w:rFonts w:ascii="Tahoma" w:eastAsia="Times New Roman" w:hAnsi="Tahoma" w:cs="Tahoma"/>
      <w:sz w:val="16"/>
      <w:szCs w:val="16"/>
    </w:rPr>
  </w:style>
  <w:style w:type="paragraph" w:customStyle="1" w:styleId="Pa4">
    <w:name w:val="Pa4"/>
    <w:basedOn w:val="Normal"/>
    <w:next w:val="Normal"/>
    <w:uiPriority w:val="99"/>
    <w:rsid w:val="00B15E30"/>
    <w:pPr>
      <w:autoSpaceDE w:val="0"/>
      <w:autoSpaceDN w:val="0"/>
      <w:adjustRightInd w:val="0"/>
      <w:spacing w:line="241" w:lineRule="atLeast"/>
    </w:pPr>
    <w:rPr>
      <w:rFonts w:ascii="Garamond" w:hAnsi="Garamond"/>
      <w:sz w:val="24"/>
      <w:szCs w:val="24"/>
    </w:rPr>
  </w:style>
  <w:style w:type="character" w:styleId="Hyperlink">
    <w:name w:val="Hyperlink"/>
    <w:uiPriority w:val="99"/>
    <w:unhideWhenUsed/>
    <w:rsid w:val="007B59E5"/>
    <w:rPr>
      <w:color w:val="0000FF"/>
      <w:u w:val="single"/>
    </w:rPr>
  </w:style>
  <w:style w:type="table" w:styleId="TableGrid">
    <w:name w:val="Table Grid"/>
    <w:basedOn w:val="TableNormal"/>
    <w:uiPriority w:val="59"/>
    <w:rsid w:val="00A00F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List2-Accent41">
    <w:name w:val="Medium List 2 - Accent 41"/>
    <w:basedOn w:val="Normal"/>
    <w:link w:val="MediumList2-Accent41Char"/>
    <w:uiPriority w:val="34"/>
    <w:rsid w:val="00E3245A"/>
    <w:pPr>
      <w:spacing w:after="200"/>
      <w:ind w:left="720"/>
      <w:contextualSpacing/>
    </w:pPr>
  </w:style>
  <w:style w:type="paragraph" w:styleId="BodyText">
    <w:name w:val="Body Text"/>
    <w:basedOn w:val="Normal"/>
    <w:link w:val="BodyTextChar"/>
    <w:rsid w:val="00BB3487"/>
    <w:pPr>
      <w:spacing w:after="120"/>
    </w:pPr>
  </w:style>
  <w:style w:type="character" w:customStyle="1" w:styleId="BodyTextChar">
    <w:name w:val="Body Text Char"/>
    <w:link w:val="BodyText"/>
    <w:rsid w:val="00BB3487"/>
    <w:rPr>
      <w:rFonts w:cs="Calibri"/>
      <w:sz w:val="22"/>
      <w:szCs w:val="22"/>
    </w:rPr>
  </w:style>
  <w:style w:type="paragraph" w:customStyle="1" w:styleId="Header-banner">
    <w:name w:val="Header-banner"/>
    <w:rsid w:val="00F814D5"/>
    <w:pPr>
      <w:ind w:left="43" w:right="43"/>
      <w:jc w:val="center"/>
    </w:pPr>
    <w:rPr>
      <w:rFonts w:ascii="Cambria" w:hAnsi="Cambria" w:cs="Calibri"/>
      <w:b/>
      <w:bCs/>
      <w:caps/>
      <w:color w:val="FFFFFF"/>
      <w:sz w:val="44"/>
      <w:szCs w:val="22"/>
    </w:rPr>
  </w:style>
  <w:style w:type="paragraph" w:customStyle="1" w:styleId="Header2banner">
    <w:name w:val="Header2_banner"/>
    <w:basedOn w:val="Header-banner"/>
    <w:rsid w:val="00F814D5"/>
    <w:pPr>
      <w:spacing w:line="440" w:lineRule="exact"/>
      <w:jc w:val="left"/>
    </w:pPr>
    <w:rPr>
      <w:caps w:val="0"/>
    </w:rPr>
  </w:style>
  <w:style w:type="paragraph" w:customStyle="1" w:styleId="folio">
    <w:name w:val="folio"/>
    <w:basedOn w:val="Normal"/>
    <w:link w:val="folioChar"/>
    <w:rsid w:val="00730123"/>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ColorfulList-Accent11">
    <w:name w:val="Colorful List - Accent 11"/>
    <w:basedOn w:val="Normal"/>
    <w:uiPriority w:val="34"/>
    <w:rsid w:val="00E22A24"/>
    <w:pPr>
      <w:ind w:left="720"/>
      <w:contextualSpacing/>
    </w:pPr>
  </w:style>
  <w:style w:type="character" w:styleId="FollowedHyperlink">
    <w:name w:val="FollowedHyperlink"/>
    <w:uiPriority w:val="99"/>
    <w:semiHidden/>
    <w:unhideWhenUsed/>
    <w:rsid w:val="0020138A"/>
    <w:rPr>
      <w:color w:val="954F72"/>
      <w:u w:val="single"/>
    </w:rPr>
  </w:style>
  <w:style w:type="paragraph" w:customStyle="1" w:styleId="NoSpacing1">
    <w:name w:val="No Spacing1"/>
    <w:link w:val="NoSpacingChar"/>
    <w:rsid w:val="00820EF9"/>
    <w:rPr>
      <w:rFonts w:ascii="Tahoma" w:hAnsi="Tahoma"/>
      <w:sz w:val="19"/>
      <w:szCs w:val="22"/>
    </w:rPr>
  </w:style>
  <w:style w:type="character" w:customStyle="1" w:styleId="NoSpacingChar">
    <w:name w:val="No Spacing Char"/>
    <w:link w:val="NoSpacing1"/>
    <w:rsid w:val="00820EF9"/>
    <w:rPr>
      <w:rFonts w:ascii="Tahoma" w:hAnsi="Tahoma"/>
      <w:sz w:val="19"/>
      <w:szCs w:val="22"/>
    </w:rPr>
  </w:style>
  <w:style w:type="paragraph" w:styleId="FootnoteText">
    <w:name w:val="footnote text"/>
    <w:basedOn w:val="Normal"/>
    <w:link w:val="FootnoteTextChar"/>
    <w:uiPriority w:val="99"/>
    <w:semiHidden/>
    <w:unhideWhenUsed/>
    <w:rsid w:val="007D1715"/>
    <w:rPr>
      <w:sz w:val="20"/>
    </w:rPr>
  </w:style>
  <w:style w:type="character" w:customStyle="1" w:styleId="FootnoteTextChar">
    <w:name w:val="Footnote Text Char"/>
    <w:basedOn w:val="DefaultParagraphFont"/>
    <w:link w:val="FootnoteText"/>
    <w:uiPriority w:val="99"/>
    <w:semiHidden/>
    <w:rsid w:val="007D1715"/>
    <w:rPr>
      <w:rFonts w:eastAsia="Times New Roman"/>
    </w:rPr>
  </w:style>
  <w:style w:type="character" w:styleId="FootnoteReference">
    <w:name w:val="footnote reference"/>
    <w:basedOn w:val="DefaultParagraphFont"/>
    <w:uiPriority w:val="99"/>
    <w:semiHidden/>
    <w:unhideWhenUsed/>
    <w:rsid w:val="007D1715"/>
    <w:rPr>
      <w:vertAlign w:val="superscript"/>
    </w:rPr>
  </w:style>
  <w:style w:type="paragraph" w:customStyle="1" w:styleId="LearningSequenceHeader">
    <w:name w:val="*Learning Sequence Header"/>
    <w:next w:val="TA"/>
    <w:link w:val="LearningSequenceHeaderChar"/>
    <w:qFormat/>
    <w:rsid w:val="00CE2836"/>
    <w:pPr>
      <w:pBdr>
        <w:bottom w:val="single" w:sz="12" w:space="1" w:color="9BBB59" w:themeColor="accent3"/>
      </w:pBdr>
      <w:tabs>
        <w:tab w:val="right" w:pos="9360"/>
      </w:tabs>
      <w:spacing w:before="480"/>
    </w:pPr>
    <w:rPr>
      <w:rFonts w:asciiTheme="minorHAnsi" w:hAnsiTheme="minorHAnsi"/>
      <w:b/>
      <w:bCs/>
      <w:color w:val="4F81BD"/>
      <w:sz w:val="28"/>
      <w:szCs w:val="26"/>
    </w:rPr>
  </w:style>
  <w:style w:type="paragraph" w:styleId="ListParagraph">
    <w:name w:val="List Paragraph"/>
    <w:basedOn w:val="Normal"/>
    <w:link w:val="ListParagraphChar"/>
    <w:uiPriority w:val="34"/>
    <w:rsid w:val="005F5D35"/>
    <w:pPr>
      <w:ind w:left="720"/>
      <w:contextualSpacing/>
    </w:pPr>
  </w:style>
  <w:style w:type="character" w:customStyle="1" w:styleId="LearningSequenceHeaderChar">
    <w:name w:val="*Learning Sequence Header Char"/>
    <w:basedOn w:val="Heading2Char"/>
    <w:link w:val="LearningSequenceHeader"/>
    <w:rsid w:val="00CE2836"/>
    <w:rPr>
      <w:rFonts w:asciiTheme="minorHAnsi" w:eastAsia="Times New Roman" w:hAnsiTheme="minorHAnsi" w:cs="Times New Roman"/>
      <w:b/>
      <w:bCs/>
      <w:i/>
      <w:color w:val="4F81BD"/>
      <w:sz w:val="28"/>
      <w:szCs w:val="26"/>
    </w:rPr>
  </w:style>
  <w:style w:type="paragraph" w:customStyle="1" w:styleId="TA">
    <w:name w:val="*TA*"/>
    <w:link w:val="TAChar"/>
    <w:qFormat/>
    <w:rsid w:val="00E946A0"/>
    <w:pPr>
      <w:spacing w:before="180" w:after="180"/>
    </w:pPr>
    <w:rPr>
      <w:sz w:val="22"/>
      <w:szCs w:val="22"/>
    </w:rPr>
  </w:style>
  <w:style w:type="character" w:customStyle="1" w:styleId="TAChar">
    <w:name w:val="*TA* Char"/>
    <w:basedOn w:val="DefaultParagraphFont"/>
    <w:link w:val="TA"/>
    <w:rsid w:val="00E946A0"/>
    <w:rPr>
      <w:sz w:val="22"/>
      <w:szCs w:val="22"/>
    </w:rPr>
  </w:style>
  <w:style w:type="paragraph" w:customStyle="1" w:styleId="IN">
    <w:name w:val="*IN*"/>
    <w:link w:val="INChar"/>
    <w:qFormat/>
    <w:rsid w:val="00CE2836"/>
    <w:pPr>
      <w:numPr>
        <w:numId w:val="3"/>
      </w:numPr>
      <w:spacing w:before="120" w:after="60" w:line="276" w:lineRule="auto"/>
      <w:ind w:left="360"/>
    </w:pPr>
    <w:rPr>
      <w:color w:val="4F81BD" w:themeColor="accent1"/>
      <w:sz w:val="22"/>
      <w:szCs w:val="22"/>
    </w:rPr>
  </w:style>
  <w:style w:type="character" w:customStyle="1" w:styleId="ListParagraphChar">
    <w:name w:val="List Paragraph Char"/>
    <w:basedOn w:val="DefaultParagraphFont"/>
    <w:link w:val="ListParagraph"/>
    <w:uiPriority w:val="72"/>
    <w:rsid w:val="005F5D35"/>
    <w:rPr>
      <w:rFonts w:eastAsia="Times New Roman"/>
      <w:sz w:val="22"/>
    </w:rPr>
  </w:style>
  <w:style w:type="paragraph" w:customStyle="1" w:styleId="BulletedList">
    <w:name w:val="*Bulleted List"/>
    <w:link w:val="BulletedListChar"/>
    <w:qFormat/>
    <w:rsid w:val="00064850"/>
    <w:pPr>
      <w:numPr>
        <w:numId w:val="1"/>
      </w:numPr>
      <w:spacing w:before="60" w:after="60" w:line="276" w:lineRule="auto"/>
      <w:ind w:left="317" w:hanging="317"/>
    </w:pPr>
    <w:rPr>
      <w:sz w:val="22"/>
      <w:szCs w:val="22"/>
    </w:rPr>
  </w:style>
  <w:style w:type="character" w:customStyle="1" w:styleId="INChar">
    <w:name w:val="*IN* Char"/>
    <w:basedOn w:val="DefaultParagraphFont"/>
    <w:link w:val="IN"/>
    <w:rsid w:val="00207C8B"/>
    <w:rPr>
      <w:color w:val="4F81BD" w:themeColor="accent1"/>
      <w:sz w:val="22"/>
      <w:szCs w:val="22"/>
    </w:rPr>
  </w:style>
  <w:style w:type="paragraph" w:customStyle="1" w:styleId="NumberedList">
    <w:name w:val="*Numbered List"/>
    <w:link w:val="NumberedListChar"/>
    <w:qFormat/>
    <w:rsid w:val="00F21CD9"/>
    <w:pPr>
      <w:numPr>
        <w:numId w:val="4"/>
      </w:numPr>
      <w:spacing w:after="60"/>
    </w:pPr>
    <w:rPr>
      <w:sz w:val="22"/>
      <w:szCs w:val="22"/>
    </w:rPr>
  </w:style>
  <w:style w:type="character" w:customStyle="1" w:styleId="MediumList2-Accent41Char">
    <w:name w:val="Medium List 2 - Accent 41 Char"/>
    <w:basedOn w:val="DefaultParagraphFont"/>
    <w:link w:val="MediumList2-Accent41"/>
    <w:uiPriority w:val="34"/>
    <w:rsid w:val="00C02EC2"/>
    <w:rPr>
      <w:sz w:val="22"/>
      <w:szCs w:val="22"/>
    </w:rPr>
  </w:style>
  <w:style w:type="character" w:customStyle="1" w:styleId="BulletedListChar">
    <w:name w:val="*Bulleted List Char"/>
    <w:basedOn w:val="MediumList2-Accent41Char"/>
    <w:link w:val="BulletedList"/>
    <w:rsid w:val="00064850"/>
    <w:rPr>
      <w:sz w:val="22"/>
      <w:szCs w:val="22"/>
    </w:rPr>
  </w:style>
  <w:style w:type="paragraph" w:customStyle="1" w:styleId="TableHeaders">
    <w:name w:val="*TableHeaders"/>
    <w:basedOn w:val="Normal"/>
    <w:link w:val="TableHeadersChar"/>
    <w:qFormat/>
    <w:rsid w:val="00B00346"/>
    <w:pPr>
      <w:spacing w:before="40" w:after="40" w:line="240" w:lineRule="auto"/>
    </w:pPr>
    <w:rPr>
      <w:b/>
      <w:color w:val="FFFFFF" w:themeColor="background1"/>
    </w:rPr>
  </w:style>
  <w:style w:type="character" w:customStyle="1" w:styleId="NumberedListChar">
    <w:name w:val="*Numbered List Char"/>
    <w:basedOn w:val="BulletedListChar"/>
    <w:link w:val="NumberedList"/>
    <w:rsid w:val="00F21CD9"/>
    <w:rPr>
      <w:sz w:val="22"/>
      <w:szCs w:val="22"/>
    </w:rPr>
  </w:style>
  <w:style w:type="paragraph" w:customStyle="1" w:styleId="PageHeader">
    <w:name w:val="*PageHeader"/>
    <w:link w:val="PageHeaderChar"/>
    <w:qFormat/>
    <w:rsid w:val="00E946A0"/>
    <w:pPr>
      <w:spacing w:before="120"/>
    </w:pPr>
    <w:rPr>
      <w:b/>
      <w:sz w:val="18"/>
      <w:szCs w:val="22"/>
    </w:rPr>
  </w:style>
  <w:style w:type="character" w:customStyle="1" w:styleId="TableHeadersChar">
    <w:name w:val="*TableHeaders Char"/>
    <w:basedOn w:val="DefaultParagraphFont"/>
    <w:link w:val="TableHeaders"/>
    <w:rsid w:val="00B00346"/>
    <w:rPr>
      <w:b/>
      <w:color w:val="FFFFFF" w:themeColor="background1"/>
      <w:sz w:val="22"/>
      <w:szCs w:val="22"/>
    </w:rPr>
  </w:style>
  <w:style w:type="paragraph" w:customStyle="1" w:styleId="Q">
    <w:name w:val="*Q*"/>
    <w:link w:val="QChar"/>
    <w:qFormat/>
    <w:rsid w:val="00356656"/>
    <w:pPr>
      <w:spacing w:before="240" w:line="276" w:lineRule="auto"/>
    </w:pPr>
    <w:rPr>
      <w:b/>
      <w:sz w:val="22"/>
      <w:szCs w:val="22"/>
    </w:rPr>
  </w:style>
  <w:style w:type="character" w:customStyle="1" w:styleId="PageHeaderChar">
    <w:name w:val="*PageHeader Char"/>
    <w:basedOn w:val="BodyTextChar"/>
    <w:link w:val="PageHeader"/>
    <w:rsid w:val="00E946A0"/>
    <w:rPr>
      <w:rFonts w:cs="Calibri"/>
      <w:b/>
      <w:sz w:val="18"/>
      <w:szCs w:val="22"/>
    </w:rPr>
  </w:style>
  <w:style w:type="character" w:customStyle="1" w:styleId="QChar">
    <w:name w:val="*Q* Char"/>
    <w:basedOn w:val="ListParagraphChar"/>
    <w:link w:val="Q"/>
    <w:rsid w:val="00356656"/>
    <w:rPr>
      <w:rFonts w:eastAsia="Times New Roman"/>
      <w:b/>
      <w:sz w:val="22"/>
      <w:szCs w:val="22"/>
    </w:rPr>
  </w:style>
  <w:style w:type="paragraph" w:customStyle="1" w:styleId="SASRBullet">
    <w:name w:val="*SA/SR Bullet"/>
    <w:basedOn w:val="Normal"/>
    <w:link w:val="SASRBulletChar"/>
    <w:qFormat/>
    <w:rsid w:val="00207C8B"/>
    <w:pPr>
      <w:numPr>
        <w:ilvl w:val="1"/>
        <w:numId w:val="2"/>
      </w:numPr>
      <w:spacing w:before="120"/>
      <w:ind w:left="1080"/>
      <w:contextualSpacing/>
    </w:pPr>
  </w:style>
  <w:style w:type="paragraph" w:customStyle="1" w:styleId="INBullet">
    <w:name w:val="*IN* Bullet"/>
    <w:link w:val="INBulletChar"/>
    <w:qFormat/>
    <w:rsid w:val="00356656"/>
    <w:pPr>
      <w:numPr>
        <w:numId w:val="35"/>
      </w:numPr>
      <w:spacing w:after="60" w:line="276" w:lineRule="auto"/>
      <w:ind w:left="720"/>
    </w:pPr>
    <w:rPr>
      <w:color w:val="4F81BD" w:themeColor="accent1"/>
      <w:sz w:val="22"/>
      <w:szCs w:val="22"/>
    </w:rPr>
  </w:style>
  <w:style w:type="character" w:customStyle="1" w:styleId="SASRBulletChar">
    <w:name w:val="*SA/SR Bullet Char"/>
    <w:basedOn w:val="DefaultParagraphFont"/>
    <w:link w:val="SASRBullet"/>
    <w:rsid w:val="00207C8B"/>
    <w:rPr>
      <w:rFonts w:eastAsia="Times New Roman"/>
      <w:sz w:val="22"/>
      <w:szCs w:val="22"/>
    </w:rPr>
  </w:style>
  <w:style w:type="character" w:customStyle="1" w:styleId="INBulletChar">
    <w:name w:val="*IN* Bullet Char"/>
    <w:basedOn w:val="BulletedListChar"/>
    <w:link w:val="INBullet"/>
    <w:rsid w:val="00356656"/>
    <w:rPr>
      <w:color w:val="4F81BD" w:themeColor="accent1"/>
      <w:sz w:val="22"/>
      <w:szCs w:val="22"/>
    </w:rPr>
  </w:style>
  <w:style w:type="character" w:customStyle="1" w:styleId="reference-text">
    <w:name w:val="reference-text"/>
    <w:rsid w:val="00BE4EBD"/>
  </w:style>
  <w:style w:type="paragraph" w:customStyle="1" w:styleId="SA">
    <w:name w:val="*SA*"/>
    <w:link w:val="SAChar"/>
    <w:qFormat/>
    <w:rsid w:val="00F21CD9"/>
    <w:pPr>
      <w:numPr>
        <w:numId w:val="33"/>
      </w:numPr>
      <w:spacing w:before="120" w:line="276" w:lineRule="auto"/>
    </w:pPr>
    <w:rPr>
      <w:sz w:val="22"/>
      <w:szCs w:val="22"/>
    </w:rPr>
  </w:style>
  <w:style w:type="paragraph" w:customStyle="1" w:styleId="SR">
    <w:name w:val="*SR*"/>
    <w:link w:val="SRChar"/>
    <w:qFormat/>
    <w:rsid w:val="00F21CD9"/>
    <w:pPr>
      <w:numPr>
        <w:numId w:val="32"/>
      </w:numPr>
      <w:spacing w:before="120" w:line="276" w:lineRule="auto"/>
      <w:ind w:left="720"/>
    </w:pPr>
    <w:rPr>
      <w:sz w:val="22"/>
      <w:szCs w:val="22"/>
    </w:rPr>
  </w:style>
  <w:style w:type="character" w:customStyle="1" w:styleId="SAChar">
    <w:name w:val="*SA* Char"/>
    <w:basedOn w:val="ListParagraphChar"/>
    <w:link w:val="SA"/>
    <w:rsid w:val="00F21CD9"/>
    <w:rPr>
      <w:rFonts w:eastAsia="Times New Roman"/>
      <w:sz w:val="22"/>
      <w:szCs w:val="22"/>
    </w:rPr>
  </w:style>
  <w:style w:type="character" w:customStyle="1" w:styleId="SRChar">
    <w:name w:val="*SR* Char"/>
    <w:basedOn w:val="ListParagraphChar"/>
    <w:link w:val="SR"/>
    <w:rsid w:val="00F21CD9"/>
    <w:rPr>
      <w:rFonts w:eastAsia="Times New Roman"/>
      <w:sz w:val="22"/>
      <w:szCs w:val="22"/>
    </w:rPr>
  </w:style>
  <w:style w:type="paragraph" w:customStyle="1" w:styleId="BR">
    <w:name w:val="*BR*"/>
    <w:link w:val="BRChar"/>
    <w:qFormat/>
    <w:rsid w:val="00EA3693"/>
    <w:pPr>
      <w:pBdr>
        <w:bottom w:val="single" w:sz="12" w:space="1" w:color="7F7F7F" w:themeColor="text1" w:themeTint="80"/>
      </w:pBdr>
      <w:spacing w:after="360"/>
      <w:ind w:left="2880" w:right="2880"/>
    </w:pPr>
    <w:rPr>
      <w:sz w:val="18"/>
      <w:szCs w:val="22"/>
    </w:rPr>
  </w:style>
  <w:style w:type="paragraph" w:customStyle="1" w:styleId="FooterText">
    <w:name w:val="*FooterText"/>
    <w:link w:val="FooterTextChar"/>
    <w:qFormat/>
    <w:rsid w:val="00EA3693"/>
    <w:pPr>
      <w:spacing w:line="200" w:lineRule="exact"/>
    </w:pPr>
    <w:rPr>
      <w:rFonts w:eastAsia="Verdana" w:cs="Calibri"/>
      <w:b/>
      <w:color w:val="595959"/>
      <w:sz w:val="14"/>
      <w:szCs w:val="22"/>
    </w:rPr>
  </w:style>
  <w:style w:type="character" w:customStyle="1" w:styleId="BRChar">
    <w:name w:val="*BR* Char"/>
    <w:basedOn w:val="DefaultParagraphFont"/>
    <w:link w:val="BR"/>
    <w:rsid w:val="00EA3693"/>
    <w:rPr>
      <w:sz w:val="18"/>
      <w:szCs w:val="22"/>
    </w:rPr>
  </w:style>
  <w:style w:type="character" w:customStyle="1" w:styleId="folioChar">
    <w:name w:val="folio Char"/>
    <w:basedOn w:val="DefaultParagraphFont"/>
    <w:link w:val="folio"/>
    <w:rsid w:val="00880AAD"/>
    <w:rPr>
      <w:rFonts w:ascii="Verdana" w:eastAsia="Verdana" w:hAnsi="Verdana" w:cs="Verdana"/>
      <w:color w:val="595959"/>
      <w:sz w:val="16"/>
      <w:szCs w:val="22"/>
    </w:rPr>
  </w:style>
  <w:style w:type="character" w:customStyle="1" w:styleId="FooterTextChar">
    <w:name w:val="FooterText Char"/>
    <w:basedOn w:val="folioChar"/>
    <w:link w:val="FooterText"/>
    <w:rsid w:val="00880AAD"/>
    <w:rPr>
      <w:rFonts w:ascii="Verdana" w:eastAsia="Verdana" w:hAnsi="Verdana" w:cs="Verdana"/>
      <w:color w:val="595959"/>
      <w:sz w:val="16"/>
      <w:szCs w:val="22"/>
    </w:rPr>
  </w:style>
  <w:style w:type="paragraph" w:customStyle="1" w:styleId="TableText">
    <w:name w:val="*TableText"/>
    <w:link w:val="TableTextChar"/>
    <w:qFormat/>
    <w:rsid w:val="008151E5"/>
    <w:pPr>
      <w:spacing w:before="40" w:after="40" w:line="276" w:lineRule="auto"/>
    </w:pPr>
    <w:rPr>
      <w:sz w:val="22"/>
      <w:szCs w:val="22"/>
    </w:rPr>
  </w:style>
  <w:style w:type="character" w:customStyle="1" w:styleId="TableTextChar">
    <w:name w:val="*TableText Char"/>
    <w:basedOn w:val="DefaultParagraphFont"/>
    <w:link w:val="TableText"/>
    <w:rsid w:val="008151E5"/>
    <w:rPr>
      <w:sz w:val="22"/>
      <w:szCs w:val="22"/>
    </w:rPr>
  </w:style>
  <w:style w:type="paragraph" w:customStyle="1" w:styleId="ToolHeader">
    <w:name w:val="*ToolHeader"/>
    <w:qFormat/>
    <w:rsid w:val="00F55F78"/>
    <w:pPr>
      <w:spacing w:after="120"/>
    </w:pPr>
    <w:rPr>
      <w:rFonts w:asciiTheme="minorHAnsi" w:hAnsiTheme="minorHAnsi"/>
      <w:b/>
      <w:bCs/>
      <w:color w:val="365F91"/>
      <w:sz w:val="32"/>
      <w:szCs w:val="28"/>
    </w:rPr>
  </w:style>
  <w:style w:type="paragraph" w:customStyle="1" w:styleId="ToolTableText">
    <w:name w:val="*ToolTableText"/>
    <w:qFormat/>
    <w:rsid w:val="00F55F78"/>
    <w:pPr>
      <w:spacing w:before="40" w:after="120"/>
    </w:pPr>
    <w:rPr>
      <w:sz w:val="22"/>
      <w:szCs w:val="22"/>
    </w:rPr>
  </w:style>
  <w:style w:type="paragraph" w:customStyle="1" w:styleId="ExcerptTitle">
    <w:name w:val="*ExcerptTitle"/>
    <w:basedOn w:val="Normal"/>
    <w:link w:val="ExcerptTitleChar"/>
    <w:qFormat/>
    <w:rsid w:val="00DC7604"/>
    <w:pPr>
      <w:jc w:val="center"/>
    </w:pPr>
    <w:rPr>
      <w:rFonts w:asciiTheme="majorHAnsi" w:hAnsiTheme="majorHAnsi"/>
      <w:b/>
      <w:smallCaps/>
      <w:sz w:val="32"/>
    </w:rPr>
  </w:style>
  <w:style w:type="paragraph" w:customStyle="1" w:styleId="ExcerptAuthor">
    <w:name w:val="*ExcerptAuthor"/>
    <w:basedOn w:val="Normal"/>
    <w:link w:val="ExcerptAuthorChar"/>
    <w:qFormat/>
    <w:rsid w:val="00DC7604"/>
    <w:pPr>
      <w:jc w:val="center"/>
    </w:pPr>
    <w:rPr>
      <w:rFonts w:asciiTheme="majorHAnsi" w:hAnsiTheme="majorHAnsi"/>
      <w:b/>
    </w:rPr>
  </w:style>
  <w:style w:type="character" w:customStyle="1" w:styleId="ExcerptTitleChar">
    <w:name w:val="*ExcerptTitle Char"/>
    <w:basedOn w:val="DefaultParagraphFont"/>
    <w:link w:val="ExcerptTitle"/>
    <w:rsid w:val="00DC7604"/>
    <w:rPr>
      <w:rFonts w:asciiTheme="majorHAnsi" w:hAnsiTheme="majorHAnsi"/>
      <w:b/>
      <w:smallCaps/>
      <w:sz w:val="32"/>
      <w:szCs w:val="22"/>
    </w:rPr>
  </w:style>
  <w:style w:type="paragraph" w:customStyle="1" w:styleId="ExcerptBody">
    <w:name w:val="*ExcerptBody"/>
    <w:basedOn w:val="Normal"/>
    <w:link w:val="ExcerptBodyChar"/>
    <w:qFormat/>
    <w:rsid w:val="00DC7604"/>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AuthorChar">
    <w:name w:val="*ExcerptAuthor Char"/>
    <w:basedOn w:val="DefaultParagraphFont"/>
    <w:link w:val="ExcerptAuthor"/>
    <w:rsid w:val="00DC7604"/>
    <w:rPr>
      <w:rFonts w:asciiTheme="majorHAnsi" w:hAnsiTheme="majorHAnsi"/>
      <w:b/>
      <w:sz w:val="22"/>
      <w:szCs w:val="22"/>
    </w:rPr>
  </w:style>
  <w:style w:type="character" w:customStyle="1" w:styleId="ExcerptBodyChar">
    <w:name w:val="*ExcerptBody Char"/>
    <w:basedOn w:val="DefaultParagraphFont"/>
    <w:link w:val="ExcerptBody"/>
    <w:rsid w:val="00DC7604"/>
    <w:rPr>
      <w:rFonts w:ascii="Times New Roman" w:eastAsia="Times New Roman" w:hAnsi="Times New Roman"/>
      <w:color w:val="000000"/>
      <w:sz w:val="24"/>
      <w:szCs w:val="17"/>
    </w:rPr>
  </w:style>
  <w:style w:type="paragraph" w:customStyle="1" w:styleId="SubStandard">
    <w:name w:val="*SubStandard"/>
    <w:basedOn w:val="TableText"/>
    <w:link w:val="SubStandardChar"/>
    <w:qFormat/>
    <w:rsid w:val="00C32048"/>
    <w:pPr>
      <w:numPr>
        <w:numId w:val="38"/>
      </w:numPr>
    </w:pPr>
  </w:style>
  <w:style w:type="character" w:customStyle="1" w:styleId="SubStandardChar">
    <w:name w:val="*SubStandard Char"/>
    <w:basedOn w:val="TableTextChar"/>
    <w:link w:val="SubStandard"/>
    <w:rsid w:val="00C32048"/>
    <w:rPr>
      <w:sz w:val="22"/>
      <w:szCs w:val="22"/>
    </w:rPr>
  </w:style>
  <w:style w:type="paragraph" w:styleId="DocumentMap">
    <w:name w:val="Document Map"/>
    <w:basedOn w:val="Normal"/>
    <w:link w:val="DocumentMapChar"/>
    <w:uiPriority w:val="99"/>
    <w:semiHidden/>
    <w:unhideWhenUsed/>
    <w:rsid w:val="00787662"/>
    <w:pPr>
      <w:spacing w:before="0"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787662"/>
    <w:rPr>
      <w:rFonts w:ascii="Lucida Grande"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966093">
      <w:bodyDiv w:val="1"/>
      <w:marLeft w:val="0"/>
      <w:marRight w:val="0"/>
      <w:marTop w:val="0"/>
      <w:marBottom w:val="0"/>
      <w:divBdr>
        <w:top w:val="none" w:sz="0" w:space="0" w:color="auto"/>
        <w:left w:val="none" w:sz="0" w:space="0" w:color="auto"/>
        <w:bottom w:val="none" w:sz="0" w:space="0" w:color="auto"/>
        <w:right w:val="none" w:sz="0" w:space="0" w:color="auto"/>
      </w:divBdr>
      <w:divsChild>
        <w:div w:id="25955287">
          <w:marLeft w:val="0"/>
          <w:marRight w:val="0"/>
          <w:marTop w:val="0"/>
          <w:marBottom w:val="0"/>
          <w:divBdr>
            <w:top w:val="none" w:sz="0" w:space="0" w:color="auto"/>
            <w:left w:val="none" w:sz="0" w:space="0" w:color="auto"/>
            <w:bottom w:val="none" w:sz="0" w:space="0" w:color="auto"/>
            <w:right w:val="none" w:sz="0" w:space="0" w:color="auto"/>
          </w:divBdr>
        </w:div>
        <w:div w:id="60251821">
          <w:marLeft w:val="0"/>
          <w:marRight w:val="0"/>
          <w:marTop w:val="0"/>
          <w:marBottom w:val="0"/>
          <w:divBdr>
            <w:top w:val="none" w:sz="0" w:space="0" w:color="auto"/>
            <w:left w:val="none" w:sz="0" w:space="0" w:color="auto"/>
            <w:bottom w:val="none" w:sz="0" w:space="0" w:color="auto"/>
            <w:right w:val="none" w:sz="0" w:space="0" w:color="auto"/>
          </w:divBdr>
        </w:div>
        <w:div w:id="124934638">
          <w:marLeft w:val="0"/>
          <w:marRight w:val="0"/>
          <w:marTop w:val="0"/>
          <w:marBottom w:val="0"/>
          <w:divBdr>
            <w:top w:val="none" w:sz="0" w:space="0" w:color="auto"/>
            <w:left w:val="none" w:sz="0" w:space="0" w:color="auto"/>
            <w:bottom w:val="none" w:sz="0" w:space="0" w:color="auto"/>
            <w:right w:val="none" w:sz="0" w:space="0" w:color="auto"/>
          </w:divBdr>
        </w:div>
        <w:div w:id="131291281">
          <w:marLeft w:val="0"/>
          <w:marRight w:val="0"/>
          <w:marTop w:val="0"/>
          <w:marBottom w:val="0"/>
          <w:divBdr>
            <w:top w:val="none" w:sz="0" w:space="0" w:color="auto"/>
            <w:left w:val="none" w:sz="0" w:space="0" w:color="auto"/>
            <w:bottom w:val="none" w:sz="0" w:space="0" w:color="auto"/>
            <w:right w:val="none" w:sz="0" w:space="0" w:color="auto"/>
          </w:divBdr>
        </w:div>
        <w:div w:id="142087640">
          <w:marLeft w:val="0"/>
          <w:marRight w:val="0"/>
          <w:marTop w:val="0"/>
          <w:marBottom w:val="0"/>
          <w:divBdr>
            <w:top w:val="none" w:sz="0" w:space="0" w:color="auto"/>
            <w:left w:val="none" w:sz="0" w:space="0" w:color="auto"/>
            <w:bottom w:val="none" w:sz="0" w:space="0" w:color="auto"/>
            <w:right w:val="none" w:sz="0" w:space="0" w:color="auto"/>
          </w:divBdr>
        </w:div>
        <w:div w:id="172495155">
          <w:marLeft w:val="0"/>
          <w:marRight w:val="0"/>
          <w:marTop w:val="0"/>
          <w:marBottom w:val="0"/>
          <w:divBdr>
            <w:top w:val="none" w:sz="0" w:space="0" w:color="auto"/>
            <w:left w:val="none" w:sz="0" w:space="0" w:color="auto"/>
            <w:bottom w:val="none" w:sz="0" w:space="0" w:color="auto"/>
            <w:right w:val="none" w:sz="0" w:space="0" w:color="auto"/>
          </w:divBdr>
        </w:div>
        <w:div w:id="226109223">
          <w:marLeft w:val="0"/>
          <w:marRight w:val="0"/>
          <w:marTop w:val="0"/>
          <w:marBottom w:val="0"/>
          <w:divBdr>
            <w:top w:val="none" w:sz="0" w:space="0" w:color="auto"/>
            <w:left w:val="none" w:sz="0" w:space="0" w:color="auto"/>
            <w:bottom w:val="none" w:sz="0" w:space="0" w:color="auto"/>
            <w:right w:val="none" w:sz="0" w:space="0" w:color="auto"/>
          </w:divBdr>
        </w:div>
        <w:div w:id="393966648">
          <w:marLeft w:val="0"/>
          <w:marRight w:val="0"/>
          <w:marTop w:val="0"/>
          <w:marBottom w:val="0"/>
          <w:divBdr>
            <w:top w:val="none" w:sz="0" w:space="0" w:color="auto"/>
            <w:left w:val="none" w:sz="0" w:space="0" w:color="auto"/>
            <w:bottom w:val="none" w:sz="0" w:space="0" w:color="auto"/>
            <w:right w:val="none" w:sz="0" w:space="0" w:color="auto"/>
          </w:divBdr>
        </w:div>
        <w:div w:id="571699737">
          <w:marLeft w:val="0"/>
          <w:marRight w:val="0"/>
          <w:marTop w:val="0"/>
          <w:marBottom w:val="0"/>
          <w:divBdr>
            <w:top w:val="none" w:sz="0" w:space="0" w:color="auto"/>
            <w:left w:val="none" w:sz="0" w:space="0" w:color="auto"/>
            <w:bottom w:val="none" w:sz="0" w:space="0" w:color="auto"/>
            <w:right w:val="none" w:sz="0" w:space="0" w:color="auto"/>
          </w:divBdr>
        </w:div>
        <w:div w:id="601107406">
          <w:marLeft w:val="0"/>
          <w:marRight w:val="0"/>
          <w:marTop w:val="0"/>
          <w:marBottom w:val="0"/>
          <w:divBdr>
            <w:top w:val="none" w:sz="0" w:space="0" w:color="auto"/>
            <w:left w:val="none" w:sz="0" w:space="0" w:color="auto"/>
            <w:bottom w:val="none" w:sz="0" w:space="0" w:color="auto"/>
            <w:right w:val="none" w:sz="0" w:space="0" w:color="auto"/>
          </w:divBdr>
        </w:div>
        <w:div w:id="605582995">
          <w:marLeft w:val="0"/>
          <w:marRight w:val="0"/>
          <w:marTop w:val="0"/>
          <w:marBottom w:val="0"/>
          <w:divBdr>
            <w:top w:val="none" w:sz="0" w:space="0" w:color="auto"/>
            <w:left w:val="none" w:sz="0" w:space="0" w:color="auto"/>
            <w:bottom w:val="none" w:sz="0" w:space="0" w:color="auto"/>
            <w:right w:val="none" w:sz="0" w:space="0" w:color="auto"/>
          </w:divBdr>
        </w:div>
        <w:div w:id="641159044">
          <w:marLeft w:val="0"/>
          <w:marRight w:val="0"/>
          <w:marTop w:val="0"/>
          <w:marBottom w:val="0"/>
          <w:divBdr>
            <w:top w:val="none" w:sz="0" w:space="0" w:color="auto"/>
            <w:left w:val="none" w:sz="0" w:space="0" w:color="auto"/>
            <w:bottom w:val="none" w:sz="0" w:space="0" w:color="auto"/>
            <w:right w:val="none" w:sz="0" w:space="0" w:color="auto"/>
          </w:divBdr>
        </w:div>
        <w:div w:id="738671030">
          <w:marLeft w:val="0"/>
          <w:marRight w:val="0"/>
          <w:marTop w:val="0"/>
          <w:marBottom w:val="0"/>
          <w:divBdr>
            <w:top w:val="none" w:sz="0" w:space="0" w:color="auto"/>
            <w:left w:val="none" w:sz="0" w:space="0" w:color="auto"/>
            <w:bottom w:val="none" w:sz="0" w:space="0" w:color="auto"/>
            <w:right w:val="none" w:sz="0" w:space="0" w:color="auto"/>
          </w:divBdr>
        </w:div>
        <w:div w:id="789317769">
          <w:marLeft w:val="0"/>
          <w:marRight w:val="0"/>
          <w:marTop w:val="0"/>
          <w:marBottom w:val="0"/>
          <w:divBdr>
            <w:top w:val="none" w:sz="0" w:space="0" w:color="auto"/>
            <w:left w:val="none" w:sz="0" w:space="0" w:color="auto"/>
            <w:bottom w:val="none" w:sz="0" w:space="0" w:color="auto"/>
            <w:right w:val="none" w:sz="0" w:space="0" w:color="auto"/>
          </w:divBdr>
        </w:div>
        <w:div w:id="864827796">
          <w:marLeft w:val="0"/>
          <w:marRight w:val="0"/>
          <w:marTop w:val="0"/>
          <w:marBottom w:val="0"/>
          <w:divBdr>
            <w:top w:val="none" w:sz="0" w:space="0" w:color="auto"/>
            <w:left w:val="none" w:sz="0" w:space="0" w:color="auto"/>
            <w:bottom w:val="none" w:sz="0" w:space="0" w:color="auto"/>
            <w:right w:val="none" w:sz="0" w:space="0" w:color="auto"/>
          </w:divBdr>
        </w:div>
        <w:div w:id="866256989">
          <w:marLeft w:val="0"/>
          <w:marRight w:val="0"/>
          <w:marTop w:val="0"/>
          <w:marBottom w:val="0"/>
          <w:divBdr>
            <w:top w:val="none" w:sz="0" w:space="0" w:color="auto"/>
            <w:left w:val="none" w:sz="0" w:space="0" w:color="auto"/>
            <w:bottom w:val="none" w:sz="0" w:space="0" w:color="auto"/>
            <w:right w:val="none" w:sz="0" w:space="0" w:color="auto"/>
          </w:divBdr>
        </w:div>
        <w:div w:id="1078404219">
          <w:marLeft w:val="0"/>
          <w:marRight w:val="0"/>
          <w:marTop w:val="0"/>
          <w:marBottom w:val="0"/>
          <w:divBdr>
            <w:top w:val="none" w:sz="0" w:space="0" w:color="auto"/>
            <w:left w:val="none" w:sz="0" w:space="0" w:color="auto"/>
            <w:bottom w:val="none" w:sz="0" w:space="0" w:color="auto"/>
            <w:right w:val="none" w:sz="0" w:space="0" w:color="auto"/>
          </w:divBdr>
        </w:div>
        <w:div w:id="1115947192">
          <w:marLeft w:val="0"/>
          <w:marRight w:val="0"/>
          <w:marTop w:val="0"/>
          <w:marBottom w:val="0"/>
          <w:divBdr>
            <w:top w:val="none" w:sz="0" w:space="0" w:color="auto"/>
            <w:left w:val="none" w:sz="0" w:space="0" w:color="auto"/>
            <w:bottom w:val="none" w:sz="0" w:space="0" w:color="auto"/>
            <w:right w:val="none" w:sz="0" w:space="0" w:color="auto"/>
          </w:divBdr>
        </w:div>
        <w:div w:id="1190336354">
          <w:marLeft w:val="0"/>
          <w:marRight w:val="0"/>
          <w:marTop w:val="0"/>
          <w:marBottom w:val="0"/>
          <w:divBdr>
            <w:top w:val="none" w:sz="0" w:space="0" w:color="auto"/>
            <w:left w:val="none" w:sz="0" w:space="0" w:color="auto"/>
            <w:bottom w:val="none" w:sz="0" w:space="0" w:color="auto"/>
            <w:right w:val="none" w:sz="0" w:space="0" w:color="auto"/>
          </w:divBdr>
        </w:div>
        <w:div w:id="1254584289">
          <w:marLeft w:val="0"/>
          <w:marRight w:val="0"/>
          <w:marTop w:val="0"/>
          <w:marBottom w:val="0"/>
          <w:divBdr>
            <w:top w:val="none" w:sz="0" w:space="0" w:color="auto"/>
            <w:left w:val="none" w:sz="0" w:space="0" w:color="auto"/>
            <w:bottom w:val="none" w:sz="0" w:space="0" w:color="auto"/>
            <w:right w:val="none" w:sz="0" w:space="0" w:color="auto"/>
          </w:divBdr>
        </w:div>
        <w:div w:id="1338850884">
          <w:marLeft w:val="0"/>
          <w:marRight w:val="0"/>
          <w:marTop w:val="0"/>
          <w:marBottom w:val="0"/>
          <w:divBdr>
            <w:top w:val="none" w:sz="0" w:space="0" w:color="auto"/>
            <w:left w:val="none" w:sz="0" w:space="0" w:color="auto"/>
            <w:bottom w:val="none" w:sz="0" w:space="0" w:color="auto"/>
            <w:right w:val="none" w:sz="0" w:space="0" w:color="auto"/>
          </w:divBdr>
        </w:div>
        <w:div w:id="1357004387">
          <w:marLeft w:val="0"/>
          <w:marRight w:val="0"/>
          <w:marTop w:val="0"/>
          <w:marBottom w:val="0"/>
          <w:divBdr>
            <w:top w:val="none" w:sz="0" w:space="0" w:color="auto"/>
            <w:left w:val="none" w:sz="0" w:space="0" w:color="auto"/>
            <w:bottom w:val="none" w:sz="0" w:space="0" w:color="auto"/>
            <w:right w:val="none" w:sz="0" w:space="0" w:color="auto"/>
          </w:divBdr>
        </w:div>
        <w:div w:id="1489051538">
          <w:marLeft w:val="0"/>
          <w:marRight w:val="0"/>
          <w:marTop w:val="0"/>
          <w:marBottom w:val="0"/>
          <w:divBdr>
            <w:top w:val="none" w:sz="0" w:space="0" w:color="auto"/>
            <w:left w:val="none" w:sz="0" w:space="0" w:color="auto"/>
            <w:bottom w:val="none" w:sz="0" w:space="0" w:color="auto"/>
            <w:right w:val="none" w:sz="0" w:space="0" w:color="auto"/>
          </w:divBdr>
        </w:div>
        <w:div w:id="1561329954">
          <w:marLeft w:val="0"/>
          <w:marRight w:val="0"/>
          <w:marTop w:val="0"/>
          <w:marBottom w:val="0"/>
          <w:divBdr>
            <w:top w:val="none" w:sz="0" w:space="0" w:color="auto"/>
            <w:left w:val="none" w:sz="0" w:space="0" w:color="auto"/>
            <w:bottom w:val="none" w:sz="0" w:space="0" w:color="auto"/>
            <w:right w:val="none" w:sz="0" w:space="0" w:color="auto"/>
          </w:divBdr>
        </w:div>
        <w:div w:id="1711224100">
          <w:marLeft w:val="0"/>
          <w:marRight w:val="0"/>
          <w:marTop w:val="0"/>
          <w:marBottom w:val="0"/>
          <w:divBdr>
            <w:top w:val="none" w:sz="0" w:space="0" w:color="auto"/>
            <w:left w:val="none" w:sz="0" w:space="0" w:color="auto"/>
            <w:bottom w:val="none" w:sz="0" w:space="0" w:color="auto"/>
            <w:right w:val="none" w:sz="0" w:space="0" w:color="auto"/>
          </w:divBdr>
        </w:div>
        <w:div w:id="1811744180">
          <w:marLeft w:val="0"/>
          <w:marRight w:val="0"/>
          <w:marTop w:val="0"/>
          <w:marBottom w:val="0"/>
          <w:divBdr>
            <w:top w:val="none" w:sz="0" w:space="0" w:color="auto"/>
            <w:left w:val="none" w:sz="0" w:space="0" w:color="auto"/>
            <w:bottom w:val="none" w:sz="0" w:space="0" w:color="auto"/>
            <w:right w:val="none" w:sz="0" w:space="0" w:color="auto"/>
          </w:divBdr>
        </w:div>
        <w:div w:id="1882747064">
          <w:marLeft w:val="0"/>
          <w:marRight w:val="0"/>
          <w:marTop w:val="0"/>
          <w:marBottom w:val="0"/>
          <w:divBdr>
            <w:top w:val="none" w:sz="0" w:space="0" w:color="auto"/>
            <w:left w:val="none" w:sz="0" w:space="0" w:color="auto"/>
            <w:bottom w:val="none" w:sz="0" w:space="0" w:color="auto"/>
            <w:right w:val="none" w:sz="0" w:space="0" w:color="auto"/>
          </w:divBdr>
        </w:div>
        <w:div w:id="1912617998">
          <w:marLeft w:val="0"/>
          <w:marRight w:val="0"/>
          <w:marTop w:val="0"/>
          <w:marBottom w:val="0"/>
          <w:divBdr>
            <w:top w:val="none" w:sz="0" w:space="0" w:color="auto"/>
            <w:left w:val="none" w:sz="0" w:space="0" w:color="auto"/>
            <w:bottom w:val="none" w:sz="0" w:space="0" w:color="auto"/>
            <w:right w:val="none" w:sz="0" w:space="0" w:color="auto"/>
          </w:divBdr>
        </w:div>
        <w:div w:id="1931354071">
          <w:marLeft w:val="0"/>
          <w:marRight w:val="0"/>
          <w:marTop w:val="0"/>
          <w:marBottom w:val="0"/>
          <w:divBdr>
            <w:top w:val="none" w:sz="0" w:space="0" w:color="auto"/>
            <w:left w:val="none" w:sz="0" w:space="0" w:color="auto"/>
            <w:bottom w:val="none" w:sz="0" w:space="0" w:color="auto"/>
            <w:right w:val="none" w:sz="0" w:space="0" w:color="auto"/>
          </w:divBdr>
        </w:div>
        <w:div w:id="2060981179">
          <w:marLeft w:val="0"/>
          <w:marRight w:val="0"/>
          <w:marTop w:val="0"/>
          <w:marBottom w:val="0"/>
          <w:divBdr>
            <w:top w:val="none" w:sz="0" w:space="0" w:color="auto"/>
            <w:left w:val="none" w:sz="0" w:space="0" w:color="auto"/>
            <w:bottom w:val="none" w:sz="0" w:space="0" w:color="auto"/>
            <w:right w:val="none" w:sz="0" w:space="0" w:color="auto"/>
          </w:divBdr>
        </w:div>
      </w:divsChild>
    </w:div>
    <w:div w:id="798186523">
      <w:bodyDiv w:val="1"/>
      <w:marLeft w:val="0"/>
      <w:marRight w:val="0"/>
      <w:marTop w:val="0"/>
      <w:marBottom w:val="0"/>
      <w:divBdr>
        <w:top w:val="none" w:sz="0" w:space="0" w:color="auto"/>
        <w:left w:val="none" w:sz="0" w:space="0" w:color="auto"/>
        <w:bottom w:val="none" w:sz="0" w:space="0" w:color="auto"/>
        <w:right w:val="none" w:sz="0" w:space="0" w:color="auto"/>
      </w:divBdr>
      <w:divsChild>
        <w:div w:id="1072578285">
          <w:marLeft w:val="0"/>
          <w:marRight w:val="0"/>
          <w:marTop w:val="0"/>
          <w:marBottom w:val="0"/>
          <w:divBdr>
            <w:top w:val="none" w:sz="0" w:space="0" w:color="auto"/>
            <w:left w:val="none" w:sz="0" w:space="0" w:color="auto"/>
            <w:bottom w:val="none" w:sz="0" w:space="0" w:color="auto"/>
            <w:right w:val="none" w:sz="0" w:space="0" w:color="auto"/>
          </w:divBdr>
        </w:div>
      </w:divsChild>
    </w:div>
    <w:div w:id="1916935340">
      <w:bodyDiv w:val="1"/>
      <w:marLeft w:val="0"/>
      <w:marRight w:val="0"/>
      <w:marTop w:val="0"/>
      <w:marBottom w:val="0"/>
      <w:divBdr>
        <w:top w:val="none" w:sz="0" w:space="0" w:color="auto"/>
        <w:left w:val="none" w:sz="0" w:space="0" w:color="auto"/>
        <w:bottom w:val="none" w:sz="0" w:space="0" w:color="auto"/>
        <w:right w:val="none" w:sz="0" w:space="0" w:color="auto"/>
      </w:divBdr>
      <w:divsChild>
        <w:div w:id="19912085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550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816865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ovelnewyork.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reativecommons.org/licenses/by-nc/3.0/" TargetMode="External"/><Relationship Id="rId4" Type="http://schemas.openxmlformats.org/officeDocument/2006/relationships/settings" Target="settings.xml"/><Relationship Id="rId9" Type="http://schemas.openxmlformats.org/officeDocument/2006/relationships/hyperlink" Target="http://www.odelleducation.com"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1ABF50-073A-4DB1-A52C-B7A8EC828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3340</Words>
  <Characters>19042</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Public Consulting Group</Company>
  <LinksUpToDate>false</LinksUpToDate>
  <CharactersWithSpaces>22338</CharactersWithSpaces>
  <SharedDoc>false</SharedDoc>
  <HLinks>
    <vt:vector size="30" baseType="variant">
      <vt:variant>
        <vt:i4>6750282</vt:i4>
      </vt:variant>
      <vt:variant>
        <vt:i4>6</vt:i4>
      </vt:variant>
      <vt:variant>
        <vt:i4>0</vt:i4>
      </vt:variant>
      <vt:variant>
        <vt:i4>5</vt:i4>
      </vt:variant>
      <vt:variant>
        <vt:lpwstr>http://dictionary.reference.com/browse/movement</vt:lpwstr>
      </vt:variant>
      <vt:variant>
        <vt:lpwstr/>
      </vt:variant>
      <vt:variant>
        <vt:i4>6750282</vt:i4>
      </vt:variant>
      <vt:variant>
        <vt:i4>3</vt:i4>
      </vt:variant>
      <vt:variant>
        <vt:i4>0</vt:i4>
      </vt:variant>
      <vt:variant>
        <vt:i4>5</vt:i4>
      </vt:variant>
      <vt:variant>
        <vt:lpwstr>http://dictionary.reference.com/browse/movement</vt:lpwstr>
      </vt:variant>
      <vt:variant>
        <vt:lpwstr/>
      </vt:variant>
      <vt:variant>
        <vt:i4>6357050</vt:i4>
      </vt:variant>
      <vt:variant>
        <vt:i4>0</vt:i4>
      </vt:variant>
      <vt:variant>
        <vt:i4>0</vt:i4>
      </vt:variant>
      <vt:variant>
        <vt:i4>5</vt:i4>
      </vt:variant>
      <vt:variant>
        <vt:lpwstr>http://dictionary.reference.com/browse/environment</vt:lpwstr>
      </vt:variant>
      <vt:variant>
        <vt:lpwstr/>
      </vt:variant>
      <vt:variant>
        <vt:i4>4587636</vt:i4>
      </vt:variant>
      <vt:variant>
        <vt:i4>8</vt:i4>
      </vt:variant>
      <vt:variant>
        <vt:i4>0</vt:i4>
      </vt:variant>
      <vt:variant>
        <vt:i4>5</vt:i4>
      </vt:variant>
      <vt:variant>
        <vt:lpwstr>http://creativecommons.org/licenses/by-nc-sa/3.0/</vt:lpwstr>
      </vt:variant>
      <vt:variant>
        <vt:lpwstr/>
      </vt:variant>
      <vt:variant>
        <vt:i4>4587636</vt:i4>
      </vt:variant>
      <vt:variant>
        <vt:i4>2</vt:i4>
      </vt:variant>
      <vt:variant>
        <vt:i4>0</vt:i4>
      </vt:variant>
      <vt:variant>
        <vt:i4>5</vt:i4>
      </vt:variant>
      <vt:variant>
        <vt:lpwstr>http://creativecommons.org/licenses/by-nc-sa/3.0/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PCG Education</dc:creator>
  <cp:lastModifiedBy>Kelley, Nora</cp:lastModifiedBy>
  <cp:revision>6</cp:revision>
  <cp:lastPrinted>2014-09-08T19:11:00Z</cp:lastPrinted>
  <dcterms:created xsi:type="dcterms:W3CDTF">2014-06-26T23:20:00Z</dcterms:created>
  <dcterms:modified xsi:type="dcterms:W3CDTF">2014-09-08T19:12:00Z</dcterms:modified>
</cp:coreProperties>
</file>