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564620" w14:paraId="0F82B506" w14:textId="77777777">
        <w:trPr>
          <w:trHeight w:val="1008"/>
        </w:trPr>
        <w:tc>
          <w:tcPr>
            <w:tcW w:w="1980" w:type="dxa"/>
            <w:shd w:val="clear" w:color="auto" w:fill="385623"/>
            <w:vAlign w:val="center"/>
          </w:tcPr>
          <w:p w14:paraId="3A94A127" w14:textId="77777777" w:rsidR="00F814D5" w:rsidRPr="00564620" w:rsidRDefault="002514C3" w:rsidP="00B231AA">
            <w:pPr>
              <w:pStyle w:val="Header-banner"/>
              <w:rPr>
                <w:rFonts w:asciiTheme="minorHAnsi" w:hAnsiTheme="minorHAnsi"/>
              </w:rPr>
            </w:pPr>
            <w:r w:rsidRPr="00564620">
              <w:rPr>
                <w:rFonts w:asciiTheme="minorHAnsi" w:hAnsiTheme="minorHAnsi"/>
              </w:rPr>
              <w:t>11.3</w:t>
            </w:r>
            <w:r w:rsidR="00F814D5" w:rsidRPr="00564620">
              <w:rPr>
                <w:rFonts w:asciiTheme="minorHAnsi" w:hAnsiTheme="minorHAnsi"/>
              </w:rPr>
              <w:t>.</w:t>
            </w:r>
            <w:r w:rsidRPr="00564620">
              <w:rPr>
                <w:rFonts w:asciiTheme="minorHAnsi" w:hAnsiTheme="minorHAnsi"/>
              </w:rPr>
              <w:t>2</w:t>
            </w:r>
          </w:p>
        </w:tc>
        <w:tc>
          <w:tcPr>
            <w:tcW w:w="7470" w:type="dxa"/>
            <w:shd w:val="clear" w:color="auto" w:fill="76923C"/>
            <w:vAlign w:val="center"/>
          </w:tcPr>
          <w:p w14:paraId="72F72CE8" w14:textId="77777777" w:rsidR="00F814D5" w:rsidRPr="00564620" w:rsidRDefault="00F814D5" w:rsidP="00B231AA">
            <w:pPr>
              <w:pStyle w:val="Header2banner"/>
              <w:spacing w:line="240" w:lineRule="auto"/>
              <w:rPr>
                <w:rFonts w:asciiTheme="minorHAnsi" w:hAnsiTheme="minorHAnsi"/>
              </w:rPr>
            </w:pPr>
            <w:r w:rsidRPr="00564620">
              <w:rPr>
                <w:rFonts w:asciiTheme="minorHAnsi" w:hAnsiTheme="minorHAnsi"/>
              </w:rPr>
              <w:t xml:space="preserve">Lesson </w:t>
            </w:r>
            <w:r w:rsidR="002514C3" w:rsidRPr="00564620">
              <w:rPr>
                <w:rFonts w:asciiTheme="minorHAnsi" w:hAnsiTheme="minorHAnsi"/>
              </w:rPr>
              <w:t>5</w:t>
            </w:r>
          </w:p>
        </w:tc>
      </w:tr>
    </w:tbl>
    <w:p w14:paraId="24675AA8" w14:textId="77777777" w:rsidR="005C4572" w:rsidRPr="00564620" w:rsidRDefault="00C4787C" w:rsidP="00DF7110">
      <w:pPr>
        <w:pStyle w:val="Heading1"/>
        <w:spacing w:before="360" w:after="60"/>
      </w:pPr>
      <w:r w:rsidRPr="00564620">
        <w:t>Introduction</w:t>
      </w:r>
    </w:p>
    <w:p w14:paraId="2C0DB0B4" w14:textId="77777777" w:rsidR="002514C3" w:rsidRPr="00564620" w:rsidRDefault="002514C3" w:rsidP="002514C3">
      <w:r w:rsidRPr="00564620">
        <w:t>In this lesson, students learn how to evaluate an evidence-based argument. Students work to develop their ability to identify the necessary components of a compelling argument, systematically evaluate arguments, and assess the effectiveness of these arguments. This work prepares students to begin forming their ow</w:t>
      </w:r>
      <w:r w:rsidR="00B9762D" w:rsidRPr="00564620">
        <w:t>n evidence-based arguments in 11</w:t>
      </w:r>
      <w:r w:rsidRPr="00564620">
        <w:t xml:space="preserve">.3.3. </w:t>
      </w:r>
    </w:p>
    <w:p w14:paraId="38418D42" w14:textId="77777777" w:rsidR="00440AFB" w:rsidRDefault="002514C3" w:rsidP="002514C3">
      <w:r w:rsidRPr="00564620">
        <w:t>Students begin the lesson by observing a teacher-led evaluation of a model argument using the Evidence-Based Arguments Checklist. Students then examine a number of evi</w:t>
      </w:r>
      <w:r w:rsidR="00C74E34">
        <w:t>dence-based arguments in groups, assessing</w:t>
      </w:r>
      <w:r w:rsidRPr="00564620">
        <w:t xml:space="preserve"> the logic and quality of each argument using the Evidence-Based Arguments Checklist. </w:t>
      </w:r>
      <w:r w:rsidR="00D230E8" w:rsidRPr="00564620">
        <w:t>Student learning is assessed via completion of the Evidence-Based Arguments Checklist, which students submit along with their evaluation notes at the end of the lesson</w:t>
      </w:r>
      <w:r w:rsidRPr="00564620">
        <w:t xml:space="preserve">. </w:t>
      </w:r>
    </w:p>
    <w:p w14:paraId="2440C2C8" w14:textId="45D4E296" w:rsidR="002514C3" w:rsidRPr="00564620" w:rsidRDefault="002514C3" w:rsidP="00DF7110">
      <w:pPr>
        <w:spacing w:after="0"/>
      </w:pPr>
      <w:r w:rsidRPr="00564620">
        <w:t>For homework, students continue to develop their examination of argument by applying the Evidence-Based Arguments Checklist to two additional sources.</w:t>
      </w:r>
    </w:p>
    <w:p w14:paraId="637D40E1" w14:textId="77777777" w:rsidR="00C4787C" w:rsidRPr="00DF7110" w:rsidRDefault="00806ADA" w:rsidP="00DF7110">
      <w:pPr>
        <w:pStyle w:val="Heading1"/>
        <w:spacing w:before="240"/>
      </w:pPr>
      <w:r w:rsidRPr="00DF7110">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564620" w14:paraId="3DCE4289" w14:textId="77777777">
        <w:tc>
          <w:tcPr>
            <w:tcW w:w="9468" w:type="dxa"/>
            <w:gridSpan w:val="2"/>
            <w:shd w:val="clear" w:color="auto" w:fill="76923C"/>
          </w:tcPr>
          <w:p w14:paraId="572EE9DA" w14:textId="77777777" w:rsidR="00F308FF" w:rsidRPr="00564620" w:rsidRDefault="00F308FF" w:rsidP="00B00346">
            <w:pPr>
              <w:pStyle w:val="TableHeaders"/>
            </w:pPr>
            <w:r w:rsidRPr="00564620">
              <w:t>Assessed Standard</w:t>
            </w:r>
            <w:r w:rsidR="00583FF7" w:rsidRPr="00564620">
              <w:t>(s)</w:t>
            </w:r>
          </w:p>
        </w:tc>
      </w:tr>
      <w:tr w:rsidR="00B9762D" w:rsidRPr="00564620" w14:paraId="63F08814" w14:textId="77777777">
        <w:tc>
          <w:tcPr>
            <w:tcW w:w="1344" w:type="dxa"/>
          </w:tcPr>
          <w:p w14:paraId="2CDB62A7" w14:textId="77777777" w:rsidR="00B9762D" w:rsidRPr="00564620" w:rsidRDefault="0026372B" w:rsidP="00B9762D">
            <w:pPr>
              <w:pStyle w:val="TableText"/>
            </w:pPr>
            <w:r w:rsidRPr="00564620">
              <w:t>CCRA.</w:t>
            </w:r>
            <w:r w:rsidR="00C74E34">
              <w:t>R.</w:t>
            </w:r>
            <w:r w:rsidRPr="00564620">
              <w:t>8</w:t>
            </w:r>
          </w:p>
        </w:tc>
        <w:tc>
          <w:tcPr>
            <w:tcW w:w="8124" w:type="dxa"/>
          </w:tcPr>
          <w:p w14:paraId="7764752F" w14:textId="77777777" w:rsidR="00B9762D" w:rsidRPr="00564620" w:rsidRDefault="0026372B" w:rsidP="00B9762D">
            <w:pPr>
              <w:pStyle w:val="TableText"/>
            </w:pPr>
            <w:r w:rsidRPr="00564620">
              <w:t>Delineate and evaluate the argument and specific claims in a text, including the validity of the reasoning as well as the relevance and sufficiency of the evidence.</w:t>
            </w:r>
          </w:p>
        </w:tc>
      </w:tr>
      <w:tr w:rsidR="00FB2878" w:rsidRPr="00564620" w14:paraId="64A49933" w14:textId="77777777">
        <w:tc>
          <w:tcPr>
            <w:tcW w:w="1344" w:type="dxa"/>
          </w:tcPr>
          <w:p w14:paraId="1DA158C9" w14:textId="77777777" w:rsidR="00B9762D" w:rsidRPr="00564620" w:rsidRDefault="00B9762D" w:rsidP="00B9762D">
            <w:pPr>
              <w:pStyle w:val="TableText"/>
            </w:pPr>
            <w:r w:rsidRPr="00564620">
              <w:t>W.11-12.8</w:t>
            </w:r>
          </w:p>
          <w:p w14:paraId="51D7D19D" w14:textId="77777777" w:rsidR="00FB2878" w:rsidRPr="00564620" w:rsidRDefault="00FB2878" w:rsidP="000B2D56">
            <w:pPr>
              <w:pStyle w:val="TableText"/>
            </w:pPr>
          </w:p>
        </w:tc>
        <w:tc>
          <w:tcPr>
            <w:tcW w:w="8124" w:type="dxa"/>
          </w:tcPr>
          <w:p w14:paraId="5F914F85" w14:textId="77777777" w:rsidR="00CF498D" w:rsidRPr="00564620" w:rsidRDefault="00B9762D" w:rsidP="00B9762D">
            <w:pPr>
              <w:pStyle w:val="TableText"/>
            </w:pPr>
            <w:r w:rsidRPr="00564620">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F308FF" w:rsidRPr="00564620" w14:paraId="3109A570" w14:textId="77777777">
        <w:tc>
          <w:tcPr>
            <w:tcW w:w="9468" w:type="dxa"/>
            <w:gridSpan w:val="2"/>
            <w:shd w:val="clear" w:color="auto" w:fill="76923C"/>
          </w:tcPr>
          <w:p w14:paraId="19962B59" w14:textId="77777777" w:rsidR="00F308FF" w:rsidRPr="00564620" w:rsidRDefault="00F308FF" w:rsidP="00B00346">
            <w:pPr>
              <w:pStyle w:val="TableHeaders"/>
            </w:pPr>
            <w:r w:rsidRPr="00564620">
              <w:t>Addressed Standard</w:t>
            </w:r>
            <w:r w:rsidR="00583FF7" w:rsidRPr="00564620">
              <w:t>(s)</w:t>
            </w:r>
          </w:p>
        </w:tc>
      </w:tr>
      <w:tr w:rsidR="000B2D56" w:rsidRPr="00564620" w14:paraId="4B3C8D17" w14:textId="77777777">
        <w:tc>
          <w:tcPr>
            <w:tcW w:w="1344" w:type="dxa"/>
          </w:tcPr>
          <w:p w14:paraId="5A1C84B1" w14:textId="77777777" w:rsidR="00B9762D" w:rsidRPr="00564620" w:rsidRDefault="00B9762D" w:rsidP="00B9762D">
            <w:pPr>
              <w:pStyle w:val="TableText"/>
            </w:pPr>
            <w:r w:rsidRPr="00564620">
              <w:t>W.11-12.7</w:t>
            </w:r>
          </w:p>
          <w:p w14:paraId="131B4D53" w14:textId="77777777" w:rsidR="000B2D56" w:rsidRPr="00564620" w:rsidRDefault="000B2D56" w:rsidP="000B2D56">
            <w:pPr>
              <w:pStyle w:val="TableText"/>
            </w:pPr>
          </w:p>
        </w:tc>
        <w:tc>
          <w:tcPr>
            <w:tcW w:w="8124" w:type="dxa"/>
          </w:tcPr>
          <w:p w14:paraId="19722685" w14:textId="77777777" w:rsidR="000B2D56" w:rsidRPr="00564620" w:rsidRDefault="00B9762D" w:rsidP="000B2D56">
            <w:pPr>
              <w:pStyle w:val="TableText"/>
            </w:pPr>
            <w:r w:rsidRPr="00564620">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3C0A22" w:rsidRPr="00564620" w14:paraId="379181D9" w14:textId="77777777">
        <w:tc>
          <w:tcPr>
            <w:tcW w:w="1344" w:type="dxa"/>
          </w:tcPr>
          <w:p w14:paraId="6CFD7DD9" w14:textId="77777777" w:rsidR="003C0A22" w:rsidRPr="00564620" w:rsidRDefault="003C0A22" w:rsidP="00B9762D">
            <w:pPr>
              <w:pStyle w:val="TableText"/>
            </w:pPr>
            <w:r w:rsidRPr="00564620">
              <w:t>SL.11-12.1</w:t>
            </w:r>
          </w:p>
        </w:tc>
        <w:tc>
          <w:tcPr>
            <w:tcW w:w="8124" w:type="dxa"/>
          </w:tcPr>
          <w:p w14:paraId="53D1ED82" w14:textId="77777777" w:rsidR="003C0A22" w:rsidRPr="00564620" w:rsidRDefault="003C0A22" w:rsidP="000B2D56">
            <w:pPr>
              <w:pStyle w:val="TableText"/>
            </w:pPr>
            <w:r w:rsidRPr="00564620">
              <w:t xml:space="preserve">Initiate and participate effectively in a range of collaborative discussions (one-on-one, in groups, and teacher-led) with diverse partners on </w:t>
            </w:r>
            <w:r w:rsidRPr="00564620">
              <w:rPr>
                <w:i/>
                <w:iCs/>
              </w:rPr>
              <w:t>grades 11–12 topics</w:t>
            </w:r>
            <w:r w:rsidRPr="00564620">
              <w:t xml:space="preserve">, </w:t>
            </w:r>
            <w:r w:rsidRPr="00564620">
              <w:rPr>
                <w:i/>
                <w:iCs/>
              </w:rPr>
              <w:t>texts</w:t>
            </w:r>
            <w:r w:rsidRPr="00564620">
              <w:t xml:space="preserve">, </w:t>
            </w:r>
            <w:r w:rsidRPr="00564620">
              <w:rPr>
                <w:i/>
                <w:iCs/>
              </w:rPr>
              <w:t>and issues</w:t>
            </w:r>
            <w:r w:rsidRPr="00564620">
              <w:t>, building on others’ ideas and expressing their own clearly and persuasively.</w:t>
            </w:r>
          </w:p>
        </w:tc>
      </w:tr>
    </w:tbl>
    <w:p w14:paraId="642F31B4" w14:textId="77777777" w:rsidR="00C4787C" w:rsidRPr="00564620" w:rsidRDefault="00C4787C" w:rsidP="00E32224">
      <w:pPr>
        <w:pStyle w:val="Heading1"/>
        <w:spacing w:before="360"/>
      </w:pPr>
      <w:r w:rsidRPr="00564620">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564620" w14:paraId="74B75F76" w14:textId="77777777">
        <w:tc>
          <w:tcPr>
            <w:tcW w:w="9478" w:type="dxa"/>
            <w:shd w:val="clear" w:color="auto" w:fill="76923C"/>
          </w:tcPr>
          <w:p w14:paraId="0192B85C" w14:textId="77777777" w:rsidR="00D920A6" w:rsidRPr="00564620" w:rsidRDefault="00D920A6" w:rsidP="00B00346">
            <w:pPr>
              <w:pStyle w:val="TableHeaders"/>
            </w:pPr>
            <w:r w:rsidRPr="00564620">
              <w:t>Assessment(s)</w:t>
            </w:r>
          </w:p>
        </w:tc>
      </w:tr>
      <w:tr w:rsidR="00B231AA" w:rsidRPr="00564620" w14:paraId="6C6D4CA2" w14:textId="77777777">
        <w:tc>
          <w:tcPr>
            <w:tcW w:w="9478" w:type="dxa"/>
            <w:tcBorders>
              <w:top w:val="single" w:sz="4" w:space="0" w:color="auto"/>
              <w:left w:val="single" w:sz="4" w:space="0" w:color="auto"/>
              <w:bottom w:val="single" w:sz="4" w:space="0" w:color="auto"/>
              <w:right w:val="single" w:sz="4" w:space="0" w:color="auto"/>
            </w:tcBorders>
          </w:tcPr>
          <w:p w14:paraId="39D61AFE" w14:textId="77777777" w:rsidR="00B9762D" w:rsidRPr="00564620" w:rsidRDefault="00B9762D" w:rsidP="00B9762D">
            <w:pPr>
              <w:pStyle w:val="TableText"/>
            </w:pPr>
            <w:r w:rsidRPr="00564620">
              <w:t xml:space="preserve">Student learning is assessed via completion of the Evidence-Based Arguments Checklist, which students submit along with their evaluation notes at the end of the lesson. </w:t>
            </w:r>
          </w:p>
          <w:p w14:paraId="65D661A8" w14:textId="77777777" w:rsidR="00B231AA" w:rsidRPr="00564620" w:rsidRDefault="00B9762D" w:rsidP="00B9762D">
            <w:pPr>
              <w:pStyle w:val="IN"/>
            </w:pPr>
            <w:r w:rsidRPr="00564620">
              <w:t>The Evidence-Based Arguments Checklist serves as the assessment for this lesson.</w:t>
            </w:r>
          </w:p>
        </w:tc>
      </w:tr>
      <w:tr w:rsidR="00263AF5" w:rsidRPr="00564620" w14:paraId="0749DF40" w14:textId="77777777">
        <w:tc>
          <w:tcPr>
            <w:tcW w:w="9478" w:type="dxa"/>
            <w:shd w:val="clear" w:color="auto" w:fill="76923C"/>
          </w:tcPr>
          <w:p w14:paraId="3821E48E" w14:textId="77777777" w:rsidR="00D920A6" w:rsidRPr="00564620" w:rsidRDefault="00D920A6" w:rsidP="00B00346">
            <w:pPr>
              <w:pStyle w:val="TableHeaders"/>
            </w:pPr>
            <w:r w:rsidRPr="00564620">
              <w:t>High Performance Response(s)</w:t>
            </w:r>
          </w:p>
        </w:tc>
      </w:tr>
      <w:tr w:rsidR="00D920A6" w:rsidRPr="00564620" w14:paraId="56F672B6" w14:textId="77777777">
        <w:tc>
          <w:tcPr>
            <w:tcW w:w="9478" w:type="dxa"/>
          </w:tcPr>
          <w:p w14:paraId="38064E8D" w14:textId="3DA513AE" w:rsidR="00BE4EBD" w:rsidRPr="00564620" w:rsidRDefault="000B2D56" w:rsidP="008151E5">
            <w:pPr>
              <w:pStyle w:val="TableText"/>
            </w:pPr>
            <w:r w:rsidRPr="00564620">
              <w:t xml:space="preserve">A </w:t>
            </w:r>
            <w:r w:rsidR="007D63A3" w:rsidRPr="00564620">
              <w:t>H</w:t>
            </w:r>
            <w:r w:rsidR="00BE4EBD" w:rsidRPr="00564620">
              <w:t xml:space="preserve">igh </w:t>
            </w:r>
            <w:r w:rsidR="007D63A3" w:rsidRPr="00564620">
              <w:t>P</w:t>
            </w:r>
            <w:r w:rsidR="00BE4EBD" w:rsidRPr="00564620">
              <w:t xml:space="preserve">erformance </w:t>
            </w:r>
            <w:r w:rsidR="007D63A3" w:rsidRPr="00564620">
              <w:t>R</w:t>
            </w:r>
            <w:r w:rsidR="00850CE6" w:rsidRPr="00564620">
              <w:t>esponse</w:t>
            </w:r>
            <w:r w:rsidR="00BE4EBD" w:rsidRPr="00564620">
              <w:t xml:space="preserve"> </w:t>
            </w:r>
            <w:r w:rsidR="00553ACA" w:rsidRPr="00564620">
              <w:t>should</w:t>
            </w:r>
            <w:r w:rsidR="00771089">
              <w:t xml:space="preserve"> include</w:t>
            </w:r>
            <w:r w:rsidR="00BE4EBD" w:rsidRPr="00564620">
              <w:t>:</w:t>
            </w:r>
          </w:p>
          <w:p w14:paraId="650048D1" w14:textId="77777777" w:rsidR="00D920A6" w:rsidRPr="00564620" w:rsidRDefault="00B9762D" w:rsidP="00064850">
            <w:pPr>
              <w:pStyle w:val="BulletedList"/>
            </w:pPr>
            <w:r w:rsidRPr="00564620">
              <w:t>See the Model Evidence-Based Arguments Checklist.</w:t>
            </w:r>
          </w:p>
        </w:tc>
      </w:tr>
    </w:tbl>
    <w:p w14:paraId="479B8277" w14:textId="77777777" w:rsidR="00C4787C" w:rsidRPr="00564620" w:rsidRDefault="00C4787C" w:rsidP="00E32224">
      <w:pPr>
        <w:pStyle w:val="Heading1"/>
        <w:spacing w:before="360"/>
      </w:pPr>
      <w:r w:rsidRPr="00564620">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564620" w14:paraId="0717622D" w14:textId="77777777">
        <w:tc>
          <w:tcPr>
            <w:tcW w:w="9450" w:type="dxa"/>
            <w:shd w:val="clear" w:color="auto" w:fill="76923C"/>
          </w:tcPr>
          <w:p w14:paraId="33E8DA9C" w14:textId="77777777" w:rsidR="00D920A6" w:rsidRPr="00564620" w:rsidRDefault="00F308FF" w:rsidP="00B00346">
            <w:pPr>
              <w:pStyle w:val="TableHeaders"/>
            </w:pPr>
            <w:r w:rsidRPr="00564620">
              <w:t>Vocabulary to provide directly (will not include extended instruction)</w:t>
            </w:r>
          </w:p>
        </w:tc>
      </w:tr>
      <w:tr w:rsidR="00D920A6" w:rsidRPr="00564620" w14:paraId="451D61D1" w14:textId="77777777">
        <w:tc>
          <w:tcPr>
            <w:tcW w:w="9450" w:type="dxa"/>
          </w:tcPr>
          <w:p w14:paraId="271E011C" w14:textId="77777777" w:rsidR="000B2D56" w:rsidRPr="00564620" w:rsidRDefault="00B9762D" w:rsidP="000B2D56">
            <w:pPr>
              <w:pStyle w:val="BulletedList"/>
            </w:pPr>
            <w:r w:rsidRPr="00564620">
              <w:t>None.*</w:t>
            </w:r>
          </w:p>
        </w:tc>
      </w:tr>
      <w:tr w:rsidR="00263AF5" w:rsidRPr="00564620" w14:paraId="5E4881B9" w14:textId="77777777">
        <w:tc>
          <w:tcPr>
            <w:tcW w:w="9450" w:type="dxa"/>
            <w:shd w:val="clear" w:color="auto" w:fill="76923C"/>
          </w:tcPr>
          <w:p w14:paraId="133E762E" w14:textId="77777777" w:rsidR="00D920A6" w:rsidRPr="00564620" w:rsidRDefault="00BA46CB" w:rsidP="00B00346">
            <w:pPr>
              <w:pStyle w:val="TableHeaders"/>
            </w:pPr>
            <w:r w:rsidRPr="00564620">
              <w:t>Vocabulary to teach (may include direct word work and/or questions)</w:t>
            </w:r>
          </w:p>
        </w:tc>
      </w:tr>
      <w:tr w:rsidR="00B231AA" w:rsidRPr="00564620" w14:paraId="50267BB9" w14:textId="77777777">
        <w:tc>
          <w:tcPr>
            <w:tcW w:w="9450" w:type="dxa"/>
          </w:tcPr>
          <w:p w14:paraId="1EA58D32" w14:textId="77777777" w:rsidR="00B231AA" w:rsidRPr="00564620" w:rsidRDefault="00B9762D" w:rsidP="000B2D56">
            <w:pPr>
              <w:pStyle w:val="BulletedList"/>
            </w:pPr>
            <w:r w:rsidRPr="00564620">
              <w:t>None.*</w:t>
            </w:r>
          </w:p>
        </w:tc>
      </w:tr>
      <w:tr w:rsidR="003B39EF" w:rsidRPr="00790BCC" w14:paraId="629BAE1A" w14:textId="77777777" w:rsidTr="00A03924">
        <w:tc>
          <w:tcPr>
            <w:tcW w:w="9450" w:type="dxa"/>
            <w:tcBorders>
              <w:top w:val="single" w:sz="4" w:space="0" w:color="auto"/>
              <w:left w:val="single" w:sz="4" w:space="0" w:color="auto"/>
              <w:bottom w:val="single" w:sz="4" w:space="0" w:color="auto"/>
              <w:right w:val="single" w:sz="4" w:space="0" w:color="auto"/>
            </w:tcBorders>
            <w:shd w:val="clear" w:color="auto" w:fill="76923C"/>
          </w:tcPr>
          <w:p w14:paraId="3F029F07" w14:textId="77777777" w:rsidR="003B39EF" w:rsidRPr="00790BCC" w:rsidRDefault="003B39EF" w:rsidP="00A03924">
            <w:pPr>
              <w:pStyle w:val="TableHeaders"/>
            </w:pPr>
            <w:r w:rsidRPr="00790BCC">
              <w:t>Additional vocabulary to support English Language Learners (to provide directly)</w:t>
            </w:r>
          </w:p>
        </w:tc>
      </w:tr>
      <w:tr w:rsidR="003B39EF" w:rsidRPr="0019469B" w14:paraId="1B8BF3EF" w14:textId="77777777" w:rsidTr="00A03924">
        <w:tc>
          <w:tcPr>
            <w:tcW w:w="9450" w:type="dxa"/>
          </w:tcPr>
          <w:p w14:paraId="0972FE21" w14:textId="77777777" w:rsidR="003B39EF" w:rsidRPr="0019469B" w:rsidRDefault="003B39EF" w:rsidP="003B39EF">
            <w:pPr>
              <w:pStyle w:val="BulletedList"/>
            </w:pPr>
            <w:r>
              <w:t>None.*</w:t>
            </w:r>
          </w:p>
        </w:tc>
      </w:tr>
    </w:tbl>
    <w:p w14:paraId="6F6549C3" w14:textId="77777777" w:rsidR="00B9762D" w:rsidRPr="00564620" w:rsidRDefault="00B9762D" w:rsidP="00B9762D">
      <w:pPr>
        <w:rPr>
          <w:sz w:val="18"/>
          <w:szCs w:val="18"/>
        </w:rPr>
      </w:pPr>
      <w:r w:rsidRPr="00564620">
        <w:rPr>
          <w:sz w:val="18"/>
          <w:szCs w:val="18"/>
        </w:rPr>
        <w:t>*In their research and reading, students will encounter domain-specific vocabulary related to their individual research questions/problems. Students will track some of this vocabulary in their vocabulary journals when conducting independent searches during class and for homework.</w:t>
      </w:r>
    </w:p>
    <w:p w14:paraId="1BCBAAB7" w14:textId="77777777" w:rsidR="00C4787C" w:rsidRPr="00564620" w:rsidRDefault="00C4787C" w:rsidP="00E32224">
      <w:pPr>
        <w:pStyle w:val="Heading1"/>
        <w:spacing w:before="240"/>
      </w:pPr>
      <w:r w:rsidRPr="00564620">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564620" w14:paraId="500F1F64" w14:textId="77777777">
        <w:tc>
          <w:tcPr>
            <w:tcW w:w="7830" w:type="dxa"/>
            <w:tcBorders>
              <w:bottom w:val="single" w:sz="4" w:space="0" w:color="auto"/>
            </w:tcBorders>
            <w:shd w:val="clear" w:color="auto" w:fill="76923C"/>
          </w:tcPr>
          <w:p w14:paraId="6F60DF1B" w14:textId="77777777" w:rsidR="00730123" w:rsidRPr="00564620" w:rsidRDefault="00730123" w:rsidP="00B00346">
            <w:pPr>
              <w:pStyle w:val="TableHeaders"/>
            </w:pPr>
            <w:r w:rsidRPr="00564620">
              <w:t>Student-Facing Agenda</w:t>
            </w:r>
          </w:p>
        </w:tc>
        <w:tc>
          <w:tcPr>
            <w:tcW w:w="1638" w:type="dxa"/>
            <w:tcBorders>
              <w:bottom w:val="single" w:sz="4" w:space="0" w:color="auto"/>
            </w:tcBorders>
            <w:shd w:val="clear" w:color="auto" w:fill="76923C"/>
          </w:tcPr>
          <w:p w14:paraId="725C0A96" w14:textId="77777777" w:rsidR="00730123" w:rsidRPr="00564620" w:rsidRDefault="00730123" w:rsidP="00B00346">
            <w:pPr>
              <w:pStyle w:val="TableHeaders"/>
            </w:pPr>
            <w:r w:rsidRPr="00564620">
              <w:t>% of Lesson</w:t>
            </w:r>
          </w:p>
        </w:tc>
      </w:tr>
      <w:tr w:rsidR="00730123" w:rsidRPr="00564620" w14:paraId="23015E81" w14:textId="77777777">
        <w:trPr>
          <w:trHeight w:val="1313"/>
        </w:trPr>
        <w:tc>
          <w:tcPr>
            <w:tcW w:w="7830" w:type="dxa"/>
            <w:tcBorders>
              <w:bottom w:val="nil"/>
            </w:tcBorders>
          </w:tcPr>
          <w:p w14:paraId="6F3425C1" w14:textId="77777777" w:rsidR="005F5D35" w:rsidRPr="00564620" w:rsidRDefault="005F5D35" w:rsidP="000B2D56">
            <w:pPr>
              <w:pStyle w:val="TableText"/>
              <w:rPr>
                <w:b/>
              </w:rPr>
            </w:pPr>
            <w:r w:rsidRPr="00564620">
              <w:rPr>
                <w:b/>
              </w:rPr>
              <w:t>Standards &amp; Text:</w:t>
            </w:r>
          </w:p>
          <w:p w14:paraId="3E994291" w14:textId="77777777" w:rsidR="008151E5" w:rsidRPr="00564620" w:rsidRDefault="00BE4EBD" w:rsidP="00440AFB">
            <w:pPr>
              <w:pStyle w:val="BulletedList"/>
            </w:pPr>
            <w:r w:rsidRPr="00564620">
              <w:t xml:space="preserve">Standards: </w:t>
            </w:r>
            <w:r w:rsidR="0026372B" w:rsidRPr="00564620">
              <w:t>CCRA.</w:t>
            </w:r>
            <w:r w:rsidR="00C74E34">
              <w:t>R.</w:t>
            </w:r>
            <w:r w:rsidR="0026372B" w:rsidRPr="00564620">
              <w:t>8, W.11-12</w:t>
            </w:r>
            <w:r w:rsidR="00371280" w:rsidRPr="00564620">
              <w:t>.</w:t>
            </w:r>
            <w:r w:rsidR="00C74E34">
              <w:t>8</w:t>
            </w:r>
            <w:r w:rsidR="0026372B" w:rsidRPr="00564620">
              <w:t>, W.11-12.</w:t>
            </w:r>
            <w:r w:rsidR="00C74E34">
              <w:t>7</w:t>
            </w:r>
            <w:r w:rsidR="0026372B" w:rsidRPr="00564620">
              <w:t>, SL.11-12.1</w:t>
            </w:r>
          </w:p>
          <w:p w14:paraId="189B8C6B" w14:textId="654CB15A" w:rsidR="00730123" w:rsidRPr="00564620" w:rsidRDefault="00E52A2C" w:rsidP="00440AFB">
            <w:pPr>
              <w:pStyle w:val="BulletedList"/>
            </w:pPr>
            <w:r w:rsidRPr="00564620">
              <w:t>Model Source Text</w:t>
            </w:r>
            <w:r w:rsidR="00DC605A">
              <w:t>s</w:t>
            </w:r>
            <w:r w:rsidRPr="00564620">
              <w:t xml:space="preserve">: </w:t>
            </w:r>
            <w:r w:rsidR="00E369DD">
              <w:br/>
            </w:r>
            <w:r w:rsidRPr="00564620">
              <w:t>“When The U.N. Fails, We All Do” by Fareed Zakaria</w:t>
            </w:r>
            <w:r w:rsidR="00DC605A">
              <w:t xml:space="preserve"> </w:t>
            </w:r>
            <w:r w:rsidR="00E369DD">
              <w:br/>
            </w:r>
            <w:r w:rsidR="00DC605A" w:rsidRPr="00DC605A">
              <w:t>“Why Genocide?” by Fred Edwords</w:t>
            </w:r>
            <w:r w:rsidR="00DC605A">
              <w:t xml:space="preserve"> (</w:t>
            </w:r>
            <w:hyperlink r:id="rId8" w:history="1">
              <w:r w:rsidR="00DC605A" w:rsidRPr="00CD645D">
                <w:rPr>
                  <w:rStyle w:val="Hyperlink"/>
                </w:rPr>
                <w:t>http://thehumanist.com</w:t>
              </w:r>
            </w:hyperlink>
            <w:r w:rsidR="00DC605A">
              <w:t xml:space="preserve">, also available on </w:t>
            </w:r>
            <w:hyperlink r:id="rId9" w:history="1">
              <w:r w:rsidR="00DC605A" w:rsidRPr="00CD645D">
                <w:rPr>
                  <w:rStyle w:val="Hyperlink"/>
                </w:rPr>
                <w:t>http://novelnewyork.org/</w:t>
              </w:r>
            </w:hyperlink>
            <w:r w:rsidR="00DC605A">
              <w:t>)</w:t>
            </w:r>
            <w:r w:rsidR="00DC605A" w:rsidRPr="00DC605A">
              <w:t xml:space="preserve"> </w:t>
            </w:r>
            <w:r w:rsidR="00DC605A">
              <w:br/>
            </w:r>
            <w:r w:rsidR="00DC605A" w:rsidRPr="00DC605A">
              <w:t>“After Rwanda’s Genocide” by The Editorial Board</w:t>
            </w:r>
            <w:r w:rsidR="00DC605A">
              <w:t xml:space="preserve"> (</w:t>
            </w:r>
            <w:hyperlink r:id="rId10" w:history="1">
              <w:r w:rsidR="00DC605A" w:rsidRPr="00CD645D">
                <w:rPr>
                  <w:rStyle w:val="Hyperlink"/>
                </w:rPr>
                <w:t>http://www.nytimes.com/2014/04/09/opinion/after-rwandas-genocide.html</w:t>
              </w:r>
            </w:hyperlink>
            <w:r w:rsidR="00DC605A">
              <w:t xml:space="preserve">, also available on </w:t>
            </w:r>
            <w:hyperlink r:id="rId11" w:history="1">
              <w:r w:rsidR="00DC605A" w:rsidRPr="00CD645D">
                <w:rPr>
                  <w:rStyle w:val="Hyperlink"/>
                </w:rPr>
                <w:t>http://novelnewyork.org/</w:t>
              </w:r>
            </w:hyperlink>
            <w:r w:rsidR="00DC605A">
              <w:t>)</w:t>
            </w:r>
            <w:r w:rsidR="00DC605A" w:rsidRPr="00DC605A">
              <w:t xml:space="preserve"> </w:t>
            </w:r>
            <w:r w:rsidR="00DC605A">
              <w:br/>
            </w:r>
            <w:r w:rsidR="00DC605A" w:rsidRPr="00DC605A">
              <w:t>“Bodies Count” by Aaron Rothstein</w:t>
            </w:r>
            <w:r w:rsidR="00DC605A">
              <w:t xml:space="preserve"> (</w:t>
            </w:r>
            <w:hyperlink r:id="rId12" w:history="1">
              <w:r w:rsidR="00DC605A" w:rsidRPr="00CD645D">
                <w:rPr>
                  <w:rStyle w:val="Hyperlink"/>
                </w:rPr>
                <w:t>http://www.weeklystandard.com/</w:t>
              </w:r>
            </w:hyperlink>
            <w:r w:rsidR="00DC605A">
              <w:t xml:space="preserve">) </w:t>
            </w:r>
            <w:r w:rsidR="00DC605A">
              <w:br/>
            </w:r>
            <w:r w:rsidR="00DC605A" w:rsidRPr="00DC605A">
              <w:t>“The Only Way To Prevent Genocide” by Tod Lindberg</w:t>
            </w:r>
            <w:r w:rsidR="00DC605A">
              <w:t xml:space="preserve"> (</w:t>
            </w:r>
            <w:hyperlink r:id="rId13" w:history="1">
              <w:r w:rsidR="00DC605A" w:rsidRPr="00CD645D">
                <w:rPr>
                  <w:rStyle w:val="Hyperlink"/>
                </w:rPr>
                <w:t>http://www.commentarymagazine.com/</w:t>
              </w:r>
            </w:hyperlink>
            <w:r w:rsidR="00DC605A">
              <w:t xml:space="preserve">, also available on </w:t>
            </w:r>
            <w:hyperlink r:id="rId14" w:history="1">
              <w:r w:rsidR="00DC605A" w:rsidRPr="00CD645D">
                <w:rPr>
                  <w:rStyle w:val="Hyperlink"/>
                </w:rPr>
                <w:t>http://novelnewyork.org/</w:t>
              </w:r>
            </w:hyperlink>
            <w:r w:rsidR="00DC605A">
              <w:t xml:space="preserve">) </w:t>
            </w:r>
          </w:p>
        </w:tc>
        <w:tc>
          <w:tcPr>
            <w:tcW w:w="1638" w:type="dxa"/>
            <w:tcBorders>
              <w:bottom w:val="nil"/>
            </w:tcBorders>
          </w:tcPr>
          <w:p w14:paraId="2266B340" w14:textId="77777777" w:rsidR="00C07D88" w:rsidRPr="00564620" w:rsidRDefault="00C07D88" w:rsidP="00E946A0"/>
          <w:p w14:paraId="58F75193" w14:textId="77777777" w:rsidR="00AF5A63" w:rsidRPr="00564620" w:rsidRDefault="00AF5A63" w:rsidP="00546D71">
            <w:pPr>
              <w:pStyle w:val="NumberedList"/>
              <w:numPr>
                <w:ilvl w:val="0"/>
                <w:numId w:val="0"/>
              </w:numPr>
            </w:pPr>
          </w:p>
        </w:tc>
      </w:tr>
      <w:tr w:rsidR="00546D71" w:rsidRPr="00564620" w14:paraId="3A05FCE1" w14:textId="77777777">
        <w:tc>
          <w:tcPr>
            <w:tcW w:w="7830" w:type="dxa"/>
            <w:tcBorders>
              <w:top w:val="nil"/>
            </w:tcBorders>
          </w:tcPr>
          <w:p w14:paraId="06933623" w14:textId="77777777" w:rsidR="00546D71" w:rsidRPr="00564620" w:rsidRDefault="00546D71" w:rsidP="000B2D56">
            <w:pPr>
              <w:pStyle w:val="TableText"/>
              <w:rPr>
                <w:b/>
              </w:rPr>
            </w:pPr>
            <w:r w:rsidRPr="00564620">
              <w:rPr>
                <w:b/>
              </w:rPr>
              <w:t>Learning Sequence:</w:t>
            </w:r>
          </w:p>
          <w:p w14:paraId="589083D4" w14:textId="77777777" w:rsidR="002514C3" w:rsidRPr="00564620" w:rsidRDefault="002514C3" w:rsidP="002514C3">
            <w:pPr>
              <w:pStyle w:val="NumberedList"/>
            </w:pPr>
            <w:r w:rsidRPr="00564620">
              <w:t>Introduction of Lesson Agenda</w:t>
            </w:r>
          </w:p>
          <w:p w14:paraId="3B1E2ED0" w14:textId="77777777" w:rsidR="002514C3" w:rsidRPr="00564620" w:rsidRDefault="002514C3" w:rsidP="002514C3">
            <w:pPr>
              <w:pStyle w:val="NumberedList"/>
            </w:pPr>
            <w:r w:rsidRPr="00564620">
              <w:t>Homework Accountability</w:t>
            </w:r>
          </w:p>
          <w:p w14:paraId="0FF6B064" w14:textId="77777777" w:rsidR="002514C3" w:rsidRPr="00564620" w:rsidRDefault="002514C3" w:rsidP="002514C3">
            <w:pPr>
              <w:pStyle w:val="NumberedList"/>
            </w:pPr>
            <w:r w:rsidRPr="00564620">
              <w:t>Compelling Arguments</w:t>
            </w:r>
            <w:r w:rsidR="00C74E34">
              <w:t xml:space="preserve"> Discussion</w:t>
            </w:r>
          </w:p>
          <w:p w14:paraId="05D9A31B" w14:textId="77777777" w:rsidR="002514C3" w:rsidRPr="00564620" w:rsidRDefault="002514C3" w:rsidP="002514C3">
            <w:pPr>
              <w:pStyle w:val="NumberedList"/>
            </w:pPr>
            <w:r w:rsidRPr="00564620">
              <w:t>Evidence-Based Arguments Checklist</w:t>
            </w:r>
          </w:p>
          <w:p w14:paraId="0952EDD2" w14:textId="77777777" w:rsidR="002514C3" w:rsidRPr="00564620" w:rsidRDefault="002514C3" w:rsidP="002514C3">
            <w:pPr>
              <w:pStyle w:val="NumberedList"/>
            </w:pPr>
            <w:r w:rsidRPr="00564620">
              <w:t>Argument</w:t>
            </w:r>
            <w:r w:rsidR="00C74E34">
              <w:t xml:space="preserve"> Evaluation Activity</w:t>
            </w:r>
            <w:r w:rsidRPr="00564620">
              <w:t xml:space="preserve"> and Assessment</w:t>
            </w:r>
          </w:p>
          <w:p w14:paraId="4D7A4ECE" w14:textId="77777777" w:rsidR="00546D71" w:rsidRPr="00564620" w:rsidRDefault="002514C3" w:rsidP="002514C3">
            <w:pPr>
              <w:pStyle w:val="NumberedList"/>
            </w:pPr>
            <w:r w:rsidRPr="00564620">
              <w:t>Closing</w:t>
            </w:r>
          </w:p>
        </w:tc>
        <w:tc>
          <w:tcPr>
            <w:tcW w:w="1638" w:type="dxa"/>
            <w:tcBorders>
              <w:top w:val="nil"/>
            </w:tcBorders>
          </w:tcPr>
          <w:p w14:paraId="682E138B" w14:textId="77777777" w:rsidR="00546D71" w:rsidRPr="00564620" w:rsidRDefault="00546D71" w:rsidP="000B2D56">
            <w:pPr>
              <w:pStyle w:val="TableText"/>
            </w:pPr>
          </w:p>
          <w:p w14:paraId="4AB0AC1D" w14:textId="77777777" w:rsidR="002514C3" w:rsidRPr="00564620" w:rsidRDefault="002514C3" w:rsidP="002514C3">
            <w:pPr>
              <w:pStyle w:val="NumberedList"/>
              <w:numPr>
                <w:ilvl w:val="0"/>
                <w:numId w:val="39"/>
              </w:numPr>
            </w:pPr>
            <w:r w:rsidRPr="00564620">
              <w:t>5%</w:t>
            </w:r>
          </w:p>
          <w:p w14:paraId="76C7AE99" w14:textId="77777777" w:rsidR="002514C3" w:rsidRPr="00564620" w:rsidRDefault="002514C3" w:rsidP="002514C3">
            <w:pPr>
              <w:pStyle w:val="NumberedList"/>
            </w:pPr>
            <w:r w:rsidRPr="00564620">
              <w:t>10%</w:t>
            </w:r>
          </w:p>
          <w:p w14:paraId="65820A28" w14:textId="77777777" w:rsidR="002514C3" w:rsidRPr="00564620" w:rsidRDefault="002514C3" w:rsidP="002514C3">
            <w:pPr>
              <w:pStyle w:val="NumberedList"/>
            </w:pPr>
            <w:r w:rsidRPr="00564620">
              <w:t>20%</w:t>
            </w:r>
          </w:p>
          <w:p w14:paraId="48CC93FF" w14:textId="77777777" w:rsidR="002514C3" w:rsidRPr="00564620" w:rsidRDefault="002514C3" w:rsidP="002514C3">
            <w:pPr>
              <w:pStyle w:val="NumberedList"/>
            </w:pPr>
            <w:r w:rsidRPr="00564620">
              <w:t>30%</w:t>
            </w:r>
          </w:p>
          <w:p w14:paraId="6B5673F4" w14:textId="77777777" w:rsidR="002514C3" w:rsidRPr="00564620" w:rsidRDefault="002514C3" w:rsidP="002514C3">
            <w:pPr>
              <w:pStyle w:val="NumberedList"/>
            </w:pPr>
            <w:r w:rsidRPr="00564620">
              <w:t>30%</w:t>
            </w:r>
          </w:p>
          <w:p w14:paraId="6EAB3B11" w14:textId="77777777" w:rsidR="00546D71" w:rsidRPr="00564620" w:rsidRDefault="002514C3" w:rsidP="002514C3">
            <w:pPr>
              <w:pStyle w:val="NumberedList"/>
            </w:pPr>
            <w:r w:rsidRPr="00564620">
              <w:t>5%</w:t>
            </w:r>
          </w:p>
        </w:tc>
      </w:tr>
    </w:tbl>
    <w:p w14:paraId="12C30767" w14:textId="77777777" w:rsidR="003368BF" w:rsidRPr="00564620" w:rsidRDefault="00F308FF" w:rsidP="00E946A0">
      <w:pPr>
        <w:pStyle w:val="Heading1"/>
      </w:pPr>
      <w:r w:rsidRPr="00564620">
        <w:t>Materials</w:t>
      </w:r>
    </w:p>
    <w:p w14:paraId="5EFFAEB7" w14:textId="2D0EE254" w:rsidR="002514C3" w:rsidRPr="00626E7E" w:rsidRDefault="008A4564" w:rsidP="00626E7E">
      <w:pPr>
        <w:pStyle w:val="BulletedList"/>
      </w:pPr>
      <w:r w:rsidRPr="00626E7E">
        <w:t>C</w:t>
      </w:r>
      <w:r w:rsidR="002514C3" w:rsidRPr="00626E7E">
        <w:t xml:space="preserve">opies of the Evidence-Based Arguments Checklist for each student </w:t>
      </w:r>
      <w:r w:rsidRPr="00626E7E">
        <w:t>(at least four copies each)</w:t>
      </w:r>
    </w:p>
    <w:p w14:paraId="23D7B379" w14:textId="77777777" w:rsidR="002514C3" w:rsidRPr="00626E7E" w:rsidRDefault="002514C3" w:rsidP="00626E7E">
      <w:pPr>
        <w:pStyle w:val="BulletedList"/>
      </w:pPr>
      <w:r w:rsidRPr="00626E7E">
        <w:t>Research Portfolios</w:t>
      </w:r>
      <w:r w:rsidR="0026372B" w:rsidRPr="00626E7E">
        <w:t xml:space="preserve"> (refer to 11</w:t>
      </w:r>
      <w:r w:rsidRPr="00626E7E">
        <w:t>.3.2 Lesson 1)</w:t>
      </w:r>
    </w:p>
    <w:p w14:paraId="250CFB4E" w14:textId="77777777" w:rsidR="002514C3" w:rsidRPr="00626E7E" w:rsidRDefault="002514C3" w:rsidP="00626E7E">
      <w:pPr>
        <w:pStyle w:val="BulletedList"/>
      </w:pPr>
      <w:r w:rsidRPr="00626E7E">
        <w:t>Chart paper</w:t>
      </w:r>
    </w:p>
    <w:p w14:paraId="7E11AAB6" w14:textId="77777777" w:rsidR="00C4787C" w:rsidRPr="00564620" w:rsidRDefault="00C4787C" w:rsidP="00E946A0">
      <w:pPr>
        <w:pStyle w:val="Heading1"/>
      </w:pPr>
      <w:r w:rsidRPr="00564620">
        <w:t>Learning Sequence</w:t>
      </w:r>
    </w:p>
    <w:tbl>
      <w:tblPr>
        <w:tblStyle w:val="TableGrid"/>
        <w:tblW w:w="936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466"/>
      </w:tblGrid>
      <w:tr w:rsidR="00546D71" w:rsidRPr="00564620" w14:paraId="4DF25562" w14:textId="77777777">
        <w:tc>
          <w:tcPr>
            <w:tcW w:w="9468" w:type="dxa"/>
            <w:gridSpan w:val="2"/>
            <w:shd w:val="clear" w:color="auto" w:fill="76923C" w:themeFill="accent3" w:themeFillShade="BF"/>
          </w:tcPr>
          <w:p w14:paraId="06CEFDFC" w14:textId="77777777" w:rsidR="00546D71" w:rsidRPr="00564620" w:rsidRDefault="00546D71" w:rsidP="00B00346">
            <w:pPr>
              <w:pStyle w:val="TableHeaders"/>
            </w:pPr>
            <w:r w:rsidRPr="00564620">
              <w:t>How to Use the Learning Sequence</w:t>
            </w:r>
          </w:p>
        </w:tc>
      </w:tr>
      <w:tr w:rsidR="00546D71" w:rsidRPr="00564620" w14:paraId="4F8B4EED" w14:textId="77777777">
        <w:tc>
          <w:tcPr>
            <w:tcW w:w="894" w:type="dxa"/>
            <w:shd w:val="clear" w:color="auto" w:fill="76923C" w:themeFill="accent3" w:themeFillShade="BF"/>
          </w:tcPr>
          <w:p w14:paraId="64C26A37" w14:textId="77777777" w:rsidR="00546D71" w:rsidRPr="00564620" w:rsidRDefault="00546D71" w:rsidP="00B00346">
            <w:pPr>
              <w:pStyle w:val="TableHeaders"/>
            </w:pPr>
            <w:r w:rsidRPr="00564620">
              <w:t>Symbol</w:t>
            </w:r>
          </w:p>
        </w:tc>
        <w:tc>
          <w:tcPr>
            <w:tcW w:w="8574" w:type="dxa"/>
            <w:shd w:val="clear" w:color="auto" w:fill="76923C" w:themeFill="accent3" w:themeFillShade="BF"/>
          </w:tcPr>
          <w:p w14:paraId="1171A31D" w14:textId="77777777" w:rsidR="00546D71" w:rsidRPr="00564620" w:rsidRDefault="00546D71" w:rsidP="00B00346">
            <w:pPr>
              <w:pStyle w:val="TableHeaders"/>
            </w:pPr>
            <w:r w:rsidRPr="00564620">
              <w:t>Type of Text &amp; Interpretation of the Symbol</w:t>
            </w:r>
          </w:p>
        </w:tc>
      </w:tr>
      <w:tr w:rsidR="00546D71" w:rsidRPr="00564620" w14:paraId="1C1EB2E7" w14:textId="77777777">
        <w:tc>
          <w:tcPr>
            <w:tcW w:w="894" w:type="dxa"/>
          </w:tcPr>
          <w:p w14:paraId="2E5FA733" w14:textId="77777777" w:rsidR="00546D71" w:rsidRPr="00564620" w:rsidRDefault="00546D71" w:rsidP="002514C3">
            <w:pPr>
              <w:spacing w:before="20" w:after="20" w:line="240" w:lineRule="auto"/>
              <w:jc w:val="center"/>
              <w:rPr>
                <w:rFonts w:asciiTheme="minorHAnsi" w:hAnsiTheme="minorHAnsi"/>
                <w:b/>
                <w:color w:val="4F81BD" w:themeColor="accent1"/>
                <w:sz w:val="20"/>
              </w:rPr>
            </w:pPr>
            <w:r w:rsidRPr="00564620">
              <w:rPr>
                <w:rFonts w:asciiTheme="minorHAnsi" w:hAnsiTheme="minorHAnsi"/>
                <w:b/>
                <w:color w:val="4F81BD" w:themeColor="accent1"/>
                <w:sz w:val="20"/>
              </w:rPr>
              <w:t>10%</w:t>
            </w:r>
          </w:p>
        </w:tc>
        <w:tc>
          <w:tcPr>
            <w:tcW w:w="8574" w:type="dxa"/>
          </w:tcPr>
          <w:p w14:paraId="269E25D9" w14:textId="345BE148" w:rsidR="00546D71" w:rsidRPr="00564620" w:rsidRDefault="00546D71" w:rsidP="002514C3">
            <w:pPr>
              <w:spacing w:before="20" w:after="20" w:line="240" w:lineRule="auto"/>
              <w:rPr>
                <w:rFonts w:asciiTheme="minorHAnsi" w:hAnsiTheme="minorHAnsi"/>
                <w:b/>
                <w:color w:val="4F81BD" w:themeColor="accent1"/>
                <w:sz w:val="20"/>
              </w:rPr>
            </w:pPr>
            <w:r w:rsidRPr="00564620">
              <w:rPr>
                <w:rFonts w:asciiTheme="minorHAnsi" w:hAnsiTheme="minorHAnsi"/>
                <w:b/>
                <w:color w:val="4F81BD" w:themeColor="accent1"/>
                <w:sz w:val="20"/>
              </w:rPr>
              <w:t>Percentage</w:t>
            </w:r>
            <w:r w:rsidR="00B82C06">
              <w:rPr>
                <w:rFonts w:asciiTheme="minorHAnsi" w:hAnsiTheme="minorHAnsi"/>
                <w:b/>
                <w:color w:val="4F81BD" w:themeColor="accent1"/>
                <w:sz w:val="20"/>
              </w:rPr>
              <w:t xml:space="preserve"> indicates</w:t>
            </w:r>
            <w:r w:rsidRPr="00564620">
              <w:rPr>
                <w:rFonts w:asciiTheme="minorHAnsi" w:hAnsiTheme="minorHAnsi"/>
                <w:b/>
                <w:color w:val="4F81BD" w:themeColor="accent1"/>
                <w:sz w:val="20"/>
              </w:rPr>
              <w:t xml:space="preserve"> the percentage of lesson time each activity should take.</w:t>
            </w:r>
          </w:p>
        </w:tc>
      </w:tr>
      <w:tr w:rsidR="00A948B3" w:rsidRPr="00564620" w14:paraId="3D515C19" w14:textId="77777777">
        <w:tc>
          <w:tcPr>
            <w:tcW w:w="894" w:type="dxa"/>
            <w:vMerge w:val="restart"/>
            <w:vAlign w:val="center"/>
          </w:tcPr>
          <w:p w14:paraId="60C1FCD1" w14:textId="77777777" w:rsidR="00A948B3" w:rsidRPr="00564620" w:rsidRDefault="0097223B" w:rsidP="00A948B3">
            <w:pPr>
              <w:spacing w:before="20" w:after="20" w:line="240" w:lineRule="auto"/>
              <w:jc w:val="center"/>
              <w:rPr>
                <w:sz w:val="18"/>
              </w:rPr>
            </w:pPr>
            <w:r w:rsidRPr="00564620">
              <w:rPr>
                <w:sz w:val="18"/>
              </w:rPr>
              <w:t>n</w:t>
            </w:r>
            <w:r w:rsidR="00A948B3" w:rsidRPr="00564620">
              <w:rPr>
                <w:sz w:val="18"/>
              </w:rPr>
              <w:t>o symbol</w:t>
            </w:r>
          </w:p>
        </w:tc>
        <w:tc>
          <w:tcPr>
            <w:tcW w:w="8574" w:type="dxa"/>
          </w:tcPr>
          <w:p w14:paraId="0D0CC0E9" w14:textId="77777777" w:rsidR="00A948B3" w:rsidRPr="00564620" w:rsidRDefault="00A948B3" w:rsidP="002514C3">
            <w:pPr>
              <w:spacing w:before="20" w:after="20" w:line="240" w:lineRule="auto"/>
              <w:rPr>
                <w:sz w:val="20"/>
              </w:rPr>
            </w:pPr>
            <w:r w:rsidRPr="00564620">
              <w:rPr>
                <w:sz w:val="20"/>
              </w:rPr>
              <w:t>Plain text indicates teacher action.</w:t>
            </w:r>
          </w:p>
        </w:tc>
      </w:tr>
      <w:tr w:rsidR="00A948B3" w:rsidRPr="00564620" w14:paraId="48CCD4E1" w14:textId="77777777">
        <w:tc>
          <w:tcPr>
            <w:tcW w:w="894" w:type="dxa"/>
            <w:vMerge/>
          </w:tcPr>
          <w:p w14:paraId="7547006C" w14:textId="77777777" w:rsidR="00A948B3" w:rsidRPr="00564620" w:rsidRDefault="00A948B3" w:rsidP="002514C3">
            <w:pPr>
              <w:spacing w:before="20" w:after="20" w:line="240" w:lineRule="auto"/>
              <w:jc w:val="center"/>
              <w:rPr>
                <w:b/>
                <w:color w:val="000000" w:themeColor="text1"/>
                <w:sz w:val="20"/>
              </w:rPr>
            </w:pPr>
          </w:p>
        </w:tc>
        <w:tc>
          <w:tcPr>
            <w:tcW w:w="8574" w:type="dxa"/>
          </w:tcPr>
          <w:p w14:paraId="3FE82B2B" w14:textId="77777777" w:rsidR="00A948B3" w:rsidRPr="00564620" w:rsidRDefault="00BA46CB" w:rsidP="00A948B3">
            <w:pPr>
              <w:spacing w:before="20" w:after="20" w:line="240" w:lineRule="auto"/>
              <w:rPr>
                <w:color w:val="4F81BD" w:themeColor="accent1"/>
                <w:sz w:val="20"/>
              </w:rPr>
            </w:pPr>
            <w:r w:rsidRPr="00564620">
              <w:rPr>
                <w:b/>
                <w:sz w:val="20"/>
              </w:rPr>
              <w:t>Bold text indicates questions for the teacher to ask students.</w:t>
            </w:r>
          </w:p>
        </w:tc>
      </w:tr>
      <w:tr w:rsidR="00A948B3" w:rsidRPr="00564620" w14:paraId="6AC1C595" w14:textId="77777777">
        <w:tc>
          <w:tcPr>
            <w:tcW w:w="894" w:type="dxa"/>
            <w:vMerge/>
          </w:tcPr>
          <w:p w14:paraId="750FA7C8" w14:textId="77777777" w:rsidR="00A948B3" w:rsidRPr="00564620" w:rsidRDefault="00A948B3" w:rsidP="002514C3">
            <w:pPr>
              <w:spacing w:before="20" w:after="20" w:line="240" w:lineRule="auto"/>
              <w:jc w:val="center"/>
              <w:rPr>
                <w:b/>
                <w:color w:val="000000" w:themeColor="text1"/>
                <w:sz w:val="20"/>
              </w:rPr>
            </w:pPr>
          </w:p>
        </w:tc>
        <w:tc>
          <w:tcPr>
            <w:tcW w:w="8574" w:type="dxa"/>
          </w:tcPr>
          <w:p w14:paraId="74A4A102" w14:textId="77777777" w:rsidR="00A948B3" w:rsidRPr="00564620" w:rsidRDefault="00A948B3" w:rsidP="00A948B3">
            <w:pPr>
              <w:spacing w:before="20" w:after="20" w:line="240" w:lineRule="auto"/>
              <w:rPr>
                <w:i/>
                <w:sz w:val="20"/>
              </w:rPr>
            </w:pPr>
            <w:r w:rsidRPr="00564620">
              <w:rPr>
                <w:i/>
                <w:sz w:val="20"/>
              </w:rPr>
              <w:t>Italicized text indicates a vocabulary word.</w:t>
            </w:r>
          </w:p>
        </w:tc>
      </w:tr>
      <w:tr w:rsidR="00546D71" w:rsidRPr="00564620" w14:paraId="17DE5B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26C5C8B6" w14:textId="77777777" w:rsidR="00546D71" w:rsidRPr="00564620" w:rsidRDefault="00546D71" w:rsidP="002A5337">
            <w:pPr>
              <w:spacing w:before="40" w:after="0" w:line="240" w:lineRule="auto"/>
              <w:jc w:val="center"/>
              <w:rPr>
                <w:sz w:val="20"/>
              </w:rPr>
            </w:pPr>
            <w:r w:rsidRPr="00564620">
              <w:sym w:font="Webdings" w:char="F034"/>
            </w:r>
          </w:p>
        </w:tc>
        <w:tc>
          <w:tcPr>
            <w:tcW w:w="8574" w:type="dxa"/>
          </w:tcPr>
          <w:p w14:paraId="0CB1B0F5" w14:textId="77777777" w:rsidR="00546D71" w:rsidRPr="00564620" w:rsidRDefault="00546D71" w:rsidP="002514C3">
            <w:pPr>
              <w:spacing w:before="20" w:after="20" w:line="240" w:lineRule="auto"/>
              <w:rPr>
                <w:sz w:val="20"/>
              </w:rPr>
            </w:pPr>
            <w:r w:rsidRPr="00564620">
              <w:rPr>
                <w:sz w:val="20"/>
              </w:rPr>
              <w:t>Indicates student action(s).</w:t>
            </w:r>
          </w:p>
        </w:tc>
      </w:tr>
      <w:tr w:rsidR="00546D71" w:rsidRPr="00564620" w14:paraId="0329DA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486470CE" w14:textId="77777777" w:rsidR="00546D71" w:rsidRPr="00564620" w:rsidRDefault="00546D71" w:rsidP="002A5337">
            <w:pPr>
              <w:spacing w:before="80" w:after="0" w:line="240" w:lineRule="auto"/>
              <w:jc w:val="center"/>
              <w:rPr>
                <w:sz w:val="20"/>
              </w:rPr>
            </w:pPr>
            <w:r w:rsidRPr="00564620">
              <w:rPr>
                <w:sz w:val="20"/>
              </w:rPr>
              <w:sym w:font="Webdings" w:char="F028"/>
            </w:r>
          </w:p>
        </w:tc>
        <w:tc>
          <w:tcPr>
            <w:tcW w:w="8574" w:type="dxa"/>
          </w:tcPr>
          <w:p w14:paraId="50485D23" w14:textId="77777777" w:rsidR="00546D71" w:rsidRPr="00564620" w:rsidRDefault="00546D71" w:rsidP="002514C3">
            <w:pPr>
              <w:spacing w:before="20" w:after="20" w:line="240" w:lineRule="auto"/>
              <w:rPr>
                <w:sz w:val="20"/>
              </w:rPr>
            </w:pPr>
            <w:r w:rsidRPr="00564620">
              <w:rPr>
                <w:sz w:val="20"/>
              </w:rPr>
              <w:t>Indicates possible student response(s) to teacher questions.</w:t>
            </w:r>
          </w:p>
        </w:tc>
      </w:tr>
      <w:tr w:rsidR="00546D71" w:rsidRPr="00564620" w14:paraId="74EDE730" w14:textId="77777777">
        <w:tc>
          <w:tcPr>
            <w:tcW w:w="894" w:type="dxa"/>
            <w:vAlign w:val="bottom"/>
          </w:tcPr>
          <w:p w14:paraId="77ADC28A" w14:textId="77777777" w:rsidR="00546D71" w:rsidRPr="00564620" w:rsidRDefault="00546D71" w:rsidP="002A5337">
            <w:pPr>
              <w:spacing w:after="0" w:line="240" w:lineRule="auto"/>
              <w:jc w:val="center"/>
              <w:rPr>
                <w:color w:val="4F81BD" w:themeColor="accent1"/>
                <w:sz w:val="20"/>
              </w:rPr>
            </w:pPr>
            <w:r w:rsidRPr="00564620">
              <w:rPr>
                <w:color w:val="4F81BD" w:themeColor="accent1"/>
                <w:sz w:val="20"/>
              </w:rPr>
              <w:sym w:font="Webdings" w:char="F069"/>
            </w:r>
          </w:p>
        </w:tc>
        <w:tc>
          <w:tcPr>
            <w:tcW w:w="8574" w:type="dxa"/>
          </w:tcPr>
          <w:p w14:paraId="600D2FC1" w14:textId="77777777" w:rsidR="00546D71" w:rsidRPr="00564620" w:rsidRDefault="00546D71" w:rsidP="002514C3">
            <w:pPr>
              <w:spacing w:before="20" w:after="20" w:line="240" w:lineRule="auto"/>
              <w:rPr>
                <w:color w:val="4F81BD" w:themeColor="accent1"/>
                <w:sz w:val="20"/>
              </w:rPr>
            </w:pPr>
            <w:r w:rsidRPr="00564620">
              <w:rPr>
                <w:color w:val="4F81BD" w:themeColor="accent1"/>
                <w:sz w:val="20"/>
              </w:rPr>
              <w:t>Indicates instructional notes for the teacher.</w:t>
            </w:r>
          </w:p>
        </w:tc>
      </w:tr>
    </w:tbl>
    <w:p w14:paraId="65CB01BD" w14:textId="77777777" w:rsidR="00607856" w:rsidRPr="00564620" w:rsidRDefault="00BB27BA" w:rsidP="00CE2836">
      <w:pPr>
        <w:pStyle w:val="LearningSequenceHeader"/>
      </w:pPr>
      <w:r w:rsidRPr="00564620">
        <w:t>Activity 1</w:t>
      </w:r>
      <w:r w:rsidR="00607856" w:rsidRPr="00564620">
        <w:t xml:space="preserve">: </w:t>
      </w:r>
      <w:r w:rsidRPr="00564620">
        <w:t>Introduction of Lesson Agenda</w:t>
      </w:r>
      <w:r w:rsidR="00607856" w:rsidRPr="00564620">
        <w:tab/>
      </w:r>
      <w:r w:rsidRPr="00564620">
        <w:t>5</w:t>
      </w:r>
      <w:r w:rsidR="00607856" w:rsidRPr="00564620">
        <w:t>%</w:t>
      </w:r>
    </w:p>
    <w:p w14:paraId="380E9FAE" w14:textId="6580FD92" w:rsidR="002514C3" w:rsidRPr="00564620" w:rsidRDefault="002514C3" w:rsidP="002514C3">
      <w:pPr>
        <w:pStyle w:val="TA"/>
        <w:rPr>
          <w:rFonts w:asciiTheme="minorHAnsi" w:hAnsiTheme="minorHAnsi"/>
        </w:rPr>
      </w:pPr>
      <w:r w:rsidRPr="00564620">
        <w:rPr>
          <w:rFonts w:asciiTheme="minorHAnsi" w:hAnsiTheme="minorHAnsi"/>
        </w:rPr>
        <w:t xml:space="preserve">Begin by reviewing the </w:t>
      </w:r>
      <w:r w:rsidRPr="00564620">
        <w:t>agenda</w:t>
      </w:r>
      <w:r w:rsidRPr="00564620">
        <w:rPr>
          <w:rFonts w:asciiTheme="minorHAnsi" w:hAnsiTheme="minorHAnsi"/>
        </w:rPr>
        <w:t xml:space="preserve"> and assessed standards for this lesson: </w:t>
      </w:r>
      <w:r w:rsidR="0026372B" w:rsidRPr="00564620">
        <w:t>CCRA.</w:t>
      </w:r>
      <w:r w:rsidR="00E151C4">
        <w:t>R.8 and</w:t>
      </w:r>
      <w:r w:rsidR="0026372B" w:rsidRPr="00564620">
        <w:t xml:space="preserve"> </w:t>
      </w:r>
      <w:r w:rsidR="00B9762D" w:rsidRPr="00564620">
        <w:t>W.11-12.8</w:t>
      </w:r>
      <w:r w:rsidRPr="00564620">
        <w:rPr>
          <w:rFonts w:asciiTheme="minorHAnsi" w:hAnsiTheme="minorHAnsi"/>
        </w:rPr>
        <w:t xml:space="preserve">. </w:t>
      </w:r>
      <w:r w:rsidR="00647DA1">
        <w:rPr>
          <w:rFonts w:asciiTheme="minorHAnsi" w:hAnsiTheme="minorHAnsi"/>
        </w:rPr>
        <w:t>In this lesson, students</w:t>
      </w:r>
      <w:r w:rsidRPr="00564620">
        <w:rPr>
          <w:rFonts w:asciiTheme="minorHAnsi" w:hAnsiTheme="minorHAnsi"/>
        </w:rPr>
        <w:t xml:space="preserve"> focus on developing an understanding of evidence-based arguments by first examining a model argument as a class, </w:t>
      </w:r>
      <w:r w:rsidR="00647DA1">
        <w:rPr>
          <w:rFonts w:asciiTheme="minorHAnsi" w:hAnsiTheme="minorHAnsi"/>
        </w:rPr>
        <w:t xml:space="preserve">and </w:t>
      </w:r>
      <w:r w:rsidRPr="00564620">
        <w:rPr>
          <w:rFonts w:asciiTheme="minorHAnsi" w:hAnsiTheme="minorHAnsi"/>
        </w:rPr>
        <w:t xml:space="preserve">then working in groups to complete an </w:t>
      </w:r>
      <w:r w:rsidRPr="00564620">
        <w:t xml:space="preserve">Evidence-Based Arguments Checklist. Students work collaboratively in groups to identify the components of a compelling argument. Students complete their Evidence-Based Arguments Checklist as the culmination of the group work in this lesson. This completed Evidence-Based Arguments Checklist serves as the assessment for this lesson. </w:t>
      </w:r>
    </w:p>
    <w:p w14:paraId="24109EE5" w14:textId="77777777" w:rsidR="00B00346" w:rsidRPr="00564620" w:rsidRDefault="002514C3" w:rsidP="002514C3">
      <w:pPr>
        <w:pStyle w:val="SA"/>
        <w:rPr>
          <w:rFonts w:asciiTheme="minorHAnsi" w:hAnsiTheme="minorHAnsi"/>
        </w:rPr>
      </w:pPr>
      <w:r w:rsidRPr="00564620">
        <w:t>Students look at the agenda.</w:t>
      </w:r>
    </w:p>
    <w:p w14:paraId="2CAC7203" w14:textId="77777777" w:rsidR="000B2D56" w:rsidRPr="00564620" w:rsidRDefault="000B2D56" w:rsidP="00CE2836">
      <w:pPr>
        <w:pStyle w:val="LearningSequenceHeader"/>
      </w:pPr>
      <w:r w:rsidRPr="00564620">
        <w:t>Activity 2: Homework Accountability</w:t>
      </w:r>
      <w:r w:rsidRPr="00564620">
        <w:tab/>
        <w:t>10%</w:t>
      </w:r>
    </w:p>
    <w:p w14:paraId="6E9EA71E" w14:textId="0F9C5C4B" w:rsidR="002514C3" w:rsidRPr="00564620" w:rsidRDefault="002514C3" w:rsidP="00D230E8">
      <w:pPr>
        <w:pStyle w:val="TA"/>
      </w:pPr>
      <w:r w:rsidRPr="00564620">
        <w:t>Instruct students to</w:t>
      </w:r>
      <w:r w:rsidR="00D230E8" w:rsidRPr="00564620">
        <w:t xml:space="preserve"> talk in pairs about their</w:t>
      </w:r>
      <w:r w:rsidRPr="00564620">
        <w:t xml:space="preserve"> homework from the previous lesson</w:t>
      </w:r>
      <w:r w:rsidR="00647DA1">
        <w:t>.</w:t>
      </w:r>
      <w:r w:rsidR="00070BC5" w:rsidRPr="00564620">
        <w:t xml:space="preserve"> (</w:t>
      </w:r>
      <w:r w:rsidR="00070BC5" w:rsidRPr="00564620">
        <w:rPr>
          <w:rFonts w:cs="Arial"/>
          <w:color w:val="222222"/>
          <w:shd w:val="clear" w:color="auto" w:fill="FFFFFF"/>
        </w:rPr>
        <w:t>Annotate and take notes on your Taking Notes Tools for two sources identified in the Potential Sources Tool from 11.3.2 Lesson 3. Continue to record vocabulary from these preliminary searches in your vocabulary journal</w:t>
      </w:r>
      <w:r w:rsidR="00647DA1">
        <w:rPr>
          <w:rFonts w:cs="Arial"/>
          <w:color w:val="222222"/>
          <w:shd w:val="clear" w:color="auto" w:fill="FFFFFF"/>
        </w:rPr>
        <w:t>.</w:t>
      </w:r>
      <w:r w:rsidR="00070BC5" w:rsidRPr="00564620">
        <w:rPr>
          <w:rFonts w:asciiTheme="minorHAnsi" w:hAnsiTheme="minorHAnsi" w:cs="Calibri"/>
        </w:rPr>
        <w:t>)</w:t>
      </w:r>
      <w:r w:rsidR="00D230E8" w:rsidRPr="00564620">
        <w:t xml:space="preserve"> Instruct</w:t>
      </w:r>
      <w:r w:rsidRPr="00564620">
        <w:t xml:space="preserve"> </w:t>
      </w:r>
      <w:r w:rsidR="00647DA1">
        <w:t xml:space="preserve">student </w:t>
      </w:r>
      <w:r w:rsidRPr="00564620">
        <w:t>pairs to discuss two details from the close reading of at least one source</w:t>
      </w:r>
      <w:r w:rsidR="00647DA1">
        <w:t xml:space="preserve">, and </w:t>
      </w:r>
      <w:r w:rsidRPr="00564620">
        <w:t xml:space="preserve">how the details address a selected inquiry question. </w:t>
      </w:r>
    </w:p>
    <w:p w14:paraId="577E156B" w14:textId="77777777" w:rsidR="002514C3" w:rsidRPr="00564620" w:rsidRDefault="002514C3" w:rsidP="002514C3">
      <w:pPr>
        <w:pStyle w:val="SA"/>
      </w:pPr>
      <w:r w:rsidRPr="00564620">
        <w:t xml:space="preserve">Students </w:t>
      </w:r>
      <w:r w:rsidR="00D230E8" w:rsidRPr="00564620">
        <w:t>discuss the</w:t>
      </w:r>
      <w:r w:rsidRPr="00564620">
        <w:t xml:space="preserve"> details in one source and how they address a selected inquiry question. </w:t>
      </w:r>
    </w:p>
    <w:p w14:paraId="1B089CE3" w14:textId="7AD881E1" w:rsidR="002514C3" w:rsidRPr="00564620" w:rsidRDefault="002514C3" w:rsidP="002514C3">
      <w:pPr>
        <w:pStyle w:val="IN"/>
      </w:pPr>
      <w:r w:rsidRPr="00564620">
        <w:t>Circulate during the Turn-and-Talk to monitor students’ discussions</w:t>
      </w:r>
      <w:r w:rsidR="00647DA1">
        <w:t>. C</w:t>
      </w:r>
      <w:r w:rsidRPr="00564620">
        <w:t>onsider collecting homework to monitor students’ research progress.</w:t>
      </w:r>
    </w:p>
    <w:p w14:paraId="34778356" w14:textId="77777777" w:rsidR="002514C3" w:rsidRPr="00564620" w:rsidRDefault="002514C3" w:rsidP="002514C3">
      <w:pPr>
        <w:pStyle w:val="TA"/>
      </w:pPr>
      <w:r w:rsidRPr="00564620">
        <w:t>Lead a brief share out of students’ discussions.</w:t>
      </w:r>
    </w:p>
    <w:p w14:paraId="67F65008" w14:textId="77777777" w:rsidR="002514C3" w:rsidRPr="00564620" w:rsidRDefault="002514C3" w:rsidP="002514C3">
      <w:pPr>
        <w:pStyle w:val="SR"/>
      </w:pPr>
      <w:r w:rsidRPr="00564620">
        <w:t xml:space="preserve">Student responses </w:t>
      </w:r>
      <w:r w:rsidR="00D230E8" w:rsidRPr="00564620">
        <w:t xml:space="preserve">will </w:t>
      </w:r>
      <w:r w:rsidRPr="00564620">
        <w:t xml:space="preserve">vary by individual research </w:t>
      </w:r>
      <w:r w:rsidR="00D230E8" w:rsidRPr="00564620">
        <w:t>but may include:</w:t>
      </w:r>
    </w:p>
    <w:p w14:paraId="6F694248" w14:textId="1ACE8280" w:rsidR="002514C3" w:rsidRPr="00564620" w:rsidRDefault="002514C3" w:rsidP="002514C3">
      <w:pPr>
        <w:pStyle w:val="SASRBullet"/>
        <w:rPr>
          <w:rFonts w:asciiTheme="minorHAnsi" w:hAnsiTheme="minorHAnsi" w:cs="Calibri"/>
        </w:rPr>
      </w:pPr>
      <w:r w:rsidRPr="00564620">
        <w:rPr>
          <w:rFonts w:asciiTheme="minorHAnsi" w:hAnsiTheme="minorHAnsi" w:cs="Calibri"/>
        </w:rPr>
        <w:t xml:space="preserve">In Source 1, </w:t>
      </w:r>
      <w:r w:rsidR="00755DB2" w:rsidRPr="00564620">
        <w:rPr>
          <w:rFonts w:asciiTheme="minorHAnsi" w:hAnsiTheme="minorHAnsi" w:cs="Calibri"/>
        </w:rPr>
        <w:t>the author mentions a number of events and positions that relate to the U</w:t>
      </w:r>
      <w:r w:rsidR="00647DA1">
        <w:rPr>
          <w:rFonts w:asciiTheme="minorHAnsi" w:hAnsiTheme="minorHAnsi" w:cs="Calibri"/>
        </w:rPr>
        <w:t>.</w:t>
      </w:r>
      <w:r w:rsidR="00755DB2" w:rsidRPr="00564620">
        <w:rPr>
          <w:rFonts w:asciiTheme="minorHAnsi" w:hAnsiTheme="minorHAnsi" w:cs="Calibri"/>
        </w:rPr>
        <w:t>N</w:t>
      </w:r>
      <w:r w:rsidR="00647DA1">
        <w:rPr>
          <w:rFonts w:asciiTheme="minorHAnsi" w:hAnsiTheme="minorHAnsi" w:cs="Calibri"/>
        </w:rPr>
        <w:t>.</w:t>
      </w:r>
      <w:r w:rsidR="00755DB2" w:rsidRPr="00564620">
        <w:rPr>
          <w:rFonts w:asciiTheme="minorHAnsi" w:hAnsiTheme="minorHAnsi" w:cs="Calibri"/>
        </w:rPr>
        <w:t>’s ability to handle crises</w:t>
      </w:r>
      <w:r w:rsidR="006660C7" w:rsidRPr="00564620">
        <w:rPr>
          <w:rFonts w:asciiTheme="minorHAnsi" w:hAnsiTheme="minorHAnsi" w:cs="Calibri"/>
        </w:rPr>
        <w:t>, such as how the U</w:t>
      </w:r>
      <w:r w:rsidR="00647DA1">
        <w:rPr>
          <w:rFonts w:asciiTheme="minorHAnsi" w:hAnsiTheme="minorHAnsi" w:cs="Calibri"/>
        </w:rPr>
        <w:t>.</w:t>
      </w:r>
      <w:r w:rsidR="006660C7" w:rsidRPr="00564620">
        <w:rPr>
          <w:rFonts w:asciiTheme="minorHAnsi" w:hAnsiTheme="minorHAnsi" w:cs="Calibri"/>
        </w:rPr>
        <w:t>N</w:t>
      </w:r>
      <w:r w:rsidR="00647DA1">
        <w:rPr>
          <w:rFonts w:asciiTheme="minorHAnsi" w:hAnsiTheme="minorHAnsi" w:cs="Calibri"/>
        </w:rPr>
        <w:t>.</w:t>
      </w:r>
      <w:r w:rsidR="006660C7" w:rsidRPr="00564620">
        <w:rPr>
          <w:rFonts w:asciiTheme="minorHAnsi" w:hAnsiTheme="minorHAnsi" w:cs="Calibri"/>
        </w:rPr>
        <w:t xml:space="preserve"> Oil-for-Food program was a “badly managed affair surrounded by corruption</w:t>
      </w:r>
      <w:r w:rsidR="00266902" w:rsidRPr="00564620">
        <w:rPr>
          <w:rFonts w:asciiTheme="minorHAnsi" w:hAnsiTheme="minorHAnsi" w:cs="Calibri"/>
        </w:rPr>
        <w:t>,</w:t>
      </w:r>
      <w:r w:rsidR="006660C7" w:rsidRPr="00564620">
        <w:rPr>
          <w:rFonts w:asciiTheme="minorHAnsi" w:hAnsiTheme="minorHAnsi" w:cs="Calibri"/>
        </w:rPr>
        <w:t>”</w:t>
      </w:r>
      <w:r w:rsidR="00755DB2" w:rsidRPr="00564620">
        <w:rPr>
          <w:rFonts w:asciiTheme="minorHAnsi" w:hAnsiTheme="minorHAnsi" w:cs="Calibri"/>
        </w:rPr>
        <w:t xml:space="preserve"> but does not cite evidence for these specific statements. I need to do some deeper research in order to identify some of the evidence for these claims.</w:t>
      </w:r>
    </w:p>
    <w:p w14:paraId="3420BC44" w14:textId="7D45E542" w:rsidR="002514C3" w:rsidRPr="00564620" w:rsidRDefault="002514C3" w:rsidP="009032DB">
      <w:pPr>
        <w:pStyle w:val="SASRBullet"/>
        <w:rPr>
          <w:rFonts w:asciiTheme="minorHAnsi" w:hAnsiTheme="minorHAnsi" w:cs="Calibri"/>
        </w:rPr>
      </w:pPr>
      <w:r w:rsidRPr="00564620">
        <w:rPr>
          <w:rFonts w:asciiTheme="minorHAnsi" w:hAnsiTheme="minorHAnsi" w:cs="Calibri"/>
        </w:rPr>
        <w:t xml:space="preserve">In Source 1, </w:t>
      </w:r>
      <w:r w:rsidR="009032DB" w:rsidRPr="00564620">
        <w:rPr>
          <w:rFonts w:asciiTheme="minorHAnsi" w:hAnsiTheme="minorHAnsi" w:cs="Calibri"/>
        </w:rPr>
        <w:t>the author states “Rwanda was a failure at almost every level, but certainly it was a failure of the United Nations. But let us be clear what we mean by that. It was the major powers</w:t>
      </w:r>
      <w:r w:rsidR="00647DA1">
        <w:rPr>
          <w:rFonts w:asciiTheme="minorHAnsi" w:hAnsiTheme="minorHAnsi" w:cs="Calibri"/>
        </w:rPr>
        <w:t>—</w:t>
      </w:r>
      <w:r w:rsidR="009032DB" w:rsidRPr="00564620">
        <w:rPr>
          <w:rFonts w:asciiTheme="minorHAnsi" w:hAnsiTheme="minorHAnsi" w:cs="Calibri"/>
        </w:rPr>
        <w:t>the United States, Britain, France</w:t>
      </w:r>
      <w:r w:rsidR="00647DA1">
        <w:rPr>
          <w:rFonts w:asciiTheme="minorHAnsi" w:hAnsiTheme="minorHAnsi" w:cs="Calibri"/>
        </w:rPr>
        <w:t>—</w:t>
      </w:r>
      <w:r w:rsidR="009032DB" w:rsidRPr="00564620">
        <w:rPr>
          <w:rFonts w:asciiTheme="minorHAnsi" w:hAnsiTheme="minorHAnsi" w:cs="Calibri"/>
        </w:rPr>
        <w:t>that determined the exact nature of the peacekeeping mission.” This perspective that the actions of the U</w:t>
      </w:r>
      <w:r w:rsidR="00647DA1">
        <w:rPr>
          <w:rFonts w:asciiTheme="minorHAnsi" w:hAnsiTheme="minorHAnsi" w:cs="Calibri"/>
        </w:rPr>
        <w:t>.</w:t>
      </w:r>
      <w:r w:rsidR="009032DB" w:rsidRPr="00564620">
        <w:rPr>
          <w:rFonts w:asciiTheme="minorHAnsi" w:hAnsiTheme="minorHAnsi" w:cs="Calibri"/>
        </w:rPr>
        <w:t>N</w:t>
      </w:r>
      <w:r w:rsidR="00647DA1">
        <w:rPr>
          <w:rFonts w:asciiTheme="minorHAnsi" w:hAnsiTheme="minorHAnsi" w:cs="Calibri"/>
        </w:rPr>
        <w:t>.</w:t>
      </w:r>
      <w:r w:rsidR="009032DB" w:rsidRPr="00564620">
        <w:rPr>
          <w:rFonts w:asciiTheme="minorHAnsi" w:hAnsiTheme="minorHAnsi" w:cs="Calibri"/>
        </w:rPr>
        <w:t xml:space="preserve"> can be </w:t>
      </w:r>
      <w:r w:rsidR="00365747" w:rsidRPr="00564620">
        <w:rPr>
          <w:rFonts w:asciiTheme="minorHAnsi" w:hAnsiTheme="minorHAnsi" w:cs="Calibri"/>
        </w:rPr>
        <w:t xml:space="preserve">strongly influenced by </w:t>
      </w:r>
      <w:r w:rsidR="00F259C4" w:rsidRPr="00564620">
        <w:rPr>
          <w:rFonts w:asciiTheme="minorHAnsi" w:hAnsiTheme="minorHAnsi" w:cs="Calibri"/>
        </w:rPr>
        <w:t xml:space="preserve">several </w:t>
      </w:r>
      <w:r w:rsidR="009032DB" w:rsidRPr="00564620">
        <w:rPr>
          <w:rFonts w:asciiTheme="minorHAnsi" w:hAnsiTheme="minorHAnsi" w:cs="Calibri"/>
        </w:rPr>
        <w:t xml:space="preserve">major </w:t>
      </w:r>
      <w:r w:rsidR="00F259C4" w:rsidRPr="00564620">
        <w:rPr>
          <w:rFonts w:asciiTheme="minorHAnsi" w:hAnsiTheme="minorHAnsi" w:cs="Calibri"/>
        </w:rPr>
        <w:t xml:space="preserve">global </w:t>
      </w:r>
      <w:r w:rsidR="009032DB" w:rsidRPr="00564620">
        <w:rPr>
          <w:rFonts w:asciiTheme="minorHAnsi" w:hAnsiTheme="minorHAnsi" w:cs="Calibri"/>
        </w:rPr>
        <w:t xml:space="preserve">powers helped me realize that I need to do more investigation into the </w:t>
      </w:r>
      <w:r w:rsidR="00F259C4" w:rsidRPr="00564620">
        <w:rPr>
          <w:rFonts w:asciiTheme="minorHAnsi" w:hAnsiTheme="minorHAnsi" w:cs="Calibri"/>
        </w:rPr>
        <w:t xml:space="preserve">problems with and </w:t>
      </w:r>
      <w:r w:rsidR="009032DB" w:rsidRPr="00564620">
        <w:rPr>
          <w:rFonts w:asciiTheme="minorHAnsi" w:hAnsiTheme="minorHAnsi" w:cs="Calibri"/>
        </w:rPr>
        <w:t xml:space="preserve">power structure of the UN </w:t>
      </w:r>
      <w:r w:rsidR="005D406F" w:rsidRPr="00564620">
        <w:rPr>
          <w:rFonts w:asciiTheme="minorHAnsi" w:hAnsiTheme="minorHAnsi" w:cs="Calibri"/>
        </w:rPr>
        <w:t>including</w:t>
      </w:r>
      <w:r w:rsidR="00592611" w:rsidRPr="00564620">
        <w:rPr>
          <w:rFonts w:asciiTheme="minorHAnsi" w:hAnsiTheme="minorHAnsi" w:cs="Calibri"/>
        </w:rPr>
        <w:t xml:space="preserve"> </w:t>
      </w:r>
      <w:r w:rsidR="00F259C4" w:rsidRPr="00564620">
        <w:rPr>
          <w:rFonts w:asciiTheme="minorHAnsi" w:hAnsiTheme="minorHAnsi" w:cs="Calibri"/>
        </w:rPr>
        <w:t xml:space="preserve">how it makes </w:t>
      </w:r>
      <w:r w:rsidR="009032DB" w:rsidRPr="00564620">
        <w:rPr>
          <w:rFonts w:asciiTheme="minorHAnsi" w:hAnsiTheme="minorHAnsi" w:cs="Calibri"/>
        </w:rPr>
        <w:t xml:space="preserve">decisions. </w:t>
      </w:r>
    </w:p>
    <w:p w14:paraId="66E35D22" w14:textId="77777777" w:rsidR="000B2D56" w:rsidRPr="00564620" w:rsidRDefault="000B2D56" w:rsidP="00CE2836">
      <w:pPr>
        <w:pStyle w:val="LearningSequenceHeader"/>
      </w:pPr>
      <w:r w:rsidRPr="00564620">
        <w:t xml:space="preserve">Activity 3: </w:t>
      </w:r>
      <w:r w:rsidR="005B67E0" w:rsidRPr="00564620">
        <w:t>Compelling Arguments</w:t>
      </w:r>
      <w:r w:rsidR="00C74E34">
        <w:t xml:space="preserve"> Discussion</w:t>
      </w:r>
      <w:r w:rsidR="005B67E0" w:rsidRPr="00564620">
        <w:tab/>
        <w:t>20</w:t>
      </w:r>
      <w:r w:rsidRPr="00564620">
        <w:t>%</w:t>
      </w:r>
    </w:p>
    <w:p w14:paraId="3B78D8CA" w14:textId="2265824D" w:rsidR="00C0700D" w:rsidRPr="00564620" w:rsidRDefault="002514C3" w:rsidP="0026372B">
      <w:pPr>
        <w:pStyle w:val="TA"/>
      </w:pPr>
      <w:r w:rsidRPr="00564620">
        <w:t xml:space="preserve">Lead a discussion to develop the idea of </w:t>
      </w:r>
      <w:r w:rsidRPr="00564620">
        <w:rPr>
          <w:i/>
        </w:rPr>
        <w:t>compelling</w:t>
      </w:r>
      <w:r w:rsidRPr="00564620">
        <w:t xml:space="preserve"> arguments for students. </w:t>
      </w:r>
      <w:r w:rsidR="009B4AF1" w:rsidRPr="00564620">
        <w:t>Remind students that an argument is a composition of precise claims about a topic, including relevant and sufficient evidence, and valid reasoning</w:t>
      </w:r>
      <w:r w:rsidR="009B4AF1">
        <w:t>.</w:t>
      </w:r>
      <w:r w:rsidR="009B4AF1" w:rsidRPr="00564620">
        <w:t xml:space="preserve"> </w:t>
      </w:r>
      <w:r w:rsidR="009B4AF1">
        <w:t>To do a</w:t>
      </w:r>
      <w:r w:rsidRPr="00564620">
        <w:t xml:space="preserve"> thorough evaluation of an argument</w:t>
      </w:r>
      <w:r w:rsidR="009B4AF1">
        <w:t xml:space="preserve">, students must consider </w:t>
      </w:r>
      <w:r w:rsidRPr="00564620">
        <w:t>the objective strengths and weaknesses of the argument</w:t>
      </w:r>
      <w:r w:rsidR="009B4AF1">
        <w:t xml:space="preserve"> </w:t>
      </w:r>
      <w:r w:rsidR="00B33149">
        <w:t>in order to develop their own</w:t>
      </w:r>
      <w:r w:rsidRPr="00564620">
        <w:t xml:space="preserve"> perspective on an issue. </w:t>
      </w:r>
    </w:p>
    <w:p w14:paraId="26218564" w14:textId="1EC1DDD6" w:rsidR="002514C3" w:rsidRPr="00564620" w:rsidRDefault="00440AFB" w:rsidP="0026372B">
      <w:pPr>
        <w:pStyle w:val="IN"/>
      </w:pPr>
      <w:r>
        <w:t>Consider p</w:t>
      </w:r>
      <w:r w:rsidR="002514C3" w:rsidRPr="00564620">
        <w:t>rovid</w:t>
      </w:r>
      <w:r>
        <w:t>ing</w:t>
      </w:r>
      <w:r w:rsidR="002514C3" w:rsidRPr="00564620">
        <w:t xml:space="preserve"> students with the following definitions: </w:t>
      </w:r>
      <w:r w:rsidR="002514C3" w:rsidRPr="00564620">
        <w:rPr>
          <w:i/>
        </w:rPr>
        <w:t xml:space="preserve">compelling </w:t>
      </w:r>
      <w:r w:rsidR="002514C3" w:rsidRPr="00564620">
        <w:t xml:space="preserve">means “having a powerful and irresistible effect, requiring acute admiration, attention, or respect,” and </w:t>
      </w:r>
      <w:r w:rsidR="002514C3" w:rsidRPr="00564620">
        <w:rPr>
          <w:i/>
        </w:rPr>
        <w:t>evaluate</w:t>
      </w:r>
      <w:r w:rsidR="002514C3" w:rsidRPr="00564620">
        <w:t xml:space="preserve"> means “to determine the worth or quality of a thing,” in this instance, the strength and effectiveness of the arguments presented.</w:t>
      </w:r>
      <w:r w:rsidR="00FB11C0" w:rsidRPr="00564620">
        <w:t xml:space="preserve"> </w:t>
      </w:r>
    </w:p>
    <w:p w14:paraId="6F071628" w14:textId="77777777" w:rsidR="002514C3" w:rsidRPr="00564620" w:rsidRDefault="002514C3" w:rsidP="002514C3">
      <w:pPr>
        <w:pStyle w:val="SA"/>
      </w:pPr>
      <w:r w:rsidRPr="00564620">
        <w:t xml:space="preserve">Students write the definitions of </w:t>
      </w:r>
      <w:r w:rsidRPr="00564620">
        <w:rPr>
          <w:i/>
        </w:rPr>
        <w:t xml:space="preserve">compelling </w:t>
      </w:r>
      <w:r w:rsidRPr="00564620">
        <w:t xml:space="preserve">and </w:t>
      </w:r>
      <w:r w:rsidRPr="00564620">
        <w:rPr>
          <w:i/>
        </w:rPr>
        <w:t xml:space="preserve">evaluate </w:t>
      </w:r>
      <w:r w:rsidRPr="00564620">
        <w:t>in a vocabulary journal.</w:t>
      </w:r>
    </w:p>
    <w:p w14:paraId="7DE9EBA5" w14:textId="77777777" w:rsidR="002514C3" w:rsidRPr="00564620" w:rsidRDefault="002514C3" w:rsidP="002514C3">
      <w:pPr>
        <w:pStyle w:val="TA"/>
      </w:pPr>
      <w:r w:rsidRPr="00564620">
        <w:t>Use the following questions to</w:t>
      </w:r>
      <w:r w:rsidR="008B2218" w:rsidRPr="00564620">
        <w:t xml:space="preserve"> review the work completed in 11</w:t>
      </w:r>
      <w:r w:rsidRPr="00564620">
        <w:t>.3.1 on argument, central claims, and perspective.</w:t>
      </w:r>
    </w:p>
    <w:p w14:paraId="12022788" w14:textId="77777777" w:rsidR="002514C3" w:rsidRPr="00564620" w:rsidRDefault="002514C3" w:rsidP="002514C3">
      <w:pPr>
        <w:pStyle w:val="Q"/>
      </w:pPr>
      <w:r w:rsidRPr="00564620">
        <w:t>What is perspective?</w:t>
      </w:r>
    </w:p>
    <w:p w14:paraId="77B3595B" w14:textId="77777777" w:rsidR="002514C3" w:rsidRPr="00564620" w:rsidRDefault="002514C3" w:rsidP="002514C3">
      <w:pPr>
        <w:pStyle w:val="SR"/>
      </w:pPr>
      <w:r w:rsidRPr="00564620">
        <w:t>How one understands an issue, including his/her relationship to and analysis of the issue.</w:t>
      </w:r>
    </w:p>
    <w:p w14:paraId="3677E6CE" w14:textId="77777777" w:rsidR="002514C3" w:rsidRPr="00564620" w:rsidRDefault="002514C3" w:rsidP="002514C3">
      <w:pPr>
        <w:pStyle w:val="Q"/>
      </w:pPr>
      <w:r w:rsidRPr="00564620">
        <w:t>What is a central claim?</w:t>
      </w:r>
    </w:p>
    <w:p w14:paraId="30DE324C" w14:textId="77777777" w:rsidR="002514C3" w:rsidRPr="00564620" w:rsidRDefault="002514C3" w:rsidP="002514C3">
      <w:pPr>
        <w:pStyle w:val="SR"/>
        <w:rPr>
          <w:rFonts w:ascii="Times New Roman" w:hAnsi="Times New Roman"/>
        </w:rPr>
      </w:pPr>
      <w:r w:rsidRPr="00564620">
        <w:t>An author or speaker’s main point about an issue in an argument.</w:t>
      </w:r>
    </w:p>
    <w:p w14:paraId="573C4FB2" w14:textId="77777777" w:rsidR="002514C3" w:rsidRPr="00564620" w:rsidRDefault="002514C3" w:rsidP="002514C3">
      <w:pPr>
        <w:pStyle w:val="IN"/>
      </w:pPr>
      <w:r w:rsidRPr="00564620">
        <w:t>The central claim of an argument</w:t>
      </w:r>
      <w:r w:rsidRPr="00564620" w:rsidDel="00854970">
        <w:t xml:space="preserve"> </w:t>
      </w:r>
      <w:r w:rsidRPr="00564620">
        <w:t>also may be called a thesis or a position (the author or speaker’s stance). The central claim also may imply the author or speaker’</w:t>
      </w:r>
      <w:r w:rsidR="0026372B" w:rsidRPr="00564620">
        <w:t>s point of view or purpose (RI.11-12</w:t>
      </w:r>
      <w:r w:rsidRPr="00564620">
        <w:t>.6).</w:t>
      </w:r>
    </w:p>
    <w:p w14:paraId="3FCA4172" w14:textId="77777777" w:rsidR="002514C3" w:rsidRPr="00564620" w:rsidRDefault="002514C3" w:rsidP="002514C3">
      <w:pPr>
        <w:pStyle w:val="Q"/>
      </w:pPr>
      <w:r w:rsidRPr="00564620">
        <w:t xml:space="preserve">How is an argument related to a central claim? </w:t>
      </w:r>
    </w:p>
    <w:p w14:paraId="4D3D8DD3" w14:textId="77777777" w:rsidR="002514C3" w:rsidRPr="00564620" w:rsidRDefault="002514C3" w:rsidP="002514C3">
      <w:pPr>
        <w:pStyle w:val="SR"/>
      </w:pPr>
      <w:r w:rsidRPr="00564620">
        <w:t>Student responses should include:</w:t>
      </w:r>
    </w:p>
    <w:p w14:paraId="4D76C892" w14:textId="77777777" w:rsidR="002514C3" w:rsidRPr="00564620" w:rsidRDefault="002514C3" w:rsidP="002514C3">
      <w:pPr>
        <w:pStyle w:val="SASRBullet"/>
      </w:pPr>
      <w:r w:rsidRPr="00564620">
        <w:t>A central claim is an author’s main point or statement about an issue.</w:t>
      </w:r>
    </w:p>
    <w:p w14:paraId="60F9589C" w14:textId="09D31942" w:rsidR="002514C3" w:rsidRPr="00564620" w:rsidRDefault="002514C3" w:rsidP="002514C3">
      <w:pPr>
        <w:pStyle w:val="SASRBullet"/>
      </w:pPr>
      <w:r w:rsidRPr="00564620">
        <w:t xml:space="preserve">An argument is the text as a whole and it is </w:t>
      </w:r>
      <w:r w:rsidR="009B4AF1">
        <w:t>composed</w:t>
      </w:r>
      <w:r w:rsidRPr="00564620">
        <w:t xml:space="preserve"> of a series of precise claims supported by relevant and sufficient evidence and valid reasoning. </w:t>
      </w:r>
    </w:p>
    <w:p w14:paraId="58C95520" w14:textId="77777777" w:rsidR="002514C3" w:rsidRPr="00564620" w:rsidRDefault="002514C3" w:rsidP="002514C3">
      <w:pPr>
        <w:pStyle w:val="SASRBullet"/>
      </w:pPr>
      <w:r w:rsidRPr="00564620">
        <w:t xml:space="preserve">A person might use several supporting claims to defend his/her central claim. </w:t>
      </w:r>
    </w:p>
    <w:p w14:paraId="3ED3A183" w14:textId="77777777" w:rsidR="002514C3" w:rsidRPr="00564620" w:rsidRDefault="002514C3" w:rsidP="002514C3">
      <w:pPr>
        <w:pStyle w:val="Q"/>
      </w:pPr>
      <w:r w:rsidRPr="00564620">
        <w:t>What is valid reasoning?</w:t>
      </w:r>
    </w:p>
    <w:p w14:paraId="57E80637" w14:textId="77777777" w:rsidR="002514C3" w:rsidRPr="00564620" w:rsidRDefault="002514C3" w:rsidP="002514C3">
      <w:pPr>
        <w:pStyle w:val="SR"/>
      </w:pPr>
      <w:r w:rsidRPr="00564620">
        <w:t>Valid reasoning is sound or logical relationships among ideas, including relationships among claims and relationships across evidence.</w:t>
      </w:r>
    </w:p>
    <w:p w14:paraId="7B434DD5" w14:textId="4A3CC866" w:rsidR="002514C3" w:rsidRPr="00564620" w:rsidRDefault="002514C3" w:rsidP="002514C3">
      <w:pPr>
        <w:pStyle w:val="IN"/>
      </w:pPr>
      <w:r w:rsidRPr="00564620">
        <w:rPr>
          <w:b/>
        </w:rPr>
        <w:t>Differentiation Consideration:</w:t>
      </w:r>
      <w:r w:rsidRPr="00564620">
        <w:t xml:space="preserve"> If students struggle, consider providing definitions of each of the terms and leading</w:t>
      </w:r>
      <w:r w:rsidR="00E369DD">
        <w:t xml:space="preserve"> a</w:t>
      </w:r>
      <w:r w:rsidRPr="00564620">
        <w:t xml:space="preserve"> discussion on the differences apparent in the terms.</w:t>
      </w:r>
    </w:p>
    <w:p w14:paraId="600DED1F" w14:textId="027CBEE4" w:rsidR="002514C3" w:rsidRPr="00564620" w:rsidRDefault="002514C3" w:rsidP="002514C3">
      <w:pPr>
        <w:pStyle w:val="TA"/>
      </w:pPr>
      <w:r w:rsidRPr="00564620">
        <w:t>Explain to students that some of the sources they have identified in preliminary searches contain one or more central claims</w:t>
      </w:r>
      <w:r w:rsidR="009B4AF1">
        <w:t>,</w:t>
      </w:r>
      <w:r w:rsidRPr="00564620">
        <w:t xml:space="preserve"> and that the thorough evaluation of these central claims is important in determining the merit of the source and whether or not it can contribute to an understanding of the research topic/area of investigation. Guide students through the following questions to strengthen their understanding of arguments and how to evaluate them. </w:t>
      </w:r>
    </w:p>
    <w:p w14:paraId="114EAB23" w14:textId="77777777" w:rsidR="002514C3" w:rsidRPr="00564620" w:rsidRDefault="002514C3" w:rsidP="00626E7E">
      <w:pPr>
        <w:pStyle w:val="Q"/>
        <w:keepNext/>
      </w:pPr>
      <w:r w:rsidRPr="00564620">
        <w:t>What makes an argument effective?</w:t>
      </w:r>
    </w:p>
    <w:p w14:paraId="12080E46" w14:textId="77777777" w:rsidR="002514C3" w:rsidRPr="00564620" w:rsidRDefault="002514C3" w:rsidP="002514C3">
      <w:pPr>
        <w:pStyle w:val="SR"/>
      </w:pPr>
      <w:r w:rsidRPr="00564620">
        <w:t>Student responses should include:</w:t>
      </w:r>
    </w:p>
    <w:p w14:paraId="5A183B84" w14:textId="77777777" w:rsidR="002514C3" w:rsidRPr="00564620" w:rsidRDefault="002514C3" w:rsidP="002514C3">
      <w:pPr>
        <w:pStyle w:val="SASRBullet"/>
      </w:pPr>
      <w:r w:rsidRPr="00564620">
        <w:t>Clearly stated claims.</w:t>
      </w:r>
    </w:p>
    <w:p w14:paraId="6EB0179C" w14:textId="77777777" w:rsidR="002514C3" w:rsidRPr="00564620" w:rsidRDefault="002514C3" w:rsidP="002514C3">
      <w:pPr>
        <w:pStyle w:val="SASRBullet"/>
      </w:pPr>
      <w:r w:rsidRPr="00564620">
        <w:t>Significant evidence that is relevant and sufficient to the argument’s claims.</w:t>
      </w:r>
    </w:p>
    <w:p w14:paraId="7486A1A5" w14:textId="77777777" w:rsidR="002514C3" w:rsidRPr="00564620" w:rsidRDefault="002514C3" w:rsidP="002514C3">
      <w:pPr>
        <w:pStyle w:val="SASRBullet"/>
      </w:pPr>
      <w:r w:rsidRPr="00564620">
        <w:t>A strong line of reasoning.</w:t>
      </w:r>
    </w:p>
    <w:p w14:paraId="6BF43F62" w14:textId="77777777" w:rsidR="002514C3" w:rsidRPr="00564620" w:rsidRDefault="002514C3" w:rsidP="002514C3">
      <w:pPr>
        <w:pStyle w:val="Q"/>
      </w:pPr>
      <w:r w:rsidRPr="00564620">
        <w:t>What might make an argument ineffective?</w:t>
      </w:r>
    </w:p>
    <w:p w14:paraId="143089F7" w14:textId="77777777" w:rsidR="002514C3" w:rsidRPr="00564620" w:rsidRDefault="002514C3" w:rsidP="002514C3">
      <w:pPr>
        <w:pStyle w:val="SR"/>
      </w:pPr>
      <w:r w:rsidRPr="00564620">
        <w:t>Student responses should include:</w:t>
      </w:r>
    </w:p>
    <w:p w14:paraId="252989D8" w14:textId="77777777" w:rsidR="002514C3" w:rsidRPr="00564620" w:rsidRDefault="002514C3" w:rsidP="002514C3">
      <w:pPr>
        <w:pStyle w:val="SASRBullet"/>
      </w:pPr>
      <w:r w:rsidRPr="00564620">
        <w:t>It uses a confusing structure.</w:t>
      </w:r>
    </w:p>
    <w:p w14:paraId="4599F763" w14:textId="77777777" w:rsidR="002514C3" w:rsidRPr="00564620" w:rsidRDefault="002514C3" w:rsidP="002514C3">
      <w:pPr>
        <w:pStyle w:val="SASRBullet"/>
      </w:pPr>
      <w:r w:rsidRPr="00564620">
        <w:t>The evidence is unrelated and does not support the argument.</w:t>
      </w:r>
    </w:p>
    <w:p w14:paraId="3EB47B97" w14:textId="77777777" w:rsidR="002514C3" w:rsidRPr="00564620" w:rsidRDefault="002514C3" w:rsidP="002514C3">
      <w:pPr>
        <w:pStyle w:val="SASRBullet"/>
      </w:pPr>
      <w:r w:rsidRPr="00564620">
        <w:t xml:space="preserve">The argument ignores other perspectives. </w:t>
      </w:r>
    </w:p>
    <w:p w14:paraId="2CF6158A" w14:textId="77777777" w:rsidR="00707670" w:rsidRPr="00564620" w:rsidRDefault="002514C3" w:rsidP="00E151C4">
      <w:pPr>
        <w:pStyle w:val="SASRBullet"/>
      </w:pPr>
      <w:r w:rsidRPr="00564620">
        <w:t>The argument does not include effective reasoning, so relationships are missing among the evidence, supporting claims, and central claim.</w:t>
      </w:r>
    </w:p>
    <w:p w14:paraId="77A5261F" w14:textId="77777777" w:rsidR="00707670" w:rsidRPr="00564620" w:rsidRDefault="00707670" w:rsidP="00707670">
      <w:pPr>
        <w:pStyle w:val="LearningSequenceHeader"/>
      </w:pPr>
      <w:r w:rsidRPr="00564620">
        <w:t>Activity 4</w:t>
      </w:r>
      <w:r w:rsidR="005B67E0" w:rsidRPr="00564620">
        <w:t>: Evidence-Based Arguments Checklist</w:t>
      </w:r>
      <w:r w:rsidR="005B67E0" w:rsidRPr="00564620">
        <w:tab/>
        <w:t>30</w:t>
      </w:r>
      <w:r w:rsidRPr="00564620">
        <w:t>%</w:t>
      </w:r>
    </w:p>
    <w:p w14:paraId="15B46F0C" w14:textId="72B4319D" w:rsidR="002514C3" w:rsidRPr="00564620" w:rsidRDefault="002514C3" w:rsidP="002514C3">
      <w:pPr>
        <w:pStyle w:val="TA"/>
      </w:pPr>
      <w:r w:rsidRPr="00564620">
        <w:t xml:space="preserve">Introduce students to the Evidence-Based Arguments Checklist. Explain </w:t>
      </w:r>
      <w:r w:rsidR="009B4AF1">
        <w:t>that students will use this checklist</w:t>
      </w:r>
      <w:r w:rsidRPr="00564620">
        <w:t xml:space="preserve"> to evaluate central claims, supporting claims, reasoning, and evidence in sources, so they </w:t>
      </w:r>
      <w:r w:rsidR="009B4AF1">
        <w:t>understand the elements of a compelling argument</w:t>
      </w:r>
      <w:r w:rsidRPr="00564620">
        <w:t>.</w:t>
      </w:r>
    </w:p>
    <w:p w14:paraId="4614D588" w14:textId="77777777" w:rsidR="002514C3" w:rsidRPr="00564620" w:rsidRDefault="002514C3" w:rsidP="002514C3">
      <w:pPr>
        <w:pStyle w:val="SA"/>
      </w:pPr>
      <w:r w:rsidRPr="00564620">
        <w:t>Students listen.</w:t>
      </w:r>
    </w:p>
    <w:p w14:paraId="3E69D114" w14:textId="05E05331" w:rsidR="002514C3" w:rsidRPr="00564620" w:rsidRDefault="002514C3" w:rsidP="002514C3">
      <w:pPr>
        <w:pStyle w:val="TA"/>
      </w:pPr>
      <w:r w:rsidRPr="00564620">
        <w:t xml:space="preserve">Lead students through an examination of the Evidence-Based Arguments Checklist, focusing on the various criteria present on the checklist. Explain to students that the Evidence-Based Arguments Checklist is composed of four major sections that serve to evaluate an argument. </w:t>
      </w:r>
    </w:p>
    <w:p w14:paraId="7C86D2B0" w14:textId="77777777" w:rsidR="002514C3" w:rsidRPr="00564620" w:rsidRDefault="002514C3" w:rsidP="002514C3">
      <w:pPr>
        <w:pStyle w:val="BulletedList"/>
      </w:pPr>
      <w:r w:rsidRPr="00564620">
        <w:t>Content and Analysis</w:t>
      </w:r>
    </w:p>
    <w:p w14:paraId="5B4DB5C1" w14:textId="77777777" w:rsidR="002514C3" w:rsidRPr="00564620" w:rsidRDefault="002514C3" w:rsidP="002514C3">
      <w:pPr>
        <w:pStyle w:val="BulletedList"/>
      </w:pPr>
      <w:r w:rsidRPr="00564620">
        <w:t>Command of Evidence</w:t>
      </w:r>
    </w:p>
    <w:p w14:paraId="4F4284DB" w14:textId="77777777" w:rsidR="002514C3" w:rsidRPr="00564620" w:rsidRDefault="002514C3" w:rsidP="002514C3">
      <w:pPr>
        <w:pStyle w:val="BulletedList"/>
      </w:pPr>
      <w:r w:rsidRPr="00564620">
        <w:t>Coherence and Organization</w:t>
      </w:r>
    </w:p>
    <w:p w14:paraId="45EF93EF" w14:textId="77777777" w:rsidR="002514C3" w:rsidRPr="00564620" w:rsidRDefault="002514C3" w:rsidP="002514C3">
      <w:pPr>
        <w:pStyle w:val="BulletedList"/>
      </w:pPr>
      <w:r w:rsidRPr="00564620">
        <w:t>Control of Language and Conventions</w:t>
      </w:r>
    </w:p>
    <w:p w14:paraId="130B1184" w14:textId="09E43BB9" w:rsidR="002514C3" w:rsidRPr="00564620" w:rsidRDefault="002514C3" w:rsidP="002514C3">
      <w:pPr>
        <w:pStyle w:val="TA"/>
      </w:pPr>
      <w:r w:rsidRPr="00564620">
        <w:t>Explain that these four sections are the support structure of the argument. As a strong central claim is supported by strong supporting claims, a strong argument is supported by a strong content and analysis, command of evidence, coherence and organization, and control of language and conventions.</w:t>
      </w:r>
    </w:p>
    <w:p w14:paraId="2AABB8B1" w14:textId="13D3CF2C" w:rsidR="002514C3" w:rsidRPr="00564620" w:rsidRDefault="002514C3" w:rsidP="002514C3">
      <w:pPr>
        <w:pStyle w:val="SA"/>
      </w:pPr>
      <w:r w:rsidRPr="00564620">
        <w:t>Students listen</w:t>
      </w:r>
      <w:r w:rsidR="009B4AF1">
        <w:t xml:space="preserve"> and follow along</w:t>
      </w:r>
      <w:r w:rsidRPr="00564620">
        <w:t>.</w:t>
      </w:r>
    </w:p>
    <w:p w14:paraId="18D91992" w14:textId="77777777" w:rsidR="002514C3" w:rsidRPr="00564620" w:rsidRDefault="002514C3" w:rsidP="002514C3">
      <w:pPr>
        <w:pStyle w:val="BR"/>
      </w:pPr>
    </w:p>
    <w:p w14:paraId="5BB6C383" w14:textId="32FE2889" w:rsidR="002514C3" w:rsidRPr="00564620" w:rsidRDefault="002514C3" w:rsidP="002514C3">
      <w:pPr>
        <w:pStyle w:val="TA"/>
      </w:pPr>
      <w:r w:rsidRPr="00564620">
        <w:t xml:space="preserve">Using the criteria </w:t>
      </w:r>
      <w:r w:rsidR="009B4AF1">
        <w:t>listed in</w:t>
      </w:r>
      <w:r w:rsidRPr="00564620">
        <w:t xml:space="preserve"> the Evidence-Based Arguments Checklist, examine the model argument and complete the checklist by modeling for students. </w:t>
      </w:r>
    </w:p>
    <w:p w14:paraId="0D7771C1" w14:textId="42271723" w:rsidR="002514C3" w:rsidRPr="00564620" w:rsidRDefault="002514C3" w:rsidP="002514C3">
      <w:pPr>
        <w:pStyle w:val="TA"/>
        <w:rPr>
          <w:i/>
        </w:rPr>
      </w:pPr>
      <w:r w:rsidRPr="00564620">
        <w:t>Display the model</w:t>
      </w:r>
      <w:r w:rsidR="005B67E0" w:rsidRPr="00564620">
        <w:t xml:space="preserve"> source, </w:t>
      </w:r>
      <w:r w:rsidR="008B2218" w:rsidRPr="00564620">
        <w:t xml:space="preserve">“When The U.N. Fails, We All Do” by Fareed Zakaria </w:t>
      </w:r>
      <w:r w:rsidRPr="00564620">
        <w:t>from</w:t>
      </w:r>
      <w:r w:rsidR="005B67E0" w:rsidRPr="00564620">
        <w:t xml:space="preserve"> 11</w:t>
      </w:r>
      <w:r w:rsidRPr="00564620">
        <w:t xml:space="preserve">.3.2 Lesson 4. </w:t>
      </w:r>
      <w:r w:rsidR="009B4AF1">
        <w:t xml:space="preserve">Instruct students </w:t>
      </w:r>
      <w:r w:rsidRPr="00564620">
        <w:t xml:space="preserve">to use the Evidence-Based Arguments Checklist to evaluate the argument in this model source. </w:t>
      </w:r>
    </w:p>
    <w:p w14:paraId="3A53A193" w14:textId="77777777" w:rsidR="002514C3" w:rsidRPr="00564620" w:rsidRDefault="002514C3" w:rsidP="002514C3">
      <w:pPr>
        <w:pStyle w:val="SA"/>
      </w:pPr>
      <w:r w:rsidRPr="00564620">
        <w:t>Students listen.</w:t>
      </w:r>
    </w:p>
    <w:p w14:paraId="4D2CBC81" w14:textId="6E80EDAF" w:rsidR="002514C3" w:rsidRPr="00564620" w:rsidRDefault="002514C3" w:rsidP="002514C3">
      <w:pPr>
        <w:pStyle w:val="TA"/>
      </w:pPr>
      <w:r w:rsidRPr="00564620">
        <w:t>Explain to students that each section of the Evidence-Based Arguments Checklist consists of several smaller areas where students can indicate with a check mark if they f</w:t>
      </w:r>
      <w:r w:rsidR="009032DB" w:rsidRPr="00564620">
        <w:t>ind this item</w:t>
      </w:r>
      <w:r w:rsidRPr="00564620">
        <w:t xml:space="preserve"> present in the argument. Next to this is a section where students should </w:t>
      </w:r>
      <w:r w:rsidR="00AE1519">
        <w:t>write</w:t>
      </w:r>
      <w:r w:rsidRPr="00564620">
        <w:t xml:space="preserve"> additional notes on where they found this information in the text and how the author fulfills this section of the checklist. </w:t>
      </w:r>
    </w:p>
    <w:p w14:paraId="484884BE" w14:textId="77777777" w:rsidR="002514C3" w:rsidRPr="00564620" w:rsidRDefault="002514C3" w:rsidP="002514C3">
      <w:pPr>
        <w:pStyle w:val="SA"/>
      </w:pPr>
      <w:r w:rsidRPr="00564620">
        <w:t>Students follow along on their Evidence-Based Arguments Checklist.</w:t>
      </w:r>
    </w:p>
    <w:p w14:paraId="21194BBC" w14:textId="6A2D9878" w:rsidR="002514C3" w:rsidRPr="00564620" w:rsidRDefault="002514C3" w:rsidP="002514C3">
      <w:pPr>
        <w:pStyle w:val="TA"/>
      </w:pPr>
      <w:r w:rsidRPr="00564620">
        <w:t xml:space="preserve">Explain that the purpose of completing the Evidence-Based Arguments Checklist is to identify the sections in which the argument </w:t>
      </w:r>
      <w:r w:rsidR="00B33149">
        <w:t xml:space="preserve">succeeds in providing </w:t>
      </w:r>
      <w:r w:rsidRPr="00564620">
        <w:t xml:space="preserve">strong </w:t>
      </w:r>
      <w:r w:rsidR="00B33149">
        <w:t xml:space="preserve">or weak </w:t>
      </w:r>
      <w:r w:rsidRPr="00564620">
        <w:t>example</w:t>
      </w:r>
      <w:r w:rsidR="00B33149">
        <w:t>s</w:t>
      </w:r>
      <w:r w:rsidRPr="00564620">
        <w:t xml:space="preserve"> of an evidence-based argument. By learning to identify effective components of an argument, students are able to strengthen their own work by searching for strong arguments in this unit an</w:t>
      </w:r>
      <w:r w:rsidR="005B67E0" w:rsidRPr="00564620">
        <w:t>d writing strong arguments in 11</w:t>
      </w:r>
      <w:r w:rsidRPr="00564620">
        <w:t xml:space="preserve">.3.3. </w:t>
      </w:r>
    </w:p>
    <w:p w14:paraId="627B358D" w14:textId="77777777" w:rsidR="002514C3" w:rsidRPr="00564620" w:rsidRDefault="002514C3" w:rsidP="002514C3">
      <w:pPr>
        <w:pStyle w:val="SA"/>
      </w:pPr>
      <w:r w:rsidRPr="00564620">
        <w:t xml:space="preserve">Students listen. </w:t>
      </w:r>
    </w:p>
    <w:p w14:paraId="2BC23C4A" w14:textId="77777777" w:rsidR="002514C3" w:rsidRPr="00564620" w:rsidRDefault="002514C3" w:rsidP="002514C3">
      <w:pPr>
        <w:pStyle w:val="TA"/>
      </w:pPr>
      <w:r w:rsidRPr="00564620">
        <w:t>Instruct students to examine the first section of the Evidence-Based Arguments Checklist: Content and Analysis. Explain to students that this section is further broken down into four subsections: Clarity and Relevance, Conformity to Sources, Understanding of the Issue, and Acknowledgement of Other Perspectives. The goal of these four subsections is to identify the strength of the author’s content by examining their use of varied sources and clear claims, and identifying if they possess a deep and thorough understanding of the issue supported by broad research. Instruct students to follow along on their Evidence-Based Checklist.</w:t>
      </w:r>
    </w:p>
    <w:p w14:paraId="558FA318" w14:textId="77777777" w:rsidR="002514C3" w:rsidRPr="00564620" w:rsidRDefault="002514C3" w:rsidP="002514C3">
      <w:pPr>
        <w:pStyle w:val="SA"/>
      </w:pPr>
      <w:r w:rsidRPr="00564620">
        <w:t xml:space="preserve">Students follow along. </w:t>
      </w:r>
    </w:p>
    <w:p w14:paraId="0270C31D" w14:textId="77777777" w:rsidR="002514C3" w:rsidRPr="00564620" w:rsidRDefault="002514C3" w:rsidP="002514C3">
      <w:pPr>
        <w:pStyle w:val="BulletedList"/>
      </w:pPr>
      <w:r w:rsidRPr="00564620">
        <w:t xml:space="preserve">Clarity and Relevance </w:t>
      </w:r>
    </w:p>
    <w:p w14:paraId="3AF9D886" w14:textId="77777777" w:rsidR="002514C3" w:rsidRPr="00564620" w:rsidRDefault="002514C3" w:rsidP="002514C3">
      <w:pPr>
        <w:pStyle w:val="TA"/>
      </w:pPr>
      <w:r w:rsidRPr="00564620">
        <w:t xml:space="preserve">Examine this section with students. Explain that each subsection has a sentence that explains what an ideal example of this technique would look like. For example, a well-executed example of Clarity and Relevance “purposefully states a central claim that is linked to a clearly identified context (topic, problem, issue) that establishes its relevance.” Instruct students that they can use this as a guideline and reference for examining a text. </w:t>
      </w:r>
    </w:p>
    <w:p w14:paraId="1DF44DDF" w14:textId="17D2834F" w:rsidR="002514C3" w:rsidRPr="00564620" w:rsidRDefault="002514C3" w:rsidP="002514C3">
      <w:pPr>
        <w:pStyle w:val="TA"/>
      </w:pPr>
      <w:r w:rsidRPr="00564620">
        <w:t>Explain to students t</w:t>
      </w:r>
      <w:r w:rsidR="00583275" w:rsidRPr="00564620">
        <w:t>hat in the model text</w:t>
      </w:r>
      <w:r w:rsidR="00266902" w:rsidRPr="00564620">
        <w:t>,</w:t>
      </w:r>
      <w:r w:rsidR="00DD5ABD" w:rsidRPr="00564620">
        <w:t xml:space="preserve"> Zakaria </w:t>
      </w:r>
      <w:r w:rsidR="008B2218" w:rsidRPr="00564620">
        <w:t>presents the claim that major reform is needed in how the U</w:t>
      </w:r>
      <w:r w:rsidR="00AE1519">
        <w:t>.</w:t>
      </w:r>
      <w:r w:rsidR="008B2218" w:rsidRPr="00564620">
        <w:t>N</w:t>
      </w:r>
      <w:r w:rsidR="00AE1519">
        <w:t>.</w:t>
      </w:r>
      <w:r w:rsidR="008B2218" w:rsidRPr="00564620">
        <w:t xml:space="preserve"> handles intervention</w:t>
      </w:r>
      <w:r w:rsidR="00F534EF" w:rsidRPr="00564620">
        <w:t xml:space="preserve"> in cases of genocide</w:t>
      </w:r>
      <w:r w:rsidR="005B67E0" w:rsidRPr="00564620">
        <w:t>.</w:t>
      </w:r>
      <w:r w:rsidR="008B2218" w:rsidRPr="00564620">
        <w:t xml:space="preserve"> </w:t>
      </w:r>
      <w:r w:rsidR="00DD5ABD" w:rsidRPr="00564620">
        <w:t>Zakaria</w:t>
      </w:r>
      <w:r w:rsidR="008B2218" w:rsidRPr="00564620">
        <w:t xml:space="preserve"> </w:t>
      </w:r>
      <w:r w:rsidR="00271389" w:rsidRPr="00564620">
        <w:t xml:space="preserve">establishes the relevance of this claim </w:t>
      </w:r>
      <w:r w:rsidR="00583275" w:rsidRPr="00564620">
        <w:t>by using the example of</w:t>
      </w:r>
      <w:r w:rsidR="008B2218" w:rsidRPr="00564620">
        <w:t xml:space="preserve"> </w:t>
      </w:r>
      <w:r w:rsidR="00583275" w:rsidRPr="00564620">
        <w:t xml:space="preserve">Rwanda </w:t>
      </w:r>
      <w:r w:rsidR="008B2218" w:rsidRPr="00564620">
        <w:t xml:space="preserve">and other </w:t>
      </w:r>
      <w:r w:rsidR="00271389" w:rsidRPr="00564620">
        <w:t xml:space="preserve">cases </w:t>
      </w:r>
      <w:r w:rsidR="008B2218" w:rsidRPr="00564620">
        <w:t xml:space="preserve">of </w:t>
      </w:r>
      <w:r w:rsidR="009E189A" w:rsidRPr="00564620">
        <w:t xml:space="preserve">ineffective </w:t>
      </w:r>
      <w:r w:rsidR="008B2218" w:rsidRPr="00564620">
        <w:t>U</w:t>
      </w:r>
      <w:r w:rsidR="00AE1519">
        <w:t>.</w:t>
      </w:r>
      <w:r w:rsidR="008B2218" w:rsidRPr="00564620">
        <w:t>N</w:t>
      </w:r>
      <w:r w:rsidR="00AE1519">
        <w:t>.</w:t>
      </w:r>
      <w:r w:rsidR="008B2218" w:rsidRPr="00564620">
        <w:t xml:space="preserve"> intervention</w:t>
      </w:r>
      <w:r w:rsidR="00271389" w:rsidRPr="00564620">
        <w:t>. He also calls</w:t>
      </w:r>
      <w:r w:rsidR="008B2218" w:rsidRPr="00564620">
        <w:t xml:space="preserve"> for a reevaluation of </w:t>
      </w:r>
      <w:r w:rsidR="00B12B5F" w:rsidRPr="00564620">
        <w:t xml:space="preserve">how these incidents are handled and how the major powers </w:t>
      </w:r>
      <w:r w:rsidR="00695A30" w:rsidRPr="00564620">
        <w:t xml:space="preserve">that comprise the </w:t>
      </w:r>
      <w:r w:rsidR="00B12B5F" w:rsidRPr="00564620">
        <w:t>U</w:t>
      </w:r>
      <w:r w:rsidR="00AE1519">
        <w:t>.</w:t>
      </w:r>
      <w:r w:rsidR="00B12B5F" w:rsidRPr="00564620">
        <w:t>N</w:t>
      </w:r>
      <w:r w:rsidR="00AE1519">
        <w:t>.</w:t>
      </w:r>
      <w:r w:rsidR="00B12B5F" w:rsidRPr="00564620">
        <w:t xml:space="preserve"> </w:t>
      </w:r>
      <w:r w:rsidR="00300E89" w:rsidRPr="00564620">
        <w:t>failed</w:t>
      </w:r>
      <w:r w:rsidR="00695A30" w:rsidRPr="00564620">
        <w:t xml:space="preserve"> to respond to genocide in Rwanda</w:t>
      </w:r>
      <w:r w:rsidR="00B12B5F" w:rsidRPr="00564620">
        <w:t>.</w:t>
      </w:r>
      <w:r w:rsidR="008B2218" w:rsidRPr="00564620">
        <w:t xml:space="preserve"> </w:t>
      </w:r>
      <w:r w:rsidR="00266902" w:rsidRPr="00564620">
        <w:t>T</w:t>
      </w:r>
      <w:r w:rsidR="005808C9" w:rsidRPr="00564620">
        <w:t xml:space="preserve">hese are important questions that are relevant to how the world functions today. Since both </w:t>
      </w:r>
      <w:r w:rsidR="00271389" w:rsidRPr="00564620">
        <w:t xml:space="preserve">the claim and relevance are clearly presented, </w:t>
      </w:r>
      <w:r w:rsidR="00AE1519">
        <w:t xml:space="preserve">students should indicate the presence of </w:t>
      </w:r>
      <w:r w:rsidR="00271389" w:rsidRPr="00564620">
        <w:t xml:space="preserve">Clarity and Relevance </w:t>
      </w:r>
      <w:r w:rsidR="00DD5ABD" w:rsidRPr="00564620">
        <w:t xml:space="preserve">with a check mark. </w:t>
      </w:r>
    </w:p>
    <w:p w14:paraId="405C2F8A" w14:textId="7EAC6500" w:rsidR="002514C3" w:rsidRPr="00564620" w:rsidRDefault="00280FAB" w:rsidP="002514C3">
      <w:pPr>
        <w:pStyle w:val="TA"/>
      </w:pPr>
      <w:r>
        <w:t>Examine the C</w:t>
      </w:r>
      <w:r w:rsidR="002514C3" w:rsidRPr="00564620">
        <w:t xml:space="preserve">omments sections with students. Inform students that this section is where they need to explain their reasoning for their observations and provide evidence when necessary. </w:t>
      </w:r>
      <w:r w:rsidR="00AE1519">
        <w:t>Some</w:t>
      </w:r>
      <w:r w:rsidR="002514C3" w:rsidRPr="00564620">
        <w:t xml:space="preserve"> arguments might</w:t>
      </w:r>
      <w:r w:rsidR="00583275" w:rsidRPr="00564620">
        <w:t xml:space="preserve"> require </w:t>
      </w:r>
      <w:r w:rsidR="00AE1519">
        <w:t>careful, close reading</w:t>
      </w:r>
      <w:r w:rsidR="00583275" w:rsidRPr="00564620">
        <w:t xml:space="preserve"> to </w:t>
      </w:r>
      <w:r w:rsidR="00AE1519">
        <w:t>evaluate</w:t>
      </w:r>
      <w:r w:rsidR="00583275" w:rsidRPr="00564620">
        <w:t xml:space="preserve"> whether or not they fulfill a category</w:t>
      </w:r>
      <w:r w:rsidR="00AE1519">
        <w:t>, so</w:t>
      </w:r>
      <w:r w:rsidR="002514C3" w:rsidRPr="00564620">
        <w:t xml:space="preserve"> it is essential that </w:t>
      </w:r>
      <w:r w:rsidR="00AE1519">
        <w:t>students</w:t>
      </w:r>
      <w:r w:rsidR="002514C3" w:rsidRPr="00564620">
        <w:t xml:space="preserve"> justify their </w:t>
      </w:r>
      <w:r w:rsidR="00AE1519">
        <w:t>evaluation</w:t>
      </w:r>
      <w:r w:rsidR="002514C3" w:rsidRPr="00564620">
        <w:t xml:space="preserve"> in this section. The comment box provides students the opportunity to defend their decisions. </w:t>
      </w:r>
    </w:p>
    <w:p w14:paraId="2B989E92" w14:textId="3810FFB6" w:rsidR="002514C3" w:rsidRPr="00564620" w:rsidRDefault="00280FAB" w:rsidP="002514C3">
      <w:pPr>
        <w:pStyle w:val="TA"/>
      </w:pPr>
      <w:r>
        <w:t>Model the C</w:t>
      </w:r>
      <w:r w:rsidR="002514C3" w:rsidRPr="00564620">
        <w:t>omments section for students</w:t>
      </w:r>
      <w:r>
        <w:t xml:space="preserve"> by filling in the C</w:t>
      </w:r>
      <w:r w:rsidR="002514C3" w:rsidRPr="00564620">
        <w:t xml:space="preserve">omments box with a short statement that provides reasoning and examples that support the decision about whether or not this component is present in the text. </w:t>
      </w:r>
    </w:p>
    <w:p w14:paraId="19080DED" w14:textId="77777777" w:rsidR="002514C3" w:rsidRPr="00564620" w:rsidRDefault="002514C3" w:rsidP="002514C3">
      <w:pPr>
        <w:pStyle w:val="IN"/>
      </w:pPr>
      <w:r w:rsidRPr="00564620">
        <w:t>Consider using the example above or the example from the model tool to show how to complete the Comments section of the tool.</w:t>
      </w:r>
    </w:p>
    <w:p w14:paraId="650AEA21" w14:textId="77777777" w:rsidR="002514C3" w:rsidRPr="00564620" w:rsidRDefault="002514C3" w:rsidP="002514C3">
      <w:pPr>
        <w:pStyle w:val="SA"/>
      </w:pPr>
      <w:r w:rsidRPr="00564620">
        <w:t>Students follow along.</w:t>
      </w:r>
    </w:p>
    <w:p w14:paraId="6EC4D432" w14:textId="77777777" w:rsidR="002514C3" w:rsidRPr="00564620" w:rsidRDefault="002514C3" w:rsidP="002514C3">
      <w:pPr>
        <w:pStyle w:val="BulletedList"/>
      </w:pPr>
      <w:r w:rsidRPr="00564620">
        <w:t>Conformity to Sources</w:t>
      </w:r>
    </w:p>
    <w:p w14:paraId="100D64B3" w14:textId="70963BE1" w:rsidR="002514C3" w:rsidRPr="00564620" w:rsidRDefault="003F6B88" w:rsidP="002514C3">
      <w:pPr>
        <w:pStyle w:val="TA"/>
      </w:pPr>
      <w:r>
        <w:t>Explain</w:t>
      </w:r>
      <w:r w:rsidR="002514C3" w:rsidRPr="00564620">
        <w:t xml:space="preserve"> that a</w:t>
      </w:r>
      <w:r>
        <w:t>n argument that shows</w:t>
      </w:r>
      <w:r w:rsidR="002514C3" w:rsidRPr="00564620">
        <w:t xml:space="preserve"> Conformity to Sources “presents a perspective that arises from ideas and evidence found in a range of diverse, credible</w:t>
      </w:r>
      <w:r w:rsidR="009032DB" w:rsidRPr="00564620">
        <w:t>,</w:t>
      </w:r>
      <w:r w:rsidR="002514C3" w:rsidRPr="00564620">
        <w:t xml:space="preserve"> and significant sources.” This section has two important meanings: the writer must present a perspective in the text, and must also provide a range of ideas and evidence that are different from one another, significant in their content, and credible. Instruct students that they can use this as a guideline and reference for examining a text. </w:t>
      </w:r>
    </w:p>
    <w:p w14:paraId="6CDCD51B" w14:textId="77777777" w:rsidR="002514C3" w:rsidRPr="00564620" w:rsidRDefault="002514C3" w:rsidP="002514C3">
      <w:pPr>
        <w:pStyle w:val="IN"/>
      </w:pPr>
      <w:r w:rsidRPr="00564620">
        <w:t xml:space="preserve">Remind students of the word </w:t>
      </w:r>
      <w:r w:rsidRPr="00564620">
        <w:rPr>
          <w:i/>
        </w:rPr>
        <w:t>credible</w:t>
      </w:r>
      <w:r w:rsidR="005B67E0" w:rsidRPr="00564620">
        <w:t xml:space="preserve"> from 11</w:t>
      </w:r>
      <w:r w:rsidRPr="00564620">
        <w:t xml:space="preserve">.3.2 Lesson 3 (“worthy of belief or confidence; trustworthy”). </w:t>
      </w:r>
    </w:p>
    <w:p w14:paraId="6EE861D8" w14:textId="398B893D" w:rsidR="002514C3" w:rsidRPr="00564620" w:rsidRDefault="002514C3" w:rsidP="002514C3">
      <w:pPr>
        <w:pStyle w:val="TA"/>
      </w:pPr>
      <w:r w:rsidRPr="00564620">
        <w:t xml:space="preserve">Inform students that </w:t>
      </w:r>
      <w:r w:rsidR="00DD5ABD" w:rsidRPr="00564620">
        <w:t xml:space="preserve">Zakaria does not provide sources for his information in this article. Although it is possible that the perspective presented in this text is supported by </w:t>
      </w:r>
      <w:r w:rsidR="00300E89" w:rsidRPr="00564620">
        <w:t xml:space="preserve">credible </w:t>
      </w:r>
      <w:r w:rsidR="00DD5ABD" w:rsidRPr="00564620">
        <w:t xml:space="preserve">evidence, it is impossible to determine </w:t>
      </w:r>
      <w:r w:rsidR="003F6B88">
        <w:t>the argument’s</w:t>
      </w:r>
      <w:r w:rsidR="00300E89" w:rsidRPr="00564620">
        <w:t xml:space="preserve"> credibility</w:t>
      </w:r>
      <w:r w:rsidR="003F6B88" w:rsidRPr="003F6B88">
        <w:t xml:space="preserve"> </w:t>
      </w:r>
      <w:r w:rsidR="003F6B88" w:rsidRPr="00564620">
        <w:t>without examining the sources of this evidence</w:t>
      </w:r>
      <w:r w:rsidR="003F6B88">
        <w:t>.</w:t>
      </w:r>
      <w:r w:rsidR="003F6B88" w:rsidRPr="00564620">
        <w:t xml:space="preserve"> </w:t>
      </w:r>
      <w:r w:rsidR="00DD5ABD" w:rsidRPr="00564620">
        <w:t xml:space="preserve">Because of this lack of </w:t>
      </w:r>
      <w:r w:rsidR="00271389" w:rsidRPr="00564620">
        <w:t xml:space="preserve">cited </w:t>
      </w:r>
      <w:r w:rsidR="00DD5ABD" w:rsidRPr="00564620">
        <w:t>evidence</w:t>
      </w:r>
      <w:r w:rsidR="00271389" w:rsidRPr="00564620">
        <w:t>,</w:t>
      </w:r>
      <w:r w:rsidR="00DD5ABD" w:rsidRPr="00564620">
        <w:t xml:space="preserve"> the check box in </w:t>
      </w:r>
      <w:r w:rsidR="00940A8E" w:rsidRPr="00564620">
        <w:t>the Conformity to Sources section</w:t>
      </w:r>
      <w:r w:rsidR="00DD5ABD" w:rsidRPr="00564620">
        <w:t xml:space="preserve"> should be left blank.   </w:t>
      </w:r>
      <w:r w:rsidRPr="00564620">
        <w:t xml:space="preserve"> </w:t>
      </w:r>
    </w:p>
    <w:p w14:paraId="63FE912E" w14:textId="77777777" w:rsidR="005351D1" w:rsidRPr="00564620" w:rsidRDefault="00DC4024" w:rsidP="00D230E8">
      <w:pPr>
        <w:pStyle w:val="IN"/>
      </w:pPr>
      <w:r w:rsidRPr="00564620">
        <w:t xml:space="preserve">The model source provided for this lesson lacks source citation for the presented evidence. Consider drawing student attention to this as a warning sign for potentially unreliable sources. Consider using this as an example for additional discussion about the vetting of sources if necessary. </w:t>
      </w:r>
    </w:p>
    <w:p w14:paraId="38147956" w14:textId="254793E6" w:rsidR="002514C3" w:rsidRPr="00564620" w:rsidRDefault="002514C3" w:rsidP="002514C3">
      <w:pPr>
        <w:pStyle w:val="TA"/>
      </w:pPr>
      <w:r w:rsidRPr="00564620">
        <w:t xml:space="preserve">Model the </w:t>
      </w:r>
      <w:r w:rsidR="00280FAB">
        <w:t>C</w:t>
      </w:r>
      <w:r w:rsidRPr="00564620">
        <w:t xml:space="preserve">omments section for students by filling in the </w:t>
      </w:r>
      <w:r w:rsidR="00280FAB">
        <w:t>C</w:t>
      </w:r>
      <w:r w:rsidRPr="00564620">
        <w:t xml:space="preserve">omments box with a short statement that provides reasoning and examples that support the decision about whether or not this component is present in the text. </w:t>
      </w:r>
    </w:p>
    <w:p w14:paraId="047FBA1A" w14:textId="77777777" w:rsidR="002514C3" w:rsidRPr="00564620" w:rsidRDefault="002514C3" w:rsidP="002514C3">
      <w:pPr>
        <w:pStyle w:val="IN"/>
      </w:pPr>
      <w:r w:rsidRPr="00564620">
        <w:t>Consider using the example above or the example from the model tool to show how to complete the Comments section of the tool.</w:t>
      </w:r>
    </w:p>
    <w:p w14:paraId="33133377" w14:textId="77777777" w:rsidR="002514C3" w:rsidRPr="00564620" w:rsidRDefault="002514C3" w:rsidP="002514C3">
      <w:pPr>
        <w:pStyle w:val="SA"/>
      </w:pPr>
      <w:r w:rsidRPr="00564620">
        <w:t xml:space="preserve">Students follow along. </w:t>
      </w:r>
    </w:p>
    <w:p w14:paraId="02AA22AB" w14:textId="77777777" w:rsidR="002514C3" w:rsidRPr="00564620" w:rsidRDefault="002514C3" w:rsidP="002514C3">
      <w:pPr>
        <w:pStyle w:val="BulletedList"/>
        <w:keepNext/>
      </w:pPr>
      <w:r w:rsidRPr="00564620">
        <w:t>Understanding of the Issue</w:t>
      </w:r>
    </w:p>
    <w:p w14:paraId="5400A3B5" w14:textId="55529285" w:rsidR="002514C3" w:rsidRPr="00564620" w:rsidRDefault="002514C3" w:rsidP="002514C3">
      <w:pPr>
        <w:pStyle w:val="TA"/>
      </w:pPr>
      <w:r w:rsidRPr="00564620">
        <w:t xml:space="preserve">Examine </w:t>
      </w:r>
      <w:r w:rsidR="00940A8E" w:rsidRPr="00564620">
        <w:t xml:space="preserve">the Understanding of the Issue </w:t>
      </w:r>
      <w:r w:rsidRPr="00564620">
        <w:t>section with student</w:t>
      </w:r>
      <w:r w:rsidR="003F6B88">
        <w:t>s. Inform students that an argument that demonstrates</w:t>
      </w:r>
      <w:r w:rsidRPr="00564620">
        <w:t xml:space="preserve"> Understanding of the Issue “presents a perspective based on a comprehensive understanding of the issue, and establishes a series of valid claims that emerge from reasoned analysis.” Instruct students that they can use this as a guideline and reference for examining a text. </w:t>
      </w:r>
    </w:p>
    <w:p w14:paraId="37952954" w14:textId="0433EB6A" w:rsidR="002514C3" w:rsidRPr="00564620" w:rsidRDefault="003F6B88" w:rsidP="002514C3">
      <w:pPr>
        <w:pStyle w:val="TA"/>
      </w:pPr>
      <w:r>
        <w:t>I</w:t>
      </w:r>
      <w:r w:rsidR="00AF084B" w:rsidRPr="00564620">
        <w:t>n the model text, Zakaria builds a series of valid claim</w:t>
      </w:r>
      <w:r w:rsidR="00517F63" w:rsidRPr="00564620">
        <w:t>s</w:t>
      </w:r>
      <w:r w:rsidR="00617348" w:rsidRPr="00564620">
        <w:t xml:space="preserve"> that support </w:t>
      </w:r>
      <w:r w:rsidR="0000325C" w:rsidRPr="00564620">
        <w:t>one an</w:t>
      </w:r>
      <w:r w:rsidR="00617348" w:rsidRPr="00564620">
        <w:t xml:space="preserve">other and contribute to his central claim. </w:t>
      </w:r>
      <w:r w:rsidR="00AF084B" w:rsidRPr="00564620">
        <w:t>He begins by establishing that the United Nations intervention was a failure in Rwanda</w:t>
      </w:r>
      <w:r w:rsidR="00FD4C69" w:rsidRPr="00564620">
        <w:t>. He</w:t>
      </w:r>
      <w:r w:rsidR="00FF4016" w:rsidRPr="00564620">
        <w:t xml:space="preserve"> </w:t>
      </w:r>
      <w:r w:rsidR="00AF084B" w:rsidRPr="00564620">
        <w:t xml:space="preserve">then calls </w:t>
      </w:r>
      <w:r w:rsidR="001D3945" w:rsidRPr="00564620">
        <w:t xml:space="preserve">on </w:t>
      </w:r>
      <w:r w:rsidR="00AF084B" w:rsidRPr="00564620">
        <w:t>the leading powers of the U</w:t>
      </w:r>
      <w:r>
        <w:t>.</w:t>
      </w:r>
      <w:r w:rsidR="00AF084B" w:rsidRPr="00564620">
        <w:t>N</w:t>
      </w:r>
      <w:r>
        <w:t>.</w:t>
      </w:r>
      <w:r w:rsidR="00AF084B" w:rsidRPr="00564620">
        <w:t xml:space="preserve"> to account for their actions</w:t>
      </w:r>
      <w:r>
        <w:t>,</w:t>
      </w:r>
      <w:r w:rsidR="00AF084B" w:rsidRPr="00564620">
        <w:t xml:space="preserve"> and finally </w:t>
      </w:r>
      <w:r w:rsidR="00FD4C69" w:rsidRPr="00564620">
        <w:t xml:space="preserve">he </w:t>
      </w:r>
      <w:r w:rsidR="00AF084B" w:rsidRPr="00564620">
        <w:t>examines the failure of the U</w:t>
      </w:r>
      <w:r>
        <w:t>.</w:t>
      </w:r>
      <w:r w:rsidR="00AF084B" w:rsidRPr="00564620">
        <w:t>N</w:t>
      </w:r>
      <w:r>
        <w:t>.</w:t>
      </w:r>
      <w:r w:rsidR="00AF084B" w:rsidRPr="00564620">
        <w:t xml:space="preserve"> on a larger scale. The </w:t>
      </w:r>
      <w:r w:rsidR="00617348" w:rsidRPr="00564620">
        <w:t>variety of claims show</w:t>
      </w:r>
      <w:r w:rsidR="0000325C" w:rsidRPr="00564620">
        <w:t>s</w:t>
      </w:r>
      <w:r w:rsidR="00617348" w:rsidRPr="00564620">
        <w:t xml:space="preserve"> that Zakaria has a comprehensive understanding of the issue and broad knowledge of the subject. </w:t>
      </w:r>
      <w:r w:rsidR="0000325C" w:rsidRPr="00564620">
        <w:t xml:space="preserve">Because Zakaria has presented a perspective based on a comprehensive understanding of the issue and established valid claims that emerge from reasoned analysis, </w:t>
      </w:r>
      <w:r w:rsidR="00617348" w:rsidRPr="00564620">
        <w:t xml:space="preserve">a check mark </w:t>
      </w:r>
      <w:r w:rsidR="00D230E8" w:rsidRPr="00564620">
        <w:t xml:space="preserve">should be made </w:t>
      </w:r>
      <w:r w:rsidR="00617348" w:rsidRPr="00564620">
        <w:t xml:space="preserve">in </w:t>
      </w:r>
      <w:r w:rsidR="00940A8E" w:rsidRPr="00564620">
        <w:t>Understanding of the Issue</w:t>
      </w:r>
      <w:r w:rsidR="00617348" w:rsidRPr="00564620">
        <w:t xml:space="preserve"> </w:t>
      </w:r>
      <w:r>
        <w:t>box</w:t>
      </w:r>
      <w:r w:rsidR="00617348" w:rsidRPr="00564620">
        <w:t xml:space="preserve">. </w:t>
      </w:r>
    </w:p>
    <w:p w14:paraId="705F4C70" w14:textId="3929CDB8" w:rsidR="002514C3" w:rsidRPr="00564620" w:rsidRDefault="002514C3" w:rsidP="002514C3">
      <w:pPr>
        <w:pStyle w:val="TA"/>
      </w:pPr>
      <w:r w:rsidRPr="00564620">
        <w:t xml:space="preserve">Model the </w:t>
      </w:r>
      <w:r w:rsidR="00280FAB">
        <w:t>C</w:t>
      </w:r>
      <w:r w:rsidRPr="00564620">
        <w:t xml:space="preserve">omments section for students by filling in the </w:t>
      </w:r>
      <w:r w:rsidR="00280FAB">
        <w:t>C</w:t>
      </w:r>
      <w:r w:rsidRPr="00564620">
        <w:t xml:space="preserve">omments box with a short statement that provides reasoning and examples that support the decision about whether or not this component is present in the text. </w:t>
      </w:r>
    </w:p>
    <w:p w14:paraId="13044520" w14:textId="77777777" w:rsidR="002514C3" w:rsidRPr="00564620" w:rsidRDefault="002514C3" w:rsidP="002514C3">
      <w:pPr>
        <w:pStyle w:val="IN"/>
      </w:pPr>
      <w:r w:rsidRPr="00564620">
        <w:t>Consider using the example above or the example from the model tool to show how to complete the Comments section of the tool.</w:t>
      </w:r>
    </w:p>
    <w:p w14:paraId="25DC8769" w14:textId="77777777" w:rsidR="002514C3" w:rsidRPr="00564620" w:rsidRDefault="002514C3" w:rsidP="002514C3">
      <w:pPr>
        <w:pStyle w:val="SA"/>
      </w:pPr>
      <w:r w:rsidRPr="00564620">
        <w:t xml:space="preserve">Students follow along. </w:t>
      </w:r>
    </w:p>
    <w:p w14:paraId="1843961F" w14:textId="77777777" w:rsidR="002514C3" w:rsidRPr="00564620" w:rsidRDefault="002514C3" w:rsidP="002514C3">
      <w:pPr>
        <w:pStyle w:val="BulletedList"/>
      </w:pPr>
      <w:r w:rsidRPr="00564620">
        <w:t>Acknowledgement of Other Perspectives</w:t>
      </w:r>
    </w:p>
    <w:p w14:paraId="73E2E7F8" w14:textId="2D755BEC" w:rsidR="002514C3" w:rsidRPr="00564620" w:rsidRDefault="002514C3" w:rsidP="002514C3">
      <w:pPr>
        <w:pStyle w:val="TA"/>
      </w:pPr>
      <w:r w:rsidRPr="00564620">
        <w:t>Examine this sectio</w:t>
      </w:r>
      <w:r w:rsidR="003F6B88">
        <w:t xml:space="preserve">n with students. Explain that an argument that demonstrates </w:t>
      </w:r>
      <w:r w:rsidRPr="00564620">
        <w:t>Acknowledgement of Other Perspectives “recognizes opposing or alternate claims and distinguishes these claims from the stated perspective.” This means that the author achieves two important goals: provide</w:t>
      </w:r>
      <w:r w:rsidR="003F6B88">
        <w:t>s</w:t>
      </w:r>
      <w:r w:rsidRPr="00564620">
        <w:t xml:space="preserve"> other claims in the argument and distinguish</w:t>
      </w:r>
      <w:r w:rsidR="003F6B88">
        <w:t>es</w:t>
      </w:r>
      <w:r w:rsidRPr="00564620">
        <w:t xml:space="preserve"> these claims from each other and from the central claim of the argument. </w:t>
      </w:r>
    </w:p>
    <w:p w14:paraId="62EA0496" w14:textId="5C94B90D" w:rsidR="002514C3" w:rsidRPr="00564620" w:rsidRDefault="002514C3" w:rsidP="002514C3">
      <w:pPr>
        <w:pStyle w:val="TA"/>
      </w:pPr>
      <w:r w:rsidRPr="00564620">
        <w:t>Explain to students that in the model text</w:t>
      </w:r>
      <w:r w:rsidR="00940A8E" w:rsidRPr="00564620">
        <w:t>,</w:t>
      </w:r>
      <w:r w:rsidRPr="00564620">
        <w:t xml:space="preserve"> </w:t>
      </w:r>
      <w:r w:rsidR="00B12B5F" w:rsidRPr="00564620">
        <w:t>Zakaria does not clearly establish or acknowledge any opposing claims</w:t>
      </w:r>
      <w:r w:rsidR="005B67E0" w:rsidRPr="00564620">
        <w:t>.</w:t>
      </w:r>
      <w:r w:rsidR="00B12B5F" w:rsidRPr="00564620">
        <w:t xml:space="preserve"> Although he does mention the </w:t>
      </w:r>
      <w:r w:rsidR="00DB7F2E" w:rsidRPr="00564620">
        <w:t xml:space="preserve">successes of the </w:t>
      </w:r>
      <w:r w:rsidR="00B12B5F" w:rsidRPr="00564620">
        <w:t>U</w:t>
      </w:r>
      <w:r w:rsidR="003F6B88">
        <w:t>.</w:t>
      </w:r>
      <w:r w:rsidR="00B12B5F" w:rsidRPr="00564620">
        <w:t>N</w:t>
      </w:r>
      <w:r w:rsidR="003F6B88">
        <w:t>.</w:t>
      </w:r>
      <w:r w:rsidR="00DB7F2E" w:rsidRPr="00564620">
        <w:t xml:space="preserve"> in Moza</w:t>
      </w:r>
      <w:r w:rsidR="00A25744" w:rsidRPr="00564620">
        <w:t>m</w:t>
      </w:r>
      <w:r w:rsidR="00DB7F2E" w:rsidRPr="00564620">
        <w:t>bique, East Timor</w:t>
      </w:r>
      <w:r w:rsidR="00A25744" w:rsidRPr="00564620">
        <w:t>,</w:t>
      </w:r>
      <w:r w:rsidR="00DB7F2E" w:rsidRPr="00564620">
        <w:t xml:space="preserve"> and El Salvador</w:t>
      </w:r>
      <w:r w:rsidR="007B6B1B" w:rsidRPr="00564620">
        <w:t>,</w:t>
      </w:r>
      <w:r w:rsidR="00B12B5F" w:rsidRPr="00564620">
        <w:t xml:space="preserve"> he does not adequately explore this </w:t>
      </w:r>
      <w:r w:rsidR="00DB7F2E" w:rsidRPr="00564620">
        <w:t xml:space="preserve">claim </w:t>
      </w:r>
      <w:r w:rsidR="00B12B5F" w:rsidRPr="00564620">
        <w:t>nor does he present it as a counterclaim</w:t>
      </w:r>
      <w:r w:rsidR="007B6B1B" w:rsidRPr="00564620">
        <w:t xml:space="preserve"> to his central claim</w:t>
      </w:r>
      <w:r w:rsidR="00B12B5F" w:rsidRPr="00564620">
        <w:t xml:space="preserve">. Because of this lack of </w:t>
      </w:r>
      <w:r w:rsidR="0090693B" w:rsidRPr="00564620">
        <w:t xml:space="preserve">a </w:t>
      </w:r>
      <w:r w:rsidR="00B12B5F" w:rsidRPr="00564620">
        <w:t>significant counterclaim</w:t>
      </w:r>
      <w:r w:rsidR="00D230E8" w:rsidRPr="00564620">
        <w:t xml:space="preserve"> the </w:t>
      </w:r>
      <w:r w:rsidR="00B12B5F" w:rsidRPr="00564620">
        <w:t xml:space="preserve">check box in </w:t>
      </w:r>
      <w:r w:rsidR="00940A8E" w:rsidRPr="00564620">
        <w:t xml:space="preserve">the Acknowledgement of Other Perspectives </w:t>
      </w:r>
      <w:r w:rsidR="00B12B5F" w:rsidRPr="00564620">
        <w:t xml:space="preserve">section should be left blank.    </w:t>
      </w:r>
    </w:p>
    <w:p w14:paraId="46BED31F" w14:textId="4D080ED7" w:rsidR="002514C3" w:rsidRPr="00564620" w:rsidRDefault="002514C3" w:rsidP="002514C3">
      <w:pPr>
        <w:pStyle w:val="TA"/>
      </w:pPr>
      <w:r w:rsidRPr="00564620">
        <w:t xml:space="preserve">Model the </w:t>
      </w:r>
      <w:r w:rsidR="00280FAB">
        <w:t>C</w:t>
      </w:r>
      <w:r w:rsidRPr="00564620">
        <w:t xml:space="preserve">omments section for students by filling in the </w:t>
      </w:r>
      <w:r w:rsidR="00280FAB">
        <w:t>C</w:t>
      </w:r>
      <w:r w:rsidRPr="00564620">
        <w:t xml:space="preserve">omments box with a short statement that provides reasoning and examples that support the decision about whether or not this component is present in the text. </w:t>
      </w:r>
    </w:p>
    <w:p w14:paraId="21B623EE" w14:textId="508BFE7D" w:rsidR="002514C3" w:rsidRPr="00564620" w:rsidRDefault="002514C3" w:rsidP="002514C3">
      <w:pPr>
        <w:pStyle w:val="IN"/>
      </w:pPr>
      <w:r w:rsidRPr="00564620">
        <w:t>Consider using the example above or the example from the model tool to show how to complete the Comments section of the tool.</w:t>
      </w:r>
    </w:p>
    <w:p w14:paraId="638D28DE" w14:textId="77777777" w:rsidR="002514C3" w:rsidRPr="00564620" w:rsidRDefault="002514C3" w:rsidP="002514C3">
      <w:pPr>
        <w:pStyle w:val="SA"/>
      </w:pPr>
      <w:r w:rsidRPr="00564620">
        <w:t xml:space="preserve">Students follow along. </w:t>
      </w:r>
    </w:p>
    <w:p w14:paraId="3965AA76" w14:textId="77777777" w:rsidR="002514C3" w:rsidRPr="00564620" w:rsidRDefault="002514C3" w:rsidP="002514C3">
      <w:pPr>
        <w:pStyle w:val="TA"/>
      </w:pPr>
      <w:r w:rsidRPr="00564620">
        <w:t xml:space="preserve">Using this format, continue modeling the Evidence-Based Arguments Checklist using the Model Evidence-Based Arguments Checklist at the end of this lesson. </w:t>
      </w:r>
    </w:p>
    <w:p w14:paraId="0C49343B" w14:textId="77777777" w:rsidR="002514C3" w:rsidRPr="00564620" w:rsidRDefault="002514C3" w:rsidP="002514C3">
      <w:pPr>
        <w:pStyle w:val="SA"/>
      </w:pPr>
      <w:r w:rsidRPr="00564620">
        <w:t xml:space="preserve">Students follow along. </w:t>
      </w:r>
    </w:p>
    <w:p w14:paraId="6F657A39" w14:textId="77777777" w:rsidR="002514C3" w:rsidRDefault="002514C3" w:rsidP="002514C3">
      <w:pPr>
        <w:pStyle w:val="IN"/>
      </w:pPr>
      <w:r w:rsidRPr="00564620">
        <w:rPr>
          <w:b/>
        </w:rPr>
        <w:t>Differentiation Consideration:</w:t>
      </w:r>
      <w:r w:rsidRPr="00564620">
        <w:t xml:space="preserve"> Consider using the end of this section as an opportunity to field questions about the Evidence-Based Arguments Checklist and check in with students to gauge understanding of the tool in preparation for the following activity.</w:t>
      </w:r>
    </w:p>
    <w:p w14:paraId="230EBECA" w14:textId="77777777" w:rsidR="00707670" w:rsidRPr="00564620" w:rsidRDefault="00707670" w:rsidP="00707670">
      <w:pPr>
        <w:pStyle w:val="LearningSequenceHeader"/>
      </w:pPr>
      <w:r w:rsidRPr="00564620">
        <w:t>Activity 5</w:t>
      </w:r>
      <w:r w:rsidR="005B67E0" w:rsidRPr="00564620">
        <w:t xml:space="preserve">: </w:t>
      </w:r>
      <w:r w:rsidR="00C74E34">
        <w:t>Argument Evaluation Activity</w:t>
      </w:r>
      <w:r w:rsidR="005B67E0" w:rsidRPr="00564620">
        <w:t xml:space="preserve"> and Assessment</w:t>
      </w:r>
      <w:r w:rsidR="003C0A22" w:rsidRPr="00564620">
        <w:tab/>
        <w:t>30</w:t>
      </w:r>
      <w:r w:rsidRPr="00564620">
        <w:t>%</w:t>
      </w:r>
    </w:p>
    <w:p w14:paraId="07BA1C62" w14:textId="4B987247" w:rsidR="002514C3" w:rsidRPr="00564620" w:rsidRDefault="002514C3" w:rsidP="002514C3">
      <w:pPr>
        <w:pStyle w:val="TA"/>
      </w:pPr>
      <w:r w:rsidRPr="00564620">
        <w:t xml:space="preserve">Explain </w:t>
      </w:r>
      <w:r w:rsidR="003F6B88">
        <w:t xml:space="preserve">that </w:t>
      </w:r>
      <w:r w:rsidRPr="00564620">
        <w:t xml:space="preserve">students </w:t>
      </w:r>
      <w:r w:rsidR="003F6B88">
        <w:t>will</w:t>
      </w:r>
      <w:r w:rsidRPr="00564620">
        <w:t xml:space="preserve"> now </w:t>
      </w:r>
      <w:r w:rsidR="003F6B88">
        <w:t>do</w:t>
      </w:r>
      <w:r w:rsidRPr="00564620">
        <w:t xml:space="preserve"> an activity using the Evidence-Based Arguments Checklist. Students work in groups to evaluate at least two posted arguments by completing an Evidence-Based Arguments Checklist. </w:t>
      </w:r>
    </w:p>
    <w:p w14:paraId="09DF9CA5" w14:textId="77777777" w:rsidR="002514C3" w:rsidRPr="00564620" w:rsidRDefault="002514C3" w:rsidP="002514C3">
      <w:pPr>
        <w:pStyle w:val="TA"/>
      </w:pPr>
      <w:r w:rsidRPr="00564620">
        <w:t>Post three to four model arguments around the classroom for students to examine.</w:t>
      </w:r>
    </w:p>
    <w:p w14:paraId="62890C87" w14:textId="461ACC49" w:rsidR="002514C3" w:rsidRPr="00564620" w:rsidRDefault="00B33149" w:rsidP="002514C3">
      <w:pPr>
        <w:pStyle w:val="IN"/>
      </w:pPr>
      <w:r>
        <w:rPr>
          <w:b/>
        </w:rPr>
        <w:t xml:space="preserve">Differentiation Consideration: </w:t>
      </w:r>
      <w:r w:rsidR="002514C3" w:rsidRPr="00564620">
        <w:t xml:space="preserve">Consider finding </w:t>
      </w:r>
      <w:r w:rsidR="00146E8B">
        <w:t>alternative</w:t>
      </w:r>
      <w:r w:rsidR="00146E8B" w:rsidRPr="00564620">
        <w:t xml:space="preserve"> </w:t>
      </w:r>
      <w:r w:rsidR="002514C3" w:rsidRPr="00564620">
        <w:t xml:space="preserve">arguments that are better suited to students’ </w:t>
      </w:r>
      <w:r w:rsidR="00146E8B">
        <w:t>individual research and evaluation skills.</w:t>
      </w:r>
    </w:p>
    <w:p w14:paraId="007EA37F" w14:textId="0269C8B6" w:rsidR="002514C3" w:rsidRPr="00564620" w:rsidRDefault="002514C3" w:rsidP="00B33149">
      <w:pPr>
        <w:pStyle w:val="IN"/>
      </w:pPr>
      <w:r w:rsidRPr="00564620">
        <w:t>Consider posting arguments that contain varying levels of sophistication with regard to the Evidenc</w:t>
      </w:r>
      <w:r w:rsidR="003F6B88">
        <w:t>e-Based Arguments Checklist; consider including some</w:t>
      </w:r>
      <w:r w:rsidRPr="00564620">
        <w:t xml:space="preserve"> arguments that fail to provide a command of evidence or sufficient analysis. </w:t>
      </w:r>
    </w:p>
    <w:p w14:paraId="31EA38B2" w14:textId="08E7D5CD" w:rsidR="008A4564" w:rsidRPr="00564620" w:rsidRDefault="008A4564" w:rsidP="008A4564">
      <w:pPr>
        <w:pStyle w:val="TA"/>
      </w:pPr>
      <w:r>
        <w:t>Explain</w:t>
      </w:r>
      <w:r w:rsidRPr="00564620">
        <w:t xml:space="preserve"> that </w:t>
      </w:r>
      <w:r>
        <w:t>this</w:t>
      </w:r>
      <w:r w:rsidRPr="00564620">
        <w:t xml:space="preserve"> activity develops </w:t>
      </w:r>
      <w:r>
        <w:t>students’</w:t>
      </w:r>
      <w:r w:rsidRPr="00564620">
        <w:t xml:space="preserve"> understanding of how to evaluate arguments by asking them to work in groups to examine the posted arguments. Students examine the posted arguments and use the Evidence-Based Arguments Checklist to evaluate these arguments. In addition, students should provide textual evidence for their judgment by including where they found evidence of the arguments’ strengths/weaknesses in the </w:t>
      </w:r>
      <w:r w:rsidR="00280FAB">
        <w:t>C</w:t>
      </w:r>
      <w:r w:rsidRPr="00564620">
        <w:t xml:space="preserve">omments section of the Evidence-Based Arguments Checklist. </w:t>
      </w:r>
    </w:p>
    <w:p w14:paraId="018DDC69" w14:textId="77777777" w:rsidR="008A4564" w:rsidRPr="00564620" w:rsidRDefault="008A4564" w:rsidP="008A4564">
      <w:pPr>
        <w:pStyle w:val="SA"/>
      </w:pPr>
      <w:r w:rsidRPr="00564620">
        <w:t>Students listen.</w:t>
      </w:r>
    </w:p>
    <w:p w14:paraId="2FB12FF9" w14:textId="77777777" w:rsidR="008A4564" w:rsidRDefault="008A4564" w:rsidP="002514C3">
      <w:pPr>
        <w:pStyle w:val="TA"/>
      </w:pPr>
      <w:r>
        <w:t>Create groups of</w:t>
      </w:r>
      <w:r w:rsidR="002514C3" w:rsidRPr="00564620">
        <w:t xml:space="preserve"> four to five students. </w:t>
      </w:r>
      <w:r>
        <w:t>Each group will evaluate two posted arguments using the Evidence-Based Arguments Checklist. Each group should discuss the arguments and collaborate to discover the strengths and weaknesses of each argument.</w:t>
      </w:r>
    </w:p>
    <w:p w14:paraId="1552E427" w14:textId="3E67806C" w:rsidR="002514C3" w:rsidRPr="00564620" w:rsidRDefault="002514C3" w:rsidP="002514C3">
      <w:pPr>
        <w:pStyle w:val="TA"/>
      </w:pPr>
      <w:r w:rsidRPr="00564620">
        <w:t xml:space="preserve">Assign each group a posted argument </w:t>
      </w:r>
      <w:r w:rsidR="008A4564">
        <w:t xml:space="preserve">to start with, </w:t>
      </w:r>
      <w:r w:rsidRPr="00564620">
        <w:t xml:space="preserve">and then instruct each group to move clockwise after the first half of this activity to examine the next model argument. </w:t>
      </w:r>
    </w:p>
    <w:p w14:paraId="28077BAB" w14:textId="4F0D14AF" w:rsidR="002514C3" w:rsidRPr="00564620" w:rsidRDefault="002514C3" w:rsidP="002514C3">
      <w:pPr>
        <w:pStyle w:val="SA"/>
      </w:pPr>
      <w:r w:rsidRPr="00564620">
        <w:t xml:space="preserve">Student groups complete the Evidence-Based Arguments Checklist </w:t>
      </w:r>
      <w:r w:rsidR="008A4564">
        <w:t>for</w:t>
      </w:r>
      <w:r w:rsidRPr="00564620">
        <w:t xml:space="preserve"> two posted arguments. </w:t>
      </w:r>
    </w:p>
    <w:p w14:paraId="422029BF" w14:textId="77777777" w:rsidR="002514C3" w:rsidRPr="00564620" w:rsidRDefault="002514C3" w:rsidP="002514C3">
      <w:pPr>
        <w:pStyle w:val="IN"/>
      </w:pPr>
      <w:r w:rsidRPr="00564620">
        <w:t xml:space="preserve">Consider circulating during this activity to offer support and provide answers to any clarifying questions. </w:t>
      </w:r>
    </w:p>
    <w:p w14:paraId="66EE65AE" w14:textId="77777777" w:rsidR="002514C3" w:rsidRPr="00564620" w:rsidRDefault="002514C3" w:rsidP="002514C3">
      <w:pPr>
        <w:pStyle w:val="IN"/>
      </w:pPr>
      <w:r w:rsidRPr="00564620">
        <w:t>Remind students that evaluating arguments is also pa</w:t>
      </w:r>
      <w:r w:rsidR="003C0A22" w:rsidRPr="00564620">
        <w:t>rt of the research aspect of W.11-12</w:t>
      </w:r>
      <w:r w:rsidRPr="00564620">
        <w:t xml:space="preserve">.7. </w:t>
      </w:r>
    </w:p>
    <w:p w14:paraId="62BFABE9" w14:textId="77777777" w:rsidR="002514C3" w:rsidRPr="00564620" w:rsidRDefault="002514C3" w:rsidP="002514C3">
      <w:pPr>
        <w:pStyle w:val="IN"/>
      </w:pPr>
      <w:r w:rsidRPr="00564620">
        <w:t xml:space="preserve">Consider reminding students of their </w:t>
      </w:r>
      <w:r w:rsidR="003C0A22" w:rsidRPr="00564620">
        <w:t>previous work with standard SL.11-12</w:t>
      </w:r>
      <w:r w:rsidRPr="00564620">
        <w:t>.1, which requires that students participate in collaborative discussions, building on each other’s ideas and expressing their own clearly and persuasively.</w:t>
      </w:r>
    </w:p>
    <w:p w14:paraId="6E32F277" w14:textId="77777777" w:rsidR="002514C3" w:rsidRPr="00564620" w:rsidRDefault="002514C3" w:rsidP="002514C3">
      <w:pPr>
        <w:pStyle w:val="BR"/>
      </w:pPr>
    </w:p>
    <w:p w14:paraId="338CC3DB" w14:textId="7DA2F6AA" w:rsidR="002514C3" w:rsidRPr="00564620" w:rsidRDefault="008A4564" w:rsidP="002514C3">
      <w:pPr>
        <w:pStyle w:val="TA"/>
      </w:pPr>
      <w:r>
        <w:t>Each individual student should complete two Evidence-Based Argument Checklists—one for each of the two assigned arguments. Instruct</w:t>
      </w:r>
      <w:r w:rsidR="002514C3" w:rsidRPr="00564620">
        <w:t xml:space="preserve"> students </w:t>
      </w:r>
      <w:r>
        <w:t>to</w:t>
      </w:r>
      <w:r w:rsidR="002514C3" w:rsidRPr="00564620">
        <w:t xml:space="preserve"> turn them in at the end of the lesson. </w:t>
      </w:r>
    </w:p>
    <w:p w14:paraId="3A426F84" w14:textId="77777777" w:rsidR="002514C3" w:rsidRPr="00564620" w:rsidRDefault="002514C3" w:rsidP="002514C3">
      <w:pPr>
        <w:pStyle w:val="IN"/>
      </w:pPr>
      <w:r w:rsidRPr="00564620">
        <w:rPr>
          <w:b/>
        </w:rPr>
        <w:t>Differentiation Consideration:</w:t>
      </w:r>
      <w:r w:rsidRPr="00564620">
        <w:t xml:space="preserve"> Depending on the skill level of the students, consider adjusting the number of argument evaluations required for this lesson assessment or assigning specific model arguments to specific groups. </w:t>
      </w:r>
    </w:p>
    <w:p w14:paraId="21BCF552" w14:textId="77777777" w:rsidR="009403AD" w:rsidRPr="00564620" w:rsidRDefault="00C5015B" w:rsidP="00CE2836">
      <w:pPr>
        <w:pStyle w:val="LearningSequenceHeader"/>
      </w:pPr>
      <w:r w:rsidRPr="00564620">
        <w:t>Activity 6</w:t>
      </w:r>
      <w:r w:rsidR="009403AD" w:rsidRPr="00564620">
        <w:t>: Closing</w:t>
      </w:r>
      <w:r w:rsidR="009403AD" w:rsidRPr="00564620">
        <w:tab/>
        <w:t>5%</w:t>
      </w:r>
    </w:p>
    <w:p w14:paraId="691C0083" w14:textId="7ADBB212" w:rsidR="002514C3" w:rsidRPr="00564620" w:rsidRDefault="002514C3" w:rsidP="002514C3">
      <w:pPr>
        <w:pStyle w:val="TA"/>
      </w:pPr>
      <w:r w:rsidRPr="00564620">
        <w:t xml:space="preserve">Display and distribute the homework assignment. For homework, instruct students to find two potential sources and evaluate the arguments in the sources using the Evidence-Based Arguments Checklist. Ask students to include detailed comments and textual evidence to support their choices in the </w:t>
      </w:r>
      <w:r w:rsidR="00280FAB">
        <w:t>C</w:t>
      </w:r>
      <w:r w:rsidRPr="00564620">
        <w:t>omments section of the Evidence-Based Arguments Checklist for each potential source.</w:t>
      </w:r>
    </w:p>
    <w:p w14:paraId="724C847E" w14:textId="77777777" w:rsidR="002514C3" w:rsidRPr="00564620" w:rsidRDefault="002514C3" w:rsidP="002514C3">
      <w:pPr>
        <w:pStyle w:val="SA"/>
      </w:pPr>
      <w:r w:rsidRPr="00564620">
        <w:t>Students follow along.</w:t>
      </w:r>
    </w:p>
    <w:p w14:paraId="7C83CCFB" w14:textId="77777777" w:rsidR="002514C3" w:rsidRPr="00564620" w:rsidRDefault="002514C3" w:rsidP="002514C3">
      <w:pPr>
        <w:pStyle w:val="IN"/>
      </w:pPr>
      <w:r w:rsidRPr="00564620">
        <w:rPr>
          <w:b/>
        </w:rPr>
        <w:t>Differentiation Consideration:</w:t>
      </w:r>
      <w:r w:rsidRPr="00564620">
        <w:t xml:space="preserve"> Some of the topics students are researching may yield complex or inaccessible texts. To address this concern, consider recommending that students make use of free databases accessible through </w:t>
      </w:r>
      <w:hyperlink r:id="rId15" w:tgtFrame="_blank" w:history="1">
        <w:r w:rsidRPr="00564620">
          <w:rPr>
            <w:rStyle w:val="Hyperlink"/>
          </w:rPr>
          <w:t>http://novelnewyork.org/</w:t>
        </w:r>
      </w:hyperlink>
      <w:r w:rsidRPr="00564620">
        <w:t xml:space="preserve"> such as Grolier, Gale, and ProQuest; these databases allow searches by subject/keyword and students may filter the searches so that only texts within certain Lexile ranges are returned. Consider collaborating with a librarian or media specialist to access these databases and create filtered searches that support students’ reading levels.</w:t>
      </w:r>
    </w:p>
    <w:p w14:paraId="675BB916" w14:textId="77777777" w:rsidR="002514C3" w:rsidRPr="00564620" w:rsidRDefault="002514C3" w:rsidP="002514C3">
      <w:pPr>
        <w:pStyle w:val="Heading1"/>
      </w:pPr>
      <w:r w:rsidRPr="00564620">
        <w:t>Homework</w:t>
      </w:r>
    </w:p>
    <w:p w14:paraId="44D85D3B" w14:textId="3965CB77" w:rsidR="002514C3" w:rsidRPr="00564620" w:rsidRDefault="002514C3" w:rsidP="002514C3">
      <w:r w:rsidRPr="00564620">
        <w:t xml:space="preserve">Find two potential sources and evaluate the arguments in the sources by using the Evidence-Based Arguments Checklist. Include detailed comments and textual evidence to support your choices in the </w:t>
      </w:r>
      <w:r w:rsidR="00280FAB">
        <w:t>C</w:t>
      </w:r>
      <w:r w:rsidRPr="00564620">
        <w:t>omments section of the Evidence-Based Arguments Checklist for each potential source.</w:t>
      </w:r>
    </w:p>
    <w:p w14:paraId="3B7D6AEA" w14:textId="77777777" w:rsidR="002514C3" w:rsidRPr="00564620" w:rsidRDefault="002514C3" w:rsidP="002514C3"/>
    <w:p w14:paraId="557B5B9D" w14:textId="77777777" w:rsidR="00690405" w:rsidRPr="00564620" w:rsidRDefault="00690405" w:rsidP="002514C3">
      <w:pPr>
        <w:sectPr w:rsidR="00690405" w:rsidRPr="00564620">
          <w:headerReference w:type="default" r:id="rId16"/>
          <w:footerReference w:type="even" r:id="rId17"/>
          <w:footerReference w:type="default" r:id="rId18"/>
          <w:pgSz w:w="12240" w:h="15840"/>
          <w:pgMar w:top="1440" w:right="1440" w:bottom="1440" w:left="1440" w:header="432" w:footer="648" w:gutter="0"/>
          <w:cols w:space="720"/>
          <w:docGrid w:linePitch="299"/>
        </w:sectPr>
      </w:pPr>
    </w:p>
    <w:p w14:paraId="7876703F" w14:textId="77777777" w:rsidR="002514C3" w:rsidRPr="00564620" w:rsidRDefault="002514C3" w:rsidP="002514C3">
      <w:pPr>
        <w:pStyle w:val="ToolHeader"/>
      </w:pPr>
      <w:r w:rsidRPr="00564620">
        <w:t xml:space="preserve">Evidence-Based Arguments Checklist </w:t>
      </w:r>
    </w:p>
    <w:tbl>
      <w:tblPr>
        <w:tblStyle w:val="TableGrid"/>
        <w:tblW w:w="0" w:type="auto"/>
        <w:tblInd w:w="115" w:type="dxa"/>
        <w:tblLook w:val="04A0" w:firstRow="1" w:lastRow="0" w:firstColumn="1" w:lastColumn="0" w:noHBand="0" w:noVBand="1"/>
      </w:tblPr>
      <w:tblGrid>
        <w:gridCol w:w="1135"/>
        <w:gridCol w:w="3835"/>
        <w:gridCol w:w="1013"/>
        <w:gridCol w:w="4191"/>
        <w:gridCol w:w="996"/>
        <w:gridCol w:w="1891"/>
      </w:tblGrid>
      <w:tr w:rsidR="002514C3" w:rsidRPr="00564620" w14:paraId="3B0FC974" w14:textId="77777777">
        <w:trPr>
          <w:trHeight w:val="516"/>
        </w:trPr>
        <w:tc>
          <w:tcPr>
            <w:tcW w:w="1137" w:type="dxa"/>
            <w:shd w:val="clear" w:color="auto" w:fill="D9D9D9" w:themeFill="background1" w:themeFillShade="D9"/>
            <w:vAlign w:val="center"/>
          </w:tcPr>
          <w:p w14:paraId="72BD1566" w14:textId="77777777" w:rsidR="002514C3" w:rsidRPr="00564620" w:rsidRDefault="002514C3" w:rsidP="002514C3">
            <w:pPr>
              <w:pStyle w:val="TableText"/>
              <w:rPr>
                <w:b/>
              </w:rPr>
            </w:pPr>
            <w:r w:rsidRPr="00564620">
              <w:rPr>
                <w:b/>
              </w:rPr>
              <w:t>Name:</w:t>
            </w:r>
          </w:p>
        </w:tc>
        <w:tc>
          <w:tcPr>
            <w:tcW w:w="3863" w:type="dxa"/>
            <w:vAlign w:val="center"/>
          </w:tcPr>
          <w:p w14:paraId="5AEAD547" w14:textId="77777777" w:rsidR="002514C3" w:rsidRPr="00564620" w:rsidRDefault="002514C3" w:rsidP="002514C3">
            <w:pPr>
              <w:pStyle w:val="TableText"/>
              <w:rPr>
                <w:b/>
              </w:rPr>
            </w:pPr>
          </w:p>
        </w:tc>
        <w:tc>
          <w:tcPr>
            <w:tcW w:w="1015" w:type="dxa"/>
            <w:shd w:val="clear" w:color="auto" w:fill="D9D9D9" w:themeFill="background1" w:themeFillShade="D9"/>
            <w:vAlign w:val="center"/>
          </w:tcPr>
          <w:p w14:paraId="7E04DBEE" w14:textId="77777777" w:rsidR="002514C3" w:rsidRPr="00564620" w:rsidRDefault="002514C3" w:rsidP="002514C3">
            <w:pPr>
              <w:pStyle w:val="TableText"/>
              <w:rPr>
                <w:b/>
              </w:rPr>
            </w:pPr>
            <w:r w:rsidRPr="00564620">
              <w:rPr>
                <w:b/>
              </w:rPr>
              <w:t>Class:</w:t>
            </w:r>
          </w:p>
        </w:tc>
        <w:tc>
          <w:tcPr>
            <w:tcW w:w="4222" w:type="dxa"/>
            <w:vAlign w:val="center"/>
          </w:tcPr>
          <w:p w14:paraId="1B76432F" w14:textId="77777777" w:rsidR="002514C3" w:rsidRPr="00564620" w:rsidRDefault="002514C3" w:rsidP="002514C3">
            <w:pPr>
              <w:pStyle w:val="TableText"/>
              <w:rPr>
                <w:b/>
              </w:rPr>
            </w:pPr>
          </w:p>
        </w:tc>
        <w:tc>
          <w:tcPr>
            <w:tcW w:w="998" w:type="dxa"/>
            <w:shd w:val="clear" w:color="auto" w:fill="D9D9D9" w:themeFill="background1" w:themeFillShade="D9"/>
            <w:vAlign w:val="center"/>
          </w:tcPr>
          <w:p w14:paraId="22FC1028" w14:textId="77777777" w:rsidR="002514C3" w:rsidRPr="00564620" w:rsidRDefault="002514C3" w:rsidP="002514C3">
            <w:pPr>
              <w:pStyle w:val="TableText"/>
              <w:rPr>
                <w:b/>
              </w:rPr>
            </w:pPr>
            <w:r w:rsidRPr="00564620">
              <w:rPr>
                <w:b/>
              </w:rPr>
              <w:t>Date:</w:t>
            </w:r>
          </w:p>
        </w:tc>
        <w:tc>
          <w:tcPr>
            <w:tcW w:w="1904" w:type="dxa"/>
            <w:vAlign w:val="center"/>
          </w:tcPr>
          <w:p w14:paraId="3B049D35" w14:textId="77777777" w:rsidR="002514C3" w:rsidRPr="00564620" w:rsidRDefault="002514C3" w:rsidP="002514C3">
            <w:pPr>
              <w:pStyle w:val="TableText"/>
              <w:rPr>
                <w:b/>
              </w:rPr>
            </w:pPr>
          </w:p>
        </w:tc>
      </w:tr>
    </w:tbl>
    <w:p w14:paraId="67B040C1" w14:textId="77777777" w:rsidR="002514C3" w:rsidRDefault="002514C3" w:rsidP="002514C3">
      <w:pPr>
        <w:spacing w:before="0" w:after="0"/>
        <w:rPr>
          <w:sz w:val="10"/>
        </w:rPr>
      </w:pPr>
    </w:p>
    <w:p w14:paraId="7BBB02DD" w14:textId="3B88DE73" w:rsidR="000D33DA" w:rsidRPr="000D33DA" w:rsidRDefault="000D33DA" w:rsidP="002514C3">
      <w:pPr>
        <w:spacing w:before="0" w:after="0"/>
        <w:rPr>
          <w:b/>
        </w:rPr>
      </w:pPr>
      <w:r w:rsidRPr="000D33DA">
        <w:rPr>
          <w:b/>
        </w:rPr>
        <w:t xml:space="preserve">Text: </w:t>
      </w:r>
    </w:p>
    <w:tbl>
      <w:tblPr>
        <w:tblStyle w:val="TableGrid"/>
        <w:tblW w:w="13043" w:type="dxa"/>
        <w:tblInd w:w="115" w:type="dxa"/>
        <w:tblLayout w:type="fixed"/>
        <w:tblLook w:val="04A0" w:firstRow="1" w:lastRow="0" w:firstColumn="1" w:lastColumn="0" w:noHBand="0" w:noVBand="1"/>
      </w:tblPr>
      <w:tblGrid>
        <w:gridCol w:w="2251"/>
        <w:gridCol w:w="3534"/>
        <w:gridCol w:w="443"/>
        <w:gridCol w:w="6815"/>
      </w:tblGrid>
      <w:tr w:rsidR="002514C3" w:rsidRPr="00564620" w14:paraId="34375C4F" w14:textId="77777777">
        <w:trPr>
          <w:trHeight w:val="144"/>
          <w:tblHeader/>
        </w:trPr>
        <w:tc>
          <w:tcPr>
            <w:tcW w:w="2251" w:type="dxa"/>
            <w:shd w:val="clear" w:color="auto" w:fill="D9D9D9" w:themeFill="background1" w:themeFillShade="D9"/>
          </w:tcPr>
          <w:p w14:paraId="6FB10F3E" w14:textId="77777777" w:rsidR="002514C3" w:rsidRPr="00564620" w:rsidRDefault="002514C3" w:rsidP="002514C3">
            <w:pPr>
              <w:pStyle w:val="ToolTableText"/>
              <w:rPr>
                <w:b/>
              </w:rPr>
            </w:pPr>
            <w:r w:rsidRPr="00564620">
              <w:rPr>
                <w:b/>
              </w:rPr>
              <w:t>Argument Sections</w:t>
            </w:r>
          </w:p>
        </w:tc>
        <w:tc>
          <w:tcPr>
            <w:tcW w:w="3534" w:type="dxa"/>
            <w:shd w:val="clear" w:color="auto" w:fill="D9D9D9" w:themeFill="background1" w:themeFillShade="D9"/>
          </w:tcPr>
          <w:p w14:paraId="76A2A346" w14:textId="77777777" w:rsidR="002514C3" w:rsidRPr="00564620" w:rsidRDefault="002514C3" w:rsidP="002514C3">
            <w:pPr>
              <w:pStyle w:val="ToolTableText"/>
              <w:rPr>
                <w:b/>
              </w:rPr>
            </w:pPr>
            <w:r w:rsidRPr="00564620">
              <w:rPr>
                <w:b/>
              </w:rPr>
              <w:t>Section Components</w:t>
            </w:r>
          </w:p>
        </w:tc>
        <w:tc>
          <w:tcPr>
            <w:tcW w:w="443" w:type="dxa"/>
            <w:shd w:val="clear" w:color="auto" w:fill="D9D9D9" w:themeFill="background1" w:themeFillShade="D9"/>
          </w:tcPr>
          <w:p w14:paraId="585EA80B" w14:textId="77777777" w:rsidR="002514C3" w:rsidRPr="00564620" w:rsidRDefault="002514C3" w:rsidP="002514C3">
            <w:pPr>
              <w:pStyle w:val="ToolTableText"/>
              <w:rPr>
                <w:b/>
              </w:rPr>
            </w:pPr>
            <w:r w:rsidRPr="00564620">
              <w:rPr>
                <w:rFonts w:ascii="MS Gothic" w:eastAsia="MS Gothic" w:hAnsi="MS Gothic" w:hint="eastAsia"/>
                <w:b/>
              </w:rPr>
              <w:t>☐</w:t>
            </w:r>
          </w:p>
        </w:tc>
        <w:tc>
          <w:tcPr>
            <w:tcW w:w="6815" w:type="dxa"/>
            <w:shd w:val="clear" w:color="auto" w:fill="D9D9D9" w:themeFill="background1" w:themeFillShade="D9"/>
          </w:tcPr>
          <w:p w14:paraId="42619253" w14:textId="77777777" w:rsidR="002514C3" w:rsidRPr="00564620" w:rsidRDefault="002514C3" w:rsidP="002514C3">
            <w:pPr>
              <w:pStyle w:val="ToolTableText"/>
              <w:rPr>
                <w:b/>
              </w:rPr>
            </w:pPr>
            <w:r w:rsidRPr="00564620">
              <w:rPr>
                <w:b/>
              </w:rPr>
              <w:t>Comments</w:t>
            </w:r>
          </w:p>
        </w:tc>
      </w:tr>
      <w:tr w:rsidR="002514C3" w:rsidRPr="00564620" w14:paraId="4F3E41C4" w14:textId="77777777">
        <w:trPr>
          <w:trHeight w:val="144"/>
        </w:trPr>
        <w:tc>
          <w:tcPr>
            <w:tcW w:w="2251" w:type="dxa"/>
            <w:vMerge w:val="restart"/>
          </w:tcPr>
          <w:p w14:paraId="4ADD1A97" w14:textId="77777777" w:rsidR="002514C3" w:rsidRPr="00564620" w:rsidRDefault="002514C3" w:rsidP="002514C3">
            <w:pPr>
              <w:pStyle w:val="ToolTableText"/>
              <w:rPr>
                <w:b/>
              </w:rPr>
            </w:pPr>
            <w:r w:rsidRPr="00564620">
              <w:rPr>
                <w:b/>
              </w:rPr>
              <w:t>Content and Analysis</w:t>
            </w:r>
          </w:p>
        </w:tc>
        <w:tc>
          <w:tcPr>
            <w:tcW w:w="3534" w:type="dxa"/>
          </w:tcPr>
          <w:p w14:paraId="1F51EF2B" w14:textId="77777777" w:rsidR="002514C3" w:rsidRPr="00564620" w:rsidRDefault="002514C3" w:rsidP="002514C3">
            <w:pPr>
              <w:pStyle w:val="ToolTableText"/>
              <w:rPr>
                <w:b/>
              </w:rPr>
            </w:pPr>
            <w:r w:rsidRPr="00564620">
              <w:rPr>
                <w:b/>
              </w:rPr>
              <w:t xml:space="preserve">Clarity and Relevance: </w:t>
            </w:r>
            <w:r w:rsidRPr="00564620">
              <w:t>Purposefully states a central claim that is linked to a clearly identified context (topic, problem, issue) that establishes its relevance.</w:t>
            </w:r>
          </w:p>
        </w:tc>
        <w:tc>
          <w:tcPr>
            <w:tcW w:w="443" w:type="dxa"/>
          </w:tcPr>
          <w:p w14:paraId="25511612" w14:textId="77777777" w:rsidR="002514C3" w:rsidRPr="00564620" w:rsidRDefault="002514C3" w:rsidP="002514C3">
            <w:r w:rsidRPr="00564620">
              <w:rPr>
                <w:rFonts w:ascii="MS Gothic" w:eastAsia="MS Gothic" w:hAnsi="MS Gothic" w:hint="eastAsia"/>
              </w:rPr>
              <w:t>☐</w:t>
            </w:r>
          </w:p>
        </w:tc>
        <w:tc>
          <w:tcPr>
            <w:tcW w:w="6815" w:type="dxa"/>
          </w:tcPr>
          <w:p w14:paraId="32C87506" w14:textId="77777777" w:rsidR="002514C3" w:rsidRPr="00564620" w:rsidRDefault="002514C3" w:rsidP="00082FC3">
            <w:pPr>
              <w:pStyle w:val="ToolTableText"/>
            </w:pPr>
          </w:p>
        </w:tc>
      </w:tr>
      <w:tr w:rsidR="002514C3" w:rsidRPr="00564620" w14:paraId="3C282F84" w14:textId="77777777">
        <w:trPr>
          <w:trHeight w:val="144"/>
        </w:trPr>
        <w:tc>
          <w:tcPr>
            <w:tcW w:w="2251" w:type="dxa"/>
            <w:vMerge/>
          </w:tcPr>
          <w:p w14:paraId="226DED32" w14:textId="77777777" w:rsidR="002514C3" w:rsidRPr="00564620" w:rsidRDefault="002514C3" w:rsidP="002514C3">
            <w:pPr>
              <w:pStyle w:val="ToolTableText"/>
            </w:pPr>
          </w:p>
        </w:tc>
        <w:tc>
          <w:tcPr>
            <w:tcW w:w="3534" w:type="dxa"/>
          </w:tcPr>
          <w:p w14:paraId="6E316DB4" w14:textId="77777777" w:rsidR="002514C3" w:rsidRPr="00564620" w:rsidRDefault="002514C3" w:rsidP="002514C3">
            <w:pPr>
              <w:pStyle w:val="ToolTableText"/>
              <w:rPr>
                <w:b/>
              </w:rPr>
            </w:pPr>
            <w:r w:rsidRPr="00564620">
              <w:rPr>
                <w:b/>
              </w:rPr>
              <w:t xml:space="preserve">Conformity to Sources: </w:t>
            </w:r>
            <w:r w:rsidRPr="00564620">
              <w:t>Presents a perspective that arises from ideas and evidence found in a range of diverse, credible, and significant sources.</w:t>
            </w:r>
          </w:p>
        </w:tc>
        <w:tc>
          <w:tcPr>
            <w:tcW w:w="443" w:type="dxa"/>
          </w:tcPr>
          <w:p w14:paraId="794A8AB9" w14:textId="77777777" w:rsidR="002514C3" w:rsidRPr="00564620" w:rsidRDefault="002514C3" w:rsidP="002514C3">
            <w:r w:rsidRPr="00564620">
              <w:rPr>
                <w:rFonts w:ascii="MS Gothic" w:eastAsia="MS Gothic" w:hAnsi="MS Gothic" w:hint="eastAsia"/>
              </w:rPr>
              <w:t>☐</w:t>
            </w:r>
          </w:p>
        </w:tc>
        <w:tc>
          <w:tcPr>
            <w:tcW w:w="6815" w:type="dxa"/>
          </w:tcPr>
          <w:p w14:paraId="3BB8D09F" w14:textId="77777777" w:rsidR="002514C3" w:rsidRPr="00564620" w:rsidRDefault="002514C3" w:rsidP="00082FC3">
            <w:pPr>
              <w:pStyle w:val="ToolTableText"/>
            </w:pPr>
          </w:p>
        </w:tc>
      </w:tr>
      <w:tr w:rsidR="002514C3" w:rsidRPr="00564620" w14:paraId="57B35C0E" w14:textId="77777777">
        <w:trPr>
          <w:trHeight w:val="144"/>
        </w:trPr>
        <w:tc>
          <w:tcPr>
            <w:tcW w:w="2251" w:type="dxa"/>
            <w:vMerge/>
          </w:tcPr>
          <w:p w14:paraId="6CB3A6EE" w14:textId="77777777" w:rsidR="002514C3" w:rsidRPr="00564620" w:rsidRDefault="002514C3" w:rsidP="002514C3">
            <w:pPr>
              <w:pStyle w:val="ToolTableText"/>
            </w:pPr>
          </w:p>
        </w:tc>
        <w:tc>
          <w:tcPr>
            <w:tcW w:w="3534" w:type="dxa"/>
          </w:tcPr>
          <w:p w14:paraId="4317D958" w14:textId="77777777" w:rsidR="002514C3" w:rsidRPr="00564620" w:rsidRDefault="002514C3" w:rsidP="002514C3">
            <w:pPr>
              <w:pStyle w:val="ToolTableText"/>
              <w:rPr>
                <w:b/>
              </w:rPr>
            </w:pPr>
            <w:r w:rsidRPr="00564620">
              <w:rPr>
                <w:b/>
              </w:rPr>
              <w:t xml:space="preserve">Understanding of the Issue: </w:t>
            </w:r>
            <w:r w:rsidRPr="00564620">
              <w:t>Presents a perspective based on a comprehensive understanding of the issue, and establishes a series of valid claims that emerge from reasoned analysis.</w:t>
            </w:r>
          </w:p>
        </w:tc>
        <w:tc>
          <w:tcPr>
            <w:tcW w:w="443" w:type="dxa"/>
          </w:tcPr>
          <w:p w14:paraId="04F9D991" w14:textId="77777777" w:rsidR="002514C3" w:rsidRPr="00564620" w:rsidRDefault="002514C3" w:rsidP="002514C3">
            <w:r w:rsidRPr="00564620">
              <w:rPr>
                <w:rFonts w:ascii="MS Gothic" w:eastAsia="MS Gothic" w:hAnsi="MS Gothic" w:hint="eastAsia"/>
              </w:rPr>
              <w:t>☐</w:t>
            </w:r>
          </w:p>
        </w:tc>
        <w:tc>
          <w:tcPr>
            <w:tcW w:w="6815" w:type="dxa"/>
          </w:tcPr>
          <w:p w14:paraId="001C45EE" w14:textId="77777777" w:rsidR="002514C3" w:rsidRPr="00564620" w:rsidRDefault="002514C3" w:rsidP="00082FC3">
            <w:pPr>
              <w:pStyle w:val="ToolTableText"/>
            </w:pPr>
          </w:p>
        </w:tc>
      </w:tr>
      <w:tr w:rsidR="002514C3" w:rsidRPr="00564620" w14:paraId="5FA433B3" w14:textId="77777777">
        <w:trPr>
          <w:trHeight w:val="144"/>
        </w:trPr>
        <w:tc>
          <w:tcPr>
            <w:tcW w:w="2251" w:type="dxa"/>
            <w:vMerge/>
          </w:tcPr>
          <w:p w14:paraId="16DF5F74" w14:textId="77777777" w:rsidR="002514C3" w:rsidRPr="00564620" w:rsidRDefault="002514C3" w:rsidP="002514C3">
            <w:pPr>
              <w:pStyle w:val="ToolTableText"/>
            </w:pPr>
          </w:p>
        </w:tc>
        <w:tc>
          <w:tcPr>
            <w:tcW w:w="3534" w:type="dxa"/>
          </w:tcPr>
          <w:p w14:paraId="125DA941" w14:textId="77777777" w:rsidR="002514C3" w:rsidRPr="00564620" w:rsidRDefault="002514C3" w:rsidP="002514C3">
            <w:pPr>
              <w:pStyle w:val="ToolTableText"/>
              <w:rPr>
                <w:b/>
              </w:rPr>
            </w:pPr>
            <w:r w:rsidRPr="00564620">
              <w:rPr>
                <w:b/>
              </w:rPr>
              <w:t>Acknowledgement of Other Perspectives:</w:t>
            </w:r>
            <w:r w:rsidRPr="00564620">
              <w:t xml:space="preserve"> Recognizes opposing or alternate claims and distinguishes these claims from the stated perspective.</w:t>
            </w:r>
          </w:p>
        </w:tc>
        <w:tc>
          <w:tcPr>
            <w:tcW w:w="443" w:type="dxa"/>
          </w:tcPr>
          <w:p w14:paraId="2E32DA5D" w14:textId="77777777" w:rsidR="002514C3" w:rsidRPr="00564620" w:rsidRDefault="002514C3" w:rsidP="002514C3">
            <w:r w:rsidRPr="00564620">
              <w:rPr>
                <w:rFonts w:ascii="MS Gothic" w:eastAsia="MS Gothic" w:hAnsi="MS Gothic" w:hint="eastAsia"/>
              </w:rPr>
              <w:t>☐</w:t>
            </w:r>
          </w:p>
        </w:tc>
        <w:tc>
          <w:tcPr>
            <w:tcW w:w="6815" w:type="dxa"/>
          </w:tcPr>
          <w:p w14:paraId="6FEFDAA7" w14:textId="77777777" w:rsidR="002514C3" w:rsidRPr="00564620" w:rsidRDefault="002514C3" w:rsidP="00082FC3">
            <w:pPr>
              <w:pStyle w:val="ToolTableText"/>
            </w:pPr>
          </w:p>
        </w:tc>
      </w:tr>
      <w:tr w:rsidR="002514C3" w:rsidRPr="00564620" w14:paraId="526C05A6" w14:textId="77777777">
        <w:trPr>
          <w:trHeight w:val="144"/>
        </w:trPr>
        <w:tc>
          <w:tcPr>
            <w:tcW w:w="2251" w:type="dxa"/>
            <w:vMerge w:val="restart"/>
          </w:tcPr>
          <w:p w14:paraId="39603DC2" w14:textId="77777777" w:rsidR="002514C3" w:rsidRPr="00564620" w:rsidRDefault="002514C3" w:rsidP="002514C3">
            <w:pPr>
              <w:pStyle w:val="ToolTableText"/>
              <w:rPr>
                <w:b/>
              </w:rPr>
            </w:pPr>
            <w:r w:rsidRPr="00564620">
              <w:rPr>
                <w:b/>
              </w:rPr>
              <w:t>Command of Evidence</w:t>
            </w:r>
          </w:p>
        </w:tc>
        <w:tc>
          <w:tcPr>
            <w:tcW w:w="3534" w:type="dxa"/>
          </w:tcPr>
          <w:p w14:paraId="3C2E0C40" w14:textId="77777777" w:rsidR="002514C3" w:rsidRPr="00564620" w:rsidRDefault="002514C3" w:rsidP="002514C3">
            <w:pPr>
              <w:pStyle w:val="ToolTableText"/>
              <w:rPr>
                <w:b/>
              </w:rPr>
            </w:pPr>
            <w:r w:rsidRPr="00564620">
              <w:rPr>
                <w:b/>
              </w:rPr>
              <w:t xml:space="preserve">Reasoning: </w:t>
            </w:r>
            <w:r w:rsidRPr="00564620">
              <w:t>Links evidence and claims together logically in ways that lead to the conclusions expressed in the central claim.</w:t>
            </w:r>
          </w:p>
        </w:tc>
        <w:tc>
          <w:tcPr>
            <w:tcW w:w="443" w:type="dxa"/>
          </w:tcPr>
          <w:p w14:paraId="4D98C5BF" w14:textId="77777777" w:rsidR="002514C3" w:rsidRPr="00564620" w:rsidRDefault="002514C3" w:rsidP="002514C3">
            <w:r w:rsidRPr="00564620">
              <w:rPr>
                <w:rFonts w:ascii="MS Gothic" w:eastAsia="MS Gothic" w:hAnsi="MS Gothic" w:hint="eastAsia"/>
              </w:rPr>
              <w:t>☐</w:t>
            </w:r>
          </w:p>
        </w:tc>
        <w:tc>
          <w:tcPr>
            <w:tcW w:w="6815" w:type="dxa"/>
          </w:tcPr>
          <w:p w14:paraId="78E709B3" w14:textId="77777777" w:rsidR="002514C3" w:rsidRPr="00564620" w:rsidRDefault="002514C3" w:rsidP="002514C3"/>
        </w:tc>
      </w:tr>
      <w:tr w:rsidR="002514C3" w:rsidRPr="00564620" w14:paraId="63E3BE32" w14:textId="77777777">
        <w:trPr>
          <w:trHeight w:val="144"/>
        </w:trPr>
        <w:tc>
          <w:tcPr>
            <w:tcW w:w="2251" w:type="dxa"/>
            <w:vMerge/>
          </w:tcPr>
          <w:p w14:paraId="15218142" w14:textId="77777777" w:rsidR="002514C3" w:rsidRPr="00564620" w:rsidRDefault="002514C3" w:rsidP="002514C3">
            <w:pPr>
              <w:pStyle w:val="ToolTableText"/>
            </w:pPr>
          </w:p>
        </w:tc>
        <w:tc>
          <w:tcPr>
            <w:tcW w:w="3534" w:type="dxa"/>
          </w:tcPr>
          <w:p w14:paraId="41686D2F" w14:textId="77777777" w:rsidR="002514C3" w:rsidRPr="00564620" w:rsidRDefault="002514C3" w:rsidP="002514C3">
            <w:pPr>
              <w:pStyle w:val="ToolTableText"/>
              <w:rPr>
                <w:b/>
              </w:rPr>
            </w:pPr>
            <w:r w:rsidRPr="00564620">
              <w:rPr>
                <w:b/>
              </w:rPr>
              <w:t xml:space="preserve">Use of Evidence: </w:t>
            </w:r>
            <w:r w:rsidRPr="00564620">
              <w:t>Supports the central claim and each supporting claim with valid inferences based on credible evidence.</w:t>
            </w:r>
          </w:p>
        </w:tc>
        <w:tc>
          <w:tcPr>
            <w:tcW w:w="443" w:type="dxa"/>
          </w:tcPr>
          <w:p w14:paraId="5E31845B" w14:textId="77777777" w:rsidR="002514C3" w:rsidRPr="00564620" w:rsidRDefault="002514C3" w:rsidP="002514C3">
            <w:r w:rsidRPr="00564620">
              <w:rPr>
                <w:rFonts w:ascii="MS Gothic" w:eastAsia="MS Gothic" w:hAnsi="MS Gothic" w:hint="eastAsia"/>
              </w:rPr>
              <w:t>☐</w:t>
            </w:r>
          </w:p>
        </w:tc>
        <w:tc>
          <w:tcPr>
            <w:tcW w:w="6815" w:type="dxa"/>
          </w:tcPr>
          <w:p w14:paraId="2CAF808F" w14:textId="77777777" w:rsidR="002514C3" w:rsidRPr="00564620" w:rsidRDefault="002514C3" w:rsidP="002514C3"/>
        </w:tc>
      </w:tr>
      <w:tr w:rsidR="002514C3" w:rsidRPr="00564620" w14:paraId="001ECEFE" w14:textId="77777777">
        <w:trPr>
          <w:trHeight w:val="144"/>
        </w:trPr>
        <w:tc>
          <w:tcPr>
            <w:tcW w:w="2251" w:type="dxa"/>
            <w:vMerge/>
          </w:tcPr>
          <w:p w14:paraId="3304729C" w14:textId="77777777" w:rsidR="002514C3" w:rsidRPr="00564620" w:rsidRDefault="002514C3" w:rsidP="002514C3">
            <w:pPr>
              <w:pStyle w:val="ToolTableText"/>
            </w:pPr>
          </w:p>
        </w:tc>
        <w:tc>
          <w:tcPr>
            <w:tcW w:w="3534" w:type="dxa"/>
          </w:tcPr>
          <w:p w14:paraId="4CAD9A78" w14:textId="77777777" w:rsidR="002514C3" w:rsidRPr="00564620" w:rsidRDefault="002514C3" w:rsidP="002514C3">
            <w:pPr>
              <w:pStyle w:val="ToolTableText"/>
              <w:rPr>
                <w:b/>
              </w:rPr>
            </w:pPr>
            <w:r w:rsidRPr="00564620">
              <w:rPr>
                <w:b/>
              </w:rPr>
              <w:t xml:space="preserve">Thoroughness and Objectivity: </w:t>
            </w:r>
            <w:r w:rsidRPr="00564620">
              <w:t>Represents a comprehensive understanding of the issue where the argument’s claims and supporting evidence fairly addresses relevant counterclaims and discusses conflicting evidence.</w:t>
            </w:r>
          </w:p>
        </w:tc>
        <w:tc>
          <w:tcPr>
            <w:tcW w:w="443" w:type="dxa"/>
          </w:tcPr>
          <w:p w14:paraId="3B0BD898" w14:textId="77777777" w:rsidR="002514C3" w:rsidRPr="00564620" w:rsidRDefault="002514C3" w:rsidP="002514C3">
            <w:r w:rsidRPr="00564620">
              <w:rPr>
                <w:rFonts w:ascii="MS Gothic" w:eastAsia="MS Gothic" w:hAnsi="MS Gothic" w:hint="eastAsia"/>
              </w:rPr>
              <w:t>☐</w:t>
            </w:r>
          </w:p>
        </w:tc>
        <w:tc>
          <w:tcPr>
            <w:tcW w:w="6815" w:type="dxa"/>
          </w:tcPr>
          <w:p w14:paraId="50810161" w14:textId="77777777" w:rsidR="002514C3" w:rsidRPr="00564620" w:rsidRDefault="002514C3" w:rsidP="002514C3"/>
        </w:tc>
      </w:tr>
      <w:tr w:rsidR="002514C3" w:rsidRPr="00564620" w14:paraId="2CC7E4E9" w14:textId="77777777">
        <w:trPr>
          <w:trHeight w:val="144"/>
        </w:trPr>
        <w:tc>
          <w:tcPr>
            <w:tcW w:w="2251" w:type="dxa"/>
            <w:vMerge w:val="restart"/>
          </w:tcPr>
          <w:p w14:paraId="38F79734" w14:textId="77777777" w:rsidR="002514C3" w:rsidRPr="00564620" w:rsidRDefault="002514C3" w:rsidP="002514C3">
            <w:pPr>
              <w:pStyle w:val="ToolTableText"/>
              <w:rPr>
                <w:b/>
              </w:rPr>
            </w:pPr>
            <w:r w:rsidRPr="00564620">
              <w:rPr>
                <w:b/>
              </w:rPr>
              <w:t>Coherence and Organization</w:t>
            </w:r>
          </w:p>
        </w:tc>
        <w:tc>
          <w:tcPr>
            <w:tcW w:w="3534" w:type="dxa"/>
          </w:tcPr>
          <w:p w14:paraId="0D7070D3" w14:textId="77777777" w:rsidR="002514C3" w:rsidRPr="00564620" w:rsidRDefault="002514C3" w:rsidP="002514C3">
            <w:pPr>
              <w:pStyle w:val="ToolTableText"/>
            </w:pPr>
            <w:r w:rsidRPr="00564620">
              <w:rPr>
                <w:b/>
              </w:rPr>
              <w:t xml:space="preserve">Relationship Among Parts: </w:t>
            </w:r>
            <w:r w:rsidRPr="00564620">
              <w:t xml:space="preserve">Establishes clear and logical relationships between supporting claims and a central claim. </w:t>
            </w:r>
          </w:p>
        </w:tc>
        <w:tc>
          <w:tcPr>
            <w:tcW w:w="443" w:type="dxa"/>
          </w:tcPr>
          <w:p w14:paraId="2DA502BB" w14:textId="77777777" w:rsidR="002514C3" w:rsidRPr="00564620" w:rsidRDefault="002514C3" w:rsidP="002514C3">
            <w:r w:rsidRPr="00564620">
              <w:rPr>
                <w:rFonts w:ascii="MS Gothic" w:eastAsia="MS Gothic" w:hAnsi="MS Gothic" w:hint="eastAsia"/>
              </w:rPr>
              <w:t>☐</w:t>
            </w:r>
          </w:p>
        </w:tc>
        <w:tc>
          <w:tcPr>
            <w:tcW w:w="6815" w:type="dxa"/>
          </w:tcPr>
          <w:p w14:paraId="2E667CA0" w14:textId="77777777" w:rsidR="002514C3" w:rsidRPr="00564620" w:rsidRDefault="002514C3" w:rsidP="002514C3"/>
        </w:tc>
      </w:tr>
      <w:tr w:rsidR="002514C3" w:rsidRPr="00564620" w14:paraId="361EF080" w14:textId="77777777">
        <w:trPr>
          <w:trHeight w:val="144"/>
        </w:trPr>
        <w:tc>
          <w:tcPr>
            <w:tcW w:w="2251" w:type="dxa"/>
            <w:vMerge/>
            <w:tcBorders>
              <w:bottom w:val="single" w:sz="4" w:space="0" w:color="auto"/>
            </w:tcBorders>
          </w:tcPr>
          <w:p w14:paraId="0BA58FDF" w14:textId="77777777" w:rsidR="002514C3" w:rsidRPr="00564620" w:rsidRDefault="002514C3" w:rsidP="002514C3">
            <w:pPr>
              <w:pStyle w:val="ToolTableText"/>
            </w:pPr>
          </w:p>
        </w:tc>
        <w:tc>
          <w:tcPr>
            <w:tcW w:w="3534" w:type="dxa"/>
          </w:tcPr>
          <w:p w14:paraId="698D0D97" w14:textId="77777777" w:rsidR="002514C3" w:rsidRPr="00564620" w:rsidRDefault="002514C3" w:rsidP="002514C3">
            <w:pPr>
              <w:pStyle w:val="ToolTableText"/>
            </w:pPr>
            <w:r w:rsidRPr="00564620">
              <w:rPr>
                <w:b/>
              </w:rPr>
              <w:t xml:space="preserve">Effectiveness of Structure: </w:t>
            </w:r>
            <w:r w:rsidRPr="00564620">
              <w:t xml:space="preserve">Adopts an organizational strategy, including an introduction and conclusion, which clearly and compellingly communicates the argument. </w:t>
            </w:r>
          </w:p>
        </w:tc>
        <w:tc>
          <w:tcPr>
            <w:tcW w:w="443" w:type="dxa"/>
          </w:tcPr>
          <w:p w14:paraId="634F40CE" w14:textId="77777777" w:rsidR="002514C3" w:rsidRPr="00564620" w:rsidRDefault="002514C3" w:rsidP="002514C3">
            <w:r w:rsidRPr="00564620">
              <w:rPr>
                <w:rFonts w:ascii="MS Gothic" w:eastAsia="MS Gothic" w:hAnsi="MS Gothic" w:hint="eastAsia"/>
              </w:rPr>
              <w:t>☐</w:t>
            </w:r>
          </w:p>
        </w:tc>
        <w:tc>
          <w:tcPr>
            <w:tcW w:w="6815" w:type="dxa"/>
          </w:tcPr>
          <w:p w14:paraId="72760EB3" w14:textId="77777777" w:rsidR="002514C3" w:rsidRPr="00564620" w:rsidRDefault="002514C3" w:rsidP="002514C3"/>
        </w:tc>
      </w:tr>
      <w:tr w:rsidR="002514C3" w:rsidRPr="00564620" w14:paraId="1B1A8E8E" w14:textId="77777777">
        <w:trPr>
          <w:trHeight w:val="1520"/>
        </w:trPr>
        <w:tc>
          <w:tcPr>
            <w:tcW w:w="2251" w:type="dxa"/>
            <w:vMerge w:val="restart"/>
            <w:tcBorders>
              <w:top w:val="single" w:sz="4" w:space="0" w:color="auto"/>
              <w:left w:val="single" w:sz="4" w:space="0" w:color="auto"/>
              <w:bottom w:val="single" w:sz="4" w:space="0" w:color="auto"/>
              <w:right w:val="single" w:sz="4" w:space="0" w:color="auto"/>
            </w:tcBorders>
          </w:tcPr>
          <w:p w14:paraId="5BFD218F" w14:textId="77777777" w:rsidR="002514C3" w:rsidRPr="00564620" w:rsidRDefault="002514C3" w:rsidP="002514C3">
            <w:pPr>
              <w:pStyle w:val="ToolTableText"/>
              <w:rPr>
                <w:b/>
              </w:rPr>
            </w:pPr>
            <w:r w:rsidRPr="00564620">
              <w:rPr>
                <w:b/>
              </w:rPr>
              <w:t>Control of Language and Conventions</w:t>
            </w:r>
          </w:p>
        </w:tc>
        <w:tc>
          <w:tcPr>
            <w:tcW w:w="3534" w:type="dxa"/>
            <w:tcBorders>
              <w:left w:val="single" w:sz="4" w:space="0" w:color="auto"/>
            </w:tcBorders>
          </w:tcPr>
          <w:p w14:paraId="18FD5A98" w14:textId="77777777" w:rsidR="002514C3" w:rsidRPr="00564620" w:rsidRDefault="002514C3" w:rsidP="002514C3">
            <w:pPr>
              <w:pStyle w:val="ToolTableText"/>
            </w:pPr>
            <w:r w:rsidRPr="00564620">
              <w:rPr>
                <w:b/>
              </w:rPr>
              <w:t xml:space="preserve">Clarity of Communication: </w:t>
            </w:r>
            <w:r w:rsidRPr="00564620">
              <w:t xml:space="preserve">Is communicated clearly and coherently. The writer’s opinions are clearly distinguished from objective summaries and statements. </w:t>
            </w:r>
          </w:p>
        </w:tc>
        <w:tc>
          <w:tcPr>
            <w:tcW w:w="443" w:type="dxa"/>
          </w:tcPr>
          <w:p w14:paraId="4A89456C" w14:textId="77777777" w:rsidR="002514C3" w:rsidRPr="00564620" w:rsidRDefault="002514C3" w:rsidP="002514C3">
            <w:r w:rsidRPr="00564620">
              <w:rPr>
                <w:rFonts w:ascii="MS Gothic" w:eastAsia="MS Gothic" w:hAnsi="MS Gothic" w:hint="eastAsia"/>
              </w:rPr>
              <w:t>☐</w:t>
            </w:r>
          </w:p>
        </w:tc>
        <w:tc>
          <w:tcPr>
            <w:tcW w:w="6815" w:type="dxa"/>
          </w:tcPr>
          <w:p w14:paraId="0F390FA9" w14:textId="77777777" w:rsidR="002514C3" w:rsidRPr="00564620" w:rsidRDefault="002514C3" w:rsidP="002514C3"/>
        </w:tc>
      </w:tr>
      <w:tr w:rsidR="002514C3" w:rsidRPr="00564620" w14:paraId="6930AEA2" w14:textId="77777777">
        <w:trPr>
          <w:trHeight w:val="1205"/>
        </w:trPr>
        <w:tc>
          <w:tcPr>
            <w:tcW w:w="2251" w:type="dxa"/>
            <w:vMerge/>
            <w:tcBorders>
              <w:top w:val="single" w:sz="4" w:space="0" w:color="auto"/>
              <w:left w:val="single" w:sz="4" w:space="0" w:color="auto"/>
              <w:bottom w:val="single" w:sz="4" w:space="0" w:color="auto"/>
              <w:right w:val="single" w:sz="4" w:space="0" w:color="auto"/>
            </w:tcBorders>
          </w:tcPr>
          <w:p w14:paraId="64DB8DFD" w14:textId="77777777" w:rsidR="002514C3" w:rsidRPr="00564620" w:rsidRDefault="002514C3" w:rsidP="002514C3">
            <w:pPr>
              <w:pStyle w:val="ToolTableText"/>
            </w:pPr>
          </w:p>
        </w:tc>
        <w:tc>
          <w:tcPr>
            <w:tcW w:w="3534" w:type="dxa"/>
            <w:tcBorders>
              <w:left w:val="single" w:sz="4" w:space="0" w:color="auto"/>
              <w:bottom w:val="single" w:sz="4" w:space="0" w:color="auto"/>
            </w:tcBorders>
          </w:tcPr>
          <w:p w14:paraId="55E309C9" w14:textId="77777777" w:rsidR="002514C3" w:rsidRPr="00564620" w:rsidRDefault="002514C3" w:rsidP="002514C3">
            <w:pPr>
              <w:pStyle w:val="ToolTableText"/>
            </w:pPr>
            <w:r w:rsidRPr="00564620">
              <w:rPr>
                <w:b/>
              </w:rPr>
              <w:t xml:space="preserve">Word Choice/Vocabulary: </w:t>
            </w:r>
            <w:r w:rsidRPr="00564620">
              <w:t xml:space="preserve">Uses topic-specific terminology appropriately and precisely. </w:t>
            </w:r>
          </w:p>
        </w:tc>
        <w:tc>
          <w:tcPr>
            <w:tcW w:w="443" w:type="dxa"/>
          </w:tcPr>
          <w:p w14:paraId="01FB4CEC" w14:textId="77777777" w:rsidR="002514C3" w:rsidRPr="00564620" w:rsidRDefault="002514C3" w:rsidP="002514C3">
            <w:r w:rsidRPr="00564620">
              <w:rPr>
                <w:rFonts w:ascii="MS Gothic" w:eastAsia="MS Gothic" w:hAnsi="MS Gothic" w:hint="eastAsia"/>
              </w:rPr>
              <w:t>☐</w:t>
            </w:r>
          </w:p>
        </w:tc>
        <w:tc>
          <w:tcPr>
            <w:tcW w:w="6815" w:type="dxa"/>
          </w:tcPr>
          <w:p w14:paraId="20C2B89A" w14:textId="77777777" w:rsidR="002514C3" w:rsidRPr="00564620" w:rsidRDefault="002514C3" w:rsidP="002514C3"/>
        </w:tc>
      </w:tr>
      <w:tr w:rsidR="002514C3" w:rsidRPr="00564620" w14:paraId="17D43048" w14:textId="77777777">
        <w:trPr>
          <w:trHeight w:val="1880"/>
        </w:trPr>
        <w:tc>
          <w:tcPr>
            <w:tcW w:w="2251" w:type="dxa"/>
            <w:vMerge/>
            <w:tcBorders>
              <w:top w:val="single" w:sz="4" w:space="0" w:color="auto"/>
              <w:left w:val="single" w:sz="4" w:space="0" w:color="auto"/>
              <w:bottom w:val="single" w:sz="4" w:space="0" w:color="auto"/>
              <w:right w:val="single" w:sz="4" w:space="0" w:color="auto"/>
            </w:tcBorders>
          </w:tcPr>
          <w:p w14:paraId="0BA860A9" w14:textId="77777777" w:rsidR="002514C3" w:rsidRPr="00564620" w:rsidRDefault="002514C3" w:rsidP="002514C3">
            <w:pPr>
              <w:pStyle w:val="ToolTableText"/>
            </w:pPr>
          </w:p>
        </w:tc>
        <w:tc>
          <w:tcPr>
            <w:tcW w:w="3534" w:type="dxa"/>
            <w:tcBorders>
              <w:top w:val="single" w:sz="4" w:space="0" w:color="auto"/>
              <w:left w:val="single" w:sz="4" w:space="0" w:color="auto"/>
              <w:bottom w:val="single" w:sz="4" w:space="0" w:color="auto"/>
            </w:tcBorders>
          </w:tcPr>
          <w:p w14:paraId="5590E4C5" w14:textId="77777777" w:rsidR="002514C3" w:rsidRPr="00564620" w:rsidRDefault="002514C3" w:rsidP="002514C3">
            <w:pPr>
              <w:pStyle w:val="ToolTableText"/>
            </w:pPr>
            <w:r w:rsidRPr="00564620">
              <w:rPr>
                <w:b/>
              </w:rPr>
              <w:t xml:space="preserve">Style/Voice: </w:t>
            </w:r>
            <w:r w:rsidRPr="00564620">
              <w:t xml:space="preserve">Maintains a formal and objective tone appropriate to the intended audience. The use of words, phrases, clauses, and varied syntax draws attention to key ideas and reinforces relationships among ideas. </w:t>
            </w:r>
          </w:p>
        </w:tc>
        <w:tc>
          <w:tcPr>
            <w:tcW w:w="443" w:type="dxa"/>
          </w:tcPr>
          <w:p w14:paraId="32A54E4E" w14:textId="77777777" w:rsidR="002514C3" w:rsidRPr="00564620" w:rsidRDefault="002514C3" w:rsidP="002514C3">
            <w:r w:rsidRPr="00564620">
              <w:rPr>
                <w:rFonts w:ascii="MS Gothic" w:eastAsia="MS Gothic" w:hAnsi="MS Gothic" w:hint="eastAsia"/>
              </w:rPr>
              <w:t>☐</w:t>
            </w:r>
          </w:p>
        </w:tc>
        <w:tc>
          <w:tcPr>
            <w:tcW w:w="6815" w:type="dxa"/>
          </w:tcPr>
          <w:p w14:paraId="0AB9E007" w14:textId="77777777" w:rsidR="002514C3" w:rsidRPr="00564620" w:rsidRDefault="002514C3" w:rsidP="002514C3"/>
        </w:tc>
      </w:tr>
      <w:tr w:rsidR="002514C3" w:rsidRPr="00564620" w14:paraId="1B55FC55" w14:textId="77777777">
        <w:trPr>
          <w:trHeight w:val="2103"/>
        </w:trPr>
        <w:tc>
          <w:tcPr>
            <w:tcW w:w="2251" w:type="dxa"/>
            <w:vMerge/>
            <w:tcBorders>
              <w:top w:val="single" w:sz="4" w:space="0" w:color="auto"/>
              <w:left w:val="single" w:sz="4" w:space="0" w:color="auto"/>
              <w:bottom w:val="single" w:sz="4" w:space="0" w:color="auto"/>
              <w:right w:val="single" w:sz="4" w:space="0" w:color="auto"/>
            </w:tcBorders>
          </w:tcPr>
          <w:p w14:paraId="424CF56D" w14:textId="77777777" w:rsidR="002514C3" w:rsidRPr="00564620" w:rsidRDefault="002514C3" w:rsidP="002514C3">
            <w:pPr>
              <w:pStyle w:val="ToolTableText"/>
            </w:pPr>
          </w:p>
        </w:tc>
        <w:tc>
          <w:tcPr>
            <w:tcW w:w="3534" w:type="dxa"/>
            <w:tcBorders>
              <w:top w:val="single" w:sz="4" w:space="0" w:color="auto"/>
              <w:left w:val="single" w:sz="4" w:space="0" w:color="auto"/>
              <w:bottom w:val="single" w:sz="4" w:space="0" w:color="auto"/>
            </w:tcBorders>
          </w:tcPr>
          <w:p w14:paraId="1D702413" w14:textId="77777777" w:rsidR="002514C3" w:rsidRPr="00564620" w:rsidRDefault="002514C3" w:rsidP="002514C3">
            <w:pPr>
              <w:pStyle w:val="ToolTableText"/>
              <w:rPr>
                <w:b/>
              </w:rPr>
            </w:pPr>
            <w:r w:rsidRPr="00564620">
              <w:rPr>
                <w:b/>
              </w:rPr>
              <w:t xml:space="preserve">Responsible Use of Evidence: </w:t>
            </w:r>
            <w:r w:rsidRPr="00564620">
              <w:t>Cites evidence in a responsible manner that anticipates the audience’s knowledge level, concerns, values, and possible biases. Quotes sufficient evidence exactly, or paraphrases accurately, referencing precisely where the evidence can be found.</w:t>
            </w:r>
          </w:p>
        </w:tc>
        <w:tc>
          <w:tcPr>
            <w:tcW w:w="443" w:type="dxa"/>
          </w:tcPr>
          <w:p w14:paraId="7224BFB2" w14:textId="77777777" w:rsidR="002514C3" w:rsidRPr="00564620" w:rsidRDefault="002514C3" w:rsidP="002514C3">
            <w:r w:rsidRPr="00564620">
              <w:rPr>
                <w:rFonts w:ascii="MS Gothic" w:eastAsia="MS Gothic" w:hAnsi="MS Gothic" w:hint="eastAsia"/>
              </w:rPr>
              <w:t>☐</w:t>
            </w:r>
          </w:p>
        </w:tc>
        <w:tc>
          <w:tcPr>
            <w:tcW w:w="6815" w:type="dxa"/>
          </w:tcPr>
          <w:p w14:paraId="06DB04DB" w14:textId="77777777" w:rsidR="002514C3" w:rsidRPr="00564620" w:rsidRDefault="002514C3" w:rsidP="002514C3"/>
        </w:tc>
      </w:tr>
      <w:tr w:rsidR="002514C3" w:rsidRPr="00564620" w14:paraId="4D879E38" w14:textId="77777777">
        <w:trPr>
          <w:trHeight w:val="1340"/>
        </w:trPr>
        <w:tc>
          <w:tcPr>
            <w:tcW w:w="2251" w:type="dxa"/>
            <w:vMerge/>
            <w:tcBorders>
              <w:top w:val="single" w:sz="4" w:space="0" w:color="auto"/>
              <w:left w:val="single" w:sz="4" w:space="0" w:color="auto"/>
              <w:bottom w:val="single" w:sz="4" w:space="0" w:color="auto"/>
              <w:right w:val="single" w:sz="4" w:space="0" w:color="auto"/>
            </w:tcBorders>
          </w:tcPr>
          <w:p w14:paraId="4CBE1A40" w14:textId="77777777" w:rsidR="002514C3" w:rsidRPr="00564620" w:rsidRDefault="002514C3" w:rsidP="002514C3">
            <w:pPr>
              <w:pStyle w:val="ToolTableText"/>
            </w:pPr>
          </w:p>
        </w:tc>
        <w:tc>
          <w:tcPr>
            <w:tcW w:w="3534" w:type="dxa"/>
            <w:tcBorders>
              <w:left w:val="single" w:sz="4" w:space="0" w:color="auto"/>
            </w:tcBorders>
          </w:tcPr>
          <w:p w14:paraId="3401ED21" w14:textId="77777777" w:rsidR="002514C3" w:rsidRPr="00564620" w:rsidRDefault="002514C3" w:rsidP="002514C3">
            <w:pPr>
              <w:pStyle w:val="ToolTableText"/>
              <w:rPr>
                <w:b/>
              </w:rPr>
            </w:pPr>
            <w:r w:rsidRPr="00564620">
              <w:rPr>
                <w:b/>
              </w:rPr>
              <w:t>Conventions of Writing:</w:t>
            </w:r>
            <w:r w:rsidRPr="00564620">
              <w:t xml:space="preserve"> Illustrates consistent command of standard, grade-level-appropriate writing conventions.</w:t>
            </w:r>
          </w:p>
        </w:tc>
        <w:tc>
          <w:tcPr>
            <w:tcW w:w="443" w:type="dxa"/>
          </w:tcPr>
          <w:p w14:paraId="48F2E9B3" w14:textId="77777777" w:rsidR="002514C3" w:rsidRPr="00564620" w:rsidRDefault="002514C3" w:rsidP="002514C3">
            <w:r w:rsidRPr="00564620">
              <w:rPr>
                <w:rFonts w:ascii="MS Gothic" w:eastAsia="MS Gothic" w:hAnsi="MS Gothic" w:hint="eastAsia"/>
              </w:rPr>
              <w:t>☐</w:t>
            </w:r>
          </w:p>
        </w:tc>
        <w:tc>
          <w:tcPr>
            <w:tcW w:w="6815" w:type="dxa"/>
          </w:tcPr>
          <w:p w14:paraId="29FC4248" w14:textId="77777777" w:rsidR="002514C3" w:rsidRPr="00564620" w:rsidRDefault="002514C3" w:rsidP="002514C3"/>
        </w:tc>
      </w:tr>
    </w:tbl>
    <w:p w14:paraId="66CDB0EB" w14:textId="62DD2ECF" w:rsidR="002514C3" w:rsidRPr="00564620" w:rsidRDefault="002514C3" w:rsidP="002514C3">
      <w:pPr>
        <w:rPr>
          <w:sz w:val="18"/>
          <w:szCs w:val="18"/>
        </w:rPr>
      </w:pPr>
      <w:r w:rsidRPr="00564620">
        <w:rPr>
          <w:sz w:val="18"/>
          <w:szCs w:val="18"/>
        </w:rPr>
        <w:t>From Evidence-Based Arguments Criteria Checklist, by Odell Education, www.odelleducation.com. Copyright (</w:t>
      </w:r>
      <w:r w:rsidR="00C9739C">
        <w:rPr>
          <w:sz w:val="18"/>
          <w:szCs w:val="18"/>
        </w:rPr>
        <w:t>2012</w:t>
      </w:r>
      <w:r w:rsidR="00000B2A">
        <w:rPr>
          <w:sz w:val="18"/>
          <w:szCs w:val="18"/>
        </w:rPr>
        <w:t>–</w:t>
      </w:r>
      <w:r w:rsidRPr="00564620">
        <w:rPr>
          <w:sz w:val="18"/>
          <w:szCs w:val="18"/>
        </w:rPr>
        <w:t xml:space="preserve">2013) by Odell Education. Modified in partnership with permission under an Attribution-NonCommercial 3.0 Unported license: </w:t>
      </w:r>
      <w:hyperlink r:id="rId19" w:history="1">
        <w:r w:rsidRPr="00564620">
          <w:rPr>
            <w:rStyle w:val="Hyperlink"/>
            <w:sz w:val="18"/>
            <w:szCs w:val="18"/>
          </w:rPr>
          <w:t>http://creativecommons.org/licenses/by-nc/3.0/</w:t>
        </w:r>
      </w:hyperlink>
      <w:r w:rsidRPr="00564620">
        <w:rPr>
          <w:sz w:val="18"/>
          <w:szCs w:val="18"/>
        </w:rPr>
        <w:t>.</w:t>
      </w:r>
    </w:p>
    <w:p w14:paraId="7C091AC2" w14:textId="77777777" w:rsidR="002514C3" w:rsidRPr="00564620" w:rsidRDefault="002514C3" w:rsidP="002514C3">
      <w:pPr>
        <w:spacing w:before="0" w:after="0" w:line="240" w:lineRule="auto"/>
      </w:pPr>
    </w:p>
    <w:p w14:paraId="04547A31" w14:textId="77777777" w:rsidR="00DD5ABD" w:rsidRPr="00564620" w:rsidRDefault="00DD5ABD" w:rsidP="002514C3">
      <w:pPr>
        <w:spacing w:before="0" w:after="0" w:line="240" w:lineRule="auto"/>
      </w:pPr>
    </w:p>
    <w:p w14:paraId="37E06B10" w14:textId="77777777" w:rsidR="00082FC3" w:rsidRPr="00564620" w:rsidRDefault="00082FC3" w:rsidP="00082FC3">
      <w:r w:rsidRPr="00564620">
        <w:br w:type="page"/>
      </w:r>
    </w:p>
    <w:p w14:paraId="377826AB" w14:textId="043E388F" w:rsidR="00DD5ABD" w:rsidRPr="00564620" w:rsidRDefault="00B05472" w:rsidP="00DD5ABD">
      <w:pPr>
        <w:pStyle w:val="ToolHeader"/>
      </w:pPr>
      <w:r>
        <w:t xml:space="preserve">Model </w:t>
      </w:r>
      <w:r w:rsidR="00DD5ABD" w:rsidRPr="00564620">
        <w:t xml:space="preserve">Evidence-Based Arguments Checklist </w:t>
      </w:r>
    </w:p>
    <w:tbl>
      <w:tblPr>
        <w:tblStyle w:val="TableGrid"/>
        <w:tblW w:w="0" w:type="auto"/>
        <w:tblLook w:val="04A0" w:firstRow="1" w:lastRow="0" w:firstColumn="1" w:lastColumn="0" w:noHBand="0" w:noVBand="1"/>
      </w:tblPr>
      <w:tblGrid>
        <w:gridCol w:w="1137"/>
        <w:gridCol w:w="3863"/>
        <w:gridCol w:w="1015"/>
        <w:gridCol w:w="4222"/>
        <w:gridCol w:w="998"/>
        <w:gridCol w:w="1904"/>
      </w:tblGrid>
      <w:tr w:rsidR="00DD5ABD" w:rsidRPr="00564620" w14:paraId="6A4D80E0" w14:textId="77777777">
        <w:trPr>
          <w:trHeight w:val="516"/>
        </w:trPr>
        <w:tc>
          <w:tcPr>
            <w:tcW w:w="1137" w:type="dxa"/>
            <w:shd w:val="clear" w:color="auto" w:fill="D9D9D9" w:themeFill="background1" w:themeFillShade="D9"/>
            <w:vAlign w:val="center"/>
          </w:tcPr>
          <w:p w14:paraId="17705081" w14:textId="77777777" w:rsidR="00DD5ABD" w:rsidRPr="00564620" w:rsidRDefault="00DD5ABD" w:rsidP="00DD5ABD">
            <w:pPr>
              <w:pStyle w:val="TableText"/>
              <w:rPr>
                <w:b/>
              </w:rPr>
            </w:pPr>
            <w:r w:rsidRPr="00564620">
              <w:rPr>
                <w:b/>
              </w:rPr>
              <w:t>Name:</w:t>
            </w:r>
          </w:p>
        </w:tc>
        <w:tc>
          <w:tcPr>
            <w:tcW w:w="3863" w:type="dxa"/>
            <w:vAlign w:val="center"/>
          </w:tcPr>
          <w:p w14:paraId="4ACD2B4C" w14:textId="620C790C" w:rsidR="00DD5ABD" w:rsidRPr="00564620" w:rsidRDefault="00DD5ABD" w:rsidP="00DD5ABD">
            <w:pPr>
              <w:pStyle w:val="TableText"/>
              <w:rPr>
                <w:b/>
              </w:rPr>
            </w:pPr>
          </w:p>
        </w:tc>
        <w:tc>
          <w:tcPr>
            <w:tcW w:w="1015" w:type="dxa"/>
            <w:shd w:val="clear" w:color="auto" w:fill="D9D9D9" w:themeFill="background1" w:themeFillShade="D9"/>
            <w:vAlign w:val="center"/>
          </w:tcPr>
          <w:p w14:paraId="3C02D28F" w14:textId="77777777" w:rsidR="00DD5ABD" w:rsidRPr="00564620" w:rsidRDefault="00DD5ABD" w:rsidP="00DD5ABD">
            <w:pPr>
              <w:pStyle w:val="TableText"/>
              <w:rPr>
                <w:b/>
              </w:rPr>
            </w:pPr>
            <w:r w:rsidRPr="00564620">
              <w:rPr>
                <w:b/>
              </w:rPr>
              <w:t>Class:</w:t>
            </w:r>
          </w:p>
        </w:tc>
        <w:tc>
          <w:tcPr>
            <w:tcW w:w="4222" w:type="dxa"/>
            <w:vAlign w:val="center"/>
          </w:tcPr>
          <w:p w14:paraId="53548A85" w14:textId="138CBCEB" w:rsidR="00DD5ABD" w:rsidRPr="00564620" w:rsidRDefault="00DD5ABD" w:rsidP="00DD5ABD">
            <w:pPr>
              <w:pStyle w:val="TableText"/>
              <w:rPr>
                <w:b/>
              </w:rPr>
            </w:pPr>
          </w:p>
        </w:tc>
        <w:tc>
          <w:tcPr>
            <w:tcW w:w="998" w:type="dxa"/>
            <w:shd w:val="clear" w:color="auto" w:fill="D9D9D9" w:themeFill="background1" w:themeFillShade="D9"/>
            <w:vAlign w:val="center"/>
          </w:tcPr>
          <w:p w14:paraId="6D52F099" w14:textId="77777777" w:rsidR="00DD5ABD" w:rsidRPr="00564620" w:rsidRDefault="00DD5ABD" w:rsidP="00DD5ABD">
            <w:pPr>
              <w:pStyle w:val="TableText"/>
              <w:rPr>
                <w:b/>
              </w:rPr>
            </w:pPr>
            <w:r w:rsidRPr="00564620">
              <w:rPr>
                <w:b/>
              </w:rPr>
              <w:t>Date:</w:t>
            </w:r>
          </w:p>
        </w:tc>
        <w:tc>
          <w:tcPr>
            <w:tcW w:w="1904" w:type="dxa"/>
            <w:vAlign w:val="center"/>
          </w:tcPr>
          <w:p w14:paraId="21E50715" w14:textId="19384B01" w:rsidR="00DD5ABD" w:rsidRPr="00564620" w:rsidRDefault="00DD5ABD" w:rsidP="00DD5ABD">
            <w:pPr>
              <w:pStyle w:val="TableText"/>
              <w:rPr>
                <w:b/>
              </w:rPr>
            </w:pPr>
          </w:p>
        </w:tc>
      </w:tr>
    </w:tbl>
    <w:p w14:paraId="3A55FFD2" w14:textId="77777777" w:rsidR="00DD5ABD" w:rsidRDefault="00DD5ABD" w:rsidP="00DD5ABD">
      <w:pPr>
        <w:spacing w:before="0" w:after="0"/>
        <w:rPr>
          <w:sz w:val="10"/>
        </w:rPr>
      </w:pPr>
    </w:p>
    <w:p w14:paraId="194FDF97" w14:textId="50A1E555" w:rsidR="000D33DA" w:rsidRPr="000D33DA" w:rsidRDefault="000D33DA" w:rsidP="00DD5ABD">
      <w:pPr>
        <w:spacing w:before="0" w:after="0"/>
        <w:rPr>
          <w:u w:val="single"/>
        </w:rPr>
      </w:pPr>
      <w:r w:rsidRPr="000D33DA">
        <w:rPr>
          <w:b/>
        </w:rPr>
        <w:t>Text:</w:t>
      </w:r>
      <w:r w:rsidR="00DF7110">
        <w:rPr>
          <w:b/>
        </w:rPr>
        <w:t xml:space="preserve"> </w:t>
      </w:r>
      <w:r w:rsidRPr="000D33DA">
        <w:rPr>
          <w:u w:val="single"/>
        </w:rPr>
        <w:t>“When The U.N. Fails, We All Do” by Fareed Zakaria</w:t>
      </w:r>
    </w:p>
    <w:tbl>
      <w:tblPr>
        <w:tblStyle w:val="TableGrid"/>
        <w:tblW w:w="13133" w:type="dxa"/>
        <w:tblLayout w:type="fixed"/>
        <w:tblLook w:val="04A0" w:firstRow="1" w:lastRow="0" w:firstColumn="1" w:lastColumn="0" w:noHBand="0" w:noVBand="1"/>
      </w:tblPr>
      <w:tblGrid>
        <w:gridCol w:w="2251"/>
        <w:gridCol w:w="3534"/>
        <w:gridCol w:w="443"/>
        <w:gridCol w:w="6905"/>
      </w:tblGrid>
      <w:tr w:rsidR="00DD5ABD" w:rsidRPr="00564620" w14:paraId="13DEFA32" w14:textId="77777777">
        <w:trPr>
          <w:trHeight w:val="144"/>
          <w:tblHeader/>
        </w:trPr>
        <w:tc>
          <w:tcPr>
            <w:tcW w:w="2251" w:type="dxa"/>
            <w:shd w:val="clear" w:color="auto" w:fill="D9D9D9" w:themeFill="background1" w:themeFillShade="D9"/>
          </w:tcPr>
          <w:p w14:paraId="1043EB17" w14:textId="77777777" w:rsidR="00DD5ABD" w:rsidRPr="00564620" w:rsidRDefault="00DD5ABD" w:rsidP="00DD5ABD">
            <w:pPr>
              <w:pStyle w:val="ToolTableText"/>
              <w:rPr>
                <w:b/>
              </w:rPr>
            </w:pPr>
            <w:r w:rsidRPr="00564620">
              <w:rPr>
                <w:b/>
              </w:rPr>
              <w:t>Argument Sections</w:t>
            </w:r>
          </w:p>
        </w:tc>
        <w:tc>
          <w:tcPr>
            <w:tcW w:w="3534" w:type="dxa"/>
            <w:shd w:val="clear" w:color="auto" w:fill="D9D9D9" w:themeFill="background1" w:themeFillShade="D9"/>
          </w:tcPr>
          <w:p w14:paraId="189E95FE" w14:textId="77777777" w:rsidR="00DD5ABD" w:rsidRPr="00564620" w:rsidRDefault="00DD5ABD" w:rsidP="00DD5ABD">
            <w:pPr>
              <w:pStyle w:val="ToolTableText"/>
              <w:rPr>
                <w:b/>
              </w:rPr>
            </w:pPr>
            <w:r w:rsidRPr="00564620">
              <w:rPr>
                <w:b/>
              </w:rPr>
              <w:t>Section Components</w:t>
            </w:r>
          </w:p>
        </w:tc>
        <w:tc>
          <w:tcPr>
            <w:tcW w:w="443" w:type="dxa"/>
            <w:shd w:val="clear" w:color="auto" w:fill="D9D9D9" w:themeFill="background1" w:themeFillShade="D9"/>
          </w:tcPr>
          <w:p w14:paraId="16ECF370" w14:textId="77777777" w:rsidR="00DD5ABD" w:rsidRPr="00564620" w:rsidRDefault="00DD5ABD" w:rsidP="00DD5ABD">
            <w:pPr>
              <w:pStyle w:val="ToolTableText"/>
              <w:rPr>
                <w:b/>
              </w:rPr>
            </w:pPr>
            <w:r w:rsidRPr="00564620">
              <w:rPr>
                <w:rFonts w:ascii="MS Gothic" w:eastAsia="MS Gothic" w:hAnsi="MS Gothic" w:hint="eastAsia"/>
                <w:b/>
              </w:rPr>
              <w:t>☐</w:t>
            </w:r>
          </w:p>
        </w:tc>
        <w:tc>
          <w:tcPr>
            <w:tcW w:w="6905" w:type="dxa"/>
            <w:shd w:val="clear" w:color="auto" w:fill="D9D9D9" w:themeFill="background1" w:themeFillShade="D9"/>
          </w:tcPr>
          <w:p w14:paraId="1B43D214" w14:textId="77777777" w:rsidR="00DD5ABD" w:rsidRPr="00564620" w:rsidRDefault="00DD5ABD" w:rsidP="00DD5ABD">
            <w:pPr>
              <w:pStyle w:val="ToolTableText"/>
              <w:rPr>
                <w:b/>
              </w:rPr>
            </w:pPr>
            <w:r w:rsidRPr="00564620">
              <w:rPr>
                <w:b/>
              </w:rPr>
              <w:t>Comments</w:t>
            </w:r>
          </w:p>
        </w:tc>
      </w:tr>
      <w:tr w:rsidR="00DD5ABD" w:rsidRPr="00564620" w14:paraId="5C3CFFF9" w14:textId="77777777">
        <w:trPr>
          <w:trHeight w:val="144"/>
        </w:trPr>
        <w:tc>
          <w:tcPr>
            <w:tcW w:w="2251" w:type="dxa"/>
            <w:vMerge w:val="restart"/>
          </w:tcPr>
          <w:p w14:paraId="6C311B17" w14:textId="77777777" w:rsidR="00DD5ABD" w:rsidRPr="00564620" w:rsidRDefault="00DD5ABD" w:rsidP="00DD5ABD">
            <w:pPr>
              <w:pStyle w:val="ToolTableText"/>
              <w:rPr>
                <w:b/>
              </w:rPr>
            </w:pPr>
            <w:r w:rsidRPr="00564620">
              <w:rPr>
                <w:b/>
              </w:rPr>
              <w:t>Content and Analysis</w:t>
            </w:r>
          </w:p>
        </w:tc>
        <w:tc>
          <w:tcPr>
            <w:tcW w:w="3534" w:type="dxa"/>
          </w:tcPr>
          <w:p w14:paraId="32E933C6" w14:textId="77777777" w:rsidR="00DD5ABD" w:rsidRPr="00564620" w:rsidRDefault="00DD5ABD" w:rsidP="00DD5ABD">
            <w:pPr>
              <w:pStyle w:val="ToolTableText"/>
              <w:rPr>
                <w:b/>
              </w:rPr>
            </w:pPr>
            <w:r w:rsidRPr="00564620">
              <w:rPr>
                <w:b/>
              </w:rPr>
              <w:t xml:space="preserve">Clarity and Relevance: </w:t>
            </w:r>
            <w:r w:rsidRPr="00564620">
              <w:t>Purposefully states a central claim that is linked to a clearly identified context (topic, problem, issue) that establishes its relevance.</w:t>
            </w:r>
          </w:p>
        </w:tc>
        <w:tc>
          <w:tcPr>
            <w:tcW w:w="443" w:type="dxa"/>
          </w:tcPr>
          <w:p w14:paraId="3773F47E" w14:textId="77777777" w:rsidR="00DD5ABD" w:rsidRPr="00564620" w:rsidRDefault="00DD5ABD" w:rsidP="00DD5ABD">
            <w:r w:rsidRPr="00564620">
              <w:rPr>
                <w:rFonts w:ascii="Wingdings" w:eastAsia="MS Gothic" w:hAnsi="Wingdings"/>
              </w:rPr>
              <w:t></w:t>
            </w:r>
          </w:p>
        </w:tc>
        <w:tc>
          <w:tcPr>
            <w:tcW w:w="6905" w:type="dxa"/>
          </w:tcPr>
          <w:p w14:paraId="76775D23" w14:textId="77777777" w:rsidR="00DD5ABD" w:rsidRPr="00564620" w:rsidRDefault="00DD5ABD">
            <w:r w:rsidRPr="00564620">
              <w:t>Zakaria presents a clear central claim</w:t>
            </w:r>
            <w:r w:rsidR="00973AFF" w:rsidRPr="00564620">
              <w:t>:</w:t>
            </w:r>
            <w:r w:rsidRPr="00564620">
              <w:t xml:space="preserve"> that the UN </w:t>
            </w:r>
            <w:r w:rsidR="00973AFF" w:rsidRPr="00564620">
              <w:t xml:space="preserve">needs to improve the way </w:t>
            </w:r>
            <w:r w:rsidRPr="00564620">
              <w:t xml:space="preserve">it handles crises. He connects </w:t>
            </w:r>
            <w:r w:rsidR="0000325C" w:rsidRPr="00564620">
              <w:t xml:space="preserve">this claim </w:t>
            </w:r>
            <w:r w:rsidRPr="00564620">
              <w:t xml:space="preserve">clearly to the </w:t>
            </w:r>
            <w:r w:rsidR="00973AFF" w:rsidRPr="00564620">
              <w:t xml:space="preserve">context of the genocide in Rwanda, and establishes its relevance by connecting it to other </w:t>
            </w:r>
            <w:r w:rsidRPr="00564620">
              <w:t>issues surrounding</w:t>
            </w:r>
            <w:r w:rsidR="00973AFF" w:rsidRPr="00564620">
              <w:t xml:space="preserve"> the U.N.’s role in global affairs</w:t>
            </w:r>
            <w:r w:rsidRPr="00564620">
              <w:t xml:space="preserve">. </w:t>
            </w:r>
          </w:p>
        </w:tc>
      </w:tr>
      <w:tr w:rsidR="00DD5ABD" w:rsidRPr="00564620" w14:paraId="2CB00100" w14:textId="77777777">
        <w:trPr>
          <w:trHeight w:val="144"/>
        </w:trPr>
        <w:tc>
          <w:tcPr>
            <w:tcW w:w="2251" w:type="dxa"/>
            <w:vMerge/>
          </w:tcPr>
          <w:p w14:paraId="2B34E1D4" w14:textId="77777777" w:rsidR="00DD5ABD" w:rsidRPr="00564620" w:rsidRDefault="00DD5ABD" w:rsidP="00DD5ABD">
            <w:pPr>
              <w:pStyle w:val="ToolTableText"/>
            </w:pPr>
          </w:p>
        </w:tc>
        <w:tc>
          <w:tcPr>
            <w:tcW w:w="3534" w:type="dxa"/>
          </w:tcPr>
          <w:p w14:paraId="26C84AD9" w14:textId="77777777" w:rsidR="00DD5ABD" w:rsidRPr="00564620" w:rsidRDefault="00DD5ABD" w:rsidP="00DD5ABD">
            <w:pPr>
              <w:pStyle w:val="ToolTableText"/>
              <w:rPr>
                <w:b/>
              </w:rPr>
            </w:pPr>
            <w:r w:rsidRPr="00564620">
              <w:rPr>
                <w:b/>
              </w:rPr>
              <w:t xml:space="preserve">Conformity to Sources: </w:t>
            </w:r>
            <w:r w:rsidRPr="00564620">
              <w:t>Presents a perspective that arises from ideas and evidence found in a range of diverse, credible, and significant sources.</w:t>
            </w:r>
          </w:p>
        </w:tc>
        <w:tc>
          <w:tcPr>
            <w:tcW w:w="443" w:type="dxa"/>
          </w:tcPr>
          <w:p w14:paraId="6CEC2F96" w14:textId="77777777" w:rsidR="00DD5ABD" w:rsidRPr="00564620" w:rsidRDefault="00DD5ABD" w:rsidP="00DD5ABD">
            <w:r w:rsidRPr="00564620">
              <w:rPr>
                <w:rFonts w:ascii="MS Gothic" w:eastAsia="MS Gothic" w:hAnsi="MS Gothic" w:hint="eastAsia"/>
              </w:rPr>
              <w:t>☐</w:t>
            </w:r>
          </w:p>
        </w:tc>
        <w:tc>
          <w:tcPr>
            <w:tcW w:w="6905" w:type="dxa"/>
          </w:tcPr>
          <w:p w14:paraId="3BEA75A5" w14:textId="6D920F11" w:rsidR="00DD5ABD" w:rsidRPr="00564620" w:rsidRDefault="00EB1156" w:rsidP="000D33DA">
            <w:r w:rsidRPr="00564620">
              <w:t>Zakaria does not cite his sources</w:t>
            </w:r>
            <w:r w:rsidR="004B2C4B" w:rsidRPr="00564620">
              <w:t>, making it difficult to determine the diversity, credibility and significance</w:t>
            </w:r>
            <w:r w:rsidR="000D33DA">
              <w:t xml:space="preserve"> of the sources</w:t>
            </w:r>
            <w:r w:rsidRPr="00564620">
              <w:t xml:space="preserve">. </w:t>
            </w:r>
            <w:r w:rsidR="00DD5ABD" w:rsidRPr="00564620">
              <w:t xml:space="preserve"> </w:t>
            </w:r>
          </w:p>
        </w:tc>
      </w:tr>
      <w:tr w:rsidR="00DD5ABD" w:rsidRPr="00564620" w14:paraId="38637CC1" w14:textId="77777777">
        <w:trPr>
          <w:trHeight w:val="144"/>
        </w:trPr>
        <w:tc>
          <w:tcPr>
            <w:tcW w:w="2251" w:type="dxa"/>
            <w:vMerge/>
          </w:tcPr>
          <w:p w14:paraId="77233078" w14:textId="77777777" w:rsidR="00DD5ABD" w:rsidRPr="00564620" w:rsidRDefault="00DD5ABD" w:rsidP="00DD5ABD">
            <w:pPr>
              <w:pStyle w:val="ToolTableText"/>
            </w:pPr>
          </w:p>
        </w:tc>
        <w:tc>
          <w:tcPr>
            <w:tcW w:w="3534" w:type="dxa"/>
          </w:tcPr>
          <w:p w14:paraId="1C0752C6" w14:textId="77777777" w:rsidR="00DD5ABD" w:rsidRPr="00564620" w:rsidRDefault="00DD5ABD" w:rsidP="00DD5ABD">
            <w:pPr>
              <w:pStyle w:val="ToolTableText"/>
              <w:rPr>
                <w:b/>
              </w:rPr>
            </w:pPr>
            <w:r w:rsidRPr="00564620">
              <w:rPr>
                <w:b/>
              </w:rPr>
              <w:t xml:space="preserve">Understanding of the Issue: </w:t>
            </w:r>
            <w:r w:rsidRPr="00564620">
              <w:t>Presents a perspective based on a comprehensive understanding of the issue, and establishes a series of valid claims that emerge from reasoned analysis.</w:t>
            </w:r>
          </w:p>
        </w:tc>
        <w:tc>
          <w:tcPr>
            <w:tcW w:w="443" w:type="dxa"/>
          </w:tcPr>
          <w:p w14:paraId="5FFF2E0D" w14:textId="77777777" w:rsidR="00DD5ABD" w:rsidRPr="00564620" w:rsidRDefault="00DF1C01" w:rsidP="00DD5ABD">
            <w:r w:rsidRPr="00564620">
              <w:rPr>
                <w:rFonts w:ascii="Wingdings" w:eastAsia="MS Gothic" w:hAnsi="Wingdings"/>
              </w:rPr>
              <w:t></w:t>
            </w:r>
          </w:p>
        </w:tc>
        <w:tc>
          <w:tcPr>
            <w:tcW w:w="6905" w:type="dxa"/>
          </w:tcPr>
          <w:p w14:paraId="5B96846F" w14:textId="77777777" w:rsidR="00DD5ABD" w:rsidRPr="00564620" w:rsidRDefault="00DF1C01">
            <w:r w:rsidRPr="00564620">
              <w:t xml:space="preserve">Zakaria presents </w:t>
            </w:r>
            <w:r w:rsidR="00814D64" w:rsidRPr="00564620">
              <w:t xml:space="preserve">a </w:t>
            </w:r>
            <w:r w:rsidR="00C65CFA" w:rsidRPr="00564620">
              <w:t xml:space="preserve">clear </w:t>
            </w:r>
            <w:r w:rsidR="00814D64" w:rsidRPr="00564620">
              <w:t xml:space="preserve">perspective </w:t>
            </w:r>
            <w:r w:rsidR="00C65CFA" w:rsidRPr="00564620">
              <w:t>based on his comprehensive understanding of the situation in Rwanda and the role of the U.N. He establishes</w:t>
            </w:r>
            <w:r w:rsidR="00814D64" w:rsidRPr="00564620">
              <w:t xml:space="preserve"> a </w:t>
            </w:r>
            <w:r w:rsidRPr="00564620">
              <w:t xml:space="preserve">series of claims </w:t>
            </w:r>
            <w:r w:rsidR="00C65CFA" w:rsidRPr="00564620">
              <w:t xml:space="preserve">around the U.N.’s failure to act </w:t>
            </w:r>
            <w:r w:rsidRPr="00564620">
              <w:t>that build upon each other</w:t>
            </w:r>
            <w:r w:rsidR="00C65CFA" w:rsidRPr="00564620">
              <w:t xml:space="preserve"> and support his perspective</w:t>
            </w:r>
            <w:r w:rsidR="00B12B5F" w:rsidRPr="00564620">
              <w:t xml:space="preserve">. </w:t>
            </w:r>
            <w:r w:rsidRPr="00564620">
              <w:t xml:space="preserve"> </w:t>
            </w:r>
          </w:p>
        </w:tc>
      </w:tr>
      <w:tr w:rsidR="00DD5ABD" w:rsidRPr="00564620" w14:paraId="01718C2C" w14:textId="77777777">
        <w:trPr>
          <w:trHeight w:val="144"/>
        </w:trPr>
        <w:tc>
          <w:tcPr>
            <w:tcW w:w="2251" w:type="dxa"/>
            <w:vMerge/>
          </w:tcPr>
          <w:p w14:paraId="5BB5B734" w14:textId="77777777" w:rsidR="00DD5ABD" w:rsidRPr="00564620" w:rsidRDefault="00DD5ABD" w:rsidP="00DD5ABD">
            <w:pPr>
              <w:pStyle w:val="ToolTableText"/>
            </w:pPr>
          </w:p>
        </w:tc>
        <w:tc>
          <w:tcPr>
            <w:tcW w:w="3534" w:type="dxa"/>
          </w:tcPr>
          <w:p w14:paraId="65421D7B" w14:textId="77777777" w:rsidR="00DD5ABD" w:rsidRPr="00564620" w:rsidRDefault="00DD5ABD" w:rsidP="00DD5ABD">
            <w:pPr>
              <w:pStyle w:val="ToolTableText"/>
              <w:rPr>
                <w:b/>
              </w:rPr>
            </w:pPr>
            <w:r w:rsidRPr="00564620">
              <w:rPr>
                <w:b/>
              </w:rPr>
              <w:t>Acknowledgement of Other Perspectives:</w:t>
            </w:r>
            <w:r w:rsidRPr="00564620">
              <w:t xml:space="preserve"> Recognizes opposing or alternate claims and distinguishes these claims from the stated perspective.</w:t>
            </w:r>
          </w:p>
        </w:tc>
        <w:tc>
          <w:tcPr>
            <w:tcW w:w="443" w:type="dxa"/>
          </w:tcPr>
          <w:p w14:paraId="3471DE7C" w14:textId="77777777" w:rsidR="00DD5ABD" w:rsidRPr="00564620" w:rsidRDefault="00DD5ABD" w:rsidP="00DD5ABD">
            <w:r w:rsidRPr="00564620">
              <w:rPr>
                <w:rFonts w:ascii="MS Gothic" w:eastAsia="MS Gothic" w:hAnsi="MS Gothic" w:hint="eastAsia"/>
              </w:rPr>
              <w:t>☐</w:t>
            </w:r>
          </w:p>
        </w:tc>
        <w:tc>
          <w:tcPr>
            <w:tcW w:w="6905" w:type="dxa"/>
          </w:tcPr>
          <w:p w14:paraId="0F711CFB" w14:textId="4C3E7E80" w:rsidR="00DD5ABD" w:rsidRPr="00564620" w:rsidRDefault="00B12B5F" w:rsidP="000541EA">
            <w:r w:rsidRPr="00564620">
              <w:t xml:space="preserve">The article does not provide a </w:t>
            </w:r>
            <w:r w:rsidR="000541EA" w:rsidRPr="00564620">
              <w:t>c</w:t>
            </w:r>
            <w:r w:rsidRPr="00564620">
              <w:t xml:space="preserve">ounterclaim. </w:t>
            </w:r>
            <w:r w:rsidR="0089013D" w:rsidRPr="00564620">
              <w:t xml:space="preserve">While </w:t>
            </w:r>
            <w:r w:rsidRPr="00564620">
              <w:t xml:space="preserve">Zakaria mentions </w:t>
            </w:r>
            <w:r w:rsidR="0089013D" w:rsidRPr="00564620">
              <w:t xml:space="preserve">several </w:t>
            </w:r>
            <w:r w:rsidRPr="00564620">
              <w:t>successes of the U</w:t>
            </w:r>
            <w:r w:rsidR="000D33DA">
              <w:t>.</w:t>
            </w:r>
            <w:r w:rsidRPr="00564620">
              <w:t>N</w:t>
            </w:r>
            <w:r w:rsidR="000D33DA">
              <w:t>.</w:t>
            </w:r>
            <w:r w:rsidR="0000325C" w:rsidRPr="00564620">
              <w:t>,</w:t>
            </w:r>
            <w:r w:rsidRPr="00564620">
              <w:t xml:space="preserve"> </w:t>
            </w:r>
            <w:r w:rsidR="0089013D" w:rsidRPr="00564620">
              <w:t xml:space="preserve">he </w:t>
            </w:r>
            <w:r w:rsidR="00EB1156" w:rsidRPr="00564620">
              <w:t xml:space="preserve">does not develop these ideas </w:t>
            </w:r>
            <w:r w:rsidR="0089013D" w:rsidRPr="00564620">
              <w:t xml:space="preserve">in opposition to </w:t>
            </w:r>
            <w:r w:rsidR="00EB1156" w:rsidRPr="00564620">
              <w:t>his central claim.</w:t>
            </w:r>
          </w:p>
        </w:tc>
      </w:tr>
      <w:tr w:rsidR="00DD5ABD" w:rsidRPr="00564620" w14:paraId="0FE24643" w14:textId="77777777">
        <w:trPr>
          <w:trHeight w:val="144"/>
        </w:trPr>
        <w:tc>
          <w:tcPr>
            <w:tcW w:w="2251" w:type="dxa"/>
            <w:vMerge w:val="restart"/>
          </w:tcPr>
          <w:p w14:paraId="7C1B364B" w14:textId="77777777" w:rsidR="00DD5ABD" w:rsidRPr="00564620" w:rsidRDefault="00DD5ABD" w:rsidP="00DD5ABD">
            <w:pPr>
              <w:pStyle w:val="ToolTableText"/>
              <w:rPr>
                <w:b/>
              </w:rPr>
            </w:pPr>
            <w:r w:rsidRPr="00564620">
              <w:rPr>
                <w:b/>
              </w:rPr>
              <w:t>Command of Evidence</w:t>
            </w:r>
          </w:p>
        </w:tc>
        <w:tc>
          <w:tcPr>
            <w:tcW w:w="3534" w:type="dxa"/>
          </w:tcPr>
          <w:p w14:paraId="3AFED1EF" w14:textId="77777777" w:rsidR="00DD5ABD" w:rsidRPr="00564620" w:rsidRDefault="00DD5ABD" w:rsidP="00DD5ABD">
            <w:pPr>
              <w:pStyle w:val="ToolTableText"/>
              <w:rPr>
                <w:b/>
              </w:rPr>
            </w:pPr>
            <w:r w:rsidRPr="00564620">
              <w:rPr>
                <w:b/>
              </w:rPr>
              <w:t xml:space="preserve">Reasoning: </w:t>
            </w:r>
            <w:r w:rsidRPr="00564620">
              <w:t>Links evidence and claims together logically in ways that lead to the conclusions expressed in the central claim.</w:t>
            </w:r>
          </w:p>
        </w:tc>
        <w:tc>
          <w:tcPr>
            <w:tcW w:w="443" w:type="dxa"/>
          </w:tcPr>
          <w:p w14:paraId="5CC89869" w14:textId="77777777" w:rsidR="00DD5ABD" w:rsidRPr="00564620" w:rsidRDefault="0031138D" w:rsidP="00DD5ABD">
            <w:r w:rsidRPr="00564620">
              <w:rPr>
                <w:rFonts w:ascii="Wingdings" w:eastAsia="MS Gothic" w:hAnsi="Wingdings"/>
              </w:rPr>
              <w:t></w:t>
            </w:r>
          </w:p>
        </w:tc>
        <w:tc>
          <w:tcPr>
            <w:tcW w:w="6905" w:type="dxa"/>
          </w:tcPr>
          <w:p w14:paraId="168BE524" w14:textId="77777777" w:rsidR="00DD5ABD" w:rsidRPr="00564620" w:rsidRDefault="0031138D">
            <w:r w:rsidRPr="00564620">
              <w:t xml:space="preserve">Zakaria provides clear and coherent </w:t>
            </w:r>
            <w:r w:rsidR="00E3278B" w:rsidRPr="00564620">
              <w:t xml:space="preserve">reasoning to link his evidence and </w:t>
            </w:r>
            <w:r w:rsidR="0083524A" w:rsidRPr="00564620">
              <w:t xml:space="preserve">claims, and clearly explains how they relate to the </w:t>
            </w:r>
            <w:r w:rsidRPr="00564620">
              <w:t>central claim.</w:t>
            </w:r>
            <w:r w:rsidR="004A3158" w:rsidRPr="00564620">
              <w:t xml:space="preserve"> </w:t>
            </w:r>
          </w:p>
        </w:tc>
      </w:tr>
      <w:tr w:rsidR="00DD5ABD" w:rsidRPr="00564620" w14:paraId="49153F79" w14:textId="77777777">
        <w:trPr>
          <w:trHeight w:val="144"/>
        </w:trPr>
        <w:tc>
          <w:tcPr>
            <w:tcW w:w="2251" w:type="dxa"/>
            <w:vMerge/>
          </w:tcPr>
          <w:p w14:paraId="76AE23F2" w14:textId="77777777" w:rsidR="00DD5ABD" w:rsidRPr="00564620" w:rsidRDefault="00DD5ABD" w:rsidP="00DD5ABD">
            <w:pPr>
              <w:pStyle w:val="ToolTableText"/>
            </w:pPr>
          </w:p>
        </w:tc>
        <w:tc>
          <w:tcPr>
            <w:tcW w:w="3534" w:type="dxa"/>
          </w:tcPr>
          <w:p w14:paraId="11A5F02E" w14:textId="77777777" w:rsidR="00DD5ABD" w:rsidRPr="00564620" w:rsidRDefault="00DD5ABD" w:rsidP="00DD5ABD">
            <w:pPr>
              <w:pStyle w:val="ToolTableText"/>
              <w:rPr>
                <w:b/>
              </w:rPr>
            </w:pPr>
            <w:r w:rsidRPr="00564620">
              <w:rPr>
                <w:b/>
              </w:rPr>
              <w:t xml:space="preserve">Use of Evidence: </w:t>
            </w:r>
            <w:r w:rsidRPr="00564620">
              <w:t>Supports the central claim and each supporting claim with valid inferences based on credible evidence.</w:t>
            </w:r>
          </w:p>
        </w:tc>
        <w:tc>
          <w:tcPr>
            <w:tcW w:w="443" w:type="dxa"/>
          </w:tcPr>
          <w:p w14:paraId="25FBD287" w14:textId="77777777" w:rsidR="00DD5ABD" w:rsidRPr="00564620" w:rsidRDefault="00DD5ABD" w:rsidP="00DD5ABD">
            <w:r w:rsidRPr="00564620">
              <w:rPr>
                <w:rFonts w:ascii="MS Gothic" w:eastAsia="MS Gothic" w:hAnsi="MS Gothic" w:hint="eastAsia"/>
              </w:rPr>
              <w:t>☐</w:t>
            </w:r>
          </w:p>
        </w:tc>
        <w:tc>
          <w:tcPr>
            <w:tcW w:w="6905" w:type="dxa"/>
          </w:tcPr>
          <w:p w14:paraId="48C85943" w14:textId="77777777" w:rsidR="00DD5ABD" w:rsidRPr="00564620" w:rsidRDefault="006F03E0" w:rsidP="00082FC3">
            <w:pPr>
              <w:contextualSpacing/>
            </w:pPr>
            <w:r w:rsidRPr="00564620">
              <w:t xml:space="preserve">Zakaria provides valid inferences to support the central claim and each supporting claim. However, because </w:t>
            </w:r>
            <w:r w:rsidR="0031138D" w:rsidRPr="00564620">
              <w:t xml:space="preserve">Zakaria does not cite </w:t>
            </w:r>
            <w:r w:rsidRPr="00564620">
              <w:t xml:space="preserve">sources for his </w:t>
            </w:r>
            <w:r w:rsidR="0031138D" w:rsidRPr="00564620">
              <w:t>evidence</w:t>
            </w:r>
            <w:r w:rsidRPr="00564620">
              <w:t xml:space="preserve">, it is difficult to determine the credibility of the evidence. </w:t>
            </w:r>
          </w:p>
        </w:tc>
      </w:tr>
      <w:tr w:rsidR="00DD5ABD" w:rsidRPr="00564620" w14:paraId="68D1A0BB" w14:textId="77777777">
        <w:trPr>
          <w:trHeight w:val="144"/>
        </w:trPr>
        <w:tc>
          <w:tcPr>
            <w:tcW w:w="2251" w:type="dxa"/>
            <w:vMerge/>
          </w:tcPr>
          <w:p w14:paraId="4F30E085" w14:textId="77777777" w:rsidR="00DD5ABD" w:rsidRPr="00564620" w:rsidRDefault="00DD5ABD" w:rsidP="00DD5ABD">
            <w:pPr>
              <w:pStyle w:val="ToolTableText"/>
            </w:pPr>
          </w:p>
        </w:tc>
        <w:tc>
          <w:tcPr>
            <w:tcW w:w="3534" w:type="dxa"/>
          </w:tcPr>
          <w:p w14:paraId="212226CF" w14:textId="77777777" w:rsidR="00DD5ABD" w:rsidRPr="00564620" w:rsidRDefault="00DD5ABD" w:rsidP="00DD5ABD">
            <w:pPr>
              <w:pStyle w:val="ToolTableText"/>
              <w:rPr>
                <w:b/>
              </w:rPr>
            </w:pPr>
            <w:r w:rsidRPr="00564620">
              <w:rPr>
                <w:b/>
              </w:rPr>
              <w:t xml:space="preserve">Thoroughness and Objectivity: </w:t>
            </w:r>
            <w:r w:rsidRPr="00564620">
              <w:t>Represents a comprehensive understanding of the issue where the argument’s claims and supporting evidence fairly addresses relevant counterclaims and discusses conflicting evidence.</w:t>
            </w:r>
          </w:p>
        </w:tc>
        <w:tc>
          <w:tcPr>
            <w:tcW w:w="443" w:type="dxa"/>
          </w:tcPr>
          <w:p w14:paraId="36379A88" w14:textId="77777777" w:rsidR="00DD5ABD" w:rsidRPr="00564620" w:rsidRDefault="00DD5ABD" w:rsidP="00DD5ABD">
            <w:r w:rsidRPr="00564620">
              <w:rPr>
                <w:rFonts w:ascii="MS Gothic" w:eastAsia="MS Gothic" w:hAnsi="MS Gothic" w:hint="eastAsia"/>
              </w:rPr>
              <w:t>☐</w:t>
            </w:r>
          </w:p>
        </w:tc>
        <w:tc>
          <w:tcPr>
            <w:tcW w:w="6905" w:type="dxa"/>
          </w:tcPr>
          <w:p w14:paraId="0E302A40" w14:textId="1487E558" w:rsidR="00DD5ABD" w:rsidRPr="00564620" w:rsidRDefault="006F2C82" w:rsidP="000D33DA">
            <w:pPr>
              <w:contextualSpacing/>
            </w:pPr>
            <w:r w:rsidRPr="00564620">
              <w:t>Because Zakaria does not fairly address relevant counterclaims and conflicting evidence, the article cannot be considered thorough and objective. The article is also too short to address the entirety of the issue.</w:t>
            </w:r>
          </w:p>
        </w:tc>
      </w:tr>
      <w:tr w:rsidR="00DD5ABD" w:rsidRPr="00564620" w14:paraId="2DCA7D17" w14:textId="77777777">
        <w:trPr>
          <w:trHeight w:val="144"/>
        </w:trPr>
        <w:tc>
          <w:tcPr>
            <w:tcW w:w="2251" w:type="dxa"/>
            <w:vMerge w:val="restart"/>
          </w:tcPr>
          <w:p w14:paraId="4D100AB6" w14:textId="77777777" w:rsidR="00DD5ABD" w:rsidRPr="00564620" w:rsidRDefault="00DD5ABD" w:rsidP="00DD5ABD">
            <w:pPr>
              <w:pStyle w:val="ToolTableText"/>
              <w:rPr>
                <w:b/>
              </w:rPr>
            </w:pPr>
            <w:r w:rsidRPr="00564620">
              <w:rPr>
                <w:b/>
              </w:rPr>
              <w:t>Coherence and Organization</w:t>
            </w:r>
          </w:p>
        </w:tc>
        <w:tc>
          <w:tcPr>
            <w:tcW w:w="3534" w:type="dxa"/>
          </w:tcPr>
          <w:p w14:paraId="7B77CDB7" w14:textId="77777777" w:rsidR="00DD5ABD" w:rsidRPr="00564620" w:rsidRDefault="00DD5ABD" w:rsidP="00DD5ABD">
            <w:pPr>
              <w:pStyle w:val="ToolTableText"/>
            </w:pPr>
            <w:r w:rsidRPr="00564620">
              <w:rPr>
                <w:b/>
              </w:rPr>
              <w:t xml:space="preserve">Relationship Among Parts: </w:t>
            </w:r>
            <w:r w:rsidRPr="00564620">
              <w:t xml:space="preserve">Establishes clear and logical relationships between supporting claims and a central claim. </w:t>
            </w:r>
          </w:p>
        </w:tc>
        <w:tc>
          <w:tcPr>
            <w:tcW w:w="443" w:type="dxa"/>
          </w:tcPr>
          <w:p w14:paraId="3E1BF15F" w14:textId="77777777" w:rsidR="00DD5ABD" w:rsidRPr="00564620" w:rsidRDefault="0031138D" w:rsidP="00DD5ABD">
            <w:r w:rsidRPr="00564620">
              <w:rPr>
                <w:rFonts w:ascii="Wingdings" w:eastAsia="MS Gothic" w:hAnsi="Wingdings"/>
              </w:rPr>
              <w:t></w:t>
            </w:r>
          </w:p>
        </w:tc>
        <w:tc>
          <w:tcPr>
            <w:tcW w:w="6905" w:type="dxa"/>
          </w:tcPr>
          <w:p w14:paraId="5107A825" w14:textId="3C762993" w:rsidR="00DD5ABD" w:rsidRPr="00564620" w:rsidRDefault="0031138D">
            <w:r w:rsidRPr="00564620">
              <w:t xml:space="preserve">Zakaria draws a clear and logical progression of ideas throughout the article. </w:t>
            </w:r>
            <w:r w:rsidR="00FD0D99" w:rsidRPr="00564620">
              <w:t xml:space="preserve">He starts by describing the genocide in </w:t>
            </w:r>
            <w:r w:rsidRPr="00564620">
              <w:t xml:space="preserve">Rwanda </w:t>
            </w:r>
            <w:r w:rsidR="004C3282" w:rsidRPr="00564620">
              <w:t xml:space="preserve">as a supporting claim, </w:t>
            </w:r>
            <w:r w:rsidRPr="00564620">
              <w:t xml:space="preserve">and </w:t>
            </w:r>
            <w:r w:rsidR="004C3282" w:rsidRPr="00564620">
              <w:t xml:space="preserve">then uses this to expand his scope and connect to his central claim </w:t>
            </w:r>
            <w:r w:rsidR="00815D95" w:rsidRPr="00564620">
              <w:t xml:space="preserve">about </w:t>
            </w:r>
            <w:r w:rsidRPr="00564620">
              <w:t>the entire U</w:t>
            </w:r>
            <w:r w:rsidR="000D33DA">
              <w:t>.</w:t>
            </w:r>
            <w:r w:rsidRPr="00564620">
              <w:t xml:space="preserve">N. </w:t>
            </w:r>
          </w:p>
        </w:tc>
      </w:tr>
      <w:tr w:rsidR="00DD5ABD" w:rsidRPr="00564620" w14:paraId="253D25EC" w14:textId="77777777">
        <w:trPr>
          <w:trHeight w:val="144"/>
        </w:trPr>
        <w:tc>
          <w:tcPr>
            <w:tcW w:w="2251" w:type="dxa"/>
            <w:vMerge/>
            <w:tcBorders>
              <w:bottom w:val="single" w:sz="4" w:space="0" w:color="auto"/>
            </w:tcBorders>
          </w:tcPr>
          <w:p w14:paraId="4C2DB98A" w14:textId="77777777" w:rsidR="00DD5ABD" w:rsidRPr="00564620" w:rsidRDefault="00DD5ABD" w:rsidP="00DD5ABD">
            <w:pPr>
              <w:pStyle w:val="ToolTableText"/>
            </w:pPr>
          </w:p>
        </w:tc>
        <w:tc>
          <w:tcPr>
            <w:tcW w:w="3534" w:type="dxa"/>
          </w:tcPr>
          <w:p w14:paraId="1133C957" w14:textId="77777777" w:rsidR="00DD5ABD" w:rsidRPr="00564620" w:rsidRDefault="00DD5ABD" w:rsidP="00DD5ABD">
            <w:pPr>
              <w:pStyle w:val="ToolTableText"/>
            </w:pPr>
            <w:r w:rsidRPr="00564620">
              <w:rPr>
                <w:b/>
              </w:rPr>
              <w:t xml:space="preserve">Effectiveness of Structure: </w:t>
            </w:r>
            <w:r w:rsidRPr="00564620">
              <w:t xml:space="preserve">Adopts an organizational strategy, including an introduction and conclusion, which clearly and compellingly communicates the argument. </w:t>
            </w:r>
          </w:p>
        </w:tc>
        <w:tc>
          <w:tcPr>
            <w:tcW w:w="443" w:type="dxa"/>
          </w:tcPr>
          <w:p w14:paraId="0ABFB8CB" w14:textId="77777777" w:rsidR="00DD5ABD" w:rsidRPr="00564620" w:rsidRDefault="0031138D" w:rsidP="00DD5ABD">
            <w:r w:rsidRPr="00564620">
              <w:rPr>
                <w:rFonts w:ascii="Wingdings" w:eastAsia="MS Gothic" w:hAnsi="Wingdings"/>
              </w:rPr>
              <w:t></w:t>
            </w:r>
          </w:p>
        </w:tc>
        <w:tc>
          <w:tcPr>
            <w:tcW w:w="6905" w:type="dxa"/>
          </w:tcPr>
          <w:p w14:paraId="78210156" w14:textId="77777777" w:rsidR="00DD5ABD" w:rsidRPr="00564620" w:rsidRDefault="00682020" w:rsidP="00082FC3">
            <w:pPr>
              <w:contextualSpacing/>
            </w:pPr>
            <w:r w:rsidRPr="00564620">
              <w:t>Zakaria adopts an effective organizational structure. He begins with a</w:t>
            </w:r>
            <w:r w:rsidR="0031138D" w:rsidRPr="00564620">
              <w:t xml:space="preserve"> strong opening </w:t>
            </w:r>
            <w:r w:rsidRPr="00564620">
              <w:t xml:space="preserve">that draws the reader in </w:t>
            </w:r>
            <w:r w:rsidR="0031138D" w:rsidRPr="00564620">
              <w:t xml:space="preserve">and </w:t>
            </w:r>
            <w:r w:rsidRPr="00564620">
              <w:t xml:space="preserve">finishes with a powerful conclusion that clearly and compellingly communicates his argument. </w:t>
            </w:r>
          </w:p>
        </w:tc>
      </w:tr>
      <w:tr w:rsidR="00DD5ABD" w:rsidRPr="00564620" w14:paraId="7B18A908" w14:textId="77777777">
        <w:trPr>
          <w:trHeight w:val="1520"/>
        </w:trPr>
        <w:tc>
          <w:tcPr>
            <w:tcW w:w="2251" w:type="dxa"/>
            <w:vMerge w:val="restart"/>
            <w:tcBorders>
              <w:top w:val="single" w:sz="4" w:space="0" w:color="auto"/>
              <w:left w:val="single" w:sz="4" w:space="0" w:color="auto"/>
              <w:bottom w:val="single" w:sz="4" w:space="0" w:color="auto"/>
              <w:right w:val="single" w:sz="4" w:space="0" w:color="auto"/>
            </w:tcBorders>
          </w:tcPr>
          <w:p w14:paraId="35E494F1" w14:textId="77777777" w:rsidR="00DD5ABD" w:rsidRPr="00564620" w:rsidRDefault="00DD5ABD" w:rsidP="00DD5ABD">
            <w:pPr>
              <w:pStyle w:val="ToolTableText"/>
              <w:rPr>
                <w:b/>
              </w:rPr>
            </w:pPr>
            <w:r w:rsidRPr="00564620">
              <w:rPr>
                <w:b/>
              </w:rPr>
              <w:t>Control of Language and Conventions</w:t>
            </w:r>
          </w:p>
        </w:tc>
        <w:tc>
          <w:tcPr>
            <w:tcW w:w="3534" w:type="dxa"/>
            <w:tcBorders>
              <w:left w:val="single" w:sz="4" w:space="0" w:color="auto"/>
            </w:tcBorders>
          </w:tcPr>
          <w:p w14:paraId="1D32C2F6" w14:textId="77777777" w:rsidR="00DD5ABD" w:rsidRPr="00564620" w:rsidRDefault="00DD5ABD" w:rsidP="00DD5ABD">
            <w:pPr>
              <w:pStyle w:val="ToolTableText"/>
            </w:pPr>
            <w:r w:rsidRPr="00564620">
              <w:rPr>
                <w:b/>
              </w:rPr>
              <w:t xml:space="preserve">Clarity of Communication: </w:t>
            </w:r>
            <w:r w:rsidRPr="00564620">
              <w:t xml:space="preserve">Is communicated clearly and coherently. The writer’s opinions are clearly distinguished from objective summaries and statements. </w:t>
            </w:r>
          </w:p>
        </w:tc>
        <w:tc>
          <w:tcPr>
            <w:tcW w:w="443" w:type="dxa"/>
          </w:tcPr>
          <w:p w14:paraId="3F6E0FF0" w14:textId="77777777" w:rsidR="00DD5ABD" w:rsidRPr="00564620" w:rsidRDefault="00617348" w:rsidP="00DD5ABD">
            <w:r w:rsidRPr="00564620">
              <w:rPr>
                <w:rFonts w:ascii="Wingdings" w:eastAsia="MS Gothic" w:hAnsi="Wingdings"/>
              </w:rPr>
              <w:t></w:t>
            </w:r>
          </w:p>
        </w:tc>
        <w:tc>
          <w:tcPr>
            <w:tcW w:w="6905" w:type="dxa"/>
          </w:tcPr>
          <w:p w14:paraId="7C664958" w14:textId="77777777" w:rsidR="00617348" w:rsidRPr="00564620" w:rsidRDefault="00617348" w:rsidP="00146E8B">
            <w:pPr>
              <w:pStyle w:val="ToolTableText"/>
            </w:pPr>
            <w:r w:rsidRPr="00564620">
              <w:t xml:space="preserve">The article </w:t>
            </w:r>
            <w:r w:rsidR="00CE53DA" w:rsidRPr="00564620">
              <w:t xml:space="preserve">communicates </w:t>
            </w:r>
            <w:r w:rsidRPr="00564620">
              <w:t>clear</w:t>
            </w:r>
            <w:r w:rsidR="00CE53DA" w:rsidRPr="00564620">
              <w:t>ly and coherently</w:t>
            </w:r>
            <w:r w:rsidRPr="00564620">
              <w:t xml:space="preserve">. </w:t>
            </w:r>
            <w:r w:rsidR="00CE53DA" w:rsidRPr="00564620">
              <w:t xml:space="preserve">Zakaria </w:t>
            </w:r>
            <w:r w:rsidRPr="00564620">
              <w:t xml:space="preserve">is consistent in delivering </w:t>
            </w:r>
            <w:r w:rsidR="00CE53DA" w:rsidRPr="00564620">
              <w:t xml:space="preserve">his </w:t>
            </w:r>
            <w:r w:rsidRPr="00564620">
              <w:t xml:space="preserve">message and the information </w:t>
            </w:r>
            <w:r w:rsidR="00940A8E" w:rsidRPr="00564620">
              <w:t xml:space="preserve">he </w:t>
            </w:r>
            <w:r w:rsidRPr="00564620">
              <w:t>provide</w:t>
            </w:r>
            <w:r w:rsidR="00940A8E" w:rsidRPr="00564620">
              <w:t>s</w:t>
            </w:r>
            <w:r w:rsidRPr="00564620">
              <w:t xml:space="preserve"> is clearly separated from </w:t>
            </w:r>
            <w:r w:rsidR="00940A8E" w:rsidRPr="00564620">
              <w:t>his own</w:t>
            </w:r>
            <w:r w:rsidRPr="00564620">
              <w:t xml:space="preserve"> opinions. </w:t>
            </w:r>
            <w:r w:rsidR="00146E8B">
              <w:t>Sentences such as</w:t>
            </w:r>
            <w:r w:rsidR="00690405" w:rsidRPr="00564620">
              <w:t xml:space="preserve"> “They vetted every one of the 30,000 contracts t</w:t>
            </w:r>
            <w:r w:rsidR="00287B43" w:rsidRPr="00564620">
              <w:t>hat passed through the program</w:t>
            </w:r>
            <w:r w:rsidR="00690405" w:rsidRPr="00564620">
              <w:t>”</w:t>
            </w:r>
            <w:r w:rsidR="00287B43" w:rsidRPr="00564620">
              <w:t xml:space="preserve"> </w:t>
            </w:r>
            <w:r w:rsidR="00146E8B">
              <w:t>a</w:t>
            </w:r>
            <w:r w:rsidR="00287B43" w:rsidRPr="00564620">
              <w:t xml:space="preserve">re </w:t>
            </w:r>
            <w:r w:rsidR="00146E8B">
              <w:t xml:space="preserve">clearly </w:t>
            </w:r>
            <w:r w:rsidR="00146E8B" w:rsidRPr="00564620">
              <w:t>differentiated</w:t>
            </w:r>
            <w:r w:rsidR="00287B43" w:rsidRPr="00564620">
              <w:t xml:space="preserve"> from the more opinionated</w:t>
            </w:r>
            <w:r w:rsidR="00146E8B">
              <w:t xml:space="preserve"> sentences </w:t>
            </w:r>
            <w:r w:rsidR="00287B43" w:rsidRPr="00564620">
              <w:t>such as</w:t>
            </w:r>
            <w:r w:rsidR="00690405" w:rsidRPr="00564620">
              <w:t xml:space="preserve"> “If countries will not sanction a force robust enough to do the job, then the U.N. should have the courage to refuse the mission.” </w:t>
            </w:r>
          </w:p>
        </w:tc>
      </w:tr>
      <w:tr w:rsidR="00DD5ABD" w:rsidRPr="00564620" w14:paraId="6FB0193A" w14:textId="77777777">
        <w:trPr>
          <w:trHeight w:val="1205"/>
        </w:trPr>
        <w:tc>
          <w:tcPr>
            <w:tcW w:w="2251" w:type="dxa"/>
            <w:vMerge/>
            <w:tcBorders>
              <w:top w:val="single" w:sz="4" w:space="0" w:color="auto"/>
              <w:left w:val="single" w:sz="4" w:space="0" w:color="auto"/>
              <w:bottom w:val="single" w:sz="4" w:space="0" w:color="auto"/>
              <w:right w:val="single" w:sz="4" w:space="0" w:color="auto"/>
            </w:tcBorders>
          </w:tcPr>
          <w:p w14:paraId="7C197FAE" w14:textId="77777777" w:rsidR="00DD5ABD" w:rsidRPr="00564620" w:rsidRDefault="00DD5ABD" w:rsidP="00DD5ABD">
            <w:pPr>
              <w:pStyle w:val="ToolTableText"/>
            </w:pPr>
          </w:p>
        </w:tc>
        <w:tc>
          <w:tcPr>
            <w:tcW w:w="3534" w:type="dxa"/>
            <w:tcBorders>
              <w:left w:val="single" w:sz="4" w:space="0" w:color="auto"/>
              <w:bottom w:val="single" w:sz="4" w:space="0" w:color="auto"/>
            </w:tcBorders>
          </w:tcPr>
          <w:p w14:paraId="79442613" w14:textId="77777777" w:rsidR="00DD5ABD" w:rsidRPr="00564620" w:rsidRDefault="00DD5ABD" w:rsidP="00DD5ABD">
            <w:pPr>
              <w:pStyle w:val="ToolTableText"/>
            </w:pPr>
            <w:r w:rsidRPr="00564620">
              <w:rPr>
                <w:b/>
              </w:rPr>
              <w:t xml:space="preserve">Word Choice/Vocabulary: </w:t>
            </w:r>
            <w:r w:rsidRPr="00564620">
              <w:t xml:space="preserve">Uses topic-specific terminology appropriately and precisely. </w:t>
            </w:r>
          </w:p>
        </w:tc>
        <w:tc>
          <w:tcPr>
            <w:tcW w:w="443" w:type="dxa"/>
          </w:tcPr>
          <w:p w14:paraId="4675AE73" w14:textId="77777777" w:rsidR="00DD5ABD" w:rsidRPr="00564620" w:rsidRDefault="00617348" w:rsidP="00DD5ABD">
            <w:r w:rsidRPr="00564620">
              <w:rPr>
                <w:rFonts w:ascii="Wingdings" w:eastAsia="MS Gothic" w:hAnsi="Wingdings"/>
              </w:rPr>
              <w:t></w:t>
            </w:r>
          </w:p>
        </w:tc>
        <w:tc>
          <w:tcPr>
            <w:tcW w:w="6905" w:type="dxa"/>
          </w:tcPr>
          <w:p w14:paraId="2BB23BE2" w14:textId="77777777" w:rsidR="00DD5ABD" w:rsidRPr="00564620" w:rsidRDefault="00617348" w:rsidP="007F1435">
            <w:pPr>
              <w:pStyle w:val="ToolTableText"/>
            </w:pPr>
            <w:r w:rsidRPr="00564620">
              <w:t>Zakaria uses a strong blend of topic</w:t>
            </w:r>
            <w:r w:rsidR="00F5677E" w:rsidRPr="00564620">
              <w:t>-</w:t>
            </w:r>
            <w:r w:rsidRPr="00564620">
              <w:t xml:space="preserve">appropriate language and </w:t>
            </w:r>
            <w:r w:rsidR="00C1405F" w:rsidRPr="00564620">
              <w:t>precise language in articulating his argument</w:t>
            </w:r>
            <w:r w:rsidRPr="00564620">
              <w:t xml:space="preserve">. </w:t>
            </w:r>
          </w:p>
        </w:tc>
      </w:tr>
      <w:tr w:rsidR="00DD5ABD" w:rsidRPr="00564620" w14:paraId="0B099173" w14:textId="77777777">
        <w:trPr>
          <w:trHeight w:val="1880"/>
        </w:trPr>
        <w:tc>
          <w:tcPr>
            <w:tcW w:w="2251" w:type="dxa"/>
            <w:vMerge/>
            <w:tcBorders>
              <w:top w:val="single" w:sz="4" w:space="0" w:color="auto"/>
              <w:left w:val="single" w:sz="4" w:space="0" w:color="auto"/>
              <w:bottom w:val="single" w:sz="4" w:space="0" w:color="auto"/>
              <w:right w:val="single" w:sz="4" w:space="0" w:color="auto"/>
            </w:tcBorders>
          </w:tcPr>
          <w:p w14:paraId="51C4B4E3" w14:textId="77777777" w:rsidR="00DD5ABD" w:rsidRPr="00564620" w:rsidRDefault="00DD5ABD" w:rsidP="00DD5ABD">
            <w:pPr>
              <w:pStyle w:val="ToolTableText"/>
            </w:pPr>
          </w:p>
        </w:tc>
        <w:tc>
          <w:tcPr>
            <w:tcW w:w="3534" w:type="dxa"/>
            <w:tcBorders>
              <w:top w:val="single" w:sz="4" w:space="0" w:color="auto"/>
              <w:left w:val="single" w:sz="4" w:space="0" w:color="auto"/>
              <w:bottom w:val="single" w:sz="4" w:space="0" w:color="auto"/>
            </w:tcBorders>
          </w:tcPr>
          <w:p w14:paraId="025C5B2F" w14:textId="77777777" w:rsidR="00DD5ABD" w:rsidRPr="00564620" w:rsidRDefault="00DD5ABD" w:rsidP="00DD5ABD">
            <w:pPr>
              <w:pStyle w:val="ToolTableText"/>
            </w:pPr>
            <w:r w:rsidRPr="00564620">
              <w:rPr>
                <w:b/>
              </w:rPr>
              <w:t xml:space="preserve">Style/Voice: </w:t>
            </w:r>
            <w:r w:rsidRPr="00564620">
              <w:t xml:space="preserve">Maintains a formal and objective tone appropriate to the intended audience. The use of words, phrases, clauses, and varied syntax draws attention to key ideas and reinforces relationships among ideas. </w:t>
            </w:r>
          </w:p>
        </w:tc>
        <w:tc>
          <w:tcPr>
            <w:tcW w:w="443" w:type="dxa"/>
          </w:tcPr>
          <w:p w14:paraId="2C22D113" w14:textId="77777777" w:rsidR="00DD5ABD" w:rsidRPr="00564620" w:rsidRDefault="00617348" w:rsidP="00DD5ABD">
            <w:r w:rsidRPr="00564620">
              <w:rPr>
                <w:rFonts w:ascii="Wingdings" w:eastAsia="MS Gothic" w:hAnsi="Wingdings"/>
              </w:rPr>
              <w:t></w:t>
            </w:r>
          </w:p>
        </w:tc>
        <w:tc>
          <w:tcPr>
            <w:tcW w:w="6905" w:type="dxa"/>
          </w:tcPr>
          <w:p w14:paraId="4EBB85D1" w14:textId="77777777" w:rsidR="00DD5ABD" w:rsidRPr="00564620" w:rsidRDefault="00940A8E" w:rsidP="00940A8E">
            <w:pPr>
              <w:pStyle w:val="ToolTableText"/>
            </w:pPr>
            <w:r w:rsidRPr="00564620">
              <w:t>Zakaria maintains a</w:t>
            </w:r>
            <w:r w:rsidR="00617348" w:rsidRPr="00564620">
              <w:t xml:space="preserve"> consistent formal tone throughout the entirety of the argument. In addition Zakaria </w:t>
            </w:r>
            <w:r w:rsidR="009C7E12" w:rsidRPr="00564620">
              <w:t xml:space="preserve">varies his </w:t>
            </w:r>
            <w:r w:rsidR="00617348" w:rsidRPr="00564620">
              <w:t>syntax</w:t>
            </w:r>
            <w:r w:rsidR="009C7E12" w:rsidRPr="00564620">
              <w:t>, word choice, and sentence structure and effectively uses</w:t>
            </w:r>
            <w:r w:rsidR="00617348" w:rsidRPr="00564620">
              <w:t xml:space="preserve"> rhetorical questions to </w:t>
            </w:r>
            <w:r w:rsidR="009C7E12" w:rsidRPr="00564620">
              <w:t xml:space="preserve">keep readers engaged and </w:t>
            </w:r>
            <w:r w:rsidR="00617348" w:rsidRPr="00564620">
              <w:t xml:space="preserve">draw </w:t>
            </w:r>
            <w:r w:rsidR="009C7E12" w:rsidRPr="00564620">
              <w:t xml:space="preserve">their </w:t>
            </w:r>
            <w:r w:rsidR="00617348" w:rsidRPr="00564620">
              <w:t xml:space="preserve">attention to </w:t>
            </w:r>
            <w:r w:rsidR="00B02832" w:rsidRPr="00564620">
              <w:t xml:space="preserve">key </w:t>
            </w:r>
            <w:r w:rsidR="00617348" w:rsidRPr="00564620">
              <w:t>ideas and points</w:t>
            </w:r>
            <w:r w:rsidR="00B02832" w:rsidRPr="00564620">
              <w:t>.</w:t>
            </w:r>
          </w:p>
        </w:tc>
      </w:tr>
      <w:tr w:rsidR="00DD5ABD" w:rsidRPr="00564620" w14:paraId="2C3C88A3" w14:textId="77777777">
        <w:trPr>
          <w:trHeight w:val="2103"/>
        </w:trPr>
        <w:tc>
          <w:tcPr>
            <w:tcW w:w="2251" w:type="dxa"/>
            <w:vMerge/>
            <w:tcBorders>
              <w:top w:val="single" w:sz="4" w:space="0" w:color="auto"/>
              <w:left w:val="single" w:sz="4" w:space="0" w:color="auto"/>
              <w:bottom w:val="single" w:sz="4" w:space="0" w:color="auto"/>
              <w:right w:val="single" w:sz="4" w:space="0" w:color="auto"/>
            </w:tcBorders>
          </w:tcPr>
          <w:p w14:paraId="091D992F" w14:textId="77777777" w:rsidR="00DD5ABD" w:rsidRPr="00564620" w:rsidRDefault="00DD5ABD" w:rsidP="00DD5ABD">
            <w:pPr>
              <w:pStyle w:val="ToolTableText"/>
            </w:pPr>
          </w:p>
        </w:tc>
        <w:tc>
          <w:tcPr>
            <w:tcW w:w="3534" w:type="dxa"/>
            <w:tcBorders>
              <w:top w:val="single" w:sz="4" w:space="0" w:color="auto"/>
              <w:left w:val="single" w:sz="4" w:space="0" w:color="auto"/>
              <w:bottom w:val="single" w:sz="4" w:space="0" w:color="auto"/>
            </w:tcBorders>
          </w:tcPr>
          <w:p w14:paraId="4F8A6096" w14:textId="77777777" w:rsidR="00DD5ABD" w:rsidRPr="00564620" w:rsidRDefault="00DD5ABD" w:rsidP="00DD5ABD">
            <w:pPr>
              <w:pStyle w:val="ToolTableText"/>
              <w:rPr>
                <w:b/>
              </w:rPr>
            </w:pPr>
            <w:r w:rsidRPr="00564620">
              <w:rPr>
                <w:b/>
              </w:rPr>
              <w:t xml:space="preserve">Responsible Use of Evidence: </w:t>
            </w:r>
            <w:r w:rsidRPr="00564620">
              <w:t>Cites evidence in a responsible manner that anticipates the audience’s knowledge level, concerns, values, and possible biases. Quotes sufficient evidence exactly, or paraphrases accurately, referencing precisely where the evidence can be found.</w:t>
            </w:r>
          </w:p>
        </w:tc>
        <w:tc>
          <w:tcPr>
            <w:tcW w:w="443" w:type="dxa"/>
          </w:tcPr>
          <w:p w14:paraId="0AA84365" w14:textId="77777777" w:rsidR="00DD5ABD" w:rsidRPr="00564620" w:rsidRDefault="00DD5ABD" w:rsidP="00DD5ABD">
            <w:r w:rsidRPr="00564620">
              <w:rPr>
                <w:rFonts w:ascii="MS Gothic" w:eastAsia="MS Gothic" w:hAnsi="MS Gothic" w:hint="eastAsia"/>
              </w:rPr>
              <w:t>☐</w:t>
            </w:r>
          </w:p>
        </w:tc>
        <w:tc>
          <w:tcPr>
            <w:tcW w:w="6905" w:type="dxa"/>
          </w:tcPr>
          <w:p w14:paraId="742E388E" w14:textId="77777777" w:rsidR="00DD5ABD" w:rsidRPr="00564620" w:rsidRDefault="00617348" w:rsidP="007F1435">
            <w:pPr>
              <w:pStyle w:val="ToolTableText"/>
            </w:pPr>
            <w:r w:rsidRPr="00564620">
              <w:t xml:space="preserve">Zakaria does not cite </w:t>
            </w:r>
            <w:r w:rsidR="00690405" w:rsidRPr="00564620">
              <w:t xml:space="preserve">sources that provide sufficient </w:t>
            </w:r>
            <w:r w:rsidRPr="00564620">
              <w:t xml:space="preserve">evidence for his statements. </w:t>
            </w:r>
            <w:r w:rsidR="00935840" w:rsidRPr="00564620">
              <w:t>He only provides one quote, from Paul Rusesabagina, at the end of the article</w:t>
            </w:r>
            <w:r w:rsidR="00F1321D" w:rsidRPr="00564620">
              <w:t xml:space="preserve">, while the </w:t>
            </w:r>
            <w:r w:rsidR="007C1736" w:rsidRPr="00564620">
              <w:t xml:space="preserve">other evidence he provides lacks </w:t>
            </w:r>
            <w:r w:rsidR="00690405" w:rsidRPr="00564620">
              <w:t xml:space="preserve">source </w:t>
            </w:r>
            <w:r w:rsidR="007C1736" w:rsidRPr="00564620">
              <w:t>citations</w:t>
            </w:r>
            <w:r w:rsidR="00935840" w:rsidRPr="00564620">
              <w:t xml:space="preserve">. </w:t>
            </w:r>
          </w:p>
        </w:tc>
      </w:tr>
      <w:tr w:rsidR="00DD5ABD" w:rsidRPr="00564620" w14:paraId="65F327A9" w14:textId="77777777">
        <w:trPr>
          <w:trHeight w:val="1340"/>
        </w:trPr>
        <w:tc>
          <w:tcPr>
            <w:tcW w:w="2251" w:type="dxa"/>
            <w:vMerge/>
            <w:tcBorders>
              <w:top w:val="single" w:sz="4" w:space="0" w:color="auto"/>
              <w:left w:val="single" w:sz="4" w:space="0" w:color="auto"/>
              <w:bottom w:val="single" w:sz="4" w:space="0" w:color="auto"/>
              <w:right w:val="single" w:sz="4" w:space="0" w:color="auto"/>
            </w:tcBorders>
          </w:tcPr>
          <w:p w14:paraId="2952A22B" w14:textId="77777777" w:rsidR="00DD5ABD" w:rsidRPr="00564620" w:rsidRDefault="00DD5ABD" w:rsidP="00DD5ABD">
            <w:pPr>
              <w:pStyle w:val="ToolTableText"/>
            </w:pPr>
          </w:p>
        </w:tc>
        <w:tc>
          <w:tcPr>
            <w:tcW w:w="3534" w:type="dxa"/>
            <w:tcBorders>
              <w:left w:val="single" w:sz="4" w:space="0" w:color="auto"/>
            </w:tcBorders>
          </w:tcPr>
          <w:p w14:paraId="62241400" w14:textId="77777777" w:rsidR="00DD5ABD" w:rsidRPr="00564620" w:rsidRDefault="00DD5ABD" w:rsidP="00DD5ABD">
            <w:pPr>
              <w:pStyle w:val="ToolTableText"/>
              <w:rPr>
                <w:b/>
              </w:rPr>
            </w:pPr>
            <w:r w:rsidRPr="00564620">
              <w:rPr>
                <w:b/>
              </w:rPr>
              <w:t>Conventions of Writing:</w:t>
            </w:r>
            <w:r w:rsidRPr="00564620">
              <w:t xml:space="preserve"> Illustrates consistent command of standard, grade-level-appropriate writing conventions.</w:t>
            </w:r>
          </w:p>
        </w:tc>
        <w:tc>
          <w:tcPr>
            <w:tcW w:w="443" w:type="dxa"/>
          </w:tcPr>
          <w:p w14:paraId="1D202FAD" w14:textId="77777777" w:rsidR="00DD5ABD" w:rsidRPr="00564620" w:rsidRDefault="00DD5ABD" w:rsidP="00DD5ABD">
            <w:r w:rsidRPr="00564620">
              <w:rPr>
                <w:rFonts w:ascii="Wingdings" w:eastAsia="MS Gothic" w:hAnsi="Wingdings"/>
              </w:rPr>
              <w:t></w:t>
            </w:r>
          </w:p>
        </w:tc>
        <w:tc>
          <w:tcPr>
            <w:tcW w:w="6905" w:type="dxa"/>
          </w:tcPr>
          <w:p w14:paraId="76D1B3FF" w14:textId="77777777" w:rsidR="00DD5ABD" w:rsidRPr="00564620" w:rsidRDefault="00DD5ABD" w:rsidP="007F1435">
            <w:pPr>
              <w:pStyle w:val="ToolTableText"/>
            </w:pPr>
            <w:r w:rsidRPr="00564620">
              <w:t xml:space="preserve">The writing in the article </w:t>
            </w:r>
            <w:r w:rsidR="00F07455" w:rsidRPr="00564620">
              <w:t>consistently adheres to</w:t>
            </w:r>
            <w:r w:rsidR="00ED5DA6" w:rsidRPr="00564620">
              <w:t xml:space="preserve"> the</w:t>
            </w:r>
            <w:r w:rsidR="00F07455" w:rsidRPr="00564620">
              <w:t xml:space="preserve"> appropriate conve</w:t>
            </w:r>
            <w:r w:rsidR="006A741D" w:rsidRPr="00564620">
              <w:t>ntions</w:t>
            </w:r>
            <w:r w:rsidRPr="00564620">
              <w:t xml:space="preserve">. </w:t>
            </w:r>
          </w:p>
        </w:tc>
      </w:tr>
    </w:tbl>
    <w:p w14:paraId="3C455922" w14:textId="3EF8B5C8" w:rsidR="002041CD" w:rsidRDefault="00DD5ABD" w:rsidP="007F1435">
      <w:pPr>
        <w:rPr>
          <w:sz w:val="18"/>
        </w:rPr>
      </w:pPr>
      <w:r w:rsidRPr="00564620">
        <w:rPr>
          <w:sz w:val="18"/>
        </w:rPr>
        <w:t>From Evidence-Based Arguments Criteria Checklist, by Odell Education, www.odelleducation.com. Copyright (</w:t>
      </w:r>
      <w:r w:rsidR="00C9739C">
        <w:rPr>
          <w:sz w:val="18"/>
        </w:rPr>
        <w:t>2012</w:t>
      </w:r>
      <w:r w:rsidR="00000B2A">
        <w:rPr>
          <w:sz w:val="18"/>
        </w:rPr>
        <w:t>–</w:t>
      </w:r>
      <w:r w:rsidRPr="00564620">
        <w:rPr>
          <w:sz w:val="18"/>
        </w:rPr>
        <w:t xml:space="preserve">2013) by Odell Education. Modified in partnership with permission under an Attribution-NonCommercial 3.0 Unported license: </w:t>
      </w:r>
      <w:hyperlink r:id="rId20" w:history="1">
        <w:r w:rsidR="007F1435" w:rsidRPr="00564620">
          <w:rPr>
            <w:rStyle w:val="Hyperlink"/>
            <w:sz w:val="18"/>
          </w:rPr>
          <w:t>http://creativecommons.org/licenses/by-nc/3.0</w:t>
        </w:r>
      </w:hyperlink>
      <w:r w:rsidR="007F1435">
        <w:rPr>
          <w:sz w:val="18"/>
        </w:rPr>
        <w:t xml:space="preserve"> </w:t>
      </w:r>
    </w:p>
    <w:p w14:paraId="4B7945EB" w14:textId="77777777" w:rsidR="007F1435" w:rsidRPr="007F1435" w:rsidRDefault="007F1435" w:rsidP="007F1435">
      <w:bookmarkStart w:id="0" w:name="_GoBack"/>
      <w:bookmarkEnd w:id="0"/>
    </w:p>
    <w:sectPr w:rsidR="007F1435" w:rsidRPr="007F1435" w:rsidSect="00D230E8">
      <w:headerReference w:type="default" r:id="rId21"/>
      <w:footerReference w:type="even" r:id="rId22"/>
      <w:footerReference w:type="default" r:id="rId23"/>
      <w:pgSz w:w="15840" w:h="12240" w:orient="landscape"/>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BFC6C" w14:textId="77777777" w:rsidR="00BF3B10" w:rsidRDefault="00BF3B10" w:rsidP="00E946A0">
      <w:r>
        <w:separator/>
      </w:r>
    </w:p>
    <w:p w14:paraId="70DF64F7" w14:textId="77777777" w:rsidR="00BF3B10" w:rsidRDefault="00BF3B10" w:rsidP="00E946A0"/>
  </w:endnote>
  <w:endnote w:type="continuationSeparator" w:id="0">
    <w:p w14:paraId="120711FD" w14:textId="77777777" w:rsidR="00BF3B10" w:rsidRDefault="00BF3B10" w:rsidP="00E946A0">
      <w:r>
        <w:continuationSeparator/>
      </w:r>
    </w:p>
    <w:p w14:paraId="3449DACC" w14:textId="77777777" w:rsidR="00BF3B10" w:rsidRDefault="00BF3B10"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90DDD" w14:textId="77777777" w:rsidR="000D33DA" w:rsidRDefault="000D33DA"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4E25AE93" w14:textId="77777777" w:rsidR="000D33DA" w:rsidRDefault="000D33DA" w:rsidP="00E946A0">
    <w:pPr>
      <w:pStyle w:val="Footer"/>
    </w:pPr>
  </w:p>
  <w:p w14:paraId="16A72EB2" w14:textId="77777777" w:rsidR="000D33DA" w:rsidRDefault="000D33DA" w:rsidP="00E946A0"/>
  <w:p w14:paraId="26B72EB8" w14:textId="77777777" w:rsidR="000D33DA" w:rsidRDefault="000D33DA"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12F46" w14:textId="77777777" w:rsidR="000D33DA" w:rsidRPr="00563CB8" w:rsidRDefault="000D33DA"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0D33DA" w14:paraId="4ED38030" w14:textId="77777777">
      <w:trPr>
        <w:trHeight w:val="705"/>
      </w:trPr>
      <w:tc>
        <w:tcPr>
          <w:tcW w:w="4609" w:type="dxa"/>
          <w:shd w:val="clear" w:color="auto" w:fill="auto"/>
          <w:vAlign w:val="center"/>
        </w:tcPr>
        <w:p w14:paraId="4A7F8CCF" w14:textId="0BB513FD" w:rsidR="000D33DA" w:rsidRPr="00070761" w:rsidRDefault="000D33DA" w:rsidP="004F2969">
          <w:pPr>
            <w:pStyle w:val="FooterText"/>
            <w:rPr>
              <w:rFonts w:asciiTheme="minorHAnsi" w:hAnsiTheme="minorHAnsi"/>
            </w:rPr>
          </w:pPr>
          <w:r w:rsidRPr="00070761">
            <w:rPr>
              <w:rFonts w:asciiTheme="minorHAnsi" w:hAnsiTheme="minorHAnsi"/>
            </w:rPr>
            <w:t>File:</w:t>
          </w:r>
          <w:r>
            <w:rPr>
              <w:rFonts w:asciiTheme="minorHAnsi" w:hAnsiTheme="minorHAnsi"/>
              <w:b w:val="0"/>
            </w:rPr>
            <w:t xml:space="preserve"> 11.</w:t>
          </w:r>
          <w:r w:rsidRPr="00070761">
            <w:rPr>
              <w:rFonts w:asciiTheme="minorHAnsi" w:hAnsiTheme="minorHAnsi"/>
              <w:b w:val="0"/>
            </w:rPr>
            <w:t>3.2 Lesson 5</w:t>
          </w:r>
          <w:r w:rsidRPr="00070761">
            <w:rPr>
              <w:rFonts w:asciiTheme="minorHAnsi" w:hAnsiTheme="minorHAnsi"/>
            </w:rPr>
            <w:t xml:space="preserve"> Date:</w:t>
          </w:r>
          <w:r w:rsidRPr="00070761">
            <w:rPr>
              <w:rFonts w:asciiTheme="minorHAnsi" w:hAnsiTheme="minorHAnsi"/>
              <w:b w:val="0"/>
            </w:rPr>
            <w:t xml:space="preserve"> </w:t>
          </w:r>
          <w:r w:rsidR="00DF7110">
            <w:rPr>
              <w:rFonts w:asciiTheme="minorHAnsi" w:hAnsiTheme="minorHAnsi"/>
              <w:b w:val="0"/>
            </w:rPr>
            <w:t>9/12</w:t>
          </w:r>
          <w:r w:rsidRPr="00070761">
            <w:rPr>
              <w:rFonts w:asciiTheme="minorHAnsi" w:hAnsiTheme="minorHAnsi"/>
              <w:b w:val="0"/>
            </w:rPr>
            <w:t xml:space="preserve">/14 </w:t>
          </w:r>
          <w:r w:rsidRPr="00070761">
            <w:rPr>
              <w:rFonts w:asciiTheme="minorHAnsi" w:hAnsiTheme="minorHAnsi"/>
            </w:rPr>
            <w:t>Classroom Use:</w:t>
          </w:r>
          <w:r w:rsidRPr="00070761">
            <w:rPr>
              <w:rFonts w:asciiTheme="minorHAnsi" w:hAnsiTheme="minorHAnsi"/>
              <w:b w:val="0"/>
            </w:rPr>
            <w:t xml:space="preserve"> Starting </w:t>
          </w:r>
          <w:r>
            <w:rPr>
              <w:rFonts w:asciiTheme="minorHAnsi" w:hAnsiTheme="minorHAnsi"/>
              <w:b w:val="0"/>
            </w:rPr>
            <w:t>9</w:t>
          </w:r>
          <w:r w:rsidRPr="00070761">
            <w:rPr>
              <w:rFonts w:asciiTheme="minorHAnsi" w:hAnsiTheme="minorHAnsi"/>
              <w:b w:val="0"/>
            </w:rPr>
            <w:t xml:space="preserve">/2014 </w:t>
          </w:r>
        </w:p>
        <w:p w14:paraId="1A49CF1F" w14:textId="77777777" w:rsidR="000D33DA" w:rsidRPr="00070761" w:rsidRDefault="000D33DA" w:rsidP="004F2969">
          <w:pPr>
            <w:pStyle w:val="FooterText"/>
            <w:rPr>
              <w:rFonts w:asciiTheme="minorHAnsi" w:hAnsiTheme="minorHAnsi"/>
              <w:b w:val="0"/>
              <w:i/>
              <w:sz w:val="12"/>
            </w:rPr>
          </w:pPr>
          <w:r w:rsidRPr="00070761">
            <w:rPr>
              <w:rFonts w:asciiTheme="minorHAnsi" w:hAnsiTheme="minorHAnsi"/>
              <w:b w:val="0"/>
              <w:sz w:val="12"/>
            </w:rPr>
            <w:t>© 2014 Public Consulting Group.</w:t>
          </w:r>
          <w:r w:rsidRPr="00070761">
            <w:rPr>
              <w:rFonts w:asciiTheme="minorHAnsi" w:hAnsiTheme="minorHAnsi"/>
              <w:b w:val="0"/>
              <w:i/>
              <w:sz w:val="12"/>
            </w:rPr>
            <w:t xml:space="preserve"> This work is licensed under a </w:t>
          </w:r>
        </w:p>
        <w:p w14:paraId="1C9B9DA6" w14:textId="77777777" w:rsidR="000D33DA" w:rsidRPr="00070761" w:rsidRDefault="000D33DA" w:rsidP="004F2969">
          <w:pPr>
            <w:pStyle w:val="FooterText"/>
            <w:rPr>
              <w:rFonts w:asciiTheme="minorHAnsi" w:hAnsiTheme="minorHAnsi"/>
              <w:b w:val="0"/>
              <w:i/>
            </w:rPr>
          </w:pPr>
          <w:r w:rsidRPr="00070761">
            <w:rPr>
              <w:rFonts w:asciiTheme="minorHAnsi" w:hAnsiTheme="minorHAnsi"/>
              <w:b w:val="0"/>
              <w:i/>
              <w:sz w:val="12"/>
            </w:rPr>
            <w:t>Creative Commons Attribution-NonCommercial-ShareAlike 3.0 Unported License</w:t>
          </w:r>
        </w:p>
        <w:p w14:paraId="18FBA46D" w14:textId="77777777" w:rsidR="000D33DA" w:rsidRPr="002E4C92" w:rsidRDefault="00BF3B10" w:rsidP="004F2969">
          <w:pPr>
            <w:pStyle w:val="FooterText"/>
          </w:pPr>
          <w:hyperlink r:id="rId1" w:history="1">
            <w:r w:rsidR="000D33DA" w:rsidRPr="00070761">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08DFA924" w14:textId="77777777" w:rsidR="000D33DA" w:rsidRPr="002E4C92" w:rsidRDefault="000D33DA"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F3B10">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07687EC2" w14:textId="77777777" w:rsidR="000D33DA" w:rsidRPr="002E4C92" w:rsidRDefault="000D33DA"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C56F0DB" wp14:editId="2E62F579">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2E9959E" w14:textId="77777777" w:rsidR="000D33DA" w:rsidRPr="0039525B" w:rsidRDefault="000D33DA" w:rsidP="0039525B">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86715" w14:textId="77777777" w:rsidR="000D33DA" w:rsidRDefault="000D33DA"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74B7781A" w14:textId="77777777" w:rsidR="000D33DA" w:rsidRDefault="000D33DA" w:rsidP="00E946A0">
    <w:pPr>
      <w:pStyle w:val="Footer"/>
    </w:pPr>
  </w:p>
  <w:p w14:paraId="3D8777BB" w14:textId="77777777" w:rsidR="000D33DA" w:rsidRDefault="000D33DA" w:rsidP="00E946A0"/>
  <w:p w14:paraId="11090532" w14:textId="77777777" w:rsidR="000D33DA" w:rsidRDefault="000D33DA" w:rsidP="00E946A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19FD3" w14:textId="77777777" w:rsidR="000D33DA" w:rsidRPr="00563CB8" w:rsidRDefault="000D33DA"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0D33DA" w14:paraId="67D5A5AD" w14:textId="77777777">
      <w:trPr>
        <w:trHeight w:val="705"/>
      </w:trPr>
      <w:tc>
        <w:tcPr>
          <w:tcW w:w="4609" w:type="dxa"/>
          <w:shd w:val="clear" w:color="auto" w:fill="auto"/>
          <w:vAlign w:val="center"/>
        </w:tcPr>
        <w:p w14:paraId="6B9D3711" w14:textId="607CDA3F" w:rsidR="000D33DA" w:rsidRPr="002E4C92" w:rsidRDefault="000D33DA" w:rsidP="004F2969">
          <w:pPr>
            <w:pStyle w:val="FooterText"/>
          </w:pPr>
          <w:r w:rsidRPr="002E4C92">
            <w:t>File:</w:t>
          </w:r>
          <w:r w:rsidRPr="0039525B">
            <w:rPr>
              <w:b w:val="0"/>
            </w:rPr>
            <w:t xml:space="preserve"> </w:t>
          </w:r>
          <w:r>
            <w:rPr>
              <w:b w:val="0"/>
            </w:rPr>
            <w:t>11.3.2</w:t>
          </w:r>
          <w:r w:rsidRPr="0039525B">
            <w:rPr>
              <w:b w:val="0"/>
            </w:rPr>
            <w:t xml:space="preserve"> Lesson </w:t>
          </w:r>
          <w:r>
            <w:rPr>
              <w:b w:val="0"/>
            </w:rPr>
            <w:t>5</w:t>
          </w:r>
          <w:r w:rsidRPr="002E4C92">
            <w:t xml:space="preserve"> Date:</w:t>
          </w:r>
          <w:r w:rsidRPr="0039525B">
            <w:rPr>
              <w:b w:val="0"/>
            </w:rPr>
            <w:t xml:space="preserve"> </w:t>
          </w:r>
          <w:r w:rsidR="00DF7110">
            <w:rPr>
              <w:b w:val="0"/>
            </w:rPr>
            <w:t>9/12</w:t>
          </w:r>
          <w:r>
            <w:rPr>
              <w:b w:val="0"/>
            </w:rPr>
            <w:t>/</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09568A14" w14:textId="77777777" w:rsidR="000D33DA" w:rsidRPr="0039525B" w:rsidRDefault="000D33DA"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57FBE154" w14:textId="77777777" w:rsidR="000D33DA" w:rsidRPr="0039525B" w:rsidRDefault="000D33DA" w:rsidP="004F2969">
          <w:pPr>
            <w:pStyle w:val="FooterText"/>
            <w:rPr>
              <w:b w:val="0"/>
              <w:i/>
            </w:rPr>
          </w:pPr>
          <w:r w:rsidRPr="0039525B">
            <w:rPr>
              <w:b w:val="0"/>
              <w:i/>
              <w:sz w:val="12"/>
            </w:rPr>
            <w:t>Creative Commons Attribution-NonCommercial-ShareAlike 3.0 Unported License</w:t>
          </w:r>
        </w:p>
        <w:p w14:paraId="750038F7" w14:textId="77777777" w:rsidR="000D33DA" w:rsidRPr="002E4C92" w:rsidRDefault="00BF3B10" w:rsidP="004F2969">
          <w:pPr>
            <w:pStyle w:val="FooterText"/>
          </w:pPr>
          <w:hyperlink r:id="rId1" w:history="1">
            <w:r w:rsidR="000D33DA"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249659B0" w14:textId="77777777" w:rsidR="000D33DA" w:rsidRPr="002E4C92" w:rsidRDefault="000D33DA"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F7110">
            <w:rPr>
              <w:rFonts w:ascii="Calibri" w:hAnsi="Calibri" w:cs="Calibri"/>
              <w:b/>
              <w:noProof/>
              <w:color w:val="1F4E79"/>
              <w:sz w:val="28"/>
            </w:rPr>
            <w:t>19</w:t>
          </w:r>
          <w:r w:rsidRPr="002E4C92">
            <w:rPr>
              <w:rFonts w:ascii="Calibri" w:hAnsi="Calibri" w:cs="Calibri"/>
              <w:b/>
              <w:color w:val="1F4E79"/>
              <w:sz w:val="28"/>
            </w:rPr>
            <w:fldChar w:fldCharType="end"/>
          </w:r>
        </w:p>
      </w:tc>
      <w:tc>
        <w:tcPr>
          <w:tcW w:w="4325" w:type="dxa"/>
          <w:shd w:val="clear" w:color="auto" w:fill="auto"/>
          <w:vAlign w:val="bottom"/>
        </w:tcPr>
        <w:p w14:paraId="36FB7574" w14:textId="77777777" w:rsidR="000D33DA" w:rsidRPr="002E4C92" w:rsidRDefault="000D33DA"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56FFCCC" wp14:editId="5441EFC8">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A41C314" w14:textId="77777777" w:rsidR="000D33DA" w:rsidRPr="0039525B" w:rsidRDefault="000D33DA"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962A0" w14:textId="77777777" w:rsidR="00BF3B10" w:rsidRDefault="00BF3B10" w:rsidP="00E946A0">
      <w:r>
        <w:separator/>
      </w:r>
    </w:p>
    <w:p w14:paraId="4E3946ED" w14:textId="77777777" w:rsidR="00BF3B10" w:rsidRDefault="00BF3B10" w:rsidP="00E946A0"/>
  </w:footnote>
  <w:footnote w:type="continuationSeparator" w:id="0">
    <w:p w14:paraId="1816BDC6" w14:textId="77777777" w:rsidR="00BF3B10" w:rsidRDefault="00BF3B10" w:rsidP="00E946A0">
      <w:r>
        <w:continuationSeparator/>
      </w:r>
    </w:p>
    <w:p w14:paraId="3B7B1FC9" w14:textId="77777777" w:rsidR="00BF3B10" w:rsidRDefault="00BF3B10"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0D33DA" w:rsidRPr="00563CB8" w14:paraId="160573D9" w14:textId="77777777">
      <w:tc>
        <w:tcPr>
          <w:tcW w:w="3708" w:type="dxa"/>
          <w:shd w:val="clear" w:color="auto" w:fill="auto"/>
        </w:tcPr>
        <w:p w14:paraId="5BD6126E" w14:textId="77777777" w:rsidR="000D33DA" w:rsidRPr="00563CB8" w:rsidRDefault="000D33DA"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E8DFC93" w14:textId="77777777" w:rsidR="000D33DA" w:rsidRPr="00563CB8" w:rsidRDefault="000D33DA" w:rsidP="00E946A0">
          <w:pPr>
            <w:jc w:val="center"/>
          </w:pPr>
          <w:r w:rsidRPr="00563CB8">
            <w:t>D R A F T</w:t>
          </w:r>
        </w:p>
      </w:tc>
      <w:tc>
        <w:tcPr>
          <w:tcW w:w="3438" w:type="dxa"/>
          <w:shd w:val="clear" w:color="auto" w:fill="auto"/>
        </w:tcPr>
        <w:p w14:paraId="681F5B7B" w14:textId="77777777" w:rsidR="000D33DA" w:rsidRPr="00E946A0" w:rsidRDefault="000D33DA" w:rsidP="002514C3">
          <w:pPr>
            <w:pStyle w:val="PageHeader"/>
            <w:jc w:val="right"/>
            <w:rPr>
              <w:b w:val="0"/>
            </w:rPr>
          </w:pPr>
          <w:r>
            <w:rPr>
              <w:b w:val="0"/>
            </w:rPr>
            <w:t>Grade 11 • Module 3</w:t>
          </w:r>
          <w:r w:rsidRPr="00E946A0">
            <w:rPr>
              <w:b w:val="0"/>
            </w:rPr>
            <w:t xml:space="preserve"> • Unit </w:t>
          </w:r>
          <w:r>
            <w:rPr>
              <w:b w:val="0"/>
            </w:rPr>
            <w:t>2</w:t>
          </w:r>
          <w:r w:rsidRPr="00E946A0">
            <w:rPr>
              <w:b w:val="0"/>
            </w:rPr>
            <w:t xml:space="preserve"> • Lesson </w:t>
          </w:r>
          <w:r>
            <w:rPr>
              <w:b w:val="0"/>
            </w:rPr>
            <w:t>5</w:t>
          </w:r>
        </w:p>
      </w:tc>
    </w:tr>
  </w:tbl>
  <w:p w14:paraId="6A3A1077" w14:textId="77777777" w:rsidR="000D33DA" w:rsidRDefault="000D33DA" w:rsidP="00E946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0D33DA" w:rsidRPr="00563CB8" w14:paraId="588284B7" w14:textId="77777777">
      <w:tc>
        <w:tcPr>
          <w:tcW w:w="3708" w:type="dxa"/>
          <w:shd w:val="clear" w:color="auto" w:fill="auto"/>
        </w:tcPr>
        <w:p w14:paraId="69F46787" w14:textId="77777777" w:rsidR="000D33DA" w:rsidRPr="00563CB8" w:rsidRDefault="000D33DA"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034A80B" w14:textId="77777777" w:rsidR="000D33DA" w:rsidRPr="00563CB8" w:rsidRDefault="000D33DA" w:rsidP="00E946A0">
          <w:pPr>
            <w:jc w:val="center"/>
          </w:pPr>
          <w:r w:rsidRPr="00563CB8">
            <w:t>D R A F T</w:t>
          </w:r>
        </w:p>
      </w:tc>
      <w:tc>
        <w:tcPr>
          <w:tcW w:w="3438" w:type="dxa"/>
          <w:shd w:val="clear" w:color="auto" w:fill="auto"/>
        </w:tcPr>
        <w:p w14:paraId="5F1F8D74" w14:textId="77777777" w:rsidR="000D33DA" w:rsidRPr="00E946A0" w:rsidRDefault="000D33DA" w:rsidP="00E946A0">
          <w:pPr>
            <w:pStyle w:val="PageHeader"/>
            <w:jc w:val="right"/>
            <w:rPr>
              <w:b w:val="0"/>
            </w:rPr>
          </w:pPr>
          <w:r>
            <w:rPr>
              <w:b w:val="0"/>
            </w:rPr>
            <w:t>Grade 11 • Module 3</w:t>
          </w:r>
          <w:r w:rsidRPr="00E946A0">
            <w:rPr>
              <w:b w:val="0"/>
            </w:rPr>
            <w:t xml:space="preserve"> • Unit </w:t>
          </w:r>
          <w:r>
            <w:rPr>
              <w:b w:val="0"/>
            </w:rPr>
            <w:t>2</w:t>
          </w:r>
          <w:r w:rsidRPr="00E946A0">
            <w:rPr>
              <w:b w:val="0"/>
            </w:rPr>
            <w:t xml:space="preserve"> • Lesson </w:t>
          </w:r>
          <w:r>
            <w:rPr>
              <w:b w:val="0"/>
            </w:rPr>
            <w:t>5</w:t>
          </w:r>
        </w:p>
      </w:tc>
    </w:tr>
  </w:tbl>
  <w:p w14:paraId="222A37B3" w14:textId="77777777" w:rsidR="000D33DA" w:rsidRDefault="000D33DA"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854A71"/>
    <w:multiLevelType w:val="hybridMultilevel"/>
    <w:tmpl w:val="1DB27F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8"/>
  </w:num>
  <w:num w:numId="2">
    <w:abstractNumId w:val="2"/>
  </w:num>
  <w:num w:numId="3">
    <w:abstractNumId w:val="1"/>
  </w:num>
  <w:num w:numId="4">
    <w:abstractNumId w:val="9"/>
    <w:lvlOverride w:ilvl="0">
      <w:startOverride w:val="1"/>
    </w:lvlOverride>
  </w:num>
  <w:num w:numId="5">
    <w:abstractNumId w:val="8"/>
  </w:num>
  <w:num w:numId="6">
    <w:abstractNumId w:val="8"/>
  </w:num>
  <w:num w:numId="7">
    <w:abstractNumId w:val="8"/>
    <w:lvlOverride w:ilvl="0">
      <w:startOverride w:val="1"/>
    </w:lvlOverride>
  </w:num>
  <w:num w:numId="8">
    <w:abstractNumId w:val="9"/>
  </w:num>
  <w:num w:numId="9">
    <w:abstractNumId w:val="9"/>
    <w:lvlOverride w:ilvl="0">
      <w:startOverride w:val="1"/>
    </w:lvlOverride>
  </w:num>
  <w:num w:numId="10">
    <w:abstractNumId w:val="8"/>
    <w:lvlOverride w:ilvl="0">
      <w:startOverride w:val="1"/>
    </w:lvlOverride>
  </w:num>
  <w:num w:numId="11">
    <w:abstractNumId w:val="0"/>
  </w:num>
  <w:num w:numId="12">
    <w:abstractNumId w:val="29"/>
  </w:num>
  <w:num w:numId="13">
    <w:abstractNumId w:val="8"/>
    <w:lvlOverride w:ilvl="0">
      <w:startOverride w:val="1"/>
    </w:lvlOverride>
  </w:num>
  <w:num w:numId="14">
    <w:abstractNumId w:val="7"/>
  </w:num>
  <w:num w:numId="15">
    <w:abstractNumId w:val="3"/>
  </w:num>
  <w:num w:numId="16">
    <w:abstractNumId w:val="24"/>
  </w:num>
  <w:num w:numId="17">
    <w:abstractNumId w:val="14"/>
  </w:num>
  <w:num w:numId="18">
    <w:abstractNumId w:val="15"/>
  </w:num>
  <w:num w:numId="19">
    <w:abstractNumId w:val="12"/>
  </w:num>
  <w:num w:numId="20">
    <w:abstractNumId w:val="5"/>
  </w:num>
  <w:num w:numId="21">
    <w:abstractNumId w:val="9"/>
    <w:lvlOverride w:ilvl="0">
      <w:startOverride w:val="1"/>
    </w:lvlOverride>
  </w:num>
  <w:num w:numId="22">
    <w:abstractNumId w:val="1"/>
    <w:lvlOverride w:ilvl="0">
      <w:startOverride w:val="1"/>
    </w:lvlOverride>
  </w:num>
  <w:num w:numId="23">
    <w:abstractNumId w:val="26"/>
  </w:num>
  <w:num w:numId="24">
    <w:abstractNumId w:val="6"/>
  </w:num>
  <w:num w:numId="25">
    <w:abstractNumId w:val="23"/>
  </w:num>
  <w:num w:numId="26">
    <w:abstractNumId w:val="16"/>
  </w:num>
  <w:num w:numId="27">
    <w:abstractNumId w:val="2"/>
    <w:lvlOverride w:ilvl="0">
      <w:startOverride w:val="1"/>
    </w:lvlOverride>
  </w:num>
  <w:num w:numId="28">
    <w:abstractNumId w:val="19"/>
  </w:num>
  <w:num w:numId="29">
    <w:abstractNumId w:val="11"/>
  </w:num>
  <w:num w:numId="30">
    <w:abstractNumId w:val="17"/>
  </w:num>
  <w:num w:numId="31">
    <w:abstractNumId w:val="28"/>
  </w:num>
  <w:num w:numId="32">
    <w:abstractNumId w:val="20"/>
  </w:num>
  <w:num w:numId="33">
    <w:abstractNumId w:val="25"/>
  </w:num>
  <w:num w:numId="34">
    <w:abstractNumId w:val="9"/>
    <w:lvlOverride w:ilvl="0">
      <w:startOverride w:val="1"/>
    </w:lvlOverride>
  </w:num>
  <w:num w:numId="35">
    <w:abstractNumId w:val="22"/>
  </w:num>
  <w:num w:numId="36">
    <w:abstractNumId w:val="10"/>
  </w:num>
  <w:num w:numId="37">
    <w:abstractNumId w:val="13"/>
  </w:num>
  <w:num w:numId="38">
    <w:abstractNumId w:val="27"/>
  </w:num>
  <w:num w:numId="39">
    <w:abstractNumId w:val="9"/>
    <w:lvlOverride w:ilvl="0">
      <w:startOverride w:val="1"/>
    </w:lvlOverride>
  </w:num>
  <w:num w:numId="40">
    <w:abstractNumId w:val="21"/>
  </w:num>
  <w:num w:numId="41">
    <w:abstractNumId w:val="18"/>
  </w:num>
  <w:num w:numId="42">
    <w:abstractNumId w:val="25"/>
  </w:num>
  <w:num w:numId="43">
    <w:abstractNumId w:val="25"/>
  </w:num>
  <w:num w:numId="44">
    <w:abstractNumId w:val="20"/>
  </w:num>
  <w:num w:numId="45">
    <w:abstractNumId w:val="4"/>
  </w:num>
  <w:num w:numId="46">
    <w:abstractNumId w:val="1"/>
  </w:num>
  <w:num w:numId="47">
    <w:abstractNumId w:val="22"/>
  </w:num>
  <w:num w:numId="48">
    <w:abstractNumId w:val="9"/>
    <w:lvlOverride w:ilvl="0">
      <w:startOverride w:val="1"/>
    </w:lvlOverride>
  </w:num>
  <w:num w:numId="49">
    <w:abstractNumId w:val="2"/>
  </w:num>
  <w:num w:numId="50">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688B"/>
    <w:rsid w:val="00000B2A"/>
    <w:rsid w:val="0000325C"/>
    <w:rsid w:val="00007CBA"/>
    <w:rsid w:val="00007F67"/>
    <w:rsid w:val="00011E99"/>
    <w:rsid w:val="000134DA"/>
    <w:rsid w:val="000137C5"/>
    <w:rsid w:val="00014D5D"/>
    <w:rsid w:val="00020527"/>
    <w:rsid w:val="00021589"/>
    <w:rsid w:val="0002335F"/>
    <w:rsid w:val="0003055D"/>
    <w:rsid w:val="00034778"/>
    <w:rsid w:val="00046D39"/>
    <w:rsid w:val="00053088"/>
    <w:rsid w:val="000541EA"/>
    <w:rsid w:val="00062291"/>
    <w:rsid w:val="0006233C"/>
    <w:rsid w:val="00064850"/>
    <w:rsid w:val="00066123"/>
    <w:rsid w:val="00067088"/>
    <w:rsid w:val="0006776C"/>
    <w:rsid w:val="00070BC5"/>
    <w:rsid w:val="00071936"/>
    <w:rsid w:val="00072749"/>
    <w:rsid w:val="000742AA"/>
    <w:rsid w:val="00075649"/>
    <w:rsid w:val="00080A8A"/>
    <w:rsid w:val="00082FC3"/>
    <w:rsid w:val="000848B2"/>
    <w:rsid w:val="00085ACE"/>
    <w:rsid w:val="00086A06"/>
    <w:rsid w:val="00090200"/>
    <w:rsid w:val="00092730"/>
    <w:rsid w:val="00092C82"/>
    <w:rsid w:val="00095BBA"/>
    <w:rsid w:val="00096A06"/>
    <w:rsid w:val="000A1206"/>
    <w:rsid w:val="000A26A7"/>
    <w:rsid w:val="000A3640"/>
    <w:rsid w:val="000B1882"/>
    <w:rsid w:val="000B2D56"/>
    <w:rsid w:val="000B3015"/>
    <w:rsid w:val="000B3836"/>
    <w:rsid w:val="000B4C1D"/>
    <w:rsid w:val="000B6EA7"/>
    <w:rsid w:val="000C0112"/>
    <w:rsid w:val="000C169A"/>
    <w:rsid w:val="000C4439"/>
    <w:rsid w:val="000C4813"/>
    <w:rsid w:val="000C5656"/>
    <w:rsid w:val="000C5893"/>
    <w:rsid w:val="000D0F3D"/>
    <w:rsid w:val="000D0FAE"/>
    <w:rsid w:val="000D33DA"/>
    <w:rsid w:val="000D7908"/>
    <w:rsid w:val="000E0B69"/>
    <w:rsid w:val="000E29EB"/>
    <w:rsid w:val="000E4DBA"/>
    <w:rsid w:val="000F192C"/>
    <w:rsid w:val="000F2414"/>
    <w:rsid w:val="000F7D35"/>
    <w:rsid w:val="000F7F56"/>
    <w:rsid w:val="0010235F"/>
    <w:rsid w:val="00107410"/>
    <w:rsid w:val="00110A04"/>
    <w:rsid w:val="00111A39"/>
    <w:rsid w:val="00113501"/>
    <w:rsid w:val="001159C2"/>
    <w:rsid w:val="001215F2"/>
    <w:rsid w:val="00121C27"/>
    <w:rsid w:val="001258FD"/>
    <w:rsid w:val="00133528"/>
    <w:rsid w:val="001352AE"/>
    <w:rsid w:val="001362D4"/>
    <w:rsid w:val="001401D7"/>
    <w:rsid w:val="00140413"/>
    <w:rsid w:val="00146E8B"/>
    <w:rsid w:val="001509EC"/>
    <w:rsid w:val="0015118C"/>
    <w:rsid w:val="0015327F"/>
    <w:rsid w:val="0015414E"/>
    <w:rsid w:val="00156124"/>
    <w:rsid w:val="001561A6"/>
    <w:rsid w:val="001602CE"/>
    <w:rsid w:val="001657A6"/>
    <w:rsid w:val="001708C2"/>
    <w:rsid w:val="001723D5"/>
    <w:rsid w:val="00175B00"/>
    <w:rsid w:val="0018630D"/>
    <w:rsid w:val="00186355"/>
    <w:rsid w:val="001864E6"/>
    <w:rsid w:val="00186FDA"/>
    <w:rsid w:val="0018762C"/>
    <w:rsid w:val="001945FA"/>
    <w:rsid w:val="00194F1D"/>
    <w:rsid w:val="001A5133"/>
    <w:rsid w:val="001B0794"/>
    <w:rsid w:val="001B1487"/>
    <w:rsid w:val="001C1C99"/>
    <w:rsid w:val="001C35E3"/>
    <w:rsid w:val="001C5188"/>
    <w:rsid w:val="001C6B70"/>
    <w:rsid w:val="001D047B"/>
    <w:rsid w:val="001D0518"/>
    <w:rsid w:val="001D3945"/>
    <w:rsid w:val="001D641A"/>
    <w:rsid w:val="001D6987"/>
    <w:rsid w:val="001E189E"/>
    <w:rsid w:val="001F0991"/>
    <w:rsid w:val="001F6335"/>
    <w:rsid w:val="001F6C4F"/>
    <w:rsid w:val="001F788A"/>
    <w:rsid w:val="002009F7"/>
    <w:rsid w:val="0020138A"/>
    <w:rsid w:val="002041CD"/>
    <w:rsid w:val="00207C8B"/>
    <w:rsid w:val="00224590"/>
    <w:rsid w:val="002306FF"/>
    <w:rsid w:val="00231919"/>
    <w:rsid w:val="00240FF7"/>
    <w:rsid w:val="0024557C"/>
    <w:rsid w:val="00245B86"/>
    <w:rsid w:val="002514C3"/>
    <w:rsid w:val="002516D4"/>
    <w:rsid w:val="00251A7C"/>
    <w:rsid w:val="00251DAB"/>
    <w:rsid w:val="00252D78"/>
    <w:rsid w:val="002530C2"/>
    <w:rsid w:val="002619B1"/>
    <w:rsid w:val="002635F4"/>
    <w:rsid w:val="0026372B"/>
    <w:rsid w:val="00263AF5"/>
    <w:rsid w:val="002661A8"/>
    <w:rsid w:val="00266902"/>
    <w:rsid w:val="00271389"/>
    <w:rsid w:val="002748DB"/>
    <w:rsid w:val="00274FEB"/>
    <w:rsid w:val="00276DB9"/>
    <w:rsid w:val="00280FAB"/>
    <w:rsid w:val="0028184C"/>
    <w:rsid w:val="00284738"/>
    <w:rsid w:val="00284B9E"/>
    <w:rsid w:val="00284FC0"/>
    <w:rsid w:val="00287B43"/>
    <w:rsid w:val="00290F88"/>
    <w:rsid w:val="00292DF4"/>
    <w:rsid w:val="0029527C"/>
    <w:rsid w:val="00297DC5"/>
    <w:rsid w:val="002A21DE"/>
    <w:rsid w:val="002A5337"/>
    <w:rsid w:val="002C0245"/>
    <w:rsid w:val="002C02FB"/>
    <w:rsid w:val="002C16B8"/>
    <w:rsid w:val="002C5F0D"/>
    <w:rsid w:val="002D2EF6"/>
    <w:rsid w:val="002D5EB9"/>
    <w:rsid w:val="002D632F"/>
    <w:rsid w:val="002E27AE"/>
    <w:rsid w:val="002E4C92"/>
    <w:rsid w:val="002F03D2"/>
    <w:rsid w:val="002F3D65"/>
    <w:rsid w:val="002F729E"/>
    <w:rsid w:val="00300E89"/>
    <w:rsid w:val="003067BF"/>
    <w:rsid w:val="0031138D"/>
    <w:rsid w:val="00311E81"/>
    <w:rsid w:val="00317306"/>
    <w:rsid w:val="003201AC"/>
    <w:rsid w:val="0032239A"/>
    <w:rsid w:val="00335168"/>
    <w:rsid w:val="003368BF"/>
    <w:rsid w:val="003440A9"/>
    <w:rsid w:val="00345CCB"/>
    <w:rsid w:val="00347761"/>
    <w:rsid w:val="003477BB"/>
    <w:rsid w:val="00347DD9"/>
    <w:rsid w:val="00350B03"/>
    <w:rsid w:val="00351804"/>
    <w:rsid w:val="00351F18"/>
    <w:rsid w:val="00352361"/>
    <w:rsid w:val="00353081"/>
    <w:rsid w:val="00354BF3"/>
    <w:rsid w:val="00355B9E"/>
    <w:rsid w:val="00356656"/>
    <w:rsid w:val="00362010"/>
    <w:rsid w:val="00364CD8"/>
    <w:rsid w:val="00365747"/>
    <w:rsid w:val="00370C53"/>
    <w:rsid w:val="00371280"/>
    <w:rsid w:val="00372441"/>
    <w:rsid w:val="0037258B"/>
    <w:rsid w:val="00374C35"/>
    <w:rsid w:val="00376DBB"/>
    <w:rsid w:val="003822E1"/>
    <w:rsid w:val="003826B0"/>
    <w:rsid w:val="0038382F"/>
    <w:rsid w:val="00383A2A"/>
    <w:rsid w:val="003851B2"/>
    <w:rsid w:val="003854D3"/>
    <w:rsid w:val="0038635E"/>
    <w:rsid w:val="00387082"/>
    <w:rsid w:val="003908D2"/>
    <w:rsid w:val="003924D0"/>
    <w:rsid w:val="0039525B"/>
    <w:rsid w:val="003A3AB0"/>
    <w:rsid w:val="003A4FD8"/>
    <w:rsid w:val="003A5973"/>
    <w:rsid w:val="003A6785"/>
    <w:rsid w:val="003B39EF"/>
    <w:rsid w:val="003B3DB9"/>
    <w:rsid w:val="003B7708"/>
    <w:rsid w:val="003C0A22"/>
    <w:rsid w:val="003C1D68"/>
    <w:rsid w:val="003C2022"/>
    <w:rsid w:val="003C24AD"/>
    <w:rsid w:val="003D2601"/>
    <w:rsid w:val="003D27E3"/>
    <w:rsid w:val="003D28E6"/>
    <w:rsid w:val="003D5BF1"/>
    <w:rsid w:val="003D7469"/>
    <w:rsid w:val="003E2C04"/>
    <w:rsid w:val="003E3757"/>
    <w:rsid w:val="003E693A"/>
    <w:rsid w:val="003E79B6"/>
    <w:rsid w:val="003F2833"/>
    <w:rsid w:val="003F3D65"/>
    <w:rsid w:val="003F6B88"/>
    <w:rsid w:val="00405198"/>
    <w:rsid w:val="004067C7"/>
    <w:rsid w:val="0040717B"/>
    <w:rsid w:val="00412A7D"/>
    <w:rsid w:val="004179FD"/>
    <w:rsid w:val="00421157"/>
    <w:rsid w:val="0042474E"/>
    <w:rsid w:val="00425E32"/>
    <w:rsid w:val="00430026"/>
    <w:rsid w:val="00432D7F"/>
    <w:rsid w:val="004345E6"/>
    <w:rsid w:val="00436909"/>
    <w:rsid w:val="00437FD0"/>
    <w:rsid w:val="004402AC"/>
    <w:rsid w:val="004403EE"/>
    <w:rsid w:val="00440948"/>
    <w:rsid w:val="00440AFB"/>
    <w:rsid w:val="004452D5"/>
    <w:rsid w:val="00446AFD"/>
    <w:rsid w:val="004528AF"/>
    <w:rsid w:val="004536D7"/>
    <w:rsid w:val="00455FC4"/>
    <w:rsid w:val="00456F88"/>
    <w:rsid w:val="0045725F"/>
    <w:rsid w:val="00457F98"/>
    <w:rsid w:val="00465C95"/>
    <w:rsid w:val="00470E93"/>
    <w:rsid w:val="004713C2"/>
    <w:rsid w:val="00472F34"/>
    <w:rsid w:val="0047469B"/>
    <w:rsid w:val="00477B3D"/>
    <w:rsid w:val="0048183F"/>
    <w:rsid w:val="00481DF2"/>
    <w:rsid w:val="00482C15"/>
    <w:rsid w:val="004838D9"/>
    <w:rsid w:val="00484822"/>
    <w:rsid w:val="00485D55"/>
    <w:rsid w:val="0049409E"/>
    <w:rsid w:val="004A3158"/>
    <w:rsid w:val="004A3F30"/>
    <w:rsid w:val="004A6EF6"/>
    <w:rsid w:val="004B22B8"/>
    <w:rsid w:val="004B2C4B"/>
    <w:rsid w:val="004B3E41"/>
    <w:rsid w:val="004B552B"/>
    <w:rsid w:val="004B7C07"/>
    <w:rsid w:val="004C3282"/>
    <w:rsid w:val="004C602D"/>
    <w:rsid w:val="004C6CD8"/>
    <w:rsid w:val="004D487C"/>
    <w:rsid w:val="004D5473"/>
    <w:rsid w:val="004D7029"/>
    <w:rsid w:val="004E1B0E"/>
    <w:rsid w:val="004F2363"/>
    <w:rsid w:val="004F2969"/>
    <w:rsid w:val="004F353F"/>
    <w:rsid w:val="004F62CF"/>
    <w:rsid w:val="00502FAD"/>
    <w:rsid w:val="00507A5B"/>
    <w:rsid w:val="00507DF5"/>
    <w:rsid w:val="0051043C"/>
    <w:rsid w:val="00511378"/>
    <w:rsid w:val="005121D2"/>
    <w:rsid w:val="00513C73"/>
    <w:rsid w:val="00513E84"/>
    <w:rsid w:val="00517918"/>
    <w:rsid w:val="00517F63"/>
    <w:rsid w:val="0052385B"/>
    <w:rsid w:val="0052413A"/>
    <w:rsid w:val="0052748A"/>
    <w:rsid w:val="0052769A"/>
    <w:rsid w:val="00527DE8"/>
    <w:rsid w:val="005324A5"/>
    <w:rsid w:val="005351D1"/>
    <w:rsid w:val="00541A6A"/>
    <w:rsid w:val="00542523"/>
    <w:rsid w:val="00546D71"/>
    <w:rsid w:val="0054791C"/>
    <w:rsid w:val="0055340D"/>
    <w:rsid w:val="0055385D"/>
    <w:rsid w:val="00553ACA"/>
    <w:rsid w:val="00560EFB"/>
    <w:rsid w:val="00561640"/>
    <w:rsid w:val="00563CB8"/>
    <w:rsid w:val="00563DC9"/>
    <w:rsid w:val="005641F5"/>
    <w:rsid w:val="00564620"/>
    <w:rsid w:val="00565871"/>
    <w:rsid w:val="00567E85"/>
    <w:rsid w:val="00570901"/>
    <w:rsid w:val="00576E4A"/>
    <w:rsid w:val="005808C9"/>
    <w:rsid w:val="00581401"/>
    <w:rsid w:val="00583275"/>
    <w:rsid w:val="005837C5"/>
    <w:rsid w:val="00583FF7"/>
    <w:rsid w:val="00585771"/>
    <w:rsid w:val="00585A0D"/>
    <w:rsid w:val="005875D8"/>
    <w:rsid w:val="00592611"/>
    <w:rsid w:val="00592D68"/>
    <w:rsid w:val="00593697"/>
    <w:rsid w:val="00595905"/>
    <w:rsid w:val="005960E3"/>
    <w:rsid w:val="005A75C9"/>
    <w:rsid w:val="005A7968"/>
    <w:rsid w:val="005B22B2"/>
    <w:rsid w:val="005B3D78"/>
    <w:rsid w:val="005B67E0"/>
    <w:rsid w:val="005B7E6E"/>
    <w:rsid w:val="005C4572"/>
    <w:rsid w:val="005C7B5F"/>
    <w:rsid w:val="005D406F"/>
    <w:rsid w:val="005D52E0"/>
    <w:rsid w:val="005D7C72"/>
    <w:rsid w:val="005E2E87"/>
    <w:rsid w:val="005F147C"/>
    <w:rsid w:val="005F5D35"/>
    <w:rsid w:val="005F657A"/>
    <w:rsid w:val="00603970"/>
    <w:rsid w:val="006044CD"/>
    <w:rsid w:val="00607856"/>
    <w:rsid w:val="006124D5"/>
    <w:rsid w:val="00617348"/>
    <w:rsid w:val="0061751F"/>
    <w:rsid w:val="0062277B"/>
    <w:rsid w:val="006261E1"/>
    <w:rsid w:val="00626E4A"/>
    <w:rsid w:val="00626E7E"/>
    <w:rsid w:val="0063653C"/>
    <w:rsid w:val="006375AF"/>
    <w:rsid w:val="00641DC5"/>
    <w:rsid w:val="00643550"/>
    <w:rsid w:val="00644540"/>
    <w:rsid w:val="00645C3F"/>
    <w:rsid w:val="00646088"/>
    <w:rsid w:val="00647DA1"/>
    <w:rsid w:val="00651092"/>
    <w:rsid w:val="00653ABB"/>
    <w:rsid w:val="0066211A"/>
    <w:rsid w:val="00663A00"/>
    <w:rsid w:val="006660C7"/>
    <w:rsid w:val="006661AE"/>
    <w:rsid w:val="006667A3"/>
    <w:rsid w:val="0068018C"/>
    <w:rsid w:val="00682020"/>
    <w:rsid w:val="00684179"/>
    <w:rsid w:val="00690405"/>
    <w:rsid w:val="0069247E"/>
    <w:rsid w:val="00695A30"/>
    <w:rsid w:val="00696173"/>
    <w:rsid w:val="006A09D6"/>
    <w:rsid w:val="006A3594"/>
    <w:rsid w:val="006A741D"/>
    <w:rsid w:val="006B0965"/>
    <w:rsid w:val="006B2B6C"/>
    <w:rsid w:val="006B61DD"/>
    <w:rsid w:val="006B7772"/>
    <w:rsid w:val="006B7CCB"/>
    <w:rsid w:val="006D5208"/>
    <w:rsid w:val="006E4C84"/>
    <w:rsid w:val="006E7144"/>
    <w:rsid w:val="006E7A67"/>
    <w:rsid w:val="006E7D3C"/>
    <w:rsid w:val="006F03E0"/>
    <w:rsid w:val="006F2C82"/>
    <w:rsid w:val="006F3BD7"/>
    <w:rsid w:val="00706F7A"/>
    <w:rsid w:val="00707670"/>
    <w:rsid w:val="00710D68"/>
    <w:rsid w:val="0071568E"/>
    <w:rsid w:val="00717150"/>
    <w:rsid w:val="007232CE"/>
    <w:rsid w:val="0072440D"/>
    <w:rsid w:val="00724760"/>
    <w:rsid w:val="00730123"/>
    <w:rsid w:val="0073192F"/>
    <w:rsid w:val="00733C74"/>
    <w:rsid w:val="00737EE7"/>
    <w:rsid w:val="00741955"/>
    <w:rsid w:val="00755DB2"/>
    <w:rsid w:val="007623AE"/>
    <w:rsid w:val="0076269D"/>
    <w:rsid w:val="00766336"/>
    <w:rsid w:val="0076658E"/>
    <w:rsid w:val="00767641"/>
    <w:rsid w:val="00771089"/>
    <w:rsid w:val="00772135"/>
    <w:rsid w:val="00772FCA"/>
    <w:rsid w:val="0077398D"/>
    <w:rsid w:val="00787662"/>
    <w:rsid w:val="00796D57"/>
    <w:rsid w:val="00797281"/>
    <w:rsid w:val="007A679E"/>
    <w:rsid w:val="007B0EDD"/>
    <w:rsid w:val="007B6B1B"/>
    <w:rsid w:val="007B764B"/>
    <w:rsid w:val="007C14C1"/>
    <w:rsid w:val="007C1736"/>
    <w:rsid w:val="007C7DB0"/>
    <w:rsid w:val="007D1715"/>
    <w:rsid w:val="007D2F12"/>
    <w:rsid w:val="007D63A3"/>
    <w:rsid w:val="007E463A"/>
    <w:rsid w:val="007E4E86"/>
    <w:rsid w:val="007E7665"/>
    <w:rsid w:val="007F1435"/>
    <w:rsid w:val="007F76FC"/>
    <w:rsid w:val="00804C62"/>
    <w:rsid w:val="00806ADA"/>
    <w:rsid w:val="00807C6B"/>
    <w:rsid w:val="008139A0"/>
    <w:rsid w:val="00814D64"/>
    <w:rsid w:val="00815048"/>
    <w:rsid w:val="008151E5"/>
    <w:rsid w:val="00815D95"/>
    <w:rsid w:val="00820EF9"/>
    <w:rsid w:val="0082210F"/>
    <w:rsid w:val="008228CD"/>
    <w:rsid w:val="008261D2"/>
    <w:rsid w:val="00831B4C"/>
    <w:rsid w:val="008336BE"/>
    <w:rsid w:val="0083524A"/>
    <w:rsid w:val="00835495"/>
    <w:rsid w:val="00840DAE"/>
    <w:rsid w:val="008434A6"/>
    <w:rsid w:val="0084358E"/>
    <w:rsid w:val="00847A03"/>
    <w:rsid w:val="00850CE6"/>
    <w:rsid w:val="00853CF3"/>
    <w:rsid w:val="008572B2"/>
    <w:rsid w:val="00860A88"/>
    <w:rsid w:val="00864A80"/>
    <w:rsid w:val="00872393"/>
    <w:rsid w:val="008732CC"/>
    <w:rsid w:val="00874AF4"/>
    <w:rsid w:val="00875D0A"/>
    <w:rsid w:val="00876632"/>
    <w:rsid w:val="00877D47"/>
    <w:rsid w:val="00880AAD"/>
    <w:rsid w:val="00883761"/>
    <w:rsid w:val="00884AB6"/>
    <w:rsid w:val="0089013D"/>
    <w:rsid w:val="008907FE"/>
    <w:rsid w:val="00893930"/>
    <w:rsid w:val="00893A85"/>
    <w:rsid w:val="00897E18"/>
    <w:rsid w:val="008A0F55"/>
    <w:rsid w:val="008A1774"/>
    <w:rsid w:val="008A2DA8"/>
    <w:rsid w:val="008A4564"/>
    <w:rsid w:val="008A5010"/>
    <w:rsid w:val="008A7263"/>
    <w:rsid w:val="008B1311"/>
    <w:rsid w:val="008B2218"/>
    <w:rsid w:val="008B31CC"/>
    <w:rsid w:val="008B456C"/>
    <w:rsid w:val="008B5DE1"/>
    <w:rsid w:val="008C1826"/>
    <w:rsid w:val="008C7679"/>
    <w:rsid w:val="008D0396"/>
    <w:rsid w:val="008D3566"/>
    <w:rsid w:val="008D3BC0"/>
    <w:rsid w:val="008D5D6B"/>
    <w:rsid w:val="008E2674"/>
    <w:rsid w:val="008F4343"/>
    <w:rsid w:val="009000C9"/>
    <w:rsid w:val="009032DB"/>
    <w:rsid w:val="00903656"/>
    <w:rsid w:val="009062ED"/>
    <w:rsid w:val="0090693B"/>
    <w:rsid w:val="0090775D"/>
    <w:rsid w:val="00910D8E"/>
    <w:rsid w:val="009135A8"/>
    <w:rsid w:val="0091722D"/>
    <w:rsid w:val="00922E34"/>
    <w:rsid w:val="00933100"/>
    <w:rsid w:val="00935840"/>
    <w:rsid w:val="00935D12"/>
    <w:rsid w:val="009403AD"/>
    <w:rsid w:val="00940A8E"/>
    <w:rsid w:val="0094277B"/>
    <w:rsid w:val="00956753"/>
    <w:rsid w:val="0096199D"/>
    <w:rsid w:val="00962802"/>
    <w:rsid w:val="00963519"/>
    <w:rsid w:val="00963CDE"/>
    <w:rsid w:val="00966D72"/>
    <w:rsid w:val="00967678"/>
    <w:rsid w:val="0097223B"/>
    <w:rsid w:val="009732BA"/>
    <w:rsid w:val="00973AFF"/>
    <w:rsid w:val="0098148A"/>
    <w:rsid w:val="00984C63"/>
    <w:rsid w:val="009859E7"/>
    <w:rsid w:val="009A0390"/>
    <w:rsid w:val="009A3159"/>
    <w:rsid w:val="009B0F30"/>
    <w:rsid w:val="009B12D0"/>
    <w:rsid w:val="009B14FE"/>
    <w:rsid w:val="009B4AF1"/>
    <w:rsid w:val="009B4FE2"/>
    <w:rsid w:val="009B7417"/>
    <w:rsid w:val="009B7C85"/>
    <w:rsid w:val="009C0391"/>
    <w:rsid w:val="009C2014"/>
    <w:rsid w:val="009C3C09"/>
    <w:rsid w:val="009C7E12"/>
    <w:rsid w:val="009D0B7A"/>
    <w:rsid w:val="009D12CD"/>
    <w:rsid w:val="009D2572"/>
    <w:rsid w:val="009E05C6"/>
    <w:rsid w:val="009E07D2"/>
    <w:rsid w:val="009E189A"/>
    <w:rsid w:val="009E734D"/>
    <w:rsid w:val="009F0E6B"/>
    <w:rsid w:val="009F31D9"/>
    <w:rsid w:val="009F3652"/>
    <w:rsid w:val="00A0163A"/>
    <w:rsid w:val="00A07A4E"/>
    <w:rsid w:val="00A14F0A"/>
    <w:rsid w:val="00A203C5"/>
    <w:rsid w:val="00A24DAB"/>
    <w:rsid w:val="00A253EA"/>
    <w:rsid w:val="00A25744"/>
    <w:rsid w:val="00A32E00"/>
    <w:rsid w:val="00A4462B"/>
    <w:rsid w:val="00A4688B"/>
    <w:rsid w:val="00A627E7"/>
    <w:rsid w:val="00A65FF8"/>
    <w:rsid w:val="00A75116"/>
    <w:rsid w:val="00A77308"/>
    <w:rsid w:val="00A908AC"/>
    <w:rsid w:val="00A948B3"/>
    <w:rsid w:val="00A95E92"/>
    <w:rsid w:val="00A968CA"/>
    <w:rsid w:val="00AA0831"/>
    <w:rsid w:val="00AA1DC0"/>
    <w:rsid w:val="00AA5F43"/>
    <w:rsid w:val="00AC1DE5"/>
    <w:rsid w:val="00AC1F67"/>
    <w:rsid w:val="00AC2AB4"/>
    <w:rsid w:val="00AC6562"/>
    <w:rsid w:val="00AD26BF"/>
    <w:rsid w:val="00AD2E2E"/>
    <w:rsid w:val="00AD440D"/>
    <w:rsid w:val="00AE01CA"/>
    <w:rsid w:val="00AE14E2"/>
    <w:rsid w:val="00AE1519"/>
    <w:rsid w:val="00AE3076"/>
    <w:rsid w:val="00AF084B"/>
    <w:rsid w:val="00AF0F9E"/>
    <w:rsid w:val="00AF1F26"/>
    <w:rsid w:val="00AF3526"/>
    <w:rsid w:val="00AF5A63"/>
    <w:rsid w:val="00B00346"/>
    <w:rsid w:val="00B01708"/>
    <w:rsid w:val="00B02832"/>
    <w:rsid w:val="00B044E7"/>
    <w:rsid w:val="00B05472"/>
    <w:rsid w:val="00B10BF2"/>
    <w:rsid w:val="00B12B5F"/>
    <w:rsid w:val="00B1409A"/>
    <w:rsid w:val="00B205E1"/>
    <w:rsid w:val="00B20B90"/>
    <w:rsid w:val="00B231AA"/>
    <w:rsid w:val="00B23AD5"/>
    <w:rsid w:val="00B27639"/>
    <w:rsid w:val="00B30BF5"/>
    <w:rsid w:val="00B31BA2"/>
    <w:rsid w:val="00B33149"/>
    <w:rsid w:val="00B46C45"/>
    <w:rsid w:val="00B5282C"/>
    <w:rsid w:val="00B57A9F"/>
    <w:rsid w:val="00B6092B"/>
    <w:rsid w:val="00B66DB7"/>
    <w:rsid w:val="00B70992"/>
    <w:rsid w:val="00B71188"/>
    <w:rsid w:val="00B7194E"/>
    <w:rsid w:val="00B75489"/>
    <w:rsid w:val="00B76D5E"/>
    <w:rsid w:val="00B80621"/>
    <w:rsid w:val="00B82C06"/>
    <w:rsid w:val="00B937A1"/>
    <w:rsid w:val="00B9762D"/>
    <w:rsid w:val="00BA15C4"/>
    <w:rsid w:val="00BA4548"/>
    <w:rsid w:val="00BA46CB"/>
    <w:rsid w:val="00BA536E"/>
    <w:rsid w:val="00BA6CB2"/>
    <w:rsid w:val="00BA6E05"/>
    <w:rsid w:val="00BA7D7C"/>
    <w:rsid w:val="00BA7F1C"/>
    <w:rsid w:val="00BB27BA"/>
    <w:rsid w:val="00BB3487"/>
    <w:rsid w:val="00BB459A"/>
    <w:rsid w:val="00BB4709"/>
    <w:rsid w:val="00BC1873"/>
    <w:rsid w:val="00BC3880"/>
    <w:rsid w:val="00BC4ADE"/>
    <w:rsid w:val="00BC54A9"/>
    <w:rsid w:val="00BC55AA"/>
    <w:rsid w:val="00BD28C9"/>
    <w:rsid w:val="00BD7AD4"/>
    <w:rsid w:val="00BD7B6F"/>
    <w:rsid w:val="00BE4EBD"/>
    <w:rsid w:val="00BE6EFE"/>
    <w:rsid w:val="00BF3B10"/>
    <w:rsid w:val="00BF6DF5"/>
    <w:rsid w:val="00C01AA2"/>
    <w:rsid w:val="00C02E75"/>
    <w:rsid w:val="00C02EC2"/>
    <w:rsid w:val="00C03B17"/>
    <w:rsid w:val="00C0700D"/>
    <w:rsid w:val="00C07D88"/>
    <w:rsid w:val="00C1405F"/>
    <w:rsid w:val="00C151B9"/>
    <w:rsid w:val="00C17AF0"/>
    <w:rsid w:val="00C208EA"/>
    <w:rsid w:val="00C2283A"/>
    <w:rsid w:val="00C252EF"/>
    <w:rsid w:val="00C25C43"/>
    <w:rsid w:val="00C27E34"/>
    <w:rsid w:val="00C33E98"/>
    <w:rsid w:val="00C34B83"/>
    <w:rsid w:val="00C419B4"/>
    <w:rsid w:val="00C424C5"/>
    <w:rsid w:val="00C42C58"/>
    <w:rsid w:val="00C441BE"/>
    <w:rsid w:val="00C446C7"/>
    <w:rsid w:val="00C4787C"/>
    <w:rsid w:val="00C5015B"/>
    <w:rsid w:val="00C512D6"/>
    <w:rsid w:val="00C52FD6"/>
    <w:rsid w:val="00C65CFA"/>
    <w:rsid w:val="00C7162F"/>
    <w:rsid w:val="00C745E1"/>
    <w:rsid w:val="00C74E34"/>
    <w:rsid w:val="00C801F9"/>
    <w:rsid w:val="00C84E77"/>
    <w:rsid w:val="00C8507C"/>
    <w:rsid w:val="00C920BB"/>
    <w:rsid w:val="00C9359E"/>
    <w:rsid w:val="00C94AC5"/>
    <w:rsid w:val="00C9623A"/>
    <w:rsid w:val="00C96563"/>
    <w:rsid w:val="00C9739C"/>
    <w:rsid w:val="00CA53F8"/>
    <w:rsid w:val="00CA6CC7"/>
    <w:rsid w:val="00CB2038"/>
    <w:rsid w:val="00CB4795"/>
    <w:rsid w:val="00CC1BF8"/>
    <w:rsid w:val="00CC2982"/>
    <w:rsid w:val="00CC3C40"/>
    <w:rsid w:val="00CC605E"/>
    <w:rsid w:val="00CC6E60"/>
    <w:rsid w:val="00CD1A34"/>
    <w:rsid w:val="00CD3A81"/>
    <w:rsid w:val="00CD4793"/>
    <w:rsid w:val="00CD61D0"/>
    <w:rsid w:val="00CE0B26"/>
    <w:rsid w:val="00CE0D9A"/>
    <w:rsid w:val="00CE2836"/>
    <w:rsid w:val="00CE53DA"/>
    <w:rsid w:val="00CE5BEA"/>
    <w:rsid w:val="00CE6C54"/>
    <w:rsid w:val="00CF0739"/>
    <w:rsid w:val="00CF08C2"/>
    <w:rsid w:val="00CF2582"/>
    <w:rsid w:val="00CF2986"/>
    <w:rsid w:val="00CF498D"/>
    <w:rsid w:val="00D031FA"/>
    <w:rsid w:val="00D066C5"/>
    <w:rsid w:val="00D22B12"/>
    <w:rsid w:val="00D230E8"/>
    <w:rsid w:val="00D2326D"/>
    <w:rsid w:val="00D252E3"/>
    <w:rsid w:val="00D257AC"/>
    <w:rsid w:val="00D3179C"/>
    <w:rsid w:val="00D31C4D"/>
    <w:rsid w:val="00D3492E"/>
    <w:rsid w:val="00D36C11"/>
    <w:rsid w:val="00D374A9"/>
    <w:rsid w:val="00D41B54"/>
    <w:rsid w:val="00D4259D"/>
    <w:rsid w:val="00D44710"/>
    <w:rsid w:val="00D45C9C"/>
    <w:rsid w:val="00D4700C"/>
    <w:rsid w:val="00D479EE"/>
    <w:rsid w:val="00D52801"/>
    <w:rsid w:val="00D53FCE"/>
    <w:rsid w:val="00D5676B"/>
    <w:rsid w:val="00D57066"/>
    <w:rsid w:val="00D7036A"/>
    <w:rsid w:val="00D833B5"/>
    <w:rsid w:val="00D920A6"/>
    <w:rsid w:val="00D9328F"/>
    <w:rsid w:val="00D94FAB"/>
    <w:rsid w:val="00D95A65"/>
    <w:rsid w:val="00DA030E"/>
    <w:rsid w:val="00DA0B5E"/>
    <w:rsid w:val="00DB34C3"/>
    <w:rsid w:val="00DB3C98"/>
    <w:rsid w:val="00DB7F2E"/>
    <w:rsid w:val="00DC0419"/>
    <w:rsid w:val="00DC0591"/>
    <w:rsid w:val="00DC4024"/>
    <w:rsid w:val="00DC605A"/>
    <w:rsid w:val="00DC7604"/>
    <w:rsid w:val="00DD207B"/>
    <w:rsid w:val="00DD5ABD"/>
    <w:rsid w:val="00DD6609"/>
    <w:rsid w:val="00DD6BA0"/>
    <w:rsid w:val="00DF1C01"/>
    <w:rsid w:val="00DF3D1C"/>
    <w:rsid w:val="00DF5111"/>
    <w:rsid w:val="00DF7110"/>
    <w:rsid w:val="00E0286B"/>
    <w:rsid w:val="00E06ED5"/>
    <w:rsid w:val="00E11792"/>
    <w:rsid w:val="00E151C4"/>
    <w:rsid w:val="00E16070"/>
    <w:rsid w:val="00E173B3"/>
    <w:rsid w:val="00E223DA"/>
    <w:rsid w:val="00E22A24"/>
    <w:rsid w:val="00E26A26"/>
    <w:rsid w:val="00E31D9D"/>
    <w:rsid w:val="00E32224"/>
    <w:rsid w:val="00E3245A"/>
    <w:rsid w:val="00E3278B"/>
    <w:rsid w:val="00E369DD"/>
    <w:rsid w:val="00E44FCA"/>
    <w:rsid w:val="00E45753"/>
    <w:rsid w:val="00E46711"/>
    <w:rsid w:val="00E52A2C"/>
    <w:rsid w:val="00E53E91"/>
    <w:rsid w:val="00E560AD"/>
    <w:rsid w:val="00E56C25"/>
    <w:rsid w:val="00E6036C"/>
    <w:rsid w:val="00E60525"/>
    <w:rsid w:val="00E618D5"/>
    <w:rsid w:val="00E63363"/>
    <w:rsid w:val="00E6588C"/>
    <w:rsid w:val="00E65C14"/>
    <w:rsid w:val="00E7559A"/>
    <w:rsid w:val="00E7754E"/>
    <w:rsid w:val="00E9122A"/>
    <w:rsid w:val="00E9190E"/>
    <w:rsid w:val="00E93332"/>
    <w:rsid w:val="00E93803"/>
    <w:rsid w:val="00E946A0"/>
    <w:rsid w:val="00E975F4"/>
    <w:rsid w:val="00EA0C17"/>
    <w:rsid w:val="00EA3693"/>
    <w:rsid w:val="00EA44C5"/>
    <w:rsid w:val="00EA74B5"/>
    <w:rsid w:val="00EB1156"/>
    <w:rsid w:val="00EB4655"/>
    <w:rsid w:val="00EB4AAC"/>
    <w:rsid w:val="00EB6D24"/>
    <w:rsid w:val="00EB782B"/>
    <w:rsid w:val="00EC15E4"/>
    <w:rsid w:val="00EC1E30"/>
    <w:rsid w:val="00EC238E"/>
    <w:rsid w:val="00EC3F22"/>
    <w:rsid w:val="00ED0044"/>
    <w:rsid w:val="00ED34EC"/>
    <w:rsid w:val="00ED491F"/>
    <w:rsid w:val="00ED5DA6"/>
    <w:rsid w:val="00EE360E"/>
    <w:rsid w:val="00EE5F60"/>
    <w:rsid w:val="00EE66B9"/>
    <w:rsid w:val="00EF12C5"/>
    <w:rsid w:val="00EF3C8D"/>
    <w:rsid w:val="00F0638D"/>
    <w:rsid w:val="00F07455"/>
    <w:rsid w:val="00F07B41"/>
    <w:rsid w:val="00F10E78"/>
    <w:rsid w:val="00F10E87"/>
    <w:rsid w:val="00F12958"/>
    <w:rsid w:val="00F1321D"/>
    <w:rsid w:val="00F143C7"/>
    <w:rsid w:val="00F21CD9"/>
    <w:rsid w:val="00F259C4"/>
    <w:rsid w:val="00F308FF"/>
    <w:rsid w:val="00F355C2"/>
    <w:rsid w:val="00F36D38"/>
    <w:rsid w:val="00F37F20"/>
    <w:rsid w:val="00F41D88"/>
    <w:rsid w:val="00F4286D"/>
    <w:rsid w:val="00F43401"/>
    <w:rsid w:val="00F43553"/>
    <w:rsid w:val="00F4386A"/>
    <w:rsid w:val="00F44637"/>
    <w:rsid w:val="00F4480D"/>
    <w:rsid w:val="00F457A9"/>
    <w:rsid w:val="00F52488"/>
    <w:rsid w:val="00F534EF"/>
    <w:rsid w:val="00F544D9"/>
    <w:rsid w:val="00F55F78"/>
    <w:rsid w:val="00F5677E"/>
    <w:rsid w:val="00F60C57"/>
    <w:rsid w:val="00F64807"/>
    <w:rsid w:val="00F6568B"/>
    <w:rsid w:val="00F814D5"/>
    <w:rsid w:val="00F87643"/>
    <w:rsid w:val="00F92CB6"/>
    <w:rsid w:val="00F942C8"/>
    <w:rsid w:val="00FA0A05"/>
    <w:rsid w:val="00FA3204"/>
    <w:rsid w:val="00FA3976"/>
    <w:rsid w:val="00FB11C0"/>
    <w:rsid w:val="00FB2878"/>
    <w:rsid w:val="00FB75ED"/>
    <w:rsid w:val="00FC349F"/>
    <w:rsid w:val="00FC714C"/>
    <w:rsid w:val="00FD0D99"/>
    <w:rsid w:val="00FD275D"/>
    <w:rsid w:val="00FD4C69"/>
    <w:rsid w:val="00FD6A91"/>
    <w:rsid w:val="00FE06D2"/>
    <w:rsid w:val="00FE12D4"/>
    <w:rsid w:val="00FE28A3"/>
    <w:rsid w:val="00FE2A44"/>
    <w:rsid w:val="00FE662D"/>
    <w:rsid w:val="00FF02DE"/>
    <w:rsid w:val="00FF1FA1"/>
    <w:rsid w:val="00FF40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08B95"/>
  <w15:docId w15:val="{B681DA5C-46DA-48F2-A886-344DCBA0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Normal"/>
    <w:link w:val="LearningSequenceHeaderChar"/>
    <w:qFormat/>
    <w:rsid w:val="00000B2A"/>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DefaultParagraphFont"/>
    <w:link w:val="LearningSequenceHeader"/>
    <w:rsid w:val="00000B2A"/>
    <w:rPr>
      <w:rFonts w:asciiTheme="minorHAnsi" w:hAnsiTheme="minorHAnsi"/>
      <w:b/>
      <w:bCs/>
      <w:color w:val="4F81BD"/>
      <w:sz w:val="28"/>
      <w:szCs w:val="26"/>
    </w:rPr>
  </w:style>
  <w:style w:type="paragraph" w:customStyle="1" w:styleId="TA">
    <w:name w:val="*TA*"/>
    <w:link w:val="TAChar"/>
    <w:qFormat/>
    <w:rsid w:val="00000B2A"/>
    <w:pPr>
      <w:spacing w:before="180" w:after="180"/>
    </w:pPr>
    <w:rPr>
      <w:sz w:val="22"/>
      <w:szCs w:val="22"/>
    </w:rPr>
  </w:style>
  <w:style w:type="character" w:customStyle="1" w:styleId="TAChar">
    <w:name w:val="*TA* Char"/>
    <w:basedOn w:val="DefaultParagraphFont"/>
    <w:link w:val="TA"/>
    <w:rsid w:val="00000B2A"/>
    <w:rPr>
      <w:sz w:val="22"/>
      <w:szCs w:val="22"/>
    </w:rPr>
  </w:style>
  <w:style w:type="paragraph" w:customStyle="1" w:styleId="IN">
    <w:name w:val="*IN*"/>
    <w:link w:val="INChar"/>
    <w:qFormat/>
    <w:rsid w:val="00000B2A"/>
    <w:pPr>
      <w:numPr>
        <w:numId w:val="46"/>
      </w:numPr>
      <w:spacing w:before="120" w:after="60" w:line="276" w:lineRule="auto"/>
      <w:ind w:left="360"/>
    </w:pPr>
    <w:rPr>
      <w:color w:val="4F81BD"/>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00B2A"/>
    <w:pPr>
      <w:numPr>
        <w:numId w:val="41"/>
      </w:numPr>
      <w:spacing w:before="60" w:after="60" w:line="276" w:lineRule="auto"/>
      <w:ind w:left="360"/>
    </w:pPr>
    <w:rPr>
      <w:sz w:val="22"/>
      <w:szCs w:val="22"/>
    </w:rPr>
  </w:style>
  <w:style w:type="character" w:customStyle="1" w:styleId="INChar">
    <w:name w:val="*IN* Char"/>
    <w:basedOn w:val="DefaultParagraphFont"/>
    <w:link w:val="IN"/>
    <w:rsid w:val="00000B2A"/>
    <w:rPr>
      <w:color w:val="4F81BD"/>
      <w:sz w:val="22"/>
      <w:szCs w:val="22"/>
    </w:rPr>
  </w:style>
  <w:style w:type="paragraph" w:customStyle="1" w:styleId="NumberedList">
    <w:name w:val="*Numbered List"/>
    <w:link w:val="NumberedListChar"/>
    <w:qFormat/>
    <w:rsid w:val="00000B2A"/>
    <w:pPr>
      <w:numPr>
        <w:numId w:val="48"/>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DefaultParagraphFont"/>
    <w:link w:val="BulletedList"/>
    <w:rsid w:val="00000B2A"/>
    <w:rPr>
      <w:sz w:val="22"/>
      <w:szCs w:val="22"/>
    </w:rPr>
  </w:style>
  <w:style w:type="paragraph" w:customStyle="1" w:styleId="TableHeaders">
    <w:name w:val="*TableHeaders"/>
    <w:basedOn w:val="Normal"/>
    <w:link w:val="TableHeadersChar"/>
    <w:qFormat/>
    <w:rsid w:val="00000B2A"/>
    <w:pPr>
      <w:spacing w:before="40" w:after="40" w:line="240" w:lineRule="auto"/>
    </w:pPr>
    <w:rPr>
      <w:b/>
      <w:color w:val="FFFFFF" w:themeColor="background1"/>
    </w:rPr>
  </w:style>
  <w:style w:type="character" w:customStyle="1" w:styleId="NumberedListChar">
    <w:name w:val="*Numbered List Char"/>
    <w:basedOn w:val="BulletedListChar"/>
    <w:link w:val="NumberedList"/>
    <w:rsid w:val="00000B2A"/>
    <w:rPr>
      <w:sz w:val="22"/>
      <w:szCs w:val="22"/>
    </w:rPr>
  </w:style>
  <w:style w:type="paragraph" w:customStyle="1" w:styleId="PageHeader">
    <w:name w:val="*PageHeader"/>
    <w:link w:val="PageHeaderChar"/>
    <w:qFormat/>
    <w:rsid w:val="00000B2A"/>
    <w:pPr>
      <w:spacing w:before="120"/>
    </w:pPr>
    <w:rPr>
      <w:b/>
      <w:sz w:val="18"/>
      <w:szCs w:val="22"/>
    </w:rPr>
  </w:style>
  <w:style w:type="character" w:customStyle="1" w:styleId="TableHeadersChar">
    <w:name w:val="*TableHeaders Char"/>
    <w:basedOn w:val="DefaultParagraphFont"/>
    <w:link w:val="TableHeaders"/>
    <w:rsid w:val="00000B2A"/>
    <w:rPr>
      <w:b/>
      <w:color w:val="FFFFFF" w:themeColor="background1"/>
      <w:sz w:val="22"/>
      <w:szCs w:val="22"/>
    </w:rPr>
  </w:style>
  <w:style w:type="paragraph" w:customStyle="1" w:styleId="Q">
    <w:name w:val="*Q*"/>
    <w:link w:val="QChar"/>
    <w:qFormat/>
    <w:rsid w:val="00000B2A"/>
    <w:pPr>
      <w:spacing w:before="240" w:line="276" w:lineRule="auto"/>
    </w:pPr>
    <w:rPr>
      <w:b/>
      <w:sz w:val="22"/>
      <w:szCs w:val="22"/>
    </w:rPr>
  </w:style>
  <w:style w:type="character" w:customStyle="1" w:styleId="PageHeaderChar">
    <w:name w:val="*PageHeader Char"/>
    <w:basedOn w:val="DefaultParagraphFont"/>
    <w:link w:val="PageHeader"/>
    <w:rsid w:val="00000B2A"/>
    <w:rPr>
      <w:b/>
      <w:sz w:val="18"/>
      <w:szCs w:val="22"/>
    </w:rPr>
  </w:style>
  <w:style w:type="character" w:customStyle="1" w:styleId="QChar">
    <w:name w:val="*Q* Char"/>
    <w:basedOn w:val="DefaultParagraphFont"/>
    <w:link w:val="Q"/>
    <w:rsid w:val="00000B2A"/>
    <w:rPr>
      <w:b/>
      <w:sz w:val="22"/>
      <w:szCs w:val="22"/>
    </w:rPr>
  </w:style>
  <w:style w:type="paragraph" w:customStyle="1" w:styleId="SASRBullet">
    <w:name w:val="*SA/SR Bullet"/>
    <w:basedOn w:val="Normal"/>
    <w:link w:val="SASRBulletChar"/>
    <w:qFormat/>
    <w:rsid w:val="00000B2A"/>
    <w:pPr>
      <w:numPr>
        <w:ilvl w:val="1"/>
        <w:numId w:val="49"/>
      </w:numPr>
      <w:spacing w:before="120"/>
      <w:ind w:left="1080"/>
      <w:contextualSpacing/>
    </w:pPr>
  </w:style>
  <w:style w:type="paragraph" w:customStyle="1" w:styleId="INBullet">
    <w:name w:val="*IN* Bullet"/>
    <w:link w:val="INBulletChar"/>
    <w:qFormat/>
    <w:rsid w:val="00000B2A"/>
    <w:pPr>
      <w:numPr>
        <w:numId w:val="47"/>
      </w:numPr>
      <w:spacing w:after="60" w:line="276" w:lineRule="auto"/>
    </w:pPr>
    <w:rPr>
      <w:color w:val="4F81BD"/>
      <w:sz w:val="22"/>
      <w:szCs w:val="22"/>
    </w:rPr>
  </w:style>
  <w:style w:type="character" w:customStyle="1" w:styleId="SASRBulletChar">
    <w:name w:val="*SA/SR Bullet Char"/>
    <w:basedOn w:val="DefaultParagraphFont"/>
    <w:link w:val="SASRBullet"/>
    <w:rsid w:val="00000B2A"/>
    <w:rPr>
      <w:sz w:val="22"/>
      <w:szCs w:val="22"/>
    </w:rPr>
  </w:style>
  <w:style w:type="character" w:customStyle="1" w:styleId="INBulletChar">
    <w:name w:val="*IN* Bullet Char"/>
    <w:basedOn w:val="BulletedListChar"/>
    <w:link w:val="INBullet"/>
    <w:rsid w:val="00000B2A"/>
    <w:rPr>
      <w:color w:val="4F81BD"/>
      <w:sz w:val="22"/>
      <w:szCs w:val="22"/>
    </w:rPr>
  </w:style>
  <w:style w:type="character" w:customStyle="1" w:styleId="reference-text">
    <w:name w:val="reference-text"/>
    <w:rsid w:val="00BE4EBD"/>
  </w:style>
  <w:style w:type="paragraph" w:customStyle="1" w:styleId="SA">
    <w:name w:val="*SA*"/>
    <w:link w:val="SAChar"/>
    <w:qFormat/>
    <w:rsid w:val="00000B2A"/>
    <w:pPr>
      <w:numPr>
        <w:numId w:val="43"/>
      </w:numPr>
      <w:spacing w:before="120" w:line="276" w:lineRule="auto"/>
    </w:pPr>
    <w:rPr>
      <w:sz w:val="22"/>
      <w:szCs w:val="22"/>
    </w:rPr>
  </w:style>
  <w:style w:type="paragraph" w:customStyle="1" w:styleId="SR">
    <w:name w:val="*SR*"/>
    <w:link w:val="SRChar"/>
    <w:qFormat/>
    <w:rsid w:val="00000B2A"/>
    <w:pPr>
      <w:numPr>
        <w:numId w:val="44"/>
      </w:numPr>
      <w:spacing w:before="120" w:line="276" w:lineRule="auto"/>
      <w:ind w:left="720"/>
    </w:pPr>
    <w:rPr>
      <w:sz w:val="22"/>
      <w:szCs w:val="22"/>
    </w:rPr>
  </w:style>
  <w:style w:type="character" w:customStyle="1" w:styleId="SAChar">
    <w:name w:val="*SA* Char"/>
    <w:basedOn w:val="DefaultParagraphFont"/>
    <w:link w:val="SA"/>
    <w:rsid w:val="00000B2A"/>
    <w:rPr>
      <w:sz w:val="22"/>
      <w:szCs w:val="22"/>
    </w:rPr>
  </w:style>
  <w:style w:type="character" w:customStyle="1" w:styleId="SRChar">
    <w:name w:val="*SR* Char"/>
    <w:basedOn w:val="DefaultParagraphFont"/>
    <w:link w:val="SR"/>
    <w:rsid w:val="00000B2A"/>
    <w:rPr>
      <w:sz w:val="22"/>
      <w:szCs w:val="22"/>
    </w:rPr>
  </w:style>
  <w:style w:type="paragraph" w:customStyle="1" w:styleId="BR">
    <w:name w:val="*BR*"/>
    <w:link w:val="BRChar"/>
    <w:qFormat/>
    <w:rsid w:val="00000B2A"/>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000B2A"/>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000B2A"/>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000B2A"/>
    <w:rPr>
      <w:rFonts w:ascii="Verdana" w:eastAsia="Verdana" w:hAnsi="Verdana" w:cs="Calibri"/>
      <w:b/>
      <w:color w:val="595959"/>
      <w:sz w:val="14"/>
      <w:szCs w:val="22"/>
    </w:rPr>
  </w:style>
  <w:style w:type="paragraph" w:customStyle="1" w:styleId="TableText">
    <w:name w:val="*TableText"/>
    <w:link w:val="TableTextChar"/>
    <w:qFormat/>
    <w:rsid w:val="00000B2A"/>
    <w:pPr>
      <w:spacing w:before="40" w:after="40" w:line="276" w:lineRule="auto"/>
    </w:pPr>
    <w:rPr>
      <w:sz w:val="22"/>
      <w:szCs w:val="22"/>
    </w:rPr>
  </w:style>
  <w:style w:type="character" w:customStyle="1" w:styleId="TableTextChar">
    <w:name w:val="*TableText Char"/>
    <w:basedOn w:val="DefaultParagraphFont"/>
    <w:link w:val="TableText"/>
    <w:rsid w:val="00000B2A"/>
    <w:rPr>
      <w:sz w:val="22"/>
      <w:szCs w:val="22"/>
    </w:rPr>
  </w:style>
  <w:style w:type="paragraph" w:customStyle="1" w:styleId="ToolHeader">
    <w:name w:val="*ToolHeader"/>
    <w:qFormat/>
    <w:rsid w:val="00000B2A"/>
    <w:pPr>
      <w:spacing w:after="120"/>
    </w:pPr>
    <w:rPr>
      <w:rFonts w:asciiTheme="minorHAnsi" w:hAnsiTheme="minorHAnsi"/>
      <w:b/>
      <w:bCs/>
      <w:color w:val="365F91"/>
      <w:sz w:val="32"/>
      <w:szCs w:val="28"/>
    </w:rPr>
  </w:style>
  <w:style w:type="paragraph" w:customStyle="1" w:styleId="ToolTableText">
    <w:name w:val="*ToolTableText"/>
    <w:qFormat/>
    <w:rsid w:val="00000B2A"/>
    <w:pPr>
      <w:spacing w:before="40" w:after="120"/>
    </w:pPr>
    <w:rPr>
      <w:sz w:val="22"/>
      <w:szCs w:val="22"/>
    </w:rPr>
  </w:style>
  <w:style w:type="paragraph" w:customStyle="1" w:styleId="ExcerptTitle">
    <w:name w:val="*ExcerptTitle"/>
    <w:basedOn w:val="Normal"/>
    <w:link w:val="ExcerptTitleChar"/>
    <w:qFormat/>
    <w:rsid w:val="00000B2A"/>
    <w:pPr>
      <w:jc w:val="center"/>
    </w:pPr>
    <w:rPr>
      <w:rFonts w:asciiTheme="majorHAnsi" w:hAnsiTheme="majorHAnsi"/>
      <w:b/>
      <w:smallCaps/>
      <w:sz w:val="32"/>
    </w:rPr>
  </w:style>
  <w:style w:type="paragraph" w:customStyle="1" w:styleId="ExcerptAuthor">
    <w:name w:val="*ExcerptAuthor"/>
    <w:basedOn w:val="Normal"/>
    <w:link w:val="ExcerptAuthorChar"/>
    <w:qFormat/>
    <w:rsid w:val="00000B2A"/>
    <w:pPr>
      <w:jc w:val="center"/>
    </w:pPr>
    <w:rPr>
      <w:rFonts w:asciiTheme="majorHAnsi" w:hAnsiTheme="majorHAnsi"/>
      <w:b/>
    </w:rPr>
  </w:style>
  <w:style w:type="character" w:customStyle="1" w:styleId="ExcerptTitleChar">
    <w:name w:val="*ExcerptTitle Char"/>
    <w:basedOn w:val="DefaultParagraphFont"/>
    <w:link w:val="ExcerptTitle"/>
    <w:rsid w:val="00000B2A"/>
    <w:rPr>
      <w:rFonts w:asciiTheme="majorHAnsi" w:hAnsiTheme="majorHAnsi"/>
      <w:b/>
      <w:smallCaps/>
      <w:sz w:val="32"/>
      <w:szCs w:val="22"/>
    </w:rPr>
  </w:style>
  <w:style w:type="paragraph" w:customStyle="1" w:styleId="ExcerptBody">
    <w:name w:val="*ExcerptBody"/>
    <w:basedOn w:val="Normal"/>
    <w:link w:val="ExcerptBodyChar"/>
    <w:qFormat/>
    <w:rsid w:val="00000B2A"/>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000B2A"/>
    <w:rPr>
      <w:rFonts w:asciiTheme="majorHAnsi" w:hAnsiTheme="majorHAnsi"/>
      <w:b/>
      <w:sz w:val="22"/>
      <w:szCs w:val="22"/>
    </w:rPr>
  </w:style>
  <w:style w:type="character" w:customStyle="1" w:styleId="ExcerptBodyChar">
    <w:name w:val="*ExcerptBody Char"/>
    <w:basedOn w:val="DefaultParagraphFont"/>
    <w:link w:val="ExcerptBody"/>
    <w:rsid w:val="00000B2A"/>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000B2A"/>
    <w:pPr>
      <w:numPr>
        <w:numId w:val="50"/>
      </w:numPr>
    </w:pPr>
  </w:style>
  <w:style w:type="character" w:customStyle="1" w:styleId="SubStandardChar">
    <w:name w:val="*SubStandard Char"/>
    <w:basedOn w:val="TableTextChar"/>
    <w:link w:val="SubStandard"/>
    <w:rsid w:val="00000B2A"/>
    <w:rPr>
      <w:sz w:val="22"/>
      <w:szCs w:val="22"/>
    </w:rPr>
  </w:style>
  <w:style w:type="paragraph" w:styleId="DocumentMap">
    <w:name w:val="Document Map"/>
    <w:basedOn w:val="Normal"/>
    <w:link w:val="DocumentMapChar"/>
    <w:uiPriority w:val="99"/>
    <w:semiHidden/>
    <w:unhideWhenUsed/>
    <w:rsid w:val="00787662"/>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87662"/>
    <w:rPr>
      <w:rFonts w:ascii="Lucida Grande" w:hAnsi="Lucida Grande" w:cs="Lucida Grande"/>
      <w:sz w:val="24"/>
      <w:szCs w:val="24"/>
    </w:rPr>
  </w:style>
  <w:style w:type="paragraph" w:styleId="Revision">
    <w:name w:val="Revision"/>
    <w:hidden/>
    <w:uiPriority w:val="71"/>
    <w:rsid w:val="00046D39"/>
    <w:rPr>
      <w:sz w:val="22"/>
      <w:szCs w:val="22"/>
    </w:rPr>
  </w:style>
  <w:style w:type="paragraph" w:customStyle="1" w:styleId="DCwithQ">
    <w:name w:val="*DC* with *Q*"/>
    <w:basedOn w:val="Q"/>
    <w:qFormat/>
    <w:rsid w:val="00000B2A"/>
    <w:pPr>
      <w:ind w:left="360"/>
    </w:pPr>
    <w:rPr>
      <w:color w:val="4F81BD" w:themeColor="accent1"/>
    </w:rPr>
  </w:style>
  <w:style w:type="paragraph" w:customStyle="1" w:styleId="DCwithSA">
    <w:name w:val="*DC* with *SA*"/>
    <w:basedOn w:val="SA"/>
    <w:qFormat/>
    <w:rsid w:val="00000B2A"/>
    <w:rPr>
      <w:color w:val="4F81BD" w:themeColor="accent1"/>
    </w:rPr>
  </w:style>
  <w:style w:type="paragraph" w:customStyle="1" w:styleId="DCwithSR">
    <w:name w:val="*DC* with *SR*"/>
    <w:basedOn w:val="SR"/>
    <w:qFormat/>
    <w:rsid w:val="00000B2A"/>
    <w:pPr>
      <w:numPr>
        <w:numId w:val="45"/>
      </w:numPr>
    </w:pPr>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1819">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471824187">
      <w:bodyDiv w:val="1"/>
      <w:marLeft w:val="0"/>
      <w:marRight w:val="0"/>
      <w:marTop w:val="0"/>
      <w:marBottom w:val="0"/>
      <w:divBdr>
        <w:top w:val="none" w:sz="0" w:space="0" w:color="auto"/>
        <w:left w:val="none" w:sz="0" w:space="0" w:color="auto"/>
        <w:bottom w:val="none" w:sz="0" w:space="0" w:color="auto"/>
        <w:right w:val="none" w:sz="0" w:space="0" w:color="auto"/>
      </w:divBdr>
    </w:div>
    <w:div w:id="1789398194">
      <w:bodyDiv w:val="1"/>
      <w:marLeft w:val="0"/>
      <w:marRight w:val="0"/>
      <w:marTop w:val="0"/>
      <w:marBottom w:val="0"/>
      <w:divBdr>
        <w:top w:val="none" w:sz="0" w:space="0" w:color="auto"/>
        <w:left w:val="none" w:sz="0" w:space="0" w:color="auto"/>
        <w:bottom w:val="none" w:sz="0" w:space="0" w:color="auto"/>
        <w:right w:val="none" w:sz="0" w:space="0" w:color="auto"/>
      </w:divBdr>
    </w:div>
    <w:div w:id="1825707503">
      <w:bodyDiv w:val="1"/>
      <w:marLeft w:val="0"/>
      <w:marRight w:val="0"/>
      <w:marTop w:val="0"/>
      <w:marBottom w:val="0"/>
      <w:divBdr>
        <w:top w:val="none" w:sz="0" w:space="0" w:color="auto"/>
        <w:left w:val="none" w:sz="0" w:space="0" w:color="auto"/>
        <w:bottom w:val="none" w:sz="0" w:space="0" w:color="auto"/>
        <w:right w:val="none" w:sz="0" w:space="0" w:color="auto"/>
      </w:divBdr>
    </w:div>
    <w:div w:id="1834645261">
      <w:bodyDiv w:val="1"/>
      <w:marLeft w:val="0"/>
      <w:marRight w:val="0"/>
      <w:marTop w:val="0"/>
      <w:marBottom w:val="0"/>
      <w:divBdr>
        <w:top w:val="none" w:sz="0" w:space="0" w:color="auto"/>
        <w:left w:val="none" w:sz="0" w:space="0" w:color="auto"/>
        <w:bottom w:val="none" w:sz="0" w:space="0" w:color="auto"/>
        <w:right w:val="none" w:sz="0" w:space="0" w:color="auto"/>
      </w:divBdr>
    </w:div>
    <w:div w:id="1836409358">
      <w:bodyDiv w:val="1"/>
      <w:marLeft w:val="0"/>
      <w:marRight w:val="0"/>
      <w:marTop w:val="0"/>
      <w:marBottom w:val="0"/>
      <w:divBdr>
        <w:top w:val="none" w:sz="0" w:space="0" w:color="auto"/>
        <w:left w:val="none" w:sz="0" w:space="0" w:color="auto"/>
        <w:bottom w:val="none" w:sz="0" w:space="0" w:color="auto"/>
        <w:right w:val="none" w:sz="0" w:space="0" w:color="auto"/>
      </w:divBdr>
    </w:div>
    <w:div w:id="1842700584">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humanist.com" TargetMode="External"/><Relationship Id="rId13" Type="http://schemas.openxmlformats.org/officeDocument/2006/relationships/hyperlink" Target="http://www.commentarymagazine.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weeklystandard.co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creativecommons.org/licenses/by-nc/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velnewyork.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ovelnewyork.org/" TargetMode="External"/><Relationship Id="rId23" Type="http://schemas.openxmlformats.org/officeDocument/2006/relationships/footer" Target="footer4.xml"/><Relationship Id="rId10" Type="http://schemas.openxmlformats.org/officeDocument/2006/relationships/hyperlink" Target="http://www.nytimes.com/2014/04/09/opinion/after-rwandas-genocide.html" TargetMode="External"/><Relationship Id="rId19" Type="http://schemas.openxmlformats.org/officeDocument/2006/relationships/hyperlink" Target="http://creativecommons.org/licenses/by-nc/3.0/" TargetMode="External"/><Relationship Id="rId4" Type="http://schemas.openxmlformats.org/officeDocument/2006/relationships/settings" Target="settings.xml"/><Relationship Id="rId9" Type="http://schemas.openxmlformats.org/officeDocument/2006/relationships/hyperlink" Target="http://novelnewyork.org/" TargetMode="External"/><Relationship Id="rId14" Type="http://schemas.openxmlformats.org/officeDocument/2006/relationships/hyperlink" Target="http://novelnewyork.org/"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96032-BF20-43FF-8FEA-4B32DFD6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4934</Words>
  <Characters>28125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32994</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Kelley, Nora</cp:lastModifiedBy>
  <cp:revision>5</cp:revision>
  <cp:lastPrinted>2014-06-18T23:42:00Z</cp:lastPrinted>
  <dcterms:created xsi:type="dcterms:W3CDTF">2014-06-26T21:58:00Z</dcterms:created>
  <dcterms:modified xsi:type="dcterms:W3CDTF">2014-09-08T19:06:00Z</dcterms:modified>
</cp:coreProperties>
</file>