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450" w:type="dxa"/>
        <w:tblBorders>
          <w:insideH w:val="single" w:sz="18" w:space="0" w:color="FFFFFF"/>
          <w:insideV w:val="single" w:sz="18" w:space="0" w:color="FFFFFF"/>
        </w:tblBorders>
        <w:tblLook w:val="00A0" w:firstRow="1" w:lastRow="0" w:firstColumn="1" w:lastColumn="0" w:noHBand="0" w:noVBand="0"/>
      </w:tblPr>
      <w:tblGrid>
        <w:gridCol w:w="1980"/>
        <w:gridCol w:w="7470"/>
      </w:tblGrid>
      <w:tr w:rsidR="00CC183D" w:rsidRPr="00F82963" w14:paraId="68FF0981" w14:textId="77777777" w:rsidTr="00C32835">
        <w:trPr>
          <w:trHeight w:val="1008"/>
        </w:trPr>
        <w:tc>
          <w:tcPr>
            <w:tcW w:w="1980" w:type="dxa"/>
            <w:tcBorders>
              <w:top w:val="nil"/>
            </w:tcBorders>
            <w:shd w:val="clear" w:color="auto" w:fill="403152"/>
            <w:vAlign w:val="center"/>
          </w:tcPr>
          <w:p w14:paraId="12607160" w14:textId="77777777" w:rsidR="00CC183D" w:rsidRPr="00F82963" w:rsidRDefault="00B420EB" w:rsidP="00E75803">
            <w:pPr>
              <w:pStyle w:val="Header-banner"/>
              <w:rPr>
                <w:rFonts w:ascii="Calibri" w:hAnsi="Calibri"/>
              </w:rPr>
            </w:pPr>
            <w:bookmarkStart w:id="0" w:name="_GoBack"/>
            <w:bookmarkEnd w:id="0"/>
            <w:r w:rsidRPr="00F82963">
              <w:rPr>
                <w:rFonts w:ascii="Calibri" w:hAnsi="Calibri"/>
              </w:rPr>
              <w:t>11.3.1</w:t>
            </w:r>
          </w:p>
        </w:tc>
        <w:tc>
          <w:tcPr>
            <w:tcW w:w="7470" w:type="dxa"/>
            <w:tcBorders>
              <w:top w:val="nil"/>
            </w:tcBorders>
            <w:shd w:val="clear" w:color="auto" w:fill="5F497A"/>
            <w:vAlign w:val="center"/>
          </w:tcPr>
          <w:p w14:paraId="18EA20F5" w14:textId="77777777" w:rsidR="00CC183D" w:rsidRPr="00F82963" w:rsidRDefault="00CC183D" w:rsidP="00CC183D">
            <w:pPr>
              <w:pStyle w:val="Header2banner"/>
              <w:rPr>
                <w:rFonts w:ascii="Calibri" w:hAnsi="Calibri"/>
              </w:rPr>
            </w:pPr>
            <w:r w:rsidRPr="00F82963">
              <w:rPr>
                <w:rFonts w:ascii="Calibri" w:hAnsi="Calibri"/>
              </w:rPr>
              <w:t>Unit Overview</w:t>
            </w:r>
          </w:p>
        </w:tc>
      </w:tr>
      <w:tr w:rsidR="00CC183D" w:rsidRPr="00F82963" w14:paraId="300235DF" w14:textId="77777777" w:rsidTr="00C32835">
        <w:trPr>
          <w:trHeight w:val="720"/>
        </w:trPr>
        <w:tc>
          <w:tcPr>
            <w:tcW w:w="9450" w:type="dxa"/>
            <w:gridSpan w:val="2"/>
            <w:tcBorders>
              <w:bottom w:val="single" w:sz="8" w:space="0" w:color="403152"/>
            </w:tcBorders>
            <w:shd w:val="solid" w:color="F2F2F2" w:fill="auto"/>
            <w:vAlign w:val="center"/>
          </w:tcPr>
          <w:p w14:paraId="1B1C840A" w14:textId="1FDDD857" w:rsidR="00CC183D" w:rsidRPr="00F82963" w:rsidRDefault="000E4FB8" w:rsidP="00E75803">
            <w:pPr>
              <w:pStyle w:val="Heading1nospace"/>
              <w:spacing w:before="60" w:after="0" w:line="240" w:lineRule="auto"/>
              <w:rPr>
                <w:rFonts w:eastAsia="Times New Roman" w:cs="Cambria"/>
                <w:bCs/>
                <w:color w:val="403152"/>
                <w:lang w:val="en-US"/>
              </w:rPr>
            </w:pPr>
            <w:r w:rsidRPr="00F82963">
              <w:t xml:space="preserve">Using </w:t>
            </w:r>
            <w:r w:rsidR="00F71782">
              <w:rPr>
                <w:lang w:val="en-US"/>
              </w:rPr>
              <w:t xml:space="preserve">a </w:t>
            </w:r>
            <w:r w:rsidRPr="00F82963">
              <w:t xml:space="preserve">Seed Text as </w:t>
            </w:r>
            <w:r w:rsidR="00F71782">
              <w:rPr>
                <w:lang w:val="en-US"/>
              </w:rPr>
              <w:t xml:space="preserve">a </w:t>
            </w:r>
            <w:r w:rsidRPr="00F82963">
              <w:t>Springboard to Research</w:t>
            </w:r>
          </w:p>
        </w:tc>
      </w:tr>
      <w:tr w:rsidR="00CC183D" w:rsidRPr="00F82963" w14:paraId="0A939718" w14:textId="77777777" w:rsidTr="00C32835">
        <w:trPr>
          <w:trHeight w:val="576"/>
        </w:trPr>
        <w:tc>
          <w:tcPr>
            <w:tcW w:w="1980" w:type="dxa"/>
            <w:tcBorders>
              <w:top w:val="single" w:sz="8" w:space="0" w:color="403152"/>
              <w:bottom w:val="single" w:sz="8" w:space="0" w:color="403152"/>
            </w:tcBorders>
            <w:shd w:val="solid" w:color="F2F2F2" w:fill="auto"/>
            <w:vAlign w:val="center"/>
          </w:tcPr>
          <w:p w14:paraId="5FD9755D" w14:textId="77777777" w:rsidR="00CC183D" w:rsidRPr="00F82963" w:rsidRDefault="00CC183D" w:rsidP="00CC183D">
            <w:pPr>
              <w:rPr>
                <w:b/>
                <w:color w:val="1F497D"/>
              </w:rPr>
            </w:pPr>
            <w:r w:rsidRPr="00F82963">
              <w:rPr>
                <w:b/>
                <w:color w:val="1F497D"/>
              </w:rPr>
              <w:t>Text</w:t>
            </w:r>
          </w:p>
        </w:tc>
        <w:tc>
          <w:tcPr>
            <w:tcW w:w="7470" w:type="dxa"/>
            <w:tcBorders>
              <w:top w:val="single" w:sz="8" w:space="0" w:color="403152"/>
              <w:bottom w:val="single" w:sz="8" w:space="0" w:color="403152"/>
            </w:tcBorders>
            <w:shd w:val="solid" w:color="F2F2F2" w:fill="auto"/>
            <w:vAlign w:val="center"/>
          </w:tcPr>
          <w:p w14:paraId="34786A52" w14:textId="5AEC414E" w:rsidR="00CC183D" w:rsidRPr="00F82963" w:rsidRDefault="00B420EB" w:rsidP="00D5548E">
            <w:r w:rsidRPr="00F82963">
              <w:t>“Hope, Despair and Memory”</w:t>
            </w:r>
            <w:r w:rsidR="00D5548E">
              <w:t xml:space="preserve"> by Elie </w:t>
            </w:r>
            <w:r w:rsidR="00D5548E" w:rsidRPr="00F82963">
              <w:t>Wiesel</w:t>
            </w:r>
          </w:p>
        </w:tc>
      </w:tr>
      <w:tr w:rsidR="00CC183D" w:rsidRPr="00F82963" w14:paraId="74537868" w14:textId="77777777" w:rsidTr="00C32835">
        <w:trPr>
          <w:trHeight w:val="576"/>
        </w:trPr>
        <w:tc>
          <w:tcPr>
            <w:tcW w:w="1980" w:type="dxa"/>
            <w:tcBorders>
              <w:top w:val="single" w:sz="8" w:space="0" w:color="403152"/>
              <w:bottom w:val="nil"/>
            </w:tcBorders>
            <w:shd w:val="solid" w:color="F2F2F2" w:fill="auto"/>
            <w:vAlign w:val="center"/>
          </w:tcPr>
          <w:p w14:paraId="5B183C3F" w14:textId="77777777" w:rsidR="00CC183D" w:rsidRPr="00F82963" w:rsidRDefault="00CC183D" w:rsidP="00CC183D">
            <w:pPr>
              <w:rPr>
                <w:b/>
                <w:color w:val="1F497D"/>
              </w:rPr>
            </w:pPr>
            <w:r w:rsidRPr="00F82963">
              <w:rPr>
                <w:b/>
                <w:color w:val="1F497D"/>
              </w:rPr>
              <w:t>Number of Lessons in Unit</w:t>
            </w:r>
          </w:p>
        </w:tc>
        <w:tc>
          <w:tcPr>
            <w:tcW w:w="7470" w:type="dxa"/>
            <w:tcBorders>
              <w:top w:val="single" w:sz="8" w:space="0" w:color="403152"/>
              <w:bottom w:val="nil"/>
            </w:tcBorders>
            <w:shd w:val="solid" w:color="F2F2F2" w:fill="auto"/>
            <w:vAlign w:val="center"/>
          </w:tcPr>
          <w:p w14:paraId="4BCC367F" w14:textId="77777777" w:rsidR="00CC183D" w:rsidRPr="00F82963" w:rsidRDefault="000E4FB8" w:rsidP="00CC183D">
            <w:r w:rsidRPr="00F82963">
              <w:t>1</w:t>
            </w:r>
            <w:r w:rsidR="00B420EB" w:rsidRPr="00F82963">
              <w:t>1</w:t>
            </w:r>
          </w:p>
        </w:tc>
      </w:tr>
    </w:tbl>
    <w:p w14:paraId="413F188E" w14:textId="77777777" w:rsidR="00CC183D" w:rsidRPr="00F82963" w:rsidRDefault="00CC183D" w:rsidP="0015083C">
      <w:pPr>
        <w:pStyle w:val="Heading1"/>
      </w:pPr>
      <w:r w:rsidRPr="00F82963">
        <w:t>Introduction</w:t>
      </w:r>
    </w:p>
    <w:p w14:paraId="2C9DD348" w14:textId="4AD0FFFD" w:rsidR="000E4FB8" w:rsidRPr="00F82963" w:rsidRDefault="000E4FB8" w:rsidP="000E4FB8">
      <w:r w:rsidRPr="00F82963">
        <w:t xml:space="preserve">In </w:t>
      </w:r>
      <w:r w:rsidR="00B420EB" w:rsidRPr="00F82963">
        <w:t>the first unit of Module 11</w:t>
      </w:r>
      <w:r w:rsidRPr="00F82963">
        <w:t xml:space="preserve">.3, students continue to </w:t>
      </w:r>
      <w:r w:rsidR="00F71782">
        <w:t>develop</w:t>
      </w:r>
      <w:r w:rsidRPr="00F82963">
        <w:t xml:space="preserve"> </w:t>
      </w:r>
      <w:r w:rsidR="009D6CE4">
        <w:t xml:space="preserve">the </w:t>
      </w:r>
      <w:r w:rsidRPr="00F82963">
        <w:t>skills, practices, and r</w:t>
      </w:r>
      <w:r w:rsidR="00B420EB" w:rsidRPr="00F82963">
        <w:t>outines introduced in Module 11</w:t>
      </w:r>
      <w:r w:rsidRPr="00F82963">
        <w:t>.1</w:t>
      </w:r>
      <w:r w:rsidR="00B420EB" w:rsidRPr="00F82963">
        <w:t xml:space="preserve"> and Module 11</w:t>
      </w:r>
      <w:r w:rsidRPr="00F82963">
        <w:t>.2</w:t>
      </w:r>
      <w:r w:rsidR="00F71782">
        <w:t xml:space="preserve">, including </w:t>
      </w:r>
      <w:r w:rsidRPr="00F82963">
        <w:t>reading closely, annotating text, and evidence-based discussion and writing</w:t>
      </w:r>
      <w:r w:rsidR="00F71782">
        <w:t>. Students engage in</w:t>
      </w:r>
      <w:r w:rsidRPr="00F82963">
        <w:t xml:space="preserve"> focused annotation</w:t>
      </w:r>
      <w:r w:rsidR="00C543AF">
        <w:t xml:space="preserve"> </w:t>
      </w:r>
      <w:r w:rsidR="00F71782">
        <w:t>to support</w:t>
      </w:r>
      <w:r w:rsidRPr="00F82963">
        <w:t xml:space="preserve"> independent analysis of text</w:t>
      </w:r>
      <w:r w:rsidR="00F71782">
        <w:t xml:space="preserve"> and </w:t>
      </w:r>
      <w:r w:rsidRPr="00F82963">
        <w:t xml:space="preserve">begin the inquiry-based research process. </w:t>
      </w:r>
    </w:p>
    <w:p w14:paraId="3DBF46E0" w14:textId="39830F3D" w:rsidR="000E4FB8" w:rsidRPr="00F82963" w:rsidRDefault="000E4FB8" w:rsidP="000E4FB8">
      <w:r w:rsidRPr="00F82963">
        <w:t xml:space="preserve">In </w:t>
      </w:r>
      <w:r w:rsidR="009D6CE4">
        <w:t>this unit, 11.3.1</w:t>
      </w:r>
      <w:r w:rsidRPr="00F82963">
        <w:t xml:space="preserve">, students read </w:t>
      </w:r>
      <w:r w:rsidR="00F71782">
        <w:t xml:space="preserve">“Hope, Despair and Memory,” a lecture by </w:t>
      </w:r>
      <w:r w:rsidR="00B420EB" w:rsidRPr="00F82963">
        <w:t>Elie Wiesel</w:t>
      </w:r>
      <w:r w:rsidR="004B4A43">
        <w:t>.</w:t>
      </w:r>
      <w:r w:rsidR="00F71782">
        <w:t xml:space="preserve"> </w:t>
      </w:r>
      <w:r w:rsidR="00B674EB">
        <w:t>Students analyze the text to determine</w:t>
      </w:r>
      <w:r w:rsidRPr="00F82963">
        <w:t xml:space="preserve"> how </w:t>
      </w:r>
      <w:r w:rsidR="00AB497E" w:rsidRPr="00F82963">
        <w:t>Wiesel</w:t>
      </w:r>
      <w:r w:rsidR="00F82963">
        <w:t xml:space="preserve"> develops </w:t>
      </w:r>
      <w:r w:rsidR="00F82963" w:rsidRPr="00F82963">
        <w:t>central ideas</w:t>
      </w:r>
      <w:r w:rsidR="00B674EB">
        <w:t>, including</w:t>
      </w:r>
      <w:r w:rsidR="00F82963">
        <w:t xml:space="preserve"> how these ideas build on each other and interact over the course of the text</w:t>
      </w:r>
      <w:r w:rsidR="00B674EB">
        <w:t xml:space="preserve">. Students also use the content of the text </w:t>
      </w:r>
      <w:r w:rsidRPr="00F82963">
        <w:t xml:space="preserve">to </w:t>
      </w:r>
      <w:r w:rsidR="00431C08" w:rsidRPr="00F82963">
        <w:t xml:space="preserve">surface </w:t>
      </w:r>
      <w:r w:rsidRPr="00F82963">
        <w:t>and explore potential research topics. Students identify and track these topics, which become springboards to the inquiry-based research process that continues in the following unit</w:t>
      </w:r>
      <w:r w:rsidR="00D65E73">
        <w:t>, 11.3.2</w:t>
      </w:r>
      <w:r w:rsidRPr="00F82963">
        <w:t xml:space="preserve">. Additionally, students </w:t>
      </w:r>
      <w:r w:rsidR="00D65E73">
        <w:t xml:space="preserve">begin to </w:t>
      </w:r>
      <w:r w:rsidRPr="00F82963">
        <w:t>pos</w:t>
      </w:r>
      <w:r w:rsidR="00D65E73">
        <w:t>e</w:t>
      </w:r>
      <w:r w:rsidRPr="00F82963">
        <w:t xml:space="preserve"> and refin</w:t>
      </w:r>
      <w:r w:rsidR="00D65E73">
        <w:t>e</w:t>
      </w:r>
      <w:r w:rsidRPr="00F82963">
        <w:t xml:space="preserve"> inquiry questions about their topic </w:t>
      </w:r>
      <w:r w:rsidR="00D65E73">
        <w:t xml:space="preserve">in order to </w:t>
      </w:r>
      <w:r w:rsidRPr="00F82963">
        <w:t>guid</w:t>
      </w:r>
      <w:r w:rsidR="00D65E73">
        <w:t>e</w:t>
      </w:r>
      <w:r w:rsidRPr="00F82963">
        <w:t xml:space="preserve"> their initial research. In preparation for writing a res</w:t>
      </w:r>
      <w:r w:rsidR="00AB497E" w:rsidRPr="00F82963">
        <w:t>earch-based argument paper in 11</w:t>
      </w:r>
      <w:r w:rsidRPr="00F82963">
        <w:t xml:space="preserve">.3.3, students </w:t>
      </w:r>
      <w:r w:rsidR="005E464D">
        <w:t>delineate</w:t>
      </w:r>
      <w:r w:rsidR="00896438">
        <w:t xml:space="preserve"> Wiesel’s </w:t>
      </w:r>
      <w:r w:rsidR="005E464D">
        <w:t xml:space="preserve">argument to better understand how authors construct compelling arguments. Additionally, students </w:t>
      </w:r>
      <w:r w:rsidRPr="00F82963">
        <w:t xml:space="preserve">begin to analyze </w:t>
      </w:r>
      <w:r w:rsidR="00F82963">
        <w:t xml:space="preserve">the </w:t>
      </w:r>
      <w:r w:rsidR="00542E69">
        <w:t xml:space="preserve">different perspectives and arguments </w:t>
      </w:r>
      <w:r w:rsidR="009A2096">
        <w:t>that arise</w:t>
      </w:r>
      <w:r w:rsidR="00542E69">
        <w:t xml:space="preserve"> </w:t>
      </w:r>
      <w:r w:rsidR="009A2096">
        <w:t xml:space="preserve">in </w:t>
      </w:r>
      <w:r w:rsidR="004333E8">
        <w:t xml:space="preserve">the texts they encounter </w:t>
      </w:r>
      <w:r w:rsidR="00D65E73">
        <w:t xml:space="preserve">in </w:t>
      </w:r>
      <w:r w:rsidRPr="00F82963">
        <w:t xml:space="preserve">their early research, while beginning to work on developing </w:t>
      </w:r>
      <w:r w:rsidR="00B674EB">
        <w:t xml:space="preserve">their own </w:t>
      </w:r>
      <w:r w:rsidRPr="00F82963">
        <w:t>initial claims.</w:t>
      </w:r>
    </w:p>
    <w:p w14:paraId="6E0ED16B" w14:textId="6FB9FEA5" w:rsidR="000E4FB8" w:rsidRPr="00F82963" w:rsidRDefault="000E4FB8" w:rsidP="000E4FB8">
      <w:r w:rsidRPr="00F82963">
        <w:t xml:space="preserve">At the end of the unit, students engage in a two-part </w:t>
      </w:r>
      <w:r w:rsidR="00B674EB">
        <w:t xml:space="preserve">formal </w:t>
      </w:r>
      <w:r w:rsidRPr="00F82963">
        <w:t xml:space="preserve">assessment. First, students synthesize and compose a multi-paragraph response examining how </w:t>
      </w:r>
      <w:r w:rsidR="00AB497E" w:rsidRPr="00F82963">
        <w:t>Wiesel</w:t>
      </w:r>
      <w:r w:rsidRPr="00F82963">
        <w:t xml:space="preserve"> </w:t>
      </w:r>
      <w:r w:rsidR="00AB497E" w:rsidRPr="00F82963">
        <w:t>develops</w:t>
      </w:r>
      <w:r w:rsidRPr="00F82963">
        <w:t xml:space="preserve"> </w:t>
      </w:r>
      <w:r w:rsidR="00AB497E" w:rsidRPr="00F82963">
        <w:t xml:space="preserve">two or more </w:t>
      </w:r>
      <w:r w:rsidRPr="00F82963">
        <w:t>central idea</w:t>
      </w:r>
      <w:r w:rsidR="00AB497E" w:rsidRPr="00F82963">
        <w:t>s</w:t>
      </w:r>
      <w:r w:rsidRPr="00F82963">
        <w:t xml:space="preserve"> throughout </w:t>
      </w:r>
      <w:r w:rsidR="00AB497E" w:rsidRPr="00F82963">
        <w:t>“Hope, Despair and Memory</w:t>
      </w:r>
      <w:r w:rsidR="00C543AF">
        <w:t>,</w:t>
      </w:r>
      <w:r w:rsidR="00AB497E" w:rsidRPr="00F82963">
        <w:t>” and how the</w:t>
      </w:r>
      <w:r w:rsidR="00B674EB">
        <w:t>se ideas</w:t>
      </w:r>
      <w:r w:rsidR="00AB497E" w:rsidRPr="00F82963">
        <w:t xml:space="preserve"> </w:t>
      </w:r>
      <w:r w:rsidR="00B674EB">
        <w:t>interact and build on one another</w:t>
      </w:r>
      <w:r w:rsidR="00AB497E" w:rsidRPr="00F82963">
        <w:t xml:space="preserve"> over the course of the lecture</w:t>
      </w:r>
      <w:r w:rsidRPr="00F82963">
        <w:t xml:space="preserve"> (</w:t>
      </w:r>
      <w:r w:rsidR="00EE0149" w:rsidRPr="00F82963">
        <w:t>RI.11-12.2, W.11-12.2, L.11-12.1, L.11-12.2</w:t>
      </w:r>
      <w:r w:rsidRPr="00F82963">
        <w:t>)</w:t>
      </w:r>
      <w:r w:rsidRPr="00F82963">
        <w:rPr>
          <w:i/>
        </w:rPr>
        <w:t>.</w:t>
      </w:r>
      <w:r w:rsidRPr="00F82963">
        <w:t xml:space="preserve"> In part two, students reflect on the research process begun in this unit by writing about two or three areas of investigation that emerged from</w:t>
      </w:r>
      <w:r w:rsidRPr="00F82963">
        <w:rPr>
          <w:i/>
        </w:rPr>
        <w:t xml:space="preserve"> </w:t>
      </w:r>
      <w:r w:rsidR="00AB497E" w:rsidRPr="00F82963">
        <w:t>“Hope, Despair and Memory</w:t>
      </w:r>
      <w:r w:rsidR="00B674EB">
        <w:t>,</w:t>
      </w:r>
      <w:r w:rsidR="00AB497E" w:rsidRPr="00F82963">
        <w:t>”</w:t>
      </w:r>
      <w:r w:rsidRPr="00F82963">
        <w:t xml:space="preserve"> explaining how and f</w:t>
      </w:r>
      <w:r w:rsidR="00AB497E" w:rsidRPr="00F82963">
        <w:t>rom where the areas emerged (W.11-12</w:t>
      </w:r>
      <w:r w:rsidRPr="00F82963">
        <w:t>.9). These areas of investigation are the foundation for the research p</w:t>
      </w:r>
      <w:r w:rsidR="00AB497E" w:rsidRPr="00F82963">
        <w:t>rocess that fully develops in 11</w:t>
      </w:r>
      <w:r w:rsidRPr="00F82963">
        <w:t xml:space="preserve">.3.2. </w:t>
      </w:r>
    </w:p>
    <w:p w14:paraId="4984F21A" w14:textId="47DF094C" w:rsidR="000E4FB8" w:rsidRPr="00F82963" w:rsidRDefault="000E4FB8" w:rsidP="009023D9">
      <w:r w:rsidRPr="00F82963">
        <w:rPr>
          <w:b/>
        </w:rPr>
        <w:lastRenderedPageBreak/>
        <w:t>Note:</w:t>
      </w:r>
      <w:r w:rsidRPr="00F82963">
        <w:t xml:space="preserve"> This unit suspends Accountable Independent Reading. Students are held accountable for building a volume of independent reading as they</w:t>
      </w:r>
      <w:r w:rsidR="009023D9" w:rsidRPr="00F82963">
        <w:t xml:space="preserve"> are expected to read outside sources </w:t>
      </w:r>
      <w:r w:rsidR="00B674EB">
        <w:t>in their exploration of</w:t>
      </w:r>
      <w:r w:rsidR="009023D9" w:rsidRPr="00F82963">
        <w:t xml:space="preserve"> potential areas of investigation</w:t>
      </w:r>
      <w:r w:rsidR="00A650A7" w:rsidRPr="00F82963">
        <w:t xml:space="preserve"> for research.</w:t>
      </w:r>
    </w:p>
    <w:p w14:paraId="0C48AF95" w14:textId="77777777" w:rsidR="00CC183D" w:rsidRPr="00F82963" w:rsidRDefault="00CC183D" w:rsidP="008D2E50">
      <w:pPr>
        <w:pStyle w:val="Heading1"/>
        <w:spacing w:before="360"/>
      </w:pPr>
      <w:r w:rsidRPr="00F82963">
        <w:t>Literacy Skills and Habits</w:t>
      </w:r>
    </w:p>
    <w:p w14:paraId="5B849C54" w14:textId="77777777" w:rsidR="009023D9" w:rsidRPr="00F82963" w:rsidRDefault="009023D9" w:rsidP="009023D9">
      <w:pPr>
        <w:pStyle w:val="BulletedList"/>
      </w:pPr>
      <w:r w:rsidRPr="00F82963">
        <w:t>Read closely for textual details</w:t>
      </w:r>
      <w:r w:rsidR="003E2CD9" w:rsidRPr="00F82963">
        <w:t>.</w:t>
      </w:r>
    </w:p>
    <w:p w14:paraId="096E1B02" w14:textId="77777777" w:rsidR="009023D9" w:rsidRPr="00F82963" w:rsidRDefault="009023D9" w:rsidP="009023D9">
      <w:pPr>
        <w:pStyle w:val="BulletedList"/>
      </w:pPr>
      <w:r w:rsidRPr="00F82963">
        <w:t>Annotate texts to support comprehension and analysis</w:t>
      </w:r>
      <w:r w:rsidR="003E2CD9" w:rsidRPr="00F82963">
        <w:t>.</w:t>
      </w:r>
    </w:p>
    <w:p w14:paraId="600EE30F" w14:textId="34993C3C" w:rsidR="009023D9" w:rsidRPr="00F82963" w:rsidRDefault="009023D9" w:rsidP="009023D9">
      <w:pPr>
        <w:pStyle w:val="BulletedList"/>
      </w:pPr>
      <w:r w:rsidRPr="00F82963">
        <w:t>Engage in productive</w:t>
      </w:r>
      <w:r w:rsidR="00777A5A">
        <w:t>,</w:t>
      </w:r>
      <w:r w:rsidRPr="00F82963">
        <w:t xml:space="preserve"> evidence-based discussions about text</w:t>
      </w:r>
      <w:r w:rsidR="003E2CD9" w:rsidRPr="00F82963">
        <w:t>.</w:t>
      </w:r>
    </w:p>
    <w:p w14:paraId="36298D4B" w14:textId="77777777" w:rsidR="009023D9" w:rsidRPr="00F82963" w:rsidRDefault="009023D9" w:rsidP="009023D9">
      <w:pPr>
        <w:pStyle w:val="BulletedList"/>
      </w:pPr>
      <w:r w:rsidRPr="00F82963">
        <w:t>Collect and organize evidence from texts to support analysis in writing</w:t>
      </w:r>
      <w:r w:rsidR="003E2CD9" w:rsidRPr="00F82963">
        <w:t>.</w:t>
      </w:r>
    </w:p>
    <w:p w14:paraId="731E3DBA" w14:textId="77777777" w:rsidR="009023D9" w:rsidRPr="00F82963" w:rsidRDefault="009023D9" w:rsidP="009023D9">
      <w:pPr>
        <w:pStyle w:val="BulletedList"/>
      </w:pPr>
      <w:r w:rsidRPr="00F82963">
        <w:t>Collect and organize evidence from texts to support claims made in writing</w:t>
      </w:r>
      <w:r w:rsidR="003E2CD9" w:rsidRPr="00F82963">
        <w:t>.</w:t>
      </w:r>
    </w:p>
    <w:p w14:paraId="6A32ED59" w14:textId="77777777" w:rsidR="009023D9" w:rsidRPr="00F82963" w:rsidRDefault="009023D9" w:rsidP="009023D9">
      <w:pPr>
        <w:pStyle w:val="BulletedList"/>
      </w:pPr>
      <w:r w:rsidRPr="00F82963">
        <w:t>Use vocabulary strategies to define unknown words</w:t>
      </w:r>
      <w:r w:rsidR="003E2CD9" w:rsidRPr="00F82963">
        <w:t>.</w:t>
      </w:r>
    </w:p>
    <w:p w14:paraId="3EC85503" w14:textId="77777777" w:rsidR="009023D9" w:rsidRPr="00F82963" w:rsidRDefault="009023D9" w:rsidP="009023D9">
      <w:pPr>
        <w:pStyle w:val="BulletedList"/>
      </w:pPr>
      <w:r w:rsidRPr="00F82963">
        <w:t>Identify potential topics for research within a text</w:t>
      </w:r>
      <w:r w:rsidR="003E2CD9" w:rsidRPr="00F82963">
        <w:t>.</w:t>
      </w:r>
    </w:p>
    <w:p w14:paraId="26721A3A" w14:textId="77777777" w:rsidR="009023D9" w:rsidRPr="00F82963" w:rsidRDefault="009023D9" w:rsidP="009023D9">
      <w:pPr>
        <w:pStyle w:val="BulletedList"/>
      </w:pPr>
      <w:r w:rsidRPr="00F82963">
        <w:t>Use questioning to guide research</w:t>
      </w:r>
      <w:r w:rsidR="003E2CD9" w:rsidRPr="00F82963">
        <w:t>.</w:t>
      </w:r>
    </w:p>
    <w:p w14:paraId="0264D726" w14:textId="68607B2F" w:rsidR="009023D9" w:rsidRPr="00F82963" w:rsidRDefault="009023D9" w:rsidP="009023D9">
      <w:pPr>
        <w:pStyle w:val="BulletedList"/>
      </w:pPr>
      <w:r w:rsidRPr="00F82963">
        <w:t xml:space="preserve">Conduct pre-searches to validate </w:t>
      </w:r>
      <w:r w:rsidR="00777A5A">
        <w:t xml:space="preserve">that </w:t>
      </w:r>
      <w:r w:rsidR="00D5548E">
        <w:t xml:space="preserve">there is </w:t>
      </w:r>
      <w:r w:rsidRPr="00F82963">
        <w:t>sufficien</w:t>
      </w:r>
      <w:r w:rsidR="00D5548E">
        <w:t>t</w:t>
      </w:r>
      <w:r w:rsidRPr="00F82963">
        <w:t xml:space="preserve"> information </w:t>
      </w:r>
      <w:r w:rsidR="00D5548E">
        <w:t>to</w:t>
      </w:r>
      <w:r w:rsidRPr="00F82963">
        <w:t xml:space="preserve"> explor</w:t>
      </w:r>
      <w:r w:rsidR="00777A5A">
        <w:t>e</w:t>
      </w:r>
      <w:r w:rsidRPr="00F82963">
        <w:t xml:space="preserve"> potential topics</w:t>
      </w:r>
      <w:r w:rsidR="003E2CD9" w:rsidRPr="00F82963">
        <w:t>.</w:t>
      </w:r>
      <w:r w:rsidRPr="00F82963">
        <w:t xml:space="preserve"> </w:t>
      </w:r>
    </w:p>
    <w:p w14:paraId="719E897E" w14:textId="77777777" w:rsidR="004F734A" w:rsidRPr="00F82963" w:rsidRDefault="004F734A" w:rsidP="004F734A">
      <w:pPr>
        <w:pStyle w:val="BulletedList"/>
      </w:pPr>
      <w:r w:rsidRPr="00F82963">
        <w:t>Delineate arguments and explain relevant and sufficient evidence</w:t>
      </w:r>
      <w:r w:rsidR="003E2CD9" w:rsidRPr="00F82963">
        <w:t>.</w:t>
      </w:r>
    </w:p>
    <w:p w14:paraId="6A0DABEC" w14:textId="77777777" w:rsidR="009023D9" w:rsidRPr="00F82963" w:rsidRDefault="009023D9" w:rsidP="009023D9">
      <w:pPr>
        <w:pStyle w:val="BulletedList"/>
      </w:pPr>
      <w:r w:rsidRPr="00F82963">
        <w:t>Analyze perspectives in potential research texts</w:t>
      </w:r>
      <w:r w:rsidR="003E2CD9" w:rsidRPr="00F82963">
        <w:t>.</w:t>
      </w:r>
      <w:r w:rsidRPr="00F82963">
        <w:t xml:space="preserve"> </w:t>
      </w:r>
    </w:p>
    <w:p w14:paraId="298964F6" w14:textId="77777777" w:rsidR="00CC183D" w:rsidRPr="00D5548E" w:rsidRDefault="00CC183D" w:rsidP="008D2E50">
      <w:pPr>
        <w:pStyle w:val="Heading1"/>
        <w:spacing w:before="360"/>
        <w:rPr>
          <w:lang w:val="en-US"/>
        </w:rPr>
      </w:pPr>
      <w:r w:rsidRPr="00F82963">
        <w:t>Standards for This Unit</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360"/>
        <w:gridCol w:w="10"/>
        <w:gridCol w:w="11"/>
        <w:gridCol w:w="7979"/>
      </w:tblGrid>
      <w:tr w:rsidR="00E75803" w:rsidRPr="00F82963" w14:paraId="0310784E" w14:textId="77777777" w:rsidTr="002E61C6">
        <w:tc>
          <w:tcPr>
            <w:tcW w:w="9360" w:type="dxa"/>
            <w:gridSpan w:val="4"/>
            <w:shd w:val="clear" w:color="auto" w:fill="5F497A"/>
          </w:tcPr>
          <w:p w14:paraId="16F2FE3F" w14:textId="77777777" w:rsidR="00E75803" w:rsidRPr="00F82963" w:rsidRDefault="00E75803" w:rsidP="00401E53">
            <w:pPr>
              <w:pStyle w:val="TableHeaders"/>
              <w:rPr>
                <w:lang w:val="en-US" w:eastAsia="en-US"/>
              </w:rPr>
            </w:pPr>
            <w:r w:rsidRPr="00F82963">
              <w:rPr>
                <w:lang w:val="en-US" w:eastAsia="en-US"/>
              </w:rPr>
              <w:t>College and Career Readiness Anchor Standards for Reading</w:t>
            </w:r>
          </w:p>
        </w:tc>
      </w:tr>
      <w:tr w:rsidR="00D511F0" w:rsidRPr="00F82963" w14:paraId="27CAA890" w14:textId="77777777" w:rsidTr="002E61C6">
        <w:trPr>
          <w:trHeight w:val="350"/>
        </w:trPr>
        <w:tc>
          <w:tcPr>
            <w:tcW w:w="1370" w:type="dxa"/>
            <w:gridSpan w:val="2"/>
            <w:shd w:val="clear" w:color="auto" w:fill="auto"/>
          </w:tcPr>
          <w:p w14:paraId="3138C537" w14:textId="2B9A5528" w:rsidR="00D511F0" w:rsidRPr="00F82963" w:rsidRDefault="00D511F0" w:rsidP="00F61E99">
            <w:pPr>
              <w:pStyle w:val="TableText"/>
            </w:pPr>
            <w:r w:rsidRPr="00F82963">
              <w:rPr>
                <w:b/>
                <w:bCs/>
              </w:rPr>
              <w:t>CCRA.8</w:t>
            </w:r>
          </w:p>
        </w:tc>
        <w:tc>
          <w:tcPr>
            <w:tcW w:w="7990" w:type="dxa"/>
            <w:gridSpan w:val="2"/>
            <w:shd w:val="clear" w:color="auto" w:fill="auto"/>
          </w:tcPr>
          <w:p w14:paraId="29E3EB67" w14:textId="5AC19B66" w:rsidR="00D511F0" w:rsidRPr="00F82963" w:rsidRDefault="00D511F0" w:rsidP="00F61E99">
            <w:pPr>
              <w:pStyle w:val="TableText"/>
            </w:pPr>
            <w:r w:rsidRPr="00F82963">
              <w:rPr>
                <w:rFonts w:eastAsia="Times New Roman"/>
                <w:b/>
                <w:bCs/>
              </w:rPr>
              <w:t>Delineate and evaluate the argument and specific claims in a text, including the validity of the reasoning as well as the relevance and sufficiency of the evidence.</w:t>
            </w:r>
          </w:p>
        </w:tc>
      </w:tr>
      <w:tr w:rsidR="00385D6A" w:rsidRPr="00F82963" w14:paraId="41F5828E" w14:textId="77777777" w:rsidTr="002E61C6">
        <w:tc>
          <w:tcPr>
            <w:tcW w:w="9360" w:type="dxa"/>
            <w:gridSpan w:val="4"/>
            <w:shd w:val="clear" w:color="auto" w:fill="5F497A"/>
          </w:tcPr>
          <w:p w14:paraId="24B15423" w14:textId="77777777" w:rsidR="00385D6A" w:rsidRPr="00F82963" w:rsidRDefault="00385D6A" w:rsidP="00385D6A">
            <w:pPr>
              <w:pStyle w:val="TableHeaders"/>
              <w:rPr>
                <w:lang w:val="en-US" w:eastAsia="en-US"/>
              </w:rPr>
            </w:pPr>
            <w:r w:rsidRPr="00F82963">
              <w:rPr>
                <w:lang w:val="en-US" w:eastAsia="en-US"/>
              </w:rPr>
              <w:t>CCS Standards: Reading — Literature</w:t>
            </w:r>
          </w:p>
        </w:tc>
      </w:tr>
      <w:tr w:rsidR="00385D6A" w:rsidRPr="00C15E08" w14:paraId="0EC1C64F" w14:textId="77777777" w:rsidTr="002E61C6">
        <w:tc>
          <w:tcPr>
            <w:tcW w:w="9360" w:type="dxa"/>
            <w:gridSpan w:val="4"/>
            <w:shd w:val="clear" w:color="auto" w:fill="auto"/>
          </w:tcPr>
          <w:p w14:paraId="029E5223" w14:textId="0821443A" w:rsidR="00385D6A" w:rsidRPr="00C15E08" w:rsidRDefault="00D511F0" w:rsidP="00C15E08">
            <w:pPr>
              <w:pStyle w:val="TableText"/>
            </w:pPr>
            <w:r w:rsidRPr="00C15E08">
              <w:t>None.</w:t>
            </w:r>
          </w:p>
        </w:tc>
      </w:tr>
      <w:tr w:rsidR="00CC183D" w:rsidRPr="00F82963" w14:paraId="78926A96" w14:textId="77777777" w:rsidTr="002E61C6">
        <w:tc>
          <w:tcPr>
            <w:tcW w:w="9360" w:type="dxa"/>
            <w:gridSpan w:val="4"/>
            <w:shd w:val="clear" w:color="auto" w:fill="5F497A"/>
          </w:tcPr>
          <w:p w14:paraId="3AE18404" w14:textId="77777777" w:rsidR="00CC183D" w:rsidRPr="00F82963" w:rsidRDefault="00CC183D" w:rsidP="00401E53">
            <w:pPr>
              <w:pStyle w:val="TableHeaders"/>
              <w:rPr>
                <w:lang w:val="en-US" w:eastAsia="en-US"/>
              </w:rPr>
            </w:pPr>
            <w:r w:rsidRPr="00F82963">
              <w:rPr>
                <w:lang w:val="en-US" w:eastAsia="en-US"/>
              </w:rPr>
              <w:t>CCS</w:t>
            </w:r>
            <w:r w:rsidR="00F02C7C" w:rsidRPr="00F82963">
              <w:rPr>
                <w:lang w:val="en-US" w:eastAsia="en-US"/>
              </w:rPr>
              <w:t xml:space="preserve"> Standards: Reading — Informational</w:t>
            </w:r>
            <w:r w:rsidR="00385D6A" w:rsidRPr="00F82963">
              <w:rPr>
                <w:lang w:val="en-US" w:eastAsia="en-US"/>
              </w:rPr>
              <w:t xml:space="preserve"> Text</w:t>
            </w:r>
          </w:p>
        </w:tc>
      </w:tr>
      <w:tr w:rsidR="005F0405" w:rsidRPr="00F82963" w14:paraId="16E0BCFB" w14:textId="77777777" w:rsidTr="002E61C6">
        <w:tc>
          <w:tcPr>
            <w:tcW w:w="1360" w:type="dxa"/>
          </w:tcPr>
          <w:p w14:paraId="7DB0DCED" w14:textId="46BE99BD" w:rsidR="005F0405" w:rsidRPr="00F82963" w:rsidRDefault="005F0405" w:rsidP="00545369">
            <w:pPr>
              <w:pStyle w:val="TableText"/>
              <w:rPr>
                <w:b/>
                <w:bCs/>
              </w:rPr>
            </w:pPr>
            <w:r w:rsidRPr="00F82963">
              <w:rPr>
                <w:b/>
                <w:bCs/>
              </w:rPr>
              <w:t>RI.11-12.1.a</w:t>
            </w:r>
          </w:p>
        </w:tc>
        <w:tc>
          <w:tcPr>
            <w:tcW w:w="8000" w:type="dxa"/>
            <w:gridSpan w:val="3"/>
          </w:tcPr>
          <w:p w14:paraId="04DA9907" w14:textId="77777777" w:rsidR="005F0405" w:rsidRPr="00C15E08" w:rsidRDefault="005F0405" w:rsidP="00C15E08">
            <w:pPr>
              <w:pStyle w:val="TableText"/>
              <w:rPr>
                <w:b/>
              </w:rPr>
            </w:pPr>
            <w:r w:rsidRPr="00C15E08">
              <w:rPr>
                <w:b/>
              </w:rPr>
              <w:t>Cite strong and thorough textual evidence to support analysis of what the text says explicitly as well as inferences drawn from the text, including determining where the text leaves matters uncertain.</w:t>
            </w:r>
          </w:p>
          <w:p w14:paraId="051878D9" w14:textId="45C28A88" w:rsidR="005F0405" w:rsidRPr="009334EB" w:rsidRDefault="005F0405" w:rsidP="009334EB">
            <w:pPr>
              <w:pStyle w:val="SubStandard"/>
              <w:rPr>
                <w:b/>
              </w:rPr>
            </w:pPr>
            <w:r w:rsidRPr="009334EB">
              <w:rPr>
                <w:b/>
              </w:rPr>
              <w:t>Develop factual, interpretive, and evaluative questions for further exploration of topic</w:t>
            </w:r>
            <w:r w:rsidR="00E43754" w:rsidRPr="009334EB">
              <w:rPr>
                <w:b/>
              </w:rPr>
              <w:t>(</w:t>
            </w:r>
            <w:r w:rsidRPr="009334EB">
              <w:rPr>
                <w:b/>
              </w:rPr>
              <w:t>s</w:t>
            </w:r>
            <w:r w:rsidR="00E43754" w:rsidRPr="009334EB">
              <w:rPr>
                <w:b/>
              </w:rPr>
              <w:t>)</w:t>
            </w:r>
            <w:r w:rsidRPr="009334EB">
              <w:rPr>
                <w:b/>
              </w:rPr>
              <w:t>.</w:t>
            </w:r>
          </w:p>
        </w:tc>
      </w:tr>
      <w:tr w:rsidR="00F02C7C" w:rsidRPr="00F82963" w14:paraId="49B060BA" w14:textId="77777777" w:rsidTr="002E61C6">
        <w:tc>
          <w:tcPr>
            <w:tcW w:w="1360" w:type="dxa"/>
          </w:tcPr>
          <w:p w14:paraId="240FF43B" w14:textId="4B79B760" w:rsidR="00F02C7C" w:rsidRPr="00F82963" w:rsidRDefault="00EE0149" w:rsidP="00545369">
            <w:pPr>
              <w:pStyle w:val="TableText"/>
              <w:rPr>
                <w:b/>
                <w:bCs/>
              </w:rPr>
            </w:pPr>
            <w:r w:rsidRPr="00F82963">
              <w:rPr>
                <w:b/>
                <w:bCs/>
              </w:rPr>
              <w:t>RI.11-12</w:t>
            </w:r>
            <w:r w:rsidR="00F02C7C" w:rsidRPr="00F82963">
              <w:rPr>
                <w:b/>
                <w:bCs/>
              </w:rPr>
              <w:t>.2</w:t>
            </w:r>
          </w:p>
        </w:tc>
        <w:tc>
          <w:tcPr>
            <w:tcW w:w="8000" w:type="dxa"/>
            <w:gridSpan w:val="3"/>
          </w:tcPr>
          <w:p w14:paraId="1319391A" w14:textId="7F6FCE70" w:rsidR="00F02C7C" w:rsidRPr="00F82963" w:rsidRDefault="005F0405" w:rsidP="00545369">
            <w:pPr>
              <w:pStyle w:val="TableText"/>
              <w:rPr>
                <w:b/>
                <w:bCs/>
              </w:rPr>
            </w:pPr>
            <w:r w:rsidRPr="00F82963">
              <w:rPr>
                <w:b/>
                <w:bCs/>
              </w:rPr>
              <w:t>Determine two or more central ideas of a text and analyze their development over the course of the text, including how they interact and build on one another to provide a complex analysis; provide an objective summary of the text.</w:t>
            </w:r>
          </w:p>
        </w:tc>
      </w:tr>
      <w:tr w:rsidR="00F02C7C" w:rsidRPr="00F82963" w14:paraId="6B0E5A13" w14:textId="77777777" w:rsidTr="002E61C6">
        <w:tc>
          <w:tcPr>
            <w:tcW w:w="1360" w:type="dxa"/>
          </w:tcPr>
          <w:p w14:paraId="5762892D" w14:textId="78D74D74" w:rsidR="00F02C7C" w:rsidRPr="00F82963" w:rsidRDefault="00EE0149" w:rsidP="00545369">
            <w:pPr>
              <w:pStyle w:val="TableText"/>
              <w:rPr>
                <w:b/>
                <w:bCs/>
              </w:rPr>
            </w:pPr>
            <w:r w:rsidRPr="00F82963">
              <w:rPr>
                <w:b/>
                <w:bCs/>
              </w:rPr>
              <w:t>RI.11-12</w:t>
            </w:r>
            <w:r w:rsidR="00F02C7C" w:rsidRPr="00F82963">
              <w:rPr>
                <w:b/>
                <w:bCs/>
              </w:rPr>
              <w:t>.6</w:t>
            </w:r>
          </w:p>
        </w:tc>
        <w:tc>
          <w:tcPr>
            <w:tcW w:w="8000" w:type="dxa"/>
            <w:gridSpan w:val="3"/>
          </w:tcPr>
          <w:p w14:paraId="7A355517" w14:textId="3377A1B1" w:rsidR="00F02C7C" w:rsidRPr="00F82963" w:rsidRDefault="003B6D94" w:rsidP="00545369">
            <w:pPr>
              <w:pStyle w:val="TableText"/>
              <w:rPr>
                <w:b/>
                <w:bCs/>
              </w:rPr>
            </w:pPr>
            <w:r w:rsidRPr="00F82963">
              <w:rPr>
                <w:b/>
                <w:bCs/>
              </w:rPr>
              <w:t>Determine an author’s point of view or purpose in a text in which the rhetoric is particularly effective, analyzing how style and content contribute to the power, persuasiveness, or beauty of the text.</w:t>
            </w:r>
          </w:p>
        </w:tc>
      </w:tr>
      <w:tr w:rsidR="00F02C7C" w:rsidRPr="00F82963" w14:paraId="447D1031" w14:textId="77777777" w:rsidTr="002E61C6">
        <w:trPr>
          <w:trHeight w:val="120"/>
        </w:trPr>
        <w:tc>
          <w:tcPr>
            <w:tcW w:w="9360" w:type="dxa"/>
            <w:gridSpan w:val="4"/>
            <w:shd w:val="clear" w:color="auto" w:fill="5F497A"/>
          </w:tcPr>
          <w:p w14:paraId="218D4AD8" w14:textId="77777777" w:rsidR="00F02C7C" w:rsidRPr="00F82963" w:rsidRDefault="00F02C7C" w:rsidP="00401E53">
            <w:pPr>
              <w:pStyle w:val="TableHeaders"/>
              <w:rPr>
                <w:lang w:val="en-US" w:eastAsia="en-US"/>
              </w:rPr>
            </w:pPr>
            <w:r w:rsidRPr="00F82963">
              <w:rPr>
                <w:lang w:val="en-US" w:eastAsia="en-US"/>
              </w:rPr>
              <w:br w:type="page"/>
              <w:t>CCS Standards: Writing</w:t>
            </w:r>
          </w:p>
        </w:tc>
      </w:tr>
      <w:tr w:rsidR="000D02CA" w:rsidRPr="00F82963" w14:paraId="26CADF00" w14:textId="77777777" w:rsidTr="002E61C6">
        <w:tc>
          <w:tcPr>
            <w:tcW w:w="1360" w:type="dxa"/>
          </w:tcPr>
          <w:p w14:paraId="0CE30BD5" w14:textId="2ED03BC1" w:rsidR="000D02CA" w:rsidRPr="00F82963" w:rsidRDefault="004A0A1E" w:rsidP="00545369">
            <w:pPr>
              <w:pStyle w:val="TableText"/>
              <w:rPr>
                <w:b/>
                <w:bCs/>
              </w:rPr>
            </w:pPr>
            <w:r w:rsidRPr="00F82963">
              <w:rPr>
                <w:b/>
                <w:bCs/>
              </w:rPr>
              <w:t>W.11-12</w:t>
            </w:r>
            <w:r w:rsidR="00026502" w:rsidRPr="00F82963">
              <w:rPr>
                <w:b/>
                <w:bCs/>
              </w:rPr>
              <w:t>.2</w:t>
            </w:r>
            <w:r w:rsidR="00865F03">
              <w:rPr>
                <w:b/>
                <w:bCs/>
              </w:rPr>
              <w:t>.a, b, d, e, f</w:t>
            </w:r>
            <w:r w:rsidR="00026502" w:rsidRPr="00F82963">
              <w:rPr>
                <w:b/>
                <w:bCs/>
              </w:rPr>
              <w:t xml:space="preserve"> </w:t>
            </w:r>
          </w:p>
        </w:tc>
        <w:tc>
          <w:tcPr>
            <w:tcW w:w="8000" w:type="dxa"/>
            <w:gridSpan w:val="3"/>
          </w:tcPr>
          <w:p w14:paraId="0B3C50D9" w14:textId="77777777" w:rsidR="000D02CA" w:rsidRDefault="004A0A1E" w:rsidP="004A0A1E">
            <w:pPr>
              <w:pStyle w:val="TableText"/>
              <w:rPr>
                <w:b/>
                <w:bCs/>
              </w:rPr>
            </w:pPr>
            <w:r w:rsidRPr="00F82963">
              <w:rPr>
                <w:b/>
                <w:bCs/>
              </w:rPr>
              <w:t>Write informative/explanatory texts to examine and convey complex ideas, concepts, and information clearly and accurately through the effective selection, organization, and analysis of content.</w:t>
            </w:r>
          </w:p>
          <w:p w14:paraId="0D5E4FB6" w14:textId="77777777" w:rsidR="007556A4" w:rsidRPr="009334EB" w:rsidRDefault="007556A4" w:rsidP="009334EB">
            <w:pPr>
              <w:pStyle w:val="SubStandard"/>
              <w:numPr>
                <w:ilvl w:val="0"/>
                <w:numId w:val="31"/>
              </w:numPr>
              <w:rPr>
                <w:b/>
              </w:rPr>
            </w:pPr>
            <w:r w:rsidRPr="009334EB">
              <w:rPr>
                <w:b/>
              </w:rPr>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0E71E7C9" w14:textId="492415E0" w:rsidR="007556A4" w:rsidRPr="009334EB" w:rsidRDefault="007556A4" w:rsidP="009334EB">
            <w:pPr>
              <w:pStyle w:val="SubStandard"/>
              <w:rPr>
                <w:b/>
              </w:rPr>
            </w:pPr>
            <w:r w:rsidRPr="009334EB">
              <w:rPr>
                <w:b/>
              </w:rPr>
              <w:t>Develop the topic thoroughly by selecting the most significant and relevant facts, extended definitions, concrete details, quotations, or other information and examples appropriate to the audience’s knowledge of the topic.</w:t>
            </w:r>
          </w:p>
          <w:p w14:paraId="09B36F09" w14:textId="11A5531B" w:rsidR="007556A4" w:rsidRPr="009334EB" w:rsidRDefault="007556A4" w:rsidP="009334EB">
            <w:pPr>
              <w:pStyle w:val="SubStandard"/>
              <w:numPr>
                <w:ilvl w:val="0"/>
                <w:numId w:val="32"/>
              </w:numPr>
              <w:rPr>
                <w:b/>
              </w:rPr>
            </w:pPr>
            <w:r w:rsidRPr="009334EB">
              <w:rPr>
                <w:b/>
              </w:rPr>
              <w:t>Use precise language, domain-specific vocabulary, and techniques such as metaphor, simile, and analogy to manage the complexity of the topic.</w:t>
            </w:r>
          </w:p>
          <w:p w14:paraId="3B04F84D" w14:textId="77777777" w:rsidR="007556A4" w:rsidRPr="009334EB" w:rsidRDefault="007556A4" w:rsidP="009334EB">
            <w:pPr>
              <w:pStyle w:val="SubStandard"/>
              <w:rPr>
                <w:b/>
              </w:rPr>
            </w:pPr>
            <w:r w:rsidRPr="009334EB">
              <w:rPr>
                <w:b/>
              </w:rPr>
              <w:t>Establish and maintain a formal style and objective tone while attending to the norms and conventions of the discipline in which they are writing.</w:t>
            </w:r>
          </w:p>
          <w:p w14:paraId="6746EBA4" w14:textId="48B67B96" w:rsidR="007556A4" w:rsidRPr="00C543AF" w:rsidRDefault="007556A4" w:rsidP="009334EB">
            <w:pPr>
              <w:pStyle w:val="SubStandard"/>
            </w:pPr>
            <w:r w:rsidRPr="009334EB">
              <w:rPr>
                <w:b/>
              </w:rPr>
              <w:t>Provide a concluding statement or section that follows from and supports the information or explanation presented (e.g., articulating implications or the significance of the topic).</w:t>
            </w:r>
          </w:p>
        </w:tc>
      </w:tr>
      <w:tr w:rsidR="00BC5CC6" w:rsidRPr="00F82963" w14:paraId="1AD4E291" w14:textId="77777777" w:rsidTr="002E61C6">
        <w:tc>
          <w:tcPr>
            <w:tcW w:w="1360" w:type="dxa"/>
          </w:tcPr>
          <w:p w14:paraId="7305A0C4" w14:textId="78E7364B" w:rsidR="00BC5CC6" w:rsidRPr="00F82963" w:rsidRDefault="00026502" w:rsidP="00C15E08">
            <w:pPr>
              <w:pStyle w:val="TableText"/>
            </w:pPr>
            <w:r w:rsidRPr="00F82963">
              <w:t>W.11-12</w:t>
            </w:r>
            <w:r w:rsidR="00BC5CC6" w:rsidRPr="00F82963">
              <w:t>.4</w:t>
            </w:r>
          </w:p>
        </w:tc>
        <w:tc>
          <w:tcPr>
            <w:tcW w:w="8000" w:type="dxa"/>
            <w:gridSpan w:val="3"/>
          </w:tcPr>
          <w:p w14:paraId="39F583FA" w14:textId="77777777" w:rsidR="00BC5CC6" w:rsidRPr="00F82963" w:rsidRDefault="00BC5CC6" w:rsidP="00545369">
            <w:pPr>
              <w:pStyle w:val="TableText"/>
            </w:pPr>
            <w:r w:rsidRPr="00F82963">
              <w:t xml:space="preserve">Produce clear and coherent writing in which the development, organization, and style are appropriate to task, purpose, and audience. </w:t>
            </w:r>
          </w:p>
        </w:tc>
      </w:tr>
      <w:tr w:rsidR="00026502" w:rsidRPr="00F82963" w14:paraId="47440E8A" w14:textId="77777777" w:rsidTr="002E61C6">
        <w:tc>
          <w:tcPr>
            <w:tcW w:w="1360" w:type="dxa"/>
          </w:tcPr>
          <w:p w14:paraId="0256D426" w14:textId="18EE9D00" w:rsidR="00026502" w:rsidRPr="00F82963" w:rsidRDefault="00026502" w:rsidP="00545369">
            <w:pPr>
              <w:pStyle w:val="TableText"/>
              <w:rPr>
                <w:b/>
              </w:rPr>
            </w:pPr>
            <w:r w:rsidRPr="00F82963">
              <w:rPr>
                <w:b/>
              </w:rPr>
              <w:t>W.11-12.7</w:t>
            </w:r>
          </w:p>
        </w:tc>
        <w:tc>
          <w:tcPr>
            <w:tcW w:w="8000" w:type="dxa"/>
            <w:gridSpan w:val="3"/>
          </w:tcPr>
          <w:p w14:paraId="58156156" w14:textId="09B9EE34" w:rsidR="00026502" w:rsidRPr="00F82963" w:rsidRDefault="00026502" w:rsidP="00026502">
            <w:pPr>
              <w:pStyle w:val="TableText"/>
              <w:rPr>
                <w:b/>
              </w:rPr>
            </w:pPr>
            <w:r w:rsidRPr="00F82963">
              <w:rPr>
                <w:b/>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BC5CC6" w:rsidRPr="00F82963" w14:paraId="10441987" w14:textId="77777777" w:rsidTr="002E61C6">
        <w:tc>
          <w:tcPr>
            <w:tcW w:w="1360" w:type="dxa"/>
          </w:tcPr>
          <w:p w14:paraId="740498DC" w14:textId="5C9FB82A" w:rsidR="00BC5CC6" w:rsidRPr="00F82963" w:rsidRDefault="00026502" w:rsidP="00BE17B8">
            <w:pPr>
              <w:pStyle w:val="TableText"/>
              <w:rPr>
                <w:b/>
              </w:rPr>
            </w:pPr>
            <w:r w:rsidRPr="00F82963">
              <w:rPr>
                <w:b/>
              </w:rPr>
              <w:t>W.11</w:t>
            </w:r>
            <w:r w:rsidR="00D511F0" w:rsidRPr="00F82963">
              <w:rPr>
                <w:b/>
              </w:rPr>
              <w:t>-12</w:t>
            </w:r>
            <w:r w:rsidR="00BC5CC6" w:rsidRPr="001613FF">
              <w:rPr>
                <w:b/>
              </w:rPr>
              <w:t>.9</w:t>
            </w:r>
            <w:r w:rsidR="00205FA0" w:rsidRPr="001613FF">
              <w:rPr>
                <w:b/>
              </w:rPr>
              <w:t>.b</w:t>
            </w:r>
          </w:p>
        </w:tc>
        <w:tc>
          <w:tcPr>
            <w:tcW w:w="8000" w:type="dxa"/>
            <w:gridSpan w:val="3"/>
          </w:tcPr>
          <w:p w14:paraId="6F6914FF" w14:textId="77777777" w:rsidR="00BC5CC6" w:rsidRPr="001613FF" w:rsidRDefault="00BC5CC6" w:rsidP="00BE17B8">
            <w:pPr>
              <w:pStyle w:val="TableText"/>
              <w:rPr>
                <w:b/>
              </w:rPr>
            </w:pPr>
            <w:r w:rsidRPr="001613FF">
              <w:rPr>
                <w:b/>
              </w:rPr>
              <w:t>Draw evidence from literary or informational texts to support analysis, reflection, and research.</w:t>
            </w:r>
          </w:p>
          <w:p w14:paraId="2D577C30" w14:textId="2FBB892B" w:rsidR="00205FA0" w:rsidRPr="00C543AF" w:rsidRDefault="00026502" w:rsidP="00026502">
            <w:pPr>
              <w:pStyle w:val="SubStandard"/>
              <w:numPr>
                <w:ilvl w:val="0"/>
                <w:numId w:val="10"/>
              </w:numPr>
              <w:rPr>
                <w:b/>
                <w:bCs/>
              </w:rPr>
            </w:pPr>
            <w:r w:rsidRPr="00C543AF">
              <w:rPr>
                <w:b/>
                <w:bCs/>
              </w:rPr>
              <w:t xml:space="preserve">Apply </w:t>
            </w:r>
            <w:r w:rsidRPr="00C543AF">
              <w:rPr>
                <w:b/>
                <w:bCs/>
                <w:i/>
              </w:rPr>
              <w:t>grades 11–12 Reading standards</w:t>
            </w:r>
            <w:r w:rsidRPr="00C543AF">
              <w:rPr>
                <w:b/>
                <w:bCs/>
              </w:rPr>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E43754">
              <w:rPr>
                <w:b/>
                <w:bCs/>
                <w:i/>
              </w:rPr>
              <w:t>The Federalist</w:t>
            </w:r>
            <w:r w:rsidRPr="00C543AF">
              <w:rPr>
                <w:b/>
                <w:bCs/>
              </w:rPr>
              <w:t>, presidential addresses]”).</w:t>
            </w:r>
          </w:p>
        </w:tc>
      </w:tr>
      <w:tr w:rsidR="00BC5CC6" w:rsidRPr="00F82963" w14:paraId="0DB3A758" w14:textId="77777777" w:rsidTr="002E61C6">
        <w:tc>
          <w:tcPr>
            <w:tcW w:w="9360" w:type="dxa"/>
            <w:gridSpan w:val="4"/>
            <w:shd w:val="clear" w:color="auto" w:fill="5F497A"/>
          </w:tcPr>
          <w:p w14:paraId="1F940C96" w14:textId="77777777" w:rsidR="00BC5CC6" w:rsidRPr="00F82963" w:rsidRDefault="00BC5CC6" w:rsidP="002E61C6">
            <w:pPr>
              <w:pStyle w:val="TableHeaders"/>
              <w:keepNext/>
              <w:rPr>
                <w:lang w:val="en-US" w:eastAsia="en-US"/>
              </w:rPr>
            </w:pPr>
            <w:r w:rsidRPr="00F82963">
              <w:rPr>
                <w:lang w:val="en-US" w:eastAsia="en-US"/>
              </w:rPr>
              <w:t>CCS Standards: Speaking &amp; Listening</w:t>
            </w:r>
          </w:p>
        </w:tc>
      </w:tr>
      <w:tr w:rsidR="00BC5CC6" w:rsidRPr="00F82963" w14:paraId="010B42ED" w14:textId="77777777" w:rsidTr="002E61C6">
        <w:tc>
          <w:tcPr>
            <w:tcW w:w="1381" w:type="dxa"/>
            <w:gridSpan w:val="3"/>
          </w:tcPr>
          <w:p w14:paraId="40278E12" w14:textId="4DB26115" w:rsidR="00BC5CC6" w:rsidRPr="00F82963" w:rsidRDefault="00A05EC5" w:rsidP="00545369">
            <w:pPr>
              <w:pStyle w:val="TableText"/>
            </w:pPr>
            <w:r w:rsidRPr="00F82963">
              <w:t>SL.11-12</w:t>
            </w:r>
            <w:r w:rsidR="00BC5CC6" w:rsidRPr="00F82963">
              <w:t>.1</w:t>
            </w:r>
            <w:r w:rsidR="00EE4CBC" w:rsidRPr="00F82963">
              <w:t>.c</w:t>
            </w:r>
          </w:p>
        </w:tc>
        <w:tc>
          <w:tcPr>
            <w:tcW w:w="7979" w:type="dxa"/>
          </w:tcPr>
          <w:p w14:paraId="4F433161" w14:textId="77777777" w:rsidR="00AD1534" w:rsidRPr="00F82963" w:rsidRDefault="00EE4CBC" w:rsidP="00EE4CBC">
            <w:pPr>
              <w:pStyle w:val="TableText"/>
            </w:pPr>
            <w:r w:rsidRPr="00F82963">
              <w:t xml:space="preserve">Initiate and participate effectively in a range of collaborative discussions (one-on- one, in groups, and teacher-led) with diverse partners on </w:t>
            </w:r>
            <w:r w:rsidRPr="00E43754">
              <w:rPr>
                <w:i/>
              </w:rPr>
              <w:t>grades 11–12 topics, texts, and issues</w:t>
            </w:r>
            <w:r w:rsidRPr="00F82963">
              <w:t>, building on others’ ideas and expressing their own clearly and persuasively.</w:t>
            </w:r>
          </w:p>
          <w:p w14:paraId="2DB482D0" w14:textId="0C5C2FB0" w:rsidR="00EE4CBC" w:rsidRPr="009334EB" w:rsidDel="001047F1" w:rsidRDefault="00EE4CBC" w:rsidP="009334EB">
            <w:pPr>
              <w:pStyle w:val="SubStandard"/>
              <w:numPr>
                <w:ilvl w:val="0"/>
                <w:numId w:val="33"/>
              </w:numPr>
            </w:pPr>
            <w:r w:rsidRPr="009334EB">
              <w:t>Propel conversations by posing and responding to questions that probe reasoning and evidence; ensure a hearing for a full range of positions on a topic or issue; clarify, verify, or challenge ideas and conclusions; and promote divergent and creative perspectives.</w:t>
            </w:r>
          </w:p>
        </w:tc>
      </w:tr>
      <w:tr w:rsidR="00BC5CC6" w:rsidRPr="00F82963" w14:paraId="053ED09C" w14:textId="77777777" w:rsidTr="002E61C6">
        <w:tc>
          <w:tcPr>
            <w:tcW w:w="9360" w:type="dxa"/>
            <w:gridSpan w:val="4"/>
            <w:shd w:val="clear" w:color="auto" w:fill="5F497A"/>
          </w:tcPr>
          <w:p w14:paraId="28133E03" w14:textId="77777777" w:rsidR="00BC5CC6" w:rsidRPr="00F82963" w:rsidRDefault="00BC5CC6" w:rsidP="007A12D1">
            <w:pPr>
              <w:pStyle w:val="TableHeaders"/>
              <w:rPr>
                <w:lang w:val="en-US" w:eastAsia="en-US"/>
              </w:rPr>
            </w:pPr>
            <w:r w:rsidRPr="00F82963">
              <w:rPr>
                <w:lang w:val="en-US" w:eastAsia="en-US"/>
              </w:rPr>
              <w:t>CCS Standards: Language</w:t>
            </w:r>
          </w:p>
        </w:tc>
      </w:tr>
      <w:tr w:rsidR="00B96FB7" w:rsidRPr="00F82963" w14:paraId="40561224" w14:textId="77777777" w:rsidTr="002E61C6">
        <w:tc>
          <w:tcPr>
            <w:tcW w:w="1381" w:type="dxa"/>
            <w:gridSpan w:val="3"/>
            <w:tcMar>
              <w:top w:w="100" w:type="dxa"/>
              <w:left w:w="108" w:type="dxa"/>
              <w:bottom w:w="100" w:type="dxa"/>
              <w:right w:w="108" w:type="dxa"/>
            </w:tcMar>
          </w:tcPr>
          <w:p w14:paraId="55D5B5A4" w14:textId="333ADE3C" w:rsidR="00B96FB7" w:rsidRPr="00F82963" w:rsidRDefault="00C95335" w:rsidP="00545369">
            <w:pPr>
              <w:pStyle w:val="TableText"/>
              <w:rPr>
                <w:bCs/>
              </w:rPr>
            </w:pPr>
            <w:r w:rsidRPr="00F82963">
              <w:rPr>
                <w:b/>
                <w:bCs/>
              </w:rPr>
              <w:t>L.11-12</w:t>
            </w:r>
            <w:r w:rsidR="00B96FB7" w:rsidRPr="00F82963">
              <w:rPr>
                <w:b/>
                <w:bCs/>
              </w:rPr>
              <w:t>.1</w:t>
            </w:r>
            <w:r w:rsidRPr="00F82963">
              <w:rPr>
                <w:b/>
                <w:bCs/>
              </w:rPr>
              <w:t>.</w:t>
            </w:r>
            <w:r w:rsidRPr="00F82963">
              <w:rPr>
                <w:bCs/>
              </w:rPr>
              <w:t>a</w:t>
            </w:r>
          </w:p>
        </w:tc>
        <w:tc>
          <w:tcPr>
            <w:tcW w:w="7979" w:type="dxa"/>
          </w:tcPr>
          <w:p w14:paraId="746C6AE7" w14:textId="77777777" w:rsidR="00B96FB7" w:rsidRPr="00F82963" w:rsidRDefault="00C95335" w:rsidP="00C95335">
            <w:pPr>
              <w:pStyle w:val="TableText"/>
              <w:rPr>
                <w:bCs/>
              </w:rPr>
            </w:pPr>
            <w:r w:rsidRPr="00F82963">
              <w:rPr>
                <w:b/>
                <w:bCs/>
              </w:rPr>
              <w:t>Demonstrate command of the conventions of standard English grammar and usage when writing or speaking.</w:t>
            </w:r>
          </w:p>
          <w:p w14:paraId="02A64948" w14:textId="60BFB112" w:rsidR="00C95335" w:rsidRPr="00C15E08" w:rsidRDefault="00C95335" w:rsidP="00C95335">
            <w:pPr>
              <w:pStyle w:val="SubStandard"/>
              <w:numPr>
                <w:ilvl w:val="0"/>
                <w:numId w:val="21"/>
              </w:numPr>
            </w:pPr>
            <w:r w:rsidRPr="00C15E08">
              <w:t>Apply the understanding that usage is a matter of convention, can change over time, and is sometimes contested.</w:t>
            </w:r>
          </w:p>
        </w:tc>
      </w:tr>
      <w:tr w:rsidR="00B96FB7" w:rsidRPr="00F82963" w14:paraId="315AC4C6" w14:textId="77777777" w:rsidTr="002E61C6">
        <w:tc>
          <w:tcPr>
            <w:tcW w:w="1381" w:type="dxa"/>
            <w:gridSpan w:val="3"/>
            <w:tcMar>
              <w:top w:w="100" w:type="dxa"/>
              <w:left w:w="108" w:type="dxa"/>
              <w:bottom w:w="100" w:type="dxa"/>
              <w:right w:w="108" w:type="dxa"/>
            </w:tcMar>
          </w:tcPr>
          <w:p w14:paraId="4102D7C1" w14:textId="361B1F64" w:rsidR="00B96FB7" w:rsidRPr="00F82963" w:rsidRDefault="00A05EC5" w:rsidP="005F5614">
            <w:r w:rsidRPr="00F82963">
              <w:rPr>
                <w:rStyle w:val="TableTextChar"/>
                <w:b/>
                <w:bCs/>
              </w:rPr>
              <w:t>L.11-12</w:t>
            </w:r>
            <w:r w:rsidR="00B96FB7" w:rsidRPr="00F82963">
              <w:rPr>
                <w:rStyle w:val="TableTextChar"/>
                <w:b/>
                <w:bCs/>
              </w:rPr>
              <w:t>.2</w:t>
            </w:r>
          </w:p>
        </w:tc>
        <w:tc>
          <w:tcPr>
            <w:tcW w:w="7979" w:type="dxa"/>
          </w:tcPr>
          <w:p w14:paraId="3B972B09" w14:textId="2C461E52" w:rsidR="00AD1534" w:rsidRPr="00F82963" w:rsidRDefault="00B96FB7" w:rsidP="00A05EC5">
            <w:pPr>
              <w:pStyle w:val="TableText"/>
              <w:rPr>
                <w:b/>
                <w:bCs/>
              </w:rPr>
            </w:pPr>
            <w:r w:rsidRPr="00F82963">
              <w:rPr>
                <w:b/>
                <w:bCs/>
              </w:rPr>
              <w:t>Demonstrate command of the conventions of standard English capitalization, punctuation, and spelling when writing.</w:t>
            </w:r>
          </w:p>
        </w:tc>
      </w:tr>
      <w:tr w:rsidR="00C95335" w:rsidRPr="00F82963" w14:paraId="3331129C" w14:textId="77777777" w:rsidTr="002E61C6">
        <w:tc>
          <w:tcPr>
            <w:tcW w:w="1381" w:type="dxa"/>
            <w:gridSpan w:val="3"/>
            <w:tcMar>
              <w:top w:w="100" w:type="dxa"/>
              <w:left w:w="108" w:type="dxa"/>
              <w:bottom w:w="100" w:type="dxa"/>
              <w:right w:w="108" w:type="dxa"/>
            </w:tcMar>
          </w:tcPr>
          <w:p w14:paraId="07D4F69A" w14:textId="1211857C" w:rsidR="00C95335" w:rsidRPr="00F82963" w:rsidRDefault="00C95335" w:rsidP="005F5614">
            <w:pPr>
              <w:rPr>
                <w:rStyle w:val="TableTextChar"/>
                <w:bCs/>
              </w:rPr>
            </w:pPr>
            <w:r w:rsidRPr="00F82963">
              <w:rPr>
                <w:rStyle w:val="TableTextChar"/>
                <w:bCs/>
              </w:rPr>
              <w:t>L.11-12.3</w:t>
            </w:r>
            <w:r w:rsidR="00A05EC5" w:rsidRPr="00F82963">
              <w:rPr>
                <w:rStyle w:val="TableTextChar"/>
                <w:bCs/>
              </w:rPr>
              <w:t>.a</w:t>
            </w:r>
          </w:p>
        </w:tc>
        <w:tc>
          <w:tcPr>
            <w:tcW w:w="7979" w:type="dxa"/>
          </w:tcPr>
          <w:p w14:paraId="38FAB77E" w14:textId="0E8EA9B7" w:rsidR="00A05EC5" w:rsidRPr="00F82963" w:rsidRDefault="00A05EC5" w:rsidP="00A05EC5">
            <w:pPr>
              <w:pStyle w:val="TableText"/>
              <w:rPr>
                <w:bCs/>
              </w:rPr>
            </w:pPr>
            <w:r w:rsidRPr="00F82963">
              <w:rPr>
                <w:bCs/>
              </w:rPr>
              <w:t>Apply knowledge of language to understand how language functions in different contexts, to make effective choices for meaning or style, and to comprehend more fully when reading or listening.</w:t>
            </w:r>
          </w:p>
          <w:p w14:paraId="1005378F" w14:textId="33D766D6" w:rsidR="00C95335" w:rsidRPr="00C15E08" w:rsidRDefault="00A05EC5" w:rsidP="00C15E08">
            <w:pPr>
              <w:pStyle w:val="SubStandard"/>
              <w:numPr>
                <w:ilvl w:val="0"/>
                <w:numId w:val="24"/>
              </w:numPr>
              <w:rPr>
                <w:bCs/>
              </w:rPr>
            </w:pPr>
            <w:r w:rsidRPr="00C15E08">
              <w:t xml:space="preserve">Vary syntax for effect, consulting references (e.g., Tufte’s </w:t>
            </w:r>
            <w:r w:rsidRPr="00E91AC5">
              <w:rPr>
                <w:i/>
              </w:rPr>
              <w:t>Artful Sentences</w:t>
            </w:r>
            <w:r w:rsidRPr="00C15E08">
              <w:t>) for guidance as needed; apply an understanding of syntax to the study of complex texts when reading.</w:t>
            </w:r>
          </w:p>
        </w:tc>
      </w:tr>
      <w:tr w:rsidR="00B96FB7" w:rsidRPr="00F82963" w14:paraId="6AF7ADEB" w14:textId="77777777" w:rsidTr="002E61C6">
        <w:tc>
          <w:tcPr>
            <w:tcW w:w="1381" w:type="dxa"/>
            <w:gridSpan w:val="3"/>
            <w:tcMar>
              <w:top w:w="100" w:type="dxa"/>
              <w:left w:w="108" w:type="dxa"/>
              <w:bottom w:w="100" w:type="dxa"/>
              <w:right w:w="108" w:type="dxa"/>
            </w:tcMar>
          </w:tcPr>
          <w:p w14:paraId="023BA4DE" w14:textId="1008A7AD" w:rsidR="00B96FB7" w:rsidRPr="00F82963" w:rsidRDefault="009D142B" w:rsidP="00E91AC5">
            <w:pPr>
              <w:pStyle w:val="TableText"/>
            </w:pPr>
            <w:r w:rsidRPr="00F82963">
              <w:t>L.11-12</w:t>
            </w:r>
            <w:r w:rsidR="00E91AC5">
              <w:t>.4.</w:t>
            </w:r>
            <w:r w:rsidR="00B96FB7" w:rsidRPr="00F82963">
              <w:t>a</w:t>
            </w:r>
            <w:r w:rsidR="00E91AC5">
              <w:t>-</w:t>
            </w:r>
            <w:r w:rsidR="00B96FB7" w:rsidRPr="00F82963">
              <w:t>d</w:t>
            </w:r>
          </w:p>
        </w:tc>
        <w:tc>
          <w:tcPr>
            <w:tcW w:w="7979" w:type="dxa"/>
          </w:tcPr>
          <w:p w14:paraId="45309052" w14:textId="29C13C74" w:rsidR="005745F9" w:rsidRPr="00F82963" w:rsidRDefault="009D142B" w:rsidP="009D142B">
            <w:pPr>
              <w:pStyle w:val="TableText"/>
            </w:pPr>
            <w:r w:rsidRPr="00F82963">
              <w:t xml:space="preserve">Determine or clarify the meaning of unknown and multiple-meaning words and phrases based on </w:t>
            </w:r>
            <w:r w:rsidRPr="00E91AC5">
              <w:rPr>
                <w:i/>
              </w:rPr>
              <w:t>grades 11–12 reading and content</w:t>
            </w:r>
            <w:r w:rsidRPr="00F82963">
              <w:t>, choosing flexibly from a range of strategies.</w:t>
            </w:r>
          </w:p>
          <w:p w14:paraId="090872D9" w14:textId="1519E5EC" w:rsidR="009D142B" w:rsidRPr="00F82963" w:rsidRDefault="009D142B" w:rsidP="009D142B">
            <w:pPr>
              <w:pStyle w:val="SubStandard"/>
              <w:numPr>
                <w:ilvl w:val="0"/>
                <w:numId w:val="14"/>
              </w:numPr>
            </w:pPr>
            <w:r w:rsidRPr="00F82963">
              <w:t>Use context (e.g., the overall meaning of a sentence, paragraph, or text; a word’s position or function in a sentence) as a clue to the meaning of a word or phrase.</w:t>
            </w:r>
          </w:p>
          <w:p w14:paraId="576B2C4C" w14:textId="242AB2CB" w:rsidR="003B6D94" w:rsidRPr="00F82963" w:rsidRDefault="003B6D94" w:rsidP="009D142B">
            <w:pPr>
              <w:pStyle w:val="SubStandard"/>
              <w:numPr>
                <w:ilvl w:val="0"/>
                <w:numId w:val="14"/>
              </w:numPr>
            </w:pPr>
            <w:r w:rsidRPr="00F82963">
              <w:t xml:space="preserve">Identify and correctly use patterns of word changes that indicate different meanings or parts of speech (e.g., </w:t>
            </w:r>
            <w:r w:rsidRPr="00E91AC5">
              <w:rPr>
                <w:i/>
              </w:rPr>
              <w:t>conceive</w:t>
            </w:r>
            <w:r w:rsidRPr="00F82963">
              <w:t xml:space="preserve">, </w:t>
            </w:r>
            <w:r w:rsidRPr="00E91AC5">
              <w:rPr>
                <w:i/>
              </w:rPr>
              <w:t>conception</w:t>
            </w:r>
            <w:r w:rsidRPr="00F82963">
              <w:t xml:space="preserve">, </w:t>
            </w:r>
            <w:r w:rsidRPr="00E91AC5">
              <w:rPr>
                <w:i/>
              </w:rPr>
              <w:t>conceivable</w:t>
            </w:r>
            <w:r w:rsidRPr="00F82963">
              <w:t>).</w:t>
            </w:r>
          </w:p>
          <w:p w14:paraId="4BAD72E1" w14:textId="49EC03A0" w:rsidR="005745F9" w:rsidRPr="00F82963" w:rsidRDefault="008D2E50" w:rsidP="00F10F7B">
            <w:pPr>
              <w:pStyle w:val="SubStandard"/>
              <w:numPr>
                <w:ilvl w:val="0"/>
                <w:numId w:val="15"/>
              </w:numPr>
            </w:pPr>
            <w:r w:rsidRPr="00F82963">
              <w:t>C</w:t>
            </w:r>
            <w:r w:rsidR="005745F9" w:rsidRPr="00F82963">
              <w:t>onsult general and specialized reference materials (e.g., dictionaries, glossaries, thesauruses), both print and digital, to find the pronunciation of a word or determine or clarify its precise mea</w:t>
            </w:r>
            <w:r w:rsidR="00084099" w:rsidRPr="00F82963">
              <w:t>ning, its part of speech, its</w:t>
            </w:r>
            <w:r w:rsidR="005745F9" w:rsidRPr="00F82963">
              <w:t xml:space="preserve"> etymology</w:t>
            </w:r>
            <w:r w:rsidR="00084099" w:rsidRPr="00F82963">
              <w:t>, or its standard usage</w:t>
            </w:r>
            <w:r w:rsidR="005745F9" w:rsidRPr="00F82963">
              <w:t>.</w:t>
            </w:r>
          </w:p>
          <w:p w14:paraId="581CFBE0" w14:textId="77777777" w:rsidR="00B96FB7" w:rsidRPr="00F82963" w:rsidRDefault="008D2E50" w:rsidP="00493A15">
            <w:pPr>
              <w:pStyle w:val="SubStandard"/>
            </w:pPr>
            <w:r w:rsidRPr="00F82963">
              <w:t>V</w:t>
            </w:r>
            <w:r w:rsidR="005745F9" w:rsidRPr="00F82963">
              <w:t>erify the preliminary determination of the meaning of a word or phrase (e.g., by checking the inferred meaning in context or in a dictionary).</w:t>
            </w:r>
          </w:p>
        </w:tc>
      </w:tr>
      <w:tr w:rsidR="00A05EC5" w:rsidRPr="00F82963" w14:paraId="038CAC0A" w14:textId="77777777" w:rsidTr="002E61C6">
        <w:tc>
          <w:tcPr>
            <w:tcW w:w="1381" w:type="dxa"/>
            <w:gridSpan w:val="3"/>
            <w:tcMar>
              <w:top w:w="100" w:type="dxa"/>
              <w:left w:w="108" w:type="dxa"/>
              <w:bottom w:w="100" w:type="dxa"/>
              <w:right w:w="108" w:type="dxa"/>
            </w:tcMar>
          </w:tcPr>
          <w:p w14:paraId="09696DCF" w14:textId="00B2B94D" w:rsidR="00A05EC5" w:rsidRPr="00F82963" w:rsidRDefault="00A05EC5" w:rsidP="00C15E08">
            <w:pPr>
              <w:pStyle w:val="TableText"/>
            </w:pPr>
            <w:r w:rsidRPr="00F82963">
              <w:t>L.11-12.5.a</w:t>
            </w:r>
          </w:p>
        </w:tc>
        <w:tc>
          <w:tcPr>
            <w:tcW w:w="7979" w:type="dxa"/>
          </w:tcPr>
          <w:p w14:paraId="23AFAEB9" w14:textId="4FA8257B" w:rsidR="00A05EC5" w:rsidRPr="00F82963" w:rsidRDefault="00A05EC5" w:rsidP="00A05EC5">
            <w:pPr>
              <w:pStyle w:val="TableText"/>
            </w:pPr>
            <w:r w:rsidRPr="00F82963">
              <w:t>Demonstrate understanding of figurative language, word relationships, and nuances in word meanings.</w:t>
            </w:r>
          </w:p>
          <w:p w14:paraId="2CA65160" w14:textId="40BAB95B" w:rsidR="00A05EC5" w:rsidRPr="00F82963" w:rsidRDefault="00A05EC5" w:rsidP="00C15E08">
            <w:pPr>
              <w:pStyle w:val="SubStandard"/>
              <w:numPr>
                <w:ilvl w:val="0"/>
                <w:numId w:val="25"/>
              </w:numPr>
            </w:pPr>
            <w:r w:rsidRPr="00F82963">
              <w:t>Interpret figures of speech (e.g., hyperbole, paradox) in context and analyze their role in the text.</w:t>
            </w:r>
          </w:p>
        </w:tc>
      </w:tr>
    </w:tbl>
    <w:p w14:paraId="66932A98" w14:textId="77777777" w:rsidR="00CC183D" w:rsidRPr="00F82963" w:rsidRDefault="00CC183D" w:rsidP="00CC183D">
      <w:pPr>
        <w:rPr>
          <w:sz w:val="20"/>
        </w:rPr>
      </w:pPr>
      <w:r w:rsidRPr="00F82963">
        <w:rPr>
          <w:b/>
          <w:sz w:val="20"/>
        </w:rPr>
        <w:t>Note:</w:t>
      </w:r>
      <w:r w:rsidRPr="00F82963">
        <w:rPr>
          <w:sz w:val="20"/>
        </w:rPr>
        <w:t xml:space="preserve"> Bold text indicates targeted standards that will be assessed in the unit.</w:t>
      </w:r>
    </w:p>
    <w:p w14:paraId="36D5E77B" w14:textId="7B30E91C" w:rsidR="00CC183D" w:rsidRPr="00F82963" w:rsidRDefault="00CC183D" w:rsidP="00CC183D">
      <w:pPr>
        <w:pStyle w:val="Heading1"/>
      </w:pPr>
      <w:r w:rsidRPr="00F82963">
        <w:t>Unit Assessments</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612"/>
        <w:gridCol w:w="7748"/>
      </w:tblGrid>
      <w:tr w:rsidR="00CC183D" w:rsidRPr="00F82963" w14:paraId="69D14E33" w14:textId="77777777" w:rsidTr="002E61C6">
        <w:tc>
          <w:tcPr>
            <w:tcW w:w="9360" w:type="dxa"/>
            <w:gridSpan w:val="2"/>
            <w:shd w:val="clear" w:color="auto" w:fill="5F497A"/>
          </w:tcPr>
          <w:p w14:paraId="471E207E" w14:textId="77777777" w:rsidR="00CC183D" w:rsidRPr="00F82963" w:rsidRDefault="00CC183D" w:rsidP="00CC183D">
            <w:pPr>
              <w:pStyle w:val="TableHeaders"/>
              <w:rPr>
                <w:lang w:val="en-US" w:eastAsia="en-US"/>
              </w:rPr>
            </w:pPr>
            <w:r w:rsidRPr="00F82963">
              <w:rPr>
                <w:lang w:val="en-US" w:eastAsia="en-US"/>
              </w:rPr>
              <w:t>Ongoing Assessment</w:t>
            </w:r>
          </w:p>
        </w:tc>
      </w:tr>
      <w:tr w:rsidR="00CC183D" w:rsidRPr="00C15E08" w14:paraId="06E19960" w14:textId="77777777" w:rsidTr="002E61C6">
        <w:tc>
          <w:tcPr>
            <w:tcW w:w="1612" w:type="dxa"/>
          </w:tcPr>
          <w:p w14:paraId="1DB1DEDC" w14:textId="77777777" w:rsidR="00CC183D" w:rsidRPr="00C15E08" w:rsidRDefault="00CC183D" w:rsidP="00C15E08">
            <w:pPr>
              <w:pStyle w:val="TableText"/>
            </w:pPr>
            <w:r w:rsidRPr="00C15E08">
              <w:t>Standards Assessed</w:t>
            </w:r>
          </w:p>
        </w:tc>
        <w:tc>
          <w:tcPr>
            <w:tcW w:w="7748" w:type="dxa"/>
          </w:tcPr>
          <w:p w14:paraId="4BBF59B7" w14:textId="498DDA5C" w:rsidR="00CC183D" w:rsidRPr="00C15E08" w:rsidRDefault="00F373B6" w:rsidP="009D6CE4">
            <w:pPr>
              <w:pStyle w:val="TableText"/>
            </w:pPr>
            <w:r w:rsidRPr="00C15E08">
              <w:t>CCRA.8</w:t>
            </w:r>
            <w:r w:rsidR="009D6CE4">
              <w:t>;</w:t>
            </w:r>
            <w:r w:rsidR="001A4D9E" w:rsidRPr="00C15E08">
              <w:t xml:space="preserve"> </w:t>
            </w:r>
            <w:r w:rsidRPr="00C15E08">
              <w:t>RI.11-12.1.a</w:t>
            </w:r>
            <w:r w:rsidR="009D6CE4">
              <w:t>;</w:t>
            </w:r>
            <w:r w:rsidRPr="00C15E08">
              <w:t xml:space="preserve"> RI.11-12.2</w:t>
            </w:r>
            <w:r w:rsidR="009D6CE4">
              <w:t>;</w:t>
            </w:r>
            <w:r w:rsidRPr="00C15E08">
              <w:t xml:space="preserve"> RI.11-12.</w:t>
            </w:r>
            <w:r w:rsidR="009D6CE4">
              <w:t>6;</w:t>
            </w:r>
            <w:r w:rsidR="001A4D9E" w:rsidRPr="00C15E08">
              <w:t xml:space="preserve"> </w:t>
            </w:r>
            <w:r w:rsidRPr="00C15E08">
              <w:t>W.11-12.7</w:t>
            </w:r>
          </w:p>
        </w:tc>
      </w:tr>
      <w:tr w:rsidR="00CC183D" w:rsidRPr="00F82963" w14:paraId="40C32EEE" w14:textId="77777777" w:rsidTr="002E61C6">
        <w:tc>
          <w:tcPr>
            <w:tcW w:w="1612" w:type="dxa"/>
          </w:tcPr>
          <w:p w14:paraId="17C5ADD3" w14:textId="77777777" w:rsidR="00CC183D" w:rsidRPr="00F82963" w:rsidRDefault="00CC183D" w:rsidP="007A12D1">
            <w:pPr>
              <w:pStyle w:val="TableText"/>
            </w:pPr>
            <w:r w:rsidRPr="00F82963">
              <w:t>Description of Assessment</w:t>
            </w:r>
          </w:p>
        </w:tc>
        <w:tc>
          <w:tcPr>
            <w:tcW w:w="7748" w:type="dxa"/>
          </w:tcPr>
          <w:p w14:paraId="15AA491A" w14:textId="55FF132E" w:rsidR="00CC183D" w:rsidRPr="00F82963" w:rsidRDefault="001A4D9E" w:rsidP="00385D6A">
            <w:pPr>
              <w:pStyle w:val="TableText"/>
            </w:pPr>
            <w:r w:rsidRPr="00F82963">
              <w:t xml:space="preserve">Varies by lesson but may include short written responses to questions focused on </w:t>
            </w:r>
            <w:r w:rsidR="00306556" w:rsidRPr="00F82963">
              <w:t>how the author unfolds events or ideas,</w:t>
            </w:r>
            <w:r w:rsidRPr="00F82963">
              <w:t xml:space="preserve"> </w:t>
            </w:r>
            <w:r w:rsidR="00306556" w:rsidRPr="00F82963">
              <w:t xml:space="preserve">develops </w:t>
            </w:r>
            <w:r w:rsidRPr="00F82963">
              <w:t>and</w:t>
            </w:r>
            <w:r w:rsidR="00306556" w:rsidRPr="00F82963">
              <w:t xml:space="preserve"> refines </w:t>
            </w:r>
            <w:r w:rsidRPr="00F82963">
              <w:t>a central idea,</w:t>
            </w:r>
            <w:r w:rsidR="00391501" w:rsidRPr="00F82963">
              <w:t xml:space="preserve"> or</w:t>
            </w:r>
            <w:r w:rsidRPr="00F82963">
              <w:t xml:space="preserve"> </w:t>
            </w:r>
            <w:r w:rsidR="000D08C6">
              <w:t>advances his</w:t>
            </w:r>
            <w:r w:rsidR="00306556" w:rsidRPr="00F82963">
              <w:t xml:space="preserve"> purpose. This may also include </w:t>
            </w:r>
            <w:r w:rsidRPr="00F82963">
              <w:t>the development of factual, interpretive</w:t>
            </w:r>
            <w:r w:rsidR="00385D6A" w:rsidRPr="00F82963">
              <w:t>,</w:t>
            </w:r>
            <w:r w:rsidRPr="00F82963">
              <w:t xml:space="preserve"> and evaluative questions for further exploration of research </w:t>
            </w:r>
            <w:r w:rsidR="00306556" w:rsidRPr="00F82963">
              <w:t xml:space="preserve">topics and pre-searches to narrow </w:t>
            </w:r>
            <w:r w:rsidR="00391501" w:rsidRPr="00F82963">
              <w:t xml:space="preserve">down </w:t>
            </w:r>
            <w:r w:rsidR="00306556" w:rsidRPr="00F82963">
              <w:t xml:space="preserve">selected areas of investigation. </w:t>
            </w:r>
          </w:p>
        </w:tc>
      </w:tr>
    </w:tbl>
    <w:p w14:paraId="1AEC3B0D" w14:textId="77777777" w:rsidR="00CC183D" w:rsidRPr="00F82963" w:rsidRDefault="00CC183D" w:rsidP="002E61C6">
      <w:pPr>
        <w:spacing w:after="120"/>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694"/>
        <w:gridCol w:w="7666"/>
      </w:tblGrid>
      <w:tr w:rsidR="00CC183D" w:rsidRPr="00F82963" w14:paraId="2F8C4F3D" w14:textId="77777777" w:rsidTr="002E61C6">
        <w:tc>
          <w:tcPr>
            <w:tcW w:w="9360" w:type="dxa"/>
            <w:gridSpan w:val="2"/>
            <w:shd w:val="clear" w:color="auto" w:fill="5F497A"/>
          </w:tcPr>
          <w:p w14:paraId="73A22C59" w14:textId="77777777" w:rsidR="00CC183D" w:rsidRPr="00F82963" w:rsidRDefault="00CC183D" w:rsidP="00CC183D">
            <w:pPr>
              <w:pStyle w:val="TableHeaders"/>
              <w:rPr>
                <w:lang w:val="en-US" w:eastAsia="en-US"/>
              </w:rPr>
            </w:pPr>
            <w:r w:rsidRPr="00F82963">
              <w:rPr>
                <w:lang w:val="en-US" w:eastAsia="en-US"/>
              </w:rPr>
              <w:t>End-of-Unit Assessment</w:t>
            </w:r>
          </w:p>
        </w:tc>
      </w:tr>
      <w:tr w:rsidR="00CC183D" w:rsidRPr="00F82963" w14:paraId="3479813F" w14:textId="77777777" w:rsidTr="002E61C6">
        <w:tc>
          <w:tcPr>
            <w:tcW w:w="1694" w:type="dxa"/>
          </w:tcPr>
          <w:p w14:paraId="34C8A935" w14:textId="77777777" w:rsidR="00CC183D" w:rsidRPr="00F82963" w:rsidRDefault="00CC183D" w:rsidP="00493A15">
            <w:pPr>
              <w:pStyle w:val="TableText"/>
            </w:pPr>
            <w:r w:rsidRPr="00F82963">
              <w:t>Standards Assessed</w:t>
            </w:r>
          </w:p>
        </w:tc>
        <w:tc>
          <w:tcPr>
            <w:tcW w:w="7666" w:type="dxa"/>
          </w:tcPr>
          <w:p w14:paraId="11102C20" w14:textId="0C073422" w:rsidR="00CC183D" w:rsidRPr="00F82963" w:rsidRDefault="007278A4" w:rsidP="00A95D4D">
            <w:pPr>
              <w:pStyle w:val="TableText"/>
            </w:pPr>
            <w:r w:rsidRPr="00F82963">
              <w:t>RI.11-12.2</w:t>
            </w:r>
            <w:r w:rsidR="00A95D4D">
              <w:t>;</w:t>
            </w:r>
            <w:r w:rsidRPr="00F82963">
              <w:t xml:space="preserve"> W.11-12.2</w:t>
            </w:r>
            <w:r w:rsidR="009F3025">
              <w:t xml:space="preserve">.a, </w:t>
            </w:r>
            <w:r w:rsidR="009B23B6">
              <w:t>b, d, e</w:t>
            </w:r>
            <w:r w:rsidRPr="00F82963">
              <w:t>,</w:t>
            </w:r>
            <w:r w:rsidR="00F373B6" w:rsidRPr="00F82963">
              <w:t xml:space="preserve"> </w:t>
            </w:r>
            <w:r w:rsidR="00A95D4D">
              <w:t xml:space="preserve">f; </w:t>
            </w:r>
            <w:r w:rsidR="00F373B6" w:rsidRPr="00F82963">
              <w:t>W.11-12.9</w:t>
            </w:r>
            <w:r w:rsidR="00706E55">
              <w:t>.b</w:t>
            </w:r>
            <w:r w:rsidR="00A95D4D">
              <w:t>;</w:t>
            </w:r>
            <w:r w:rsidRPr="00F82963">
              <w:t xml:space="preserve"> L.11-12.1</w:t>
            </w:r>
            <w:r w:rsidR="00A95D4D">
              <w:t>;</w:t>
            </w:r>
            <w:r w:rsidRPr="00F82963">
              <w:t xml:space="preserve"> L.11-12.2</w:t>
            </w:r>
          </w:p>
        </w:tc>
      </w:tr>
      <w:tr w:rsidR="00CC183D" w:rsidRPr="00F82963" w14:paraId="57CE412E" w14:textId="77777777" w:rsidTr="002E61C6">
        <w:trPr>
          <w:trHeight w:val="740"/>
        </w:trPr>
        <w:tc>
          <w:tcPr>
            <w:tcW w:w="1694" w:type="dxa"/>
          </w:tcPr>
          <w:p w14:paraId="34601B83" w14:textId="77777777" w:rsidR="00CC183D" w:rsidRPr="00F82963" w:rsidRDefault="00CC183D" w:rsidP="00493A15">
            <w:pPr>
              <w:pStyle w:val="TableText"/>
            </w:pPr>
            <w:r w:rsidRPr="00F82963">
              <w:t>Description of Assessment</w:t>
            </w:r>
          </w:p>
        </w:tc>
        <w:tc>
          <w:tcPr>
            <w:tcW w:w="7666" w:type="dxa"/>
          </w:tcPr>
          <w:p w14:paraId="660C5152" w14:textId="570EE037" w:rsidR="00391501" w:rsidRPr="00F82963" w:rsidRDefault="00391501" w:rsidP="00F373B6">
            <w:pPr>
              <w:pStyle w:val="TableText"/>
              <w:rPr>
                <w:rFonts w:eastAsia="Times New Roman" w:cs="Arial"/>
              </w:rPr>
            </w:pPr>
            <w:r w:rsidRPr="00F82963">
              <w:rPr>
                <w:rFonts w:eastAsia="Times New Roman" w:cs="Arial"/>
                <w:b/>
              </w:rPr>
              <w:t xml:space="preserve">Part </w:t>
            </w:r>
            <w:r w:rsidR="0066332B">
              <w:rPr>
                <w:rFonts w:eastAsia="Times New Roman" w:cs="Arial"/>
                <w:b/>
              </w:rPr>
              <w:t>One</w:t>
            </w:r>
            <w:r w:rsidRPr="00F82963">
              <w:rPr>
                <w:rFonts w:eastAsia="Times New Roman" w:cs="Arial"/>
                <w:b/>
              </w:rPr>
              <w:t xml:space="preserve">: </w:t>
            </w:r>
            <w:r w:rsidR="00F373B6" w:rsidRPr="00F82963">
              <w:rPr>
                <w:rFonts w:eastAsia="Times New Roman" w:cs="Arial"/>
              </w:rPr>
              <w:t>How do</w:t>
            </w:r>
            <w:r w:rsidR="00A95D4D">
              <w:rPr>
                <w:rFonts w:eastAsia="Times New Roman" w:cs="Arial"/>
              </w:rPr>
              <w:t xml:space="preserve"> two or more centr</w:t>
            </w:r>
            <w:r w:rsidR="00F373B6" w:rsidRPr="00F82963">
              <w:rPr>
                <w:rFonts w:eastAsia="Times New Roman" w:cs="Arial"/>
              </w:rPr>
              <w:t xml:space="preserve">al ideas </w:t>
            </w:r>
            <w:r w:rsidR="00A95D4D">
              <w:rPr>
                <w:rFonts w:eastAsia="Times New Roman" w:cs="Arial"/>
              </w:rPr>
              <w:t xml:space="preserve">interact and build on one another </w:t>
            </w:r>
            <w:r w:rsidR="00F373B6" w:rsidRPr="00F82963">
              <w:rPr>
                <w:rFonts w:eastAsia="Times New Roman" w:cs="Arial"/>
              </w:rPr>
              <w:t>over the course of the tex</w:t>
            </w:r>
            <w:r w:rsidR="00A95D4D">
              <w:rPr>
                <w:rFonts w:eastAsia="Times New Roman" w:cs="Arial"/>
              </w:rPr>
              <w:t>t?</w:t>
            </w:r>
          </w:p>
          <w:p w14:paraId="0198A3BD" w14:textId="082B3D7E" w:rsidR="00CC183D" w:rsidRPr="00F82963" w:rsidRDefault="00391501" w:rsidP="0066332B">
            <w:pPr>
              <w:pStyle w:val="TableText"/>
              <w:rPr>
                <w:rFonts w:eastAsia="Times New Roman" w:cs="Arial"/>
                <w:b/>
              </w:rPr>
            </w:pPr>
            <w:r w:rsidRPr="00F82963">
              <w:rPr>
                <w:rFonts w:eastAsia="Times New Roman" w:cs="Arial"/>
                <w:b/>
              </w:rPr>
              <w:t xml:space="preserve">Part </w:t>
            </w:r>
            <w:r w:rsidR="0066332B">
              <w:rPr>
                <w:rFonts w:eastAsia="Times New Roman" w:cs="Arial"/>
                <w:b/>
              </w:rPr>
              <w:t>Two</w:t>
            </w:r>
            <w:r w:rsidRPr="00F82963">
              <w:rPr>
                <w:rFonts w:eastAsia="Times New Roman" w:cs="Arial"/>
                <w:b/>
              </w:rPr>
              <w:t xml:space="preserve">: </w:t>
            </w:r>
            <w:r w:rsidRPr="00F82963">
              <w:rPr>
                <w:rFonts w:eastAsia="Times New Roman" w:cs="Arial"/>
              </w:rPr>
              <w:t xml:space="preserve">Articulate two to three </w:t>
            </w:r>
            <w:r w:rsidR="00A95D4D">
              <w:rPr>
                <w:rFonts w:eastAsia="Times New Roman" w:cs="Arial"/>
              </w:rPr>
              <w:t xml:space="preserve">distinct </w:t>
            </w:r>
            <w:r w:rsidRPr="00F82963">
              <w:rPr>
                <w:rFonts w:eastAsia="Times New Roman" w:cs="Arial"/>
              </w:rPr>
              <w:t>areas of investigation and where they emerge from the text.</w:t>
            </w:r>
          </w:p>
        </w:tc>
      </w:tr>
    </w:tbl>
    <w:p w14:paraId="1EA77268" w14:textId="77777777" w:rsidR="00CC183D" w:rsidRPr="00F82963" w:rsidRDefault="00CC183D" w:rsidP="00CC183D">
      <w:pPr>
        <w:pStyle w:val="Heading1"/>
      </w:pPr>
      <w:r w:rsidRPr="00F82963">
        <w:t>Unit-at-a-Glance Calendar</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846"/>
        <w:gridCol w:w="2790"/>
        <w:gridCol w:w="5724"/>
      </w:tblGrid>
      <w:tr w:rsidR="00CC183D" w:rsidRPr="00F82963" w14:paraId="4B284E61" w14:textId="77777777" w:rsidTr="002E61C6">
        <w:trPr>
          <w:cantSplit/>
          <w:tblHeader/>
        </w:trPr>
        <w:tc>
          <w:tcPr>
            <w:tcW w:w="0" w:type="auto"/>
            <w:shd w:val="clear" w:color="auto" w:fill="5F497A"/>
            <w:vAlign w:val="center"/>
          </w:tcPr>
          <w:p w14:paraId="18DCC5EB" w14:textId="77777777" w:rsidR="00CC183D" w:rsidRPr="00F82963" w:rsidRDefault="00CC183D" w:rsidP="00C46F19">
            <w:pPr>
              <w:pStyle w:val="TableHeaders"/>
              <w:rPr>
                <w:lang w:val="en-US" w:eastAsia="en-US"/>
              </w:rPr>
            </w:pPr>
            <w:r w:rsidRPr="00F82963">
              <w:rPr>
                <w:lang w:val="en-US" w:eastAsia="en-US"/>
              </w:rPr>
              <w:t>Lesson</w:t>
            </w:r>
          </w:p>
        </w:tc>
        <w:tc>
          <w:tcPr>
            <w:tcW w:w="0" w:type="auto"/>
            <w:shd w:val="clear" w:color="auto" w:fill="5F497A"/>
            <w:vAlign w:val="center"/>
          </w:tcPr>
          <w:p w14:paraId="68A17C72" w14:textId="77777777" w:rsidR="00CC183D" w:rsidRPr="00F82963" w:rsidRDefault="00CC183D" w:rsidP="00C46F19">
            <w:pPr>
              <w:pStyle w:val="TableHeaders"/>
              <w:rPr>
                <w:lang w:val="en-US" w:eastAsia="en-US"/>
              </w:rPr>
            </w:pPr>
            <w:r w:rsidRPr="00F82963">
              <w:rPr>
                <w:lang w:val="en-US" w:eastAsia="en-US"/>
              </w:rPr>
              <w:t>Text</w:t>
            </w:r>
          </w:p>
        </w:tc>
        <w:tc>
          <w:tcPr>
            <w:tcW w:w="5724" w:type="dxa"/>
            <w:shd w:val="clear" w:color="auto" w:fill="5F497A"/>
            <w:vAlign w:val="center"/>
          </w:tcPr>
          <w:p w14:paraId="16300479" w14:textId="77777777" w:rsidR="00CC183D" w:rsidRPr="00F82963" w:rsidRDefault="00CC183D" w:rsidP="00C46F19">
            <w:pPr>
              <w:pStyle w:val="TableHeaders"/>
              <w:rPr>
                <w:lang w:val="en-US" w:eastAsia="en-US"/>
              </w:rPr>
            </w:pPr>
            <w:r w:rsidRPr="00F82963">
              <w:rPr>
                <w:lang w:val="en-US" w:eastAsia="en-US"/>
              </w:rPr>
              <w:t>Learning Outcomes/Goals</w:t>
            </w:r>
          </w:p>
        </w:tc>
      </w:tr>
      <w:tr w:rsidR="00BB6A3B" w:rsidRPr="00F82963" w14:paraId="349B71D3" w14:textId="77777777" w:rsidTr="002E61C6">
        <w:trPr>
          <w:cantSplit/>
        </w:trPr>
        <w:tc>
          <w:tcPr>
            <w:tcW w:w="0" w:type="auto"/>
            <w:shd w:val="clear" w:color="auto" w:fill="FFFFFF"/>
          </w:tcPr>
          <w:p w14:paraId="6453B075" w14:textId="77777777" w:rsidR="00BB6A3B" w:rsidRPr="00F82963" w:rsidRDefault="00BB6A3B" w:rsidP="00493A15">
            <w:pPr>
              <w:pStyle w:val="TableText"/>
            </w:pPr>
            <w:r w:rsidRPr="00F82963">
              <w:t>1</w:t>
            </w:r>
          </w:p>
        </w:tc>
        <w:tc>
          <w:tcPr>
            <w:tcW w:w="0" w:type="auto"/>
            <w:shd w:val="clear" w:color="auto" w:fill="FFFFFF"/>
          </w:tcPr>
          <w:p w14:paraId="79A574CF" w14:textId="50F298F3" w:rsidR="00BB6A3B" w:rsidRPr="00F82963" w:rsidRDefault="00F373B6" w:rsidP="00385D6A">
            <w:pPr>
              <w:pStyle w:val="TableText"/>
            </w:pPr>
            <w:r w:rsidRPr="00F82963">
              <w:t>“Hope, Despair and Memory”, par</w:t>
            </w:r>
            <w:r w:rsidR="00D5548E">
              <w:t>agraphs</w:t>
            </w:r>
            <w:r w:rsidR="00BB6A3B" w:rsidRPr="00F82963">
              <w:t xml:space="preserve"> 1</w:t>
            </w:r>
            <w:r w:rsidR="00385D6A" w:rsidRPr="00F82963">
              <w:t>–</w:t>
            </w:r>
            <w:r w:rsidR="00BB6A3B" w:rsidRPr="00F82963">
              <w:t>4</w:t>
            </w:r>
          </w:p>
        </w:tc>
        <w:tc>
          <w:tcPr>
            <w:tcW w:w="5724" w:type="dxa"/>
            <w:shd w:val="clear" w:color="auto" w:fill="FFFFFF"/>
          </w:tcPr>
          <w:p w14:paraId="5B7F1026" w14:textId="164C0426" w:rsidR="00BB6A3B" w:rsidRPr="00F82963" w:rsidRDefault="00BB6A3B" w:rsidP="00384833">
            <w:pPr>
              <w:pStyle w:val="TableText"/>
            </w:pPr>
            <w:r w:rsidRPr="00F82963">
              <w:t>In this first lesson of the unit and module, students are introduced to the module’s focus:</w:t>
            </w:r>
            <w:r w:rsidR="00857F07">
              <w:t xml:space="preserve"> </w:t>
            </w:r>
            <w:r w:rsidRPr="00F82963">
              <w:t>build</w:t>
            </w:r>
            <w:r w:rsidR="00857F07">
              <w:t>ing</w:t>
            </w:r>
            <w:r w:rsidRPr="00F82963">
              <w:t xml:space="preserve"> evidence-based arguments</w:t>
            </w:r>
            <w:r w:rsidR="00857F07">
              <w:t xml:space="preserve"> through inquiry-based research</w:t>
            </w:r>
            <w:r w:rsidRPr="00F82963">
              <w:t xml:space="preserve">. </w:t>
            </w:r>
            <w:r w:rsidR="00037B7D" w:rsidRPr="00F82963">
              <w:t>Students begin reading and analyzing the introduction to Elie Wiesel’s Nobel Peace Prize lecture, “Hope, Despair and Memory.” In this portion of text</w:t>
            </w:r>
            <w:r w:rsidR="00857F07">
              <w:t>,</w:t>
            </w:r>
            <w:r w:rsidR="00037B7D" w:rsidRPr="00F82963">
              <w:t xml:space="preserve"> Wiesel introduces a Hasidic legend that </w:t>
            </w:r>
            <w:r w:rsidR="00384833">
              <w:t>introduces</w:t>
            </w:r>
            <w:r w:rsidR="00037B7D" w:rsidRPr="00F82963">
              <w:t xml:space="preserve"> the central ideas of memory, hope, and suffering. Students </w:t>
            </w:r>
            <w:r w:rsidR="00384833">
              <w:t>begin to track these</w:t>
            </w:r>
            <w:r w:rsidR="00037B7D" w:rsidRPr="00F82963">
              <w:t xml:space="preserve"> central ideas as they emerge and build upon one another.</w:t>
            </w:r>
          </w:p>
        </w:tc>
      </w:tr>
      <w:tr w:rsidR="00BB6A3B" w:rsidRPr="00F82963" w14:paraId="7E2288A0" w14:textId="77777777" w:rsidTr="002E61C6">
        <w:trPr>
          <w:cantSplit/>
        </w:trPr>
        <w:tc>
          <w:tcPr>
            <w:tcW w:w="0" w:type="auto"/>
            <w:shd w:val="clear" w:color="auto" w:fill="FFFFFF"/>
          </w:tcPr>
          <w:p w14:paraId="4A6A7455" w14:textId="77777777" w:rsidR="00BB6A3B" w:rsidRPr="00F82963" w:rsidRDefault="00BB6A3B" w:rsidP="00493A15">
            <w:pPr>
              <w:pStyle w:val="TableText"/>
            </w:pPr>
            <w:r w:rsidRPr="00F82963">
              <w:t>2</w:t>
            </w:r>
          </w:p>
        </w:tc>
        <w:tc>
          <w:tcPr>
            <w:tcW w:w="0" w:type="auto"/>
            <w:shd w:val="clear" w:color="auto" w:fill="FFFFFF"/>
          </w:tcPr>
          <w:p w14:paraId="70FDC20F" w14:textId="05E290F3" w:rsidR="00BB6A3B" w:rsidRPr="00F82963" w:rsidRDefault="00F373B6" w:rsidP="00D5548E">
            <w:pPr>
              <w:pStyle w:val="TableText"/>
            </w:pPr>
            <w:r w:rsidRPr="00F82963">
              <w:t>“Hope, Despair and Memory,” par</w:t>
            </w:r>
            <w:r w:rsidR="00D5548E">
              <w:t>agraphs</w:t>
            </w:r>
            <w:r w:rsidRPr="00F82963">
              <w:t xml:space="preserve"> 5</w:t>
            </w:r>
            <w:r w:rsidR="00C15E08">
              <w:t>–</w:t>
            </w:r>
            <w:r w:rsidRPr="00F82963">
              <w:t>7</w:t>
            </w:r>
          </w:p>
        </w:tc>
        <w:tc>
          <w:tcPr>
            <w:tcW w:w="5724" w:type="dxa"/>
            <w:shd w:val="clear" w:color="auto" w:fill="FFFFFF"/>
          </w:tcPr>
          <w:p w14:paraId="520AA9D7" w14:textId="77EB54D8" w:rsidR="00BB6A3B" w:rsidRPr="00F82963" w:rsidRDefault="00EE32DC" w:rsidP="00384833">
            <w:pPr>
              <w:pStyle w:val="TableText"/>
            </w:pPr>
            <w:r w:rsidRPr="00F82963">
              <w:t>In this lesson, students continue to read and analyze “Hope, Despair and Memory</w:t>
            </w:r>
            <w:r w:rsidR="00384833">
              <w:t>,</w:t>
            </w:r>
            <w:r w:rsidRPr="00F82963">
              <w:t>” focusing on Wiesel</w:t>
            </w:r>
            <w:r w:rsidR="0050702D">
              <w:t>’s</w:t>
            </w:r>
            <w:r w:rsidRPr="00F82963">
              <w:t xml:space="preserve"> particularly effective use of rhetoric and how </w:t>
            </w:r>
            <w:r w:rsidR="00384833">
              <w:t>this rhetoric</w:t>
            </w:r>
            <w:r w:rsidR="00384833" w:rsidRPr="00F82963">
              <w:t xml:space="preserve"> </w:t>
            </w:r>
            <w:r w:rsidRPr="00F82963">
              <w:t>contribute</w:t>
            </w:r>
            <w:r w:rsidR="00384833">
              <w:t>s</w:t>
            </w:r>
            <w:r w:rsidRPr="00F82963">
              <w:t xml:space="preserve"> to the power of the text</w:t>
            </w:r>
            <w:r w:rsidR="001F0061">
              <w:t xml:space="preserve">. </w:t>
            </w:r>
            <w:r w:rsidR="00384833">
              <w:t>Using the Rhetorical Impact Tracking Tool, s</w:t>
            </w:r>
            <w:r w:rsidR="001F0061">
              <w:t xml:space="preserve">tudents </w:t>
            </w:r>
            <w:r w:rsidR="004A5613" w:rsidRPr="00F82963">
              <w:t xml:space="preserve">record their insights </w:t>
            </w:r>
            <w:r w:rsidR="00384833">
              <w:t xml:space="preserve">about </w:t>
            </w:r>
            <w:r w:rsidRPr="00F82963">
              <w:t>how Wiesel uses specific language, imagery, paradox, and varied syntax to advance a purpose.</w:t>
            </w:r>
            <w:r w:rsidR="004A5613" w:rsidRPr="00F82963">
              <w:t xml:space="preserve"> </w:t>
            </w:r>
            <w:r w:rsidRPr="00F82963">
              <w:t xml:space="preserve">Additionally, students begin the research process using the Surfacing Issues Tool to identify potential areas of investigation in the text. </w:t>
            </w:r>
          </w:p>
        </w:tc>
      </w:tr>
      <w:tr w:rsidR="00BB6A3B" w:rsidRPr="00F82963" w14:paraId="78662747" w14:textId="77777777" w:rsidTr="002E61C6">
        <w:trPr>
          <w:cantSplit/>
        </w:trPr>
        <w:tc>
          <w:tcPr>
            <w:tcW w:w="0" w:type="auto"/>
            <w:shd w:val="clear" w:color="auto" w:fill="FFFFFF"/>
          </w:tcPr>
          <w:p w14:paraId="0DE05512" w14:textId="77777777" w:rsidR="00BB6A3B" w:rsidRPr="00F82963" w:rsidRDefault="00BB6A3B" w:rsidP="00493A15">
            <w:pPr>
              <w:pStyle w:val="TableText"/>
            </w:pPr>
            <w:r w:rsidRPr="00F82963">
              <w:t>3</w:t>
            </w:r>
          </w:p>
        </w:tc>
        <w:tc>
          <w:tcPr>
            <w:tcW w:w="0" w:type="auto"/>
            <w:shd w:val="clear" w:color="auto" w:fill="FFFFFF"/>
          </w:tcPr>
          <w:p w14:paraId="722C393A" w14:textId="5FDF789E" w:rsidR="00BB6A3B" w:rsidRPr="00F82963" w:rsidRDefault="00F373B6" w:rsidP="00D5548E">
            <w:pPr>
              <w:pStyle w:val="TableText"/>
            </w:pPr>
            <w:r w:rsidRPr="00F82963">
              <w:t xml:space="preserve">“Hope, Despair and Memory,” </w:t>
            </w:r>
            <w:r w:rsidR="005F6BEC" w:rsidRPr="00F82963">
              <w:t>par</w:t>
            </w:r>
            <w:r w:rsidR="00D5548E">
              <w:t>agraphs</w:t>
            </w:r>
            <w:r w:rsidR="005F6BEC" w:rsidRPr="00F82963">
              <w:t xml:space="preserve"> 8</w:t>
            </w:r>
            <w:r w:rsidR="00AC6F21" w:rsidRPr="00F82963">
              <w:t>–</w:t>
            </w:r>
            <w:r w:rsidRPr="00F82963">
              <w:t>11</w:t>
            </w:r>
          </w:p>
        </w:tc>
        <w:tc>
          <w:tcPr>
            <w:tcW w:w="5724" w:type="dxa"/>
            <w:shd w:val="clear" w:color="auto" w:fill="FFFFFF"/>
          </w:tcPr>
          <w:p w14:paraId="259C4DEC" w14:textId="48243790" w:rsidR="00BB6A3B" w:rsidRPr="00F82963" w:rsidRDefault="005F6BEC" w:rsidP="00384833">
            <w:pPr>
              <w:pStyle w:val="TableText"/>
            </w:pPr>
            <w:r w:rsidRPr="00F82963">
              <w:t xml:space="preserve">In this lesson, students continue to </w:t>
            </w:r>
            <w:r w:rsidR="002E61C6">
              <w:t>read and analyze “Hope, Despair</w:t>
            </w:r>
            <w:r w:rsidRPr="00F82963">
              <w:t xml:space="preserve"> and Memory</w:t>
            </w:r>
            <w:r w:rsidR="00384833">
              <w:t>,</w:t>
            </w:r>
            <w:r w:rsidRPr="00F82963">
              <w:t>” building their understanding of Wiesel’s use of language and rhetoric</w:t>
            </w:r>
            <w:r w:rsidR="00384833">
              <w:t>,</w:t>
            </w:r>
            <w:r w:rsidRPr="00F82963">
              <w:t xml:space="preserve"> </w:t>
            </w:r>
            <w:r w:rsidR="00384833">
              <w:t>and considering</w:t>
            </w:r>
            <w:r w:rsidRPr="00F82963">
              <w:t xml:space="preserve"> how he continues to develop the idea of memory in the lecture. Students continue to identify potential research topics and record them on the</w:t>
            </w:r>
            <w:r w:rsidR="00857F07">
              <w:t>ir</w:t>
            </w:r>
            <w:r w:rsidRPr="00F82963">
              <w:t xml:space="preserve"> Surfacing Issues Tool</w:t>
            </w:r>
            <w:r w:rsidR="00857F07">
              <w:t>s</w:t>
            </w:r>
            <w:r w:rsidRPr="00F82963">
              <w:t xml:space="preserve">. </w:t>
            </w:r>
          </w:p>
        </w:tc>
      </w:tr>
      <w:tr w:rsidR="00BB6A3B" w:rsidRPr="00F82963" w14:paraId="53D1B4BC" w14:textId="77777777" w:rsidTr="002E61C6">
        <w:trPr>
          <w:cantSplit/>
        </w:trPr>
        <w:tc>
          <w:tcPr>
            <w:tcW w:w="0" w:type="auto"/>
            <w:shd w:val="clear" w:color="auto" w:fill="FFFFFF"/>
          </w:tcPr>
          <w:p w14:paraId="01FDD91D" w14:textId="77777777" w:rsidR="00BB6A3B" w:rsidRPr="00F82963" w:rsidRDefault="00BB6A3B" w:rsidP="00493A15">
            <w:pPr>
              <w:pStyle w:val="TableText"/>
            </w:pPr>
            <w:r w:rsidRPr="00F82963">
              <w:t>4</w:t>
            </w:r>
          </w:p>
        </w:tc>
        <w:tc>
          <w:tcPr>
            <w:tcW w:w="0" w:type="auto"/>
            <w:shd w:val="clear" w:color="auto" w:fill="FFFFFF"/>
          </w:tcPr>
          <w:p w14:paraId="027EED01" w14:textId="1B232409" w:rsidR="00BB6A3B" w:rsidRPr="00F82963" w:rsidRDefault="00F373B6" w:rsidP="00D5548E">
            <w:pPr>
              <w:pStyle w:val="TableText"/>
            </w:pPr>
            <w:r w:rsidRPr="00F82963">
              <w:t>“Hope, Despair and Memory,” par</w:t>
            </w:r>
            <w:r w:rsidR="00D5548E">
              <w:t>agraphs</w:t>
            </w:r>
            <w:r w:rsidRPr="00F82963">
              <w:t xml:space="preserve"> 12</w:t>
            </w:r>
            <w:r w:rsidR="00AC6F21" w:rsidRPr="00F82963">
              <w:t>–</w:t>
            </w:r>
            <w:r w:rsidRPr="00F82963">
              <w:t>17</w:t>
            </w:r>
          </w:p>
        </w:tc>
        <w:tc>
          <w:tcPr>
            <w:tcW w:w="5724" w:type="dxa"/>
            <w:shd w:val="clear" w:color="auto" w:fill="FFFFFF"/>
          </w:tcPr>
          <w:p w14:paraId="5A56ED12" w14:textId="02A8D81D" w:rsidR="00BB6A3B" w:rsidRPr="00F82963" w:rsidRDefault="002F0F79" w:rsidP="00857F07">
            <w:pPr>
              <w:pStyle w:val="TableText"/>
            </w:pPr>
            <w:r w:rsidRPr="00F82963">
              <w:t>In this lesson, students continue to read, “Hope, Despair and Memory</w:t>
            </w:r>
            <w:r w:rsidR="00574DC0" w:rsidRPr="00F82963">
              <w:t>,</w:t>
            </w:r>
            <w:r w:rsidRPr="00F82963">
              <w:t>”</w:t>
            </w:r>
            <w:r w:rsidR="00574DC0" w:rsidRPr="00F82963">
              <w:t xml:space="preserve"> in which Wiesel </w:t>
            </w:r>
            <w:r w:rsidR="002730A1">
              <w:t xml:space="preserve">presents </w:t>
            </w:r>
            <w:r w:rsidRPr="00F82963">
              <w:t>the paradox of the importance of remembering events</w:t>
            </w:r>
            <w:r w:rsidR="00857F07">
              <w:t xml:space="preserve"> and</w:t>
            </w:r>
            <w:r w:rsidR="00384833">
              <w:t xml:space="preserve"> </w:t>
            </w:r>
            <w:r w:rsidR="00574DC0" w:rsidRPr="00F82963">
              <w:t xml:space="preserve">the human </w:t>
            </w:r>
            <w:r w:rsidR="00384833">
              <w:t>capacity</w:t>
            </w:r>
            <w:r w:rsidR="00384833" w:rsidRPr="00F82963">
              <w:t xml:space="preserve"> </w:t>
            </w:r>
            <w:r w:rsidR="00574DC0" w:rsidRPr="00F82963">
              <w:t xml:space="preserve">to forget. </w:t>
            </w:r>
            <w:r w:rsidRPr="00F82963">
              <w:t>Students continue to build their understanding of central ideas present in this text as well as how these ideas build on one another in the text so far. Students continue to surface issues in the text for the purposes of research</w:t>
            </w:r>
            <w:r w:rsidR="00574DC0" w:rsidRPr="00F82963">
              <w:t xml:space="preserve"> and</w:t>
            </w:r>
            <w:r w:rsidRPr="00F82963">
              <w:t xml:space="preserve"> learn how to generate inquiry</w:t>
            </w:r>
            <w:r w:rsidR="00574DC0" w:rsidRPr="00F82963">
              <w:t xml:space="preserve"> questions from these issues</w:t>
            </w:r>
            <w:r w:rsidRPr="00F82963">
              <w:t xml:space="preserve">. </w:t>
            </w:r>
          </w:p>
        </w:tc>
      </w:tr>
      <w:tr w:rsidR="00BB6A3B" w:rsidRPr="00F82963" w14:paraId="426A741C" w14:textId="77777777" w:rsidTr="002E61C6">
        <w:trPr>
          <w:cantSplit/>
        </w:trPr>
        <w:tc>
          <w:tcPr>
            <w:tcW w:w="0" w:type="auto"/>
            <w:shd w:val="clear" w:color="auto" w:fill="FFFFFF"/>
          </w:tcPr>
          <w:p w14:paraId="2F0F6365" w14:textId="77777777" w:rsidR="00BB6A3B" w:rsidRPr="00F82963" w:rsidRDefault="00BB6A3B" w:rsidP="00493A15">
            <w:pPr>
              <w:pStyle w:val="TableText"/>
            </w:pPr>
            <w:r w:rsidRPr="00F82963">
              <w:t>5</w:t>
            </w:r>
          </w:p>
        </w:tc>
        <w:tc>
          <w:tcPr>
            <w:tcW w:w="0" w:type="auto"/>
            <w:shd w:val="clear" w:color="auto" w:fill="FFFFFF"/>
          </w:tcPr>
          <w:p w14:paraId="7C64DE06" w14:textId="2E2A308E" w:rsidR="00BB6A3B" w:rsidRPr="00F82963" w:rsidRDefault="00F373B6" w:rsidP="00D5548E">
            <w:pPr>
              <w:pStyle w:val="TableText"/>
            </w:pPr>
            <w:r w:rsidRPr="00F82963">
              <w:t>“Hope, Despair and Memory,” par</w:t>
            </w:r>
            <w:r w:rsidR="00D5548E">
              <w:t>agraphs</w:t>
            </w:r>
            <w:r w:rsidRPr="00F82963">
              <w:t xml:space="preserve"> 18</w:t>
            </w:r>
            <w:r w:rsidR="00AC6F21" w:rsidRPr="00F82963">
              <w:t>–</w:t>
            </w:r>
            <w:r w:rsidRPr="00F82963">
              <w:t>23</w:t>
            </w:r>
          </w:p>
        </w:tc>
        <w:tc>
          <w:tcPr>
            <w:tcW w:w="5724" w:type="dxa"/>
            <w:shd w:val="clear" w:color="auto" w:fill="FFFFFF"/>
          </w:tcPr>
          <w:p w14:paraId="44A67F32" w14:textId="22778211" w:rsidR="00BB6A3B" w:rsidRPr="00C15E08" w:rsidRDefault="00574DC0" w:rsidP="00C543AF">
            <w:pPr>
              <w:pStyle w:val="TableText"/>
            </w:pPr>
            <w:r w:rsidRPr="00C15E08">
              <w:t xml:space="preserve">In this lesson, students </w:t>
            </w:r>
            <w:r w:rsidR="00C543AF">
              <w:t>read and analyze a portion of</w:t>
            </w:r>
            <w:r w:rsidRPr="00C15E08">
              <w:t xml:space="preserve"> “Hope, Despair and Memory</w:t>
            </w:r>
            <w:r w:rsidR="00857F07">
              <w:t>,</w:t>
            </w:r>
            <w:r w:rsidRPr="00C15E08">
              <w:t xml:space="preserve">” </w:t>
            </w:r>
            <w:r w:rsidR="00C543AF">
              <w:t xml:space="preserve">in which </w:t>
            </w:r>
            <w:r w:rsidRPr="00C15E08">
              <w:t>Wiesel emphasizes the importance of documenting and communicating the experiences of Holocaust victims to prevent future atrocities. Students examine and record how Wiesel uses rhetoric in this portion of text to advance his purpose. Students also continue to surface issues and generate inquiry questions</w:t>
            </w:r>
            <w:r w:rsidR="00C543AF">
              <w:t xml:space="preserve">, and </w:t>
            </w:r>
            <w:r w:rsidRPr="00C15E08">
              <w:t>are introduced to the process of refining these inquiry questions to hone the richest paths for inquiry.</w:t>
            </w:r>
          </w:p>
        </w:tc>
      </w:tr>
      <w:tr w:rsidR="00BB6A3B" w:rsidRPr="00F82963" w14:paraId="4792BB91" w14:textId="77777777" w:rsidTr="002E61C6">
        <w:trPr>
          <w:cantSplit/>
        </w:trPr>
        <w:tc>
          <w:tcPr>
            <w:tcW w:w="0" w:type="auto"/>
            <w:shd w:val="clear" w:color="auto" w:fill="FFFFFF"/>
          </w:tcPr>
          <w:p w14:paraId="08F532F0" w14:textId="77777777" w:rsidR="00BB6A3B" w:rsidRPr="00F82963" w:rsidRDefault="00BB6A3B" w:rsidP="00493A15">
            <w:pPr>
              <w:pStyle w:val="TableText"/>
            </w:pPr>
            <w:r w:rsidRPr="00F82963">
              <w:t>6</w:t>
            </w:r>
          </w:p>
        </w:tc>
        <w:tc>
          <w:tcPr>
            <w:tcW w:w="0" w:type="auto"/>
            <w:shd w:val="clear" w:color="auto" w:fill="FFFFFF"/>
          </w:tcPr>
          <w:p w14:paraId="41AFCFB8" w14:textId="239595C6" w:rsidR="00BB6A3B" w:rsidRPr="00F82963" w:rsidRDefault="00F373B6" w:rsidP="00D5548E">
            <w:pPr>
              <w:pStyle w:val="TableText"/>
            </w:pPr>
            <w:r w:rsidRPr="00F82963">
              <w:t>“Hope, Despair and Memory,” par</w:t>
            </w:r>
            <w:r w:rsidR="00D5548E">
              <w:t>agraphs</w:t>
            </w:r>
            <w:r w:rsidRPr="00F82963">
              <w:t xml:space="preserve"> 24</w:t>
            </w:r>
            <w:r w:rsidR="00AC6F21" w:rsidRPr="00F82963">
              <w:t>–</w:t>
            </w:r>
            <w:r w:rsidRPr="00F82963">
              <w:t>2</w:t>
            </w:r>
            <w:r w:rsidR="00BB6A3B" w:rsidRPr="00F82963">
              <w:t>6</w:t>
            </w:r>
          </w:p>
        </w:tc>
        <w:tc>
          <w:tcPr>
            <w:tcW w:w="5724" w:type="dxa"/>
            <w:shd w:val="clear" w:color="auto" w:fill="FFFFFF"/>
          </w:tcPr>
          <w:p w14:paraId="10C097F8" w14:textId="73EC60BD" w:rsidR="00BB6A3B" w:rsidRPr="00F82963" w:rsidRDefault="00574DC0" w:rsidP="004B4A43">
            <w:pPr>
              <w:pStyle w:val="TableText"/>
            </w:pPr>
            <w:r w:rsidRPr="00F82963">
              <w:t>In this lesson, students continue to read, “Hope, Despair and Memory</w:t>
            </w:r>
            <w:r w:rsidR="00C543AF">
              <w:t>,</w:t>
            </w:r>
            <w:r w:rsidRPr="00F82963">
              <w:t xml:space="preserve">” </w:t>
            </w:r>
            <w:r w:rsidR="00C543AF">
              <w:t>noting how</w:t>
            </w:r>
            <w:r w:rsidRPr="00F82963">
              <w:t xml:space="preserve"> Wiesel continues to develop the central ideas of memory, suffering, and solidarity by referencing present-day examples of injustice and </w:t>
            </w:r>
            <w:r w:rsidR="00D46D4F">
              <w:t xml:space="preserve">offering </w:t>
            </w:r>
            <w:r w:rsidRPr="00F82963">
              <w:t xml:space="preserve">steps to correct them. Students continue to track potential issues for research and continue to generate and refine inquiry questions for the purpose of conducting rich, inquiry-based research. </w:t>
            </w:r>
          </w:p>
        </w:tc>
      </w:tr>
      <w:tr w:rsidR="00BB6A3B" w:rsidRPr="00F82963" w14:paraId="2BC162A8" w14:textId="77777777" w:rsidTr="002E61C6">
        <w:trPr>
          <w:cantSplit/>
        </w:trPr>
        <w:tc>
          <w:tcPr>
            <w:tcW w:w="0" w:type="auto"/>
            <w:shd w:val="clear" w:color="auto" w:fill="FFFFFF"/>
          </w:tcPr>
          <w:p w14:paraId="63328589" w14:textId="77777777" w:rsidR="00BB6A3B" w:rsidRPr="00F82963" w:rsidRDefault="00BB6A3B" w:rsidP="00493A15">
            <w:pPr>
              <w:pStyle w:val="TableText"/>
            </w:pPr>
            <w:r w:rsidRPr="00F82963">
              <w:t>7</w:t>
            </w:r>
          </w:p>
        </w:tc>
        <w:tc>
          <w:tcPr>
            <w:tcW w:w="0" w:type="auto"/>
            <w:shd w:val="clear" w:color="auto" w:fill="FFFFFF"/>
          </w:tcPr>
          <w:p w14:paraId="2439CD23" w14:textId="3C9F8CC5" w:rsidR="00BB6A3B" w:rsidRPr="00F82963" w:rsidRDefault="00F373B6" w:rsidP="00D5548E">
            <w:pPr>
              <w:pStyle w:val="TableText"/>
            </w:pPr>
            <w:r w:rsidRPr="00F82963">
              <w:t>“Hope, Despair and Memory,” par</w:t>
            </w:r>
            <w:r w:rsidR="00D5548E">
              <w:t>agraphs</w:t>
            </w:r>
            <w:r w:rsidRPr="00F82963">
              <w:t xml:space="preserve"> 27</w:t>
            </w:r>
            <w:r w:rsidR="00C15E08">
              <w:t>–</w:t>
            </w:r>
            <w:r w:rsidRPr="00F82963">
              <w:t>29</w:t>
            </w:r>
          </w:p>
        </w:tc>
        <w:tc>
          <w:tcPr>
            <w:tcW w:w="5724" w:type="dxa"/>
            <w:shd w:val="clear" w:color="auto" w:fill="FFFFFF"/>
          </w:tcPr>
          <w:p w14:paraId="587F6E90" w14:textId="3FC39E0E" w:rsidR="00BB6A3B" w:rsidRPr="00F82963" w:rsidRDefault="00B04EBE" w:rsidP="00C543AF">
            <w:pPr>
              <w:pStyle w:val="TableText"/>
            </w:pPr>
            <w:r w:rsidRPr="00F82963">
              <w:t>In this lesson, students complete their reading of, “Hope, Despair and Memory</w:t>
            </w:r>
            <w:r w:rsidR="00C543AF">
              <w:t>” and</w:t>
            </w:r>
            <w:r w:rsidRPr="00F82963">
              <w:t xml:space="preserve"> </w:t>
            </w:r>
            <w:r w:rsidR="00C543AF">
              <w:t>consider</w:t>
            </w:r>
            <w:r w:rsidR="00C543AF" w:rsidRPr="00F82963">
              <w:t xml:space="preserve"> </w:t>
            </w:r>
            <w:r w:rsidRPr="00F82963">
              <w:t>how Wiesel crafts a persuasive and compelling lecture through the use of claims, countercl</w:t>
            </w:r>
            <w:r w:rsidR="009924BB">
              <w:t>aims, evidence, and reasoning.</w:t>
            </w:r>
          </w:p>
        </w:tc>
      </w:tr>
      <w:tr w:rsidR="00BB6A3B" w:rsidRPr="00F82963" w14:paraId="6451F028" w14:textId="77777777" w:rsidTr="002E61C6">
        <w:trPr>
          <w:cantSplit/>
        </w:trPr>
        <w:tc>
          <w:tcPr>
            <w:tcW w:w="0" w:type="auto"/>
            <w:shd w:val="clear" w:color="auto" w:fill="FFFFFF"/>
          </w:tcPr>
          <w:p w14:paraId="34F2806D" w14:textId="77777777" w:rsidR="00BB6A3B" w:rsidRPr="00F82963" w:rsidRDefault="00BB6A3B" w:rsidP="00493A15">
            <w:pPr>
              <w:pStyle w:val="TableText"/>
            </w:pPr>
            <w:r w:rsidRPr="00F82963">
              <w:t>8</w:t>
            </w:r>
          </w:p>
        </w:tc>
        <w:tc>
          <w:tcPr>
            <w:tcW w:w="0" w:type="auto"/>
            <w:shd w:val="clear" w:color="auto" w:fill="FFFFFF"/>
          </w:tcPr>
          <w:p w14:paraId="5635B4AE" w14:textId="25964B2E" w:rsidR="00BB6A3B" w:rsidRPr="00F82963" w:rsidRDefault="00F373B6" w:rsidP="00493A15">
            <w:pPr>
              <w:pStyle w:val="TableText"/>
            </w:pPr>
            <w:r w:rsidRPr="00F82963">
              <w:t>None</w:t>
            </w:r>
          </w:p>
        </w:tc>
        <w:tc>
          <w:tcPr>
            <w:tcW w:w="5724" w:type="dxa"/>
            <w:shd w:val="clear" w:color="auto" w:fill="FFFFFF"/>
          </w:tcPr>
          <w:p w14:paraId="6561644E" w14:textId="62281A8E" w:rsidR="00BB6A3B" w:rsidRPr="00F82963" w:rsidRDefault="00D92503" w:rsidP="009924BB">
            <w:pPr>
              <w:pStyle w:val="TableText"/>
            </w:pPr>
            <w:r w:rsidRPr="00F82963">
              <w:t>In this lesson, students continue their research and develop areas of investigation from a surfaced topic</w:t>
            </w:r>
            <w:r w:rsidRPr="00F82963" w:rsidDel="00AC58BA">
              <w:t xml:space="preserve"> </w:t>
            </w:r>
            <w:r w:rsidRPr="00F82963">
              <w:t>from “Hope, Despair and Memory.” Students observe modeled instruction about us</w:t>
            </w:r>
            <w:r w:rsidR="009924BB">
              <w:t>ing</w:t>
            </w:r>
            <w:r w:rsidR="00BC7478" w:rsidRPr="00F82963">
              <w:t xml:space="preserve"> the Exploring a Topic Tool and</w:t>
            </w:r>
            <w:r w:rsidRPr="00F82963">
              <w:t xml:space="preserve"> participate in a collaborative discussion to further develop perspectives </w:t>
            </w:r>
            <w:r w:rsidR="00C543AF">
              <w:t xml:space="preserve">on </w:t>
            </w:r>
            <w:r w:rsidRPr="00F82963">
              <w:t>and understa</w:t>
            </w:r>
            <w:r w:rsidR="00BC7478" w:rsidRPr="00F82963">
              <w:t xml:space="preserve">ndings of the variety of </w:t>
            </w:r>
            <w:r w:rsidRPr="00F82963">
              <w:t xml:space="preserve">issues surfaced. Students discuss and independently record potential areas of investigation on their Exploring a Topic Tools. </w:t>
            </w:r>
          </w:p>
        </w:tc>
      </w:tr>
      <w:tr w:rsidR="00BB6A3B" w:rsidRPr="00F82963" w14:paraId="4278B4FF" w14:textId="77777777" w:rsidTr="002E61C6">
        <w:trPr>
          <w:cantSplit/>
        </w:trPr>
        <w:tc>
          <w:tcPr>
            <w:tcW w:w="0" w:type="auto"/>
            <w:shd w:val="clear" w:color="auto" w:fill="FFFFFF"/>
          </w:tcPr>
          <w:p w14:paraId="367716FB" w14:textId="77777777" w:rsidR="00BB6A3B" w:rsidRPr="00F82963" w:rsidRDefault="00BB6A3B" w:rsidP="00493A15">
            <w:pPr>
              <w:pStyle w:val="TableText"/>
            </w:pPr>
            <w:r w:rsidRPr="00F82963">
              <w:t>9</w:t>
            </w:r>
          </w:p>
        </w:tc>
        <w:tc>
          <w:tcPr>
            <w:tcW w:w="0" w:type="auto"/>
            <w:shd w:val="clear" w:color="auto" w:fill="FFFFFF"/>
          </w:tcPr>
          <w:p w14:paraId="11B97CF8" w14:textId="2AFAF6BC" w:rsidR="00BB6A3B" w:rsidRPr="00F82963" w:rsidRDefault="00F373B6" w:rsidP="00493A15">
            <w:pPr>
              <w:pStyle w:val="TableText"/>
            </w:pPr>
            <w:r w:rsidRPr="00F82963">
              <w:t>None</w:t>
            </w:r>
          </w:p>
        </w:tc>
        <w:tc>
          <w:tcPr>
            <w:tcW w:w="5724" w:type="dxa"/>
            <w:shd w:val="clear" w:color="auto" w:fill="FFFFFF"/>
          </w:tcPr>
          <w:p w14:paraId="13FBEB25" w14:textId="75A844DF" w:rsidR="00BB6A3B" w:rsidRPr="002E61C6" w:rsidRDefault="00BC7478" w:rsidP="00D5548E">
            <w:pPr>
              <w:pStyle w:val="TableText"/>
              <w:rPr>
                <w:spacing w:val="-2"/>
              </w:rPr>
            </w:pPr>
            <w:r w:rsidRPr="002E61C6">
              <w:rPr>
                <w:spacing w:val="-2"/>
              </w:rPr>
              <w:t xml:space="preserve">In this lesson, students focus on developing proficiency with two research tools: the </w:t>
            </w:r>
            <w:r w:rsidR="00D5548E" w:rsidRPr="002E61C6">
              <w:rPr>
                <w:spacing w:val="-2"/>
              </w:rPr>
              <w:t>v</w:t>
            </w:r>
            <w:r w:rsidRPr="002E61C6">
              <w:rPr>
                <w:spacing w:val="-2"/>
              </w:rPr>
              <w:t xml:space="preserve">ocabulary </w:t>
            </w:r>
            <w:r w:rsidR="00D5548E" w:rsidRPr="002E61C6">
              <w:rPr>
                <w:spacing w:val="-2"/>
              </w:rPr>
              <w:t>j</w:t>
            </w:r>
            <w:r w:rsidRPr="002E61C6">
              <w:rPr>
                <w:spacing w:val="-2"/>
              </w:rPr>
              <w:t>ournal and Pre-Search Tool. Students are introduced to the vocabulary journal and template as a way of organizing and exploring domain</w:t>
            </w:r>
            <w:r w:rsidR="00C543AF" w:rsidRPr="002E61C6">
              <w:rPr>
                <w:spacing w:val="-2"/>
              </w:rPr>
              <w:t>-</w:t>
            </w:r>
            <w:r w:rsidRPr="002E61C6">
              <w:rPr>
                <w:spacing w:val="-2"/>
              </w:rPr>
              <w:t>specific language. Then students engage in a pre-search activity in order to begin gathering sources for further research in future lessons using the Pre-Search Tool to record relevant information about the source</w:t>
            </w:r>
            <w:r w:rsidR="009924BB" w:rsidRPr="002E61C6">
              <w:rPr>
                <w:spacing w:val="-2"/>
              </w:rPr>
              <w:t xml:space="preserve">s they find. This activity </w:t>
            </w:r>
            <w:r w:rsidRPr="002E61C6">
              <w:rPr>
                <w:spacing w:val="-2"/>
              </w:rPr>
              <w:t>help</w:t>
            </w:r>
            <w:r w:rsidR="009924BB" w:rsidRPr="002E61C6">
              <w:rPr>
                <w:spacing w:val="-2"/>
              </w:rPr>
              <w:t>s</w:t>
            </w:r>
            <w:r w:rsidRPr="002E61C6">
              <w:rPr>
                <w:spacing w:val="-2"/>
              </w:rPr>
              <w:t xml:space="preserve"> students confirm whether there is enough information available about their topic</w:t>
            </w:r>
            <w:r w:rsidR="00C543AF" w:rsidRPr="002E61C6">
              <w:rPr>
                <w:spacing w:val="-2"/>
              </w:rPr>
              <w:t>s</w:t>
            </w:r>
            <w:r w:rsidRPr="002E61C6">
              <w:rPr>
                <w:spacing w:val="-2"/>
              </w:rPr>
              <w:t xml:space="preserve"> to warrant further research. </w:t>
            </w:r>
          </w:p>
        </w:tc>
      </w:tr>
      <w:tr w:rsidR="00BB6A3B" w:rsidRPr="00F82963" w14:paraId="20B9E635" w14:textId="77777777" w:rsidTr="002E61C6">
        <w:trPr>
          <w:cantSplit/>
        </w:trPr>
        <w:tc>
          <w:tcPr>
            <w:tcW w:w="0" w:type="auto"/>
            <w:shd w:val="clear" w:color="auto" w:fill="FFFFFF"/>
          </w:tcPr>
          <w:p w14:paraId="2BC46A36" w14:textId="77777777" w:rsidR="00BB6A3B" w:rsidRPr="00F82963" w:rsidRDefault="00BB6A3B" w:rsidP="00493A15">
            <w:pPr>
              <w:pStyle w:val="TableText"/>
            </w:pPr>
            <w:r w:rsidRPr="00F82963">
              <w:t>10</w:t>
            </w:r>
          </w:p>
        </w:tc>
        <w:tc>
          <w:tcPr>
            <w:tcW w:w="0" w:type="auto"/>
            <w:shd w:val="clear" w:color="auto" w:fill="FFFFFF"/>
          </w:tcPr>
          <w:p w14:paraId="292B6FB6" w14:textId="659F9630" w:rsidR="00BB6A3B" w:rsidRPr="00F82963" w:rsidRDefault="00F373B6" w:rsidP="00493A15">
            <w:pPr>
              <w:pStyle w:val="TableText"/>
            </w:pPr>
            <w:r w:rsidRPr="00F82963">
              <w:t>None</w:t>
            </w:r>
          </w:p>
        </w:tc>
        <w:tc>
          <w:tcPr>
            <w:tcW w:w="5724" w:type="dxa"/>
            <w:shd w:val="clear" w:color="auto" w:fill="FFFFFF"/>
          </w:tcPr>
          <w:p w14:paraId="026967A5" w14:textId="58F02801" w:rsidR="00BB6A3B" w:rsidRPr="00F82963" w:rsidRDefault="00E6022C" w:rsidP="0066332B">
            <w:pPr>
              <w:pStyle w:val="TableText"/>
            </w:pPr>
            <w:r w:rsidRPr="00F82963">
              <w:t xml:space="preserve">In this lesson, students continue with their pre-searches, using the Pre-Search Tool to collect relevant information about the sources they find. Students also use their </w:t>
            </w:r>
            <w:r w:rsidR="00D5548E">
              <w:t>v</w:t>
            </w:r>
            <w:r w:rsidRPr="00F82963">
              <w:t xml:space="preserve">ocabulary </w:t>
            </w:r>
            <w:r w:rsidR="00D5548E">
              <w:t>j</w:t>
            </w:r>
            <w:r w:rsidRPr="00F82963">
              <w:t xml:space="preserve">ournals to record unfamiliar words they encounter as they search. </w:t>
            </w:r>
            <w:r w:rsidR="00C543AF">
              <w:t>S</w:t>
            </w:r>
            <w:r w:rsidRPr="00F82963">
              <w:t>tudents</w:t>
            </w:r>
            <w:r w:rsidR="00C543AF">
              <w:t xml:space="preserve"> then</w:t>
            </w:r>
            <w:r w:rsidRPr="00F82963">
              <w:t xml:space="preserve"> engage in discussion around authors’ perspectives and consider authors’ perspectives as they search for sources.</w:t>
            </w:r>
          </w:p>
        </w:tc>
      </w:tr>
      <w:tr w:rsidR="00BB6A3B" w:rsidRPr="00F82963" w14:paraId="6B0CD361" w14:textId="77777777" w:rsidTr="002E61C6">
        <w:trPr>
          <w:cantSplit/>
        </w:trPr>
        <w:tc>
          <w:tcPr>
            <w:tcW w:w="0" w:type="auto"/>
            <w:shd w:val="clear" w:color="auto" w:fill="FFFFFF"/>
          </w:tcPr>
          <w:p w14:paraId="16C13AC1" w14:textId="77777777" w:rsidR="00BB6A3B" w:rsidRPr="00F82963" w:rsidRDefault="00BB6A3B" w:rsidP="00493A15">
            <w:pPr>
              <w:pStyle w:val="TableText"/>
            </w:pPr>
            <w:r w:rsidRPr="00F82963">
              <w:t>11</w:t>
            </w:r>
          </w:p>
        </w:tc>
        <w:tc>
          <w:tcPr>
            <w:tcW w:w="0" w:type="auto"/>
            <w:shd w:val="clear" w:color="auto" w:fill="FFFFFF"/>
          </w:tcPr>
          <w:p w14:paraId="0DF7AAC6" w14:textId="0227C3AB" w:rsidR="00BB6A3B" w:rsidRPr="00F82963" w:rsidRDefault="00F373B6" w:rsidP="00493A15">
            <w:pPr>
              <w:pStyle w:val="TableText"/>
            </w:pPr>
            <w:r w:rsidRPr="00F82963">
              <w:t>“Hope, Despair and Memory” (full text)</w:t>
            </w:r>
          </w:p>
        </w:tc>
        <w:tc>
          <w:tcPr>
            <w:tcW w:w="5724" w:type="dxa"/>
            <w:shd w:val="clear" w:color="auto" w:fill="FFFFFF"/>
          </w:tcPr>
          <w:p w14:paraId="715F2B4B" w14:textId="73117E20" w:rsidR="00BB6A3B" w:rsidRPr="00F82963" w:rsidRDefault="00F373B6" w:rsidP="0066332B">
            <w:pPr>
              <w:pStyle w:val="TableText"/>
            </w:pPr>
            <w:r w:rsidRPr="00F82963">
              <w:t xml:space="preserve">In this final lesson of the unit, the End-of-Unit Assessment, students complete a two-part assessment. First, students synthesize and compose a multi-paragraph response examining how Wiesel develops two or more central ideas through the lecture </w:t>
            </w:r>
            <w:r w:rsidR="00C543AF">
              <w:t>and</w:t>
            </w:r>
            <w:r w:rsidRPr="00F82963">
              <w:t xml:space="preserve"> how these ideas build on one another and interact over the course of the text</w:t>
            </w:r>
            <w:r w:rsidRPr="00F82963">
              <w:rPr>
                <w:i/>
              </w:rPr>
              <w:t>.</w:t>
            </w:r>
            <w:r w:rsidRPr="00F82963">
              <w:t xml:space="preserve"> In part two, students reflect on the research process begun in this unit by writing about two </w:t>
            </w:r>
            <w:r w:rsidR="0066332B">
              <w:t>t</w:t>
            </w:r>
            <w:r w:rsidRPr="00F82963">
              <w:t>o three areas of investigation that emerged from</w:t>
            </w:r>
            <w:r w:rsidRPr="00F82963">
              <w:rPr>
                <w:i/>
              </w:rPr>
              <w:t xml:space="preserve"> </w:t>
            </w:r>
            <w:r w:rsidRPr="00F82963">
              <w:t>“Hope, Despair and Memory,” explaining how and from where the</w:t>
            </w:r>
            <w:r w:rsidR="0066332B">
              <w:t>se</w:t>
            </w:r>
            <w:r w:rsidRPr="00F82963">
              <w:t xml:space="preserve"> areas emerged.</w:t>
            </w:r>
          </w:p>
        </w:tc>
      </w:tr>
    </w:tbl>
    <w:p w14:paraId="0C3857A2" w14:textId="77777777" w:rsidR="00CC183D" w:rsidRPr="00F82963" w:rsidRDefault="00CC183D" w:rsidP="002E61C6">
      <w:pPr>
        <w:pStyle w:val="Heading1"/>
        <w:spacing w:before="400"/>
      </w:pPr>
      <w:r w:rsidRPr="00F82963">
        <w:t>Preparation, Materials, and Resources</w:t>
      </w:r>
    </w:p>
    <w:p w14:paraId="6886A56F" w14:textId="77777777" w:rsidR="00CC183D" w:rsidRPr="00F82963" w:rsidRDefault="00CC183D" w:rsidP="002E61C6">
      <w:pPr>
        <w:spacing w:after="120"/>
        <w:rPr>
          <w:b/>
        </w:rPr>
      </w:pPr>
      <w:r w:rsidRPr="00F82963">
        <w:rPr>
          <w:b/>
        </w:rPr>
        <w:t>Preparation</w:t>
      </w:r>
    </w:p>
    <w:p w14:paraId="10858D63" w14:textId="60CD0042" w:rsidR="00BB6A3B" w:rsidRPr="00F82963" w:rsidRDefault="00BB6A3B" w:rsidP="00BB6A3B">
      <w:pPr>
        <w:pStyle w:val="BulletedList"/>
      </w:pPr>
      <w:r w:rsidRPr="00F82963">
        <w:t xml:space="preserve">Read and annotate </w:t>
      </w:r>
      <w:r w:rsidR="00987FF7" w:rsidRPr="00F82963">
        <w:t>“Hope, Despair and Memory</w:t>
      </w:r>
      <w:r w:rsidR="003D1EBF" w:rsidRPr="00F82963">
        <w:t>.</w:t>
      </w:r>
      <w:r w:rsidR="00987FF7" w:rsidRPr="00F82963">
        <w:t>”</w:t>
      </w:r>
    </w:p>
    <w:p w14:paraId="6E8DBE51" w14:textId="77777777" w:rsidR="00BB6A3B" w:rsidRPr="00F82963" w:rsidRDefault="00BB6A3B" w:rsidP="00BB6A3B">
      <w:pPr>
        <w:pStyle w:val="BulletedList"/>
      </w:pPr>
      <w:r w:rsidRPr="00F82963">
        <w:t>Review the Short Response Rubric</w:t>
      </w:r>
      <w:r w:rsidR="003D1EBF" w:rsidRPr="00F82963">
        <w:t xml:space="preserve"> and Checklist.</w:t>
      </w:r>
    </w:p>
    <w:p w14:paraId="4ECB21D6" w14:textId="77777777" w:rsidR="00BB6A3B" w:rsidRPr="00F82963" w:rsidRDefault="00BB6A3B" w:rsidP="00BB6A3B">
      <w:pPr>
        <w:pStyle w:val="BulletedList"/>
      </w:pPr>
      <w:r w:rsidRPr="00F82963">
        <w:t>Review all unit standards and post in classroom</w:t>
      </w:r>
      <w:r w:rsidR="003D1EBF" w:rsidRPr="00F82963">
        <w:t>.</w:t>
      </w:r>
    </w:p>
    <w:p w14:paraId="61DDE4AF" w14:textId="77777777" w:rsidR="00BB6A3B" w:rsidRPr="00F82963" w:rsidRDefault="00BB6A3B" w:rsidP="00BB6A3B">
      <w:pPr>
        <w:pStyle w:val="BulletedList"/>
      </w:pPr>
      <w:r w:rsidRPr="00F82963">
        <w:t>Consider creating a word wall of the vocabulary provided in all lessons</w:t>
      </w:r>
      <w:r w:rsidR="003D1EBF" w:rsidRPr="00F82963">
        <w:t>.</w:t>
      </w:r>
    </w:p>
    <w:p w14:paraId="0BA3A88D" w14:textId="77777777" w:rsidR="00CC183D" w:rsidRPr="00F82963" w:rsidRDefault="00CC183D" w:rsidP="002E61C6">
      <w:pPr>
        <w:keepNext/>
        <w:spacing w:after="120"/>
        <w:rPr>
          <w:b/>
        </w:rPr>
      </w:pPr>
      <w:r w:rsidRPr="00F82963">
        <w:rPr>
          <w:b/>
        </w:rPr>
        <w:t>Materials and Resources</w:t>
      </w:r>
    </w:p>
    <w:p w14:paraId="2085E3F8" w14:textId="77777777" w:rsidR="00BB6A3B" w:rsidRPr="00F82963" w:rsidRDefault="00BB6A3B" w:rsidP="00BB6A3B">
      <w:pPr>
        <w:pStyle w:val="BulletedList"/>
      </w:pPr>
      <w:r w:rsidRPr="00F82963">
        <w:t>Chart paper</w:t>
      </w:r>
    </w:p>
    <w:p w14:paraId="4B876427" w14:textId="6981841E" w:rsidR="00BB6A3B" w:rsidRPr="00F82963" w:rsidRDefault="00BB6A3B" w:rsidP="00BB6A3B">
      <w:pPr>
        <w:pStyle w:val="BulletedList"/>
      </w:pPr>
      <w:r w:rsidRPr="00F82963">
        <w:t xml:space="preserve">Copies of the text </w:t>
      </w:r>
      <w:r w:rsidR="007442D8" w:rsidRPr="00F82963">
        <w:t>“Hope, Despair and Memory”</w:t>
      </w:r>
    </w:p>
    <w:p w14:paraId="241A1BD0" w14:textId="77777777" w:rsidR="00BB6A3B" w:rsidRPr="00F82963" w:rsidRDefault="00BB6A3B" w:rsidP="00BB6A3B">
      <w:pPr>
        <w:pStyle w:val="BulletedList"/>
      </w:pPr>
      <w:r w:rsidRPr="00F82963">
        <w:t>Writing utensils including pencils, pens, markers, and highlighters</w:t>
      </w:r>
    </w:p>
    <w:p w14:paraId="18A9C6C4" w14:textId="77777777" w:rsidR="00BB6A3B" w:rsidRPr="00F82963" w:rsidRDefault="00BB6A3B" w:rsidP="00BB6A3B">
      <w:pPr>
        <w:pStyle w:val="BulletedList"/>
      </w:pPr>
      <w:r w:rsidRPr="00F82963">
        <w:t>Methods for collecting student work: student notebooks, folders, etc.</w:t>
      </w:r>
    </w:p>
    <w:p w14:paraId="443B1CA1" w14:textId="77777777" w:rsidR="00BB6A3B" w:rsidRPr="00F82963" w:rsidRDefault="00BB6A3B" w:rsidP="00BB6A3B">
      <w:pPr>
        <w:pStyle w:val="BulletedList"/>
      </w:pPr>
      <w:r w:rsidRPr="00F82963">
        <w:t>Access to technology (if possible): interactive whiteboard, document camera, and LCD projector</w:t>
      </w:r>
    </w:p>
    <w:p w14:paraId="2AC614A5" w14:textId="77777777" w:rsidR="00BB6A3B" w:rsidRPr="00F82963" w:rsidRDefault="00BB6A3B" w:rsidP="00BB6A3B">
      <w:pPr>
        <w:pStyle w:val="BulletedList"/>
      </w:pPr>
      <w:r w:rsidRPr="00F82963">
        <w:t xml:space="preserve">Copies of handouts and tools for each student: see </w:t>
      </w:r>
      <w:r w:rsidR="003D1EBF" w:rsidRPr="00F82963">
        <w:t>M</w:t>
      </w:r>
      <w:r w:rsidRPr="00F82963">
        <w:t>aterials list in individual lesson plans</w:t>
      </w:r>
    </w:p>
    <w:p w14:paraId="0C12D4B6" w14:textId="77777777" w:rsidR="00BB6A3B" w:rsidRPr="00F82963" w:rsidRDefault="00BB6A3B" w:rsidP="00BB6A3B">
      <w:pPr>
        <w:pStyle w:val="BulletedList"/>
      </w:pPr>
      <w:r w:rsidRPr="00F82963">
        <w:t xml:space="preserve">Copies of the </w:t>
      </w:r>
      <w:r w:rsidR="00B420EB" w:rsidRPr="00F82963">
        <w:t>11.3.1</w:t>
      </w:r>
      <w:r w:rsidR="003D1EBF" w:rsidRPr="00F82963">
        <w:t xml:space="preserve"> End-of-Unit </w:t>
      </w:r>
      <w:r w:rsidRPr="00F82963">
        <w:t>Text Analysis Rubric and Checklist</w:t>
      </w:r>
    </w:p>
    <w:p w14:paraId="49770AA1" w14:textId="77777777" w:rsidR="00BB6A3B" w:rsidRPr="00F82963" w:rsidRDefault="00BB6A3B" w:rsidP="00205FA0">
      <w:pPr>
        <w:pStyle w:val="BulletedList"/>
        <w:rPr>
          <w:b/>
        </w:rPr>
      </w:pPr>
      <w:r w:rsidRPr="00F82963">
        <w:t>Copies of the Short Response Rubric</w:t>
      </w:r>
      <w:r w:rsidR="00E5407E" w:rsidRPr="00F82963">
        <w:t xml:space="preserve"> and Checklist</w:t>
      </w:r>
    </w:p>
    <w:p w14:paraId="1DC572ED" w14:textId="19EF9E4F" w:rsidR="005E210A" w:rsidRDefault="00CC183D" w:rsidP="00C54B55">
      <w:pPr>
        <w:pStyle w:val="BulletedList"/>
      </w:pPr>
      <w:r w:rsidRPr="00F82963">
        <w:t>Self-stick notes for students</w:t>
      </w:r>
      <w:r w:rsidR="00E5407E" w:rsidRPr="00F82963">
        <w:t xml:space="preserve"> (optional)</w:t>
      </w:r>
    </w:p>
    <w:sectPr w:rsidR="005E210A" w:rsidSect="005E59CC">
      <w:headerReference w:type="default" r:id="rId7"/>
      <w:footerReference w:type="default" r:id="rId8"/>
      <w:pgSz w:w="12240" w:h="15840" w:code="1"/>
      <w:pgMar w:top="1440" w:right="1440" w:bottom="1440" w:left="1440" w:header="432" w:footer="6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77795" w14:textId="77777777" w:rsidR="00A73F97" w:rsidRDefault="00A73F97">
      <w:r>
        <w:separator/>
      </w:r>
    </w:p>
  </w:endnote>
  <w:endnote w:type="continuationSeparator" w:id="0">
    <w:p w14:paraId="55836DF8" w14:textId="77777777" w:rsidR="00A73F97" w:rsidRDefault="00A7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02846" w14:textId="77777777" w:rsidR="00D92503" w:rsidRPr="00563CB8" w:rsidRDefault="00D92503" w:rsidP="00CC183D">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484"/>
      <w:gridCol w:w="611"/>
      <w:gridCol w:w="4248"/>
    </w:tblGrid>
    <w:tr w:rsidR="00D92503" w14:paraId="6A480689" w14:textId="77777777">
      <w:trPr>
        <w:trHeight w:val="705"/>
      </w:trPr>
      <w:tc>
        <w:tcPr>
          <w:tcW w:w="4609" w:type="dxa"/>
          <w:tcBorders>
            <w:top w:val="single" w:sz="8" w:space="0" w:color="244061"/>
          </w:tcBorders>
          <w:vAlign w:val="center"/>
        </w:tcPr>
        <w:p w14:paraId="5E460B40" w14:textId="1968E8CE" w:rsidR="00D92503" w:rsidRPr="00CC183D" w:rsidRDefault="00D92503" w:rsidP="00CC183D">
          <w:pPr>
            <w:pStyle w:val="FooterText"/>
            <w:rPr>
              <w:rFonts w:ascii="Calibri" w:hAnsi="Calibri"/>
            </w:rPr>
          </w:pPr>
          <w:r w:rsidRPr="00CC183D">
            <w:rPr>
              <w:rFonts w:ascii="Calibri" w:hAnsi="Calibri"/>
            </w:rPr>
            <w:t>File:</w:t>
          </w:r>
          <w:r w:rsidRPr="00D5548E">
            <w:rPr>
              <w:rFonts w:ascii="Calibri" w:hAnsi="Calibri"/>
              <w:b w:val="0"/>
            </w:rPr>
            <w:t xml:space="preserve"> 11.3.1 </w:t>
          </w:r>
          <w:r>
            <w:rPr>
              <w:rFonts w:ascii="Calibri" w:hAnsi="Calibri"/>
              <w:b w:val="0"/>
            </w:rPr>
            <w:t xml:space="preserve">Unit </w:t>
          </w:r>
          <w:r w:rsidRPr="001B2DAB">
            <w:rPr>
              <w:rFonts w:ascii="Calibri" w:hAnsi="Calibri"/>
              <w:b w:val="0"/>
            </w:rPr>
            <w:t>Overview</w:t>
          </w:r>
          <w:r w:rsidRPr="00CC183D">
            <w:rPr>
              <w:rFonts w:ascii="Calibri" w:hAnsi="Calibri"/>
            </w:rPr>
            <w:t xml:space="preserve"> </w:t>
          </w:r>
          <w:r w:rsidRPr="00A23A3B">
            <w:rPr>
              <w:rFonts w:ascii="Calibri" w:hAnsi="Calibri"/>
            </w:rPr>
            <w:t xml:space="preserve">Date: </w:t>
          </w:r>
          <w:r w:rsidR="0039192E">
            <w:rPr>
              <w:rFonts w:ascii="Calibri" w:hAnsi="Calibri"/>
            </w:rPr>
            <w:t>9/12</w:t>
          </w:r>
          <w:r w:rsidR="00056517">
            <w:rPr>
              <w:rFonts w:ascii="Calibri" w:hAnsi="Calibri"/>
              <w:b w:val="0"/>
            </w:rPr>
            <w:t>/</w:t>
          </w:r>
          <w:r w:rsidR="00C15E08">
            <w:rPr>
              <w:rFonts w:ascii="Calibri" w:hAnsi="Calibri"/>
              <w:b w:val="0"/>
            </w:rPr>
            <w:t>14</w:t>
          </w:r>
          <w:r w:rsidRPr="00A23A3B">
            <w:rPr>
              <w:rFonts w:ascii="Calibri" w:hAnsi="Calibri"/>
            </w:rPr>
            <w:t xml:space="preserve"> Classroom Use: </w:t>
          </w:r>
          <w:r w:rsidR="00C15E08">
            <w:rPr>
              <w:rFonts w:ascii="Calibri" w:hAnsi="Calibri"/>
              <w:b w:val="0"/>
            </w:rPr>
            <w:t>9/2014</w:t>
          </w:r>
        </w:p>
        <w:p w14:paraId="402A7FF9" w14:textId="77777777" w:rsidR="00D92503" w:rsidRPr="001B2DAB" w:rsidRDefault="00D92503" w:rsidP="00CC183D">
          <w:pPr>
            <w:pStyle w:val="FooterText"/>
            <w:rPr>
              <w:rFonts w:ascii="Calibri" w:hAnsi="Calibri"/>
              <w:b w:val="0"/>
              <w:i/>
              <w:sz w:val="12"/>
            </w:rPr>
          </w:pPr>
          <w:r w:rsidRPr="001B2DAB">
            <w:rPr>
              <w:rFonts w:ascii="Calibri" w:hAnsi="Calibri"/>
              <w:b w:val="0"/>
              <w:sz w:val="12"/>
            </w:rPr>
            <w:t xml:space="preserve">© 2014 Public Consulting Group. </w:t>
          </w:r>
          <w:r w:rsidRPr="001B2DAB">
            <w:rPr>
              <w:rFonts w:ascii="Calibri" w:hAnsi="Calibri"/>
              <w:b w:val="0"/>
              <w:i/>
              <w:sz w:val="12"/>
            </w:rPr>
            <w:t xml:space="preserve">This work is licensed under a </w:t>
          </w:r>
        </w:p>
        <w:p w14:paraId="397C589C" w14:textId="77777777" w:rsidR="00D92503" w:rsidRPr="001B2DAB" w:rsidRDefault="00D92503" w:rsidP="00CC183D">
          <w:pPr>
            <w:pStyle w:val="FooterText"/>
            <w:rPr>
              <w:rFonts w:ascii="Calibri" w:hAnsi="Calibri"/>
              <w:b w:val="0"/>
            </w:rPr>
          </w:pPr>
          <w:r w:rsidRPr="001B2DAB">
            <w:rPr>
              <w:rFonts w:ascii="Calibri" w:hAnsi="Calibri"/>
              <w:b w:val="0"/>
              <w:i/>
              <w:sz w:val="12"/>
            </w:rPr>
            <w:t>Creative Commons Attribution-NonCommercial-ShareAlike 3.0 Unported License</w:t>
          </w:r>
        </w:p>
        <w:p w14:paraId="72603AC0" w14:textId="77777777" w:rsidR="00D92503" w:rsidRPr="00CC183D" w:rsidRDefault="00A73F97" w:rsidP="00CC183D">
          <w:pPr>
            <w:pStyle w:val="FooterText"/>
            <w:rPr>
              <w:rFonts w:ascii="Calibri" w:hAnsi="Calibri"/>
            </w:rPr>
          </w:pPr>
          <w:hyperlink r:id="rId1" w:history="1">
            <w:r w:rsidR="00D92503" w:rsidRPr="00CC183D">
              <w:rPr>
                <w:rStyle w:val="Hyperlink"/>
                <w:rFonts w:ascii="Calibri" w:hAnsi="Calibri"/>
                <w:sz w:val="12"/>
                <w:szCs w:val="12"/>
              </w:rPr>
              <w:t>http://creativecommons.org/licenses/by-nc-sa/3.0/</w:t>
            </w:r>
          </w:hyperlink>
        </w:p>
      </w:tc>
      <w:tc>
        <w:tcPr>
          <w:tcW w:w="625" w:type="dxa"/>
          <w:tcBorders>
            <w:top w:val="single" w:sz="8" w:space="0" w:color="244061"/>
          </w:tcBorders>
          <w:vAlign w:val="center"/>
        </w:tcPr>
        <w:p w14:paraId="70BACF08" w14:textId="77777777" w:rsidR="00D92503" w:rsidRPr="00714725" w:rsidRDefault="00D92503" w:rsidP="00CC183D">
          <w:pPr>
            <w:pStyle w:val="folio"/>
            <w:pBdr>
              <w:top w:val="none" w:sz="0" w:space="0" w:color="auto"/>
            </w:pBdr>
            <w:tabs>
              <w:tab w:val="clear" w:pos="6480"/>
              <w:tab w:val="clear" w:pos="10080"/>
            </w:tabs>
            <w:jc w:val="center"/>
            <w:rPr>
              <w:rFonts w:ascii="Calibri" w:eastAsia="Calibri" w:hAnsi="Calibri" w:cs="Calibri"/>
              <w:b/>
              <w:sz w:val="14"/>
              <w:lang w:val="en-US"/>
            </w:rPr>
          </w:pPr>
          <w:r w:rsidRPr="00714725">
            <w:rPr>
              <w:rFonts w:ascii="Calibri" w:eastAsia="Calibri" w:hAnsi="Calibri" w:cs="Calibri"/>
              <w:b/>
              <w:color w:val="1F4E79"/>
              <w:sz w:val="28"/>
              <w:lang w:val="en-US"/>
            </w:rPr>
            <w:fldChar w:fldCharType="begin"/>
          </w:r>
          <w:r w:rsidRPr="00714725">
            <w:rPr>
              <w:rFonts w:ascii="Calibri" w:eastAsia="Calibri" w:hAnsi="Calibri" w:cs="Calibri"/>
              <w:b/>
              <w:color w:val="1F4E79"/>
              <w:sz w:val="28"/>
              <w:lang w:val="en-US"/>
            </w:rPr>
            <w:instrText>PAGE</w:instrText>
          </w:r>
          <w:r w:rsidRPr="00714725">
            <w:rPr>
              <w:rFonts w:ascii="Calibri" w:eastAsia="Calibri" w:hAnsi="Calibri" w:cs="Calibri"/>
              <w:b/>
              <w:color w:val="1F4E79"/>
              <w:sz w:val="28"/>
              <w:lang w:val="en-US"/>
            </w:rPr>
            <w:fldChar w:fldCharType="separate"/>
          </w:r>
          <w:r w:rsidR="00A73F97">
            <w:rPr>
              <w:rFonts w:ascii="Calibri" w:eastAsia="Calibri" w:hAnsi="Calibri" w:cs="Calibri"/>
              <w:b/>
              <w:noProof/>
              <w:color w:val="1F4E79"/>
              <w:sz w:val="28"/>
              <w:lang w:val="en-US"/>
            </w:rPr>
            <w:t>1</w:t>
          </w:r>
          <w:r w:rsidRPr="00714725">
            <w:rPr>
              <w:rFonts w:ascii="Calibri" w:eastAsia="Calibri" w:hAnsi="Calibri" w:cs="Calibri"/>
              <w:b/>
              <w:color w:val="1F4E79"/>
              <w:sz w:val="28"/>
              <w:lang w:val="en-US"/>
            </w:rPr>
            <w:fldChar w:fldCharType="end"/>
          </w:r>
        </w:p>
      </w:tc>
      <w:tc>
        <w:tcPr>
          <w:tcW w:w="4325" w:type="dxa"/>
          <w:tcBorders>
            <w:top w:val="single" w:sz="8" w:space="0" w:color="244061"/>
          </w:tcBorders>
          <w:vAlign w:val="bottom"/>
        </w:tcPr>
        <w:p w14:paraId="49A56CB4" w14:textId="045F1A98" w:rsidR="00D92503" w:rsidRPr="00714725" w:rsidRDefault="00A95763" w:rsidP="00CC183D">
          <w:pPr>
            <w:pStyle w:val="folio"/>
            <w:pBdr>
              <w:top w:val="none" w:sz="0" w:space="0" w:color="auto"/>
            </w:pBdr>
            <w:tabs>
              <w:tab w:val="clear" w:pos="6480"/>
              <w:tab w:val="clear" w:pos="10080"/>
            </w:tabs>
            <w:spacing w:before="20"/>
            <w:ind w:right="-103"/>
            <w:jc w:val="right"/>
            <w:rPr>
              <w:rFonts w:ascii="Calibri" w:eastAsia="Calibri" w:hAnsi="Calibri" w:cs="Calibri"/>
              <w:b/>
              <w:sz w:val="12"/>
              <w:szCs w:val="12"/>
              <w:lang w:val="en-US"/>
            </w:rPr>
          </w:pPr>
          <w:r>
            <w:rPr>
              <w:rFonts w:ascii="Calibri" w:eastAsia="Calibri" w:hAnsi="Calibri" w:cs="Calibri"/>
              <w:b/>
              <w:noProof/>
              <w:sz w:val="12"/>
              <w:szCs w:val="12"/>
              <w:lang w:val="en-US"/>
            </w:rPr>
            <w:drawing>
              <wp:inline distT="0" distB="0" distL="0" distR="0" wp14:anchorId="6F47E40F" wp14:editId="0020C62B">
                <wp:extent cx="1695450" cy="628650"/>
                <wp:effectExtent l="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628650"/>
                        </a:xfrm>
                        <a:prstGeom prst="rect">
                          <a:avLst/>
                        </a:prstGeom>
                        <a:noFill/>
                        <a:ln>
                          <a:noFill/>
                        </a:ln>
                      </pic:spPr>
                    </pic:pic>
                  </a:graphicData>
                </a:graphic>
              </wp:inline>
            </w:drawing>
          </w:r>
        </w:p>
      </w:tc>
    </w:tr>
  </w:tbl>
  <w:p w14:paraId="682FAB1B" w14:textId="77777777" w:rsidR="00D92503" w:rsidRPr="00677A89" w:rsidRDefault="00D92503" w:rsidP="00CC1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DD3BB" w14:textId="77777777" w:rsidR="00A73F97" w:rsidRDefault="00A73F97">
      <w:r>
        <w:separator/>
      </w:r>
    </w:p>
  </w:footnote>
  <w:footnote w:type="continuationSeparator" w:id="0">
    <w:p w14:paraId="379BCF5A" w14:textId="77777777" w:rsidR="00A73F97" w:rsidRDefault="00A73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629"/>
      <w:gridCol w:w="2368"/>
      <w:gridCol w:w="3363"/>
    </w:tblGrid>
    <w:tr w:rsidR="00D92503" w14:paraId="04DCC321" w14:textId="77777777">
      <w:tc>
        <w:tcPr>
          <w:tcW w:w="3708" w:type="dxa"/>
        </w:tcPr>
        <w:p w14:paraId="73022D3F" w14:textId="77777777" w:rsidR="00D92503" w:rsidRPr="00CC183D" w:rsidRDefault="00D92503" w:rsidP="001B2DAB">
          <w:pPr>
            <w:pStyle w:val="PageHeader"/>
          </w:pPr>
          <w:r w:rsidRPr="00CC183D">
            <w:t>NYS Common Core ELA &amp; Literacy Curriculum</w:t>
          </w:r>
        </w:p>
      </w:tc>
      <w:tc>
        <w:tcPr>
          <w:tcW w:w="2430" w:type="dxa"/>
          <w:vAlign w:val="center"/>
        </w:tcPr>
        <w:p w14:paraId="358EB616" w14:textId="77777777" w:rsidR="00D92503" w:rsidRPr="001B2DAB" w:rsidRDefault="00D92503" w:rsidP="001B2DAB">
          <w:pPr>
            <w:jc w:val="center"/>
          </w:pPr>
          <w:r w:rsidRPr="001B2DAB">
            <w:t>D R A F T</w:t>
          </w:r>
        </w:p>
      </w:tc>
      <w:tc>
        <w:tcPr>
          <w:tcW w:w="3438" w:type="dxa"/>
        </w:tcPr>
        <w:p w14:paraId="3EEC288F" w14:textId="77777777" w:rsidR="00D92503" w:rsidRPr="001B2DAB" w:rsidRDefault="00D92503" w:rsidP="0008040C">
          <w:pPr>
            <w:pStyle w:val="PageHeader"/>
            <w:jc w:val="right"/>
            <w:rPr>
              <w:b w:val="0"/>
            </w:rPr>
          </w:pPr>
          <w:r w:rsidRPr="001B2DAB">
            <w:rPr>
              <w:b w:val="0"/>
            </w:rPr>
            <w:t xml:space="preserve">Grade </w:t>
          </w:r>
          <w:r>
            <w:rPr>
              <w:b w:val="0"/>
            </w:rPr>
            <w:t>11</w:t>
          </w:r>
          <w:r w:rsidRPr="001B2DAB">
            <w:rPr>
              <w:b w:val="0"/>
            </w:rPr>
            <w:t xml:space="preserve"> • Module </w:t>
          </w:r>
          <w:r>
            <w:rPr>
              <w:b w:val="0"/>
            </w:rPr>
            <w:t>3</w:t>
          </w:r>
          <w:r w:rsidRPr="001B2DAB">
            <w:rPr>
              <w:b w:val="0"/>
            </w:rPr>
            <w:t xml:space="preserve"> • Unit </w:t>
          </w:r>
          <w:r>
            <w:rPr>
              <w:b w:val="0"/>
            </w:rPr>
            <w:t>1</w:t>
          </w:r>
          <w:r w:rsidRPr="001B2DAB">
            <w:rPr>
              <w:b w:val="0"/>
            </w:rPr>
            <w:t xml:space="preserve"> Overview</w:t>
          </w:r>
        </w:p>
      </w:tc>
    </w:tr>
  </w:tbl>
  <w:p w14:paraId="24367FEA" w14:textId="77777777" w:rsidR="00D92503" w:rsidRDefault="00D92503" w:rsidP="001B2DAB">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CF5478"/>
    <w:multiLevelType w:val="hybridMultilevel"/>
    <w:tmpl w:val="82BE4B16"/>
    <w:lvl w:ilvl="0" w:tplc="D830595C">
      <w:start w:val="1"/>
      <w:numFmt w:val="decimal"/>
      <w:pStyle w:val="NumberedList"/>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A847D9"/>
    <w:multiLevelType w:val="hybridMultilevel"/>
    <w:tmpl w:val="211A33AA"/>
    <w:lvl w:ilvl="0" w:tplc="62B05B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C67FE7"/>
    <w:multiLevelType w:val="hybridMultilevel"/>
    <w:tmpl w:val="C5AE5430"/>
    <w:lvl w:ilvl="0" w:tplc="4DD08108">
      <w:start w:val="1"/>
      <w:numFmt w:val="lowerLetter"/>
      <w:pStyle w:val="SubStandard"/>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9F41529"/>
    <w:multiLevelType w:val="hybridMultilevel"/>
    <w:tmpl w:val="5E543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AE25B8"/>
    <w:multiLevelType w:val="hybridMultilevel"/>
    <w:tmpl w:val="61B4C870"/>
    <w:lvl w:ilvl="0" w:tplc="7C68003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C57447"/>
    <w:multiLevelType w:val="hybridMultilevel"/>
    <w:tmpl w:val="81CE2FA0"/>
    <w:lvl w:ilvl="0" w:tplc="79B4921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0E4426"/>
    <w:multiLevelType w:val="hybridMultilevel"/>
    <w:tmpl w:val="B46E68B2"/>
    <w:lvl w:ilvl="0" w:tplc="5372B01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7171F0E"/>
    <w:multiLevelType w:val="hybridMultilevel"/>
    <w:tmpl w:val="889E8C6E"/>
    <w:lvl w:ilvl="0" w:tplc="D122B6BA">
      <w:start w:val="1"/>
      <w:numFmt w:val="bullet"/>
      <w:pStyle w:val="IN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79926D1"/>
    <w:multiLevelType w:val="hybridMultilevel"/>
    <w:tmpl w:val="85AA6680"/>
    <w:lvl w:ilvl="0" w:tplc="AB3C97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EB2932"/>
    <w:multiLevelType w:val="hybridMultilevel"/>
    <w:tmpl w:val="E0D4E99A"/>
    <w:lvl w:ilvl="0" w:tplc="533239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2260E8"/>
    <w:multiLevelType w:val="hybridMultilevel"/>
    <w:tmpl w:val="FC167806"/>
    <w:lvl w:ilvl="0" w:tplc="04090019">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2"/>
    <w:lvlOverride w:ilvl="0">
      <w:startOverride w:val="1"/>
    </w:lvlOverride>
  </w:num>
  <w:num w:numId="5">
    <w:abstractNumId w:val="12"/>
  </w:num>
  <w:num w:numId="6">
    <w:abstractNumId w:val="1"/>
  </w:num>
  <w:num w:numId="7">
    <w:abstractNumId w:val="8"/>
  </w:num>
  <w:num w:numId="8">
    <w:abstractNumId w:val="13"/>
  </w:num>
  <w:num w:numId="9">
    <w:abstractNumId w:val="13"/>
    <w:lvlOverride w:ilvl="0">
      <w:startOverride w:val="4"/>
    </w:lvlOverride>
  </w:num>
  <w:num w:numId="10">
    <w:abstractNumId w:val="13"/>
    <w:lvlOverride w:ilvl="0">
      <w:startOverride w:val="2"/>
    </w:lvlOverride>
  </w:num>
  <w:num w:numId="11">
    <w:abstractNumId w:val="13"/>
    <w:lvlOverride w:ilvl="0">
      <w:startOverride w:val="1"/>
    </w:lvlOverride>
  </w:num>
  <w:num w:numId="12">
    <w:abstractNumId w:val="13"/>
    <w:lvlOverride w:ilvl="0">
      <w:startOverride w:val="3"/>
    </w:lvlOverride>
  </w:num>
  <w:num w:numId="13">
    <w:abstractNumId w:val="13"/>
    <w:lvlOverride w:ilvl="0">
      <w:startOverride w:val="1"/>
    </w:lvlOverride>
  </w:num>
  <w:num w:numId="14">
    <w:abstractNumId w:val="13"/>
    <w:lvlOverride w:ilvl="0">
      <w:startOverride w:val="1"/>
    </w:lvlOverride>
  </w:num>
  <w:num w:numId="15">
    <w:abstractNumId w:val="13"/>
    <w:lvlOverride w:ilvl="0">
      <w:startOverride w:val="3"/>
    </w:lvlOverride>
  </w:num>
  <w:num w:numId="16">
    <w:abstractNumId w:val="13"/>
    <w:lvlOverride w:ilvl="0">
      <w:startOverride w:val="1"/>
    </w:lvlOverride>
  </w:num>
  <w:num w:numId="17">
    <w:abstractNumId w:val="13"/>
    <w:lvlOverride w:ilvl="0">
      <w:startOverride w:val="2"/>
    </w:lvlOverride>
  </w:num>
  <w:num w:numId="18">
    <w:abstractNumId w:val="11"/>
  </w:num>
  <w:num w:numId="19">
    <w:abstractNumId w:val="13"/>
    <w:lvlOverride w:ilvl="0">
      <w:startOverride w:val="2"/>
    </w:lvlOverride>
  </w:num>
  <w:num w:numId="20">
    <w:abstractNumId w:val="13"/>
    <w:lvlOverride w:ilvl="0">
      <w:startOverride w:val="2"/>
    </w:lvlOverride>
  </w:num>
  <w:num w:numId="21">
    <w:abstractNumId w:val="13"/>
    <w:lvlOverride w:ilvl="0">
      <w:startOverride w:val="1"/>
    </w:lvlOverride>
  </w:num>
  <w:num w:numId="22">
    <w:abstractNumId w:val="13"/>
    <w:lvlOverride w:ilvl="0">
      <w:startOverride w:val="1"/>
    </w:lvlOverride>
  </w:num>
  <w:num w:numId="23">
    <w:abstractNumId w:val="14"/>
  </w:num>
  <w:num w:numId="24">
    <w:abstractNumId w:val="13"/>
    <w:lvlOverride w:ilvl="0">
      <w:startOverride w:val="1"/>
    </w:lvlOverride>
  </w:num>
  <w:num w:numId="25">
    <w:abstractNumId w:val="13"/>
    <w:lvlOverride w:ilvl="0">
      <w:startOverride w:val="1"/>
    </w:lvlOverride>
  </w:num>
  <w:num w:numId="26">
    <w:abstractNumId w:val="5"/>
  </w:num>
  <w:num w:numId="27">
    <w:abstractNumId w:val="3"/>
  </w:num>
  <w:num w:numId="28">
    <w:abstractNumId w:val="6"/>
  </w:num>
  <w:num w:numId="29">
    <w:abstractNumId w:val="9"/>
  </w:num>
  <w:num w:numId="30">
    <w:abstractNumId w:val="4"/>
  </w:num>
  <w:num w:numId="31">
    <w:abstractNumId w:val="4"/>
    <w:lvlOverride w:ilvl="0">
      <w:startOverride w:val="1"/>
    </w:lvlOverride>
  </w:num>
  <w:num w:numId="32">
    <w:abstractNumId w:val="4"/>
    <w:lvlOverride w:ilvl="0">
      <w:startOverride w:val="4"/>
    </w:lvlOverride>
  </w:num>
  <w:num w:numId="33">
    <w:abstractNumId w:val="4"/>
    <w:lvlOverride w:ilvl="0">
      <w:startOverride w:val="3"/>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94"/>
    <w:rsid w:val="0000349E"/>
    <w:rsid w:val="00026502"/>
    <w:rsid w:val="00031A11"/>
    <w:rsid w:val="00037B7D"/>
    <w:rsid w:val="00045799"/>
    <w:rsid w:val="00056517"/>
    <w:rsid w:val="0006160D"/>
    <w:rsid w:val="000675D8"/>
    <w:rsid w:val="0008040C"/>
    <w:rsid w:val="00081356"/>
    <w:rsid w:val="00084099"/>
    <w:rsid w:val="000A0D39"/>
    <w:rsid w:val="000A1EFF"/>
    <w:rsid w:val="000B37EB"/>
    <w:rsid w:val="000D02CA"/>
    <w:rsid w:val="000D08C6"/>
    <w:rsid w:val="000D1A85"/>
    <w:rsid w:val="000D5259"/>
    <w:rsid w:val="000D77B6"/>
    <w:rsid w:val="000E4FB8"/>
    <w:rsid w:val="000F7C63"/>
    <w:rsid w:val="00102220"/>
    <w:rsid w:val="001024D6"/>
    <w:rsid w:val="00122FB5"/>
    <w:rsid w:val="0012788F"/>
    <w:rsid w:val="001422C2"/>
    <w:rsid w:val="0015083C"/>
    <w:rsid w:val="00151CDF"/>
    <w:rsid w:val="00153BD8"/>
    <w:rsid w:val="00156727"/>
    <w:rsid w:val="001613FF"/>
    <w:rsid w:val="0018402E"/>
    <w:rsid w:val="001A4D9E"/>
    <w:rsid w:val="001B0CA9"/>
    <w:rsid w:val="001B2DAB"/>
    <w:rsid w:val="001C0EF6"/>
    <w:rsid w:val="001D2E0D"/>
    <w:rsid w:val="001F0061"/>
    <w:rsid w:val="001F7CAA"/>
    <w:rsid w:val="00205FA0"/>
    <w:rsid w:val="00207C50"/>
    <w:rsid w:val="00213E58"/>
    <w:rsid w:val="002730A1"/>
    <w:rsid w:val="00285B7F"/>
    <w:rsid w:val="002C6FC6"/>
    <w:rsid w:val="002C7A96"/>
    <w:rsid w:val="002D39E9"/>
    <w:rsid w:val="002E61C6"/>
    <w:rsid w:val="002F0F79"/>
    <w:rsid w:val="00306556"/>
    <w:rsid w:val="00324465"/>
    <w:rsid w:val="00331B1E"/>
    <w:rsid w:val="003419A5"/>
    <w:rsid w:val="00361218"/>
    <w:rsid w:val="0037743D"/>
    <w:rsid w:val="003808E1"/>
    <w:rsid w:val="00384833"/>
    <w:rsid w:val="00385D6A"/>
    <w:rsid w:val="00391501"/>
    <w:rsid w:val="0039192E"/>
    <w:rsid w:val="003B6D94"/>
    <w:rsid w:val="003D1EBF"/>
    <w:rsid w:val="003D2529"/>
    <w:rsid w:val="003E0854"/>
    <w:rsid w:val="003E2CD9"/>
    <w:rsid w:val="003E75C2"/>
    <w:rsid w:val="00401E53"/>
    <w:rsid w:val="00431C08"/>
    <w:rsid w:val="004333E8"/>
    <w:rsid w:val="00437454"/>
    <w:rsid w:val="0045178B"/>
    <w:rsid w:val="00455D9F"/>
    <w:rsid w:val="00456406"/>
    <w:rsid w:val="00465D28"/>
    <w:rsid w:val="00473B5A"/>
    <w:rsid w:val="00493A15"/>
    <w:rsid w:val="004A0A1E"/>
    <w:rsid w:val="004A5613"/>
    <w:rsid w:val="004B4A43"/>
    <w:rsid w:val="004F734A"/>
    <w:rsid w:val="0050007D"/>
    <w:rsid w:val="0050702D"/>
    <w:rsid w:val="00507A90"/>
    <w:rsid w:val="00542E69"/>
    <w:rsid w:val="005439F0"/>
    <w:rsid w:val="00545369"/>
    <w:rsid w:val="00560EF4"/>
    <w:rsid w:val="0057310F"/>
    <w:rsid w:val="005745F9"/>
    <w:rsid w:val="00574DC0"/>
    <w:rsid w:val="005878AD"/>
    <w:rsid w:val="0059013A"/>
    <w:rsid w:val="005911A3"/>
    <w:rsid w:val="005B316C"/>
    <w:rsid w:val="005B4312"/>
    <w:rsid w:val="005D16B3"/>
    <w:rsid w:val="005E210A"/>
    <w:rsid w:val="005E464D"/>
    <w:rsid w:val="005E59CC"/>
    <w:rsid w:val="005E7E9D"/>
    <w:rsid w:val="005F0405"/>
    <w:rsid w:val="005F5614"/>
    <w:rsid w:val="005F6BEC"/>
    <w:rsid w:val="00661D6D"/>
    <w:rsid w:val="0066332B"/>
    <w:rsid w:val="00664E64"/>
    <w:rsid w:val="006947C0"/>
    <w:rsid w:val="006A2CC3"/>
    <w:rsid w:val="006B6CB0"/>
    <w:rsid w:val="006C23F3"/>
    <w:rsid w:val="006D5C7E"/>
    <w:rsid w:val="00706E55"/>
    <w:rsid w:val="00714725"/>
    <w:rsid w:val="00717680"/>
    <w:rsid w:val="0072655E"/>
    <w:rsid w:val="007278A4"/>
    <w:rsid w:val="007442D8"/>
    <w:rsid w:val="007556A4"/>
    <w:rsid w:val="007754B2"/>
    <w:rsid w:val="00777A5A"/>
    <w:rsid w:val="00780FB5"/>
    <w:rsid w:val="00783FDB"/>
    <w:rsid w:val="007A12D1"/>
    <w:rsid w:val="007A3699"/>
    <w:rsid w:val="007A42EF"/>
    <w:rsid w:val="007B3ABF"/>
    <w:rsid w:val="007B3FD2"/>
    <w:rsid w:val="007C02CC"/>
    <w:rsid w:val="007D37AE"/>
    <w:rsid w:val="007F04B0"/>
    <w:rsid w:val="0081229A"/>
    <w:rsid w:val="008161DD"/>
    <w:rsid w:val="00832BE7"/>
    <w:rsid w:val="00857F07"/>
    <w:rsid w:val="00865F03"/>
    <w:rsid w:val="00896438"/>
    <w:rsid w:val="008A0E7A"/>
    <w:rsid w:val="008A3796"/>
    <w:rsid w:val="008D18E3"/>
    <w:rsid w:val="008D2E50"/>
    <w:rsid w:val="008E0CD5"/>
    <w:rsid w:val="009023D9"/>
    <w:rsid w:val="00915D40"/>
    <w:rsid w:val="00922C9A"/>
    <w:rsid w:val="009334EB"/>
    <w:rsid w:val="00971396"/>
    <w:rsid w:val="00976BB0"/>
    <w:rsid w:val="00987FF7"/>
    <w:rsid w:val="009924BB"/>
    <w:rsid w:val="009A2096"/>
    <w:rsid w:val="009B23B6"/>
    <w:rsid w:val="009B3AE8"/>
    <w:rsid w:val="009D142B"/>
    <w:rsid w:val="009D5426"/>
    <w:rsid w:val="009D6CE4"/>
    <w:rsid w:val="009E7F40"/>
    <w:rsid w:val="009F3025"/>
    <w:rsid w:val="00A013EB"/>
    <w:rsid w:val="00A05EC5"/>
    <w:rsid w:val="00A07B09"/>
    <w:rsid w:val="00A17F2B"/>
    <w:rsid w:val="00A23A3B"/>
    <w:rsid w:val="00A32DB0"/>
    <w:rsid w:val="00A446B5"/>
    <w:rsid w:val="00A650A7"/>
    <w:rsid w:val="00A73F97"/>
    <w:rsid w:val="00A87154"/>
    <w:rsid w:val="00A90249"/>
    <w:rsid w:val="00A95763"/>
    <w:rsid w:val="00A95D4D"/>
    <w:rsid w:val="00AA12B3"/>
    <w:rsid w:val="00AB497E"/>
    <w:rsid w:val="00AC6F21"/>
    <w:rsid w:val="00AD1534"/>
    <w:rsid w:val="00AF57A9"/>
    <w:rsid w:val="00B0186F"/>
    <w:rsid w:val="00B04EBE"/>
    <w:rsid w:val="00B22893"/>
    <w:rsid w:val="00B35DAC"/>
    <w:rsid w:val="00B420EB"/>
    <w:rsid w:val="00B545F1"/>
    <w:rsid w:val="00B674EB"/>
    <w:rsid w:val="00B716F7"/>
    <w:rsid w:val="00B77761"/>
    <w:rsid w:val="00B96FB7"/>
    <w:rsid w:val="00BB004C"/>
    <w:rsid w:val="00BB6A3B"/>
    <w:rsid w:val="00BC5CC6"/>
    <w:rsid w:val="00BC7478"/>
    <w:rsid w:val="00BE17B8"/>
    <w:rsid w:val="00BE653D"/>
    <w:rsid w:val="00C03E39"/>
    <w:rsid w:val="00C15E08"/>
    <w:rsid w:val="00C2556B"/>
    <w:rsid w:val="00C32835"/>
    <w:rsid w:val="00C46F19"/>
    <w:rsid w:val="00C543AF"/>
    <w:rsid w:val="00C54B55"/>
    <w:rsid w:val="00C70890"/>
    <w:rsid w:val="00C86FB8"/>
    <w:rsid w:val="00C95335"/>
    <w:rsid w:val="00CA6936"/>
    <w:rsid w:val="00CB3C8C"/>
    <w:rsid w:val="00CC183D"/>
    <w:rsid w:val="00CC229C"/>
    <w:rsid w:val="00CE0254"/>
    <w:rsid w:val="00CE6034"/>
    <w:rsid w:val="00D35A69"/>
    <w:rsid w:val="00D448A8"/>
    <w:rsid w:val="00D46C8E"/>
    <w:rsid w:val="00D46D4F"/>
    <w:rsid w:val="00D511F0"/>
    <w:rsid w:val="00D5548E"/>
    <w:rsid w:val="00D62732"/>
    <w:rsid w:val="00D65E73"/>
    <w:rsid w:val="00D82A8A"/>
    <w:rsid w:val="00D87C94"/>
    <w:rsid w:val="00D900C4"/>
    <w:rsid w:val="00D92503"/>
    <w:rsid w:val="00DA156C"/>
    <w:rsid w:val="00DA1612"/>
    <w:rsid w:val="00DC35F0"/>
    <w:rsid w:val="00E12FBF"/>
    <w:rsid w:val="00E17EDA"/>
    <w:rsid w:val="00E21F87"/>
    <w:rsid w:val="00E43754"/>
    <w:rsid w:val="00E5407E"/>
    <w:rsid w:val="00E6022C"/>
    <w:rsid w:val="00E60D56"/>
    <w:rsid w:val="00E75803"/>
    <w:rsid w:val="00E85F86"/>
    <w:rsid w:val="00E864E2"/>
    <w:rsid w:val="00E91AC5"/>
    <w:rsid w:val="00EB355D"/>
    <w:rsid w:val="00EB5361"/>
    <w:rsid w:val="00EC6BF2"/>
    <w:rsid w:val="00EE0149"/>
    <w:rsid w:val="00EE2B2F"/>
    <w:rsid w:val="00EE32DC"/>
    <w:rsid w:val="00EE4CBC"/>
    <w:rsid w:val="00EF4DDE"/>
    <w:rsid w:val="00EF4EF6"/>
    <w:rsid w:val="00F02C7C"/>
    <w:rsid w:val="00F10F7B"/>
    <w:rsid w:val="00F150C3"/>
    <w:rsid w:val="00F21900"/>
    <w:rsid w:val="00F22C62"/>
    <w:rsid w:val="00F26D57"/>
    <w:rsid w:val="00F373B6"/>
    <w:rsid w:val="00F439F7"/>
    <w:rsid w:val="00F43A51"/>
    <w:rsid w:val="00F61E99"/>
    <w:rsid w:val="00F66722"/>
    <w:rsid w:val="00F71782"/>
    <w:rsid w:val="00F82963"/>
    <w:rsid w:val="00F94107"/>
    <w:rsid w:val="00FD1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7C633E"/>
  <w15:docId w15:val="{230DA6D7-F72C-4D1C-9FF9-5BD78A38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1B2DAB"/>
    <w:pPr>
      <w:spacing w:before="60" w:after="180" w:line="276" w:lineRule="auto"/>
    </w:pPr>
    <w:rPr>
      <w:rFonts w:eastAsia="Calibri"/>
      <w:sz w:val="22"/>
      <w:szCs w:val="22"/>
    </w:rPr>
  </w:style>
  <w:style w:type="paragraph" w:styleId="Heading1">
    <w:name w:val="heading 1"/>
    <w:aliases w:val="*Headers"/>
    <w:basedOn w:val="Normal"/>
    <w:next w:val="Normal"/>
    <w:link w:val="Heading1Char"/>
    <w:uiPriority w:val="9"/>
    <w:qFormat/>
    <w:rsid w:val="001B2DAB"/>
    <w:pPr>
      <w:keepNext/>
      <w:keepLines/>
      <w:spacing w:before="480" w:after="120"/>
      <w:outlineLvl w:val="0"/>
    </w:pPr>
    <w:rPr>
      <w:b/>
      <w:bCs/>
      <w:color w:val="365F91"/>
      <w:sz w:val="32"/>
      <w:szCs w:val="28"/>
      <w:lang w:val="x-none" w:eastAsia="x-none"/>
    </w:rPr>
  </w:style>
  <w:style w:type="paragraph" w:styleId="Heading2">
    <w:name w:val="heading 2"/>
    <w:basedOn w:val="Normal1"/>
    <w:next w:val="Normal1"/>
    <w:link w:val="Heading2Char"/>
    <w:uiPriority w:val="9"/>
    <w:qFormat/>
    <w:rsid w:val="003B0BAE"/>
    <w:pPr>
      <w:spacing w:before="360"/>
      <w:outlineLvl w:val="1"/>
    </w:pPr>
    <w:rPr>
      <w:rFonts w:ascii="Cambria" w:eastAsia="MS Gothic" w:hAnsi="Cambria" w:cs="Times New Roman"/>
      <w:b/>
      <w:bCs/>
      <w:i/>
      <w:iCs/>
      <w:color w:val="auto"/>
      <w:sz w:val="28"/>
      <w:szCs w:val="28"/>
      <w:lang w:val="x-none" w:eastAsia="x-none"/>
    </w:rPr>
  </w:style>
  <w:style w:type="paragraph" w:styleId="Heading3">
    <w:name w:val="heading 3"/>
    <w:basedOn w:val="Normal1"/>
    <w:next w:val="Normal1"/>
    <w:link w:val="Heading3Char"/>
    <w:uiPriority w:val="9"/>
    <w:qFormat/>
    <w:rsid w:val="003B0BAE"/>
    <w:pPr>
      <w:spacing w:before="200" w:after="120"/>
      <w:outlineLvl w:val="2"/>
    </w:pPr>
    <w:rPr>
      <w:rFonts w:ascii="Cambria" w:eastAsia="MS Gothic" w:hAnsi="Cambria" w:cs="Times New Roman"/>
      <w:b/>
      <w:bCs/>
      <w:color w:val="auto"/>
      <w:sz w:val="26"/>
      <w:szCs w:val="26"/>
      <w:lang w:val="x-none" w:eastAsia="x-none"/>
    </w:rPr>
  </w:style>
  <w:style w:type="paragraph" w:styleId="Heading4">
    <w:name w:val="heading 4"/>
    <w:basedOn w:val="Normal1"/>
    <w:next w:val="Normal1"/>
    <w:link w:val="Heading4Char"/>
    <w:uiPriority w:val="9"/>
    <w:qFormat/>
    <w:rsid w:val="003B0BAE"/>
    <w:pPr>
      <w:spacing w:before="240" w:after="60"/>
      <w:outlineLvl w:val="3"/>
    </w:pPr>
    <w:rPr>
      <w:rFonts w:eastAsia="MS Mincho" w:cs="Times New Roman"/>
      <w:b/>
      <w:bCs/>
      <w:color w:val="auto"/>
      <w:sz w:val="28"/>
      <w:szCs w:val="28"/>
      <w:lang w:val="x-none" w:eastAsia="x-none"/>
    </w:rPr>
  </w:style>
  <w:style w:type="paragraph" w:styleId="Heading5">
    <w:name w:val="heading 5"/>
    <w:basedOn w:val="Normal1"/>
    <w:next w:val="Normal1"/>
    <w:link w:val="Heading5Char"/>
    <w:uiPriority w:val="9"/>
    <w:qFormat/>
    <w:rsid w:val="003B0BAE"/>
    <w:pPr>
      <w:spacing w:before="220" w:after="40"/>
      <w:contextualSpacing/>
      <w:outlineLvl w:val="4"/>
    </w:pPr>
    <w:rPr>
      <w:rFonts w:eastAsia="MS Mincho" w:cs="Times New Roman"/>
      <w:b/>
      <w:bCs/>
      <w:i/>
      <w:iCs/>
      <w:color w:val="auto"/>
      <w:sz w:val="26"/>
      <w:szCs w:val="26"/>
      <w:lang w:val="x-none" w:eastAsia="x-none"/>
    </w:rPr>
  </w:style>
  <w:style w:type="paragraph" w:styleId="Heading6">
    <w:name w:val="heading 6"/>
    <w:basedOn w:val="Normal1"/>
    <w:next w:val="Normal1"/>
    <w:link w:val="Heading6Char"/>
    <w:uiPriority w:val="9"/>
    <w:qFormat/>
    <w:rsid w:val="003B0BAE"/>
    <w:pPr>
      <w:spacing w:before="200" w:after="40"/>
      <w:contextualSpacing/>
      <w:outlineLvl w:val="5"/>
    </w:pPr>
    <w:rPr>
      <w:rFonts w:eastAsia="MS Mincho" w:cs="Times New Roman"/>
      <w:b/>
      <w:bCs/>
      <w:color w:val="auto"/>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
    <w:rsid w:val="001B2DAB"/>
    <w:rPr>
      <w:rFonts w:eastAsia="Calibri"/>
      <w:b/>
      <w:bCs/>
      <w:color w:val="365F91"/>
      <w:sz w:val="32"/>
      <w:szCs w:val="28"/>
    </w:rPr>
  </w:style>
  <w:style w:type="character" w:customStyle="1" w:styleId="Heading2Char">
    <w:name w:val="Heading 2 Char"/>
    <w:link w:val="Heading2"/>
    <w:uiPriority w:val="9"/>
    <w:semiHidden/>
    <w:rsid w:val="002108F5"/>
    <w:rPr>
      <w:rFonts w:ascii="Cambria" w:eastAsia="MS Gothic" w:hAnsi="Cambria" w:cs="Times New Roman"/>
      <w:b/>
      <w:bCs/>
      <w:i/>
      <w:iCs/>
      <w:sz w:val="28"/>
      <w:szCs w:val="28"/>
    </w:rPr>
  </w:style>
  <w:style w:type="character" w:customStyle="1" w:styleId="Heading3Char">
    <w:name w:val="Heading 3 Char"/>
    <w:link w:val="Heading3"/>
    <w:uiPriority w:val="9"/>
    <w:semiHidden/>
    <w:rsid w:val="002108F5"/>
    <w:rPr>
      <w:rFonts w:ascii="Cambria" w:eastAsia="MS Gothic" w:hAnsi="Cambria" w:cs="Times New Roman"/>
      <w:b/>
      <w:bCs/>
      <w:sz w:val="26"/>
      <w:szCs w:val="26"/>
    </w:rPr>
  </w:style>
  <w:style w:type="character" w:customStyle="1" w:styleId="Heading4Char">
    <w:name w:val="Heading 4 Char"/>
    <w:link w:val="Heading4"/>
    <w:uiPriority w:val="9"/>
    <w:semiHidden/>
    <w:rsid w:val="002108F5"/>
    <w:rPr>
      <w:rFonts w:ascii="Calibri" w:eastAsia="MS Mincho" w:hAnsi="Calibri" w:cs="Times New Roman"/>
      <w:b/>
      <w:bCs/>
      <w:sz w:val="28"/>
      <w:szCs w:val="28"/>
    </w:rPr>
  </w:style>
  <w:style w:type="character" w:customStyle="1" w:styleId="Heading5Char">
    <w:name w:val="Heading 5 Char"/>
    <w:link w:val="Heading5"/>
    <w:uiPriority w:val="9"/>
    <w:semiHidden/>
    <w:rsid w:val="002108F5"/>
    <w:rPr>
      <w:rFonts w:ascii="Calibri" w:eastAsia="MS Mincho" w:hAnsi="Calibri" w:cs="Times New Roman"/>
      <w:b/>
      <w:bCs/>
      <w:i/>
      <w:iCs/>
      <w:sz w:val="26"/>
      <w:szCs w:val="26"/>
    </w:rPr>
  </w:style>
  <w:style w:type="character" w:customStyle="1" w:styleId="Heading6Char">
    <w:name w:val="Heading 6 Char"/>
    <w:link w:val="Heading6"/>
    <w:uiPriority w:val="9"/>
    <w:semiHidden/>
    <w:rsid w:val="002108F5"/>
    <w:rPr>
      <w:rFonts w:ascii="Calibri" w:eastAsia="MS Mincho" w:hAnsi="Calibri" w:cs="Times New Roman"/>
      <w:b/>
      <w:bCs/>
      <w:sz w:val="22"/>
      <w:szCs w:val="22"/>
    </w:rPr>
  </w:style>
  <w:style w:type="paragraph" w:customStyle="1" w:styleId="Normal1">
    <w:name w:val="Normal1"/>
    <w:rsid w:val="003B0BAE"/>
    <w:rPr>
      <w:rFonts w:eastAsia="Times New Roman" w:cs="Calibri"/>
      <w:color w:val="000000"/>
      <w:sz w:val="22"/>
      <w:szCs w:val="24"/>
      <w:lang w:eastAsia="ja-JP"/>
    </w:rPr>
  </w:style>
  <w:style w:type="paragraph" w:styleId="Title">
    <w:name w:val="Title"/>
    <w:basedOn w:val="Normal1"/>
    <w:next w:val="Normal1"/>
    <w:link w:val="TitleChar"/>
    <w:uiPriority w:val="10"/>
    <w:qFormat/>
    <w:rsid w:val="003B0BAE"/>
    <w:pPr>
      <w:spacing w:after="300"/>
    </w:pPr>
    <w:rPr>
      <w:rFonts w:ascii="Cambria" w:eastAsia="MS Gothic" w:hAnsi="Cambria" w:cs="Times New Roman"/>
      <w:b/>
      <w:bCs/>
      <w:color w:val="auto"/>
      <w:kern w:val="28"/>
      <w:sz w:val="32"/>
      <w:szCs w:val="32"/>
      <w:lang w:val="x-none" w:eastAsia="x-none"/>
    </w:rPr>
  </w:style>
  <w:style w:type="character" w:customStyle="1" w:styleId="TitleChar">
    <w:name w:val="Title Char"/>
    <w:link w:val="Title"/>
    <w:uiPriority w:val="10"/>
    <w:rsid w:val="002108F5"/>
    <w:rPr>
      <w:rFonts w:ascii="Cambria" w:eastAsia="MS Gothic" w:hAnsi="Cambria" w:cs="Times New Roman"/>
      <w:b/>
      <w:bCs/>
      <w:kern w:val="28"/>
      <w:sz w:val="32"/>
      <w:szCs w:val="32"/>
    </w:rPr>
  </w:style>
  <w:style w:type="paragraph" w:styleId="Subtitle">
    <w:name w:val="Subtitle"/>
    <w:basedOn w:val="Normal1"/>
    <w:next w:val="Normal1"/>
    <w:link w:val="SubtitleChar"/>
    <w:uiPriority w:val="11"/>
    <w:qFormat/>
    <w:rsid w:val="003B0BAE"/>
    <w:pPr>
      <w:spacing w:before="360" w:after="80"/>
      <w:contextualSpacing/>
    </w:pPr>
    <w:rPr>
      <w:rFonts w:ascii="Cambria" w:eastAsia="MS Gothic" w:hAnsi="Cambria" w:cs="Times New Roman"/>
      <w:color w:val="auto"/>
      <w:sz w:val="24"/>
      <w:lang w:val="x-none" w:eastAsia="x-none"/>
    </w:rPr>
  </w:style>
  <w:style w:type="character" w:customStyle="1" w:styleId="SubtitleChar">
    <w:name w:val="Subtitle Char"/>
    <w:link w:val="Subtitle"/>
    <w:uiPriority w:val="11"/>
    <w:rsid w:val="002108F5"/>
    <w:rPr>
      <w:rFonts w:ascii="Cambria" w:eastAsia="MS Gothic" w:hAnsi="Cambria" w:cs="Times New Roman"/>
      <w:sz w:val="24"/>
      <w:szCs w:val="24"/>
    </w:rPr>
  </w:style>
  <w:style w:type="paragraph" w:styleId="Header">
    <w:name w:val="header"/>
    <w:basedOn w:val="Normal"/>
    <w:link w:val="HeaderChar"/>
    <w:uiPriority w:val="99"/>
    <w:unhideWhenUsed/>
    <w:rsid w:val="00061D2A"/>
    <w:pPr>
      <w:tabs>
        <w:tab w:val="center" w:pos="4680"/>
        <w:tab w:val="right" w:pos="9360"/>
      </w:tabs>
    </w:pPr>
    <w:rPr>
      <w:rFonts w:eastAsia="MS ??"/>
      <w:sz w:val="20"/>
      <w:szCs w:val="20"/>
      <w:lang w:val="x-none" w:eastAsia="x-none"/>
    </w:rPr>
  </w:style>
  <w:style w:type="character" w:customStyle="1" w:styleId="HeaderChar">
    <w:name w:val="Header Char"/>
    <w:link w:val="Header"/>
    <w:uiPriority w:val="99"/>
    <w:locked/>
    <w:rsid w:val="00061D2A"/>
    <w:rPr>
      <w:rFonts w:cs="Times New Roman"/>
    </w:rPr>
  </w:style>
  <w:style w:type="paragraph" w:styleId="Footer">
    <w:name w:val="footer"/>
    <w:basedOn w:val="Normal"/>
    <w:link w:val="FooterChar"/>
    <w:uiPriority w:val="99"/>
    <w:unhideWhenUsed/>
    <w:rsid w:val="00061D2A"/>
    <w:pPr>
      <w:tabs>
        <w:tab w:val="center" w:pos="4680"/>
        <w:tab w:val="right" w:pos="9360"/>
      </w:tabs>
    </w:pPr>
    <w:rPr>
      <w:rFonts w:eastAsia="MS ??"/>
      <w:sz w:val="20"/>
      <w:szCs w:val="20"/>
      <w:lang w:val="x-none" w:eastAsia="x-none"/>
    </w:rPr>
  </w:style>
  <w:style w:type="character" w:customStyle="1" w:styleId="FooterChar">
    <w:name w:val="Footer Char"/>
    <w:link w:val="Footer"/>
    <w:uiPriority w:val="99"/>
    <w:locked/>
    <w:rsid w:val="00061D2A"/>
    <w:rPr>
      <w:rFonts w:cs="Times New Roman"/>
    </w:rPr>
  </w:style>
  <w:style w:type="table" w:styleId="TableGrid">
    <w:name w:val="Table Grid"/>
    <w:basedOn w:val="TableNormal"/>
    <w:uiPriority w:val="59"/>
    <w:rsid w:val="00061D2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61D2A"/>
    <w:pPr>
      <w:spacing w:after="120"/>
    </w:pPr>
    <w:rPr>
      <w:rFonts w:eastAsia="Times New Roman"/>
      <w:lang w:val="x-none"/>
    </w:rPr>
  </w:style>
  <w:style w:type="character" w:customStyle="1" w:styleId="BodyTextChar">
    <w:name w:val="Body Text Char"/>
    <w:link w:val="BodyText"/>
    <w:uiPriority w:val="99"/>
    <w:locked/>
    <w:rsid w:val="00061D2A"/>
    <w:rPr>
      <w:rFonts w:ascii="Calibri" w:eastAsia="Times New Roman" w:hAnsi="Calibri" w:cs="Calibri"/>
      <w:sz w:val="22"/>
      <w:szCs w:val="22"/>
      <w:lang w:val="x-none" w:eastAsia="en-US"/>
    </w:rPr>
  </w:style>
  <w:style w:type="character" w:customStyle="1" w:styleId="italics">
    <w:name w:val="italics"/>
    <w:rsid w:val="00061D2A"/>
    <w:rPr>
      <w:rFonts w:cs="Times New Roman"/>
      <w:bCs/>
      <w:i/>
    </w:rPr>
  </w:style>
  <w:style w:type="paragraph" w:customStyle="1" w:styleId="Header-banner">
    <w:name w:val="Header-banner"/>
    <w:qFormat/>
    <w:rsid w:val="00061D2A"/>
    <w:pPr>
      <w:ind w:left="43" w:right="43"/>
      <w:jc w:val="center"/>
    </w:pPr>
    <w:rPr>
      <w:rFonts w:ascii="Cambria" w:eastAsia="Times New Roman" w:hAnsi="Cambria" w:cs="Calibri"/>
      <w:b/>
      <w:bCs/>
      <w:caps/>
      <w:color w:val="FFFFFF"/>
      <w:sz w:val="44"/>
      <w:szCs w:val="22"/>
    </w:rPr>
  </w:style>
  <w:style w:type="paragraph" w:customStyle="1" w:styleId="Header2banner">
    <w:name w:val="Header2_banner"/>
    <w:basedOn w:val="Header-banner"/>
    <w:qFormat/>
    <w:rsid w:val="00061D2A"/>
    <w:pPr>
      <w:spacing w:line="440" w:lineRule="exact"/>
      <w:jc w:val="left"/>
    </w:pPr>
    <w:rPr>
      <w:caps w:val="0"/>
    </w:rPr>
  </w:style>
  <w:style w:type="paragraph" w:customStyle="1" w:styleId="Heading1nospace">
    <w:name w:val="Heading 1 no space"/>
    <w:basedOn w:val="Heading1"/>
    <w:qFormat/>
    <w:rsid w:val="00677A89"/>
    <w:pPr>
      <w:spacing w:before="0" w:line="460" w:lineRule="exact"/>
      <w:jc w:val="center"/>
    </w:pPr>
    <w:rPr>
      <w:bCs w:val="0"/>
      <w:color w:val="244061"/>
      <w:sz w:val="40"/>
      <w:szCs w:val="36"/>
      <w:lang w:eastAsia="en-US"/>
    </w:rPr>
  </w:style>
  <w:style w:type="character" w:customStyle="1" w:styleId="PlainTable41">
    <w:name w:val="Plain Table 41"/>
    <w:uiPriority w:val="21"/>
    <w:qFormat/>
    <w:rsid w:val="00342015"/>
    <w:rPr>
      <w:rFonts w:cs="Times New Roman"/>
      <w:b/>
      <w:bCs/>
      <w:i/>
      <w:iCs/>
      <w:color w:val="4F81BD"/>
    </w:rPr>
  </w:style>
  <w:style w:type="character" w:styleId="Hyperlink">
    <w:name w:val="Hyperlink"/>
    <w:uiPriority w:val="99"/>
    <w:unhideWhenUsed/>
    <w:rsid w:val="00342015"/>
    <w:rPr>
      <w:color w:val="0000FF"/>
      <w:u w:val="single"/>
    </w:rPr>
  </w:style>
  <w:style w:type="paragraph" w:customStyle="1" w:styleId="folio">
    <w:name w:val="folio"/>
    <w:basedOn w:val="Normal"/>
    <w:link w:val="folioChar"/>
    <w:qFormat/>
    <w:rsid w:val="00342015"/>
    <w:pPr>
      <w:pBdr>
        <w:top w:val="single" w:sz="8" w:space="4" w:color="244061"/>
      </w:pBdr>
      <w:tabs>
        <w:tab w:val="center" w:pos="6480"/>
        <w:tab w:val="right" w:pos="10080"/>
      </w:tabs>
    </w:pPr>
    <w:rPr>
      <w:rFonts w:ascii="Verdana" w:eastAsia="Times New Roman" w:hAnsi="Verdana"/>
      <w:color w:val="595959"/>
      <w:sz w:val="20"/>
      <w:szCs w:val="20"/>
      <w:lang w:val="x-none"/>
    </w:rPr>
  </w:style>
  <w:style w:type="paragraph" w:styleId="BalloonText">
    <w:name w:val="Balloon Text"/>
    <w:basedOn w:val="Normal"/>
    <w:link w:val="BalloonTextChar"/>
    <w:uiPriority w:val="99"/>
    <w:semiHidden/>
    <w:unhideWhenUsed/>
    <w:rsid w:val="00342015"/>
    <w:rPr>
      <w:rFonts w:ascii="Tahoma" w:eastAsia="MS ??" w:hAnsi="Tahoma"/>
      <w:sz w:val="16"/>
      <w:szCs w:val="16"/>
      <w:lang w:val="x-none" w:eastAsia="x-none"/>
    </w:rPr>
  </w:style>
  <w:style w:type="character" w:customStyle="1" w:styleId="BalloonTextChar">
    <w:name w:val="Balloon Text Char"/>
    <w:link w:val="BalloonText"/>
    <w:uiPriority w:val="99"/>
    <w:semiHidden/>
    <w:locked/>
    <w:rsid w:val="00342015"/>
    <w:rPr>
      <w:rFonts w:ascii="Tahoma" w:hAnsi="Tahoma" w:cs="Tahoma"/>
      <w:sz w:val="16"/>
      <w:szCs w:val="16"/>
    </w:rPr>
  </w:style>
  <w:style w:type="paragraph" w:customStyle="1" w:styleId="NYStandards">
    <w:name w:val="NYStandards"/>
    <w:basedOn w:val="Normal"/>
    <w:link w:val="NYStandardsChar"/>
    <w:uiPriority w:val="1"/>
    <w:qFormat/>
    <w:rsid w:val="00982E0A"/>
    <w:pPr>
      <w:tabs>
        <w:tab w:val="left" w:pos="720"/>
      </w:tabs>
      <w:spacing w:before="120"/>
      <w:ind w:left="720" w:hanging="720"/>
    </w:pPr>
    <w:rPr>
      <w:rFonts w:eastAsia="Times New Roman"/>
      <w:szCs w:val="20"/>
      <w:lang w:val="x-none" w:eastAsia="x-none"/>
    </w:rPr>
  </w:style>
  <w:style w:type="character" w:customStyle="1" w:styleId="NYStandardsChar">
    <w:name w:val="NYStandards Char"/>
    <w:link w:val="NYStandards"/>
    <w:uiPriority w:val="1"/>
    <w:locked/>
    <w:rsid w:val="00982E0A"/>
    <w:rPr>
      <w:rFonts w:ascii="Calibri" w:eastAsia="Times New Roman" w:hAnsi="Calibri"/>
      <w:sz w:val="22"/>
    </w:rPr>
  </w:style>
  <w:style w:type="character" w:styleId="CommentReference">
    <w:name w:val="annotation reference"/>
    <w:uiPriority w:val="99"/>
    <w:semiHidden/>
    <w:unhideWhenUsed/>
    <w:rsid w:val="005B1B50"/>
    <w:rPr>
      <w:rFonts w:cs="Times New Roman"/>
      <w:sz w:val="18"/>
      <w:szCs w:val="18"/>
    </w:rPr>
  </w:style>
  <w:style w:type="paragraph" w:styleId="CommentText">
    <w:name w:val="annotation text"/>
    <w:basedOn w:val="Normal"/>
    <w:link w:val="CommentTextChar"/>
    <w:uiPriority w:val="99"/>
    <w:unhideWhenUsed/>
    <w:rsid w:val="005B1B50"/>
    <w:rPr>
      <w:rFonts w:eastAsia="MS ??"/>
      <w:sz w:val="20"/>
      <w:szCs w:val="20"/>
      <w:lang w:val="x-none" w:eastAsia="x-none"/>
    </w:rPr>
  </w:style>
  <w:style w:type="character" w:customStyle="1" w:styleId="CommentTextChar">
    <w:name w:val="Comment Text Char"/>
    <w:link w:val="CommentText"/>
    <w:uiPriority w:val="99"/>
    <w:locked/>
    <w:rsid w:val="005B1B50"/>
    <w:rPr>
      <w:rFonts w:cs="Times New Roman"/>
    </w:rPr>
  </w:style>
  <w:style w:type="paragraph" w:styleId="CommentSubject">
    <w:name w:val="annotation subject"/>
    <w:basedOn w:val="CommentText"/>
    <w:next w:val="CommentText"/>
    <w:link w:val="CommentSubjectChar"/>
    <w:uiPriority w:val="99"/>
    <w:semiHidden/>
    <w:unhideWhenUsed/>
    <w:rsid w:val="005B1B50"/>
    <w:rPr>
      <w:b/>
      <w:bCs/>
    </w:rPr>
  </w:style>
  <w:style w:type="character" w:customStyle="1" w:styleId="CommentSubjectChar">
    <w:name w:val="Comment Subject Char"/>
    <w:link w:val="CommentSubject"/>
    <w:uiPriority w:val="99"/>
    <w:semiHidden/>
    <w:locked/>
    <w:rsid w:val="005B1B50"/>
    <w:rPr>
      <w:rFonts w:cs="Times New Roman"/>
      <w:b/>
      <w:bCs/>
      <w:sz w:val="20"/>
      <w:szCs w:val="20"/>
    </w:rPr>
  </w:style>
  <w:style w:type="paragraph" w:customStyle="1" w:styleId="MediumList2-Accent21">
    <w:name w:val="Medium List 2 - Accent 21"/>
    <w:hidden/>
    <w:uiPriority w:val="99"/>
    <w:semiHidden/>
    <w:rsid w:val="007613BC"/>
    <w:rPr>
      <w:sz w:val="24"/>
      <w:szCs w:val="24"/>
      <w:lang w:eastAsia="ja-JP"/>
    </w:rPr>
  </w:style>
  <w:style w:type="paragraph" w:customStyle="1" w:styleId="MediumGrid21">
    <w:name w:val="Medium Grid 21"/>
    <w:uiPriority w:val="1"/>
    <w:qFormat/>
    <w:rsid w:val="00BA26CC"/>
    <w:rPr>
      <w:sz w:val="24"/>
      <w:szCs w:val="24"/>
      <w:lang w:eastAsia="ja-JP"/>
    </w:rPr>
  </w:style>
  <w:style w:type="paragraph" w:customStyle="1" w:styleId="BR">
    <w:name w:val="*BR*"/>
    <w:qFormat/>
    <w:rsid w:val="00A10227"/>
    <w:pPr>
      <w:pBdr>
        <w:bottom w:val="single" w:sz="12" w:space="1" w:color="7F7F7F"/>
      </w:pBdr>
      <w:spacing w:after="360"/>
      <w:ind w:left="2880" w:right="2880"/>
    </w:pPr>
    <w:rPr>
      <w:rFonts w:eastAsia="Times New Roman"/>
      <w:sz w:val="18"/>
      <w:szCs w:val="22"/>
    </w:rPr>
  </w:style>
  <w:style w:type="paragraph" w:customStyle="1" w:styleId="BulletedList">
    <w:name w:val="*Bulleted List"/>
    <w:link w:val="BulletedListChar"/>
    <w:qFormat/>
    <w:rsid w:val="00677A89"/>
    <w:pPr>
      <w:numPr>
        <w:numId w:val="1"/>
      </w:numPr>
      <w:spacing w:before="60" w:after="60" w:line="276" w:lineRule="auto"/>
    </w:pPr>
    <w:rPr>
      <w:rFonts w:eastAsia="Times New Roman"/>
      <w:sz w:val="22"/>
      <w:szCs w:val="22"/>
    </w:rPr>
  </w:style>
  <w:style w:type="paragraph" w:customStyle="1" w:styleId="FooterText">
    <w:name w:val="*FooterText"/>
    <w:link w:val="FooterTextChar"/>
    <w:qFormat/>
    <w:rsid w:val="00A10227"/>
    <w:pPr>
      <w:spacing w:line="200" w:lineRule="exact"/>
    </w:pPr>
    <w:rPr>
      <w:rFonts w:ascii="Verdana" w:eastAsia="Times New Roman" w:hAnsi="Verdana" w:cs="Calibri"/>
      <w:b/>
      <w:color w:val="595959"/>
      <w:sz w:val="14"/>
      <w:szCs w:val="22"/>
    </w:rPr>
  </w:style>
  <w:style w:type="paragraph" w:customStyle="1" w:styleId="IN">
    <w:name w:val="*IN*"/>
    <w:qFormat/>
    <w:rsid w:val="00A10227"/>
    <w:pPr>
      <w:numPr>
        <w:numId w:val="2"/>
      </w:numPr>
      <w:spacing w:before="120" w:after="60" w:line="276" w:lineRule="auto"/>
    </w:pPr>
    <w:rPr>
      <w:rFonts w:eastAsia="Times New Roman"/>
      <w:color w:val="4F81BD"/>
      <w:sz w:val="22"/>
      <w:szCs w:val="22"/>
    </w:rPr>
  </w:style>
  <w:style w:type="paragraph" w:customStyle="1" w:styleId="INBullet">
    <w:name w:val="*IN* Bullet"/>
    <w:qFormat/>
    <w:rsid w:val="00A10227"/>
    <w:pPr>
      <w:numPr>
        <w:numId w:val="3"/>
      </w:numPr>
      <w:spacing w:after="60" w:line="276" w:lineRule="auto"/>
    </w:pPr>
    <w:rPr>
      <w:rFonts w:eastAsia="Times New Roman"/>
      <w:color w:val="4F81BD"/>
      <w:sz w:val="22"/>
      <w:szCs w:val="22"/>
    </w:rPr>
  </w:style>
  <w:style w:type="paragraph" w:customStyle="1" w:styleId="LearningSequenceHeader">
    <w:name w:val="*Learning Sequence Header"/>
    <w:next w:val="Normal"/>
    <w:qFormat/>
    <w:rsid w:val="00A10227"/>
    <w:pPr>
      <w:pBdr>
        <w:bottom w:val="single" w:sz="12" w:space="1" w:color="9BBB59"/>
      </w:pBdr>
      <w:tabs>
        <w:tab w:val="right" w:pos="9360"/>
      </w:tabs>
      <w:spacing w:before="480"/>
    </w:pPr>
    <w:rPr>
      <w:rFonts w:eastAsia="Times New Roman"/>
      <w:b/>
      <w:bCs/>
      <w:color w:val="4F81BD"/>
      <w:sz w:val="28"/>
      <w:szCs w:val="26"/>
    </w:rPr>
  </w:style>
  <w:style w:type="paragraph" w:customStyle="1" w:styleId="NumberedList">
    <w:name w:val="*Numbered List"/>
    <w:qFormat/>
    <w:rsid w:val="00A10227"/>
    <w:pPr>
      <w:numPr>
        <w:numId w:val="4"/>
      </w:numPr>
      <w:spacing w:after="60"/>
    </w:pPr>
    <w:rPr>
      <w:rFonts w:eastAsia="Times New Roman"/>
      <w:sz w:val="22"/>
      <w:szCs w:val="22"/>
    </w:rPr>
  </w:style>
  <w:style w:type="paragraph" w:customStyle="1" w:styleId="PageHeader">
    <w:name w:val="*PageHeader"/>
    <w:qFormat/>
    <w:rsid w:val="00A10227"/>
    <w:rPr>
      <w:rFonts w:eastAsia="Times New Roman"/>
      <w:b/>
      <w:sz w:val="18"/>
      <w:szCs w:val="22"/>
    </w:rPr>
  </w:style>
  <w:style w:type="paragraph" w:customStyle="1" w:styleId="Q">
    <w:name w:val="*Q*"/>
    <w:qFormat/>
    <w:rsid w:val="00A10227"/>
    <w:pPr>
      <w:spacing w:before="240" w:line="276" w:lineRule="auto"/>
    </w:pPr>
    <w:rPr>
      <w:rFonts w:eastAsia="Times New Roman"/>
      <w:b/>
      <w:sz w:val="22"/>
      <w:szCs w:val="22"/>
    </w:rPr>
  </w:style>
  <w:style w:type="paragraph" w:customStyle="1" w:styleId="SA">
    <w:name w:val="*SA*"/>
    <w:qFormat/>
    <w:rsid w:val="00A10227"/>
    <w:pPr>
      <w:numPr>
        <w:numId w:val="5"/>
      </w:numPr>
      <w:spacing w:before="120" w:line="276" w:lineRule="auto"/>
    </w:pPr>
    <w:rPr>
      <w:rFonts w:eastAsia="Times New Roman"/>
      <w:sz w:val="22"/>
      <w:szCs w:val="22"/>
    </w:rPr>
  </w:style>
  <w:style w:type="paragraph" w:customStyle="1" w:styleId="SASRBullet">
    <w:name w:val="*SA/SR Bullet"/>
    <w:basedOn w:val="Normal"/>
    <w:link w:val="SASRBulletChar"/>
    <w:uiPriority w:val="99"/>
    <w:qFormat/>
    <w:rsid w:val="00A10227"/>
    <w:pPr>
      <w:numPr>
        <w:ilvl w:val="1"/>
        <w:numId w:val="6"/>
      </w:numPr>
      <w:spacing w:before="120"/>
      <w:contextualSpacing/>
    </w:pPr>
  </w:style>
  <w:style w:type="paragraph" w:customStyle="1" w:styleId="SR">
    <w:name w:val="*SR*"/>
    <w:qFormat/>
    <w:rsid w:val="00A10227"/>
    <w:pPr>
      <w:numPr>
        <w:numId w:val="7"/>
      </w:numPr>
      <w:spacing w:before="120" w:line="276" w:lineRule="auto"/>
    </w:pPr>
    <w:rPr>
      <w:rFonts w:eastAsia="Times New Roman"/>
      <w:sz w:val="22"/>
      <w:szCs w:val="22"/>
    </w:rPr>
  </w:style>
  <w:style w:type="paragraph" w:customStyle="1" w:styleId="TA">
    <w:name w:val="*TA*"/>
    <w:basedOn w:val="Normal"/>
    <w:qFormat/>
    <w:rsid w:val="00A10227"/>
    <w:pPr>
      <w:spacing w:before="240"/>
    </w:pPr>
  </w:style>
  <w:style w:type="paragraph" w:customStyle="1" w:styleId="TableHeaders">
    <w:name w:val="*TableHeaders"/>
    <w:basedOn w:val="Normal"/>
    <w:link w:val="TableHeadersChar"/>
    <w:qFormat/>
    <w:rsid w:val="001B2DAB"/>
    <w:pPr>
      <w:spacing w:before="40" w:after="40" w:line="240" w:lineRule="auto"/>
    </w:pPr>
    <w:rPr>
      <w:b/>
      <w:color w:val="FFFFFF"/>
      <w:lang w:val="x-none" w:eastAsia="x-none"/>
    </w:rPr>
  </w:style>
  <w:style w:type="paragraph" w:customStyle="1" w:styleId="ToolHeader">
    <w:name w:val="*ToolHeader"/>
    <w:qFormat/>
    <w:rsid w:val="00A10227"/>
    <w:pPr>
      <w:spacing w:after="120"/>
    </w:pPr>
    <w:rPr>
      <w:rFonts w:eastAsia="Times New Roman"/>
      <w:b/>
      <w:bCs/>
      <w:color w:val="365F91"/>
      <w:sz w:val="32"/>
      <w:szCs w:val="28"/>
    </w:rPr>
  </w:style>
  <w:style w:type="paragraph" w:customStyle="1" w:styleId="ToolTableText">
    <w:name w:val="*ToolTableText"/>
    <w:qFormat/>
    <w:rsid w:val="00A10227"/>
    <w:pPr>
      <w:spacing w:before="40" w:after="120"/>
    </w:pPr>
    <w:rPr>
      <w:rFonts w:eastAsia="Times New Roman"/>
      <w:sz w:val="22"/>
      <w:szCs w:val="22"/>
    </w:rPr>
  </w:style>
  <w:style w:type="character" w:customStyle="1" w:styleId="folioChar">
    <w:name w:val="folio Char"/>
    <w:link w:val="folio"/>
    <w:locked/>
    <w:rsid w:val="00677A89"/>
    <w:rPr>
      <w:rFonts w:ascii="Verdana" w:eastAsia="Times New Roman" w:hAnsi="Verdana" w:cs="Verdana"/>
      <w:color w:val="595959"/>
      <w:sz w:val="20"/>
      <w:szCs w:val="20"/>
      <w:lang w:val="x-none" w:eastAsia="en-US"/>
    </w:rPr>
  </w:style>
  <w:style w:type="character" w:customStyle="1" w:styleId="FooterTextChar">
    <w:name w:val="FooterText Char"/>
    <w:link w:val="FooterText"/>
    <w:locked/>
    <w:rsid w:val="00677A89"/>
    <w:rPr>
      <w:rFonts w:ascii="Verdana" w:eastAsia="Times New Roman" w:hAnsi="Verdana" w:cs="Calibri"/>
      <w:b/>
      <w:color w:val="595959"/>
      <w:sz w:val="14"/>
      <w:szCs w:val="22"/>
      <w:lang w:val="en-US" w:eastAsia="en-US" w:bidi="ar-SA"/>
    </w:rPr>
  </w:style>
  <w:style w:type="paragraph" w:customStyle="1" w:styleId="MediumGrid1-Accent21">
    <w:name w:val="Medium Grid 1 - Accent 21"/>
    <w:basedOn w:val="Normal"/>
    <w:uiPriority w:val="34"/>
    <w:qFormat/>
    <w:rsid w:val="006D3F09"/>
    <w:pPr>
      <w:ind w:left="720"/>
      <w:contextualSpacing/>
    </w:pPr>
  </w:style>
  <w:style w:type="paragraph" w:styleId="NormalWeb">
    <w:name w:val="Normal (Web)"/>
    <w:basedOn w:val="Normal"/>
    <w:uiPriority w:val="99"/>
    <w:semiHidden/>
    <w:unhideWhenUsed/>
    <w:rsid w:val="00D8077C"/>
    <w:pPr>
      <w:spacing w:before="100" w:beforeAutospacing="1" w:after="100" w:afterAutospacing="1" w:line="240" w:lineRule="auto"/>
    </w:pPr>
    <w:rPr>
      <w:rFonts w:ascii="Times New Roman" w:eastAsia="MS ??" w:hAnsi="Times New Roman"/>
      <w:sz w:val="24"/>
      <w:szCs w:val="24"/>
    </w:rPr>
  </w:style>
  <w:style w:type="paragraph" w:customStyle="1" w:styleId="Normal2">
    <w:name w:val="Normal2"/>
    <w:rsid w:val="00CB1DD3"/>
    <w:rPr>
      <w:rFonts w:ascii="Cambria" w:eastAsia="Times New Roman" w:hAnsi="Cambria" w:cs="Cambria"/>
      <w:color w:val="000000"/>
      <w:sz w:val="24"/>
      <w:szCs w:val="22"/>
    </w:rPr>
  </w:style>
  <w:style w:type="paragraph" w:customStyle="1" w:styleId="TableText">
    <w:name w:val="*TableText"/>
    <w:link w:val="TableTextChar"/>
    <w:qFormat/>
    <w:rsid w:val="001B2DAB"/>
    <w:pPr>
      <w:spacing w:before="40" w:after="40" w:line="276" w:lineRule="auto"/>
    </w:pPr>
    <w:rPr>
      <w:rFonts w:eastAsia="Calibri"/>
      <w:sz w:val="22"/>
      <w:szCs w:val="22"/>
    </w:rPr>
  </w:style>
  <w:style w:type="character" w:customStyle="1" w:styleId="TableTextChar">
    <w:name w:val="*TableText Char"/>
    <w:link w:val="TableText"/>
    <w:locked/>
    <w:rsid w:val="001B2DAB"/>
    <w:rPr>
      <w:rFonts w:eastAsia="Calibri"/>
      <w:sz w:val="22"/>
      <w:szCs w:val="22"/>
      <w:lang w:bidi="ar-SA"/>
    </w:rPr>
  </w:style>
  <w:style w:type="character" w:customStyle="1" w:styleId="BulletedListChar">
    <w:name w:val="*Bulleted List Char"/>
    <w:link w:val="BulletedList"/>
    <w:locked/>
    <w:rsid w:val="00426E1B"/>
    <w:rPr>
      <w:rFonts w:eastAsia="Times New Roman"/>
      <w:sz w:val="22"/>
      <w:szCs w:val="22"/>
    </w:rPr>
  </w:style>
  <w:style w:type="character" w:customStyle="1" w:styleId="TableHeadersChar">
    <w:name w:val="*TableHeaders Char"/>
    <w:link w:val="TableHeaders"/>
    <w:rsid w:val="001B2DAB"/>
    <w:rPr>
      <w:rFonts w:eastAsia="Calibri"/>
      <w:b/>
      <w:color w:val="FFFFFF"/>
      <w:sz w:val="22"/>
      <w:szCs w:val="22"/>
    </w:rPr>
  </w:style>
  <w:style w:type="paragraph" w:customStyle="1" w:styleId="ColorfulShading-Accent11">
    <w:name w:val="Colorful Shading - Accent 11"/>
    <w:hidden/>
    <w:uiPriority w:val="99"/>
    <w:semiHidden/>
    <w:rsid w:val="00285B7F"/>
    <w:rPr>
      <w:rFonts w:eastAsia="Calibri"/>
      <w:sz w:val="22"/>
      <w:szCs w:val="22"/>
    </w:rPr>
  </w:style>
  <w:style w:type="paragraph" w:customStyle="1" w:styleId="MediumGrid22">
    <w:name w:val="Medium Grid 22"/>
    <w:uiPriority w:val="1"/>
    <w:qFormat/>
    <w:rsid w:val="0015083C"/>
    <w:rPr>
      <w:rFonts w:eastAsia="Calibri"/>
      <w:sz w:val="22"/>
      <w:szCs w:val="22"/>
    </w:rPr>
  </w:style>
  <w:style w:type="paragraph" w:customStyle="1" w:styleId="ExcerptBody">
    <w:name w:val="*ExcerptBody"/>
    <w:basedOn w:val="Normal"/>
    <w:link w:val="ExcerptBodyChar"/>
    <w:qFormat/>
    <w:rsid w:val="00E75803"/>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E75803"/>
    <w:rPr>
      <w:rFonts w:ascii="Times New Roman" w:eastAsia="Times New Roman" w:hAnsi="Times New Roman"/>
      <w:color w:val="000000"/>
      <w:sz w:val="24"/>
      <w:szCs w:val="17"/>
    </w:rPr>
  </w:style>
  <w:style w:type="paragraph" w:customStyle="1" w:styleId="SubStandard">
    <w:name w:val="*SubStandard"/>
    <w:basedOn w:val="Normal"/>
    <w:link w:val="SubStandardChar"/>
    <w:qFormat/>
    <w:rsid w:val="00BC5CC6"/>
    <w:pPr>
      <w:numPr>
        <w:numId w:val="30"/>
      </w:numPr>
      <w:spacing w:before="40" w:after="40"/>
    </w:pPr>
  </w:style>
  <w:style w:type="character" w:customStyle="1" w:styleId="SubStandardChar">
    <w:name w:val="*SubStandard Char"/>
    <w:link w:val="SubStandard"/>
    <w:rsid w:val="00BC5CC6"/>
    <w:rPr>
      <w:rFonts w:eastAsia="Calibri"/>
      <w:sz w:val="22"/>
      <w:szCs w:val="22"/>
    </w:rPr>
  </w:style>
  <w:style w:type="character" w:styleId="Emphasis">
    <w:name w:val="Emphasis"/>
    <w:uiPriority w:val="20"/>
    <w:qFormat/>
    <w:rsid w:val="00B96FB7"/>
    <w:rPr>
      <w:i/>
      <w:iCs/>
    </w:rPr>
  </w:style>
  <w:style w:type="paragraph" w:customStyle="1" w:styleId="Default">
    <w:name w:val="Default"/>
    <w:rsid w:val="00BB6A3B"/>
    <w:pPr>
      <w:autoSpaceDE w:val="0"/>
      <w:autoSpaceDN w:val="0"/>
      <w:adjustRightInd w:val="0"/>
    </w:pPr>
    <w:rPr>
      <w:rFonts w:eastAsia="Calibri" w:cs="Calibri"/>
      <w:color w:val="000000"/>
      <w:sz w:val="24"/>
      <w:szCs w:val="24"/>
    </w:rPr>
  </w:style>
  <w:style w:type="character" w:customStyle="1" w:styleId="SASRBulletChar">
    <w:name w:val="*SA/SR Bullet Char"/>
    <w:link w:val="SASRBullet"/>
    <w:uiPriority w:val="99"/>
    <w:rsid w:val="008A0E7A"/>
    <w:rPr>
      <w:rFonts w:eastAsia="Calibri"/>
      <w:sz w:val="22"/>
      <w:szCs w:val="22"/>
    </w:rPr>
  </w:style>
  <w:style w:type="paragraph" w:styleId="DocumentMap">
    <w:name w:val="Document Map"/>
    <w:basedOn w:val="Normal"/>
    <w:link w:val="DocumentMapChar"/>
    <w:uiPriority w:val="99"/>
    <w:semiHidden/>
    <w:unhideWhenUsed/>
    <w:rsid w:val="00B420EB"/>
    <w:rPr>
      <w:rFonts w:ascii="Lucida Grande" w:hAnsi="Lucida Grande"/>
      <w:sz w:val="24"/>
      <w:szCs w:val="24"/>
    </w:rPr>
  </w:style>
  <w:style w:type="character" w:customStyle="1" w:styleId="DocumentMapChar">
    <w:name w:val="Document Map Char"/>
    <w:link w:val="DocumentMap"/>
    <w:uiPriority w:val="99"/>
    <w:semiHidden/>
    <w:rsid w:val="00B420EB"/>
    <w:rPr>
      <w:rFonts w:ascii="Lucida Grande" w:eastAsia="Calibri" w:hAnsi="Lucida Grande"/>
      <w:sz w:val="24"/>
      <w:szCs w:val="24"/>
    </w:rPr>
  </w:style>
  <w:style w:type="paragraph" w:styleId="ListParagraph">
    <w:name w:val="List Paragraph"/>
    <w:basedOn w:val="Normal"/>
    <w:uiPriority w:val="34"/>
    <w:qFormat/>
    <w:rsid w:val="007556A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70304">
      <w:bodyDiv w:val="1"/>
      <w:marLeft w:val="0"/>
      <w:marRight w:val="0"/>
      <w:marTop w:val="0"/>
      <w:marBottom w:val="0"/>
      <w:divBdr>
        <w:top w:val="none" w:sz="0" w:space="0" w:color="auto"/>
        <w:left w:val="none" w:sz="0" w:space="0" w:color="auto"/>
        <w:bottom w:val="none" w:sz="0" w:space="0" w:color="auto"/>
        <w:right w:val="none" w:sz="0" w:space="0" w:color="auto"/>
      </w:divBdr>
    </w:div>
    <w:div w:id="654258482">
      <w:bodyDiv w:val="1"/>
      <w:marLeft w:val="0"/>
      <w:marRight w:val="0"/>
      <w:marTop w:val="0"/>
      <w:marBottom w:val="0"/>
      <w:divBdr>
        <w:top w:val="none" w:sz="0" w:space="0" w:color="auto"/>
        <w:left w:val="none" w:sz="0" w:space="0" w:color="auto"/>
        <w:bottom w:val="none" w:sz="0" w:space="0" w:color="auto"/>
        <w:right w:val="none" w:sz="0" w:space="0" w:color="auto"/>
      </w:divBdr>
    </w:div>
    <w:div w:id="914783466">
      <w:bodyDiv w:val="1"/>
      <w:marLeft w:val="0"/>
      <w:marRight w:val="0"/>
      <w:marTop w:val="0"/>
      <w:marBottom w:val="0"/>
      <w:divBdr>
        <w:top w:val="none" w:sz="0" w:space="0" w:color="auto"/>
        <w:left w:val="none" w:sz="0" w:space="0" w:color="auto"/>
        <w:bottom w:val="none" w:sz="0" w:space="0" w:color="auto"/>
        <w:right w:val="none" w:sz="0" w:space="0" w:color="auto"/>
      </w:divBdr>
    </w:div>
    <w:div w:id="1294795085">
      <w:marLeft w:val="0"/>
      <w:marRight w:val="0"/>
      <w:marTop w:val="0"/>
      <w:marBottom w:val="0"/>
      <w:divBdr>
        <w:top w:val="none" w:sz="0" w:space="0" w:color="auto"/>
        <w:left w:val="none" w:sz="0" w:space="0" w:color="auto"/>
        <w:bottom w:val="none" w:sz="0" w:space="0" w:color="auto"/>
        <w:right w:val="none" w:sz="0" w:space="0" w:color="auto"/>
      </w:divBdr>
      <w:divsChild>
        <w:div w:id="1294795083">
          <w:marLeft w:val="0"/>
          <w:marRight w:val="0"/>
          <w:marTop w:val="0"/>
          <w:marBottom w:val="0"/>
          <w:divBdr>
            <w:top w:val="none" w:sz="0" w:space="0" w:color="auto"/>
            <w:left w:val="none" w:sz="0" w:space="0" w:color="auto"/>
            <w:bottom w:val="none" w:sz="0" w:space="0" w:color="auto"/>
            <w:right w:val="none" w:sz="0" w:space="0" w:color="auto"/>
          </w:divBdr>
        </w:div>
        <w:div w:id="1294795084">
          <w:marLeft w:val="0"/>
          <w:marRight w:val="0"/>
          <w:marTop w:val="0"/>
          <w:marBottom w:val="0"/>
          <w:divBdr>
            <w:top w:val="none" w:sz="0" w:space="0" w:color="auto"/>
            <w:left w:val="none" w:sz="0" w:space="0" w:color="auto"/>
            <w:bottom w:val="none" w:sz="0" w:space="0" w:color="auto"/>
            <w:right w:val="none" w:sz="0" w:space="0" w:color="auto"/>
          </w:divBdr>
        </w:div>
        <w:div w:id="1294795086">
          <w:marLeft w:val="0"/>
          <w:marRight w:val="0"/>
          <w:marTop w:val="0"/>
          <w:marBottom w:val="0"/>
          <w:divBdr>
            <w:top w:val="none" w:sz="0" w:space="0" w:color="auto"/>
            <w:left w:val="none" w:sz="0" w:space="0" w:color="auto"/>
            <w:bottom w:val="none" w:sz="0" w:space="0" w:color="auto"/>
            <w:right w:val="none" w:sz="0" w:space="0" w:color="auto"/>
          </w:divBdr>
        </w:div>
        <w:div w:id="1294795087">
          <w:marLeft w:val="0"/>
          <w:marRight w:val="0"/>
          <w:marTop w:val="0"/>
          <w:marBottom w:val="0"/>
          <w:divBdr>
            <w:top w:val="none" w:sz="0" w:space="0" w:color="auto"/>
            <w:left w:val="none" w:sz="0" w:space="0" w:color="auto"/>
            <w:bottom w:val="none" w:sz="0" w:space="0" w:color="auto"/>
            <w:right w:val="none" w:sz="0" w:space="0" w:color="auto"/>
          </w:divBdr>
        </w:div>
        <w:div w:id="1294795088">
          <w:marLeft w:val="0"/>
          <w:marRight w:val="0"/>
          <w:marTop w:val="0"/>
          <w:marBottom w:val="0"/>
          <w:divBdr>
            <w:top w:val="none" w:sz="0" w:space="0" w:color="auto"/>
            <w:left w:val="none" w:sz="0" w:space="0" w:color="auto"/>
            <w:bottom w:val="none" w:sz="0" w:space="0" w:color="auto"/>
            <w:right w:val="none" w:sz="0" w:space="0" w:color="auto"/>
          </w:divBdr>
        </w:div>
        <w:div w:id="1294795089">
          <w:marLeft w:val="0"/>
          <w:marRight w:val="0"/>
          <w:marTop w:val="0"/>
          <w:marBottom w:val="0"/>
          <w:divBdr>
            <w:top w:val="none" w:sz="0" w:space="0" w:color="auto"/>
            <w:left w:val="none" w:sz="0" w:space="0" w:color="auto"/>
            <w:bottom w:val="none" w:sz="0" w:space="0" w:color="auto"/>
            <w:right w:val="none" w:sz="0" w:space="0" w:color="auto"/>
          </w:divBdr>
        </w:div>
        <w:div w:id="1294795091">
          <w:marLeft w:val="0"/>
          <w:marRight w:val="0"/>
          <w:marTop w:val="0"/>
          <w:marBottom w:val="0"/>
          <w:divBdr>
            <w:top w:val="none" w:sz="0" w:space="0" w:color="auto"/>
            <w:left w:val="none" w:sz="0" w:space="0" w:color="auto"/>
            <w:bottom w:val="none" w:sz="0" w:space="0" w:color="auto"/>
            <w:right w:val="none" w:sz="0" w:space="0" w:color="auto"/>
          </w:divBdr>
        </w:div>
      </w:divsChild>
    </w:div>
    <w:div w:id="1294795090">
      <w:marLeft w:val="0"/>
      <w:marRight w:val="0"/>
      <w:marTop w:val="0"/>
      <w:marBottom w:val="0"/>
      <w:divBdr>
        <w:top w:val="none" w:sz="0" w:space="0" w:color="auto"/>
        <w:left w:val="none" w:sz="0" w:space="0" w:color="auto"/>
        <w:bottom w:val="none" w:sz="0" w:space="0" w:color="auto"/>
        <w:right w:val="none" w:sz="0" w:space="0" w:color="auto"/>
      </w:divBdr>
    </w:div>
    <w:div w:id="1356494355">
      <w:bodyDiv w:val="1"/>
      <w:marLeft w:val="0"/>
      <w:marRight w:val="0"/>
      <w:marTop w:val="0"/>
      <w:marBottom w:val="0"/>
      <w:divBdr>
        <w:top w:val="none" w:sz="0" w:space="0" w:color="auto"/>
        <w:left w:val="none" w:sz="0" w:space="0" w:color="auto"/>
        <w:bottom w:val="none" w:sz="0" w:space="0" w:color="auto"/>
        <w:right w:val="none" w:sz="0" w:space="0" w:color="auto"/>
      </w:divBdr>
    </w:div>
    <w:div w:id="1697537805">
      <w:bodyDiv w:val="1"/>
      <w:marLeft w:val="0"/>
      <w:marRight w:val="0"/>
      <w:marTop w:val="0"/>
      <w:marBottom w:val="0"/>
      <w:divBdr>
        <w:top w:val="none" w:sz="0" w:space="0" w:color="auto"/>
        <w:left w:val="none" w:sz="0" w:space="0" w:color="auto"/>
        <w:bottom w:val="none" w:sz="0" w:space="0" w:color="auto"/>
        <w:right w:val="none" w:sz="0" w:space="0" w:color="auto"/>
      </w:divBdr>
      <w:divsChild>
        <w:div w:id="2079671600">
          <w:marLeft w:val="450"/>
          <w:marRight w:val="0"/>
          <w:marTop w:val="0"/>
          <w:marBottom w:val="240"/>
          <w:divBdr>
            <w:top w:val="none" w:sz="0" w:space="0" w:color="auto"/>
            <w:left w:val="none" w:sz="0" w:space="0" w:color="auto"/>
            <w:bottom w:val="none" w:sz="0" w:space="0" w:color="auto"/>
            <w:right w:val="none" w:sz="0" w:space="0" w:color="auto"/>
          </w:divBdr>
        </w:div>
      </w:divsChild>
    </w:div>
    <w:div w:id="1964580329">
      <w:bodyDiv w:val="1"/>
      <w:marLeft w:val="0"/>
      <w:marRight w:val="0"/>
      <w:marTop w:val="0"/>
      <w:marBottom w:val="0"/>
      <w:divBdr>
        <w:top w:val="none" w:sz="0" w:space="0" w:color="auto"/>
        <w:left w:val="none" w:sz="0" w:space="0" w:color="auto"/>
        <w:bottom w:val="none" w:sz="0" w:space="0" w:color="auto"/>
        <w:right w:val="none" w:sz="0" w:space="0" w:color="auto"/>
      </w:divBdr>
    </w:div>
    <w:div w:id="204316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2401</Words>
  <Characters>13689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16058</CharactersWithSpaces>
  <SharedDoc>false</SharedDoc>
  <HLinks>
    <vt:vector size="6" baseType="variant">
      <vt:variant>
        <vt:i4>4587611</vt:i4>
      </vt:variant>
      <vt:variant>
        <vt:i4>0</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cp:lastModifiedBy>Kelley, Nora</cp:lastModifiedBy>
  <cp:revision>4</cp:revision>
  <cp:lastPrinted>2014-06-19T00:42:00Z</cp:lastPrinted>
  <dcterms:created xsi:type="dcterms:W3CDTF">2014-06-26T23:41:00Z</dcterms:created>
  <dcterms:modified xsi:type="dcterms:W3CDTF">2014-09-08T15:19:00Z</dcterms:modified>
</cp:coreProperties>
</file>