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39B3EA0" w14:textId="77777777">
        <w:trPr>
          <w:trHeight w:val="1008"/>
        </w:trPr>
        <w:tc>
          <w:tcPr>
            <w:tcW w:w="1980" w:type="dxa"/>
            <w:shd w:val="clear" w:color="auto" w:fill="385623"/>
            <w:vAlign w:val="center"/>
          </w:tcPr>
          <w:p w14:paraId="3138F01F" w14:textId="77777777" w:rsidR="00790BCC" w:rsidRPr="00D31F4D" w:rsidRDefault="00B86379" w:rsidP="00D31F4D">
            <w:pPr>
              <w:pStyle w:val="Header-banner"/>
              <w:rPr>
                <w:rFonts w:asciiTheme="minorHAnsi" w:hAnsiTheme="minorHAnsi"/>
              </w:rPr>
            </w:pPr>
            <w:r>
              <w:rPr>
                <w:rFonts w:asciiTheme="minorHAnsi" w:hAnsiTheme="minorHAnsi"/>
              </w:rPr>
              <w:t>12.1</w:t>
            </w:r>
            <w:r w:rsidR="002A4244">
              <w:rPr>
                <w:rFonts w:asciiTheme="minorHAnsi" w:hAnsiTheme="minorHAnsi"/>
              </w:rPr>
              <w:t>.3</w:t>
            </w:r>
          </w:p>
        </w:tc>
        <w:tc>
          <w:tcPr>
            <w:tcW w:w="7380" w:type="dxa"/>
            <w:shd w:val="clear" w:color="auto" w:fill="76923C"/>
            <w:vAlign w:val="center"/>
          </w:tcPr>
          <w:p w14:paraId="706090AD"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2A4244">
              <w:rPr>
                <w:rFonts w:asciiTheme="minorHAnsi" w:hAnsiTheme="minorHAnsi"/>
              </w:rPr>
              <w:t>6</w:t>
            </w:r>
          </w:p>
        </w:tc>
      </w:tr>
    </w:tbl>
    <w:p w14:paraId="35BE4AAE" w14:textId="77777777" w:rsidR="00790BCC" w:rsidRPr="00790BCC" w:rsidRDefault="00790BCC" w:rsidP="00D31F4D">
      <w:pPr>
        <w:pStyle w:val="Heading1"/>
      </w:pPr>
      <w:r w:rsidRPr="00790BCC">
        <w:t>Introduction</w:t>
      </w:r>
    </w:p>
    <w:p w14:paraId="6043C4C8" w14:textId="77777777" w:rsidR="00191E4B" w:rsidRDefault="00191E4B" w:rsidP="00D31F4D">
      <w:r>
        <w:t>In this lesson, students peer</w:t>
      </w:r>
      <w:r w:rsidR="009B58DA">
        <w:t xml:space="preserve"> </w:t>
      </w:r>
      <w:r>
        <w:t xml:space="preserve">review </w:t>
      </w:r>
      <w:r w:rsidR="00AC3F96">
        <w:t>each other’s</w:t>
      </w:r>
      <w:r>
        <w:t xml:space="preserve"> narrative essays</w:t>
      </w:r>
      <w:r w:rsidR="00F02253">
        <w:t xml:space="preserve"> </w:t>
      </w:r>
      <w:r w:rsidR="008F28E1">
        <w:t>to ensure alignment to W.11-13.3.a-f</w:t>
      </w:r>
      <w:r w:rsidR="00AC3F96">
        <w:t>, and revise their drafts based on the feedback</w:t>
      </w:r>
      <w:r w:rsidR="008F28E1">
        <w:t>.</w:t>
      </w:r>
      <w:bookmarkStart w:id="0" w:name="_GoBack"/>
      <w:bookmarkEnd w:id="0"/>
      <w:r w:rsidR="008F28E1">
        <w:t xml:space="preserve"> </w:t>
      </w:r>
      <w:r w:rsidR="00030CE2">
        <w:t xml:space="preserve">Students </w:t>
      </w:r>
      <w:r w:rsidR="00CD2DF4">
        <w:t>learning is</w:t>
      </w:r>
      <w:r w:rsidR="00030CE2">
        <w:t xml:space="preserve"> assessed via the</w:t>
      </w:r>
      <w:r w:rsidR="002D6DB8">
        <w:t xml:space="preserve"> </w:t>
      </w:r>
      <w:r w:rsidR="000D44AC">
        <w:t>incorporation of peer feedback</w:t>
      </w:r>
      <w:r w:rsidR="00030CE2">
        <w:t xml:space="preserve"> </w:t>
      </w:r>
      <w:r w:rsidR="002D6DB8">
        <w:t>in</w:t>
      </w:r>
      <w:r w:rsidR="00CD2DF4">
        <w:t>to</w:t>
      </w:r>
      <w:r w:rsidR="00030CE2">
        <w:t xml:space="preserve"> their drafts.</w:t>
      </w:r>
    </w:p>
    <w:p w14:paraId="22E1291D" w14:textId="77777777" w:rsidR="00790BCC" w:rsidRPr="00790BCC" w:rsidRDefault="00191E4B" w:rsidP="00D31F4D">
      <w:r>
        <w:t>For homework, students c</w:t>
      </w:r>
      <w:r w:rsidRPr="00674DA6">
        <w:t xml:space="preserve">ontinue to read their </w:t>
      </w:r>
      <w:r w:rsidR="00E66CE9">
        <w:t>Accountable Independent Reading (</w:t>
      </w:r>
      <w:r w:rsidRPr="00674DA6">
        <w:t>AIR</w:t>
      </w:r>
      <w:r w:rsidR="00E66CE9">
        <w:t>)</w:t>
      </w:r>
      <w:r w:rsidRPr="00674DA6">
        <w:t xml:space="preserve"> texts though the lens of</w:t>
      </w:r>
      <w:r>
        <w:t xml:space="preserve"> a W.11-12.3 focus </w:t>
      </w:r>
      <w:r w:rsidR="00AC3F96">
        <w:t>sub</w:t>
      </w:r>
      <w:r>
        <w:t xml:space="preserve">standard of their choice </w:t>
      </w:r>
      <w:r w:rsidRPr="00674DA6">
        <w:t>and prepare for a brief discussion of their text</w:t>
      </w:r>
      <w:r w:rsidR="00C24469">
        <w:t>s</w:t>
      </w:r>
      <w:r w:rsidRPr="00674DA6">
        <w:t xml:space="preserve"> based on that </w:t>
      </w:r>
      <w:r w:rsidR="00AC3F96">
        <w:t>sub</w:t>
      </w:r>
      <w:r w:rsidRPr="00674DA6">
        <w:t>standard.</w:t>
      </w:r>
    </w:p>
    <w:p w14:paraId="32F30C10"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140B51C3" w14:textId="77777777">
        <w:tc>
          <w:tcPr>
            <w:tcW w:w="9360" w:type="dxa"/>
            <w:gridSpan w:val="2"/>
            <w:shd w:val="clear" w:color="auto" w:fill="76923C"/>
          </w:tcPr>
          <w:p w14:paraId="31228314" w14:textId="77777777" w:rsidR="00790BCC" w:rsidRPr="00790BCC" w:rsidRDefault="00790BCC" w:rsidP="007017EB">
            <w:pPr>
              <w:pStyle w:val="TableHeaders"/>
            </w:pPr>
            <w:r w:rsidRPr="00790BCC">
              <w:t>Assessed Standard(s)</w:t>
            </w:r>
          </w:p>
        </w:tc>
      </w:tr>
      <w:tr w:rsidR="00790BCC" w:rsidRPr="00790BCC" w14:paraId="6FF57D30" w14:textId="77777777">
        <w:tc>
          <w:tcPr>
            <w:tcW w:w="1329" w:type="dxa"/>
          </w:tcPr>
          <w:p w14:paraId="114C61DC" w14:textId="77777777" w:rsidR="00790BCC" w:rsidRPr="002D7D4B" w:rsidRDefault="00CB3104" w:rsidP="00D31F4D">
            <w:pPr>
              <w:pStyle w:val="TableText"/>
              <w:rPr>
                <w:spacing w:val="-18"/>
              </w:rPr>
            </w:pPr>
            <w:r w:rsidRPr="002D7D4B">
              <w:rPr>
                <w:spacing w:val="-18"/>
              </w:rPr>
              <w:t>W.11-12.3.a-f</w:t>
            </w:r>
          </w:p>
        </w:tc>
        <w:tc>
          <w:tcPr>
            <w:tcW w:w="8031" w:type="dxa"/>
          </w:tcPr>
          <w:p w14:paraId="3A52FB5B" w14:textId="77777777" w:rsidR="00CB3104" w:rsidRPr="00CB3104" w:rsidRDefault="00CB3104" w:rsidP="00CB3104">
            <w:pPr>
              <w:pStyle w:val="TableText"/>
              <w:rPr>
                <w:rFonts w:ascii="Times" w:hAnsi="Times"/>
                <w:sz w:val="20"/>
                <w:szCs w:val="20"/>
                <w:lang w:eastAsia="fr-FR"/>
              </w:rPr>
            </w:pPr>
            <w:r w:rsidRPr="00CB3104">
              <w:rPr>
                <w:lang w:eastAsia="fr-FR"/>
              </w:rPr>
              <w:t>Write narratives to develop real or imagined experiences or events using effective technique, well-chosen details, and well-structured event sequences.</w:t>
            </w:r>
          </w:p>
          <w:p w14:paraId="1C81A202" w14:textId="77777777" w:rsidR="00CB3104" w:rsidRPr="00CB3104" w:rsidRDefault="00CB3104" w:rsidP="00CB3104">
            <w:pPr>
              <w:pStyle w:val="SubStandard"/>
              <w:rPr>
                <w:rFonts w:ascii="Times" w:hAnsi="Times"/>
                <w:sz w:val="20"/>
                <w:szCs w:val="20"/>
                <w:lang w:eastAsia="fr-FR"/>
              </w:rPr>
            </w:pPr>
            <w:r w:rsidRPr="00CB3104">
              <w:rPr>
                <w:lang w:eastAsia="fr-FR"/>
              </w:rPr>
              <w:t>Engage and orient the reader by setting out a problem, situation, or observation and its significance, establishing one or multiple point(s) of view, and introducing a narrator and/or characters; create a smooth progression of experiences or events.</w:t>
            </w:r>
          </w:p>
          <w:p w14:paraId="3430F94C" w14:textId="77777777" w:rsidR="00CB3104" w:rsidRPr="00CB3104" w:rsidRDefault="00CB3104" w:rsidP="00CB3104">
            <w:pPr>
              <w:pStyle w:val="SubStandard"/>
              <w:rPr>
                <w:rFonts w:ascii="Times" w:hAnsi="Times"/>
                <w:sz w:val="20"/>
                <w:szCs w:val="20"/>
                <w:lang w:eastAsia="fr-FR"/>
              </w:rPr>
            </w:pPr>
            <w:r w:rsidRPr="00CB3104">
              <w:rPr>
                <w:lang w:eastAsia="fr-FR"/>
              </w:rPr>
              <w:t>Use narrative techniques, such as dialogue, pacing, description, reflection, and multiple plot lines, to develop experiences, events, and/or characters.</w:t>
            </w:r>
          </w:p>
          <w:p w14:paraId="55D8B8E4" w14:textId="77777777" w:rsidR="00CB3104" w:rsidRPr="00CB3104" w:rsidRDefault="00CB3104" w:rsidP="00CB3104">
            <w:pPr>
              <w:pStyle w:val="SubStandard"/>
              <w:rPr>
                <w:rFonts w:ascii="Times" w:hAnsi="Times"/>
                <w:sz w:val="20"/>
                <w:szCs w:val="20"/>
                <w:lang w:eastAsia="fr-FR"/>
              </w:rPr>
            </w:pPr>
            <w:r w:rsidRPr="00CB3104">
              <w:rPr>
                <w:lang w:eastAsia="fr-FR"/>
              </w:rPr>
              <w:t>Use a variety of techniques to sequence events so that they build on one another to create a coherent whole and build toward a particular tone and outcome (e.g., a sense of mystery, suspense, growth, or resolution).</w:t>
            </w:r>
          </w:p>
          <w:p w14:paraId="7639EC53" w14:textId="77777777" w:rsidR="00CB3104" w:rsidRPr="00CB3104" w:rsidRDefault="00CB3104" w:rsidP="00CB3104">
            <w:pPr>
              <w:pStyle w:val="SubStandard"/>
              <w:rPr>
                <w:rFonts w:ascii="Times" w:hAnsi="Times"/>
                <w:sz w:val="20"/>
                <w:szCs w:val="20"/>
                <w:lang w:eastAsia="fr-FR"/>
              </w:rPr>
            </w:pPr>
            <w:r w:rsidRPr="00CB3104">
              <w:rPr>
                <w:lang w:eastAsia="fr-FR"/>
              </w:rPr>
              <w:t>Use precise words and phrases, telling details, and sensory language to convey a vivid picture of the experiences, events, setting, and/or characters.</w:t>
            </w:r>
          </w:p>
          <w:p w14:paraId="272C22C4" w14:textId="77777777" w:rsidR="00CB3104" w:rsidRPr="00CB3104" w:rsidRDefault="00CB3104" w:rsidP="00CB3104">
            <w:pPr>
              <w:pStyle w:val="SubStandard"/>
              <w:rPr>
                <w:rFonts w:ascii="Times" w:hAnsi="Times"/>
                <w:sz w:val="20"/>
                <w:szCs w:val="20"/>
                <w:lang w:eastAsia="fr-FR"/>
              </w:rPr>
            </w:pPr>
            <w:r w:rsidRPr="00CB3104">
              <w:rPr>
                <w:lang w:eastAsia="fr-FR"/>
              </w:rPr>
              <w:t>Provide a conclusion that follows from and reflects on what is experienced, observed, or resolved over the course of the narrative.</w:t>
            </w:r>
          </w:p>
          <w:p w14:paraId="633E815B" w14:textId="77777777" w:rsidR="009F05C7" w:rsidRDefault="00CB3104" w:rsidP="009F05C7">
            <w:pPr>
              <w:pStyle w:val="SubStandard"/>
            </w:pPr>
            <w:r w:rsidRPr="00CB3104">
              <w:rPr>
                <w:lang w:eastAsia="fr-FR"/>
              </w:rPr>
              <w:t xml:space="preserve">Adapt voice, awareness of audience, and use of language to accommodate a variety of cultural contexts. </w:t>
            </w:r>
          </w:p>
        </w:tc>
      </w:tr>
      <w:tr w:rsidR="00790BCC" w:rsidRPr="00790BCC" w14:paraId="54FDC309" w14:textId="77777777">
        <w:tc>
          <w:tcPr>
            <w:tcW w:w="9360" w:type="dxa"/>
            <w:gridSpan w:val="2"/>
            <w:shd w:val="clear" w:color="auto" w:fill="76923C"/>
          </w:tcPr>
          <w:p w14:paraId="37D08151" w14:textId="77777777" w:rsidR="00790BCC" w:rsidRPr="00790BCC" w:rsidRDefault="00790BCC" w:rsidP="007017EB">
            <w:pPr>
              <w:pStyle w:val="TableHeaders"/>
            </w:pPr>
            <w:r w:rsidRPr="00790BCC">
              <w:t>Addressed Standard(s)</w:t>
            </w:r>
          </w:p>
        </w:tc>
      </w:tr>
      <w:tr w:rsidR="00790BCC" w:rsidRPr="00790BCC" w14:paraId="694A8012" w14:textId="77777777">
        <w:tc>
          <w:tcPr>
            <w:tcW w:w="1329" w:type="dxa"/>
          </w:tcPr>
          <w:p w14:paraId="26301C78" w14:textId="77777777" w:rsidR="00790BCC" w:rsidRPr="00790BCC" w:rsidRDefault="00CB3104" w:rsidP="007017EB">
            <w:pPr>
              <w:pStyle w:val="TableText"/>
            </w:pPr>
            <w:r>
              <w:t>W.11-12.6</w:t>
            </w:r>
          </w:p>
        </w:tc>
        <w:tc>
          <w:tcPr>
            <w:tcW w:w="8031" w:type="dxa"/>
          </w:tcPr>
          <w:p w14:paraId="1EC0E629" w14:textId="77777777" w:rsidR="009F05C7" w:rsidRDefault="00CB3104" w:rsidP="00124047">
            <w:pPr>
              <w:pStyle w:val="TableText"/>
              <w:spacing w:before="2" w:after="2"/>
              <w:rPr>
                <w:rFonts w:ascii="Times" w:hAnsi="Times"/>
                <w:lang w:eastAsia="fr-FR"/>
              </w:rPr>
            </w:pPr>
            <w:r w:rsidRPr="00CB3104">
              <w:rPr>
                <w:lang w:eastAsia="fr-FR"/>
              </w:rPr>
              <w:t xml:space="preserve">Use technology, including the Internet, to produce, publish, and update individual or </w:t>
            </w:r>
            <w:r w:rsidRPr="00CB3104">
              <w:rPr>
                <w:lang w:eastAsia="fr-FR"/>
              </w:rPr>
              <w:lastRenderedPageBreak/>
              <w:t xml:space="preserve">shared writing products in response to ongoing feedback, including new arguments or information. </w:t>
            </w:r>
          </w:p>
        </w:tc>
      </w:tr>
    </w:tbl>
    <w:p w14:paraId="6A200FD3"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427E901" w14:textId="77777777">
        <w:tc>
          <w:tcPr>
            <w:tcW w:w="9360" w:type="dxa"/>
            <w:shd w:val="clear" w:color="auto" w:fill="76923C"/>
          </w:tcPr>
          <w:p w14:paraId="6B0BF0F5" w14:textId="77777777" w:rsidR="00790BCC" w:rsidRPr="00790BCC" w:rsidRDefault="00790BCC" w:rsidP="007017EB">
            <w:pPr>
              <w:pStyle w:val="TableHeaders"/>
            </w:pPr>
            <w:r w:rsidRPr="00790BCC">
              <w:t>Assessment(s)</w:t>
            </w:r>
          </w:p>
        </w:tc>
      </w:tr>
      <w:tr w:rsidR="00790BCC" w:rsidRPr="00790BCC" w14:paraId="21B31665" w14:textId="77777777">
        <w:tc>
          <w:tcPr>
            <w:tcW w:w="9360" w:type="dxa"/>
            <w:tcBorders>
              <w:top w:val="single" w:sz="4" w:space="0" w:color="auto"/>
              <w:left w:val="single" w:sz="4" w:space="0" w:color="auto"/>
              <w:bottom w:val="single" w:sz="4" w:space="0" w:color="auto"/>
              <w:right w:val="single" w:sz="4" w:space="0" w:color="auto"/>
            </w:tcBorders>
          </w:tcPr>
          <w:p w14:paraId="4A22AAE6" w14:textId="77777777" w:rsidR="00191E4B" w:rsidRPr="005420E9" w:rsidRDefault="00191E4B" w:rsidP="00191E4B">
            <w:pPr>
              <w:pStyle w:val="BulletedList"/>
              <w:numPr>
                <w:ilvl w:val="0"/>
                <w:numId w:val="0"/>
              </w:numPr>
              <w:ind w:left="317" w:hanging="317"/>
            </w:pPr>
            <w:r w:rsidRPr="005420E9">
              <w:t xml:space="preserve">Student learning in this lesson is assessed via the </w:t>
            </w:r>
            <w:r w:rsidR="00D8029F">
              <w:t>incorporation of peer feedback.</w:t>
            </w:r>
            <w:r w:rsidRPr="005420E9">
              <w:t xml:space="preserve"> </w:t>
            </w:r>
          </w:p>
          <w:p w14:paraId="2F0303BC" w14:textId="77777777" w:rsidR="00790BCC" w:rsidRPr="00895B26" w:rsidRDefault="00191E4B" w:rsidP="008C4BA9">
            <w:pPr>
              <w:pStyle w:val="IN"/>
              <w:rPr>
                <w:rFonts w:ascii="Times" w:hAnsi="Times"/>
                <w:sz w:val="20"/>
                <w:szCs w:val="20"/>
                <w:lang w:eastAsia="fr-FR"/>
              </w:rPr>
            </w:pPr>
            <w:r w:rsidRPr="005420E9">
              <w:t xml:space="preserve"> </w:t>
            </w:r>
            <w:r w:rsidR="008C4BA9">
              <w:t>Peer revisions will be assessed</w:t>
            </w:r>
            <w:r w:rsidR="00D8029F">
              <w:t xml:space="preserve"> using the W.11-12.3.a-</w:t>
            </w:r>
            <w:r>
              <w:t>f</w:t>
            </w:r>
            <w:r w:rsidRPr="005420E9">
              <w:t xml:space="preserve"> portion</w:t>
            </w:r>
            <w:r>
              <w:t xml:space="preserve">s of the </w:t>
            </w:r>
            <w:r w:rsidR="00764089">
              <w:t xml:space="preserve">12.1 </w:t>
            </w:r>
            <w:r w:rsidR="00702E1E">
              <w:t>Narrative Writing</w:t>
            </w:r>
            <w:r w:rsidRPr="005420E9">
              <w:t xml:space="preserve"> Rubric.</w:t>
            </w:r>
          </w:p>
        </w:tc>
      </w:tr>
      <w:tr w:rsidR="00790BCC" w:rsidRPr="00790BCC" w14:paraId="2F550A32" w14:textId="77777777">
        <w:tc>
          <w:tcPr>
            <w:tcW w:w="9360" w:type="dxa"/>
            <w:shd w:val="clear" w:color="auto" w:fill="76923C"/>
          </w:tcPr>
          <w:p w14:paraId="6E6EE506" w14:textId="77777777" w:rsidR="00790BCC" w:rsidRPr="00790BCC" w:rsidRDefault="00790BCC" w:rsidP="007017EB">
            <w:pPr>
              <w:pStyle w:val="TableHeaders"/>
            </w:pPr>
            <w:r w:rsidRPr="00790BCC">
              <w:t>High Performance Response(s)</w:t>
            </w:r>
          </w:p>
        </w:tc>
      </w:tr>
      <w:tr w:rsidR="00790BCC" w:rsidRPr="00790BCC" w14:paraId="0FCA3E5A" w14:textId="77777777">
        <w:tc>
          <w:tcPr>
            <w:tcW w:w="9360" w:type="dxa"/>
          </w:tcPr>
          <w:p w14:paraId="6C74F31B" w14:textId="77777777" w:rsidR="009E027E" w:rsidRDefault="00790BCC" w:rsidP="009E027E">
            <w:pPr>
              <w:pStyle w:val="TableText"/>
            </w:pPr>
            <w:r w:rsidRPr="008F28E1">
              <w:t>A High Performance Response should</w:t>
            </w:r>
            <w:r w:rsidR="009E027E">
              <w:t xml:space="preserve">: </w:t>
            </w:r>
          </w:p>
          <w:p w14:paraId="5D9F55EE" w14:textId="77777777" w:rsidR="00E463CE" w:rsidRPr="002639A0" w:rsidRDefault="00E463CE" w:rsidP="00E463CE">
            <w:pPr>
              <w:pStyle w:val="BulletedList"/>
              <w:ind w:left="317" w:hanging="317"/>
            </w:pPr>
            <w:r w:rsidRPr="002639A0">
              <w:t>Include thoughtful responses on</w:t>
            </w:r>
            <w:r>
              <w:t xml:space="preserve"> the</w:t>
            </w:r>
            <w:r w:rsidRPr="002639A0">
              <w:t xml:space="preserve"> Peer Review Tool (Final Decision and Explanation Column) that describe how the student chose to address their peers’ concerns and suggestions (e.g.</w:t>
            </w:r>
            <w:r>
              <w:t>, Try to engage and orient the reader a bit more. Begin with a stronger lead sentence and ensure the reader knows what you are talking about</w:t>
            </w:r>
            <w:r>
              <w:rPr>
                <w:rFonts w:asciiTheme="minorHAnsi" w:hAnsiTheme="minorHAnsi"/>
              </w:rPr>
              <w:t>.</w:t>
            </w:r>
            <w:r w:rsidRPr="002639A0">
              <w:t>).</w:t>
            </w:r>
          </w:p>
          <w:p w14:paraId="44B086DE" w14:textId="77777777" w:rsidR="00E463CE" w:rsidRPr="002639A0" w:rsidRDefault="00E463CE" w:rsidP="00FA786D">
            <w:pPr>
              <w:pStyle w:val="BulletedList"/>
            </w:pPr>
            <w:r w:rsidRPr="002639A0">
              <w:t xml:space="preserve">Effectively integrate at least one suggestion or revision, as appropriate, into the draft of the </w:t>
            </w:r>
            <w:r>
              <w:t>narrative essay</w:t>
            </w:r>
            <w:r w:rsidRPr="002639A0">
              <w:t xml:space="preserve"> (e.g</w:t>
            </w:r>
            <w:r w:rsidR="00BF30B6">
              <w:t>.,</w:t>
            </w:r>
            <w:r w:rsidRPr="00965ED6">
              <w:t xml:space="preserve"> I </w:t>
            </w:r>
            <w:r>
              <w:t xml:space="preserve">added two sentences in the beginning to help grab the reader’s attention and orient </w:t>
            </w:r>
            <w:r w:rsidR="00AC3F96">
              <w:t>the reader</w:t>
            </w:r>
            <w:r>
              <w:t>: “</w:t>
            </w:r>
            <w:r w:rsidR="00FA786D" w:rsidRPr="00FA786D">
              <w:t>If my life to date were a novel, the motif would be shoes. Shoes have made a huge impact on my lif</w:t>
            </w:r>
            <w:r w:rsidR="00FA786D">
              <w:t>e in ways varied and unexpected</w:t>
            </w:r>
            <w:r>
              <w:t>.”</w:t>
            </w:r>
            <w:r w:rsidRPr="002639A0">
              <w:t>).</w:t>
            </w:r>
          </w:p>
          <w:p w14:paraId="4332D2B5" w14:textId="77777777" w:rsidR="00451422" w:rsidRDefault="00E463CE" w:rsidP="00BF30B6">
            <w:pPr>
              <w:pStyle w:val="IN"/>
              <w:rPr>
                <w:b/>
                <w:bCs/>
                <w:i/>
                <w:sz w:val="26"/>
                <w:szCs w:val="26"/>
              </w:rPr>
            </w:pPr>
            <w:r w:rsidRPr="002639A0">
              <w:t xml:space="preserve">See </w:t>
            </w:r>
            <w:r>
              <w:t xml:space="preserve">the </w:t>
            </w:r>
            <w:r w:rsidRPr="002639A0">
              <w:t xml:space="preserve">Model Peer Review Tool for more </w:t>
            </w:r>
            <w:r w:rsidR="00BF30B6">
              <w:t>examples</w:t>
            </w:r>
            <w:r w:rsidRPr="002639A0">
              <w:t>.</w:t>
            </w:r>
          </w:p>
        </w:tc>
      </w:tr>
    </w:tbl>
    <w:p w14:paraId="5CC6B8F1"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9595F61" w14:textId="77777777">
        <w:tc>
          <w:tcPr>
            <w:tcW w:w="9360" w:type="dxa"/>
            <w:shd w:val="clear" w:color="auto" w:fill="76923C"/>
          </w:tcPr>
          <w:p w14:paraId="4EB1E2DF" w14:textId="77777777" w:rsidR="00790BCC" w:rsidRPr="00790BCC" w:rsidRDefault="00790BCC" w:rsidP="00D31F4D">
            <w:pPr>
              <w:pStyle w:val="TableHeaders"/>
            </w:pPr>
            <w:r w:rsidRPr="00790BCC">
              <w:t>Vocabulary to provide directly (will not include extended instruction)</w:t>
            </w:r>
          </w:p>
        </w:tc>
      </w:tr>
      <w:tr w:rsidR="00790BCC" w:rsidRPr="00790BCC" w14:paraId="4299DD46" w14:textId="77777777">
        <w:tc>
          <w:tcPr>
            <w:tcW w:w="9360" w:type="dxa"/>
          </w:tcPr>
          <w:p w14:paraId="14ACC1F7" w14:textId="77777777" w:rsidR="00790BCC" w:rsidRPr="00790BCC" w:rsidRDefault="00191E4B" w:rsidP="00D31F4D">
            <w:pPr>
              <w:pStyle w:val="BulletedList"/>
            </w:pPr>
            <w:r>
              <w:t>None.*</w:t>
            </w:r>
          </w:p>
        </w:tc>
      </w:tr>
      <w:tr w:rsidR="00790BCC" w:rsidRPr="00790BCC" w14:paraId="2E1A5842" w14:textId="77777777">
        <w:tc>
          <w:tcPr>
            <w:tcW w:w="9360" w:type="dxa"/>
            <w:shd w:val="clear" w:color="auto" w:fill="76923C"/>
          </w:tcPr>
          <w:p w14:paraId="23CA9748" w14:textId="77777777" w:rsidR="00790BCC" w:rsidRPr="00790BCC" w:rsidRDefault="00790BCC" w:rsidP="00D31F4D">
            <w:pPr>
              <w:pStyle w:val="TableHeaders"/>
            </w:pPr>
            <w:r w:rsidRPr="00790BCC">
              <w:t>Vocabulary to teach (may include direct word work and/or questions)</w:t>
            </w:r>
          </w:p>
        </w:tc>
      </w:tr>
      <w:tr w:rsidR="00790BCC" w:rsidRPr="00790BCC" w14:paraId="1F71AC9E" w14:textId="77777777">
        <w:tc>
          <w:tcPr>
            <w:tcW w:w="9360" w:type="dxa"/>
          </w:tcPr>
          <w:p w14:paraId="43B8B12C" w14:textId="77777777" w:rsidR="00790BCC" w:rsidRPr="00790BCC" w:rsidRDefault="00191E4B" w:rsidP="00D31F4D">
            <w:pPr>
              <w:pStyle w:val="BulletedList"/>
            </w:pPr>
            <w:r>
              <w:t>None.*</w:t>
            </w:r>
          </w:p>
        </w:tc>
      </w:tr>
      <w:tr w:rsidR="00790BCC" w:rsidRPr="00790BCC" w14:paraId="519BA41C"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66F7F5C0"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12B8F4B" w14:textId="77777777">
        <w:tc>
          <w:tcPr>
            <w:tcW w:w="9360" w:type="dxa"/>
            <w:tcBorders>
              <w:top w:val="single" w:sz="4" w:space="0" w:color="auto"/>
              <w:left w:val="single" w:sz="4" w:space="0" w:color="auto"/>
              <w:bottom w:val="single" w:sz="4" w:space="0" w:color="auto"/>
              <w:right w:val="single" w:sz="4" w:space="0" w:color="auto"/>
            </w:tcBorders>
          </w:tcPr>
          <w:p w14:paraId="5AF3AC73" w14:textId="77777777" w:rsidR="00790BCC" w:rsidRPr="00790BCC" w:rsidRDefault="00191E4B" w:rsidP="00D31F4D">
            <w:pPr>
              <w:pStyle w:val="BulletedList"/>
            </w:pPr>
            <w:r>
              <w:t>None.*</w:t>
            </w:r>
          </w:p>
        </w:tc>
      </w:tr>
    </w:tbl>
    <w:p w14:paraId="0F251015" w14:textId="730D18E6" w:rsidR="009F05C7" w:rsidRPr="009B51DA" w:rsidRDefault="00EE5C73" w:rsidP="009B51DA">
      <w:pPr>
        <w:rPr>
          <w:sz w:val="18"/>
          <w:szCs w:val="18"/>
        </w:rPr>
      </w:pPr>
      <w:r w:rsidRPr="009B51DA">
        <w:rPr>
          <w:sz w:val="18"/>
          <w:szCs w:val="18"/>
        </w:rPr>
        <w:t xml:space="preserve">* </w:t>
      </w:r>
      <w:r w:rsidR="009F05C7" w:rsidRPr="009B51DA">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w:t>
      </w:r>
      <w:r w:rsidR="00AC3F96" w:rsidRPr="009B51DA">
        <w:rPr>
          <w:sz w:val="18"/>
          <w:szCs w:val="18"/>
        </w:rPr>
        <w:t>:</w:t>
      </w:r>
      <w:r w:rsidR="009F05C7" w:rsidRPr="009B51DA">
        <w:rPr>
          <w:sz w:val="18"/>
          <w:szCs w:val="18"/>
        </w:rPr>
        <w:t xml:space="preserve"> </w:t>
      </w:r>
      <w:hyperlink r:id="rId8" w:history="1">
        <w:r w:rsidR="009B51DA" w:rsidRPr="003C0DF5">
          <w:rPr>
            <w:rStyle w:val="Hyperlink"/>
            <w:sz w:val="18"/>
            <w:szCs w:val="18"/>
          </w:rPr>
          <w:t>http://www.engageny.org/sites/default/files/resource/attachments/9-12_ela_prefatory_material.pdf</w:t>
        </w:r>
      </w:hyperlink>
      <w:r w:rsidR="009B51DA">
        <w:rPr>
          <w:sz w:val="18"/>
          <w:szCs w:val="18"/>
        </w:rPr>
        <w:t xml:space="preserve"> </w:t>
      </w:r>
    </w:p>
    <w:p w14:paraId="1BE6B552" w14:textId="77777777" w:rsidR="00790BCC" w:rsidRPr="00790BCC" w:rsidRDefault="00FA786D" w:rsidP="00D31F4D">
      <w:pPr>
        <w:pStyle w:val="Heading1"/>
      </w:pPr>
      <w:r>
        <w:lastRenderedPageBreak/>
        <w:t>Le</w:t>
      </w:r>
      <w:r w:rsidR="00790BCC" w:rsidRPr="00790BCC">
        <w:t>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54A3B22D" w14:textId="77777777">
        <w:tc>
          <w:tcPr>
            <w:tcW w:w="7650" w:type="dxa"/>
            <w:tcBorders>
              <w:bottom w:val="single" w:sz="4" w:space="0" w:color="auto"/>
            </w:tcBorders>
            <w:shd w:val="clear" w:color="auto" w:fill="76923C"/>
          </w:tcPr>
          <w:p w14:paraId="7CC6CD66"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71C2AE40" w14:textId="77777777" w:rsidR="00790BCC" w:rsidRPr="00790BCC" w:rsidRDefault="00790BCC" w:rsidP="00D31F4D">
            <w:pPr>
              <w:pStyle w:val="TableHeaders"/>
            </w:pPr>
            <w:r w:rsidRPr="00790BCC">
              <w:t>% of Lesson</w:t>
            </w:r>
          </w:p>
        </w:tc>
      </w:tr>
      <w:tr w:rsidR="00790BCC" w:rsidRPr="00790BCC" w14:paraId="00D2CC5E" w14:textId="77777777">
        <w:trPr>
          <w:trHeight w:val="1008"/>
        </w:trPr>
        <w:tc>
          <w:tcPr>
            <w:tcW w:w="7650" w:type="dxa"/>
            <w:tcBorders>
              <w:bottom w:val="nil"/>
            </w:tcBorders>
          </w:tcPr>
          <w:p w14:paraId="26F75BF7" w14:textId="77777777" w:rsidR="00790BCC" w:rsidRPr="00D31F4D" w:rsidRDefault="002D7D4B" w:rsidP="00D31F4D">
            <w:pPr>
              <w:pStyle w:val="TableText"/>
              <w:rPr>
                <w:b/>
              </w:rPr>
            </w:pPr>
            <w:r>
              <w:rPr>
                <w:b/>
              </w:rPr>
              <w:t>Standards:</w:t>
            </w:r>
          </w:p>
          <w:p w14:paraId="7A8FD09E" w14:textId="77777777" w:rsidR="009F05C7" w:rsidRDefault="00191E4B" w:rsidP="00140915">
            <w:pPr>
              <w:pStyle w:val="BulletedList"/>
            </w:pPr>
            <w:r>
              <w:t>Standards: W.11-12.3.a-f, W.11-12.6</w:t>
            </w:r>
          </w:p>
        </w:tc>
        <w:tc>
          <w:tcPr>
            <w:tcW w:w="1705" w:type="dxa"/>
            <w:tcBorders>
              <w:bottom w:val="nil"/>
            </w:tcBorders>
          </w:tcPr>
          <w:p w14:paraId="7A433EF2" w14:textId="77777777" w:rsidR="00790BCC" w:rsidRPr="00790BCC" w:rsidRDefault="00790BCC" w:rsidP="00790BCC">
            <w:pPr>
              <w:spacing w:after="60" w:line="240" w:lineRule="auto"/>
            </w:pPr>
          </w:p>
        </w:tc>
      </w:tr>
      <w:tr w:rsidR="00790BCC" w:rsidRPr="00790BCC" w14:paraId="1D9264A4" w14:textId="77777777">
        <w:tc>
          <w:tcPr>
            <w:tcW w:w="7650" w:type="dxa"/>
            <w:tcBorders>
              <w:top w:val="nil"/>
            </w:tcBorders>
          </w:tcPr>
          <w:p w14:paraId="31F6EEC4" w14:textId="77777777" w:rsidR="00790BCC" w:rsidRPr="00D31F4D" w:rsidRDefault="00790BCC" w:rsidP="00D31F4D">
            <w:pPr>
              <w:pStyle w:val="TableText"/>
              <w:rPr>
                <w:b/>
              </w:rPr>
            </w:pPr>
            <w:r w:rsidRPr="00D31F4D">
              <w:rPr>
                <w:b/>
              </w:rPr>
              <w:t>Learning Sequence:</w:t>
            </w:r>
          </w:p>
          <w:p w14:paraId="6932AD05" w14:textId="77777777" w:rsidR="00790BCC" w:rsidRPr="00790BCC" w:rsidRDefault="00790BCC" w:rsidP="00D31F4D">
            <w:pPr>
              <w:pStyle w:val="NumberedList"/>
            </w:pPr>
            <w:r w:rsidRPr="00790BCC">
              <w:t>Introduction of Lesson Agenda</w:t>
            </w:r>
          </w:p>
          <w:p w14:paraId="582479A9" w14:textId="77777777" w:rsidR="004D413D" w:rsidRDefault="00790BCC" w:rsidP="00D31F4D">
            <w:pPr>
              <w:pStyle w:val="NumberedList"/>
            </w:pPr>
            <w:r w:rsidRPr="00790BCC">
              <w:t>Homework Accountability</w:t>
            </w:r>
          </w:p>
          <w:p w14:paraId="0A5C2CA7" w14:textId="77777777" w:rsidR="00790BCC" w:rsidRPr="00790BCC" w:rsidRDefault="00C02EC3" w:rsidP="00D31F4D">
            <w:pPr>
              <w:pStyle w:val="NumberedList"/>
            </w:pPr>
            <w:r>
              <w:t xml:space="preserve">Peer Review and </w:t>
            </w:r>
            <w:r w:rsidR="005518E6">
              <w:t>Revising</w:t>
            </w:r>
          </w:p>
          <w:p w14:paraId="0D29B77F" w14:textId="77777777" w:rsidR="00790BCC" w:rsidRPr="00790BCC" w:rsidRDefault="00790BCC" w:rsidP="00D31F4D">
            <w:pPr>
              <w:pStyle w:val="NumberedList"/>
            </w:pPr>
            <w:r w:rsidRPr="00790BCC">
              <w:t>Closing</w:t>
            </w:r>
          </w:p>
        </w:tc>
        <w:tc>
          <w:tcPr>
            <w:tcW w:w="1705" w:type="dxa"/>
            <w:tcBorders>
              <w:top w:val="nil"/>
            </w:tcBorders>
          </w:tcPr>
          <w:p w14:paraId="147138CA" w14:textId="77777777" w:rsidR="00790BCC" w:rsidRPr="00790BCC" w:rsidRDefault="00790BCC" w:rsidP="00790BCC">
            <w:pPr>
              <w:spacing w:before="40" w:after="40"/>
            </w:pPr>
          </w:p>
          <w:p w14:paraId="569C52F5" w14:textId="77777777" w:rsidR="00790BCC" w:rsidRPr="00790BCC" w:rsidRDefault="00C02EC3" w:rsidP="00D31F4D">
            <w:pPr>
              <w:pStyle w:val="NumberedList"/>
              <w:numPr>
                <w:ilvl w:val="0"/>
                <w:numId w:val="13"/>
              </w:numPr>
            </w:pPr>
            <w:r>
              <w:t>10</w:t>
            </w:r>
            <w:r w:rsidR="00790BCC" w:rsidRPr="00790BCC">
              <w:t>%</w:t>
            </w:r>
          </w:p>
          <w:p w14:paraId="462755F9" w14:textId="77777777" w:rsidR="004D413D" w:rsidRDefault="00B70DA6" w:rsidP="00D31F4D">
            <w:pPr>
              <w:pStyle w:val="NumberedList"/>
              <w:numPr>
                <w:ilvl w:val="0"/>
                <w:numId w:val="13"/>
              </w:numPr>
            </w:pPr>
            <w:r>
              <w:t>20</w:t>
            </w:r>
            <w:r w:rsidR="00790BCC" w:rsidRPr="00790BCC">
              <w:t>%</w:t>
            </w:r>
          </w:p>
          <w:p w14:paraId="6E1A0A8B" w14:textId="77777777" w:rsidR="00790BCC" w:rsidRPr="00790BCC" w:rsidRDefault="00B70DA6" w:rsidP="00C02EC3">
            <w:pPr>
              <w:pStyle w:val="NumberedList"/>
              <w:numPr>
                <w:ilvl w:val="0"/>
                <w:numId w:val="13"/>
              </w:numPr>
            </w:pPr>
            <w:r>
              <w:t>65</w:t>
            </w:r>
            <w:r w:rsidR="00790BCC" w:rsidRPr="00790BCC">
              <w:t>%</w:t>
            </w:r>
          </w:p>
          <w:p w14:paraId="78137592" w14:textId="77777777" w:rsidR="00790BCC" w:rsidRPr="00790BCC" w:rsidRDefault="00790BCC" w:rsidP="00D31F4D">
            <w:pPr>
              <w:pStyle w:val="NumberedList"/>
              <w:numPr>
                <w:ilvl w:val="0"/>
                <w:numId w:val="13"/>
              </w:numPr>
            </w:pPr>
            <w:r w:rsidRPr="00790BCC">
              <w:t>5%</w:t>
            </w:r>
          </w:p>
        </w:tc>
      </w:tr>
    </w:tbl>
    <w:p w14:paraId="142BB223" w14:textId="77777777" w:rsidR="00790BCC" w:rsidRPr="00790BCC" w:rsidRDefault="00790BCC" w:rsidP="00D31F4D">
      <w:pPr>
        <w:pStyle w:val="Heading1"/>
      </w:pPr>
      <w:r w:rsidRPr="00790BCC">
        <w:t>Materials</w:t>
      </w:r>
    </w:p>
    <w:p w14:paraId="6B5D91EC" w14:textId="77777777" w:rsidR="004D413D" w:rsidRDefault="00352C7B" w:rsidP="00D31F4D">
      <w:pPr>
        <w:pStyle w:val="BulletedList"/>
      </w:pPr>
      <w:r>
        <w:t xml:space="preserve">Student copies of the </w:t>
      </w:r>
      <w:r w:rsidR="002F48B4" w:rsidRPr="007C11C6">
        <w:t>1</w:t>
      </w:r>
      <w:r w:rsidR="002F48B4">
        <w:t>2</w:t>
      </w:r>
      <w:r w:rsidR="002D7D4B">
        <w:t>.1</w:t>
      </w:r>
      <w:r w:rsidR="002F48B4" w:rsidRPr="007C11C6">
        <w:t xml:space="preserve"> Common Core Learning Standards Tool</w:t>
      </w:r>
      <w:r>
        <w:t xml:space="preserve"> (refer to 12.1.1 Lesson 1)</w:t>
      </w:r>
      <w:r w:rsidR="00AD7CAE">
        <w:t xml:space="preserve"> (optional)</w:t>
      </w:r>
    </w:p>
    <w:p w14:paraId="7FB40730" w14:textId="77777777" w:rsidR="00620A6B" w:rsidRDefault="00620A6B" w:rsidP="00AD7CAE">
      <w:pPr>
        <w:pStyle w:val="BulletedList"/>
      </w:pPr>
      <w:r w:rsidRPr="00620A6B">
        <w:t>Student copies of the 12.1 Performance Assessment Rubric and Checklist (refer to 12.1.3 Lesson 2)</w:t>
      </w:r>
    </w:p>
    <w:p w14:paraId="3884B167" w14:textId="77777777" w:rsidR="00BF30B6" w:rsidRDefault="00AD7CAE" w:rsidP="00AD7CAE">
      <w:pPr>
        <w:pStyle w:val="BulletedList"/>
      </w:pPr>
      <w:r>
        <w:t xml:space="preserve">Student copies of the </w:t>
      </w:r>
      <w:r w:rsidR="00764089">
        <w:t xml:space="preserve">12.1 </w:t>
      </w:r>
      <w:r>
        <w:t>Narrative Rubric and Checklist (refer to 12.1.1 Lesson 2)</w:t>
      </w:r>
    </w:p>
    <w:p w14:paraId="559684B9" w14:textId="77777777" w:rsidR="00AD7CAE" w:rsidRDefault="00BF30B6" w:rsidP="00BF30B6">
      <w:pPr>
        <w:pStyle w:val="BulletedList"/>
      </w:pPr>
      <w:r>
        <w:t xml:space="preserve">Copies of the Peer Review Tool for each student </w:t>
      </w:r>
    </w:p>
    <w:p w14:paraId="0A6E91EA"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14266B72" w14:textId="77777777">
        <w:tc>
          <w:tcPr>
            <w:tcW w:w="9360" w:type="dxa"/>
            <w:gridSpan w:val="2"/>
            <w:shd w:val="clear" w:color="auto" w:fill="76923C"/>
          </w:tcPr>
          <w:p w14:paraId="4EE07647" w14:textId="77777777" w:rsidR="00D31F4D" w:rsidRPr="00D31F4D" w:rsidRDefault="00D31F4D" w:rsidP="009450B7">
            <w:pPr>
              <w:pStyle w:val="TableHeaders"/>
            </w:pPr>
            <w:r w:rsidRPr="009450B7">
              <w:rPr>
                <w:sz w:val="22"/>
              </w:rPr>
              <w:t>How to Use the Learning Sequence</w:t>
            </w:r>
          </w:p>
        </w:tc>
      </w:tr>
      <w:tr w:rsidR="00D31F4D" w:rsidRPr="00D31F4D" w14:paraId="08EFB08D" w14:textId="77777777">
        <w:tc>
          <w:tcPr>
            <w:tcW w:w="894" w:type="dxa"/>
            <w:shd w:val="clear" w:color="auto" w:fill="76923C"/>
          </w:tcPr>
          <w:p w14:paraId="20F4AC3D"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5805FFF"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349FBBA" w14:textId="77777777">
        <w:tc>
          <w:tcPr>
            <w:tcW w:w="894" w:type="dxa"/>
          </w:tcPr>
          <w:p w14:paraId="6E54CED0"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468EE73D"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82D1B5F" w14:textId="77777777">
        <w:tc>
          <w:tcPr>
            <w:tcW w:w="894" w:type="dxa"/>
            <w:vMerge w:val="restart"/>
            <w:vAlign w:val="center"/>
          </w:tcPr>
          <w:p w14:paraId="784B1656"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3A4E689" w14:textId="77777777" w:rsidR="00D31F4D" w:rsidRPr="00D31F4D" w:rsidRDefault="00D31F4D" w:rsidP="00D31F4D">
            <w:pPr>
              <w:spacing w:before="20" w:after="20" w:line="240" w:lineRule="auto"/>
            </w:pPr>
            <w:r w:rsidRPr="00D31F4D">
              <w:t>Plain text indicates teacher action.</w:t>
            </w:r>
          </w:p>
        </w:tc>
      </w:tr>
      <w:tr w:rsidR="00D31F4D" w:rsidRPr="00D31F4D" w14:paraId="2C3129F4" w14:textId="77777777">
        <w:tc>
          <w:tcPr>
            <w:tcW w:w="894" w:type="dxa"/>
            <w:vMerge/>
          </w:tcPr>
          <w:p w14:paraId="157FB9E5" w14:textId="77777777" w:rsidR="00D31F4D" w:rsidRPr="00D31F4D" w:rsidRDefault="00D31F4D" w:rsidP="00D31F4D">
            <w:pPr>
              <w:spacing w:before="20" w:after="20" w:line="240" w:lineRule="auto"/>
              <w:jc w:val="center"/>
              <w:rPr>
                <w:b/>
                <w:color w:val="000000"/>
              </w:rPr>
            </w:pPr>
          </w:p>
        </w:tc>
        <w:tc>
          <w:tcPr>
            <w:tcW w:w="8466" w:type="dxa"/>
          </w:tcPr>
          <w:p w14:paraId="600B4A60"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6ADCBAA" w14:textId="77777777">
        <w:tc>
          <w:tcPr>
            <w:tcW w:w="894" w:type="dxa"/>
            <w:vMerge/>
          </w:tcPr>
          <w:p w14:paraId="752350C0" w14:textId="77777777" w:rsidR="00D31F4D" w:rsidRPr="00D31F4D" w:rsidRDefault="00D31F4D" w:rsidP="00D31F4D">
            <w:pPr>
              <w:spacing w:before="20" w:after="20" w:line="240" w:lineRule="auto"/>
              <w:jc w:val="center"/>
              <w:rPr>
                <w:b/>
                <w:color w:val="000000"/>
              </w:rPr>
            </w:pPr>
          </w:p>
        </w:tc>
        <w:tc>
          <w:tcPr>
            <w:tcW w:w="8466" w:type="dxa"/>
          </w:tcPr>
          <w:p w14:paraId="66DDD128"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01B9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46B1452" w14:textId="77777777" w:rsidR="00D31F4D" w:rsidRPr="00D31F4D" w:rsidRDefault="00D31F4D" w:rsidP="00D31F4D">
            <w:pPr>
              <w:spacing w:before="40" w:after="0" w:line="240" w:lineRule="auto"/>
              <w:jc w:val="center"/>
            </w:pPr>
            <w:r w:rsidRPr="00D31F4D">
              <w:sym w:font="Webdings" w:char="F034"/>
            </w:r>
          </w:p>
        </w:tc>
        <w:tc>
          <w:tcPr>
            <w:tcW w:w="8466" w:type="dxa"/>
          </w:tcPr>
          <w:p w14:paraId="0AF76648" w14:textId="77777777" w:rsidR="00D31F4D" w:rsidRPr="00D31F4D" w:rsidRDefault="00D31F4D" w:rsidP="00D31F4D">
            <w:pPr>
              <w:spacing w:before="20" w:after="20" w:line="240" w:lineRule="auto"/>
            </w:pPr>
            <w:r w:rsidRPr="00D31F4D">
              <w:t>Indicates student action(s).</w:t>
            </w:r>
          </w:p>
        </w:tc>
      </w:tr>
      <w:tr w:rsidR="00D31F4D" w:rsidRPr="00D31F4D" w14:paraId="04528B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EC25540" w14:textId="77777777" w:rsidR="00D31F4D" w:rsidRPr="00D31F4D" w:rsidRDefault="00D31F4D" w:rsidP="00D31F4D">
            <w:pPr>
              <w:spacing w:before="80" w:after="0" w:line="240" w:lineRule="auto"/>
              <w:jc w:val="center"/>
            </w:pPr>
            <w:r w:rsidRPr="00D31F4D">
              <w:sym w:font="Webdings" w:char="F028"/>
            </w:r>
          </w:p>
        </w:tc>
        <w:tc>
          <w:tcPr>
            <w:tcW w:w="8466" w:type="dxa"/>
          </w:tcPr>
          <w:p w14:paraId="104D6619"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6B9C3412" w14:textId="77777777">
        <w:tc>
          <w:tcPr>
            <w:tcW w:w="894" w:type="dxa"/>
            <w:vAlign w:val="bottom"/>
          </w:tcPr>
          <w:p w14:paraId="6DBE6CBD"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3D5E7430"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62868030" w14:textId="77777777" w:rsidR="00790BCC" w:rsidRPr="00790BCC" w:rsidRDefault="00790BCC" w:rsidP="00AC3F96">
      <w:pPr>
        <w:keepNext/>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 Introduction of Lesson Agenda</w:t>
      </w:r>
      <w:r w:rsidRPr="00790BCC">
        <w:rPr>
          <w:b/>
          <w:bCs/>
          <w:color w:val="4F81BD"/>
          <w:sz w:val="28"/>
          <w:szCs w:val="26"/>
        </w:rPr>
        <w:tab/>
      </w:r>
      <w:r w:rsidR="00C02EC3">
        <w:rPr>
          <w:b/>
          <w:bCs/>
          <w:color w:val="4F81BD"/>
          <w:sz w:val="28"/>
          <w:szCs w:val="26"/>
        </w:rPr>
        <w:t>10</w:t>
      </w:r>
      <w:r w:rsidRPr="00790BCC">
        <w:rPr>
          <w:b/>
          <w:bCs/>
          <w:color w:val="4F81BD"/>
          <w:sz w:val="28"/>
          <w:szCs w:val="26"/>
        </w:rPr>
        <w:t>%</w:t>
      </w:r>
    </w:p>
    <w:p w14:paraId="5CF08FC5" w14:textId="77777777" w:rsidR="00D8029F" w:rsidRPr="007C11C6" w:rsidRDefault="00D8029F" w:rsidP="00D8029F">
      <w:pPr>
        <w:pStyle w:val="TA"/>
      </w:pPr>
      <w:r w:rsidRPr="007C11C6">
        <w:t>Begin by reviewing the lesson agenda and assessed standard for this lesson: W.11-12.3</w:t>
      </w:r>
      <w:r>
        <w:t>.a-f.</w:t>
      </w:r>
      <w:r w:rsidRPr="007C11C6">
        <w:t xml:space="preserve"> Inform students that in this lesson, </w:t>
      </w:r>
      <w:r>
        <w:t>they will peer</w:t>
      </w:r>
      <w:r w:rsidR="00AC3F96">
        <w:t xml:space="preserve"> </w:t>
      </w:r>
      <w:r>
        <w:t xml:space="preserve">review </w:t>
      </w:r>
      <w:r w:rsidR="00AC3F96">
        <w:t>each other’s</w:t>
      </w:r>
      <w:r>
        <w:t xml:space="preserve"> narrative essays and incorporate the feedback into their drafts. </w:t>
      </w:r>
    </w:p>
    <w:p w14:paraId="13C86CB5" w14:textId="77777777" w:rsidR="00D8029F" w:rsidRPr="007C11C6" w:rsidRDefault="00D8029F" w:rsidP="00D8029F">
      <w:pPr>
        <w:pStyle w:val="SA"/>
        <w:numPr>
          <w:ilvl w:val="0"/>
          <w:numId w:val="8"/>
        </w:numPr>
      </w:pPr>
      <w:r w:rsidRPr="007C11C6">
        <w:t>Students look at the agenda.</w:t>
      </w:r>
    </w:p>
    <w:p w14:paraId="0AFF2410" w14:textId="77777777" w:rsidR="00181FE3" w:rsidRPr="007C11C6" w:rsidRDefault="00181FE3" w:rsidP="00181FE3">
      <w:pPr>
        <w:pStyle w:val="IN"/>
      </w:pPr>
      <w:r w:rsidRPr="007C11C6">
        <w:t>I</w:t>
      </w:r>
      <w:r>
        <w:t>f students are using the 12.1 Common Core Learning Standards Tool, i</w:t>
      </w:r>
      <w:r w:rsidRPr="007C11C6">
        <w:t xml:space="preserve">nstruct </w:t>
      </w:r>
      <w:r>
        <w:t>them</w:t>
      </w:r>
      <w:r w:rsidRPr="007C11C6">
        <w:t xml:space="preserve"> to </w:t>
      </w:r>
      <w:r w:rsidR="00AD3D32">
        <w:t>refer to it for this portion of the lesson introduction</w:t>
      </w:r>
      <w:r w:rsidRPr="007C11C6">
        <w:t xml:space="preserve">. </w:t>
      </w:r>
    </w:p>
    <w:p w14:paraId="79173826" w14:textId="77777777" w:rsidR="00D8029F" w:rsidRPr="007C11C6" w:rsidRDefault="00181FE3" w:rsidP="00D8029F">
      <w:pPr>
        <w:pStyle w:val="TA"/>
      </w:pPr>
      <w:r w:rsidRPr="007C11C6">
        <w:t xml:space="preserve">Instruct students to talk in pairs about </w:t>
      </w:r>
      <w:r>
        <w:t>how</w:t>
      </w:r>
      <w:r w:rsidRPr="007C11C6">
        <w:t xml:space="preserve"> </w:t>
      </w:r>
      <w:r>
        <w:t>they think standard</w:t>
      </w:r>
      <w:r w:rsidRPr="007C11C6">
        <w:t xml:space="preserve"> </w:t>
      </w:r>
      <w:r w:rsidR="002C184B">
        <w:t xml:space="preserve">W.11-12.6 </w:t>
      </w:r>
      <w:r>
        <w:t>applies to their narrative writing work</w:t>
      </w:r>
      <w:r w:rsidRPr="007C11C6">
        <w:t xml:space="preserve">. </w:t>
      </w:r>
    </w:p>
    <w:p w14:paraId="0AD20ECE" w14:textId="77777777" w:rsidR="00D8029F" w:rsidRPr="007C11C6" w:rsidRDefault="00D8029F" w:rsidP="00D8029F">
      <w:pPr>
        <w:pStyle w:val="SR"/>
      </w:pPr>
      <w:r w:rsidRPr="007C11C6">
        <w:t xml:space="preserve">Student responses should include: </w:t>
      </w:r>
    </w:p>
    <w:p w14:paraId="378EB833" w14:textId="77777777" w:rsidR="002A640D" w:rsidRDefault="002A640D" w:rsidP="002A640D">
      <w:pPr>
        <w:pStyle w:val="SASRBullet"/>
      </w:pPr>
      <w:r>
        <w:t>Use the computer to share written work, suggest edits, and incorporate suggestions.</w:t>
      </w:r>
    </w:p>
    <w:p w14:paraId="793D3B50" w14:textId="77777777" w:rsidR="002A640D" w:rsidRDefault="002A640D" w:rsidP="002A640D">
      <w:pPr>
        <w:pStyle w:val="SASRBullet"/>
      </w:pPr>
      <w:r>
        <w:t xml:space="preserve">Track changes to help see </w:t>
      </w:r>
      <w:r w:rsidR="00AD3D32">
        <w:t xml:space="preserve">old and revised </w:t>
      </w:r>
      <w:r>
        <w:t>versions.</w:t>
      </w:r>
    </w:p>
    <w:p w14:paraId="3D197482" w14:textId="77777777" w:rsidR="00AC3F96" w:rsidRDefault="00AC3F96" w:rsidP="00AC3F96">
      <w:pPr>
        <w:pStyle w:val="TA"/>
      </w:pPr>
      <w:r w:rsidRPr="007C11C6">
        <w:t>Lead a brief</w:t>
      </w:r>
      <w:r>
        <w:t xml:space="preserve"> whole-class</w:t>
      </w:r>
      <w:r w:rsidRPr="007C11C6">
        <w:t xml:space="preserve"> discussion </w:t>
      </w:r>
      <w:r>
        <w:t>of student responses</w:t>
      </w:r>
      <w:r w:rsidRPr="007C11C6">
        <w:t>.</w:t>
      </w:r>
    </w:p>
    <w:p w14:paraId="1497703A" w14:textId="77777777" w:rsidR="00790BCC" w:rsidRPr="00790BCC" w:rsidRDefault="00790BCC" w:rsidP="007017EB">
      <w:pPr>
        <w:pStyle w:val="LearningSequenceHeader"/>
      </w:pPr>
      <w:r w:rsidRPr="00790BCC">
        <w:t>Activity 2: Homework Accountability</w:t>
      </w:r>
      <w:r w:rsidRPr="00790BCC">
        <w:tab/>
      </w:r>
      <w:r w:rsidR="00B70DA6">
        <w:t>20</w:t>
      </w:r>
      <w:r w:rsidRPr="00790BCC">
        <w:t>%</w:t>
      </w:r>
    </w:p>
    <w:p w14:paraId="10B9221C" w14:textId="77777777" w:rsidR="0049499C" w:rsidRDefault="0049499C" w:rsidP="0049499C">
      <w:pPr>
        <w:pStyle w:val="TA"/>
      </w:pPr>
      <w:r w:rsidRPr="00655076">
        <w:t>Instruct student</w:t>
      </w:r>
      <w:r>
        <w:t>s to take out their notes from the previous lesson’s homework assignment. (R</w:t>
      </w:r>
      <w:r w:rsidRPr="00A51962">
        <w:t xml:space="preserve">eview </w:t>
      </w:r>
      <w:r>
        <w:t>your</w:t>
      </w:r>
      <w:r w:rsidRPr="00A51962">
        <w:t xml:space="preserve"> notes and use the 12.1 Performance Assessment Rubric to practice responding to the follow</w:t>
      </w:r>
      <w:r>
        <w:t xml:space="preserve">ing college interview questions. </w:t>
      </w:r>
      <w:r w:rsidR="00C30301">
        <w:t>Why do you want to attend our college? What can you contribute to our college campus?</w:t>
      </w:r>
      <w:r>
        <w:t>)</w:t>
      </w:r>
    </w:p>
    <w:p w14:paraId="295E5920" w14:textId="77777777" w:rsidR="0049499C" w:rsidRDefault="0049499C" w:rsidP="0049499C">
      <w:pPr>
        <w:pStyle w:val="TA"/>
      </w:pPr>
      <w:r>
        <w:t>Instruct students to form</w:t>
      </w:r>
      <w:r w:rsidRPr="00655076">
        <w:t xml:space="preserve"> pairs </w:t>
      </w:r>
      <w:r>
        <w:t>to</w:t>
      </w:r>
      <w:r w:rsidRPr="00655076">
        <w:t xml:space="preserve"> ask and answer the college interview question</w:t>
      </w:r>
      <w:r>
        <w:t>s.</w:t>
      </w:r>
      <w:r w:rsidRPr="00655076">
        <w:t xml:space="preserve"> </w:t>
      </w:r>
      <w:r>
        <w:t>Remind students to keep in mind the 12.1 Performance Assessment Rubric as they respond to the questions.</w:t>
      </w:r>
    </w:p>
    <w:p w14:paraId="238DE902" w14:textId="77777777" w:rsidR="0049499C" w:rsidRDefault="0049499C" w:rsidP="0049499C">
      <w:pPr>
        <w:pStyle w:val="SA"/>
        <w:numPr>
          <w:ilvl w:val="0"/>
          <w:numId w:val="8"/>
        </w:numPr>
      </w:pPr>
      <w:r w:rsidRPr="00526668">
        <w:t>Students practice asking and answering the college interview question</w:t>
      </w:r>
      <w:r>
        <w:t>s</w:t>
      </w:r>
      <w:r w:rsidRPr="00526668">
        <w:t>.</w:t>
      </w:r>
    </w:p>
    <w:p w14:paraId="1630B70A" w14:textId="77777777" w:rsidR="0049499C" w:rsidRDefault="0049499C" w:rsidP="0049499C">
      <w:pPr>
        <w:pStyle w:val="BR"/>
      </w:pPr>
    </w:p>
    <w:p w14:paraId="65EAAEC8" w14:textId="77777777" w:rsidR="002A640D" w:rsidRDefault="002A640D" w:rsidP="002A640D">
      <w:pPr>
        <w:pStyle w:val="TA"/>
      </w:pPr>
      <w:r>
        <w:t xml:space="preserve">Instruct students to form pairs and </w:t>
      </w:r>
      <w:r w:rsidRPr="009C3E02">
        <w:t xml:space="preserve">take out </w:t>
      </w:r>
      <w:r>
        <w:t xml:space="preserve">their </w:t>
      </w:r>
      <w:r w:rsidR="00AC3F96">
        <w:t xml:space="preserve">responses to the </w:t>
      </w:r>
      <w:r w:rsidR="0049499C">
        <w:t xml:space="preserve">second </w:t>
      </w:r>
      <w:r>
        <w:t>homework</w:t>
      </w:r>
      <w:r w:rsidR="00AC3F96">
        <w:t xml:space="preserve"> assignment</w:t>
      </w:r>
      <w:r w:rsidR="007A2A3F">
        <w:t>.</w:t>
      </w:r>
      <w:r w:rsidRPr="009C3E02">
        <w:t xml:space="preserve"> (</w:t>
      </w:r>
      <w:r w:rsidRPr="009A2D9D">
        <w:t xml:space="preserve">Continue </w:t>
      </w:r>
      <w:r>
        <w:t>to read</w:t>
      </w:r>
      <w:r w:rsidRPr="009A2D9D">
        <w:t xml:space="preserve"> your A</w:t>
      </w:r>
      <w:r w:rsidR="00996FC2">
        <w:t xml:space="preserve">ccountable </w:t>
      </w:r>
      <w:r w:rsidRPr="009A2D9D">
        <w:t>I</w:t>
      </w:r>
      <w:r w:rsidR="00996FC2">
        <w:t xml:space="preserve">ndependent </w:t>
      </w:r>
      <w:r w:rsidRPr="009A2D9D">
        <w:t>R</w:t>
      </w:r>
      <w:r w:rsidR="00996FC2">
        <w:t>eading</w:t>
      </w:r>
      <w:r w:rsidRPr="009A2D9D">
        <w:t xml:space="preserve"> text through the lens of </w:t>
      </w:r>
      <w:r>
        <w:t xml:space="preserve">a W.11-12.3 </w:t>
      </w:r>
      <w:r w:rsidR="00AC3F96">
        <w:t>sub</w:t>
      </w:r>
      <w:r>
        <w:t>standard of your choice</w:t>
      </w:r>
      <w:r w:rsidRPr="009A2D9D">
        <w:t xml:space="preserve"> and prepare for a 3–5 minute discussion of yo</w:t>
      </w:r>
      <w:r>
        <w:t>ur text based on that standard</w:t>
      </w:r>
      <w:r w:rsidRPr="009C3E02">
        <w:t>.)</w:t>
      </w:r>
    </w:p>
    <w:p w14:paraId="774018AD" w14:textId="77777777" w:rsidR="002A640D" w:rsidRPr="002A2EF0" w:rsidRDefault="002A640D" w:rsidP="002A640D">
      <w:pPr>
        <w:pStyle w:val="TA"/>
        <w:rPr>
          <w:rFonts w:ascii="Times New Roman" w:hAnsi="Times New Roman"/>
          <w:sz w:val="24"/>
          <w:szCs w:val="24"/>
        </w:rPr>
      </w:pPr>
      <w:r w:rsidRPr="002A2EF0">
        <w:rPr>
          <w:shd w:val="clear" w:color="auto" w:fill="FFFFFF"/>
        </w:rPr>
        <w:t xml:space="preserve">Instruct students to talk </w:t>
      </w:r>
      <w:r>
        <w:rPr>
          <w:shd w:val="clear" w:color="auto" w:fill="FFFFFF"/>
        </w:rPr>
        <w:t xml:space="preserve">in pairs about how they applied </w:t>
      </w:r>
      <w:r w:rsidR="00AC3F96">
        <w:rPr>
          <w:shd w:val="clear" w:color="auto" w:fill="FFFFFF"/>
        </w:rPr>
        <w:t>a</w:t>
      </w:r>
      <w:r>
        <w:rPr>
          <w:shd w:val="clear" w:color="auto" w:fill="FFFFFF"/>
        </w:rPr>
        <w:t xml:space="preserve"> f</w:t>
      </w:r>
      <w:r w:rsidRPr="002A2EF0">
        <w:t>ocus standard</w:t>
      </w:r>
      <w:r w:rsidRPr="002A2EF0">
        <w:rPr>
          <w:shd w:val="clear" w:color="auto" w:fill="FFFFFF"/>
        </w:rPr>
        <w:t xml:space="preserve"> t</w:t>
      </w:r>
      <w:r>
        <w:rPr>
          <w:shd w:val="clear" w:color="auto" w:fill="FFFFFF"/>
        </w:rPr>
        <w:t xml:space="preserve">o their </w:t>
      </w:r>
      <w:r w:rsidRPr="00855D61">
        <w:t>A</w:t>
      </w:r>
      <w:r>
        <w:t>IR texts.</w:t>
      </w:r>
      <w:r w:rsidR="00E4513F">
        <w:rPr>
          <w:shd w:val="clear" w:color="auto" w:fill="FFFFFF"/>
        </w:rPr>
        <w:t xml:space="preserve"> </w:t>
      </w:r>
      <w:r w:rsidRPr="002A2EF0">
        <w:rPr>
          <w:shd w:val="clear" w:color="auto" w:fill="FFFFFF"/>
        </w:rPr>
        <w:t>Lead a brief share out on the previous lesson’s AIR homework assignment. Select several students (or student pairs) to explain how they</w:t>
      </w:r>
      <w:r>
        <w:rPr>
          <w:shd w:val="clear" w:color="auto" w:fill="FFFFFF"/>
        </w:rPr>
        <w:t xml:space="preserve"> applied </w:t>
      </w:r>
      <w:r w:rsidR="00A0348F">
        <w:rPr>
          <w:shd w:val="clear" w:color="auto" w:fill="FFFFFF"/>
        </w:rPr>
        <w:t xml:space="preserve">a </w:t>
      </w:r>
      <w:r>
        <w:rPr>
          <w:shd w:val="clear" w:color="auto" w:fill="FFFFFF"/>
        </w:rPr>
        <w:t xml:space="preserve">focus standard to their AIR texts. </w:t>
      </w:r>
    </w:p>
    <w:p w14:paraId="70FFA5DF" w14:textId="77777777" w:rsidR="00790BCC" w:rsidRPr="00790BCC" w:rsidRDefault="002A640D" w:rsidP="007017EB">
      <w:pPr>
        <w:pStyle w:val="SA"/>
        <w:numPr>
          <w:ilvl w:val="0"/>
          <w:numId w:val="8"/>
        </w:numPr>
      </w:pPr>
      <w:r>
        <w:rPr>
          <w:shd w:val="clear" w:color="auto" w:fill="FFFFFF"/>
        </w:rPr>
        <w:lastRenderedPageBreak/>
        <w:t>Student pairs</w:t>
      </w:r>
      <w:r w:rsidRPr="002A2EF0">
        <w:rPr>
          <w:shd w:val="clear" w:color="auto" w:fill="FFFFFF"/>
        </w:rPr>
        <w:t xml:space="preserve"> discuss and share how t</w:t>
      </w:r>
      <w:r>
        <w:rPr>
          <w:shd w:val="clear" w:color="auto" w:fill="FFFFFF"/>
        </w:rPr>
        <w:t>hey applied a focus standard to their AIR texts</w:t>
      </w:r>
      <w:r w:rsidRPr="002A2EF0">
        <w:rPr>
          <w:shd w:val="clear" w:color="auto" w:fill="FFFFFF"/>
        </w:rPr>
        <w:t xml:space="preserve"> from the previous lesson’s homework.</w:t>
      </w:r>
    </w:p>
    <w:p w14:paraId="1A8B5420" w14:textId="77777777" w:rsidR="00790BCC" w:rsidRPr="00790BCC" w:rsidRDefault="00D8029F" w:rsidP="007017EB">
      <w:pPr>
        <w:pStyle w:val="LearningSequenceHeader"/>
      </w:pPr>
      <w:r>
        <w:t xml:space="preserve">Activity 3: Peer Review and </w:t>
      </w:r>
      <w:r w:rsidR="005518E6">
        <w:t>Revising</w:t>
      </w:r>
      <w:r w:rsidR="004D413D">
        <w:tab/>
      </w:r>
      <w:r w:rsidR="00B70DA6">
        <w:t>65</w:t>
      </w:r>
      <w:r w:rsidR="00790BCC" w:rsidRPr="00790BCC">
        <w:t>%</w:t>
      </w:r>
    </w:p>
    <w:p w14:paraId="6E2709B1" w14:textId="77777777" w:rsidR="005612C3" w:rsidRDefault="004D413D" w:rsidP="004D413D">
      <w:pPr>
        <w:pStyle w:val="TA"/>
      </w:pPr>
      <w:r>
        <w:t>Instruct</w:t>
      </w:r>
      <w:r w:rsidRPr="0025142D">
        <w:t xml:space="preserve"> students</w:t>
      </w:r>
      <w:r>
        <w:t xml:space="preserve"> to</w:t>
      </w:r>
      <w:r w:rsidRPr="0025142D">
        <w:t xml:space="preserve"> work in pairs to peer review their drafts for </w:t>
      </w:r>
      <w:r w:rsidR="00357003">
        <w:t>alignment to standard W.11-12.3.a-f</w:t>
      </w:r>
      <w:r w:rsidRPr="0025142D">
        <w:t xml:space="preserve">. </w:t>
      </w:r>
      <w:r w:rsidR="003C61A8">
        <w:t xml:space="preserve">Remind </w:t>
      </w:r>
      <w:r w:rsidR="005518E6">
        <w:t>students</w:t>
      </w:r>
      <w:r w:rsidR="003C61A8">
        <w:t xml:space="preserve"> to use the </w:t>
      </w:r>
      <w:r w:rsidR="00764089">
        <w:t xml:space="preserve">12.1 </w:t>
      </w:r>
      <w:r w:rsidR="003C61A8">
        <w:t xml:space="preserve">Narrative Writing Rubric and Checklist to </w:t>
      </w:r>
      <w:r w:rsidR="005518E6">
        <w:t xml:space="preserve">make suggestions on how their peers can improve their drafts. </w:t>
      </w:r>
      <w:r w:rsidR="00AC3F96">
        <w:t>Explain</w:t>
      </w:r>
      <w:r w:rsidR="005518E6">
        <w:t xml:space="preserve"> that suggestions should be specific and in the language of the standards as much as possible </w:t>
      </w:r>
      <w:r w:rsidR="00EC5F9A">
        <w:t>so</w:t>
      </w:r>
      <w:r w:rsidR="005518E6">
        <w:t xml:space="preserve"> </w:t>
      </w:r>
      <w:r w:rsidR="00752EA1">
        <w:t>their suggestions</w:t>
      </w:r>
      <w:r w:rsidR="005518E6">
        <w:t xml:space="preserve"> </w:t>
      </w:r>
      <w:r w:rsidR="00655F86">
        <w:t>are</w:t>
      </w:r>
      <w:r w:rsidR="005518E6">
        <w:t xml:space="preserve"> </w:t>
      </w:r>
      <w:r w:rsidR="00BD50DA">
        <w:t>clear and easy to</w:t>
      </w:r>
      <w:r w:rsidR="005518E6">
        <w:t xml:space="preserve"> </w:t>
      </w:r>
      <w:r w:rsidR="00AC3F96">
        <w:t>apply</w:t>
      </w:r>
      <w:r w:rsidR="005518E6">
        <w:t>.</w:t>
      </w:r>
    </w:p>
    <w:p w14:paraId="6AABC2BC" w14:textId="77777777" w:rsidR="00451422" w:rsidRDefault="009B39C3" w:rsidP="00451422">
      <w:pPr>
        <w:pStyle w:val="SA"/>
      </w:pPr>
      <w:r>
        <w:t>Students listen.</w:t>
      </w:r>
    </w:p>
    <w:p w14:paraId="5A5A94D1" w14:textId="77777777" w:rsidR="005612C3" w:rsidRDefault="005612C3" w:rsidP="005612C3">
      <w:pPr>
        <w:pStyle w:val="TA"/>
      </w:pPr>
      <w:r>
        <w:t>Distribute the Peer Review Tool and instruct students to record suggestion</w:t>
      </w:r>
      <w:r w:rsidR="00AC3F96">
        <w:t>s</w:t>
      </w:r>
      <w:r>
        <w:t xml:space="preserve"> on the tool. Instruct students to be clear and concise in their suggestions. </w:t>
      </w:r>
      <w:r w:rsidR="001E5BB1">
        <w:t>Explain to</w:t>
      </w:r>
      <w:r>
        <w:t xml:space="preserve"> students that the first column should be used to quote the original sentence </w:t>
      </w:r>
      <w:r w:rsidR="005D0CF7">
        <w:t>under review</w:t>
      </w:r>
      <w:r>
        <w:t xml:space="preserve">. The second column should </w:t>
      </w:r>
      <w:r w:rsidR="003C4089">
        <w:t xml:space="preserve">include a suggestion about the original version quoted in the first column. The third column is for the writer of the essay. </w:t>
      </w:r>
      <w:r w:rsidR="001E5BB1">
        <w:t>Explain to</w:t>
      </w:r>
      <w:r w:rsidR="003C4089">
        <w:t xml:space="preserve"> students that the third column will help them</w:t>
      </w:r>
      <w:r w:rsidR="00684D33">
        <w:t xml:space="preserve"> think about the </w:t>
      </w:r>
      <w:r w:rsidR="005D0CF7">
        <w:t>recommendation</w:t>
      </w:r>
      <w:r w:rsidR="00684D33">
        <w:t>, as well as</w:t>
      </w:r>
      <w:r w:rsidR="003C4089">
        <w:t xml:space="preserve"> track what changes they have made to their essay </w:t>
      </w:r>
      <w:r w:rsidR="005D0CF7">
        <w:t>if</w:t>
      </w:r>
      <w:r w:rsidR="003C4089">
        <w:t xml:space="preserve"> they </w:t>
      </w:r>
      <w:r w:rsidR="005D0CF7">
        <w:t>decide</w:t>
      </w:r>
      <w:r w:rsidR="003C4089">
        <w:t xml:space="preserve"> to go back to a previous version in the future.</w:t>
      </w:r>
      <w:r w:rsidR="002F5CA8">
        <w:t xml:space="preserve"> Additionally, the third column will help the teacher retrace the steps of revision.</w:t>
      </w:r>
    </w:p>
    <w:p w14:paraId="600BECB1" w14:textId="77777777" w:rsidR="00451422" w:rsidRDefault="00322CC0" w:rsidP="00451422">
      <w:pPr>
        <w:pStyle w:val="IN"/>
      </w:pPr>
      <w:r>
        <w:t>A similar tool was used in 11.3.3 Lesson 11 to facilitate learning; here it is used primarily to facilitate documentation of feedback.</w:t>
      </w:r>
    </w:p>
    <w:p w14:paraId="4484292D" w14:textId="77777777" w:rsidR="00CB7A30" w:rsidRDefault="00CB7A30" w:rsidP="00CB7A30">
      <w:pPr>
        <w:pStyle w:val="IN"/>
      </w:pPr>
      <w:r>
        <w:t xml:space="preserve">If possible, direct students to review their peers’ drafts using Microsoft Word or Google Docs, so they can use the comments and track changes functions. </w:t>
      </w:r>
      <w:r w:rsidR="00235E85">
        <w:t>This supports student</w:t>
      </w:r>
      <w:r>
        <w:t xml:space="preserve"> work with standard W.11-12.6.</w:t>
      </w:r>
      <w:r w:rsidR="00903AC6">
        <w:t xml:space="preserve"> See examples at the end of this lesson.</w:t>
      </w:r>
    </w:p>
    <w:p w14:paraId="1D2C8C40" w14:textId="77777777" w:rsidR="000971B2" w:rsidRDefault="004D413D" w:rsidP="004D413D">
      <w:pPr>
        <w:pStyle w:val="SA"/>
        <w:numPr>
          <w:ilvl w:val="0"/>
          <w:numId w:val="8"/>
        </w:numPr>
      </w:pPr>
      <w:r>
        <w:t xml:space="preserve">Students </w:t>
      </w:r>
      <w:r w:rsidR="003C61A8">
        <w:t>form</w:t>
      </w:r>
      <w:r w:rsidR="00596E63">
        <w:t xml:space="preserve"> pairs and</w:t>
      </w:r>
      <w:r>
        <w:t xml:space="preserve"> </w:t>
      </w:r>
      <w:r w:rsidR="001646E5">
        <w:t xml:space="preserve">exchange narrative essays to </w:t>
      </w:r>
      <w:r w:rsidR="00F35E62">
        <w:t xml:space="preserve">review </w:t>
      </w:r>
      <w:r>
        <w:t xml:space="preserve">their </w:t>
      </w:r>
      <w:r w:rsidR="00F35E62">
        <w:t>peers’ narrative essays</w:t>
      </w:r>
      <w:r>
        <w:t>.</w:t>
      </w:r>
      <w:r w:rsidR="00F35E62">
        <w:t xml:space="preserve"> </w:t>
      </w:r>
    </w:p>
    <w:p w14:paraId="510D321D" w14:textId="77777777" w:rsidR="000971B2" w:rsidRDefault="00F35E62" w:rsidP="00124047">
      <w:pPr>
        <w:pStyle w:val="TA"/>
      </w:pPr>
      <w:r>
        <w:t>Remind stu</w:t>
      </w:r>
      <w:r w:rsidR="005D0CF7">
        <w:t>dents that they do not have to use</w:t>
      </w:r>
      <w:r>
        <w:t xml:space="preserve"> all of their peer’s suggestions. However, if they </w:t>
      </w:r>
      <w:r w:rsidR="005D0CF7">
        <w:t>decide not to use one of the suggestions</w:t>
      </w:r>
      <w:r>
        <w:t>, they should write a comment</w:t>
      </w:r>
      <w:r w:rsidR="009B39C3">
        <w:t xml:space="preserve"> in the third column of the Peer Review Tool</w:t>
      </w:r>
      <w:r>
        <w:t xml:space="preserve"> explaining why they did not incorporate </w:t>
      </w:r>
      <w:r w:rsidR="005D0CF7">
        <w:t>it</w:t>
      </w:r>
      <w:r>
        <w:t>.</w:t>
      </w:r>
      <w:r w:rsidR="009B39C3">
        <w:t xml:space="preserve"> </w:t>
      </w:r>
    </w:p>
    <w:p w14:paraId="02486B97" w14:textId="77777777" w:rsidR="00F35E62" w:rsidRDefault="0030119B" w:rsidP="00124047">
      <w:pPr>
        <w:pStyle w:val="SA"/>
        <w:numPr>
          <w:ilvl w:val="0"/>
          <w:numId w:val="8"/>
        </w:numPr>
      </w:pPr>
      <w:r>
        <w:t>S</w:t>
      </w:r>
      <w:r w:rsidR="000971B2">
        <w:t xml:space="preserve">tudents </w:t>
      </w:r>
      <w:r w:rsidR="005D0CF7">
        <w:t xml:space="preserve">review and </w:t>
      </w:r>
      <w:r w:rsidR="000971B2">
        <w:t xml:space="preserve">incorporate their peers’ suggestions. </w:t>
      </w:r>
    </w:p>
    <w:p w14:paraId="2F54264C" w14:textId="77777777" w:rsidR="00790BCC" w:rsidRPr="00790BCC" w:rsidRDefault="00D8029F" w:rsidP="007017EB">
      <w:pPr>
        <w:pStyle w:val="LearningSequenceHeader"/>
      </w:pPr>
      <w:r>
        <w:t>Activity 4</w:t>
      </w:r>
      <w:r w:rsidR="00790BCC" w:rsidRPr="00790BCC">
        <w:t>: Closing</w:t>
      </w:r>
      <w:r w:rsidR="00790BCC" w:rsidRPr="00790BCC">
        <w:tab/>
        <w:t>5%</w:t>
      </w:r>
    </w:p>
    <w:p w14:paraId="4A4DEC0E" w14:textId="77777777" w:rsidR="00596E63" w:rsidRPr="000C162D" w:rsidRDefault="00596E63" w:rsidP="00596E63">
      <w:pPr>
        <w:pStyle w:val="TA"/>
      </w:pPr>
      <w:r w:rsidRPr="005420E9">
        <w:t>Display and distribute the homework assignment. F</w:t>
      </w:r>
      <w:r w:rsidRPr="00674DA6">
        <w:t xml:space="preserve">or homework, instruct students to continue to read their AIR texts </w:t>
      </w:r>
      <w:r>
        <w:t xml:space="preserve">through the lens of a W.11-12.3 </w:t>
      </w:r>
      <w:r w:rsidRPr="000C162D">
        <w:t xml:space="preserve">focus </w:t>
      </w:r>
      <w:r w:rsidR="005D0CF7">
        <w:t>sub</w:t>
      </w:r>
      <w:r w:rsidRPr="000C162D">
        <w:t xml:space="preserve">standard of </w:t>
      </w:r>
      <w:r>
        <w:t>their</w:t>
      </w:r>
      <w:r w:rsidRPr="000C162D">
        <w:t xml:space="preserve"> choice and prepare for a 3–5 minute discussion of </w:t>
      </w:r>
      <w:r>
        <w:t>their</w:t>
      </w:r>
      <w:r w:rsidRPr="000C162D">
        <w:t xml:space="preserve"> text</w:t>
      </w:r>
      <w:r w:rsidR="00AD3D32">
        <w:t>s</w:t>
      </w:r>
      <w:r w:rsidRPr="000C162D">
        <w:t xml:space="preserve"> based on that standard.</w:t>
      </w:r>
    </w:p>
    <w:p w14:paraId="2A65B9A4" w14:textId="77777777" w:rsidR="00596E63" w:rsidRPr="00790BCC" w:rsidRDefault="00596E63" w:rsidP="00596E63">
      <w:pPr>
        <w:pStyle w:val="SA"/>
        <w:numPr>
          <w:ilvl w:val="0"/>
          <w:numId w:val="8"/>
        </w:numPr>
      </w:pPr>
      <w:r w:rsidRPr="005420E9">
        <w:t xml:space="preserve">Students follow along. </w:t>
      </w:r>
    </w:p>
    <w:p w14:paraId="1B8F9947" w14:textId="77777777" w:rsidR="00596E63" w:rsidRPr="00790BCC" w:rsidRDefault="00596E63" w:rsidP="00596E63">
      <w:pPr>
        <w:pStyle w:val="Heading1"/>
      </w:pPr>
      <w:r w:rsidRPr="00790BCC">
        <w:lastRenderedPageBreak/>
        <w:t>Homework</w:t>
      </w:r>
    </w:p>
    <w:p w14:paraId="6EF80451" w14:textId="77777777" w:rsidR="009F05C7" w:rsidRDefault="00C31CA5" w:rsidP="00703C7E">
      <w:pPr>
        <w:pStyle w:val="TA"/>
      </w:pPr>
      <w:r>
        <w:rPr>
          <w:rFonts w:cs="Calibri"/>
          <w:color w:val="000000"/>
        </w:rPr>
        <w:t>C</w:t>
      </w:r>
      <w:r w:rsidR="00596E63" w:rsidRPr="002A2EF0">
        <w:t>ontinue to read your A</w:t>
      </w:r>
      <w:r w:rsidR="00996FC2">
        <w:t xml:space="preserve">ccountable </w:t>
      </w:r>
      <w:r w:rsidR="00596E63" w:rsidRPr="002A2EF0">
        <w:t>I</w:t>
      </w:r>
      <w:r w:rsidR="00996FC2">
        <w:t xml:space="preserve">ndependent </w:t>
      </w:r>
      <w:r w:rsidR="00596E63" w:rsidRPr="002A2EF0">
        <w:t>R</w:t>
      </w:r>
      <w:r w:rsidR="00996FC2">
        <w:t>eading</w:t>
      </w:r>
      <w:r w:rsidR="00596E63" w:rsidRPr="002A2EF0">
        <w:t xml:space="preserve"> text through the lens of</w:t>
      </w:r>
      <w:r w:rsidR="00596E63">
        <w:t xml:space="preserve"> a W.11-12.3 </w:t>
      </w:r>
      <w:r w:rsidR="00596E63" w:rsidRPr="000C162D">
        <w:t xml:space="preserve">focus </w:t>
      </w:r>
      <w:r w:rsidR="005D0CF7">
        <w:t>sub</w:t>
      </w:r>
      <w:r w:rsidR="00596E63" w:rsidRPr="000C162D">
        <w:t>standard of your choice and prepare for a 3–5 minute discussion of your text based on that standard</w:t>
      </w:r>
      <w:r w:rsidR="00703C7E">
        <w:t>.</w:t>
      </w:r>
    </w:p>
    <w:p w14:paraId="3BCA9B3A" w14:textId="77777777" w:rsidR="00DC4EEE" w:rsidRDefault="00DC4EEE" w:rsidP="00703C7E">
      <w:pPr>
        <w:pStyle w:val="TA"/>
      </w:pPr>
    </w:p>
    <w:p w14:paraId="66B1C706" w14:textId="77777777" w:rsidR="00DC4EEE" w:rsidRPr="002639A0" w:rsidRDefault="00BF30B6" w:rsidP="00BD4120">
      <w:pPr>
        <w:pStyle w:val="ToolHeader"/>
      </w:pPr>
      <w:r>
        <w:br w:type="page"/>
      </w:r>
      <w:r w:rsidR="00DC4EEE" w:rsidRPr="002639A0">
        <w:lastRenderedPageBreak/>
        <w:t>Peer Review Tool</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80"/>
        <w:gridCol w:w="2700"/>
        <w:gridCol w:w="810"/>
        <w:gridCol w:w="2520"/>
        <w:gridCol w:w="810"/>
        <w:gridCol w:w="1620"/>
      </w:tblGrid>
      <w:tr w:rsidR="00DC4EEE" w:rsidRPr="002639A0" w14:paraId="0AD7BBE7" w14:textId="77777777">
        <w:tc>
          <w:tcPr>
            <w:tcW w:w="1080" w:type="dxa"/>
            <w:shd w:val="clear" w:color="auto" w:fill="D9D9D9"/>
            <w:tcMar>
              <w:top w:w="100" w:type="dxa"/>
              <w:left w:w="108" w:type="dxa"/>
              <w:bottom w:w="100" w:type="dxa"/>
              <w:right w:w="108" w:type="dxa"/>
            </w:tcMar>
          </w:tcPr>
          <w:p w14:paraId="4D2D31E8" w14:textId="77777777" w:rsidR="00DC4EEE" w:rsidRPr="002639A0" w:rsidRDefault="00DC4EEE" w:rsidP="00F15A95">
            <w:pPr>
              <w:pStyle w:val="Normal1"/>
            </w:pPr>
            <w:r w:rsidRPr="002639A0">
              <w:rPr>
                <w:b/>
              </w:rPr>
              <w:t>Name:</w:t>
            </w:r>
          </w:p>
        </w:tc>
        <w:tc>
          <w:tcPr>
            <w:tcW w:w="2700" w:type="dxa"/>
            <w:tcMar>
              <w:top w:w="100" w:type="dxa"/>
              <w:left w:w="108" w:type="dxa"/>
              <w:bottom w:w="100" w:type="dxa"/>
              <w:right w:w="108" w:type="dxa"/>
            </w:tcMar>
          </w:tcPr>
          <w:p w14:paraId="59E06D5E" w14:textId="77777777" w:rsidR="00DC4EEE" w:rsidRPr="002639A0" w:rsidRDefault="00DC4EEE" w:rsidP="00F15A95">
            <w:pPr>
              <w:pStyle w:val="Normal1"/>
            </w:pPr>
          </w:p>
        </w:tc>
        <w:tc>
          <w:tcPr>
            <w:tcW w:w="810" w:type="dxa"/>
            <w:shd w:val="clear" w:color="auto" w:fill="D9D9D9"/>
            <w:tcMar>
              <w:top w:w="100" w:type="dxa"/>
              <w:left w:w="108" w:type="dxa"/>
              <w:bottom w:w="100" w:type="dxa"/>
              <w:right w:w="108" w:type="dxa"/>
            </w:tcMar>
          </w:tcPr>
          <w:p w14:paraId="11D0920F" w14:textId="77777777" w:rsidR="00DC4EEE" w:rsidRPr="002639A0" w:rsidRDefault="00DC4EEE" w:rsidP="00F15A95">
            <w:pPr>
              <w:pStyle w:val="Normal1"/>
            </w:pPr>
            <w:r w:rsidRPr="002639A0">
              <w:rPr>
                <w:b/>
              </w:rPr>
              <w:t>Class:</w:t>
            </w:r>
          </w:p>
        </w:tc>
        <w:tc>
          <w:tcPr>
            <w:tcW w:w="2520" w:type="dxa"/>
            <w:tcMar>
              <w:top w:w="100" w:type="dxa"/>
              <w:left w:w="108" w:type="dxa"/>
              <w:bottom w:w="100" w:type="dxa"/>
              <w:right w:w="108" w:type="dxa"/>
            </w:tcMar>
          </w:tcPr>
          <w:p w14:paraId="097FF3F0" w14:textId="77777777" w:rsidR="00DC4EEE" w:rsidRPr="002639A0" w:rsidRDefault="00DC4EEE" w:rsidP="00F15A95">
            <w:pPr>
              <w:pStyle w:val="Normal1"/>
            </w:pPr>
          </w:p>
        </w:tc>
        <w:tc>
          <w:tcPr>
            <w:tcW w:w="810" w:type="dxa"/>
            <w:shd w:val="clear" w:color="auto" w:fill="D9D9D9"/>
            <w:tcMar>
              <w:top w:w="100" w:type="dxa"/>
              <w:left w:w="108" w:type="dxa"/>
              <w:bottom w:w="100" w:type="dxa"/>
              <w:right w:w="108" w:type="dxa"/>
            </w:tcMar>
          </w:tcPr>
          <w:p w14:paraId="0CBDF14B" w14:textId="77777777" w:rsidR="00DC4EEE" w:rsidRPr="002639A0" w:rsidRDefault="00DC4EEE" w:rsidP="00F15A95">
            <w:pPr>
              <w:pStyle w:val="Normal1"/>
            </w:pPr>
            <w:r w:rsidRPr="002639A0">
              <w:rPr>
                <w:b/>
              </w:rPr>
              <w:t>Date:</w:t>
            </w:r>
          </w:p>
        </w:tc>
        <w:tc>
          <w:tcPr>
            <w:tcW w:w="1620" w:type="dxa"/>
            <w:tcMar>
              <w:top w:w="100" w:type="dxa"/>
              <w:left w:w="108" w:type="dxa"/>
              <w:bottom w:w="100" w:type="dxa"/>
              <w:right w:w="108" w:type="dxa"/>
            </w:tcMar>
          </w:tcPr>
          <w:p w14:paraId="6DDE7913" w14:textId="77777777" w:rsidR="00DC4EEE" w:rsidRPr="002639A0" w:rsidRDefault="00DC4EEE" w:rsidP="00F15A95">
            <w:pPr>
              <w:pStyle w:val="Normal1"/>
            </w:pPr>
          </w:p>
        </w:tc>
      </w:tr>
    </w:tbl>
    <w:p w14:paraId="115032E9" w14:textId="77777777" w:rsidR="00DC4EEE" w:rsidRPr="00BB66B6" w:rsidRDefault="00DC4EEE" w:rsidP="00DC4EEE">
      <w:pPr>
        <w:pStyle w:val="TA"/>
        <w:spacing w:before="0" w:after="0"/>
        <w:rPr>
          <w:sz w:val="10"/>
          <w:szCs w:val="10"/>
        </w:rPr>
      </w:pPr>
    </w:p>
    <w:tbl>
      <w:tblPr>
        <w:tblStyle w:val="TableGrid"/>
        <w:tblW w:w="9576" w:type="dxa"/>
        <w:tblInd w:w="108" w:type="dxa"/>
        <w:shd w:val="clear" w:color="auto" w:fill="D9D9D9" w:themeFill="background1" w:themeFillShade="D9"/>
        <w:tblLook w:val="04A0" w:firstRow="1" w:lastRow="0" w:firstColumn="1" w:lastColumn="0" w:noHBand="0" w:noVBand="1"/>
      </w:tblPr>
      <w:tblGrid>
        <w:gridCol w:w="9576"/>
      </w:tblGrid>
      <w:tr w:rsidR="00DC4EEE" w14:paraId="283A38DB" w14:textId="77777777">
        <w:trPr>
          <w:trHeight w:val="566"/>
        </w:trPr>
        <w:tc>
          <w:tcPr>
            <w:tcW w:w="9576" w:type="dxa"/>
            <w:shd w:val="clear" w:color="auto" w:fill="D9D9D9" w:themeFill="background1" w:themeFillShade="D9"/>
          </w:tcPr>
          <w:p w14:paraId="4CBDCBA4" w14:textId="77777777" w:rsidR="00DC4EEE" w:rsidRPr="001E0471" w:rsidRDefault="00DC4EEE" w:rsidP="00F15A95">
            <w:pPr>
              <w:pStyle w:val="ToolTableText"/>
              <w:spacing w:before="120"/>
            </w:pPr>
            <w:r w:rsidRPr="00965ED6">
              <w:rPr>
                <w:b/>
                <w:sz w:val="22"/>
              </w:rPr>
              <w:t xml:space="preserve">Directions: </w:t>
            </w:r>
            <w:r w:rsidRPr="00965ED6">
              <w:rPr>
                <w:sz w:val="22"/>
              </w:rPr>
              <w:t>Use this tool to record suggestions for revisions from your peer</w:t>
            </w:r>
            <w:r>
              <w:rPr>
                <w:sz w:val="22"/>
              </w:rPr>
              <w:t>’</w:t>
            </w:r>
            <w:r w:rsidRPr="00965ED6">
              <w:rPr>
                <w:sz w:val="22"/>
              </w:rPr>
              <w:t>s review</w:t>
            </w:r>
            <w:r w:rsidR="00BD4120">
              <w:rPr>
                <w:sz w:val="22"/>
              </w:rPr>
              <w:t xml:space="preserve"> of your narrative</w:t>
            </w:r>
            <w:r w:rsidR="00764089">
              <w:rPr>
                <w:sz w:val="22"/>
              </w:rPr>
              <w:t xml:space="preserve"> essay</w:t>
            </w:r>
            <w:r w:rsidRPr="00965ED6">
              <w:rPr>
                <w:sz w:val="22"/>
              </w:rPr>
              <w:t>. Provide the original text, peer suggestion, and explanation of your decision about the final revision.</w:t>
            </w:r>
          </w:p>
        </w:tc>
      </w:tr>
    </w:tbl>
    <w:p w14:paraId="5CA40113" w14:textId="77777777" w:rsidR="00DC4EEE" w:rsidRPr="00BB66B6" w:rsidRDefault="00DC4EEE" w:rsidP="00DC4EEE">
      <w:pPr>
        <w:spacing w:before="0" w:after="0"/>
        <w:rPr>
          <w:sz w:val="10"/>
          <w:szCs w:val="10"/>
        </w:rPr>
      </w:pPr>
    </w:p>
    <w:tbl>
      <w:tblPr>
        <w:tblStyle w:val="TableGrid"/>
        <w:tblW w:w="9576" w:type="dxa"/>
        <w:tblInd w:w="108" w:type="dxa"/>
        <w:tblLook w:val="04A0" w:firstRow="1" w:lastRow="0" w:firstColumn="1" w:lastColumn="0" w:noHBand="0" w:noVBand="1"/>
      </w:tblPr>
      <w:tblGrid>
        <w:gridCol w:w="3122"/>
        <w:gridCol w:w="3213"/>
        <w:gridCol w:w="3241"/>
      </w:tblGrid>
      <w:tr w:rsidR="00DC4EEE" w:rsidRPr="00965ED6" w14:paraId="21DF0A89" w14:textId="77777777">
        <w:tc>
          <w:tcPr>
            <w:tcW w:w="3122" w:type="dxa"/>
            <w:shd w:val="clear" w:color="auto" w:fill="D9D9D9" w:themeFill="background1" w:themeFillShade="D9"/>
          </w:tcPr>
          <w:p w14:paraId="1ACA15BD" w14:textId="77777777" w:rsidR="00DC4EEE" w:rsidRPr="00965ED6" w:rsidRDefault="00DC4EEE" w:rsidP="00F15A95">
            <w:pPr>
              <w:pStyle w:val="ToolTableText"/>
              <w:rPr>
                <w:b/>
                <w:sz w:val="22"/>
              </w:rPr>
            </w:pPr>
            <w:r w:rsidRPr="00965ED6">
              <w:rPr>
                <w:b/>
                <w:sz w:val="22"/>
              </w:rPr>
              <w:t xml:space="preserve">Original </w:t>
            </w:r>
          </w:p>
        </w:tc>
        <w:tc>
          <w:tcPr>
            <w:tcW w:w="3213" w:type="dxa"/>
            <w:shd w:val="clear" w:color="auto" w:fill="D9D9D9" w:themeFill="background1" w:themeFillShade="D9"/>
          </w:tcPr>
          <w:p w14:paraId="55B0B359" w14:textId="77777777" w:rsidR="00DC4EEE" w:rsidRPr="00965ED6" w:rsidRDefault="00DC4EEE" w:rsidP="00F15A95">
            <w:pPr>
              <w:pStyle w:val="ToolTableText"/>
              <w:rPr>
                <w:b/>
                <w:sz w:val="22"/>
              </w:rPr>
            </w:pPr>
            <w:r w:rsidRPr="00965ED6">
              <w:rPr>
                <w:b/>
                <w:sz w:val="22"/>
              </w:rPr>
              <w:t>Peer Suggestion</w:t>
            </w:r>
          </w:p>
        </w:tc>
        <w:tc>
          <w:tcPr>
            <w:tcW w:w="3241" w:type="dxa"/>
            <w:shd w:val="clear" w:color="auto" w:fill="D9D9D9" w:themeFill="background1" w:themeFillShade="D9"/>
          </w:tcPr>
          <w:p w14:paraId="76DD464E" w14:textId="77777777" w:rsidR="00DC4EEE" w:rsidRPr="00965ED6" w:rsidRDefault="00DC4EEE" w:rsidP="009B39C3">
            <w:pPr>
              <w:pStyle w:val="ToolTableText"/>
              <w:rPr>
                <w:b/>
                <w:sz w:val="22"/>
              </w:rPr>
            </w:pPr>
            <w:r w:rsidRPr="00965ED6">
              <w:rPr>
                <w:b/>
                <w:sz w:val="22"/>
              </w:rPr>
              <w:t>Final Decision and Explanation</w:t>
            </w:r>
          </w:p>
        </w:tc>
      </w:tr>
      <w:tr w:rsidR="00DC4EEE" w:rsidRPr="002639A0" w14:paraId="294523D7" w14:textId="77777777">
        <w:trPr>
          <w:trHeight w:val="2880"/>
        </w:trPr>
        <w:tc>
          <w:tcPr>
            <w:tcW w:w="3122" w:type="dxa"/>
          </w:tcPr>
          <w:p w14:paraId="04A3E857" w14:textId="77777777" w:rsidR="00DC4EEE" w:rsidRPr="002639A0" w:rsidRDefault="00DC4EEE" w:rsidP="00F15A95">
            <w:pPr>
              <w:pStyle w:val="ToolTableText"/>
            </w:pPr>
          </w:p>
        </w:tc>
        <w:tc>
          <w:tcPr>
            <w:tcW w:w="3213" w:type="dxa"/>
          </w:tcPr>
          <w:p w14:paraId="1F14F86C" w14:textId="77777777" w:rsidR="00DC4EEE" w:rsidRPr="002639A0" w:rsidRDefault="00DC4EEE" w:rsidP="00F15A95">
            <w:pPr>
              <w:pStyle w:val="ToolTableText"/>
            </w:pPr>
          </w:p>
        </w:tc>
        <w:tc>
          <w:tcPr>
            <w:tcW w:w="3241" w:type="dxa"/>
          </w:tcPr>
          <w:p w14:paraId="028AFE29" w14:textId="77777777" w:rsidR="00DC4EEE" w:rsidRPr="002639A0" w:rsidRDefault="00DC4EEE" w:rsidP="00F15A95">
            <w:pPr>
              <w:pStyle w:val="ToolTableText"/>
            </w:pPr>
          </w:p>
        </w:tc>
      </w:tr>
      <w:tr w:rsidR="00DC4EEE" w:rsidRPr="002639A0" w14:paraId="26A8B9A1" w14:textId="77777777">
        <w:trPr>
          <w:trHeight w:val="2880"/>
        </w:trPr>
        <w:tc>
          <w:tcPr>
            <w:tcW w:w="3122" w:type="dxa"/>
          </w:tcPr>
          <w:p w14:paraId="5C7CCABE" w14:textId="77777777" w:rsidR="00DC4EEE" w:rsidRPr="002639A0" w:rsidRDefault="00DC4EEE" w:rsidP="00F15A95">
            <w:pPr>
              <w:pStyle w:val="ToolTableText"/>
            </w:pPr>
          </w:p>
        </w:tc>
        <w:tc>
          <w:tcPr>
            <w:tcW w:w="3213" w:type="dxa"/>
          </w:tcPr>
          <w:p w14:paraId="3A7AD17C" w14:textId="77777777" w:rsidR="00DC4EEE" w:rsidRPr="002639A0" w:rsidRDefault="00DC4EEE" w:rsidP="00F15A95">
            <w:pPr>
              <w:pStyle w:val="ToolTableText"/>
            </w:pPr>
          </w:p>
        </w:tc>
        <w:tc>
          <w:tcPr>
            <w:tcW w:w="3241" w:type="dxa"/>
          </w:tcPr>
          <w:p w14:paraId="14C3628F" w14:textId="77777777" w:rsidR="00DC4EEE" w:rsidRPr="002639A0" w:rsidRDefault="00DC4EEE" w:rsidP="00F15A95">
            <w:pPr>
              <w:pStyle w:val="ToolTableText"/>
            </w:pPr>
          </w:p>
        </w:tc>
      </w:tr>
      <w:tr w:rsidR="00DC4EEE" w:rsidRPr="002639A0" w14:paraId="5089FCD4" w14:textId="77777777">
        <w:trPr>
          <w:trHeight w:val="2880"/>
        </w:trPr>
        <w:tc>
          <w:tcPr>
            <w:tcW w:w="3122" w:type="dxa"/>
          </w:tcPr>
          <w:p w14:paraId="31E61960" w14:textId="77777777" w:rsidR="00DC4EEE" w:rsidRPr="002639A0" w:rsidRDefault="00DC4EEE" w:rsidP="00F15A95">
            <w:pPr>
              <w:pStyle w:val="ToolTableText"/>
            </w:pPr>
          </w:p>
        </w:tc>
        <w:tc>
          <w:tcPr>
            <w:tcW w:w="3213" w:type="dxa"/>
          </w:tcPr>
          <w:p w14:paraId="63684114" w14:textId="77777777" w:rsidR="00DC4EEE" w:rsidRPr="002639A0" w:rsidRDefault="00DC4EEE" w:rsidP="00F15A95">
            <w:pPr>
              <w:pStyle w:val="ToolTableText"/>
            </w:pPr>
          </w:p>
        </w:tc>
        <w:tc>
          <w:tcPr>
            <w:tcW w:w="3241" w:type="dxa"/>
          </w:tcPr>
          <w:p w14:paraId="319587DD" w14:textId="77777777" w:rsidR="00DC4EEE" w:rsidRPr="002639A0" w:rsidRDefault="00DC4EEE" w:rsidP="00F15A95">
            <w:pPr>
              <w:pStyle w:val="ToolTableText"/>
            </w:pPr>
          </w:p>
        </w:tc>
      </w:tr>
    </w:tbl>
    <w:p w14:paraId="58B53F29" w14:textId="77777777" w:rsidR="00DC4EEE" w:rsidRPr="002639A0" w:rsidRDefault="00DC4EEE" w:rsidP="00DC4EEE">
      <w:pPr>
        <w:pStyle w:val="ToolHeader"/>
      </w:pPr>
      <w:r w:rsidRPr="002639A0">
        <w:br w:type="page"/>
      </w:r>
      <w:r w:rsidRPr="002639A0">
        <w:lastRenderedPageBreak/>
        <w:t>Model Peer Review Tool</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80"/>
        <w:gridCol w:w="2970"/>
        <w:gridCol w:w="810"/>
        <w:gridCol w:w="2250"/>
        <w:gridCol w:w="720"/>
        <w:gridCol w:w="1710"/>
      </w:tblGrid>
      <w:tr w:rsidR="00DC4EEE" w:rsidRPr="00BB66B6" w14:paraId="7F1E5487" w14:textId="77777777">
        <w:tc>
          <w:tcPr>
            <w:tcW w:w="1080" w:type="dxa"/>
            <w:shd w:val="clear" w:color="auto" w:fill="D9D9D9"/>
            <w:tcMar>
              <w:top w:w="100" w:type="dxa"/>
              <w:left w:w="108" w:type="dxa"/>
              <w:bottom w:w="100" w:type="dxa"/>
              <w:right w:w="108" w:type="dxa"/>
            </w:tcMar>
          </w:tcPr>
          <w:p w14:paraId="3C44E22F" w14:textId="77777777" w:rsidR="00DC4EEE" w:rsidRPr="00BB66B6" w:rsidRDefault="00DC4EEE" w:rsidP="00BB66B6">
            <w:pPr>
              <w:pStyle w:val="ToolTableText"/>
              <w:rPr>
                <w:b/>
              </w:rPr>
            </w:pPr>
            <w:r w:rsidRPr="00BB66B6">
              <w:rPr>
                <w:b/>
              </w:rPr>
              <w:t>Name:</w:t>
            </w:r>
          </w:p>
        </w:tc>
        <w:tc>
          <w:tcPr>
            <w:tcW w:w="2970" w:type="dxa"/>
            <w:tcMar>
              <w:top w:w="100" w:type="dxa"/>
              <w:left w:w="108" w:type="dxa"/>
              <w:bottom w:w="100" w:type="dxa"/>
              <w:right w:w="108" w:type="dxa"/>
            </w:tcMar>
          </w:tcPr>
          <w:p w14:paraId="39A5FA32" w14:textId="77777777" w:rsidR="00DC4EEE" w:rsidRPr="00BB66B6" w:rsidRDefault="00DC4EEE" w:rsidP="00BB66B6">
            <w:pPr>
              <w:pStyle w:val="ToolTableText"/>
              <w:rPr>
                <w:b/>
              </w:rPr>
            </w:pPr>
          </w:p>
        </w:tc>
        <w:tc>
          <w:tcPr>
            <w:tcW w:w="810" w:type="dxa"/>
            <w:shd w:val="clear" w:color="auto" w:fill="D9D9D9"/>
            <w:tcMar>
              <w:top w:w="100" w:type="dxa"/>
              <w:left w:w="108" w:type="dxa"/>
              <w:bottom w:w="100" w:type="dxa"/>
              <w:right w:w="108" w:type="dxa"/>
            </w:tcMar>
          </w:tcPr>
          <w:p w14:paraId="2F7C10D4" w14:textId="77777777" w:rsidR="00DC4EEE" w:rsidRPr="00BB66B6" w:rsidRDefault="00DC4EEE" w:rsidP="00BB66B6">
            <w:pPr>
              <w:pStyle w:val="ToolTableText"/>
              <w:rPr>
                <w:b/>
              </w:rPr>
            </w:pPr>
            <w:r w:rsidRPr="00BB66B6">
              <w:rPr>
                <w:b/>
              </w:rPr>
              <w:t>Class:</w:t>
            </w:r>
          </w:p>
        </w:tc>
        <w:tc>
          <w:tcPr>
            <w:tcW w:w="2250" w:type="dxa"/>
            <w:tcMar>
              <w:top w:w="100" w:type="dxa"/>
              <w:left w:w="108" w:type="dxa"/>
              <w:bottom w:w="100" w:type="dxa"/>
              <w:right w:w="108" w:type="dxa"/>
            </w:tcMar>
          </w:tcPr>
          <w:p w14:paraId="459E657D" w14:textId="77777777" w:rsidR="00DC4EEE" w:rsidRPr="00BB66B6" w:rsidRDefault="00DC4EEE" w:rsidP="00BB66B6">
            <w:pPr>
              <w:pStyle w:val="ToolTableText"/>
              <w:rPr>
                <w:b/>
              </w:rPr>
            </w:pPr>
          </w:p>
        </w:tc>
        <w:tc>
          <w:tcPr>
            <w:tcW w:w="720" w:type="dxa"/>
            <w:shd w:val="clear" w:color="auto" w:fill="D9D9D9"/>
            <w:tcMar>
              <w:top w:w="100" w:type="dxa"/>
              <w:left w:w="108" w:type="dxa"/>
              <w:bottom w:w="100" w:type="dxa"/>
              <w:right w:w="108" w:type="dxa"/>
            </w:tcMar>
          </w:tcPr>
          <w:p w14:paraId="68A84965" w14:textId="77777777" w:rsidR="00DC4EEE" w:rsidRPr="00BB66B6" w:rsidRDefault="00DC4EEE" w:rsidP="00BB66B6">
            <w:pPr>
              <w:pStyle w:val="ToolTableText"/>
              <w:rPr>
                <w:b/>
              </w:rPr>
            </w:pPr>
            <w:r w:rsidRPr="00BB66B6">
              <w:rPr>
                <w:b/>
              </w:rPr>
              <w:t>Date:</w:t>
            </w:r>
          </w:p>
        </w:tc>
        <w:tc>
          <w:tcPr>
            <w:tcW w:w="1710" w:type="dxa"/>
            <w:tcMar>
              <w:top w:w="100" w:type="dxa"/>
              <w:left w:w="108" w:type="dxa"/>
              <w:bottom w:w="100" w:type="dxa"/>
              <w:right w:w="108" w:type="dxa"/>
            </w:tcMar>
          </w:tcPr>
          <w:p w14:paraId="1B14917E" w14:textId="77777777" w:rsidR="00DC4EEE" w:rsidRPr="00BB66B6" w:rsidRDefault="00DC4EEE" w:rsidP="00BB66B6">
            <w:pPr>
              <w:pStyle w:val="ToolTableText"/>
              <w:rPr>
                <w:b/>
              </w:rPr>
            </w:pPr>
          </w:p>
        </w:tc>
      </w:tr>
    </w:tbl>
    <w:p w14:paraId="499DC35E" w14:textId="77777777" w:rsidR="00DC4EEE" w:rsidRPr="00BB66B6" w:rsidRDefault="00DC4EEE" w:rsidP="00DC4EEE">
      <w:pPr>
        <w:spacing w:before="0" w:after="0"/>
        <w:rPr>
          <w:sz w:val="10"/>
          <w:szCs w:val="10"/>
        </w:rPr>
      </w:pPr>
    </w:p>
    <w:tbl>
      <w:tblPr>
        <w:tblStyle w:val="TableGrid"/>
        <w:tblW w:w="9576" w:type="dxa"/>
        <w:tblInd w:w="108" w:type="dxa"/>
        <w:shd w:val="clear" w:color="auto" w:fill="D9D9D9" w:themeFill="background1" w:themeFillShade="D9"/>
        <w:tblLook w:val="04A0" w:firstRow="1" w:lastRow="0" w:firstColumn="1" w:lastColumn="0" w:noHBand="0" w:noVBand="1"/>
      </w:tblPr>
      <w:tblGrid>
        <w:gridCol w:w="9576"/>
      </w:tblGrid>
      <w:tr w:rsidR="00DC4EEE" w14:paraId="3508B811" w14:textId="77777777">
        <w:trPr>
          <w:trHeight w:val="566"/>
        </w:trPr>
        <w:tc>
          <w:tcPr>
            <w:tcW w:w="9576" w:type="dxa"/>
            <w:shd w:val="clear" w:color="auto" w:fill="D9D9D9" w:themeFill="background1" w:themeFillShade="D9"/>
          </w:tcPr>
          <w:p w14:paraId="445CBE98" w14:textId="77777777" w:rsidR="00DC4EEE" w:rsidRPr="001E0471" w:rsidRDefault="00DC4EEE" w:rsidP="00F15A95">
            <w:pPr>
              <w:pStyle w:val="ToolTableText"/>
              <w:spacing w:before="120"/>
            </w:pPr>
            <w:r w:rsidRPr="00BB10C0">
              <w:rPr>
                <w:b/>
                <w:sz w:val="22"/>
              </w:rPr>
              <w:t xml:space="preserve">Directions: </w:t>
            </w:r>
            <w:r w:rsidRPr="00BB10C0">
              <w:rPr>
                <w:sz w:val="22"/>
              </w:rPr>
              <w:t>Use this tool to record suggestions for revisions from your peer</w:t>
            </w:r>
            <w:r>
              <w:rPr>
                <w:sz w:val="22"/>
              </w:rPr>
              <w:t>’</w:t>
            </w:r>
            <w:r w:rsidRPr="00BB10C0">
              <w:rPr>
                <w:sz w:val="22"/>
              </w:rPr>
              <w:t>s review</w:t>
            </w:r>
            <w:r w:rsidR="004C3AA9">
              <w:rPr>
                <w:sz w:val="22"/>
              </w:rPr>
              <w:t xml:space="preserve"> of your narrative</w:t>
            </w:r>
            <w:r w:rsidR="00764089">
              <w:rPr>
                <w:sz w:val="22"/>
              </w:rPr>
              <w:t xml:space="preserve"> essay</w:t>
            </w:r>
            <w:r w:rsidRPr="00BB10C0">
              <w:rPr>
                <w:sz w:val="22"/>
              </w:rPr>
              <w:t>. Provide the original text, peer suggestion, and explanation of your decision about the final revision.</w:t>
            </w:r>
          </w:p>
        </w:tc>
      </w:tr>
    </w:tbl>
    <w:p w14:paraId="2A8A3EC4" w14:textId="77777777" w:rsidR="00DC4EEE" w:rsidRPr="00BB66B6" w:rsidRDefault="00DC4EEE" w:rsidP="00DC4EEE">
      <w:pPr>
        <w:pStyle w:val="TA"/>
        <w:spacing w:before="0" w:after="0"/>
        <w:rPr>
          <w:sz w:val="10"/>
          <w:szCs w:val="10"/>
        </w:rPr>
      </w:pPr>
    </w:p>
    <w:tbl>
      <w:tblPr>
        <w:tblStyle w:val="TableGrid"/>
        <w:tblW w:w="9576" w:type="dxa"/>
        <w:tblInd w:w="108" w:type="dxa"/>
        <w:tblLook w:val="04A0" w:firstRow="1" w:lastRow="0" w:firstColumn="1" w:lastColumn="0" w:noHBand="0" w:noVBand="1"/>
      </w:tblPr>
      <w:tblGrid>
        <w:gridCol w:w="3168"/>
        <w:gridCol w:w="3204"/>
        <w:gridCol w:w="3204"/>
      </w:tblGrid>
      <w:tr w:rsidR="00DC4EEE" w:rsidRPr="00BB66B6" w14:paraId="5EECF5CD" w14:textId="77777777">
        <w:tc>
          <w:tcPr>
            <w:tcW w:w="3168" w:type="dxa"/>
            <w:shd w:val="clear" w:color="auto" w:fill="D9D9D9" w:themeFill="background1" w:themeFillShade="D9"/>
          </w:tcPr>
          <w:p w14:paraId="1496AFD6" w14:textId="77777777" w:rsidR="00DC4EEE" w:rsidRPr="00BB66B6" w:rsidRDefault="00DC4EEE" w:rsidP="00F15A95">
            <w:pPr>
              <w:pStyle w:val="ToolTableText"/>
              <w:rPr>
                <w:b/>
                <w:sz w:val="22"/>
                <w:szCs w:val="22"/>
              </w:rPr>
            </w:pPr>
            <w:r w:rsidRPr="00BB66B6">
              <w:rPr>
                <w:b/>
                <w:sz w:val="22"/>
                <w:szCs w:val="22"/>
              </w:rPr>
              <w:t xml:space="preserve">Original </w:t>
            </w:r>
          </w:p>
        </w:tc>
        <w:tc>
          <w:tcPr>
            <w:tcW w:w="3204" w:type="dxa"/>
            <w:shd w:val="clear" w:color="auto" w:fill="D9D9D9" w:themeFill="background1" w:themeFillShade="D9"/>
          </w:tcPr>
          <w:p w14:paraId="73E454EB" w14:textId="77777777" w:rsidR="00DC4EEE" w:rsidRPr="00BB66B6" w:rsidRDefault="00DC4EEE" w:rsidP="00F15A95">
            <w:pPr>
              <w:pStyle w:val="ToolTableText"/>
              <w:rPr>
                <w:b/>
                <w:sz w:val="22"/>
                <w:szCs w:val="22"/>
              </w:rPr>
            </w:pPr>
            <w:r w:rsidRPr="00BB66B6">
              <w:rPr>
                <w:b/>
                <w:sz w:val="22"/>
                <w:szCs w:val="22"/>
              </w:rPr>
              <w:t>Peer Suggestion</w:t>
            </w:r>
          </w:p>
        </w:tc>
        <w:tc>
          <w:tcPr>
            <w:tcW w:w="3204" w:type="dxa"/>
            <w:shd w:val="clear" w:color="auto" w:fill="D9D9D9" w:themeFill="background1" w:themeFillShade="D9"/>
          </w:tcPr>
          <w:p w14:paraId="199AB3B5" w14:textId="77777777" w:rsidR="00DC4EEE" w:rsidRPr="00BB66B6" w:rsidRDefault="00DC4EEE" w:rsidP="009B39C3">
            <w:pPr>
              <w:pStyle w:val="ToolTableText"/>
              <w:rPr>
                <w:b/>
                <w:sz w:val="22"/>
                <w:szCs w:val="22"/>
              </w:rPr>
            </w:pPr>
            <w:r w:rsidRPr="00BB66B6">
              <w:rPr>
                <w:b/>
                <w:sz w:val="22"/>
                <w:szCs w:val="22"/>
              </w:rPr>
              <w:t>Final Decision and Explanation</w:t>
            </w:r>
          </w:p>
        </w:tc>
      </w:tr>
      <w:tr w:rsidR="00DC4EEE" w:rsidRPr="00BB66B6" w14:paraId="5F95CDA8" w14:textId="77777777">
        <w:trPr>
          <w:trHeight w:val="2880"/>
        </w:trPr>
        <w:tc>
          <w:tcPr>
            <w:tcW w:w="3168" w:type="dxa"/>
          </w:tcPr>
          <w:p w14:paraId="439EAB83" w14:textId="77777777" w:rsidR="00DC4EEE" w:rsidRPr="00BB66B6" w:rsidRDefault="00CB3CE1" w:rsidP="00655F86">
            <w:pPr>
              <w:pStyle w:val="ToolTableText"/>
              <w:rPr>
                <w:sz w:val="22"/>
                <w:szCs w:val="22"/>
              </w:rPr>
            </w:pPr>
            <w:r w:rsidRPr="00BB66B6">
              <w:rPr>
                <w:sz w:val="22"/>
                <w:szCs w:val="22"/>
              </w:rPr>
              <w:t>Paragraph 1</w:t>
            </w:r>
            <w:r w:rsidR="004C3AA9" w:rsidRPr="00BB66B6">
              <w:rPr>
                <w:sz w:val="22"/>
                <w:szCs w:val="22"/>
              </w:rPr>
              <w:t>:</w:t>
            </w:r>
            <w:r w:rsidRPr="00BB66B6">
              <w:rPr>
                <w:sz w:val="22"/>
                <w:szCs w:val="22"/>
              </w:rPr>
              <w:t xml:space="preserve"> “A passion for shoes is a family trait.”</w:t>
            </w:r>
          </w:p>
        </w:tc>
        <w:tc>
          <w:tcPr>
            <w:tcW w:w="3204" w:type="dxa"/>
          </w:tcPr>
          <w:p w14:paraId="3926ABF6" w14:textId="77777777" w:rsidR="00DC4EEE" w:rsidRPr="00BB66B6" w:rsidRDefault="00CB3CE1" w:rsidP="00655F86">
            <w:pPr>
              <w:pStyle w:val="ToolTableText"/>
              <w:rPr>
                <w:sz w:val="22"/>
                <w:szCs w:val="22"/>
              </w:rPr>
            </w:pPr>
            <w:r w:rsidRPr="00BB66B6">
              <w:rPr>
                <w:sz w:val="22"/>
                <w:szCs w:val="22"/>
              </w:rPr>
              <w:t xml:space="preserve">Try to engage and orient the reader a bit more. Begin with </w:t>
            </w:r>
            <w:r w:rsidR="00801D85" w:rsidRPr="00BB66B6">
              <w:rPr>
                <w:sz w:val="22"/>
                <w:szCs w:val="22"/>
              </w:rPr>
              <w:t>a stronger lead sentence and ensure the reader knows what you are talking about.</w:t>
            </w:r>
          </w:p>
        </w:tc>
        <w:tc>
          <w:tcPr>
            <w:tcW w:w="3204" w:type="dxa"/>
          </w:tcPr>
          <w:p w14:paraId="1B9FE160" w14:textId="77777777" w:rsidR="00DC4EEE" w:rsidRPr="00BB66B6" w:rsidRDefault="00DC4EEE" w:rsidP="00FA786D">
            <w:pPr>
              <w:pStyle w:val="ToolTableText"/>
              <w:rPr>
                <w:sz w:val="22"/>
                <w:szCs w:val="22"/>
              </w:rPr>
            </w:pPr>
            <w:r w:rsidRPr="00BB66B6">
              <w:rPr>
                <w:sz w:val="22"/>
                <w:szCs w:val="22"/>
              </w:rPr>
              <w:t xml:space="preserve">I </w:t>
            </w:r>
            <w:r w:rsidR="00801D85" w:rsidRPr="00BB66B6">
              <w:rPr>
                <w:sz w:val="22"/>
                <w:szCs w:val="22"/>
              </w:rPr>
              <w:t>added two sentences in the beginning to help grab the reader’s attention and orient him/her: “</w:t>
            </w:r>
            <w:r w:rsidR="00FA786D" w:rsidRPr="00FA786D">
              <w:rPr>
                <w:sz w:val="22"/>
                <w:szCs w:val="22"/>
              </w:rPr>
              <w:t>If my life to date were a novel, the motif would be shoes. Shoes have made a huge impact on my life in ways varied and unexpected</w:t>
            </w:r>
            <w:r w:rsidR="00FA786D">
              <w:rPr>
                <w:sz w:val="22"/>
                <w:szCs w:val="22"/>
              </w:rPr>
              <w:t>.</w:t>
            </w:r>
            <w:r w:rsidR="00801D85" w:rsidRPr="00BB66B6">
              <w:rPr>
                <w:sz w:val="22"/>
                <w:szCs w:val="22"/>
              </w:rPr>
              <w:t>”</w:t>
            </w:r>
            <w:r w:rsidRPr="00BB66B6">
              <w:rPr>
                <w:sz w:val="22"/>
                <w:szCs w:val="22"/>
              </w:rPr>
              <w:t xml:space="preserve"> </w:t>
            </w:r>
          </w:p>
        </w:tc>
      </w:tr>
      <w:tr w:rsidR="00DC4EEE" w:rsidRPr="00BB66B6" w14:paraId="6516DA6F" w14:textId="77777777">
        <w:trPr>
          <w:trHeight w:val="2880"/>
        </w:trPr>
        <w:tc>
          <w:tcPr>
            <w:tcW w:w="3168" w:type="dxa"/>
          </w:tcPr>
          <w:p w14:paraId="10FF7F33" w14:textId="77777777" w:rsidR="00DC4EEE" w:rsidRPr="00BB66B6" w:rsidRDefault="00DC4EEE" w:rsidP="00655F86">
            <w:pPr>
              <w:pStyle w:val="ToolTableText"/>
              <w:rPr>
                <w:sz w:val="22"/>
                <w:szCs w:val="22"/>
              </w:rPr>
            </w:pPr>
            <w:r w:rsidRPr="00BB66B6">
              <w:rPr>
                <w:sz w:val="22"/>
                <w:szCs w:val="22"/>
              </w:rPr>
              <w:t xml:space="preserve">Paragraph </w:t>
            </w:r>
            <w:r w:rsidR="00801D85" w:rsidRPr="00BB66B6">
              <w:rPr>
                <w:sz w:val="22"/>
                <w:szCs w:val="22"/>
              </w:rPr>
              <w:t>2</w:t>
            </w:r>
            <w:r w:rsidR="004C3AA9" w:rsidRPr="00BB66B6">
              <w:rPr>
                <w:sz w:val="22"/>
                <w:szCs w:val="22"/>
              </w:rPr>
              <w:t>:</w:t>
            </w:r>
            <w:r w:rsidR="00801D85" w:rsidRPr="00BB66B6">
              <w:rPr>
                <w:sz w:val="22"/>
                <w:szCs w:val="22"/>
              </w:rPr>
              <w:t xml:space="preserve"> “Get a job.”</w:t>
            </w:r>
          </w:p>
        </w:tc>
        <w:tc>
          <w:tcPr>
            <w:tcW w:w="3204" w:type="dxa"/>
          </w:tcPr>
          <w:p w14:paraId="34BF80D9" w14:textId="77777777" w:rsidR="00DC4EEE" w:rsidRPr="00BB66B6" w:rsidRDefault="00801D85" w:rsidP="00655F86">
            <w:pPr>
              <w:pStyle w:val="ToolTableText"/>
              <w:rPr>
                <w:sz w:val="22"/>
                <w:szCs w:val="22"/>
              </w:rPr>
            </w:pPr>
            <w:r w:rsidRPr="00BB66B6">
              <w:rPr>
                <w:sz w:val="22"/>
                <w:szCs w:val="22"/>
              </w:rPr>
              <w:t>Try using dialogue here to give your mother a voice and make her more of a character in your narrative</w:t>
            </w:r>
            <w:r w:rsidR="00764089">
              <w:rPr>
                <w:sz w:val="22"/>
                <w:szCs w:val="22"/>
              </w:rPr>
              <w:t xml:space="preserve"> essay</w:t>
            </w:r>
            <w:r w:rsidRPr="00BB66B6">
              <w:rPr>
                <w:sz w:val="22"/>
                <w:szCs w:val="22"/>
              </w:rPr>
              <w:t>.</w:t>
            </w:r>
          </w:p>
        </w:tc>
        <w:tc>
          <w:tcPr>
            <w:tcW w:w="3204" w:type="dxa"/>
          </w:tcPr>
          <w:p w14:paraId="31BEDCF3" w14:textId="77777777" w:rsidR="00801D85" w:rsidRPr="00BB66B6" w:rsidRDefault="00DC4EEE" w:rsidP="00655F86">
            <w:pPr>
              <w:pStyle w:val="ToolTableText"/>
              <w:rPr>
                <w:sz w:val="22"/>
                <w:szCs w:val="22"/>
              </w:rPr>
            </w:pPr>
            <w:r w:rsidRPr="00BB66B6">
              <w:rPr>
                <w:sz w:val="22"/>
                <w:szCs w:val="22"/>
              </w:rPr>
              <w:t xml:space="preserve">I </w:t>
            </w:r>
            <w:r w:rsidR="00801D85" w:rsidRPr="00BB66B6">
              <w:rPr>
                <w:sz w:val="22"/>
                <w:szCs w:val="22"/>
              </w:rPr>
              <w:t xml:space="preserve">added dialogue to make </w:t>
            </w:r>
            <w:r w:rsidR="004C3AA9" w:rsidRPr="00BB66B6">
              <w:rPr>
                <w:sz w:val="22"/>
                <w:szCs w:val="22"/>
              </w:rPr>
              <w:t>the paragraph</w:t>
            </w:r>
            <w:r w:rsidR="00451422" w:rsidRPr="00BB66B6">
              <w:rPr>
                <w:sz w:val="22"/>
                <w:szCs w:val="22"/>
              </w:rPr>
              <w:t xml:space="preserve"> more clear and engaging:</w:t>
            </w:r>
            <w:r w:rsidR="00FA786D">
              <w:rPr>
                <w:sz w:val="22"/>
                <w:szCs w:val="22"/>
              </w:rPr>
              <w:t xml:space="preserve"> “</w:t>
            </w:r>
            <w:r w:rsidR="00FA786D" w:rsidRPr="00FA786D">
              <w:rPr>
                <w:sz w:val="22"/>
                <w:szCs w:val="22"/>
              </w:rPr>
              <w:t>Studying and collecting athletic shoes has taught me the value of a hard-earned dollar. When I was fourteen, my mom gave me an ultimatum: “Dad and I have been looking at the bills, and we have decided that unless you would like to eat shoes, you will have to get a job.”</w:t>
            </w:r>
            <w:r w:rsidR="00451422" w:rsidRPr="00BB66B6">
              <w:rPr>
                <w:sz w:val="22"/>
                <w:szCs w:val="22"/>
              </w:rPr>
              <w:t xml:space="preserve"> </w:t>
            </w:r>
          </w:p>
          <w:p w14:paraId="022F2123" w14:textId="77777777" w:rsidR="00451422" w:rsidRPr="00BB66B6" w:rsidRDefault="00FA786D" w:rsidP="00FA786D">
            <w:pPr>
              <w:pStyle w:val="ToolTableText"/>
              <w:rPr>
                <w:sz w:val="22"/>
                <w:szCs w:val="22"/>
              </w:rPr>
            </w:pPr>
            <w:r w:rsidRPr="00FA786D">
              <w:rPr>
                <w:sz w:val="22"/>
                <w:szCs w:val="22"/>
              </w:rPr>
              <w:t>I looked at the meticulously stacked shoeboxes towering over the rest of my room and made some quick calculations. “I see your point,” I replied</w:t>
            </w:r>
            <w:r w:rsidR="00A8742B" w:rsidRPr="00BB66B6">
              <w:rPr>
                <w:sz w:val="22"/>
                <w:szCs w:val="22"/>
              </w:rPr>
              <w:t>.</w:t>
            </w:r>
            <w:r>
              <w:rPr>
                <w:sz w:val="22"/>
                <w:szCs w:val="22"/>
              </w:rPr>
              <w:t>”</w:t>
            </w:r>
            <w:r w:rsidR="00A8742B" w:rsidRPr="00BB66B6">
              <w:rPr>
                <w:sz w:val="22"/>
                <w:szCs w:val="22"/>
              </w:rPr>
              <w:t xml:space="preserve"> </w:t>
            </w:r>
          </w:p>
        </w:tc>
      </w:tr>
      <w:tr w:rsidR="00DC4EEE" w:rsidRPr="00BB66B6" w14:paraId="0B523FED" w14:textId="77777777">
        <w:trPr>
          <w:trHeight w:val="2880"/>
        </w:trPr>
        <w:tc>
          <w:tcPr>
            <w:tcW w:w="3168" w:type="dxa"/>
          </w:tcPr>
          <w:p w14:paraId="38C6C04D" w14:textId="77777777" w:rsidR="00DC4EEE" w:rsidRPr="00BB66B6" w:rsidRDefault="00801D85" w:rsidP="00655F86">
            <w:pPr>
              <w:pStyle w:val="ToolTableText"/>
              <w:rPr>
                <w:sz w:val="22"/>
                <w:szCs w:val="22"/>
              </w:rPr>
            </w:pPr>
            <w:r w:rsidRPr="00BB66B6">
              <w:rPr>
                <w:sz w:val="22"/>
                <w:szCs w:val="22"/>
              </w:rPr>
              <w:lastRenderedPageBreak/>
              <w:t>Paragraph 4, “So I spent the summer by the pool working.”</w:t>
            </w:r>
          </w:p>
        </w:tc>
        <w:tc>
          <w:tcPr>
            <w:tcW w:w="3204" w:type="dxa"/>
          </w:tcPr>
          <w:p w14:paraId="3BCC0AA3" w14:textId="77777777" w:rsidR="00DC4EEE" w:rsidRPr="00BB66B6" w:rsidRDefault="00801D85" w:rsidP="00655F86">
            <w:pPr>
              <w:pStyle w:val="ToolTableText"/>
              <w:rPr>
                <w:sz w:val="22"/>
                <w:szCs w:val="22"/>
              </w:rPr>
            </w:pPr>
            <w:r w:rsidRPr="00BB66B6">
              <w:rPr>
                <w:sz w:val="22"/>
                <w:szCs w:val="22"/>
              </w:rPr>
              <w:t>Try adding some more precise and telling details to this sentence.</w:t>
            </w:r>
          </w:p>
        </w:tc>
        <w:tc>
          <w:tcPr>
            <w:tcW w:w="3204" w:type="dxa"/>
          </w:tcPr>
          <w:p w14:paraId="1DC0DFB1" w14:textId="77777777" w:rsidR="00DC4EEE" w:rsidRPr="00BB66B6" w:rsidRDefault="00DC4EEE" w:rsidP="00FA786D">
            <w:pPr>
              <w:pStyle w:val="ToolTableText"/>
              <w:rPr>
                <w:sz w:val="22"/>
                <w:szCs w:val="22"/>
              </w:rPr>
            </w:pPr>
            <w:r w:rsidRPr="00BB66B6">
              <w:rPr>
                <w:sz w:val="22"/>
                <w:szCs w:val="22"/>
              </w:rPr>
              <w:t xml:space="preserve">I revised this </w:t>
            </w:r>
            <w:r w:rsidR="00801D85" w:rsidRPr="00BB66B6">
              <w:rPr>
                <w:sz w:val="22"/>
                <w:szCs w:val="22"/>
              </w:rPr>
              <w:t xml:space="preserve">sentence. It now reads, </w:t>
            </w:r>
            <w:r w:rsidR="00FA786D">
              <w:rPr>
                <w:sz w:val="22"/>
                <w:szCs w:val="22"/>
              </w:rPr>
              <w:t>“</w:t>
            </w:r>
            <w:r w:rsidR="00FA786D" w:rsidRPr="00FA786D">
              <w:rPr>
                <w:sz w:val="22"/>
                <w:szCs w:val="22"/>
              </w:rPr>
              <w:t>So I spent my summer poolside, not lounging around with a tall glass of lemonade, but standing over a deep fryer slinging fries and onion rings at my community pool's snack bar</w:t>
            </w:r>
            <w:r w:rsidR="00FA786D">
              <w:rPr>
                <w:sz w:val="22"/>
                <w:szCs w:val="22"/>
              </w:rPr>
              <w:t>.”</w:t>
            </w:r>
            <w:r w:rsidR="00FA786D" w:rsidRPr="00FA786D">
              <w:rPr>
                <w:sz w:val="22"/>
                <w:szCs w:val="22"/>
              </w:rPr>
              <w:t xml:space="preserve"> </w:t>
            </w:r>
          </w:p>
        </w:tc>
      </w:tr>
    </w:tbl>
    <w:p w14:paraId="6D6B2A88" w14:textId="77777777" w:rsidR="00DC4EEE" w:rsidRDefault="00DC4EEE" w:rsidP="00DC4EEE">
      <w:pPr>
        <w:pStyle w:val="ToolHeader"/>
      </w:pPr>
    </w:p>
    <w:p w14:paraId="434B8F87" w14:textId="77777777" w:rsidR="00DC4EEE" w:rsidRDefault="004C3AA9" w:rsidP="00E82B01">
      <w:pPr>
        <w:pStyle w:val="ToolHeader"/>
        <w:rPr>
          <w:shd w:val="clear" w:color="auto" w:fill="FFFFFF"/>
        </w:rPr>
      </w:pPr>
      <w:r>
        <w:br w:type="page"/>
      </w:r>
      <w:r w:rsidR="00DC4EEE">
        <w:lastRenderedPageBreak/>
        <w:t>Model Narrative Essay</w:t>
      </w:r>
    </w:p>
    <w:p w14:paraId="44CE0C14" w14:textId="77777777" w:rsidR="00DC4EEE" w:rsidRPr="00FA786D" w:rsidRDefault="00E82B01" w:rsidP="00FA786D">
      <w:pPr>
        <w:pStyle w:val="Q"/>
      </w:pPr>
      <w:r w:rsidRPr="00FA786D">
        <w:t xml:space="preserve">Prompt: </w:t>
      </w:r>
      <w:r w:rsidR="00DC4EEE" w:rsidRPr="00FA786D">
        <w:t>Some students have a background or story that is so central to their identity that they believe their application would be incomplete without it. If this sounds like you, then please share your story.</w:t>
      </w:r>
    </w:p>
    <w:p w14:paraId="2FB23388" w14:textId="77777777" w:rsidR="00DC4EEE" w:rsidRDefault="00DC4EEE" w:rsidP="00FA786D">
      <w:pPr>
        <w:pStyle w:val="BodyText"/>
        <w:spacing w:before="180"/>
      </w:pPr>
      <w:commentRangeStart w:id="1"/>
      <w:r>
        <w:t>A passion for shoes is a family trait</w:t>
      </w:r>
      <w:commentRangeEnd w:id="1"/>
      <w:r w:rsidR="007B3E65">
        <w:rPr>
          <w:rStyle w:val="CommentReference"/>
        </w:rPr>
        <w:commentReference w:id="1"/>
      </w:r>
      <w:r>
        <w:t xml:space="preserve">. My father was a long-distance runner and an early athletic shoe aficionado who later became CFO of an athletic shoe manufacturer, where he helped develop some of the first high-tech running shoes. </w:t>
      </w:r>
      <w:r w:rsidR="00FA786D" w:rsidRPr="00FA786D">
        <w:t>He later became the CFO of an athletic shoe manufacturer where he helped develop some of the first high-tech running shoes. Following in my father’s footsteps, I acquired a great passion for learning about athletic shoes and I now have an impressive collection to match. Shoes have shaped my college and career plans, but their impact goes even deeper.</w:t>
      </w:r>
      <w:r>
        <w:t xml:space="preserve"> </w:t>
      </w:r>
    </w:p>
    <w:p w14:paraId="626FC132" w14:textId="77777777" w:rsidR="00DC4EEE" w:rsidRDefault="00122B1E" w:rsidP="00DC4EEE">
      <w:pPr>
        <w:jc w:val="both"/>
      </w:pPr>
      <w:r w:rsidRPr="00122B1E">
        <w:t>Studying and collecting athletic shoes has taught me the value of a hard-earned dollar. When I was fourteen, my mom gave me an ultimatum</w:t>
      </w:r>
      <w:r w:rsidR="00DC4EEE">
        <w:t xml:space="preserve">: </w:t>
      </w:r>
      <w:commentRangeStart w:id="2"/>
      <w:r w:rsidR="00F15A95">
        <w:t>Get a job.</w:t>
      </w:r>
      <w:commentRangeEnd w:id="2"/>
      <w:r w:rsidR="007B3E65">
        <w:rPr>
          <w:rStyle w:val="CommentReference"/>
        </w:rPr>
        <w:commentReference w:id="2"/>
      </w:r>
    </w:p>
    <w:p w14:paraId="74537E5E" w14:textId="77777777" w:rsidR="00DC4EEE" w:rsidRDefault="00DC4EEE" w:rsidP="00DC4EEE">
      <w:pPr>
        <w:jc w:val="both"/>
      </w:pPr>
      <w:r>
        <w:t>I looked at the meticulously stacked shoeboxes towering over the rest of my room an</w:t>
      </w:r>
      <w:r w:rsidR="00F15A95">
        <w:t xml:space="preserve">d made some quick calculations. </w:t>
      </w:r>
      <w:commentRangeStart w:id="3"/>
      <w:r w:rsidR="00F15A95">
        <w:t>And I was like, you know what, she’s right.</w:t>
      </w:r>
      <w:commentRangeEnd w:id="3"/>
      <w:r w:rsidR="007B3E65">
        <w:rPr>
          <w:rStyle w:val="CommentReference"/>
        </w:rPr>
        <w:commentReference w:id="3"/>
      </w:r>
    </w:p>
    <w:p w14:paraId="4223C8DF" w14:textId="77777777" w:rsidR="00DC4EEE" w:rsidRDefault="00DC4EEE" w:rsidP="00DC4EEE">
      <w:pPr>
        <w:jc w:val="both"/>
      </w:pPr>
      <w:commentRangeStart w:id="4"/>
      <w:r>
        <w:t xml:space="preserve">So I spent my summer </w:t>
      </w:r>
      <w:r w:rsidR="00F15A95">
        <w:t>by the pool working</w:t>
      </w:r>
      <w:commentRangeEnd w:id="4"/>
      <w:r w:rsidR="007B3E65">
        <w:rPr>
          <w:rStyle w:val="CommentReference"/>
        </w:rPr>
        <w:commentReference w:id="4"/>
      </w:r>
      <w:r>
        <w:t xml:space="preserve">. </w:t>
      </w:r>
      <w:r w:rsidR="00122B1E" w:rsidRPr="00122B1E">
        <w:t>I faithfully saved half of every paycheck for college, and just as faithfully spent the other half on shoes. Pairs of slim metallic gold Air Max, orange filigree-embossed Foamposites, and a rare tie-dyed mash up of fabrics branded as “What the Dunk” all made their way into my collection.</w:t>
      </w:r>
      <w:r w:rsidR="00801D85">
        <w:t xml:space="preserve"> </w:t>
      </w:r>
      <w:commentRangeStart w:id="5"/>
      <w:r w:rsidR="00801D85">
        <w:t>By the end of that summer.</w:t>
      </w:r>
      <w:commentRangeEnd w:id="5"/>
      <w:r w:rsidR="007B3E65">
        <w:rPr>
          <w:rStyle w:val="CommentReference"/>
        </w:rPr>
        <w:commentReference w:id="5"/>
      </w:r>
      <w:r>
        <w:t xml:space="preserve"> </w:t>
      </w:r>
      <w:r w:rsidR="00122B1E" w:rsidRPr="00122B1E">
        <w:t xml:space="preserve"> I had enough stock in my collection that I decided to become a </w:t>
      </w:r>
      <w:r w:rsidR="00A30D40">
        <w:t xml:space="preserve">self-employed </w:t>
      </w:r>
      <w:r w:rsidR="00122B1E" w:rsidRPr="00122B1E">
        <w:t>shoe entrepreneur, buying and selling shoes online at a handsome profit. I camped overnight in Center City Philadelphia to get a prime place in line to purchase highly-coveted sneakers. I made some savvy investments, but I was also conned in an ill-advised Craigslist deal with an unscrupulous buyer. The challenges, rewards, and thrills of running a small business have fueled my decision to major in business.</w:t>
      </w:r>
    </w:p>
    <w:p w14:paraId="71DDDC10" w14:textId="77777777" w:rsidR="00DC4EEE" w:rsidRDefault="00122B1E" w:rsidP="00DC4EEE">
      <w:pPr>
        <w:jc w:val="both"/>
      </w:pPr>
      <w:r w:rsidRPr="00122B1E">
        <w:t>A shared passion for shoes creates an instant connection with people I meet, whether in a suburban shopping mall or a trendy neon-lit Los Angeles sneaker store. I have learned that in some places, shoes are not a fashion statement or a status symbol</w:t>
      </w:r>
      <w:r w:rsidR="00DC4EEE">
        <w:t xml:space="preserve">. Rather, </w:t>
      </w:r>
      <w:commentRangeStart w:id="6"/>
      <w:r w:rsidR="00801D85">
        <w:t>shows</w:t>
      </w:r>
      <w:commentRangeEnd w:id="6"/>
      <w:r w:rsidR="007B3E65">
        <w:rPr>
          <w:rStyle w:val="CommentReference"/>
        </w:rPr>
        <w:commentReference w:id="6"/>
      </w:r>
      <w:r w:rsidR="00DC4EEE">
        <w:t xml:space="preserve"> </w:t>
      </w:r>
      <w:r w:rsidRPr="00122B1E">
        <w:t xml:space="preserve"> enable a child to make an arduous trek to school and surmount a potential education barrier. When I first learned about the nonprofit organization, In Ian’s Boots, I knew I found a way to unite my shoe passion with my mission to contribute positively to the world around me. Founded by the grieving parents of a fellow soccer goalie killed in a sledding accident, In Ian’s Boots collects used shoes for people in need around the world. Doctors found a biblical message in his boots urging “perseverance,” and this story and message spoke to me. Last year, I hosted a drive and collected over 600 pairs of shoes, some of which have been distributed to Honduras, Ghana, and Haiti.</w:t>
      </w:r>
      <w:r w:rsidR="00DC4EEE">
        <w:t xml:space="preserve"> </w:t>
      </w:r>
    </w:p>
    <w:p w14:paraId="675055D6" w14:textId="5142AFBF" w:rsidR="00DC4EEE" w:rsidRDefault="00801D85" w:rsidP="00BE526B">
      <w:pPr>
        <w:jc w:val="both"/>
      </w:pPr>
      <w:commentRangeStart w:id="7"/>
      <w:r>
        <w:t>I love shoes</w:t>
      </w:r>
      <w:commentRangeEnd w:id="7"/>
      <w:r w:rsidR="005B3AB4">
        <w:rPr>
          <w:rStyle w:val="CommentReference"/>
        </w:rPr>
        <w:commentReference w:id="7"/>
      </w:r>
      <w:r w:rsidR="00122B1E" w:rsidRPr="00122B1E">
        <w:t>. I can only imagine all the places my shoes will take me next.</w:t>
      </w:r>
    </w:p>
    <w:sectPr w:rsidR="00DC4EEE" w:rsidSect="00191E4B">
      <w:headerReference w:type="default" r:id="rId11"/>
      <w:footerReference w:type="even" r:id="rId12"/>
      <w:footerReference w:type="default" r:id="rId13"/>
      <w:pgSz w:w="12240" w:h="15840"/>
      <w:pgMar w:top="1440" w:right="1440" w:bottom="1440" w:left="1440" w:header="432" w:footer="648"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1" w:date="2014-10-17T09:26:00Z" w:initials="R1">
    <w:p w14:paraId="69CB9C68" w14:textId="3DE6748D" w:rsidR="007B3E65" w:rsidRDefault="007B3E65">
      <w:pPr>
        <w:pStyle w:val="CommentText"/>
      </w:pPr>
      <w:r>
        <w:rPr>
          <w:rStyle w:val="CommentReference"/>
        </w:rPr>
        <w:annotationRef/>
      </w:r>
      <w:r>
        <w:t>I think you need to do more at the beginning to engage and orient the reader.</w:t>
      </w:r>
    </w:p>
  </w:comment>
  <w:comment w:id="2" w:author="R1" w:date="2014-10-17T09:26:00Z" w:initials="R1">
    <w:p w14:paraId="4D1228A7" w14:textId="110AC9FF" w:rsidR="007B3E65" w:rsidRDefault="007B3E65">
      <w:pPr>
        <w:pStyle w:val="CommentText"/>
      </w:pPr>
      <w:r>
        <w:rPr>
          <w:rStyle w:val="CommentReference"/>
        </w:rPr>
        <w:annotationRef/>
      </w:r>
      <w:r>
        <w:t>Why not try adding dialogue here in order to give your mother a voice?</w:t>
      </w:r>
    </w:p>
  </w:comment>
  <w:comment w:id="3" w:author="R1" w:date="2014-10-17T09:27:00Z" w:initials="R1">
    <w:p w14:paraId="65F3EAD7" w14:textId="25F9E9B2" w:rsidR="007B3E65" w:rsidRDefault="007B3E65">
      <w:pPr>
        <w:pStyle w:val="CommentText"/>
      </w:pPr>
      <w:r>
        <w:rPr>
          <w:rStyle w:val="CommentReference"/>
        </w:rPr>
        <w:annotationRef/>
      </w:r>
      <w:r>
        <w:t>This is not the appropriate tone for a college admissions essay.</w:t>
      </w:r>
    </w:p>
  </w:comment>
  <w:comment w:id="4" w:author="R1" w:date="2014-10-17T09:29:00Z" w:initials="R1">
    <w:p w14:paraId="7F871E3D" w14:textId="41E41B8A" w:rsidR="007B3E65" w:rsidRDefault="007B3E65">
      <w:pPr>
        <w:pStyle w:val="CommentText"/>
      </w:pPr>
      <w:r>
        <w:rPr>
          <w:rStyle w:val="CommentReference"/>
        </w:rPr>
        <w:annotationRef/>
      </w:r>
      <w:r>
        <w:t>Try adding a bit more of a concrete and precise description here. What were you doing for work?</w:t>
      </w:r>
    </w:p>
  </w:comment>
  <w:comment w:id="5" w:author="R1" w:date="2014-10-17T09:29:00Z" w:initials="R1">
    <w:p w14:paraId="5F7BF0C4" w14:textId="34D5E010" w:rsidR="007B3E65" w:rsidRDefault="007B3E65">
      <w:pPr>
        <w:pStyle w:val="CommentText"/>
      </w:pPr>
      <w:r>
        <w:rPr>
          <w:rStyle w:val="CommentReference"/>
        </w:rPr>
        <w:annotationRef/>
      </w:r>
      <w:r>
        <w:t>This sentence is a fragment; there should be a comma here, not a period.</w:t>
      </w:r>
    </w:p>
  </w:comment>
  <w:comment w:id="6" w:author="R1" w:date="2014-10-17T09:30:00Z" w:initials="R1">
    <w:p w14:paraId="4883E398" w14:textId="1B7955E5" w:rsidR="007B3E65" w:rsidRDefault="007B3E65">
      <w:pPr>
        <w:pStyle w:val="CommentText"/>
      </w:pPr>
      <w:r>
        <w:rPr>
          <w:rStyle w:val="CommentReference"/>
        </w:rPr>
        <w:annotationRef/>
      </w:r>
      <w:r>
        <w:t>There is a spelling mistake here.</w:t>
      </w:r>
    </w:p>
  </w:comment>
  <w:comment w:id="7" w:author="R1" w:date="2014-10-17T09:31:00Z" w:initials="R1">
    <w:p w14:paraId="38E7834F" w14:textId="75B61EC0" w:rsidR="005B3AB4" w:rsidRDefault="005B3AB4">
      <w:pPr>
        <w:pStyle w:val="CommentText"/>
      </w:pPr>
      <w:r>
        <w:rPr>
          <w:rStyle w:val="CommentReference"/>
        </w:rPr>
        <w:annotationRef/>
      </w:r>
      <w:r>
        <w:t>This is your conclusion paragraph. Try to say something more meaningful than simply, “I love shoes.” The reader understands this by now. What do you hope for the future? How do these hopes relate to shoes?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B9C68" w15:done="0"/>
  <w15:commentEx w15:paraId="4D1228A7" w15:done="0"/>
  <w15:commentEx w15:paraId="65F3EAD7" w15:done="0"/>
  <w15:commentEx w15:paraId="7F871E3D" w15:done="0"/>
  <w15:commentEx w15:paraId="5F7BF0C4" w15:done="0"/>
  <w15:commentEx w15:paraId="4883E398" w15:done="0"/>
  <w15:commentEx w15:paraId="38E783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F2335" w14:textId="77777777" w:rsidR="00742A59" w:rsidRDefault="00742A59">
      <w:pPr>
        <w:spacing w:before="0" w:after="0" w:line="240" w:lineRule="auto"/>
      </w:pPr>
      <w:r>
        <w:separator/>
      </w:r>
    </w:p>
  </w:endnote>
  <w:endnote w:type="continuationSeparator" w:id="0">
    <w:p w14:paraId="1099A8B8" w14:textId="77777777" w:rsidR="00742A59" w:rsidRDefault="00742A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7D56" w14:textId="77777777" w:rsidR="00AC3F96" w:rsidRDefault="00A863C5" w:rsidP="00191E4B">
    <w:pPr>
      <w:pStyle w:val="Footer"/>
      <w:rPr>
        <w:rStyle w:val="PageNumber"/>
        <w:rFonts w:ascii="Calibri" w:hAnsi="Calibri"/>
        <w:sz w:val="22"/>
      </w:rPr>
    </w:pPr>
    <w:r>
      <w:rPr>
        <w:rStyle w:val="PageNumber"/>
      </w:rPr>
      <w:fldChar w:fldCharType="begin"/>
    </w:r>
    <w:r w:rsidR="00AC3F96">
      <w:rPr>
        <w:rStyle w:val="PageNumber"/>
      </w:rPr>
      <w:instrText xml:space="preserve">PAGE  </w:instrText>
    </w:r>
    <w:r>
      <w:rPr>
        <w:rStyle w:val="PageNumber"/>
      </w:rPr>
      <w:fldChar w:fldCharType="end"/>
    </w:r>
  </w:p>
  <w:p w14:paraId="01EB494D" w14:textId="77777777" w:rsidR="00AC3F96" w:rsidRDefault="00AC3F96" w:rsidP="00191E4B">
    <w:pPr>
      <w:pStyle w:val="Footer"/>
    </w:pPr>
  </w:p>
  <w:p w14:paraId="3A67C898" w14:textId="77777777" w:rsidR="00AC3F96" w:rsidRDefault="00AC3F96" w:rsidP="00191E4B"/>
  <w:p w14:paraId="3A873CD9" w14:textId="77777777" w:rsidR="00AC3F96" w:rsidRDefault="00AC3F96" w:rsidP="00191E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08C5" w14:textId="77777777" w:rsidR="00AC3F96" w:rsidRPr="00563CB8" w:rsidRDefault="00AC3F96"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C3F96" w14:paraId="38FC0B99" w14:textId="77777777">
      <w:trPr>
        <w:trHeight w:val="705"/>
      </w:trPr>
      <w:tc>
        <w:tcPr>
          <w:tcW w:w="4609" w:type="dxa"/>
          <w:shd w:val="clear" w:color="auto" w:fill="auto"/>
          <w:vAlign w:val="center"/>
        </w:tcPr>
        <w:p w14:paraId="3C1C4C5A" w14:textId="77777777" w:rsidR="00AC3F96" w:rsidRPr="002E4C92" w:rsidRDefault="00AC3F96"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3</w:t>
          </w:r>
          <w:r w:rsidRPr="0039525B">
            <w:rPr>
              <w:b w:val="0"/>
            </w:rPr>
            <w:t xml:space="preserve"> Lesson </w:t>
          </w:r>
          <w:r>
            <w:rPr>
              <w:b w:val="0"/>
            </w:rPr>
            <w:t>6</w:t>
          </w:r>
          <w:r w:rsidRPr="002E4C92">
            <w:t xml:space="preserve"> Date:</w:t>
          </w:r>
          <w:r w:rsidRPr="0039525B">
            <w:rPr>
              <w:b w:val="0"/>
            </w:rPr>
            <w:t xml:space="preserve"> </w:t>
          </w:r>
          <w:r w:rsidR="00627D3D">
            <w:rPr>
              <w:b w:val="0"/>
            </w:rPr>
            <w:t>10</w:t>
          </w:r>
          <w:r w:rsidRPr="0039525B">
            <w:rPr>
              <w:b w:val="0"/>
            </w:rPr>
            <w:t>/</w:t>
          </w:r>
          <w:r w:rsidR="00627D3D">
            <w:rPr>
              <w:b w:val="0"/>
            </w:rPr>
            <w:t>17</w:t>
          </w:r>
          <w:r w:rsidR="00BB66B6">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14:paraId="24A9E9EB" w14:textId="77777777" w:rsidR="00AC3F96" w:rsidRPr="0039525B" w:rsidRDefault="00AC3F96"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57FB251" w14:textId="77777777" w:rsidR="00AC3F96" w:rsidRPr="0039525B" w:rsidRDefault="00AC3F96" w:rsidP="007017EB">
          <w:pPr>
            <w:pStyle w:val="FooterText"/>
            <w:rPr>
              <w:b w:val="0"/>
              <w:i/>
            </w:rPr>
          </w:pPr>
          <w:r w:rsidRPr="0039525B">
            <w:rPr>
              <w:b w:val="0"/>
              <w:i/>
              <w:sz w:val="12"/>
            </w:rPr>
            <w:t>Creative Commons Attribution-NonCommercial-ShareAlike 3.0 Unported License</w:t>
          </w:r>
        </w:p>
        <w:p w14:paraId="2EE88E04" w14:textId="77777777" w:rsidR="00AC3F96" w:rsidRPr="002E4C92" w:rsidRDefault="00742A59" w:rsidP="007017EB">
          <w:pPr>
            <w:pStyle w:val="FooterText"/>
          </w:pPr>
          <w:hyperlink r:id="rId1" w:history="1">
            <w:r w:rsidR="00AC3F9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A9CF8F6" w14:textId="77777777" w:rsidR="00AC3F96" w:rsidRPr="002E4C92" w:rsidRDefault="00A863C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C3F9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747A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307B01C" w14:textId="77777777" w:rsidR="00AC3F96" w:rsidRPr="002E4C92" w:rsidRDefault="00AC3F9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5013EE6" wp14:editId="0BD6D453">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855B5DD" w14:textId="77777777" w:rsidR="00AC3F96" w:rsidRPr="007017EB" w:rsidRDefault="00AC3F96"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D7FFB" w14:textId="77777777" w:rsidR="00742A59" w:rsidRDefault="00742A59">
      <w:pPr>
        <w:spacing w:before="0" w:after="0" w:line="240" w:lineRule="auto"/>
      </w:pPr>
      <w:r>
        <w:separator/>
      </w:r>
    </w:p>
  </w:footnote>
  <w:footnote w:type="continuationSeparator" w:id="0">
    <w:p w14:paraId="52C95C24" w14:textId="77777777" w:rsidR="00742A59" w:rsidRDefault="00742A5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C3F96" w:rsidRPr="00563CB8" w14:paraId="39821977" w14:textId="77777777">
      <w:tc>
        <w:tcPr>
          <w:tcW w:w="3708" w:type="dxa"/>
          <w:shd w:val="clear" w:color="auto" w:fill="auto"/>
        </w:tcPr>
        <w:p w14:paraId="29790B0C" w14:textId="77777777" w:rsidR="00AC3F96" w:rsidRPr="00563CB8" w:rsidRDefault="00AC3F96"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3A999F6" w14:textId="77777777" w:rsidR="00AC3F96" w:rsidRPr="00563CB8" w:rsidRDefault="00AC3F96" w:rsidP="007017EB">
          <w:pPr>
            <w:jc w:val="center"/>
          </w:pPr>
          <w:r w:rsidRPr="00563CB8">
            <w:t>D R A F T</w:t>
          </w:r>
        </w:p>
      </w:tc>
      <w:tc>
        <w:tcPr>
          <w:tcW w:w="3438" w:type="dxa"/>
          <w:shd w:val="clear" w:color="auto" w:fill="auto"/>
        </w:tcPr>
        <w:p w14:paraId="3C84461A" w14:textId="77777777" w:rsidR="00AC3F96" w:rsidRPr="00E946A0" w:rsidRDefault="00AC3F96" w:rsidP="008C32DB">
          <w:pPr>
            <w:pStyle w:val="PageHeader"/>
            <w:jc w:val="right"/>
            <w:rPr>
              <w:b w:val="0"/>
            </w:rPr>
          </w:pPr>
          <w:r>
            <w:rPr>
              <w:b w:val="0"/>
            </w:rPr>
            <w:t>Grade 12 • Module 1</w:t>
          </w:r>
          <w:r w:rsidRPr="00E946A0">
            <w:rPr>
              <w:b w:val="0"/>
            </w:rPr>
            <w:t xml:space="preserve"> • Unit </w:t>
          </w:r>
          <w:r>
            <w:rPr>
              <w:b w:val="0"/>
            </w:rPr>
            <w:t>3</w:t>
          </w:r>
          <w:r w:rsidRPr="00E946A0">
            <w:rPr>
              <w:b w:val="0"/>
            </w:rPr>
            <w:t xml:space="preserve"> • Lesson </w:t>
          </w:r>
          <w:r>
            <w:rPr>
              <w:b w:val="0"/>
            </w:rPr>
            <w:t>6</w:t>
          </w:r>
        </w:p>
      </w:tc>
    </w:tr>
  </w:tbl>
  <w:p w14:paraId="4F17CD6F" w14:textId="77777777" w:rsidR="00AC3F96" w:rsidRPr="007017EB" w:rsidRDefault="00AC3F9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2ED5D0"/>
    <w:lvl w:ilvl="0">
      <w:start w:val="1"/>
      <w:numFmt w:val="decimal"/>
      <w:lvlText w:val="%1."/>
      <w:lvlJc w:val="left"/>
      <w:pPr>
        <w:tabs>
          <w:tab w:val="num" w:pos="1800"/>
        </w:tabs>
        <w:ind w:left="1800" w:hanging="360"/>
      </w:pPr>
    </w:lvl>
  </w:abstractNum>
  <w:abstractNum w:abstractNumId="1">
    <w:nsid w:val="FFFFFF7F"/>
    <w:multiLevelType w:val="singleLevel"/>
    <w:tmpl w:val="5D44747A"/>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2466B"/>
    <w:multiLevelType w:val="multilevel"/>
    <w:tmpl w:val="AF08517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5249A4"/>
    <w:multiLevelType w:val="multilevel"/>
    <w:tmpl w:val="E2E272C6"/>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BF0C2E"/>
    <w:multiLevelType w:val="multilevel"/>
    <w:tmpl w:val="1910F728"/>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2326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0B1732A"/>
    <w:multiLevelType w:val="hybridMultilevel"/>
    <w:tmpl w:val="97005E70"/>
    <w:lvl w:ilvl="0" w:tplc="7BFAB40E">
      <w:start w:val="1"/>
      <w:numFmt w:val="lowerLetter"/>
      <w:pStyle w:val="SubStandard"/>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1"/>
  </w:num>
  <w:num w:numId="4">
    <w:abstractNumId w:val="13"/>
  </w:num>
  <w:num w:numId="5">
    <w:abstractNumId w:val="3"/>
  </w:num>
  <w:num w:numId="6">
    <w:abstractNumId w:val="15"/>
  </w:num>
  <w:num w:numId="7">
    <w:abstractNumId w:val="9"/>
    <w:lvlOverride w:ilvl="0">
      <w:startOverride w:val="1"/>
    </w:lvlOverride>
  </w:num>
  <w:num w:numId="8">
    <w:abstractNumId w:val="17"/>
  </w:num>
  <w:num w:numId="9">
    <w:abstractNumId w:val="4"/>
  </w:num>
  <w:num w:numId="10">
    <w:abstractNumId w:val="14"/>
  </w:num>
  <w:num w:numId="11">
    <w:abstractNumId w:val="19"/>
  </w:num>
  <w:num w:numId="12">
    <w:abstractNumId w:val="9"/>
  </w:num>
  <w:num w:numId="13">
    <w:abstractNumId w:val="9"/>
    <w:lvlOverride w:ilvl="0">
      <w:startOverride w:val="1"/>
    </w:lvlOverride>
  </w:num>
  <w:num w:numId="14">
    <w:abstractNumId w:val="8"/>
    <w:lvlOverride w:ilvl="0">
      <w:startOverride w:val="1"/>
    </w:lvlOverride>
  </w:num>
  <w:num w:numId="15">
    <w:abstractNumId w:val="17"/>
  </w:num>
  <w:num w:numId="16">
    <w:abstractNumId w:val="6"/>
  </w:num>
  <w:num w:numId="17">
    <w:abstractNumId w:val="2"/>
  </w:num>
  <w:num w:numId="18">
    <w:abstractNumId w:val="5"/>
  </w:num>
  <w:num w:numId="19">
    <w:abstractNumId w:val="16"/>
  </w:num>
  <w:num w:numId="20">
    <w:abstractNumId w:val="18"/>
  </w:num>
  <w:num w:numId="21">
    <w:abstractNumId w:val="12"/>
  </w:num>
  <w:num w:numId="22">
    <w:abstractNumId w:val="10"/>
  </w:num>
  <w:num w:numId="23">
    <w:abstractNumId w:val="7"/>
  </w:num>
  <w:num w:numId="24">
    <w:abstractNumId w:val="19"/>
    <w:lvlOverride w:ilvl="0">
      <w:startOverride w:val="1"/>
    </w:lvlOverride>
  </w:num>
  <w:num w:numId="25">
    <w:abstractNumId w:val="1"/>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30CE2"/>
    <w:rsid w:val="00073EC2"/>
    <w:rsid w:val="000971B2"/>
    <w:rsid w:val="000B3273"/>
    <w:rsid w:val="000B3A6F"/>
    <w:rsid w:val="000D44AC"/>
    <w:rsid w:val="000E4A75"/>
    <w:rsid w:val="00117F7D"/>
    <w:rsid w:val="0012140D"/>
    <w:rsid w:val="00122B1E"/>
    <w:rsid w:val="00124047"/>
    <w:rsid w:val="00140915"/>
    <w:rsid w:val="0014134C"/>
    <w:rsid w:val="00144B97"/>
    <w:rsid w:val="001646E5"/>
    <w:rsid w:val="00164C46"/>
    <w:rsid w:val="00167E91"/>
    <w:rsid w:val="001735F1"/>
    <w:rsid w:val="00181FE3"/>
    <w:rsid w:val="00182F89"/>
    <w:rsid w:val="00191E4B"/>
    <w:rsid w:val="001C5C66"/>
    <w:rsid w:val="001E5BB1"/>
    <w:rsid w:val="001F79D4"/>
    <w:rsid w:val="00202E17"/>
    <w:rsid w:val="00235E85"/>
    <w:rsid w:val="00235EC7"/>
    <w:rsid w:val="0026540B"/>
    <w:rsid w:val="002A4244"/>
    <w:rsid w:val="002A4B8D"/>
    <w:rsid w:val="002A640D"/>
    <w:rsid w:val="002C184B"/>
    <w:rsid w:val="002D6DB8"/>
    <w:rsid w:val="002D7D4B"/>
    <w:rsid w:val="002F48B4"/>
    <w:rsid w:val="002F5CA8"/>
    <w:rsid w:val="0030119B"/>
    <w:rsid w:val="00322CC0"/>
    <w:rsid w:val="00341F48"/>
    <w:rsid w:val="003452BF"/>
    <w:rsid w:val="00345DE8"/>
    <w:rsid w:val="00352C7B"/>
    <w:rsid w:val="00357003"/>
    <w:rsid w:val="003618A1"/>
    <w:rsid w:val="00386944"/>
    <w:rsid w:val="003C4089"/>
    <w:rsid w:val="003C61A8"/>
    <w:rsid w:val="0040517A"/>
    <w:rsid w:val="00407F77"/>
    <w:rsid w:val="00445752"/>
    <w:rsid w:val="00451422"/>
    <w:rsid w:val="004647E1"/>
    <w:rsid w:val="00465F3F"/>
    <w:rsid w:val="0049499C"/>
    <w:rsid w:val="004A4D4A"/>
    <w:rsid w:val="004C3AA9"/>
    <w:rsid w:val="004D413D"/>
    <w:rsid w:val="005407EE"/>
    <w:rsid w:val="005518E6"/>
    <w:rsid w:val="005612C3"/>
    <w:rsid w:val="00596E63"/>
    <w:rsid w:val="005A48EF"/>
    <w:rsid w:val="005B2771"/>
    <w:rsid w:val="005B3AB4"/>
    <w:rsid w:val="005D0CF7"/>
    <w:rsid w:val="00620A6B"/>
    <w:rsid w:val="00627D3D"/>
    <w:rsid w:val="00636DAF"/>
    <w:rsid w:val="00655F86"/>
    <w:rsid w:val="00660C6A"/>
    <w:rsid w:val="00671E74"/>
    <w:rsid w:val="006823F6"/>
    <w:rsid w:val="00684D33"/>
    <w:rsid w:val="006C7813"/>
    <w:rsid w:val="006D27D9"/>
    <w:rsid w:val="007017EB"/>
    <w:rsid w:val="00702E1E"/>
    <w:rsid w:val="00703C7E"/>
    <w:rsid w:val="00727700"/>
    <w:rsid w:val="00742A59"/>
    <w:rsid w:val="00752EA1"/>
    <w:rsid w:val="00764089"/>
    <w:rsid w:val="0076594C"/>
    <w:rsid w:val="00787C1A"/>
    <w:rsid w:val="00790BCC"/>
    <w:rsid w:val="007A2A3F"/>
    <w:rsid w:val="007B3E65"/>
    <w:rsid w:val="007B7624"/>
    <w:rsid w:val="007D2598"/>
    <w:rsid w:val="007E484F"/>
    <w:rsid w:val="00801502"/>
    <w:rsid w:val="00801D85"/>
    <w:rsid w:val="00804CAF"/>
    <w:rsid w:val="00876CA5"/>
    <w:rsid w:val="00891373"/>
    <w:rsid w:val="00895B26"/>
    <w:rsid w:val="008B328F"/>
    <w:rsid w:val="008C32DB"/>
    <w:rsid w:val="008C4BA9"/>
    <w:rsid w:val="008E0122"/>
    <w:rsid w:val="008F28E1"/>
    <w:rsid w:val="00902CF8"/>
    <w:rsid w:val="00903AC6"/>
    <w:rsid w:val="00942D67"/>
    <w:rsid w:val="009450B7"/>
    <w:rsid w:val="009450F1"/>
    <w:rsid w:val="00971302"/>
    <w:rsid w:val="00996FC2"/>
    <w:rsid w:val="009B39C3"/>
    <w:rsid w:val="009B51DA"/>
    <w:rsid w:val="009B58DA"/>
    <w:rsid w:val="009D599E"/>
    <w:rsid w:val="009E027E"/>
    <w:rsid w:val="009E4DAF"/>
    <w:rsid w:val="009E7A35"/>
    <w:rsid w:val="009F05C7"/>
    <w:rsid w:val="00A0348F"/>
    <w:rsid w:val="00A305D0"/>
    <w:rsid w:val="00A30D40"/>
    <w:rsid w:val="00A747AD"/>
    <w:rsid w:val="00A7684B"/>
    <w:rsid w:val="00A863C5"/>
    <w:rsid w:val="00A8742B"/>
    <w:rsid w:val="00AB1D20"/>
    <w:rsid w:val="00AB72EC"/>
    <w:rsid w:val="00AB758D"/>
    <w:rsid w:val="00AC3F96"/>
    <w:rsid w:val="00AD3D32"/>
    <w:rsid w:val="00AD7CAE"/>
    <w:rsid w:val="00B14F55"/>
    <w:rsid w:val="00B70DA6"/>
    <w:rsid w:val="00B725BE"/>
    <w:rsid w:val="00B72A22"/>
    <w:rsid w:val="00B86379"/>
    <w:rsid w:val="00B9528C"/>
    <w:rsid w:val="00BB66B6"/>
    <w:rsid w:val="00BC0E05"/>
    <w:rsid w:val="00BC4DE1"/>
    <w:rsid w:val="00BD4120"/>
    <w:rsid w:val="00BD50DA"/>
    <w:rsid w:val="00BE526B"/>
    <w:rsid w:val="00BF30B6"/>
    <w:rsid w:val="00C02EC3"/>
    <w:rsid w:val="00C12C17"/>
    <w:rsid w:val="00C24469"/>
    <w:rsid w:val="00C30301"/>
    <w:rsid w:val="00C31CA5"/>
    <w:rsid w:val="00C3722E"/>
    <w:rsid w:val="00C45879"/>
    <w:rsid w:val="00C47F27"/>
    <w:rsid w:val="00C5268D"/>
    <w:rsid w:val="00C559CE"/>
    <w:rsid w:val="00C63B37"/>
    <w:rsid w:val="00CB3104"/>
    <w:rsid w:val="00CB3CE1"/>
    <w:rsid w:val="00CB7A30"/>
    <w:rsid w:val="00CD2DF4"/>
    <w:rsid w:val="00CD7FBB"/>
    <w:rsid w:val="00CE499B"/>
    <w:rsid w:val="00D31F4D"/>
    <w:rsid w:val="00D331D8"/>
    <w:rsid w:val="00D43571"/>
    <w:rsid w:val="00D73FEE"/>
    <w:rsid w:val="00D755F2"/>
    <w:rsid w:val="00D8029F"/>
    <w:rsid w:val="00DC4EEE"/>
    <w:rsid w:val="00E35A84"/>
    <w:rsid w:val="00E4513F"/>
    <w:rsid w:val="00E463CE"/>
    <w:rsid w:val="00E66CE9"/>
    <w:rsid w:val="00E70026"/>
    <w:rsid w:val="00E82B01"/>
    <w:rsid w:val="00EA0930"/>
    <w:rsid w:val="00EA5069"/>
    <w:rsid w:val="00EC5F9A"/>
    <w:rsid w:val="00EE4475"/>
    <w:rsid w:val="00EE5C73"/>
    <w:rsid w:val="00EF7795"/>
    <w:rsid w:val="00F02253"/>
    <w:rsid w:val="00F15A95"/>
    <w:rsid w:val="00F35E62"/>
    <w:rsid w:val="00F45632"/>
    <w:rsid w:val="00F46BD3"/>
    <w:rsid w:val="00F46D7E"/>
    <w:rsid w:val="00F55A78"/>
    <w:rsid w:val="00F5729D"/>
    <w:rsid w:val="00F57A51"/>
    <w:rsid w:val="00F71C36"/>
    <w:rsid w:val="00F72A8C"/>
    <w:rsid w:val="00FA786D"/>
    <w:rsid w:val="00FB04A2"/>
    <w:rsid w:val="00FC520A"/>
    <w:rsid w:val="00FD4EFA"/>
    <w:rsid w:val="00FF6E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D46A8"/>
  <w15:docId w15:val="{3F6B7581-5B90-4CD2-ABCA-FCEFAAEB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ToolHeaderChar">
    <w:name w:val="*ToolHeader Char"/>
    <w:basedOn w:val="DefaultParagraphFont"/>
    <w:link w:val="ToolHeader"/>
    <w:rsid w:val="00DC4EEE"/>
    <w:rPr>
      <w:rFonts w:eastAsia="Calibri" w:cs="Times New Roman"/>
      <w:b/>
      <w:bCs/>
      <w:color w:val="365F91"/>
      <w:sz w:val="32"/>
      <w:szCs w:val="28"/>
    </w:rPr>
  </w:style>
  <w:style w:type="paragraph" w:customStyle="1" w:styleId="Normal1">
    <w:name w:val="Normal1"/>
    <w:rsid w:val="00DC4EEE"/>
    <w:pPr>
      <w:spacing w:before="60" w:after="60" w:line="276" w:lineRule="auto"/>
    </w:pPr>
    <w:rPr>
      <w:rFonts w:ascii="Calibri" w:eastAsia="Calibri" w:hAnsi="Calibri" w:cs="Calibri"/>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3D96-4A0C-4DC4-A071-27CE8A7F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2014-10-17T14:22:00Z</dcterms:created>
  <dcterms:modified xsi:type="dcterms:W3CDTF">2014-10-17T14:22:00Z</dcterms:modified>
</cp:coreProperties>
</file>