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980"/>
        <w:gridCol w:w="7470"/>
      </w:tblGrid>
      <w:tr w:rsidR="00CC183D" w:rsidRPr="00677A89" w14:paraId="755411AD" w14:textId="77777777">
        <w:trPr>
          <w:trHeight w:val="1008"/>
        </w:trPr>
        <w:tc>
          <w:tcPr>
            <w:tcW w:w="1980" w:type="dxa"/>
            <w:tcBorders>
              <w:top w:val="nil"/>
            </w:tcBorders>
            <w:shd w:val="clear" w:color="auto" w:fill="403152"/>
            <w:vAlign w:val="center"/>
          </w:tcPr>
          <w:p w14:paraId="2EE6DCD2" w14:textId="77777777" w:rsidR="00CC183D" w:rsidRPr="004E20B8" w:rsidRDefault="00961784" w:rsidP="00E75803">
            <w:pPr>
              <w:pStyle w:val="Header-bann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CC183D" w:rsidRPr="004E20B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 w:rsidR="00CC183D" w:rsidRPr="004E20B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470" w:type="dxa"/>
            <w:tcBorders>
              <w:top w:val="nil"/>
            </w:tcBorders>
            <w:shd w:val="clear" w:color="auto" w:fill="5F497A"/>
            <w:vAlign w:val="center"/>
          </w:tcPr>
          <w:p w14:paraId="69B2397B" w14:textId="77777777" w:rsidR="00CC183D" w:rsidRPr="004E20B8" w:rsidRDefault="00CC183D" w:rsidP="00CC183D">
            <w:pPr>
              <w:pStyle w:val="Header2banner"/>
              <w:rPr>
                <w:rFonts w:ascii="Calibri" w:hAnsi="Calibri"/>
              </w:rPr>
            </w:pPr>
            <w:r w:rsidRPr="004E20B8">
              <w:rPr>
                <w:rFonts w:ascii="Calibri" w:hAnsi="Calibri"/>
              </w:rPr>
              <w:t>Unit Overview</w:t>
            </w:r>
          </w:p>
        </w:tc>
      </w:tr>
      <w:tr w:rsidR="00CC183D" w:rsidRPr="00677A89" w14:paraId="1BE9CDC0" w14:textId="77777777">
        <w:trPr>
          <w:trHeight w:val="720"/>
        </w:trPr>
        <w:tc>
          <w:tcPr>
            <w:tcW w:w="9450" w:type="dxa"/>
            <w:gridSpan w:val="2"/>
            <w:tcBorders>
              <w:bottom w:val="single" w:sz="8" w:space="0" w:color="403152"/>
            </w:tcBorders>
            <w:shd w:val="solid" w:color="F2F2F2" w:fill="auto"/>
            <w:vAlign w:val="center"/>
          </w:tcPr>
          <w:p w14:paraId="35370C90" w14:textId="77777777" w:rsidR="00775EB5" w:rsidRPr="00714725" w:rsidRDefault="00775EB5" w:rsidP="00775EB5">
            <w:pPr>
              <w:pStyle w:val="Heading1nospace"/>
              <w:spacing w:before="60" w:after="0" w:line="240" w:lineRule="auto"/>
              <w:rPr>
                <w:rFonts w:eastAsia="Times New Roman" w:cs="Cambria"/>
                <w:bCs/>
                <w:color w:val="403152"/>
              </w:rPr>
            </w:pPr>
            <w:r>
              <w:rPr>
                <w:rFonts w:eastAsia="Times New Roman" w:cs="Cambria"/>
                <w:bCs/>
              </w:rPr>
              <w:t>“Remember the stories, the stories will help you be strong”</w:t>
            </w:r>
          </w:p>
        </w:tc>
      </w:tr>
      <w:tr w:rsidR="00CC183D" w:rsidRPr="00061D2A" w14:paraId="1820B02C" w14:textId="77777777">
        <w:trPr>
          <w:trHeight w:val="576"/>
        </w:trPr>
        <w:tc>
          <w:tcPr>
            <w:tcW w:w="1980" w:type="dxa"/>
            <w:tcBorders>
              <w:top w:val="single" w:sz="8" w:space="0" w:color="403152"/>
              <w:bottom w:val="single" w:sz="8" w:space="0" w:color="403152"/>
            </w:tcBorders>
            <w:shd w:val="solid" w:color="F2F2F2" w:fill="auto"/>
            <w:vAlign w:val="center"/>
          </w:tcPr>
          <w:p w14:paraId="738705A1" w14:textId="77777777" w:rsidR="00CC183D" w:rsidRPr="004528EF" w:rsidRDefault="00CC183D" w:rsidP="00CC183D">
            <w:pPr>
              <w:rPr>
                <w:b/>
                <w:color w:val="1F497D"/>
              </w:rPr>
            </w:pPr>
            <w:r w:rsidRPr="004528EF">
              <w:rPr>
                <w:b/>
                <w:color w:val="1F497D"/>
              </w:rPr>
              <w:t>Text</w:t>
            </w:r>
          </w:p>
        </w:tc>
        <w:tc>
          <w:tcPr>
            <w:tcW w:w="7470" w:type="dxa"/>
            <w:tcBorders>
              <w:top w:val="single" w:sz="8" w:space="0" w:color="403152"/>
              <w:bottom w:val="single" w:sz="8" w:space="0" w:color="403152"/>
            </w:tcBorders>
            <w:shd w:val="solid" w:color="F2F2F2" w:fill="auto"/>
            <w:vAlign w:val="center"/>
          </w:tcPr>
          <w:p w14:paraId="1DEFEB40" w14:textId="77777777" w:rsidR="00CC183D" w:rsidRPr="00677A89" w:rsidRDefault="00961784" w:rsidP="00CC183D">
            <w:r>
              <w:t>“Yellow Woman and a Beauty of the Spirit” by Leslie Marmon Silko</w:t>
            </w:r>
          </w:p>
        </w:tc>
      </w:tr>
      <w:tr w:rsidR="00CC183D" w:rsidRPr="00061D2A" w14:paraId="0B5ACDAD" w14:textId="77777777">
        <w:trPr>
          <w:trHeight w:val="576"/>
        </w:trPr>
        <w:tc>
          <w:tcPr>
            <w:tcW w:w="1980" w:type="dxa"/>
            <w:tcBorders>
              <w:top w:val="single" w:sz="8" w:space="0" w:color="403152"/>
              <w:bottom w:val="nil"/>
            </w:tcBorders>
            <w:shd w:val="solid" w:color="F2F2F2" w:fill="auto"/>
            <w:vAlign w:val="center"/>
          </w:tcPr>
          <w:p w14:paraId="39134B1F" w14:textId="77777777" w:rsidR="00CC183D" w:rsidRPr="004528EF" w:rsidRDefault="00CC183D" w:rsidP="00CC183D">
            <w:pPr>
              <w:rPr>
                <w:b/>
                <w:color w:val="1F497D"/>
              </w:rPr>
            </w:pPr>
            <w:r w:rsidRPr="004528EF">
              <w:rPr>
                <w:b/>
                <w:color w:val="1F497D"/>
              </w:rPr>
              <w:t>Number of Lessons in Unit</w:t>
            </w:r>
          </w:p>
        </w:tc>
        <w:tc>
          <w:tcPr>
            <w:tcW w:w="7470" w:type="dxa"/>
            <w:tcBorders>
              <w:top w:val="single" w:sz="8" w:space="0" w:color="403152"/>
              <w:bottom w:val="nil"/>
            </w:tcBorders>
            <w:shd w:val="solid" w:color="F2F2F2" w:fill="auto"/>
            <w:vAlign w:val="center"/>
          </w:tcPr>
          <w:p w14:paraId="3435B483" w14:textId="77777777" w:rsidR="00CC183D" w:rsidRPr="00061D2A" w:rsidRDefault="00236CD2" w:rsidP="00CC183D">
            <w:r>
              <w:t>6</w:t>
            </w:r>
          </w:p>
        </w:tc>
      </w:tr>
    </w:tbl>
    <w:p w14:paraId="35910F49" w14:textId="77777777" w:rsidR="00CC183D" w:rsidRPr="0015083C" w:rsidRDefault="00CC183D" w:rsidP="0015083C">
      <w:pPr>
        <w:pStyle w:val="Heading1"/>
      </w:pPr>
      <w:r w:rsidRPr="0015083C">
        <w:t>Introduction</w:t>
      </w:r>
    </w:p>
    <w:p w14:paraId="19042828" w14:textId="77777777" w:rsidR="00A919FC" w:rsidRDefault="00A919FC" w:rsidP="00CC183D">
      <w:r w:rsidRPr="00A919FC">
        <w:t xml:space="preserve">In the second </w:t>
      </w:r>
      <w:r>
        <w:t>unit of Module 12.1</w:t>
      </w:r>
      <w:r w:rsidRPr="00A919FC">
        <w:t>, students continue to refine the skills, practic</w:t>
      </w:r>
      <w:r>
        <w:t>es, and routines</w:t>
      </w:r>
      <w:r w:rsidRPr="00A919FC">
        <w:t xml:space="preserve"> of close reading</w:t>
      </w:r>
      <w:r w:rsidR="00D221F6">
        <w:t>, evidence-based discussion,</w:t>
      </w:r>
      <w:r w:rsidRPr="00A919FC">
        <w:t xml:space="preserve"> and eviden</w:t>
      </w:r>
      <w:r>
        <w:t xml:space="preserve">ce-based </w:t>
      </w:r>
      <w:r w:rsidR="003818EA">
        <w:t xml:space="preserve">writing </w:t>
      </w:r>
      <w:r w:rsidR="001401D4">
        <w:t>introduced in 12.1.1</w:t>
      </w:r>
      <w:r>
        <w:t xml:space="preserve">. </w:t>
      </w:r>
      <w:r w:rsidR="001401D4">
        <w:t>This unit also continues the module’s focus on personal narratives.</w:t>
      </w:r>
    </w:p>
    <w:p w14:paraId="4F8548B1" w14:textId="5D3CF6B5" w:rsidR="00A919FC" w:rsidRDefault="001401D4" w:rsidP="00CC183D">
      <w:r>
        <w:t>Students</w:t>
      </w:r>
      <w:r w:rsidR="00A919FC">
        <w:t xml:space="preserve"> read and analyze Leslie Marmon Silko’s personal narrative</w:t>
      </w:r>
      <w:r w:rsidR="009D36DA">
        <w:t xml:space="preserve"> </w:t>
      </w:r>
      <w:r w:rsidR="009D36DA">
        <w:t>essay</w:t>
      </w:r>
      <w:r w:rsidR="00A919FC">
        <w:t xml:space="preserve"> “Yellow Woman and a Beauty of the Spirit</w:t>
      </w:r>
      <w:r>
        <w:t>,</w:t>
      </w:r>
      <w:r w:rsidR="00A919FC">
        <w:t>”</w:t>
      </w:r>
      <w:r w:rsidR="00FA44F9">
        <w:t xml:space="preserve"> </w:t>
      </w:r>
      <w:r w:rsidR="003E6A23">
        <w:t>examin</w:t>
      </w:r>
      <w:r>
        <w:t xml:space="preserve">ing </w:t>
      </w:r>
      <w:r w:rsidR="00FA44F9">
        <w:t>how Silko develops and weaves together</w:t>
      </w:r>
      <w:r w:rsidR="003276A6">
        <w:t xml:space="preserve"> </w:t>
      </w:r>
      <w:r w:rsidR="00FA44F9">
        <w:t>ideas, events</w:t>
      </w:r>
      <w:r w:rsidR="00057628">
        <w:t>, and individuals</w:t>
      </w:r>
      <w:r w:rsidR="00FA44F9">
        <w:t xml:space="preserve"> </w:t>
      </w:r>
      <w:r w:rsidR="00057628">
        <w:t>as she reflects</w:t>
      </w:r>
      <w:r w:rsidR="00FA44F9">
        <w:t xml:space="preserve"> on her childhood and explore</w:t>
      </w:r>
      <w:r w:rsidR="00057628">
        <w:t>s</w:t>
      </w:r>
      <w:r w:rsidR="00FA44F9">
        <w:t xml:space="preserve"> the influences of family and culture on</w:t>
      </w:r>
      <w:r w:rsidR="0079797A">
        <w:t xml:space="preserve"> the formation of her</w:t>
      </w:r>
      <w:r w:rsidR="00FA44F9">
        <w:t xml:space="preserve"> identity.</w:t>
      </w:r>
      <w:r w:rsidR="00D05330">
        <w:t xml:space="preserve"> Additionally, students </w:t>
      </w:r>
      <w:r w:rsidR="004825CC">
        <w:t>analyze</w:t>
      </w:r>
      <w:r w:rsidR="00C70FA1">
        <w:t xml:space="preserve"> </w:t>
      </w:r>
      <w:r w:rsidR="00F45C1C">
        <w:t xml:space="preserve">how </w:t>
      </w:r>
      <w:r w:rsidR="00D05330">
        <w:t>structur</w:t>
      </w:r>
      <w:r w:rsidR="00C70FA1">
        <w:t xml:space="preserve">al and narrative techniques </w:t>
      </w:r>
      <w:r w:rsidR="00F45C1C">
        <w:t>function in the</w:t>
      </w:r>
      <w:r w:rsidR="00C70FA1">
        <w:t xml:space="preserve"> essay, preparing students for </w:t>
      </w:r>
      <w:r w:rsidR="00A116D7">
        <w:t xml:space="preserve">both </w:t>
      </w:r>
      <w:r w:rsidR="00C70FA1">
        <w:t>the End-of-Unit Assessment and the third unit in Module 12.1.</w:t>
      </w:r>
      <w:r w:rsidR="00832EA1">
        <w:t xml:space="preserve"> Throughout the unit, students continue to prepare for the Performance Assessment by</w:t>
      </w:r>
      <w:r w:rsidR="00033D64">
        <w:t xml:space="preserve"> brainstorming and discussing possible responses for sample </w:t>
      </w:r>
      <w:r w:rsidR="00C04900">
        <w:t>college interview questions.</w:t>
      </w:r>
    </w:p>
    <w:p w14:paraId="4742970D" w14:textId="77777777" w:rsidR="00CC183D" w:rsidRDefault="00CC183D" w:rsidP="00FE4771">
      <w:pPr>
        <w:rPr>
          <w:rFonts w:cs="Calibri"/>
        </w:rPr>
      </w:pPr>
      <w:r w:rsidRPr="00A840BA">
        <w:t xml:space="preserve">There is one formal assessment in this unit. </w:t>
      </w:r>
      <w:r w:rsidR="00D84FF3" w:rsidRPr="00D84FF3">
        <w:t>For t</w:t>
      </w:r>
      <w:r w:rsidRPr="00D84FF3">
        <w:t xml:space="preserve">he </w:t>
      </w:r>
      <w:r w:rsidRPr="00D84FF3">
        <w:rPr>
          <w:rFonts w:cs="Calibri"/>
        </w:rPr>
        <w:t>End-of-Unit Assessment</w:t>
      </w:r>
      <w:r w:rsidR="00D84FF3" w:rsidRPr="00D84FF3">
        <w:rPr>
          <w:rFonts w:cs="Calibri"/>
        </w:rPr>
        <w:t>,</w:t>
      </w:r>
      <w:r w:rsidRPr="00D95BC8">
        <w:rPr>
          <w:rFonts w:cs="Calibri"/>
          <w:color w:val="943634" w:themeColor="accent2" w:themeShade="BF"/>
        </w:rPr>
        <w:t xml:space="preserve"> </w:t>
      </w:r>
      <w:r w:rsidR="00D84FF3">
        <w:rPr>
          <w:rFonts w:cs="Calibri"/>
        </w:rPr>
        <w:t xml:space="preserve">students write a multi-paragraph response analyzing the effectiveness of the structure Silko uses in her exposition, including whether the structure makes points clear, convincing, and engaging. </w:t>
      </w:r>
    </w:p>
    <w:p w14:paraId="60A9A503" w14:textId="77777777" w:rsidR="00CC183D" w:rsidRDefault="00CC183D" w:rsidP="00CC183D">
      <w:pPr>
        <w:pStyle w:val="Heading1"/>
      </w:pPr>
      <w:r>
        <w:t>Literacy Skills and Habits</w:t>
      </w:r>
    </w:p>
    <w:p w14:paraId="672C5561" w14:textId="77777777" w:rsidR="00CC183D" w:rsidRPr="00677A89" w:rsidRDefault="00CC183D" w:rsidP="00CC183D">
      <w:pPr>
        <w:pStyle w:val="BulletedList"/>
      </w:pPr>
      <w:r>
        <w:t xml:space="preserve">Read closely for textual </w:t>
      </w:r>
      <w:r w:rsidRPr="00677A89">
        <w:t>details</w:t>
      </w:r>
    </w:p>
    <w:p w14:paraId="2AD45CA8" w14:textId="77777777" w:rsidR="00CC183D" w:rsidRPr="00677A89" w:rsidRDefault="00CC183D" w:rsidP="00CC183D">
      <w:pPr>
        <w:pStyle w:val="BulletedList"/>
      </w:pPr>
      <w:r w:rsidRPr="00677A89">
        <w:t>Annotate texts to support comprehension and analysis</w:t>
      </w:r>
    </w:p>
    <w:p w14:paraId="2FF35A85" w14:textId="77777777" w:rsidR="00CC183D" w:rsidRPr="00677A89" w:rsidRDefault="00CC183D" w:rsidP="00CC183D">
      <w:pPr>
        <w:pStyle w:val="BulletedList"/>
      </w:pPr>
      <w:r w:rsidRPr="00677A89">
        <w:t>Engage in productive evidence-based discussions about</w:t>
      </w:r>
      <w:r w:rsidR="007F2769">
        <w:t xml:space="preserve"> the</w:t>
      </w:r>
      <w:r w:rsidRPr="00677A89">
        <w:t xml:space="preserve"> text</w:t>
      </w:r>
    </w:p>
    <w:p w14:paraId="25E470B7" w14:textId="77777777" w:rsidR="00CC183D" w:rsidRPr="00677A89" w:rsidRDefault="00CC183D" w:rsidP="00CC183D">
      <w:pPr>
        <w:pStyle w:val="BulletedList"/>
      </w:pPr>
      <w:r w:rsidRPr="00677A89">
        <w:t>Collect and organize evidence from texts to support analysis in writing</w:t>
      </w:r>
    </w:p>
    <w:p w14:paraId="47C4F27F" w14:textId="77777777" w:rsidR="00F05E03" w:rsidRDefault="00CC183D" w:rsidP="00CC183D">
      <w:pPr>
        <w:pStyle w:val="BulletedList"/>
      </w:pPr>
      <w:r w:rsidRPr="00677A89">
        <w:lastRenderedPageBreak/>
        <w:t xml:space="preserve">Make claims about </w:t>
      </w:r>
      <w:r>
        <w:t>texts using specific textual evidence</w:t>
      </w:r>
    </w:p>
    <w:p w14:paraId="6997E00E" w14:textId="77777777" w:rsidR="00890BA9" w:rsidRDefault="00890BA9" w:rsidP="00890BA9">
      <w:pPr>
        <w:pStyle w:val="BulletedList"/>
      </w:pPr>
      <w:r>
        <w:t>Use vocabulary strategies to define unknown words</w:t>
      </w:r>
    </w:p>
    <w:p w14:paraId="027B64D6" w14:textId="77777777" w:rsidR="00890BA9" w:rsidRDefault="00890BA9" w:rsidP="00890BA9">
      <w:pPr>
        <w:pStyle w:val="BulletedList"/>
      </w:pPr>
      <w:r>
        <w:t>Trace the development of ideas over the course of the text</w:t>
      </w:r>
    </w:p>
    <w:p w14:paraId="52D820DC" w14:textId="77777777" w:rsidR="00CC1A1A" w:rsidRDefault="00CC1A1A" w:rsidP="00890BA9">
      <w:pPr>
        <w:pStyle w:val="BulletedList"/>
      </w:pPr>
      <w:r>
        <w:t>Examine the use and refinement of a key term over the course of the text</w:t>
      </w:r>
    </w:p>
    <w:p w14:paraId="48717DD4" w14:textId="77777777" w:rsidR="00CC183D" w:rsidRPr="00677A89" w:rsidRDefault="00F05E03" w:rsidP="00F05E03">
      <w:pPr>
        <w:pStyle w:val="BulletedList"/>
      </w:pPr>
      <w:r>
        <w:t>Practice speaking and listening skills in preparation for a college interview</w:t>
      </w:r>
    </w:p>
    <w:p w14:paraId="44F4F9B1" w14:textId="77777777" w:rsidR="00CC183D" w:rsidRDefault="00CC183D" w:rsidP="00CC183D">
      <w:pPr>
        <w:pStyle w:val="Heading1"/>
      </w:pPr>
      <w:r>
        <w:t>Standards for This Unit</w:t>
      </w:r>
    </w:p>
    <w:tbl>
      <w:tblPr>
        <w:tblW w:w="947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8037"/>
      </w:tblGrid>
      <w:tr w:rsidR="00E75803" w:rsidRPr="00401E53" w14:paraId="1A6D397E" w14:textId="77777777" w:rsidTr="008D1E3C">
        <w:tc>
          <w:tcPr>
            <w:tcW w:w="9470" w:type="dxa"/>
            <w:gridSpan w:val="2"/>
            <w:shd w:val="clear" w:color="auto" w:fill="5F497A"/>
          </w:tcPr>
          <w:p w14:paraId="051BE6AD" w14:textId="77777777" w:rsidR="00E75803" w:rsidRPr="00714725" w:rsidRDefault="00E75803" w:rsidP="00401E53">
            <w:pPr>
              <w:pStyle w:val="TableHeaders"/>
            </w:pPr>
            <w:r w:rsidRPr="00E75803">
              <w:t>College and Career Readiness Anchor Standards for Reading</w:t>
            </w:r>
          </w:p>
        </w:tc>
      </w:tr>
      <w:tr w:rsidR="00CA5434" w:rsidRPr="00E75803" w14:paraId="0EA9D4C1" w14:textId="77777777" w:rsidTr="008D1E3C">
        <w:tc>
          <w:tcPr>
            <w:tcW w:w="9470" w:type="dxa"/>
            <w:gridSpan w:val="2"/>
            <w:shd w:val="clear" w:color="auto" w:fill="auto"/>
          </w:tcPr>
          <w:p w14:paraId="6B43448D" w14:textId="77777777" w:rsidR="00CA5434" w:rsidRPr="00CA5434" w:rsidRDefault="00CA5434" w:rsidP="00F61E99">
            <w:pPr>
              <w:pStyle w:val="TableText"/>
              <w:rPr>
                <w:i/>
              </w:rPr>
            </w:pPr>
            <w:r w:rsidRPr="00CA5434">
              <w:t>None.</w:t>
            </w:r>
          </w:p>
        </w:tc>
      </w:tr>
      <w:tr w:rsidR="00CC183D" w:rsidRPr="00401E53" w14:paraId="389D9F2F" w14:textId="77777777" w:rsidTr="008D1E3C">
        <w:tc>
          <w:tcPr>
            <w:tcW w:w="9470" w:type="dxa"/>
            <w:gridSpan w:val="2"/>
            <w:shd w:val="clear" w:color="auto" w:fill="5F497A"/>
          </w:tcPr>
          <w:p w14:paraId="2453A996" w14:textId="77777777" w:rsidR="00CC183D" w:rsidRPr="00714725" w:rsidRDefault="00CC183D" w:rsidP="00401E53">
            <w:pPr>
              <w:pStyle w:val="TableHeaders"/>
            </w:pPr>
            <w:r w:rsidRPr="00714725">
              <w:t>CCS Standards: Reading — Literature</w:t>
            </w:r>
          </w:p>
        </w:tc>
      </w:tr>
      <w:tr w:rsidR="008B2D2F" w:rsidRPr="00677A89" w14:paraId="6811EB7E" w14:textId="77777777" w:rsidTr="008D1E3C">
        <w:tc>
          <w:tcPr>
            <w:tcW w:w="1433" w:type="dxa"/>
          </w:tcPr>
          <w:p w14:paraId="11F090B0" w14:textId="77777777" w:rsidR="008B2D2F" w:rsidRPr="00A95B36" w:rsidRDefault="00A95B36" w:rsidP="001B2DAB">
            <w:pPr>
              <w:pStyle w:val="TableText"/>
              <w:rPr>
                <w:b/>
              </w:rPr>
            </w:pPr>
            <w:r>
              <w:rPr>
                <w:b/>
              </w:rPr>
              <w:t>RI.11-12.2</w:t>
            </w:r>
          </w:p>
        </w:tc>
        <w:tc>
          <w:tcPr>
            <w:tcW w:w="8037" w:type="dxa"/>
          </w:tcPr>
          <w:p w14:paraId="54EB75C5" w14:textId="77777777" w:rsidR="008B2D2F" w:rsidRPr="00A95B36" w:rsidRDefault="00A95B36" w:rsidP="00E75803">
            <w:pPr>
              <w:pStyle w:val="TableText"/>
              <w:rPr>
                <w:b/>
              </w:rPr>
            </w:pPr>
            <w:r w:rsidRPr="00A95B36">
              <w:rPr>
                <w:b/>
              </w:rPr>
              <w:t>Determine two or more central ideas of a text and analyze their development over the course of the text, including how they interact and build on one another to provide a complex analysis; provide an objective summary of the text.</w:t>
            </w:r>
          </w:p>
        </w:tc>
      </w:tr>
      <w:tr w:rsidR="006E5A50" w:rsidRPr="00677A89" w14:paraId="13AE3BA5" w14:textId="77777777" w:rsidTr="008D1E3C">
        <w:tc>
          <w:tcPr>
            <w:tcW w:w="1433" w:type="dxa"/>
          </w:tcPr>
          <w:p w14:paraId="12843451" w14:textId="77777777" w:rsidR="006E5A50" w:rsidRPr="008B2D2F" w:rsidRDefault="006E5A50" w:rsidP="001B2DAB">
            <w:pPr>
              <w:pStyle w:val="TableText"/>
              <w:rPr>
                <w:b/>
              </w:rPr>
            </w:pPr>
            <w:r>
              <w:rPr>
                <w:b/>
              </w:rPr>
              <w:t>RI.11-12.3</w:t>
            </w:r>
          </w:p>
        </w:tc>
        <w:tc>
          <w:tcPr>
            <w:tcW w:w="8037" w:type="dxa"/>
          </w:tcPr>
          <w:p w14:paraId="74D7BE58" w14:textId="77777777" w:rsidR="006E5A50" w:rsidRPr="008B2D2F" w:rsidRDefault="006E5A50" w:rsidP="00E75803">
            <w:pPr>
              <w:pStyle w:val="TableText"/>
              <w:rPr>
                <w:b/>
              </w:rPr>
            </w:pPr>
            <w:r w:rsidRPr="006E5A50">
              <w:rPr>
                <w:b/>
              </w:rPr>
              <w:t>Analyze a complex set of ideas or sequence of events and explain how specific individuals, ideas, or events interact and develop over the course of the text.</w:t>
            </w:r>
          </w:p>
        </w:tc>
      </w:tr>
      <w:tr w:rsidR="007572E8" w:rsidRPr="00677A89" w14:paraId="79ED8942" w14:textId="77777777" w:rsidTr="008D1E3C">
        <w:tc>
          <w:tcPr>
            <w:tcW w:w="1433" w:type="dxa"/>
          </w:tcPr>
          <w:p w14:paraId="1E32DE38" w14:textId="77777777" w:rsidR="007572E8" w:rsidRPr="008B2D2F" w:rsidRDefault="007572E8" w:rsidP="001B2DAB">
            <w:pPr>
              <w:pStyle w:val="TableText"/>
              <w:rPr>
                <w:b/>
              </w:rPr>
            </w:pPr>
            <w:r>
              <w:rPr>
                <w:b/>
              </w:rPr>
              <w:t>RI.11-12.4</w:t>
            </w:r>
          </w:p>
        </w:tc>
        <w:tc>
          <w:tcPr>
            <w:tcW w:w="8037" w:type="dxa"/>
          </w:tcPr>
          <w:p w14:paraId="2083C371" w14:textId="77777777" w:rsidR="007572E8" w:rsidRPr="008B2D2F" w:rsidRDefault="007572E8" w:rsidP="00E75803">
            <w:pPr>
              <w:pStyle w:val="TableText"/>
              <w:rPr>
                <w:b/>
              </w:rPr>
            </w:pPr>
            <w:r w:rsidRPr="007572E8">
              <w:rPr>
                <w:b/>
              </w:rPr>
              <w:t xml:space="preserve">Determine the meaning of words and phrases as they are used in a text, including figurative, connotative, and technical meanings; analyze how an author uses and refines the meaning of a key term or terms over the course of a text (e.g., how Madison defines </w:t>
            </w:r>
            <w:r w:rsidRPr="007572E8">
              <w:rPr>
                <w:b/>
                <w:i/>
              </w:rPr>
              <w:t>faction</w:t>
            </w:r>
            <w:r w:rsidRPr="007572E8">
              <w:rPr>
                <w:b/>
              </w:rPr>
              <w:t xml:space="preserve"> in </w:t>
            </w:r>
            <w:r w:rsidRPr="007572E8">
              <w:rPr>
                <w:b/>
                <w:i/>
              </w:rPr>
              <w:t xml:space="preserve">Federalist </w:t>
            </w:r>
            <w:r w:rsidRPr="007572E8">
              <w:rPr>
                <w:b/>
              </w:rPr>
              <w:t>No. 10).</w:t>
            </w:r>
          </w:p>
        </w:tc>
      </w:tr>
      <w:tr w:rsidR="00CC183D" w:rsidRPr="00677A89" w14:paraId="71A0DDD1" w14:textId="77777777" w:rsidTr="008D1E3C">
        <w:tc>
          <w:tcPr>
            <w:tcW w:w="1433" w:type="dxa"/>
          </w:tcPr>
          <w:p w14:paraId="28B7A68F" w14:textId="77777777" w:rsidR="00CC183D" w:rsidRPr="008B2D2F" w:rsidRDefault="008B2D2F" w:rsidP="001B2DAB">
            <w:pPr>
              <w:pStyle w:val="TableText"/>
              <w:rPr>
                <w:b/>
              </w:rPr>
            </w:pPr>
            <w:r w:rsidRPr="008B2D2F">
              <w:rPr>
                <w:b/>
              </w:rPr>
              <w:t>RI.11-12.5</w:t>
            </w:r>
          </w:p>
        </w:tc>
        <w:tc>
          <w:tcPr>
            <w:tcW w:w="8037" w:type="dxa"/>
          </w:tcPr>
          <w:p w14:paraId="287D7FE9" w14:textId="77777777" w:rsidR="00CC183D" w:rsidRPr="008B2D2F" w:rsidRDefault="008B2D2F" w:rsidP="00E75803">
            <w:pPr>
              <w:pStyle w:val="TableText"/>
              <w:rPr>
                <w:b/>
                <w:lang w:eastAsia="ja-JP"/>
              </w:rPr>
            </w:pPr>
            <w:r w:rsidRPr="008B2D2F">
              <w:rPr>
                <w:b/>
              </w:rPr>
              <w:t>Analyze and evaluate the effectiveness of the structure an author uses in his or her exposition or argument, including whether the structure makes points clear, convincing, and engaging.</w:t>
            </w:r>
          </w:p>
        </w:tc>
      </w:tr>
      <w:tr w:rsidR="00CC183D" w:rsidRPr="00401E53" w14:paraId="68197D69" w14:textId="77777777" w:rsidTr="008D1E3C">
        <w:trPr>
          <w:trHeight w:val="120"/>
        </w:trPr>
        <w:tc>
          <w:tcPr>
            <w:tcW w:w="9470" w:type="dxa"/>
            <w:gridSpan w:val="2"/>
            <w:shd w:val="clear" w:color="auto" w:fill="5F497A"/>
          </w:tcPr>
          <w:p w14:paraId="436A8267" w14:textId="77777777" w:rsidR="00CC183D" w:rsidRPr="00714725" w:rsidRDefault="00285B7F" w:rsidP="00401E53">
            <w:pPr>
              <w:pStyle w:val="TableHeaders"/>
            </w:pPr>
            <w:r w:rsidRPr="00714725">
              <w:br w:type="page"/>
            </w:r>
            <w:r w:rsidR="00CC183D" w:rsidRPr="00714725">
              <w:t>CCS Standards: Writing</w:t>
            </w:r>
          </w:p>
        </w:tc>
      </w:tr>
      <w:tr w:rsidR="00CC183D" w:rsidRPr="007A12D1" w14:paraId="02E04ED3" w14:textId="77777777" w:rsidTr="008D1E3C">
        <w:tc>
          <w:tcPr>
            <w:tcW w:w="1433" w:type="dxa"/>
          </w:tcPr>
          <w:p w14:paraId="34ED16BD" w14:textId="77777777" w:rsidR="00CC183D" w:rsidRPr="00D12A5F" w:rsidRDefault="000F7E0A" w:rsidP="007A12D1">
            <w:pPr>
              <w:pStyle w:val="TableText"/>
              <w:rPr>
                <w:b/>
              </w:rPr>
            </w:pPr>
            <w:r w:rsidRPr="00D12A5F">
              <w:rPr>
                <w:b/>
              </w:rPr>
              <w:t>W.11-12.2.a-f</w:t>
            </w:r>
          </w:p>
        </w:tc>
        <w:tc>
          <w:tcPr>
            <w:tcW w:w="8037" w:type="dxa"/>
          </w:tcPr>
          <w:p w14:paraId="068E123A" w14:textId="77777777" w:rsidR="00D12A5F" w:rsidRDefault="00D12A5F" w:rsidP="00481F54">
            <w:pPr>
              <w:pStyle w:val="TableText"/>
              <w:rPr>
                <w:b/>
              </w:rPr>
            </w:pPr>
            <w:r w:rsidRPr="00670791">
              <w:rPr>
                <w:b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135DEC14" w14:textId="1969652D" w:rsidR="00D12A5F" w:rsidRPr="008D1E3C" w:rsidRDefault="00D12A5F" w:rsidP="00A12BE0">
            <w:pPr>
              <w:pStyle w:val="TableText"/>
              <w:numPr>
                <w:ilvl w:val="0"/>
                <w:numId w:val="12"/>
              </w:numPr>
              <w:rPr>
                <w:b/>
              </w:rPr>
            </w:pPr>
            <w:r w:rsidRPr="008D1E3C">
              <w:rPr>
                <w:b/>
              </w:rPr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14:paraId="153666CD" w14:textId="77777777" w:rsidR="00D12A5F" w:rsidRPr="008D1E3C" w:rsidRDefault="00D12A5F" w:rsidP="00A12BE0">
            <w:pPr>
              <w:pStyle w:val="TableText"/>
              <w:numPr>
                <w:ilvl w:val="0"/>
                <w:numId w:val="12"/>
              </w:numPr>
              <w:rPr>
                <w:b/>
              </w:rPr>
            </w:pPr>
            <w:r w:rsidRPr="008D1E3C">
              <w:rPr>
                <w:b/>
              </w:rPr>
              <w:t>Develop the topic thoroughly by selecting the most significant and relevant facts, extended definitions, concrete details, quotations, or other information and examples appropriate to the audience's knowledge of the topic.</w:t>
            </w:r>
          </w:p>
          <w:p w14:paraId="63128E67" w14:textId="77777777" w:rsidR="00D12A5F" w:rsidRPr="008D1E3C" w:rsidRDefault="00D12A5F" w:rsidP="00A12BE0">
            <w:pPr>
              <w:pStyle w:val="TableText"/>
              <w:numPr>
                <w:ilvl w:val="0"/>
                <w:numId w:val="12"/>
              </w:numPr>
              <w:rPr>
                <w:b/>
              </w:rPr>
            </w:pPr>
            <w:r w:rsidRPr="008D1E3C">
              <w:rPr>
                <w:b/>
              </w:rPr>
              <w:lastRenderedPageBreak/>
              <w:t>Use appropriate and varied transitions and syntax to link the major sections of the text, create cohesion, and clarify the relationships among complex ideas and concepts.</w:t>
            </w:r>
          </w:p>
          <w:p w14:paraId="59EDEDA4" w14:textId="77777777" w:rsidR="00D12A5F" w:rsidRPr="008D1E3C" w:rsidRDefault="00D12A5F" w:rsidP="00A12BE0">
            <w:pPr>
              <w:pStyle w:val="TableText"/>
              <w:numPr>
                <w:ilvl w:val="0"/>
                <w:numId w:val="12"/>
              </w:numPr>
              <w:rPr>
                <w:b/>
              </w:rPr>
            </w:pPr>
            <w:r w:rsidRPr="008D1E3C">
              <w:rPr>
                <w:b/>
              </w:rPr>
              <w:t>Use precise language, domain-specific vocabulary, and techniques such as metaphor, simile, and analogy to manage the complexity of the topic.</w:t>
            </w:r>
          </w:p>
          <w:p w14:paraId="17C29FD2" w14:textId="77777777" w:rsidR="00D12A5F" w:rsidRPr="008D1E3C" w:rsidRDefault="00D12A5F" w:rsidP="00A12BE0">
            <w:pPr>
              <w:pStyle w:val="TableText"/>
              <w:numPr>
                <w:ilvl w:val="0"/>
                <w:numId w:val="12"/>
              </w:numPr>
              <w:rPr>
                <w:b/>
              </w:rPr>
            </w:pPr>
            <w:r w:rsidRPr="008D1E3C">
              <w:rPr>
                <w:b/>
              </w:rPr>
              <w:t>Establish and maintain a formal style and objective tone while attending to the norms and conventions of the discipline in which they are writing.</w:t>
            </w:r>
          </w:p>
          <w:p w14:paraId="2079FCB4" w14:textId="77777777" w:rsidR="00C46F19" w:rsidRPr="006A2CC3" w:rsidRDefault="00D12A5F" w:rsidP="00A12BE0">
            <w:pPr>
              <w:pStyle w:val="TableText"/>
              <w:numPr>
                <w:ilvl w:val="0"/>
                <w:numId w:val="12"/>
              </w:numPr>
            </w:pPr>
            <w:r w:rsidRPr="008D1E3C">
              <w:rPr>
                <w:b/>
              </w:rPr>
              <w:t>Provide a concluding statement or section that follows from and supports the information or explanation presented (e.g., articulating implications or the significance of the topic).</w:t>
            </w:r>
          </w:p>
        </w:tc>
      </w:tr>
      <w:tr w:rsidR="008B2D2F" w:rsidRPr="00401E53" w14:paraId="5CF2FFD0" w14:textId="77777777" w:rsidTr="008D1E3C">
        <w:tc>
          <w:tcPr>
            <w:tcW w:w="1433" w:type="dxa"/>
          </w:tcPr>
          <w:p w14:paraId="723CA86D" w14:textId="77777777" w:rsidR="008B2D2F" w:rsidRPr="00401E53" w:rsidRDefault="008B2D2F" w:rsidP="00D12A5F">
            <w:pPr>
              <w:pStyle w:val="TableText"/>
            </w:pPr>
            <w:r>
              <w:lastRenderedPageBreak/>
              <w:t>W.11-12.3.a</w:t>
            </w:r>
            <w:r w:rsidR="00D12A5F">
              <w:t>-f</w:t>
            </w:r>
          </w:p>
        </w:tc>
        <w:tc>
          <w:tcPr>
            <w:tcW w:w="8037" w:type="dxa"/>
          </w:tcPr>
          <w:p w14:paraId="1C164B26" w14:textId="77777777" w:rsidR="00AE078B" w:rsidRDefault="00AE078B" w:rsidP="00AE078B">
            <w:pPr>
              <w:pStyle w:val="TableText"/>
              <w:spacing w:before="20" w:after="20" w:line="274" w:lineRule="auto"/>
            </w:pPr>
            <w:r w:rsidRPr="005F1847">
              <w:t>Write narratives to develop real or imagined experiences or events using effective technique, well-chosen details, and well-structured event sequences.</w:t>
            </w:r>
          </w:p>
          <w:p w14:paraId="1E4DAA6D" w14:textId="0EA8CCAD" w:rsidR="00AE078B" w:rsidRPr="00D34B4A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34B4A"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14:paraId="248FE53A" w14:textId="0DEA05E8" w:rsidR="00AE078B" w:rsidRPr="00D34B4A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34B4A">
              <w:t>Use narrative techniques, such as dialogue, pacing, description, reflection, and multiple plot lines, to develop experiences, events, and/or characters.</w:t>
            </w:r>
          </w:p>
          <w:p w14:paraId="3F599C71" w14:textId="72A6C17C" w:rsidR="00AE078B" w:rsidRPr="00D34B4A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34B4A"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14:paraId="6BD361A2" w14:textId="447185EF" w:rsidR="00AE078B" w:rsidRPr="00D34B4A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34B4A">
              <w:t>Use precise words and phrases, telling details, and sensory language to convey a vivid picture of the experiences, events, setting, and/or characters.</w:t>
            </w:r>
          </w:p>
          <w:p w14:paraId="275561BD" w14:textId="7B1DC00B" w:rsidR="00AE078B" w:rsidRPr="00D34B4A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34B4A">
              <w:t>Provide a conclusion that follows from and reflects on what is experienced, observed, or resolved over the course of the narrative.</w:t>
            </w:r>
          </w:p>
          <w:p w14:paraId="11935A11" w14:textId="7C858B83" w:rsidR="008B2D2F" w:rsidRPr="00401E53" w:rsidRDefault="00AE078B" w:rsidP="00A12BE0">
            <w:pPr>
              <w:pStyle w:val="TableText"/>
              <w:numPr>
                <w:ilvl w:val="0"/>
                <w:numId w:val="13"/>
              </w:numPr>
            </w:pPr>
            <w:r w:rsidRPr="00D5683A">
              <w:t>Adapt voice, awareness of audience, and use of language to accommodate a variety of cultural contexts.</w:t>
            </w:r>
          </w:p>
        </w:tc>
      </w:tr>
      <w:tr w:rsidR="00CC183D" w:rsidRPr="00401E53" w14:paraId="570A8985" w14:textId="77777777" w:rsidTr="008D1E3C">
        <w:tc>
          <w:tcPr>
            <w:tcW w:w="1433" w:type="dxa"/>
          </w:tcPr>
          <w:p w14:paraId="714CACE5" w14:textId="77777777" w:rsidR="00CC183D" w:rsidRPr="00D12A5F" w:rsidRDefault="00E33A51" w:rsidP="00401E53">
            <w:pPr>
              <w:pStyle w:val="TableText"/>
              <w:rPr>
                <w:b/>
              </w:rPr>
            </w:pPr>
            <w:r w:rsidRPr="00D12A5F">
              <w:rPr>
                <w:b/>
              </w:rPr>
              <w:t>W.11-12.9.b</w:t>
            </w:r>
          </w:p>
        </w:tc>
        <w:tc>
          <w:tcPr>
            <w:tcW w:w="8037" w:type="dxa"/>
          </w:tcPr>
          <w:p w14:paraId="2591C155" w14:textId="77777777" w:rsidR="00E33A51" w:rsidRPr="00D12A5F" w:rsidRDefault="00E33A51" w:rsidP="00E33A51">
            <w:pPr>
              <w:pStyle w:val="TableText"/>
              <w:rPr>
                <w:b/>
              </w:rPr>
            </w:pPr>
            <w:r w:rsidRPr="00D12A5F">
              <w:rPr>
                <w:b/>
              </w:rPr>
              <w:t>Draw evidence from literary or informational texts to support analysis, reflection, and research.</w:t>
            </w:r>
          </w:p>
          <w:p w14:paraId="63B2A255" w14:textId="77777777" w:rsidR="00CC183D" w:rsidRPr="00401E53" w:rsidRDefault="00E33A51" w:rsidP="00A12BE0">
            <w:pPr>
              <w:pStyle w:val="SubStandard"/>
              <w:numPr>
                <w:ilvl w:val="0"/>
                <w:numId w:val="9"/>
              </w:numPr>
            </w:pPr>
            <w:r w:rsidRPr="00D12A5F">
              <w:rPr>
                <w:b/>
              </w:rPr>
              <w:t xml:space="preserve">Apply </w:t>
            </w:r>
            <w:r w:rsidRPr="00D12A5F">
              <w:rPr>
                <w:b/>
                <w:i/>
              </w:rPr>
              <w:t>grades 11–12 Reading standards</w:t>
            </w:r>
            <w:r w:rsidRPr="00D12A5F">
              <w:rPr>
                <w:b/>
              </w:rPr>
              <w:t xml:space="preserve"> to literary nonfiction (e.g., “Delineate and evaluate the reasoning in seminal U.S. texts, including the application of constitutional principles and use of legal reasoning [e.g., in U.S. Supreme Court Case majority opinions an</w:t>
            </w:r>
            <w:r w:rsidRPr="007459F5">
              <w:rPr>
                <w:b/>
              </w:rPr>
              <w:t xml:space="preserve">d dissents] and the premises, purposes, and arguments in works of public advocacy [e.g., </w:t>
            </w:r>
            <w:r w:rsidRPr="007459F5">
              <w:rPr>
                <w:b/>
                <w:i/>
              </w:rPr>
              <w:t xml:space="preserve">The Federalist, </w:t>
            </w:r>
            <w:r w:rsidRPr="007459F5">
              <w:rPr>
                <w:b/>
              </w:rPr>
              <w:t>presidential addresses]”).</w:t>
            </w:r>
          </w:p>
        </w:tc>
      </w:tr>
      <w:tr w:rsidR="00CC183D" w:rsidRPr="00401E53" w14:paraId="2891CF27" w14:textId="77777777" w:rsidTr="008D1E3C">
        <w:tc>
          <w:tcPr>
            <w:tcW w:w="9470" w:type="dxa"/>
            <w:gridSpan w:val="2"/>
            <w:shd w:val="clear" w:color="auto" w:fill="5F497A"/>
          </w:tcPr>
          <w:p w14:paraId="4A4A89B5" w14:textId="77777777" w:rsidR="00CC183D" w:rsidRPr="00714725" w:rsidRDefault="00CC183D" w:rsidP="00401E53">
            <w:pPr>
              <w:pStyle w:val="TableHeaders"/>
            </w:pPr>
            <w:r w:rsidRPr="00714725">
              <w:t>CCS Standards: Speaking &amp; Listening</w:t>
            </w:r>
          </w:p>
        </w:tc>
      </w:tr>
      <w:tr w:rsidR="009128BB" w:rsidRPr="005E59CC" w14:paraId="282AD40E" w14:textId="77777777" w:rsidTr="008D1E3C">
        <w:tc>
          <w:tcPr>
            <w:tcW w:w="9470" w:type="dxa"/>
            <w:gridSpan w:val="2"/>
          </w:tcPr>
          <w:p w14:paraId="7CC4E24E" w14:textId="77777777" w:rsidR="009128BB" w:rsidRPr="005E59CC" w:rsidDel="001047F1" w:rsidRDefault="009128BB" w:rsidP="00AB1D8A">
            <w:pPr>
              <w:pStyle w:val="TableText"/>
              <w:rPr>
                <w:b/>
                <w:lang w:eastAsia="ja-JP"/>
              </w:rPr>
            </w:pPr>
            <w:r w:rsidRPr="009128BB">
              <w:t>None.</w:t>
            </w:r>
          </w:p>
        </w:tc>
      </w:tr>
      <w:tr w:rsidR="00CC183D" w:rsidRPr="007A12D1" w14:paraId="7ADFBD14" w14:textId="77777777" w:rsidTr="008D1E3C">
        <w:tc>
          <w:tcPr>
            <w:tcW w:w="9470" w:type="dxa"/>
            <w:gridSpan w:val="2"/>
            <w:shd w:val="clear" w:color="auto" w:fill="5F497A"/>
          </w:tcPr>
          <w:p w14:paraId="0E15F189" w14:textId="77777777" w:rsidR="00CC183D" w:rsidRPr="00714725" w:rsidRDefault="00CC183D" w:rsidP="007A12D1">
            <w:pPr>
              <w:pStyle w:val="TableHeaders"/>
            </w:pPr>
            <w:r w:rsidRPr="00714725">
              <w:lastRenderedPageBreak/>
              <w:t>CCS Standards: Language</w:t>
            </w:r>
          </w:p>
        </w:tc>
      </w:tr>
      <w:tr w:rsidR="00D12A5F" w:rsidRPr="00677A89" w14:paraId="25828E91" w14:textId="77777777" w:rsidTr="008D1E3C">
        <w:trPr>
          <w:trHeight w:val="520"/>
        </w:trPr>
        <w:tc>
          <w:tcPr>
            <w:tcW w:w="14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59DD3" w14:textId="77777777" w:rsidR="00D12A5F" w:rsidRPr="00D12A5F" w:rsidRDefault="00D12A5F" w:rsidP="008B2D2F">
            <w:pPr>
              <w:pStyle w:val="TableText"/>
              <w:rPr>
                <w:b/>
                <w:spacing w:val="-4"/>
              </w:rPr>
            </w:pPr>
            <w:r w:rsidRPr="00D12A5F">
              <w:rPr>
                <w:b/>
                <w:spacing w:val="-4"/>
              </w:rPr>
              <w:t>L.11-12.1</w:t>
            </w:r>
          </w:p>
        </w:tc>
        <w:tc>
          <w:tcPr>
            <w:tcW w:w="8037" w:type="dxa"/>
          </w:tcPr>
          <w:p w14:paraId="7964A7B4" w14:textId="77777777" w:rsidR="00D12A5F" w:rsidRPr="005A3900" w:rsidRDefault="005A3900" w:rsidP="006075A3">
            <w:pPr>
              <w:pStyle w:val="TableText"/>
              <w:tabs>
                <w:tab w:val="left" w:pos="2413"/>
              </w:tabs>
              <w:rPr>
                <w:b/>
              </w:rPr>
            </w:pPr>
            <w:r w:rsidRPr="005A3900">
              <w:rPr>
                <w:b/>
              </w:rPr>
              <w:t>Demonstrate command of the conventions of standard English grammar and usage when writing or speaking.</w:t>
            </w:r>
          </w:p>
        </w:tc>
      </w:tr>
      <w:tr w:rsidR="00D12A5F" w:rsidRPr="00677A89" w14:paraId="55CAD082" w14:textId="77777777" w:rsidTr="008D1E3C">
        <w:trPr>
          <w:trHeight w:val="880"/>
        </w:trPr>
        <w:tc>
          <w:tcPr>
            <w:tcW w:w="14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A412FD" w14:textId="77777777" w:rsidR="00D12A5F" w:rsidRPr="00D12A5F" w:rsidRDefault="00D12A5F" w:rsidP="008B2D2F">
            <w:pPr>
              <w:pStyle w:val="TableText"/>
              <w:rPr>
                <w:b/>
                <w:spacing w:val="-4"/>
              </w:rPr>
            </w:pPr>
            <w:r w:rsidRPr="00D12A5F">
              <w:rPr>
                <w:b/>
                <w:spacing w:val="-4"/>
              </w:rPr>
              <w:t>L.11-12.2.b</w:t>
            </w:r>
          </w:p>
        </w:tc>
        <w:tc>
          <w:tcPr>
            <w:tcW w:w="8037" w:type="dxa"/>
          </w:tcPr>
          <w:p w14:paraId="5D79443B" w14:textId="77777777" w:rsidR="005A3900" w:rsidRPr="00B350B9" w:rsidRDefault="005A3900" w:rsidP="006075A3">
            <w:pPr>
              <w:pStyle w:val="TableText"/>
              <w:rPr>
                <w:b/>
                <w:lang w:eastAsia="fr-FR"/>
              </w:rPr>
            </w:pPr>
            <w:r w:rsidRPr="00B350B9">
              <w:rPr>
                <w:b/>
                <w:lang w:eastAsia="fr-FR"/>
              </w:rPr>
              <w:t>Demonstrate command of the conventions of standard English capitalization, punctuation, and spelling when writing.</w:t>
            </w:r>
          </w:p>
          <w:p w14:paraId="103B80D9" w14:textId="77777777" w:rsidR="00D12A5F" w:rsidRPr="00B350B9" w:rsidRDefault="005A3900" w:rsidP="00A12BE0">
            <w:pPr>
              <w:pStyle w:val="SubStandard"/>
              <w:numPr>
                <w:ilvl w:val="0"/>
                <w:numId w:val="10"/>
              </w:numPr>
              <w:rPr>
                <w:b/>
              </w:rPr>
            </w:pPr>
            <w:r w:rsidRPr="00B350B9">
              <w:rPr>
                <w:b/>
                <w:lang w:eastAsia="fr-FR"/>
              </w:rPr>
              <w:t>Spell correctly.</w:t>
            </w:r>
          </w:p>
        </w:tc>
      </w:tr>
      <w:tr w:rsidR="00CC183D" w:rsidRPr="00677A89" w14:paraId="571B04EC" w14:textId="77777777" w:rsidTr="008D1E3C">
        <w:tc>
          <w:tcPr>
            <w:tcW w:w="14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ADF699" w14:textId="5E7650BE" w:rsidR="00CC183D" w:rsidRPr="007A12D1" w:rsidRDefault="008B2D2F" w:rsidP="008B2D2F">
            <w:pPr>
              <w:pStyle w:val="TableText"/>
              <w:rPr>
                <w:spacing w:val="-4"/>
              </w:rPr>
            </w:pPr>
            <w:r>
              <w:rPr>
                <w:spacing w:val="-4"/>
              </w:rPr>
              <w:t>L.11-12.4.a,</w:t>
            </w:r>
            <w:r w:rsidR="00BA4F2E">
              <w:rPr>
                <w:spacing w:val="-4"/>
              </w:rPr>
              <w:t xml:space="preserve"> </w:t>
            </w:r>
            <w:r>
              <w:rPr>
                <w:spacing w:val="-4"/>
              </w:rPr>
              <w:t>b</w:t>
            </w:r>
          </w:p>
        </w:tc>
        <w:tc>
          <w:tcPr>
            <w:tcW w:w="8037" w:type="dxa"/>
          </w:tcPr>
          <w:p w14:paraId="0CDA3097" w14:textId="77777777" w:rsidR="00D24DC7" w:rsidRDefault="00D24DC7" w:rsidP="00D24DC7">
            <w:pPr>
              <w:pStyle w:val="TableText"/>
            </w:pPr>
            <w:r>
              <w:t xml:space="preserve">Determine or clarify the meaning of unknown and multiple-meaning words and phrases based on </w:t>
            </w:r>
            <w:r>
              <w:rPr>
                <w:i/>
              </w:rPr>
              <w:t>grades 11–12 reading and content</w:t>
            </w:r>
            <w:r>
              <w:t>, choosing flexibly from a range of strategies.</w:t>
            </w:r>
          </w:p>
          <w:p w14:paraId="2986BEA3" w14:textId="77777777" w:rsidR="00D24DC7" w:rsidRDefault="00D24DC7" w:rsidP="00A12BE0">
            <w:pPr>
              <w:pStyle w:val="SubStandard"/>
              <w:numPr>
                <w:ilvl w:val="0"/>
                <w:numId w:val="11"/>
              </w:numPr>
            </w:pPr>
            <w:r>
              <w:t>Use context (e.g., the overall meaning of a sentence, paragraph, or text; a word’s position or function in a sentence) as a clue to the meaning of a word or phrase.</w:t>
            </w:r>
          </w:p>
          <w:p w14:paraId="314C4C61" w14:textId="77777777" w:rsidR="00CC183D" w:rsidRPr="006D3F09" w:rsidRDefault="00D24DC7" w:rsidP="00A12BE0">
            <w:pPr>
              <w:pStyle w:val="SubStandard"/>
              <w:numPr>
                <w:ilvl w:val="0"/>
                <w:numId w:val="11"/>
              </w:numPr>
            </w:pPr>
            <w:r w:rsidRPr="00E03840">
              <w:t xml:space="preserve">Identify and correctly use patterns of word changes that indicate different meanings or parts of speech (e.g., </w:t>
            </w:r>
            <w:r w:rsidRPr="00A50B48">
              <w:rPr>
                <w:i/>
              </w:rPr>
              <w:t>conceive</w:t>
            </w:r>
            <w:r w:rsidRPr="00E03840">
              <w:t xml:space="preserve">, </w:t>
            </w:r>
            <w:r w:rsidRPr="00A50B48">
              <w:rPr>
                <w:i/>
              </w:rPr>
              <w:t>conception</w:t>
            </w:r>
            <w:r w:rsidRPr="00E03840">
              <w:t xml:space="preserve">, </w:t>
            </w:r>
            <w:r w:rsidRPr="00A50B48">
              <w:rPr>
                <w:i/>
              </w:rPr>
              <w:t>conceivable</w:t>
            </w:r>
            <w:r w:rsidRPr="00E03840">
              <w:t>).</w:t>
            </w:r>
          </w:p>
        </w:tc>
      </w:tr>
    </w:tbl>
    <w:p w14:paraId="4298A9DA" w14:textId="77777777" w:rsidR="00CC183D" w:rsidRPr="007A12D1" w:rsidRDefault="00CC183D" w:rsidP="00CC183D">
      <w:pPr>
        <w:rPr>
          <w:sz w:val="20"/>
        </w:rPr>
      </w:pPr>
      <w:r w:rsidRPr="007A12D1">
        <w:rPr>
          <w:b/>
          <w:sz w:val="20"/>
        </w:rPr>
        <w:t>Note:</w:t>
      </w:r>
      <w:r w:rsidRPr="007A12D1">
        <w:rPr>
          <w:sz w:val="20"/>
        </w:rPr>
        <w:t xml:space="preserve"> Bold text indicates targeted standards that will be assessed in the unit.</w:t>
      </w:r>
    </w:p>
    <w:p w14:paraId="75B8DB0C" w14:textId="77777777" w:rsidR="00CC183D" w:rsidRDefault="00CC183D" w:rsidP="00CC183D">
      <w:pPr>
        <w:pStyle w:val="Heading1"/>
      </w:pPr>
      <w:r>
        <w:t>Unit Assessments</w:t>
      </w:r>
    </w:p>
    <w:tbl>
      <w:tblPr>
        <w:tblW w:w="947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7847"/>
      </w:tblGrid>
      <w:tr w:rsidR="00CC183D" w:rsidRPr="00DF7D60" w14:paraId="6B8138F5" w14:textId="77777777">
        <w:tc>
          <w:tcPr>
            <w:tcW w:w="9477" w:type="dxa"/>
            <w:gridSpan w:val="2"/>
            <w:shd w:val="clear" w:color="auto" w:fill="5F497A"/>
          </w:tcPr>
          <w:p w14:paraId="4FB846CE" w14:textId="77777777" w:rsidR="00CC183D" w:rsidRPr="00714725" w:rsidRDefault="00CC183D" w:rsidP="00CC183D">
            <w:pPr>
              <w:pStyle w:val="TableHeaders"/>
            </w:pPr>
            <w:r w:rsidRPr="00714725">
              <w:t>Ongoing Assessment</w:t>
            </w:r>
          </w:p>
        </w:tc>
      </w:tr>
      <w:tr w:rsidR="00CC183D" w:rsidRPr="00677A89" w14:paraId="77435631" w14:textId="77777777">
        <w:tc>
          <w:tcPr>
            <w:tcW w:w="1630" w:type="dxa"/>
          </w:tcPr>
          <w:p w14:paraId="5772ECF7" w14:textId="77777777" w:rsidR="00CC183D" w:rsidRPr="00677A89" w:rsidRDefault="00CC183D" w:rsidP="007A12D1">
            <w:pPr>
              <w:pStyle w:val="TableText"/>
            </w:pPr>
            <w:r w:rsidRPr="00677A89">
              <w:t>Standards Assessed</w:t>
            </w:r>
          </w:p>
        </w:tc>
        <w:tc>
          <w:tcPr>
            <w:tcW w:w="7847" w:type="dxa"/>
          </w:tcPr>
          <w:p w14:paraId="6EF9912D" w14:textId="77777777" w:rsidR="00CC183D" w:rsidRPr="009A4842" w:rsidRDefault="006D551E" w:rsidP="007A12D1">
            <w:pPr>
              <w:pStyle w:val="TableText"/>
            </w:pPr>
            <w:r>
              <w:t xml:space="preserve">RI.11-12.2, </w:t>
            </w:r>
            <w:r w:rsidR="007572EF">
              <w:t>RI.11-12.3,</w:t>
            </w:r>
            <w:r w:rsidR="00147505">
              <w:t xml:space="preserve"> RI.11-12.4,</w:t>
            </w:r>
            <w:r w:rsidR="007572EF">
              <w:t xml:space="preserve"> </w:t>
            </w:r>
            <w:r w:rsidR="009A4842">
              <w:t>RI.11-12.5</w:t>
            </w:r>
          </w:p>
        </w:tc>
      </w:tr>
      <w:tr w:rsidR="00CC183D" w:rsidRPr="00677A89" w14:paraId="4855E74B" w14:textId="77777777">
        <w:tc>
          <w:tcPr>
            <w:tcW w:w="1630" w:type="dxa"/>
          </w:tcPr>
          <w:p w14:paraId="6D4E96E6" w14:textId="77777777" w:rsidR="00CC183D" w:rsidRPr="00677A89" w:rsidRDefault="00CC183D" w:rsidP="007A12D1">
            <w:pPr>
              <w:pStyle w:val="TableText"/>
            </w:pPr>
            <w:r w:rsidRPr="00677A89">
              <w:t>Description of Assessment</w:t>
            </w:r>
          </w:p>
        </w:tc>
        <w:tc>
          <w:tcPr>
            <w:tcW w:w="7847" w:type="dxa"/>
          </w:tcPr>
          <w:p w14:paraId="7AFFF48E" w14:textId="77777777" w:rsidR="00CC183D" w:rsidRPr="00677A89" w:rsidRDefault="0024646A" w:rsidP="007A12D1">
            <w:pPr>
              <w:pStyle w:val="TableText"/>
            </w:pPr>
            <w:r w:rsidRPr="0024646A">
              <w:t>Students participate in reading and discussion, write informally in response to text- based prompts, present information in an organized and logical manner, and participate effectively in evidence-based collaborative discussion.</w:t>
            </w:r>
          </w:p>
        </w:tc>
      </w:tr>
    </w:tbl>
    <w:p w14:paraId="2296FDE4" w14:textId="77777777" w:rsidR="00CC183D" w:rsidRPr="007A12D1" w:rsidRDefault="00CC183D" w:rsidP="007A12D1"/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750"/>
      </w:tblGrid>
      <w:tr w:rsidR="00CC183D" w:rsidRPr="00DF7D60" w14:paraId="57F24445" w14:textId="77777777">
        <w:tc>
          <w:tcPr>
            <w:tcW w:w="9460" w:type="dxa"/>
            <w:gridSpan w:val="2"/>
            <w:shd w:val="clear" w:color="auto" w:fill="5F497A"/>
          </w:tcPr>
          <w:p w14:paraId="1596DEE9" w14:textId="77777777" w:rsidR="00CC183D" w:rsidRPr="00714725" w:rsidRDefault="00CC183D" w:rsidP="00CC183D">
            <w:pPr>
              <w:pStyle w:val="TableHeaders"/>
            </w:pPr>
            <w:r w:rsidRPr="00714725">
              <w:t>End-of-Unit Assessment</w:t>
            </w:r>
          </w:p>
        </w:tc>
      </w:tr>
      <w:tr w:rsidR="00CC183D" w:rsidRPr="00677A89" w14:paraId="7346689C" w14:textId="77777777">
        <w:tc>
          <w:tcPr>
            <w:tcW w:w="1710" w:type="dxa"/>
          </w:tcPr>
          <w:p w14:paraId="0431EAAE" w14:textId="77777777" w:rsidR="00CC183D" w:rsidRPr="00677A89" w:rsidRDefault="00CC183D" w:rsidP="007A12D1">
            <w:pPr>
              <w:pStyle w:val="TableText"/>
            </w:pPr>
            <w:r w:rsidRPr="00677A89">
              <w:t>Standards Assessed</w:t>
            </w:r>
          </w:p>
        </w:tc>
        <w:tc>
          <w:tcPr>
            <w:tcW w:w="7750" w:type="dxa"/>
          </w:tcPr>
          <w:p w14:paraId="0A04C000" w14:textId="77777777" w:rsidR="00CC183D" w:rsidRPr="001B1DCE" w:rsidRDefault="001B1DCE" w:rsidP="007A12D1">
            <w:pPr>
              <w:pStyle w:val="TableText"/>
            </w:pPr>
            <w:r>
              <w:t>RI.11-12.5, W.11-12.2.a-f, W.11-12.9.b, L.11-12.1, L.11-12.2.b</w:t>
            </w:r>
          </w:p>
        </w:tc>
      </w:tr>
      <w:tr w:rsidR="00CC183D" w:rsidRPr="00677A89" w14:paraId="5EBDF8A1" w14:textId="77777777">
        <w:trPr>
          <w:trHeight w:val="740"/>
        </w:trPr>
        <w:tc>
          <w:tcPr>
            <w:tcW w:w="1710" w:type="dxa"/>
          </w:tcPr>
          <w:p w14:paraId="6F2813BE" w14:textId="77777777" w:rsidR="00CC183D" w:rsidRPr="00677A89" w:rsidRDefault="00CC183D" w:rsidP="007A12D1">
            <w:pPr>
              <w:pStyle w:val="TableText"/>
            </w:pPr>
            <w:r w:rsidRPr="00677A89">
              <w:t>Description of Assessment</w:t>
            </w:r>
          </w:p>
        </w:tc>
        <w:tc>
          <w:tcPr>
            <w:tcW w:w="7750" w:type="dxa"/>
          </w:tcPr>
          <w:p w14:paraId="6F8A4F97" w14:textId="77777777" w:rsidR="00DF6DE1" w:rsidRDefault="00DF6DE1" w:rsidP="00DF6DE1">
            <w:pPr>
              <w:pStyle w:val="TableText"/>
            </w:pPr>
            <w:r w:rsidRPr="002E6E78">
              <w:t xml:space="preserve">Students </w:t>
            </w:r>
            <w:r>
              <w:t>write a multi-paragraph response to the following prompt:</w:t>
            </w:r>
          </w:p>
          <w:p w14:paraId="281C3F87" w14:textId="77777777" w:rsidR="00CC183D" w:rsidRPr="00677A89" w:rsidRDefault="00DF6DE1" w:rsidP="00DF6DE1">
            <w:pPr>
              <w:pStyle w:val="TableText"/>
            </w:pPr>
            <w:r w:rsidRPr="0046171C">
              <w:t>Analyze the effectiveness of the structure Silko uses in her exposition, including whether the structure makes points clear, convincing, and engaging.</w:t>
            </w:r>
          </w:p>
        </w:tc>
      </w:tr>
    </w:tbl>
    <w:p w14:paraId="38F8297B" w14:textId="77777777" w:rsidR="00CC183D" w:rsidRDefault="00CC183D" w:rsidP="00CC183D">
      <w:pPr>
        <w:pStyle w:val="Heading1"/>
      </w:pPr>
      <w:r>
        <w:lastRenderedPageBreak/>
        <w:t>Unit-at-a-Glance Calendar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46"/>
        <w:gridCol w:w="2887"/>
        <w:gridCol w:w="5724"/>
      </w:tblGrid>
      <w:tr w:rsidR="00CC183D" w:rsidRPr="00C46F19" w14:paraId="46DF064C" w14:textId="77777777">
        <w:trPr>
          <w:cantSplit/>
          <w:tblHeader/>
        </w:trPr>
        <w:tc>
          <w:tcPr>
            <w:tcW w:w="0" w:type="auto"/>
            <w:shd w:val="clear" w:color="auto" w:fill="5F497A"/>
            <w:vAlign w:val="center"/>
          </w:tcPr>
          <w:p w14:paraId="235C2A3A" w14:textId="77777777" w:rsidR="00CC183D" w:rsidRPr="00714725" w:rsidRDefault="00CC183D" w:rsidP="00C46F19">
            <w:pPr>
              <w:pStyle w:val="TableHeaders"/>
            </w:pPr>
            <w:r w:rsidRPr="00714725">
              <w:t>Lesson</w:t>
            </w:r>
          </w:p>
        </w:tc>
        <w:tc>
          <w:tcPr>
            <w:tcW w:w="0" w:type="auto"/>
            <w:shd w:val="clear" w:color="auto" w:fill="5F497A"/>
            <w:vAlign w:val="center"/>
          </w:tcPr>
          <w:p w14:paraId="21CCC50B" w14:textId="77777777" w:rsidR="00CC183D" w:rsidRPr="00714725" w:rsidRDefault="00CC183D" w:rsidP="00C46F19">
            <w:pPr>
              <w:pStyle w:val="TableHeaders"/>
            </w:pPr>
            <w:r w:rsidRPr="00714725">
              <w:t>Text</w:t>
            </w:r>
          </w:p>
        </w:tc>
        <w:tc>
          <w:tcPr>
            <w:tcW w:w="5724" w:type="dxa"/>
            <w:shd w:val="clear" w:color="auto" w:fill="5F497A"/>
            <w:vAlign w:val="center"/>
          </w:tcPr>
          <w:p w14:paraId="47B005E5" w14:textId="77777777" w:rsidR="00CC183D" w:rsidRPr="00714725" w:rsidRDefault="00CC183D" w:rsidP="00C46F19">
            <w:pPr>
              <w:pStyle w:val="TableHeaders"/>
            </w:pPr>
            <w:r w:rsidRPr="00714725">
              <w:t>Learning Outcomes/Goals</w:t>
            </w:r>
          </w:p>
        </w:tc>
      </w:tr>
      <w:tr w:rsidR="00CC183D" w:rsidRPr="001F7CAA" w14:paraId="04E04A87" w14:textId="77777777">
        <w:trPr>
          <w:cantSplit/>
        </w:trPr>
        <w:tc>
          <w:tcPr>
            <w:tcW w:w="0" w:type="auto"/>
            <w:shd w:val="clear" w:color="auto" w:fill="FFFFFF"/>
          </w:tcPr>
          <w:p w14:paraId="75015EDC" w14:textId="77777777" w:rsidR="00CC183D" w:rsidRPr="001F7CAA" w:rsidRDefault="00CC183D" w:rsidP="001F7CAA">
            <w:pPr>
              <w:pStyle w:val="TableText"/>
            </w:pPr>
            <w:r w:rsidRPr="001F7CAA">
              <w:t>1</w:t>
            </w:r>
          </w:p>
        </w:tc>
        <w:tc>
          <w:tcPr>
            <w:tcW w:w="0" w:type="auto"/>
            <w:shd w:val="clear" w:color="auto" w:fill="FFFFFF"/>
          </w:tcPr>
          <w:p w14:paraId="50A1022D" w14:textId="7C047BE3" w:rsidR="00CC183D" w:rsidRPr="001F7CAA" w:rsidRDefault="00DD6161" w:rsidP="00F61E99">
            <w:pPr>
              <w:pStyle w:val="TableText"/>
            </w:pPr>
            <w:r>
              <w:t>“Yellow Woman and a Beauty of the Spirit” by Leslie Marmon Silko</w:t>
            </w:r>
            <w:r w:rsidR="00BD17DA">
              <w:t xml:space="preserve">, paragraphs </w:t>
            </w:r>
            <w:r w:rsidR="00BA4F2E">
              <w:br/>
            </w:r>
            <w:r w:rsidR="00BD17DA">
              <w:t>1–</w:t>
            </w:r>
            <w:r w:rsidR="00020E5E">
              <w:t>3</w:t>
            </w:r>
          </w:p>
        </w:tc>
        <w:tc>
          <w:tcPr>
            <w:tcW w:w="5724" w:type="dxa"/>
            <w:shd w:val="clear" w:color="auto" w:fill="FFFFFF"/>
          </w:tcPr>
          <w:p w14:paraId="4BDD53AF" w14:textId="1296F5A9" w:rsidR="00CC183D" w:rsidRPr="001F7CAA" w:rsidRDefault="00DD1309" w:rsidP="007413C3">
            <w:pPr>
              <w:pStyle w:val="TableText"/>
            </w:pPr>
            <w:r>
              <w:t xml:space="preserve">In this first lesson of the unit, students listen to a masterful reading </w:t>
            </w:r>
            <w:r w:rsidR="003557B5">
              <w:t>of Leslie Marmon Silko’s</w:t>
            </w:r>
            <w:r w:rsidR="00A5034F">
              <w:t xml:space="preserve"> </w:t>
            </w:r>
            <w:r w:rsidR="000F244E">
              <w:t xml:space="preserve">personal </w:t>
            </w:r>
            <w:r w:rsidR="00A5034F">
              <w:t>narrative essay</w:t>
            </w:r>
            <w:r w:rsidR="003557B5">
              <w:t xml:space="preserve"> “Yellow Woman and a Beauty of the Spirit” in its entirety before reading and analyzing </w:t>
            </w:r>
            <w:r w:rsidR="00A5034F">
              <w:t xml:space="preserve">paragraphs </w:t>
            </w:r>
            <w:r w:rsidR="007413C3">
              <w:t xml:space="preserve">1–3 </w:t>
            </w:r>
            <w:r w:rsidR="00A5034F">
              <w:t>of the essay.</w:t>
            </w:r>
            <w:r w:rsidR="00B64A45">
              <w:t xml:space="preserve"> Students explore how Silko structures the beginning of her text, analyzing how she engages and orients the reader.</w:t>
            </w:r>
          </w:p>
        </w:tc>
      </w:tr>
      <w:tr w:rsidR="00CC183D" w:rsidRPr="001F7CAA" w14:paraId="563985A5" w14:textId="77777777">
        <w:trPr>
          <w:cantSplit/>
        </w:trPr>
        <w:tc>
          <w:tcPr>
            <w:tcW w:w="0" w:type="auto"/>
            <w:shd w:val="clear" w:color="auto" w:fill="FFFFFF"/>
          </w:tcPr>
          <w:p w14:paraId="2B97CA60" w14:textId="77777777" w:rsidR="00CC183D" w:rsidRPr="001F7CAA" w:rsidRDefault="00CC183D" w:rsidP="001F7CAA">
            <w:pPr>
              <w:pStyle w:val="TableText"/>
            </w:pPr>
            <w:r w:rsidRPr="001F7CAA">
              <w:t>2</w:t>
            </w:r>
          </w:p>
        </w:tc>
        <w:tc>
          <w:tcPr>
            <w:tcW w:w="0" w:type="auto"/>
            <w:shd w:val="clear" w:color="auto" w:fill="FFFFFF"/>
          </w:tcPr>
          <w:p w14:paraId="793B9A97" w14:textId="53119EC3" w:rsidR="00CC183D" w:rsidRPr="001F7CAA" w:rsidRDefault="00020E5E" w:rsidP="001F7CAA">
            <w:pPr>
              <w:pStyle w:val="TableText"/>
            </w:pPr>
            <w:r>
              <w:t>“Yellow Woman and a Beauty of the Spirit” by Leslie Marmon Silko</w:t>
            </w:r>
            <w:r w:rsidR="00CB6A31">
              <w:t xml:space="preserve">, paragraphs </w:t>
            </w:r>
            <w:r w:rsidR="00BA4F2E">
              <w:br/>
            </w:r>
            <w:r w:rsidR="00CB6A31">
              <w:t>4</w:t>
            </w:r>
            <w:r>
              <w:t>–</w:t>
            </w:r>
            <w:r w:rsidR="00CB6A31">
              <w:t>10</w:t>
            </w:r>
          </w:p>
        </w:tc>
        <w:tc>
          <w:tcPr>
            <w:tcW w:w="5724" w:type="dxa"/>
            <w:shd w:val="clear" w:color="auto" w:fill="FFFFFF"/>
          </w:tcPr>
          <w:p w14:paraId="7EA68B43" w14:textId="77777777" w:rsidR="00CC183D" w:rsidRPr="001F7CAA" w:rsidRDefault="00AC6239" w:rsidP="001F7CAA">
            <w:pPr>
              <w:pStyle w:val="TableText"/>
            </w:pPr>
            <w:r>
              <w:t>In this lesson,</w:t>
            </w:r>
            <w:r w:rsidR="00186B0C">
              <w:t xml:space="preserve"> students read and analyze paragraphs 4–10</w:t>
            </w:r>
            <w:r w:rsidR="00B8079A">
              <w:t xml:space="preserve"> of the essay, exploring central ideas that emerge through Silko’s description of </w:t>
            </w:r>
            <w:r w:rsidR="0063531D">
              <w:t xml:space="preserve">significant </w:t>
            </w:r>
            <w:r w:rsidR="00CE2983">
              <w:t>people, stories, and memories from</w:t>
            </w:r>
            <w:r w:rsidR="0063531D">
              <w:t xml:space="preserve"> </w:t>
            </w:r>
            <w:r w:rsidR="00B8079A">
              <w:t>her childhood.</w:t>
            </w:r>
            <w:r w:rsidR="00365ECC">
              <w:t xml:space="preserve"> Students also discuss how Silko creates a smooth progression of events at the beginning of her text.</w:t>
            </w:r>
          </w:p>
        </w:tc>
      </w:tr>
      <w:tr w:rsidR="00CC183D" w:rsidRPr="001F7CAA" w14:paraId="552AD702" w14:textId="77777777">
        <w:trPr>
          <w:cantSplit/>
        </w:trPr>
        <w:tc>
          <w:tcPr>
            <w:tcW w:w="0" w:type="auto"/>
            <w:shd w:val="clear" w:color="auto" w:fill="FFFFFF"/>
          </w:tcPr>
          <w:p w14:paraId="77C8F1F7" w14:textId="77777777" w:rsidR="00CC183D" w:rsidRPr="001F7CAA" w:rsidRDefault="00CC183D" w:rsidP="001F7CAA">
            <w:pPr>
              <w:pStyle w:val="TableText"/>
            </w:pPr>
            <w:r w:rsidRPr="001F7CAA">
              <w:t>3</w:t>
            </w:r>
          </w:p>
        </w:tc>
        <w:tc>
          <w:tcPr>
            <w:tcW w:w="0" w:type="auto"/>
            <w:shd w:val="clear" w:color="auto" w:fill="FFFFFF"/>
          </w:tcPr>
          <w:p w14:paraId="72F78790" w14:textId="77777777" w:rsidR="00CC183D" w:rsidRPr="001F7CAA" w:rsidRDefault="00020E5E" w:rsidP="00C46F19">
            <w:pPr>
              <w:pStyle w:val="TableText"/>
            </w:pPr>
            <w:r>
              <w:t>“Yellow Woman and a Beauty of the Spirit” by Leslie Marmon Silko, paragraphs 1</w:t>
            </w:r>
            <w:r w:rsidR="00E2484B">
              <w:t>1</w:t>
            </w:r>
            <w:r>
              <w:t>–</w:t>
            </w:r>
            <w:r w:rsidR="00E2484B">
              <w:t>16</w:t>
            </w:r>
          </w:p>
        </w:tc>
        <w:tc>
          <w:tcPr>
            <w:tcW w:w="5724" w:type="dxa"/>
            <w:shd w:val="clear" w:color="auto" w:fill="FFFFFF"/>
          </w:tcPr>
          <w:p w14:paraId="1D18A2D0" w14:textId="77777777" w:rsidR="00CC183D" w:rsidRPr="001F7CAA" w:rsidRDefault="00AC6239" w:rsidP="00365ECC">
            <w:pPr>
              <w:pStyle w:val="TableText"/>
            </w:pPr>
            <w:r>
              <w:t>In this lesson,</w:t>
            </w:r>
            <w:r w:rsidR="00B979E1">
              <w:t xml:space="preserve"> students read and analyze paragraphs 11–16</w:t>
            </w:r>
            <w:r w:rsidR="002B10BA">
              <w:t>, identifying the emerging central ideas and tracing their development in the text.</w:t>
            </w:r>
            <w:r w:rsidR="00AA5445">
              <w:t xml:space="preserve"> Students </w:t>
            </w:r>
            <w:r w:rsidR="00CC7608">
              <w:t xml:space="preserve">also </w:t>
            </w:r>
            <w:r w:rsidR="00365ECC">
              <w:t>discuss</w:t>
            </w:r>
            <w:r w:rsidR="00CC7608">
              <w:t xml:space="preserve"> how Silko uses narrative techniques to develop experiences, events, and/or characters. </w:t>
            </w:r>
          </w:p>
        </w:tc>
      </w:tr>
      <w:tr w:rsidR="00CC183D" w:rsidRPr="001F7CAA" w14:paraId="4A38E976" w14:textId="77777777">
        <w:trPr>
          <w:cantSplit/>
        </w:trPr>
        <w:tc>
          <w:tcPr>
            <w:tcW w:w="0" w:type="auto"/>
            <w:shd w:val="clear" w:color="auto" w:fill="FFFFFF"/>
          </w:tcPr>
          <w:p w14:paraId="67875292" w14:textId="77777777" w:rsidR="00CC183D" w:rsidRPr="001F7CAA" w:rsidRDefault="00CC183D" w:rsidP="001F7CAA">
            <w:pPr>
              <w:pStyle w:val="TableText"/>
            </w:pPr>
            <w:r w:rsidRPr="001F7CAA">
              <w:t>4</w:t>
            </w:r>
          </w:p>
        </w:tc>
        <w:tc>
          <w:tcPr>
            <w:tcW w:w="0" w:type="auto"/>
            <w:shd w:val="clear" w:color="auto" w:fill="FFFFFF"/>
          </w:tcPr>
          <w:p w14:paraId="4D77ABFD" w14:textId="77777777" w:rsidR="00CC183D" w:rsidRPr="001F7CAA" w:rsidRDefault="00020E5E" w:rsidP="001F7CAA">
            <w:pPr>
              <w:pStyle w:val="TableText"/>
            </w:pPr>
            <w:r>
              <w:t>“Yellow Woman and a Beauty of the Spirit” by Leslie Marmon Silko, paragraphs 1</w:t>
            </w:r>
            <w:r w:rsidR="002C2F16">
              <w:t>7</w:t>
            </w:r>
            <w:r>
              <w:t>–</w:t>
            </w:r>
            <w:r w:rsidR="002C2F16">
              <w:t>24</w:t>
            </w:r>
          </w:p>
        </w:tc>
        <w:tc>
          <w:tcPr>
            <w:tcW w:w="5724" w:type="dxa"/>
            <w:shd w:val="clear" w:color="auto" w:fill="FFFFFF"/>
          </w:tcPr>
          <w:p w14:paraId="030DF9E8" w14:textId="77777777" w:rsidR="00CC183D" w:rsidRPr="001F7CAA" w:rsidRDefault="00AC6239" w:rsidP="00EC4997">
            <w:pPr>
              <w:pStyle w:val="TableText"/>
            </w:pPr>
            <w:r>
              <w:t>In this lesson,</w:t>
            </w:r>
            <w:r w:rsidR="00380705">
              <w:t xml:space="preserve"> students read and analyze paragraphs 17–24</w:t>
            </w:r>
            <w:r w:rsidR="00B5548D">
              <w:t xml:space="preserve">, </w:t>
            </w:r>
            <w:r w:rsidR="00F63ACD">
              <w:t xml:space="preserve">continuing their </w:t>
            </w:r>
            <w:r w:rsidR="008416F9">
              <w:t>examination</w:t>
            </w:r>
            <w:r w:rsidR="00F63ACD">
              <w:t xml:space="preserve"> </w:t>
            </w:r>
            <w:r w:rsidR="007A6556">
              <w:t>of how central ideas interact and build on one another throughout the text</w:t>
            </w:r>
            <w:r w:rsidR="00403F58">
              <w:t xml:space="preserve"> by</w:t>
            </w:r>
            <w:r w:rsidR="0046534D">
              <w:t xml:space="preserve"> making connections between ideas in this lesson’s text and the ideas discussed in the previous lesson</w:t>
            </w:r>
            <w:r w:rsidR="007A6556">
              <w:t>.</w:t>
            </w:r>
            <w:r w:rsidR="005F6C07">
              <w:t xml:space="preserve"> </w:t>
            </w:r>
            <w:r w:rsidR="00C07C95">
              <w:t>Students also discuss how Silko uses a variety of techniques to sequence events.</w:t>
            </w:r>
          </w:p>
        </w:tc>
      </w:tr>
      <w:tr w:rsidR="00CC183D" w:rsidRPr="001F7CAA" w14:paraId="641B9F47" w14:textId="77777777">
        <w:trPr>
          <w:cantSplit/>
        </w:trPr>
        <w:tc>
          <w:tcPr>
            <w:tcW w:w="0" w:type="auto"/>
            <w:shd w:val="clear" w:color="auto" w:fill="FFFFFF"/>
          </w:tcPr>
          <w:p w14:paraId="046125D8" w14:textId="77777777" w:rsidR="00CC183D" w:rsidRPr="001F7CAA" w:rsidRDefault="00CC183D" w:rsidP="001F7CAA">
            <w:pPr>
              <w:pStyle w:val="TableText"/>
            </w:pPr>
            <w:r w:rsidRPr="001F7CAA">
              <w:t>5</w:t>
            </w:r>
          </w:p>
        </w:tc>
        <w:tc>
          <w:tcPr>
            <w:tcW w:w="0" w:type="auto"/>
            <w:shd w:val="clear" w:color="auto" w:fill="FFFFFF"/>
          </w:tcPr>
          <w:p w14:paraId="1DF58F03" w14:textId="77777777" w:rsidR="00CC183D" w:rsidRPr="001F7CAA" w:rsidRDefault="00020E5E" w:rsidP="00C46F19">
            <w:pPr>
              <w:pStyle w:val="TableText"/>
            </w:pPr>
            <w:r>
              <w:t>“Yellow Woman and a Beauty of the Spirit” by L</w:t>
            </w:r>
            <w:r w:rsidR="00DF0B36">
              <w:t>eslie Marmon Silko, paragraphs 25</w:t>
            </w:r>
            <w:r>
              <w:t>–3</w:t>
            </w:r>
            <w:r w:rsidR="00DF0B36">
              <w:t>2</w:t>
            </w:r>
          </w:p>
        </w:tc>
        <w:tc>
          <w:tcPr>
            <w:tcW w:w="5724" w:type="dxa"/>
            <w:shd w:val="clear" w:color="auto" w:fill="FFFFFF"/>
          </w:tcPr>
          <w:p w14:paraId="707C1AC3" w14:textId="77777777" w:rsidR="00CC183D" w:rsidRPr="00FE6DC2" w:rsidRDefault="00AC6239" w:rsidP="00A9052F">
            <w:pPr>
              <w:pStyle w:val="TableText"/>
            </w:pPr>
            <w:r>
              <w:t>In this lesson,</w:t>
            </w:r>
            <w:r w:rsidR="00ED6589">
              <w:t xml:space="preserve"> students </w:t>
            </w:r>
            <w:r w:rsidR="00E00FDB">
              <w:t>read and analyze the end of the essay</w:t>
            </w:r>
            <w:r w:rsidR="00C668F5">
              <w:t>, focusing on how Silko uses</w:t>
            </w:r>
            <w:r w:rsidR="00FE6DC2">
              <w:t xml:space="preserve"> and refines the term </w:t>
            </w:r>
            <w:r w:rsidR="00FE6DC2">
              <w:rPr>
                <w:i/>
              </w:rPr>
              <w:t>beauty</w:t>
            </w:r>
            <w:r w:rsidR="00FE6DC2">
              <w:t xml:space="preserve"> over the course of the text.</w:t>
            </w:r>
            <w:r w:rsidR="006A7BD3">
              <w:t xml:space="preserve"> </w:t>
            </w:r>
            <w:r w:rsidR="00114792">
              <w:t xml:space="preserve">Students also discuss </w:t>
            </w:r>
            <w:r w:rsidR="00114792" w:rsidRPr="0015181D">
              <w:t>how Silko convey</w:t>
            </w:r>
            <w:r w:rsidR="00A9052F">
              <w:t>s</w:t>
            </w:r>
            <w:r w:rsidR="00114792" w:rsidRPr="0015181D">
              <w:t xml:space="preserve"> a vivid picture of the experiences, events, setting, and/or characters</w:t>
            </w:r>
            <w:r w:rsidR="00114792">
              <w:t>.</w:t>
            </w:r>
          </w:p>
        </w:tc>
      </w:tr>
      <w:tr w:rsidR="00CC183D" w:rsidRPr="001F7CAA" w14:paraId="6190EB26" w14:textId="77777777">
        <w:trPr>
          <w:cantSplit/>
        </w:trPr>
        <w:tc>
          <w:tcPr>
            <w:tcW w:w="0" w:type="auto"/>
            <w:shd w:val="clear" w:color="auto" w:fill="FFFFFF"/>
          </w:tcPr>
          <w:p w14:paraId="12BA4B20" w14:textId="77777777" w:rsidR="00CC183D" w:rsidRPr="001F7CAA" w:rsidRDefault="00CC183D" w:rsidP="001F7CAA">
            <w:pPr>
              <w:pStyle w:val="TableText"/>
            </w:pPr>
            <w:r w:rsidRPr="001F7CAA">
              <w:lastRenderedPageBreak/>
              <w:t>6</w:t>
            </w:r>
          </w:p>
        </w:tc>
        <w:tc>
          <w:tcPr>
            <w:tcW w:w="0" w:type="auto"/>
            <w:shd w:val="clear" w:color="auto" w:fill="FFFFFF"/>
          </w:tcPr>
          <w:p w14:paraId="0FE0C66C" w14:textId="5EF97AB9" w:rsidR="00CC183D" w:rsidRPr="001F7CAA" w:rsidRDefault="00020E5E" w:rsidP="000F244E">
            <w:pPr>
              <w:pStyle w:val="TableText"/>
            </w:pPr>
            <w:r>
              <w:t xml:space="preserve">“Yellow Woman and a Beauty of the </w:t>
            </w:r>
            <w:r w:rsidR="000F244E">
              <w:t>Spirit” by Leslie Marmon Silko</w:t>
            </w:r>
          </w:p>
        </w:tc>
        <w:tc>
          <w:tcPr>
            <w:tcW w:w="5724" w:type="dxa"/>
            <w:shd w:val="clear" w:color="auto" w:fill="FFFFFF"/>
          </w:tcPr>
          <w:p w14:paraId="3D28CEC3" w14:textId="77777777" w:rsidR="00CC183D" w:rsidRPr="001F7CAA" w:rsidRDefault="00E953CC" w:rsidP="00F50FEE">
            <w:pPr>
              <w:pStyle w:val="TableText"/>
            </w:pPr>
            <w:r>
              <w:t>In this</w:t>
            </w:r>
            <w:r w:rsidR="00F50FEE">
              <w:t xml:space="preserve"> final</w:t>
            </w:r>
            <w:r>
              <w:t xml:space="preserve"> lesson</w:t>
            </w:r>
            <w:r w:rsidR="00F50FEE">
              <w:t xml:space="preserve"> of the unit</w:t>
            </w:r>
            <w:r>
              <w:t>, students complete the End-of-Unit-Assessment, writing a multi-paragraph response to the following prompt:</w:t>
            </w:r>
            <w:r w:rsidR="003478D3">
              <w:t xml:space="preserve"> </w:t>
            </w:r>
            <w:r w:rsidR="003478D3" w:rsidRPr="0046171C">
              <w:t>Analyze the effectiveness of the structure Silko uses in her exposition, including whether the structure makes points clear, convincing, and engaging.</w:t>
            </w:r>
            <w:r w:rsidR="006D7712">
              <w:t xml:space="preserve"> Students also discuss </w:t>
            </w:r>
            <w:r w:rsidR="006D7712" w:rsidRPr="00257AF8">
              <w:t>how Silko provides a conclusion that follows from and reflects on what is experienced, observed, or resolved over the course of the narrative</w:t>
            </w:r>
            <w:r w:rsidR="006D7712">
              <w:t>.</w:t>
            </w:r>
          </w:p>
        </w:tc>
      </w:tr>
    </w:tbl>
    <w:p w14:paraId="0F9A089E" w14:textId="77777777" w:rsidR="00CC183D" w:rsidRDefault="00CC183D" w:rsidP="00CC183D">
      <w:pPr>
        <w:pStyle w:val="Heading1"/>
      </w:pPr>
      <w:r>
        <w:t>Preparation, Materials, and Resources</w:t>
      </w:r>
    </w:p>
    <w:p w14:paraId="234959E3" w14:textId="77777777" w:rsidR="00CC183D" w:rsidRPr="008F708C" w:rsidRDefault="00CC183D" w:rsidP="00CC183D">
      <w:pPr>
        <w:rPr>
          <w:b/>
        </w:rPr>
      </w:pPr>
      <w:r w:rsidRPr="008F708C">
        <w:rPr>
          <w:b/>
        </w:rPr>
        <w:t>Preparation</w:t>
      </w:r>
    </w:p>
    <w:p w14:paraId="500A0DB0" w14:textId="371880C7" w:rsidR="00CC183D" w:rsidRDefault="00CC183D" w:rsidP="00CC183D">
      <w:pPr>
        <w:pStyle w:val="BulletedList"/>
      </w:pPr>
      <w:r w:rsidRPr="007B5476">
        <w:t xml:space="preserve">Read and annotate </w:t>
      </w:r>
      <w:r w:rsidR="00A43357">
        <w:t>“Yellow Woman and a Beauty of the Spirit” by Leslie Marmon Silko</w:t>
      </w:r>
      <w:r w:rsidR="000F244E">
        <w:t>.</w:t>
      </w:r>
    </w:p>
    <w:p w14:paraId="2CBC09EE" w14:textId="23E5E2F3" w:rsidR="00CC183D" w:rsidRDefault="00CC183D" w:rsidP="00CC183D">
      <w:pPr>
        <w:pStyle w:val="BulletedList"/>
      </w:pPr>
      <w:r>
        <w:t xml:space="preserve">Review the </w:t>
      </w:r>
      <w:r w:rsidR="008C7F82">
        <w:t>Shor</w:t>
      </w:r>
      <w:r w:rsidR="00C1704F">
        <w:t>t Response Rubric and Checklist</w:t>
      </w:r>
      <w:r w:rsidR="000F244E">
        <w:t>.</w:t>
      </w:r>
    </w:p>
    <w:p w14:paraId="44D5C601" w14:textId="36FA3037" w:rsidR="008C7F82" w:rsidRDefault="008C7F82" w:rsidP="00A072E5">
      <w:pPr>
        <w:pStyle w:val="BulletedList"/>
        <w:tabs>
          <w:tab w:val="left" w:pos="1980"/>
        </w:tabs>
      </w:pPr>
      <w:r>
        <w:t>Review the 12.1.2 End-of-Unit Tex</w:t>
      </w:r>
      <w:r w:rsidR="00C1704F">
        <w:t>t Analysis Rubric and Checklist</w:t>
      </w:r>
      <w:r w:rsidR="000F244E">
        <w:t>.</w:t>
      </w:r>
    </w:p>
    <w:p w14:paraId="74A64024" w14:textId="4211211E" w:rsidR="00CC183D" w:rsidRDefault="00CC183D" w:rsidP="00CC183D">
      <w:pPr>
        <w:pStyle w:val="BulletedList"/>
      </w:pPr>
      <w:r>
        <w:t>Review all unit standards and post in classroom</w:t>
      </w:r>
      <w:r w:rsidR="000F244E">
        <w:t>.</w:t>
      </w:r>
    </w:p>
    <w:p w14:paraId="28F7892F" w14:textId="77777777" w:rsidR="00CC183D" w:rsidRDefault="00CC183D" w:rsidP="00CC183D">
      <w:pPr>
        <w:rPr>
          <w:b/>
        </w:rPr>
      </w:pPr>
    </w:p>
    <w:p w14:paraId="3B569D53" w14:textId="77777777" w:rsidR="00CC183D" w:rsidRPr="008F708C" w:rsidRDefault="00CC183D" w:rsidP="000A0D39">
      <w:pPr>
        <w:keepNext/>
        <w:rPr>
          <w:b/>
        </w:rPr>
      </w:pPr>
      <w:r w:rsidRPr="008F708C">
        <w:rPr>
          <w:b/>
        </w:rPr>
        <w:t>Materials</w:t>
      </w:r>
      <w:r>
        <w:rPr>
          <w:b/>
        </w:rPr>
        <w:t xml:space="preserve"> and </w:t>
      </w:r>
      <w:r w:rsidRPr="008F708C">
        <w:rPr>
          <w:b/>
        </w:rPr>
        <w:t>Resources</w:t>
      </w:r>
    </w:p>
    <w:p w14:paraId="04DE5D69" w14:textId="77777777" w:rsidR="00CC183D" w:rsidRDefault="00CC183D" w:rsidP="00CC183D">
      <w:pPr>
        <w:pStyle w:val="BulletedList"/>
      </w:pPr>
      <w:r w:rsidRPr="007B5476">
        <w:t>Copies of the text</w:t>
      </w:r>
      <w:r>
        <w:t xml:space="preserve"> </w:t>
      </w:r>
      <w:r w:rsidR="007C5A3F">
        <w:t>“Yellow Woman and a Beauty of the Spirit”</w:t>
      </w:r>
      <w:r w:rsidR="00F61E99">
        <w:t xml:space="preserve"> by </w:t>
      </w:r>
      <w:r w:rsidR="007C5A3F">
        <w:t>Leslie Marmon Silko</w:t>
      </w:r>
    </w:p>
    <w:p w14:paraId="0D66BB1C" w14:textId="77777777" w:rsidR="00CC183D" w:rsidRPr="007B5476" w:rsidRDefault="00CC183D" w:rsidP="00CC183D">
      <w:pPr>
        <w:pStyle w:val="BulletedList"/>
      </w:pPr>
      <w:r w:rsidRPr="007B5476">
        <w:t>Writing utensils including pencils, pens, markers, and highlighters</w:t>
      </w:r>
    </w:p>
    <w:p w14:paraId="3924D6BF" w14:textId="77777777" w:rsidR="00CC183D" w:rsidRPr="007B5476" w:rsidRDefault="00CC183D" w:rsidP="00CC183D">
      <w:pPr>
        <w:pStyle w:val="BulletedList"/>
      </w:pPr>
      <w:r w:rsidRPr="007B5476">
        <w:t>Methods for collecting student work: student notebooks</w:t>
      </w:r>
      <w:r>
        <w:t>,</w:t>
      </w:r>
      <w:r w:rsidRPr="007B5476">
        <w:t xml:space="preserve"> folders</w:t>
      </w:r>
      <w:r>
        <w:t>, etc.</w:t>
      </w:r>
    </w:p>
    <w:p w14:paraId="554F325B" w14:textId="77777777" w:rsidR="00CC183D" w:rsidRDefault="00CC183D" w:rsidP="00CC183D">
      <w:pPr>
        <w:pStyle w:val="BulletedList"/>
      </w:pPr>
      <w:r w:rsidRPr="007B5476">
        <w:t>Access to technology (if possible): interactive whiteboard, document camera, and LCD projector</w:t>
      </w:r>
    </w:p>
    <w:p w14:paraId="6C1BA0EF" w14:textId="77777777" w:rsidR="000F244E" w:rsidRDefault="000F244E" w:rsidP="000F244E">
      <w:pPr>
        <w:pStyle w:val="BulletedList"/>
      </w:pPr>
      <w:r w:rsidRPr="007B5476">
        <w:t>S</w:t>
      </w:r>
      <w:r>
        <w:t>elf-stick</w:t>
      </w:r>
      <w:r w:rsidRPr="007B5476">
        <w:t xml:space="preserve"> notes for students</w:t>
      </w:r>
    </w:p>
    <w:p w14:paraId="1FC6B76A" w14:textId="77777777" w:rsidR="000F244E" w:rsidRPr="00F82963" w:rsidRDefault="000F244E" w:rsidP="000F244E">
      <w:pPr>
        <w:pStyle w:val="BulletedList"/>
      </w:pPr>
      <w:r w:rsidRPr="004B1FB3">
        <w:t>Copies of handouts and tools for each student: see materials list in individual lesson plans</w:t>
      </w:r>
    </w:p>
    <w:p w14:paraId="2331D886" w14:textId="77777777" w:rsidR="00CC183D" w:rsidRDefault="00CC183D" w:rsidP="00CC183D">
      <w:pPr>
        <w:pStyle w:val="BulletedList"/>
      </w:pPr>
      <w:bookmarkStart w:id="0" w:name="_GoBack"/>
      <w:bookmarkEnd w:id="0"/>
      <w:r>
        <w:t>Copies of the Short Response Rubric</w:t>
      </w:r>
      <w:r w:rsidR="006A2CC3">
        <w:t xml:space="preserve"> and Checklist</w:t>
      </w:r>
    </w:p>
    <w:p w14:paraId="4A4C428E" w14:textId="77777777" w:rsidR="002A6727" w:rsidRDefault="002A6727" w:rsidP="00CC183D">
      <w:pPr>
        <w:pStyle w:val="BulletedList"/>
      </w:pPr>
      <w:r>
        <w:t>Copies of the 12.1.2 End-of-Unit Text Analysis Rubric and C</w:t>
      </w:r>
      <w:r w:rsidR="004D091D">
        <w:t>h</w:t>
      </w:r>
      <w:r>
        <w:t>ecklist</w:t>
      </w:r>
    </w:p>
    <w:p w14:paraId="65B5B0C8" w14:textId="77777777" w:rsidR="00CC183D" w:rsidRDefault="0098577F" w:rsidP="00CC183D">
      <w:pPr>
        <w:pStyle w:val="BulletedList"/>
      </w:pPr>
      <w:r>
        <w:t>Copies of the Central Ideas Tracking Tool (optional)</w:t>
      </w:r>
    </w:p>
    <w:p w14:paraId="064BC2E0" w14:textId="77777777" w:rsidR="00CC183D" w:rsidRDefault="00CC183D" w:rsidP="00CC183D">
      <w:pPr>
        <w:pStyle w:val="BulletedList"/>
        <w:ind w:left="317" w:hanging="317"/>
      </w:pPr>
      <w:r>
        <w:t xml:space="preserve"> Copies of </w:t>
      </w:r>
      <w:r w:rsidR="007C5A3F">
        <w:t>12.1</w:t>
      </w:r>
      <w:r>
        <w:t xml:space="preserve"> Common Core Learning Standards Tool</w:t>
      </w:r>
      <w:r w:rsidR="00334CCD">
        <w:t xml:space="preserve"> (optional)</w:t>
      </w:r>
    </w:p>
    <w:sectPr w:rsidR="00CC183D" w:rsidSect="005E59CC">
      <w:headerReference w:type="default" r:id="rId7"/>
      <w:footerReference w:type="default" r:id="rId8"/>
      <w:pgSz w:w="12240" w:h="15840" w:code="1"/>
      <w:pgMar w:top="1440" w:right="1440" w:bottom="1440" w:left="1440" w:header="432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2C7B" w14:textId="77777777" w:rsidR="00A12BE0" w:rsidRDefault="00A12BE0">
      <w:r>
        <w:separator/>
      </w:r>
    </w:p>
  </w:endnote>
  <w:endnote w:type="continuationSeparator" w:id="0">
    <w:p w14:paraId="0F1F8AC7" w14:textId="77777777" w:rsidR="00A12BE0" w:rsidRDefault="00A1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97E4" w14:textId="77777777" w:rsidR="00A116D7" w:rsidRPr="00563CB8" w:rsidRDefault="00A116D7" w:rsidP="00CC183D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A116D7" w14:paraId="42716CAD" w14:textId="77777777">
      <w:trPr>
        <w:trHeight w:val="705"/>
      </w:trPr>
      <w:tc>
        <w:tcPr>
          <w:tcW w:w="4609" w:type="dxa"/>
          <w:tcBorders>
            <w:top w:val="single" w:sz="8" w:space="0" w:color="244061"/>
          </w:tcBorders>
          <w:vAlign w:val="center"/>
        </w:tcPr>
        <w:p w14:paraId="7B5BED9A" w14:textId="5E9542F7" w:rsidR="00A116D7" w:rsidRPr="00CC183D" w:rsidRDefault="00A116D7" w:rsidP="00CC183D">
          <w:pPr>
            <w:pStyle w:val="FooterText"/>
            <w:rPr>
              <w:rFonts w:ascii="Calibri" w:hAnsi="Calibri"/>
            </w:rPr>
          </w:pPr>
          <w:r w:rsidRPr="00CC183D">
            <w:rPr>
              <w:rFonts w:ascii="Calibri" w:hAnsi="Calibri"/>
            </w:rPr>
            <w:t xml:space="preserve">File: </w:t>
          </w:r>
          <w:r w:rsidR="00062140">
            <w:rPr>
              <w:rFonts w:ascii="Calibri" w:hAnsi="Calibri"/>
              <w:b w:val="0"/>
            </w:rPr>
            <w:t>12</w:t>
          </w:r>
          <w:r w:rsidRPr="001B2DAB">
            <w:rPr>
              <w:rFonts w:ascii="Calibri" w:hAnsi="Calibri"/>
              <w:b w:val="0"/>
            </w:rPr>
            <w:t>.</w:t>
          </w:r>
          <w:r w:rsidR="00062140">
            <w:rPr>
              <w:rFonts w:ascii="Calibri" w:hAnsi="Calibri"/>
              <w:b w:val="0"/>
            </w:rPr>
            <w:t>1</w:t>
          </w:r>
          <w:r w:rsidRPr="001B2DAB">
            <w:rPr>
              <w:rFonts w:ascii="Calibri" w:hAnsi="Calibri"/>
              <w:b w:val="0"/>
            </w:rPr>
            <w:t>.</w:t>
          </w:r>
          <w:r w:rsidR="00062140">
            <w:rPr>
              <w:rFonts w:ascii="Calibri" w:hAnsi="Calibri"/>
              <w:b w:val="0"/>
            </w:rPr>
            <w:t>2</w:t>
          </w:r>
          <w:r w:rsidRPr="001B2DAB">
            <w:rPr>
              <w:rFonts w:ascii="Calibri" w:hAnsi="Calibri"/>
              <w:b w:val="0"/>
            </w:rPr>
            <w:t xml:space="preserve"> </w:t>
          </w:r>
          <w:r>
            <w:rPr>
              <w:rFonts w:ascii="Calibri" w:hAnsi="Calibri"/>
              <w:b w:val="0"/>
            </w:rPr>
            <w:t xml:space="preserve">Unit </w:t>
          </w:r>
          <w:r w:rsidRPr="001B2DAB">
            <w:rPr>
              <w:rFonts w:ascii="Calibri" w:hAnsi="Calibri"/>
              <w:b w:val="0"/>
            </w:rPr>
            <w:t>Overview</w:t>
          </w:r>
          <w:r w:rsidRPr="00CC183D">
            <w:rPr>
              <w:rFonts w:ascii="Calibri" w:hAnsi="Calibri"/>
            </w:rPr>
            <w:t xml:space="preserve"> Date: </w:t>
          </w:r>
          <w:r w:rsidR="00062140">
            <w:rPr>
              <w:rFonts w:ascii="Calibri" w:hAnsi="Calibri"/>
            </w:rPr>
            <w:t>10</w:t>
          </w:r>
          <w:r w:rsidRPr="001B2DAB">
            <w:rPr>
              <w:rFonts w:ascii="Calibri" w:hAnsi="Calibri"/>
              <w:b w:val="0"/>
            </w:rPr>
            <w:t>/</w:t>
          </w:r>
          <w:r w:rsidR="00062140">
            <w:rPr>
              <w:rFonts w:ascii="Calibri" w:hAnsi="Calibri"/>
              <w:b w:val="0"/>
            </w:rPr>
            <w:t>17</w:t>
          </w:r>
          <w:r w:rsidRPr="001B2DAB">
            <w:rPr>
              <w:rFonts w:ascii="Calibri" w:hAnsi="Calibri"/>
              <w:b w:val="0"/>
            </w:rPr>
            <w:t>/14</w:t>
          </w:r>
          <w:r w:rsidRPr="00CC183D">
            <w:rPr>
              <w:rFonts w:ascii="Calibri" w:hAnsi="Calibri"/>
            </w:rPr>
            <w:t xml:space="preserve"> Classroom Use: </w:t>
          </w:r>
          <w:r w:rsidR="00062140">
            <w:rPr>
              <w:rFonts w:ascii="Calibri" w:hAnsi="Calibri"/>
              <w:b w:val="0"/>
            </w:rPr>
            <w:t>Starting 10</w:t>
          </w:r>
          <w:r w:rsidRPr="001B2DAB">
            <w:rPr>
              <w:rFonts w:ascii="Calibri" w:hAnsi="Calibri"/>
              <w:b w:val="0"/>
            </w:rPr>
            <w:t>/2014</w:t>
          </w:r>
          <w:r w:rsidRPr="00CC183D">
            <w:rPr>
              <w:rFonts w:ascii="Calibri" w:hAnsi="Calibri"/>
            </w:rPr>
            <w:t xml:space="preserve"> </w:t>
          </w:r>
        </w:p>
        <w:p w14:paraId="10B71CBE" w14:textId="77777777" w:rsidR="00A116D7" w:rsidRPr="001B2DAB" w:rsidRDefault="00A116D7" w:rsidP="00CC183D">
          <w:pPr>
            <w:pStyle w:val="FooterText"/>
            <w:rPr>
              <w:rFonts w:ascii="Calibri" w:hAnsi="Calibri"/>
              <w:b w:val="0"/>
              <w:i/>
              <w:sz w:val="12"/>
            </w:rPr>
          </w:pPr>
          <w:r w:rsidRPr="001B2DAB">
            <w:rPr>
              <w:rFonts w:ascii="Calibri" w:hAnsi="Calibri"/>
              <w:b w:val="0"/>
              <w:sz w:val="12"/>
            </w:rPr>
            <w:t xml:space="preserve">© 2014 Public Consulting Group. </w:t>
          </w:r>
          <w:r w:rsidRPr="001B2DAB">
            <w:rPr>
              <w:rFonts w:ascii="Calibri" w:hAnsi="Calibri"/>
              <w:b w:val="0"/>
              <w:i/>
              <w:sz w:val="12"/>
            </w:rPr>
            <w:t xml:space="preserve">This work is licensed under a </w:t>
          </w:r>
        </w:p>
        <w:p w14:paraId="5BD658CC" w14:textId="77777777" w:rsidR="00A116D7" w:rsidRPr="001B2DAB" w:rsidRDefault="00A116D7" w:rsidP="00CC183D">
          <w:pPr>
            <w:pStyle w:val="FooterText"/>
            <w:rPr>
              <w:rFonts w:ascii="Calibri" w:hAnsi="Calibri"/>
              <w:b w:val="0"/>
            </w:rPr>
          </w:pPr>
          <w:r w:rsidRPr="001B2DAB">
            <w:rPr>
              <w:rFonts w:ascii="Calibri" w:hAnsi="Calibri"/>
              <w:b w:val="0"/>
              <w:i/>
              <w:sz w:val="12"/>
            </w:rPr>
            <w:t>Creative Commons Attribution-NonCommercial-ShareAlike 3.0 Unported License</w:t>
          </w:r>
        </w:p>
        <w:p w14:paraId="491977A8" w14:textId="77777777" w:rsidR="00A116D7" w:rsidRPr="00CC183D" w:rsidRDefault="00A12BE0" w:rsidP="00CC183D">
          <w:pPr>
            <w:pStyle w:val="FooterText"/>
            <w:rPr>
              <w:rFonts w:ascii="Calibri" w:hAnsi="Calibri"/>
            </w:rPr>
          </w:pPr>
          <w:hyperlink r:id="rId1" w:history="1">
            <w:r w:rsidR="00A116D7" w:rsidRPr="00CC183D">
              <w:rPr>
                <w:rStyle w:val="Hyperlink"/>
                <w:rFonts w:ascii="Calibri" w:hAnsi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tcBorders>
            <w:top w:val="single" w:sz="8" w:space="0" w:color="244061"/>
          </w:tcBorders>
          <w:vAlign w:val="center"/>
        </w:tcPr>
        <w:p w14:paraId="711030EF" w14:textId="77777777" w:rsidR="00A116D7" w:rsidRPr="00714725" w:rsidRDefault="00A116D7" w:rsidP="00CC183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eastAsia="Calibri" w:hAnsi="Calibri" w:cs="Calibri"/>
              <w:b/>
              <w:sz w:val="14"/>
            </w:rPr>
          </w:pPr>
          <w:r w:rsidRPr="00714725">
            <w:rPr>
              <w:rFonts w:ascii="Calibri" w:eastAsia="Calibri" w:hAnsi="Calibri" w:cs="Calibri"/>
              <w:b/>
              <w:color w:val="1F4E79"/>
              <w:sz w:val="28"/>
            </w:rPr>
            <w:fldChar w:fldCharType="begin"/>
          </w:r>
          <w:r w:rsidRPr="00714725">
            <w:rPr>
              <w:rFonts w:ascii="Calibri" w:eastAsia="Calibri" w:hAnsi="Calibri" w:cs="Calibri"/>
              <w:b/>
              <w:color w:val="1F4E79"/>
              <w:sz w:val="28"/>
            </w:rPr>
            <w:instrText>PAGE</w:instrText>
          </w:r>
          <w:r w:rsidRPr="00714725">
            <w:rPr>
              <w:rFonts w:ascii="Calibri" w:eastAsia="Calibri" w:hAnsi="Calibri" w:cs="Calibri"/>
              <w:b/>
              <w:color w:val="1F4E79"/>
              <w:sz w:val="28"/>
            </w:rPr>
            <w:fldChar w:fldCharType="separate"/>
          </w:r>
          <w:r w:rsidR="000F244E">
            <w:rPr>
              <w:rFonts w:ascii="Calibri" w:eastAsia="Calibri" w:hAnsi="Calibri" w:cs="Calibri"/>
              <w:b/>
              <w:noProof/>
              <w:color w:val="1F4E79"/>
              <w:sz w:val="28"/>
            </w:rPr>
            <w:t>6</w:t>
          </w:r>
          <w:r w:rsidRPr="00714725">
            <w:rPr>
              <w:rFonts w:ascii="Calibri" w:eastAsia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tcBorders>
            <w:top w:val="single" w:sz="8" w:space="0" w:color="244061"/>
          </w:tcBorders>
          <w:vAlign w:val="bottom"/>
        </w:tcPr>
        <w:p w14:paraId="153236EA" w14:textId="77777777" w:rsidR="00A116D7" w:rsidRPr="00714725" w:rsidRDefault="00A116D7" w:rsidP="00CC183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eastAsia="Calibri" w:hAnsi="Calibri" w:cs="Calibri"/>
              <w:b/>
              <w:sz w:val="12"/>
              <w:szCs w:val="12"/>
            </w:rPr>
          </w:pPr>
          <w:r>
            <w:rPr>
              <w:rFonts w:ascii="Calibri" w:eastAsia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078041E" wp14:editId="0742BD28">
                <wp:extent cx="1685925" cy="638175"/>
                <wp:effectExtent l="0" t="0" r="9525" b="9525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2EF22" w14:textId="77777777" w:rsidR="00A116D7" w:rsidRPr="00677A89" w:rsidRDefault="00A116D7" w:rsidP="00CC1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1B7A" w14:textId="77777777" w:rsidR="00A12BE0" w:rsidRDefault="00A12BE0">
      <w:r>
        <w:separator/>
      </w:r>
    </w:p>
  </w:footnote>
  <w:footnote w:type="continuationSeparator" w:id="0">
    <w:p w14:paraId="1922CD32" w14:textId="77777777" w:rsidR="00A12BE0" w:rsidRDefault="00A1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tblLook w:val="04A0" w:firstRow="1" w:lastRow="0" w:firstColumn="1" w:lastColumn="0" w:noHBand="0" w:noVBand="1"/>
    </w:tblPr>
    <w:tblGrid>
      <w:gridCol w:w="3618"/>
      <w:gridCol w:w="2880"/>
      <w:gridCol w:w="3240"/>
    </w:tblGrid>
    <w:tr w:rsidR="00A116D7" w14:paraId="33757921" w14:textId="77777777">
      <w:tc>
        <w:tcPr>
          <w:tcW w:w="3618" w:type="dxa"/>
        </w:tcPr>
        <w:p w14:paraId="135C8382" w14:textId="77777777" w:rsidR="00A116D7" w:rsidRPr="00CC183D" w:rsidRDefault="00A116D7" w:rsidP="001B2DAB">
          <w:pPr>
            <w:pStyle w:val="PageHeader"/>
          </w:pPr>
          <w:r w:rsidRPr="00CC183D">
            <w:t>NYS Common Core ELA &amp; Literacy Curriculum</w:t>
          </w:r>
        </w:p>
      </w:tc>
      <w:tc>
        <w:tcPr>
          <w:tcW w:w="2880" w:type="dxa"/>
          <w:vAlign w:val="center"/>
        </w:tcPr>
        <w:p w14:paraId="5F2DD0B7" w14:textId="77777777" w:rsidR="00A116D7" w:rsidRPr="001B2DAB" w:rsidRDefault="00A116D7" w:rsidP="001B2DAB">
          <w:pPr>
            <w:jc w:val="center"/>
          </w:pPr>
          <w:r w:rsidRPr="001B2DAB">
            <w:t>D R A F T</w:t>
          </w:r>
        </w:p>
      </w:tc>
      <w:tc>
        <w:tcPr>
          <w:tcW w:w="3240" w:type="dxa"/>
        </w:tcPr>
        <w:p w14:paraId="7BACE90C" w14:textId="2D8F537B" w:rsidR="00A116D7" w:rsidRPr="001B2DAB" w:rsidRDefault="00A116D7" w:rsidP="009D36DA">
          <w:pPr>
            <w:pStyle w:val="PageHeader"/>
            <w:rPr>
              <w:b w:val="0"/>
            </w:rPr>
          </w:pPr>
          <w:r w:rsidRPr="001B2DAB">
            <w:rPr>
              <w:b w:val="0"/>
            </w:rPr>
            <w:t xml:space="preserve">Grade </w:t>
          </w:r>
          <w:r w:rsidR="009D36DA">
            <w:rPr>
              <w:b w:val="0"/>
            </w:rPr>
            <w:t>12</w:t>
          </w:r>
          <w:r w:rsidRPr="001B2DAB">
            <w:rPr>
              <w:b w:val="0"/>
            </w:rPr>
            <w:t xml:space="preserve"> • Module </w:t>
          </w:r>
          <w:r w:rsidR="009D36DA">
            <w:rPr>
              <w:b w:val="0"/>
            </w:rPr>
            <w:t>1</w:t>
          </w:r>
          <w:r w:rsidRPr="001B2DAB">
            <w:rPr>
              <w:b w:val="0"/>
            </w:rPr>
            <w:t xml:space="preserve"> • Unit </w:t>
          </w:r>
          <w:r w:rsidR="009D36DA">
            <w:rPr>
              <w:b w:val="0"/>
            </w:rPr>
            <w:t>2</w:t>
          </w:r>
          <w:r w:rsidRPr="001B2DAB">
            <w:rPr>
              <w:b w:val="0"/>
            </w:rPr>
            <w:t xml:space="preserve"> Overview</w:t>
          </w:r>
        </w:p>
      </w:tc>
    </w:tr>
  </w:tbl>
  <w:p w14:paraId="3CB4C5EC" w14:textId="77777777" w:rsidR="00A116D7" w:rsidRDefault="00A116D7" w:rsidP="001B2DAB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90F2E"/>
    <w:multiLevelType w:val="hybridMultilevel"/>
    <w:tmpl w:val="1D6AEB58"/>
    <w:lvl w:ilvl="0" w:tplc="C5282734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F6D"/>
    <w:multiLevelType w:val="hybridMultilevel"/>
    <w:tmpl w:val="ACF25D30"/>
    <w:lvl w:ilvl="0" w:tplc="F3521986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A7D83"/>
    <w:multiLevelType w:val="hybridMultilevel"/>
    <w:tmpl w:val="C5444146"/>
    <w:lvl w:ilvl="0" w:tplc="851623AE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447"/>
    <w:multiLevelType w:val="hybridMultilevel"/>
    <w:tmpl w:val="81CE2FA0"/>
    <w:lvl w:ilvl="0" w:tplc="79B4921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E1714"/>
    <w:multiLevelType w:val="hybridMultilevel"/>
    <w:tmpl w:val="DD3CE4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1732A"/>
    <w:multiLevelType w:val="hybridMultilevel"/>
    <w:tmpl w:val="F6B4E404"/>
    <w:lvl w:ilvl="0" w:tplc="07A45B7E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BF0778"/>
    <w:multiLevelType w:val="hybridMultilevel"/>
    <w:tmpl w:val="DD3CE4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94"/>
    <w:rsid w:val="00020E5E"/>
    <w:rsid w:val="00021658"/>
    <w:rsid w:val="00033D64"/>
    <w:rsid w:val="00044F44"/>
    <w:rsid w:val="00057628"/>
    <w:rsid w:val="00062140"/>
    <w:rsid w:val="000A0D39"/>
    <w:rsid w:val="000B1B86"/>
    <w:rsid w:val="000B58EB"/>
    <w:rsid w:val="000C3FB6"/>
    <w:rsid w:val="000D143E"/>
    <w:rsid w:val="000D5259"/>
    <w:rsid w:val="000F244E"/>
    <w:rsid w:val="000F7E0A"/>
    <w:rsid w:val="00114792"/>
    <w:rsid w:val="00126BD8"/>
    <w:rsid w:val="0013682A"/>
    <w:rsid w:val="001401D4"/>
    <w:rsid w:val="00147505"/>
    <w:rsid w:val="0015083C"/>
    <w:rsid w:val="0016235B"/>
    <w:rsid w:val="00180ECD"/>
    <w:rsid w:val="00186B0C"/>
    <w:rsid w:val="00186E2B"/>
    <w:rsid w:val="001B1DCE"/>
    <w:rsid w:val="001B2DAB"/>
    <w:rsid w:val="001D2E0D"/>
    <w:rsid w:val="001F7CAA"/>
    <w:rsid w:val="00221CE6"/>
    <w:rsid w:val="00236CD2"/>
    <w:rsid w:val="0024646A"/>
    <w:rsid w:val="00273971"/>
    <w:rsid w:val="00285B7F"/>
    <w:rsid w:val="002A0125"/>
    <w:rsid w:val="002A6727"/>
    <w:rsid w:val="002B10BA"/>
    <w:rsid w:val="002C2F16"/>
    <w:rsid w:val="002E3EEE"/>
    <w:rsid w:val="002F3805"/>
    <w:rsid w:val="00304815"/>
    <w:rsid w:val="003276A6"/>
    <w:rsid w:val="00334CCD"/>
    <w:rsid w:val="003478D3"/>
    <w:rsid w:val="003557B5"/>
    <w:rsid w:val="003605C6"/>
    <w:rsid w:val="00365ECC"/>
    <w:rsid w:val="00380705"/>
    <w:rsid w:val="003818EA"/>
    <w:rsid w:val="003E6A23"/>
    <w:rsid w:val="003E75C2"/>
    <w:rsid w:val="00401E53"/>
    <w:rsid w:val="00403F58"/>
    <w:rsid w:val="0040724F"/>
    <w:rsid w:val="00437454"/>
    <w:rsid w:val="00456406"/>
    <w:rsid w:val="0046534D"/>
    <w:rsid w:val="00467DEB"/>
    <w:rsid w:val="00481F23"/>
    <w:rsid w:val="00481F54"/>
    <w:rsid w:val="004825CC"/>
    <w:rsid w:val="00482ACD"/>
    <w:rsid w:val="004A0AAE"/>
    <w:rsid w:val="004A0AFD"/>
    <w:rsid w:val="004C61C1"/>
    <w:rsid w:val="004D091D"/>
    <w:rsid w:val="00526031"/>
    <w:rsid w:val="00545953"/>
    <w:rsid w:val="00571820"/>
    <w:rsid w:val="0057310F"/>
    <w:rsid w:val="005A3900"/>
    <w:rsid w:val="005D1421"/>
    <w:rsid w:val="005D16B3"/>
    <w:rsid w:val="005E0B8F"/>
    <w:rsid w:val="005E59CC"/>
    <w:rsid w:val="005F6C07"/>
    <w:rsid w:val="006075A3"/>
    <w:rsid w:val="006240CD"/>
    <w:rsid w:val="0063531D"/>
    <w:rsid w:val="00670791"/>
    <w:rsid w:val="006A2CC3"/>
    <w:rsid w:val="006A7BD3"/>
    <w:rsid w:val="006C7B58"/>
    <w:rsid w:val="006D551E"/>
    <w:rsid w:val="006D7712"/>
    <w:rsid w:val="006E5A50"/>
    <w:rsid w:val="006E5E8E"/>
    <w:rsid w:val="00710B85"/>
    <w:rsid w:val="00714725"/>
    <w:rsid w:val="00717680"/>
    <w:rsid w:val="007413C3"/>
    <w:rsid w:val="007459F5"/>
    <w:rsid w:val="007572E8"/>
    <w:rsid w:val="007572EF"/>
    <w:rsid w:val="00757FE3"/>
    <w:rsid w:val="00775EB5"/>
    <w:rsid w:val="00790289"/>
    <w:rsid w:val="0079797A"/>
    <w:rsid w:val="007A12D1"/>
    <w:rsid w:val="007A6556"/>
    <w:rsid w:val="007C092E"/>
    <w:rsid w:val="007C5116"/>
    <w:rsid w:val="007C5A3F"/>
    <w:rsid w:val="007F04B0"/>
    <w:rsid w:val="007F2769"/>
    <w:rsid w:val="007F62CE"/>
    <w:rsid w:val="00823547"/>
    <w:rsid w:val="00825811"/>
    <w:rsid w:val="00832EA1"/>
    <w:rsid w:val="008416F9"/>
    <w:rsid w:val="00860549"/>
    <w:rsid w:val="00863658"/>
    <w:rsid w:val="00890BA9"/>
    <w:rsid w:val="008A18EF"/>
    <w:rsid w:val="008B2D2F"/>
    <w:rsid w:val="008C3A2D"/>
    <w:rsid w:val="008C7F82"/>
    <w:rsid w:val="008D1E3C"/>
    <w:rsid w:val="008F0563"/>
    <w:rsid w:val="009128BB"/>
    <w:rsid w:val="009549E5"/>
    <w:rsid w:val="00961784"/>
    <w:rsid w:val="0098577F"/>
    <w:rsid w:val="009A4842"/>
    <w:rsid w:val="009D36DA"/>
    <w:rsid w:val="009D5A08"/>
    <w:rsid w:val="00A072E5"/>
    <w:rsid w:val="00A116D7"/>
    <w:rsid w:val="00A12BE0"/>
    <w:rsid w:val="00A32330"/>
    <w:rsid w:val="00A32DB0"/>
    <w:rsid w:val="00A43357"/>
    <w:rsid w:val="00A5034F"/>
    <w:rsid w:val="00A57E40"/>
    <w:rsid w:val="00A840BA"/>
    <w:rsid w:val="00A9052F"/>
    <w:rsid w:val="00A919FC"/>
    <w:rsid w:val="00A95045"/>
    <w:rsid w:val="00A95B36"/>
    <w:rsid w:val="00AA5445"/>
    <w:rsid w:val="00AB1D8A"/>
    <w:rsid w:val="00AC6239"/>
    <w:rsid w:val="00AC73C5"/>
    <w:rsid w:val="00AE078B"/>
    <w:rsid w:val="00AE1617"/>
    <w:rsid w:val="00AF57A9"/>
    <w:rsid w:val="00B26C62"/>
    <w:rsid w:val="00B350B9"/>
    <w:rsid w:val="00B54A92"/>
    <w:rsid w:val="00B55454"/>
    <w:rsid w:val="00B5548D"/>
    <w:rsid w:val="00B64A45"/>
    <w:rsid w:val="00B8079A"/>
    <w:rsid w:val="00B979E1"/>
    <w:rsid w:val="00BA4F2E"/>
    <w:rsid w:val="00BB004C"/>
    <w:rsid w:val="00BB0DA8"/>
    <w:rsid w:val="00BD17DA"/>
    <w:rsid w:val="00BF5689"/>
    <w:rsid w:val="00C04900"/>
    <w:rsid w:val="00C07C95"/>
    <w:rsid w:val="00C1704F"/>
    <w:rsid w:val="00C2212B"/>
    <w:rsid w:val="00C46F19"/>
    <w:rsid w:val="00C479AC"/>
    <w:rsid w:val="00C526EB"/>
    <w:rsid w:val="00C668F5"/>
    <w:rsid w:val="00C70FA1"/>
    <w:rsid w:val="00C80854"/>
    <w:rsid w:val="00C86814"/>
    <w:rsid w:val="00C86FB8"/>
    <w:rsid w:val="00CA5434"/>
    <w:rsid w:val="00CB6A31"/>
    <w:rsid w:val="00CC183D"/>
    <w:rsid w:val="00CC1A1A"/>
    <w:rsid w:val="00CC7608"/>
    <w:rsid w:val="00CE2983"/>
    <w:rsid w:val="00CF655F"/>
    <w:rsid w:val="00D05330"/>
    <w:rsid w:val="00D1172B"/>
    <w:rsid w:val="00D12A5F"/>
    <w:rsid w:val="00D221F6"/>
    <w:rsid w:val="00D24DC7"/>
    <w:rsid w:val="00D315B5"/>
    <w:rsid w:val="00D34B4A"/>
    <w:rsid w:val="00D5683A"/>
    <w:rsid w:val="00D57EEA"/>
    <w:rsid w:val="00D6563F"/>
    <w:rsid w:val="00D7671C"/>
    <w:rsid w:val="00D84FF3"/>
    <w:rsid w:val="00D87C94"/>
    <w:rsid w:val="00D95BC8"/>
    <w:rsid w:val="00DC17A8"/>
    <w:rsid w:val="00DD0021"/>
    <w:rsid w:val="00DD1309"/>
    <w:rsid w:val="00DD6161"/>
    <w:rsid w:val="00DF0B36"/>
    <w:rsid w:val="00DF3B3E"/>
    <w:rsid w:val="00DF6DE1"/>
    <w:rsid w:val="00E00FDB"/>
    <w:rsid w:val="00E06A89"/>
    <w:rsid w:val="00E15F79"/>
    <w:rsid w:val="00E2484B"/>
    <w:rsid w:val="00E33A51"/>
    <w:rsid w:val="00E469D3"/>
    <w:rsid w:val="00E75803"/>
    <w:rsid w:val="00E85F86"/>
    <w:rsid w:val="00E864E2"/>
    <w:rsid w:val="00E953CC"/>
    <w:rsid w:val="00EA505E"/>
    <w:rsid w:val="00EC4997"/>
    <w:rsid w:val="00EC65BB"/>
    <w:rsid w:val="00ED2107"/>
    <w:rsid w:val="00ED6589"/>
    <w:rsid w:val="00F05E03"/>
    <w:rsid w:val="00F45C1C"/>
    <w:rsid w:val="00F50FEE"/>
    <w:rsid w:val="00F61E99"/>
    <w:rsid w:val="00F6222F"/>
    <w:rsid w:val="00F63ACD"/>
    <w:rsid w:val="00FA0AD8"/>
    <w:rsid w:val="00FA1E2C"/>
    <w:rsid w:val="00FA44F9"/>
    <w:rsid w:val="00FB532C"/>
    <w:rsid w:val="00FB7F18"/>
    <w:rsid w:val="00FC641E"/>
    <w:rsid w:val="00FD514A"/>
    <w:rsid w:val="00FE4771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BCD03"/>
  <w15:docId w15:val="{0F22D81D-0CCA-488F-BC42-F91ADDF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1B2DAB"/>
    <w:pPr>
      <w:spacing w:before="60" w:after="180" w:line="276" w:lineRule="auto"/>
    </w:pPr>
    <w:rPr>
      <w:rFonts w:eastAsia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1B2DAB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3B0BAE"/>
    <w:pPr>
      <w:spacing w:before="360"/>
      <w:outlineLvl w:val="1"/>
    </w:pPr>
    <w:rPr>
      <w:rFonts w:ascii="Cambria" w:eastAsia="MS Gothic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3B0BAE"/>
    <w:pPr>
      <w:spacing w:before="200" w:after="120"/>
      <w:outlineLvl w:val="2"/>
    </w:pPr>
    <w:rPr>
      <w:rFonts w:ascii="Cambria" w:eastAsia="MS Gothic" w:hAnsi="Cambria" w:cs="Times New Roman"/>
      <w:b/>
      <w:bCs/>
      <w:color w:val="auto"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3B0BAE"/>
    <w:pPr>
      <w:spacing w:before="240" w:after="60"/>
      <w:outlineLvl w:val="3"/>
    </w:pPr>
    <w:rPr>
      <w:rFonts w:eastAsia="MS Mincho" w:cs="Times New Roman"/>
      <w:b/>
      <w:bCs/>
      <w:color w:val="auto"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3B0BAE"/>
    <w:pPr>
      <w:spacing w:before="220" w:after="40"/>
      <w:contextualSpacing/>
      <w:outlineLvl w:val="4"/>
    </w:pPr>
    <w:rPr>
      <w:rFonts w:eastAsia="MS Mincho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"/>
    <w:qFormat/>
    <w:rsid w:val="003B0BAE"/>
    <w:pPr>
      <w:spacing w:before="200" w:after="40"/>
      <w:contextualSpacing/>
      <w:outlineLvl w:val="5"/>
    </w:pPr>
    <w:rPr>
      <w:rFonts w:eastAsia="MS Mincho" w:cs="Times New Roman"/>
      <w:b/>
      <w:bCs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1B2DAB"/>
    <w:rPr>
      <w:rFonts w:eastAsia="Calibr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2108F5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08F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08F5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08F5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08F5"/>
    <w:rPr>
      <w:rFonts w:ascii="Calibri" w:eastAsia="MS Mincho" w:hAnsi="Calibri" w:cs="Times New Roman"/>
      <w:b/>
      <w:bCs/>
      <w:sz w:val="22"/>
      <w:szCs w:val="22"/>
    </w:rPr>
  </w:style>
  <w:style w:type="paragraph" w:customStyle="1" w:styleId="Normal1">
    <w:name w:val="Normal1"/>
    <w:rsid w:val="003B0BAE"/>
    <w:rPr>
      <w:rFonts w:eastAsia="Times New Roman" w:cs="Calibri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link w:val="TitleChar"/>
    <w:uiPriority w:val="10"/>
    <w:qFormat/>
    <w:rsid w:val="003B0BAE"/>
    <w:pPr>
      <w:spacing w:after="300"/>
    </w:pPr>
    <w:rPr>
      <w:rFonts w:ascii="Cambria" w:eastAsia="MS Gothic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8F5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11"/>
    <w:qFormat/>
    <w:rsid w:val="003B0BAE"/>
    <w:pPr>
      <w:spacing w:before="360" w:after="80"/>
      <w:contextualSpacing/>
    </w:pPr>
    <w:rPr>
      <w:rFonts w:ascii="Cambria" w:eastAsia="MS Gothic" w:hAnsi="Cambria" w:cs="Times New Roman"/>
      <w:color w:val="auto"/>
      <w:sz w:val="24"/>
    </w:rPr>
  </w:style>
  <w:style w:type="character" w:customStyle="1" w:styleId="SubtitleChar">
    <w:name w:val="Subtitle Char"/>
    <w:link w:val="Subtitle"/>
    <w:uiPriority w:val="11"/>
    <w:rsid w:val="002108F5"/>
    <w:rPr>
      <w:rFonts w:ascii="Cambria" w:eastAsia="MS Gothic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D2A"/>
    <w:pPr>
      <w:tabs>
        <w:tab w:val="center" w:pos="4680"/>
        <w:tab w:val="right" w:pos="9360"/>
      </w:tabs>
    </w:pPr>
    <w:rPr>
      <w:rFonts w:eastAsia="MS ??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1D2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61D2A"/>
    <w:pPr>
      <w:tabs>
        <w:tab w:val="center" w:pos="4680"/>
        <w:tab w:val="right" w:pos="9360"/>
      </w:tabs>
    </w:pPr>
    <w:rPr>
      <w:rFonts w:eastAsia="MS ??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1D2A"/>
    <w:rPr>
      <w:rFonts w:cs="Times New Roman"/>
    </w:rPr>
  </w:style>
  <w:style w:type="table" w:styleId="TableGrid">
    <w:name w:val="Table Grid"/>
    <w:basedOn w:val="TableNormal"/>
    <w:uiPriority w:val="59"/>
    <w:rsid w:val="00061D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1D2A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locked/>
    <w:rsid w:val="00061D2A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italics">
    <w:name w:val="italics"/>
    <w:rsid w:val="00061D2A"/>
    <w:rPr>
      <w:rFonts w:cs="Times New Roman"/>
      <w:bCs/>
      <w:i/>
    </w:rPr>
  </w:style>
  <w:style w:type="paragraph" w:customStyle="1" w:styleId="Header-banner">
    <w:name w:val="Header-banner"/>
    <w:qFormat/>
    <w:rsid w:val="00061D2A"/>
    <w:pPr>
      <w:ind w:left="43" w:right="43"/>
      <w:jc w:val="center"/>
    </w:pPr>
    <w:rPr>
      <w:rFonts w:ascii="Cambria" w:eastAsia="Times New Roman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qFormat/>
    <w:rsid w:val="00061D2A"/>
    <w:pPr>
      <w:spacing w:line="440" w:lineRule="exact"/>
      <w:jc w:val="left"/>
    </w:pPr>
    <w:rPr>
      <w:caps w:val="0"/>
    </w:rPr>
  </w:style>
  <w:style w:type="paragraph" w:customStyle="1" w:styleId="Heading1nospace">
    <w:name w:val="Heading 1 no space"/>
    <w:basedOn w:val="Heading1"/>
    <w:qFormat/>
    <w:rsid w:val="00677A89"/>
    <w:pPr>
      <w:spacing w:before="0" w:line="460" w:lineRule="exact"/>
      <w:jc w:val="center"/>
    </w:pPr>
    <w:rPr>
      <w:bCs w:val="0"/>
      <w:color w:val="244061"/>
      <w:sz w:val="40"/>
      <w:szCs w:val="36"/>
    </w:rPr>
  </w:style>
  <w:style w:type="character" w:customStyle="1" w:styleId="PlainTable41">
    <w:name w:val="Plain Table 41"/>
    <w:uiPriority w:val="21"/>
    <w:qFormat/>
    <w:rsid w:val="00342015"/>
    <w:rPr>
      <w:rFonts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342015"/>
    <w:rPr>
      <w:color w:val="0000FF"/>
      <w:u w:val="single"/>
    </w:rPr>
  </w:style>
  <w:style w:type="paragraph" w:customStyle="1" w:styleId="folio">
    <w:name w:val="folio"/>
    <w:basedOn w:val="Normal"/>
    <w:link w:val="folioChar"/>
    <w:qFormat/>
    <w:rsid w:val="0034201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Times New Roman" w:hAnsi="Verdana"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15"/>
    <w:rPr>
      <w:rFonts w:ascii="Tahoma" w:eastAsia="MS ??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2015"/>
    <w:rPr>
      <w:rFonts w:ascii="Tahoma" w:hAnsi="Tahoma" w:cs="Tahoma"/>
      <w:sz w:val="16"/>
      <w:szCs w:val="16"/>
    </w:rPr>
  </w:style>
  <w:style w:type="paragraph" w:customStyle="1" w:styleId="NYStandards">
    <w:name w:val="NYStandards"/>
    <w:basedOn w:val="Normal"/>
    <w:link w:val="NYStandardsChar"/>
    <w:uiPriority w:val="1"/>
    <w:qFormat/>
    <w:rsid w:val="00982E0A"/>
    <w:pPr>
      <w:tabs>
        <w:tab w:val="left" w:pos="720"/>
      </w:tabs>
      <w:spacing w:before="120"/>
      <w:ind w:left="720" w:hanging="720"/>
    </w:pPr>
    <w:rPr>
      <w:rFonts w:eastAsia="Times New Roman"/>
      <w:szCs w:val="20"/>
    </w:rPr>
  </w:style>
  <w:style w:type="character" w:customStyle="1" w:styleId="NYStandardsChar">
    <w:name w:val="NYStandards Char"/>
    <w:link w:val="NYStandards"/>
    <w:uiPriority w:val="1"/>
    <w:locked/>
    <w:rsid w:val="00982E0A"/>
    <w:rPr>
      <w:rFonts w:ascii="Calibri" w:eastAsia="Times New Roman" w:hAnsi="Calibri"/>
      <w:sz w:val="22"/>
    </w:rPr>
  </w:style>
  <w:style w:type="character" w:styleId="CommentReference">
    <w:name w:val="annotation reference"/>
    <w:uiPriority w:val="99"/>
    <w:semiHidden/>
    <w:unhideWhenUsed/>
    <w:rsid w:val="005B1B5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50"/>
    <w:rPr>
      <w:rFonts w:eastAsia="MS ??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B1B5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B1B50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613BC"/>
    <w:rPr>
      <w:sz w:val="24"/>
      <w:szCs w:val="24"/>
      <w:lang w:eastAsia="ja-JP"/>
    </w:rPr>
  </w:style>
  <w:style w:type="paragraph" w:customStyle="1" w:styleId="MediumGrid21">
    <w:name w:val="Medium Grid 21"/>
    <w:uiPriority w:val="1"/>
    <w:qFormat/>
    <w:rsid w:val="00BA26CC"/>
    <w:rPr>
      <w:sz w:val="24"/>
      <w:szCs w:val="24"/>
      <w:lang w:eastAsia="ja-JP"/>
    </w:rPr>
  </w:style>
  <w:style w:type="paragraph" w:customStyle="1" w:styleId="BR">
    <w:name w:val="*BR*"/>
    <w:qFormat/>
    <w:rsid w:val="00A10227"/>
    <w:pPr>
      <w:pBdr>
        <w:bottom w:val="single" w:sz="12" w:space="1" w:color="7F7F7F"/>
      </w:pBdr>
      <w:spacing w:after="360"/>
      <w:ind w:left="2880" w:right="2880"/>
    </w:pPr>
    <w:rPr>
      <w:rFonts w:eastAsia="Times New Roman"/>
      <w:sz w:val="18"/>
      <w:szCs w:val="22"/>
    </w:rPr>
  </w:style>
  <w:style w:type="paragraph" w:customStyle="1" w:styleId="BulletedList">
    <w:name w:val="*Bulleted List"/>
    <w:link w:val="BulletedListChar"/>
    <w:qFormat/>
    <w:rsid w:val="00677A89"/>
    <w:pPr>
      <w:numPr>
        <w:numId w:val="1"/>
      </w:numPr>
      <w:spacing w:before="60" w:after="60" w:line="276" w:lineRule="auto"/>
    </w:pPr>
    <w:rPr>
      <w:rFonts w:eastAsia="Times New Roman"/>
      <w:sz w:val="22"/>
      <w:szCs w:val="22"/>
    </w:rPr>
  </w:style>
  <w:style w:type="paragraph" w:customStyle="1" w:styleId="FooterText">
    <w:name w:val="*FooterText"/>
    <w:link w:val="FooterTextChar"/>
    <w:qFormat/>
    <w:rsid w:val="00A10227"/>
    <w:pPr>
      <w:spacing w:line="200" w:lineRule="exact"/>
    </w:pPr>
    <w:rPr>
      <w:rFonts w:ascii="Verdana" w:eastAsia="Times New Roman" w:hAnsi="Verdana" w:cs="Calibri"/>
      <w:b/>
      <w:color w:val="595959"/>
      <w:sz w:val="14"/>
      <w:szCs w:val="22"/>
    </w:rPr>
  </w:style>
  <w:style w:type="paragraph" w:customStyle="1" w:styleId="IN">
    <w:name w:val="*IN*"/>
    <w:qFormat/>
    <w:rsid w:val="00A10227"/>
    <w:pPr>
      <w:numPr>
        <w:numId w:val="2"/>
      </w:numPr>
      <w:spacing w:before="120" w:after="60" w:line="276" w:lineRule="auto"/>
    </w:pPr>
    <w:rPr>
      <w:rFonts w:eastAsia="Times New Roman"/>
      <w:color w:val="4F81BD"/>
      <w:sz w:val="22"/>
      <w:szCs w:val="22"/>
    </w:rPr>
  </w:style>
  <w:style w:type="paragraph" w:customStyle="1" w:styleId="INBullet">
    <w:name w:val="*IN* Bullet"/>
    <w:qFormat/>
    <w:rsid w:val="00A10227"/>
    <w:pPr>
      <w:numPr>
        <w:numId w:val="3"/>
      </w:numPr>
      <w:spacing w:after="60" w:line="276" w:lineRule="auto"/>
    </w:pPr>
    <w:rPr>
      <w:rFonts w:eastAsia="Times New Roman"/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qFormat/>
    <w:rsid w:val="00A10227"/>
    <w:pPr>
      <w:pBdr>
        <w:bottom w:val="single" w:sz="12" w:space="1" w:color="9BBB59"/>
      </w:pBdr>
      <w:tabs>
        <w:tab w:val="right" w:pos="9360"/>
      </w:tabs>
      <w:spacing w:before="480"/>
    </w:pPr>
    <w:rPr>
      <w:rFonts w:eastAsia="Times New Roman"/>
      <w:b/>
      <w:bCs/>
      <w:color w:val="4F81BD"/>
      <w:sz w:val="28"/>
      <w:szCs w:val="26"/>
    </w:rPr>
  </w:style>
  <w:style w:type="paragraph" w:customStyle="1" w:styleId="NumberedList">
    <w:name w:val="*Numbered List"/>
    <w:qFormat/>
    <w:rsid w:val="00A10227"/>
    <w:pPr>
      <w:numPr>
        <w:numId w:val="4"/>
      </w:numPr>
      <w:spacing w:after="60"/>
    </w:pPr>
    <w:rPr>
      <w:rFonts w:eastAsia="Times New Roman"/>
      <w:sz w:val="22"/>
      <w:szCs w:val="22"/>
    </w:rPr>
  </w:style>
  <w:style w:type="paragraph" w:customStyle="1" w:styleId="PageHeader">
    <w:name w:val="*PageHeader"/>
    <w:qFormat/>
    <w:rsid w:val="00A10227"/>
    <w:rPr>
      <w:rFonts w:eastAsia="Times New Roman"/>
      <w:b/>
      <w:sz w:val="18"/>
      <w:szCs w:val="22"/>
    </w:rPr>
  </w:style>
  <w:style w:type="paragraph" w:customStyle="1" w:styleId="Q">
    <w:name w:val="*Q*"/>
    <w:qFormat/>
    <w:rsid w:val="00A10227"/>
    <w:pPr>
      <w:spacing w:before="240" w:line="276" w:lineRule="auto"/>
    </w:pPr>
    <w:rPr>
      <w:rFonts w:eastAsia="Times New Roman"/>
      <w:b/>
      <w:sz w:val="22"/>
      <w:szCs w:val="22"/>
    </w:rPr>
  </w:style>
  <w:style w:type="paragraph" w:customStyle="1" w:styleId="SA">
    <w:name w:val="*SA*"/>
    <w:qFormat/>
    <w:rsid w:val="00A10227"/>
    <w:pPr>
      <w:numPr>
        <w:numId w:val="5"/>
      </w:numPr>
      <w:spacing w:before="120" w:line="276" w:lineRule="auto"/>
    </w:pPr>
    <w:rPr>
      <w:rFonts w:eastAsia="Times New Roman"/>
      <w:sz w:val="22"/>
      <w:szCs w:val="22"/>
    </w:rPr>
  </w:style>
  <w:style w:type="paragraph" w:customStyle="1" w:styleId="SASRBullet">
    <w:name w:val="*SA/SR Bullet"/>
    <w:basedOn w:val="Normal"/>
    <w:qFormat/>
    <w:rsid w:val="00A10227"/>
    <w:pPr>
      <w:numPr>
        <w:ilvl w:val="1"/>
        <w:numId w:val="6"/>
      </w:numPr>
      <w:spacing w:before="120"/>
      <w:contextualSpacing/>
    </w:pPr>
  </w:style>
  <w:style w:type="paragraph" w:customStyle="1" w:styleId="SR">
    <w:name w:val="*SR*"/>
    <w:qFormat/>
    <w:rsid w:val="00A10227"/>
    <w:pPr>
      <w:numPr>
        <w:numId w:val="7"/>
      </w:numPr>
      <w:spacing w:before="120" w:line="276" w:lineRule="auto"/>
    </w:pPr>
    <w:rPr>
      <w:rFonts w:eastAsia="Times New Roman"/>
      <w:sz w:val="22"/>
      <w:szCs w:val="22"/>
    </w:rPr>
  </w:style>
  <w:style w:type="paragraph" w:customStyle="1" w:styleId="TA">
    <w:name w:val="*TA*"/>
    <w:basedOn w:val="Normal"/>
    <w:qFormat/>
    <w:rsid w:val="00A10227"/>
    <w:pPr>
      <w:spacing w:before="240"/>
    </w:pPr>
  </w:style>
  <w:style w:type="paragraph" w:customStyle="1" w:styleId="TableHeaders">
    <w:name w:val="*TableHeaders"/>
    <w:basedOn w:val="Normal"/>
    <w:link w:val="TableHeadersChar"/>
    <w:qFormat/>
    <w:rsid w:val="001B2DAB"/>
    <w:pPr>
      <w:spacing w:before="40" w:after="40" w:line="240" w:lineRule="auto"/>
    </w:pPr>
    <w:rPr>
      <w:b/>
      <w:color w:val="FFFFFF"/>
    </w:rPr>
  </w:style>
  <w:style w:type="paragraph" w:customStyle="1" w:styleId="ToolHeader">
    <w:name w:val="*ToolHeader"/>
    <w:qFormat/>
    <w:rsid w:val="00A10227"/>
    <w:pPr>
      <w:spacing w:after="120"/>
    </w:pPr>
    <w:rPr>
      <w:rFonts w:eastAsia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A10227"/>
    <w:pPr>
      <w:spacing w:before="40" w:after="120"/>
    </w:pPr>
    <w:rPr>
      <w:rFonts w:eastAsia="Times New Roman"/>
      <w:sz w:val="22"/>
      <w:szCs w:val="22"/>
    </w:rPr>
  </w:style>
  <w:style w:type="character" w:customStyle="1" w:styleId="folioChar">
    <w:name w:val="folio Char"/>
    <w:link w:val="folio"/>
    <w:locked/>
    <w:rsid w:val="00677A89"/>
    <w:rPr>
      <w:rFonts w:ascii="Verdana" w:eastAsia="Times New Roman" w:hAnsi="Verdana" w:cs="Verdana"/>
      <w:color w:val="595959"/>
      <w:sz w:val="20"/>
      <w:szCs w:val="20"/>
      <w:lang w:eastAsia="en-US"/>
    </w:rPr>
  </w:style>
  <w:style w:type="character" w:customStyle="1" w:styleId="FooterTextChar">
    <w:name w:val="FooterText Char"/>
    <w:link w:val="FooterText"/>
    <w:locked/>
    <w:rsid w:val="00677A89"/>
    <w:rPr>
      <w:rFonts w:ascii="Verdana" w:eastAsia="Times New Roman" w:hAnsi="Verdana" w:cs="Calibri"/>
      <w:b/>
      <w:color w:val="595959"/>
      <w:sz w:val="14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6D3F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77C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</w:rPr>
  </w:style>
  <w:style w:type="paragraph" w:customStyle="1" w:styleId="Normal2">
    <w:name w:val="Normal2"/>
    <w:rsid w:val="00CB1DD3"/>
    <w:rPr>
      <w:rFonts w:ascii="Cambria" w:eastAsia="Times New Roman" w:hAnsi="Cambria" w:cs="Cambria"/>
      <w:color w:val="000000"/>
      <w:sz w:val="24"/>
      <w:szCs w:val="22"/>
    </w:rPr>
  </w:style>
  <w:style w:type="paragraph" w:customStyle="1" w:styleId="TableText">
    <w:name w:val="*TableText"/>
    <w:link w:val="TableTextChar"/>
    <w:qFormat/>
    <w:rsid w:val="001B2DAB"/>
    <w:pPr>
      <w:spacing w:before="40" w:after="40" w:line="276" w:lineRule="auto"/>
    </w:pPr>
    <w:rPr>
      <w:rFonts w:eastAsia="Calibri"/>
      <w:sz w:val="22"/>
      <w:szCs w:val="22"/>
    </w:rPr>
  </w:style>
  <w:style w:type="character" w:customStyle="1" w:styleId="TableTextChar">
    <w:name w:val="*TableText Char"/>
    <w:link w:val="TableText"/>
    <w:locked/>
    <w:rsid w:val="001B2DAB"/>
    <w:rPr>
      <w:rFonts w:eastAsia="Calibri"/>
      <w:sz w:val="22"/>
      <w:szCs w:val="22"/>
      <w:lang w:bidi="ar-SA"/>
    </w:rPr>
  </w:style>
  <w:style w:type="character" w:customStyle="1" w:styleId="BulletedListChar">
    <w:name w:val="*Bulleted List Char"/>
    <w:link w:val="BulletedList"/>
    <w:locked/>
    <w:rsid w:val="00426E1B"/>
    <w:rPr>
      <w:rFonts w:eastAsia="Times New Roman"/>
      <w:sz w:val="22"/>
      <w:szCs w:val="22"/>
    </w:rPr>
  </w:style>
  <w:style w:type="character" w:customStyle="1" w:styleId="TableHeadersChar">
    <w:name w:val="*TableHeaders Char"/>
    <w:link w:val="TableHeaders"/>
    <w:rsid w:val="001B2DAB"/>
    <w:rPr>
      <w:rFonts w:eastAsia="Calibri"/>
      <w:b/>
      <w:color w:val="FFFFFF"/>
      <w:sz w:val="22"/>
      <w:szCs w:val="22"/>
    </w:rPr>
  </w:style>
  <w:style w:type="paragraph" w:styleId="Revision">
    <w:name w:val="Revision"/>
    <w:hidden/>
    <w:uiPriority w:val="99"/>
    <w:semiHidden/>
    <w:rsid w:val="00285B7F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15083C"/>
    <w:rPr>
      <w:rFonts w:eastAsia="Calibri"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E7580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E75803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304815"/>
    <w:pPr>
      <w:numPr>
        <w:numId w:val="8"/>
      </w:numPr>
    </w:pPr>
  </w:style>
  <w:style w:type="character" w:customStyle="1" w:styleId="SubStandardChar">
    <w:name w:val="*SubStandard Char"/>
    <w:basedOn w:val="TableTextChar"/>
    <w:link w:val="SubStandard"/>
    <w:rsid w:val="00D24DC7"/>
    <w:rPr>
      <w:rFonts w:eastAsia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2014-10-14T17:27:00Z</cp:lastPrinted>
  <dcterms:created xsi:type="dcterms:W3CDTF">2014-10-17T16:53:00Z</dcterms:created>
  <dcterms:modified xsi:type="dcterms:W3CDTF">2014-10-17T16:53:00Z</dcterms:modified>
</cp:coreProperties>
</file>