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Borders>
          <w:insideH w:val="single" w:sz="18" w:space="0" w:color="FFFFFF" w:themeColor="background1"/>
          <w:insideV w:val="single" w:sz="18" w:space="0" w:color="FFFFFF" w:themeColor="background1"/>
        </w:tblBorders>
        <w:shd w:val="clear" w:color="1F497D" w:themeColor="text2" w:fill="244061" w:themeFill="accent1" w:themeFillShade="80"/>
        <w:tblLook w:val="00A0" w:firstRow="1" w:lastRow="0" w:firstColumn="1" w:lastColumn="0" w:noHBand="0" w:noVBand="0"/>
      </w:tblPr>
      <w:tblGrid>
        <w:gridCol w:w="1980"/>
        <w:gridCol w:w="7470"/>
      </w:tblGrid>
      <w:tr w:rsidR="004777FE" w:rsidRPr="00CC29E0" w14:paraId="722C53F3" w14:textId="77777777" w:rsidTr="00C37A79">
        <w:trPr>
          <w:trHeight w:val="1008"/>
        </w:trPr>
        <w:tc>
          <w:tcPr>
            <w:tcW w:w="1980" w:type="dxa"/>
            <w:tcBorders>
              <w:bottom w:val="single" w:sz="18" w:space="0" w:color="FFFFFF" w:themeColor="background1"/>
            </w:tcBorders>
            <w:shd w:val="clear" w:color="auto" w:fill="403152" w:themeFill="accent4" w:themeFillShade="80"/>
            <w:vAlign w:val="center"/>
          </w:tcPr>
          <w:p w14:paraId="20FD6723" w14:textId="77777777" w:rsidR="004777FE" w:rsidRPr="009863A7" w:rsidRDefault="004777FE" w:rsidP="00F60DAC">
            <w:pPr>
              <w:pStyle w:val="Header-banner"/>
            </w:pPr>
            <w:bookmarkStart w:id="0" w:name="_GoBack"/>
            <w:bookmarkEnd w:id="0"/>
            <w:r>
              <w:t>10.</w:t>
            </w:r>
            <w:r w:rsidR="00D05665">
              <w:t>4</w:t>
            </w:r>
            <w:r w:rsidRPr="009863A7">
              <w:t>.</w:t>
            </w:r>
            <w:r w:rsidR="00D05665">
              <w:t>3</w:t>
            </w:r>
          </w:p>
        </w:tc>
        <w:tc>
          <w:tcPr>
            <w:tcW w:w="7470" w:type="dxa"/>
            <w:tcBorders>
              <w:bottom w:val="single" w:sz="18" w:space="0" w:color="FFFFFF" w:themeColor="background1"/>
            </w:tcBorders>
            <w:shd w:val="clear" w:color="auto" w:fill="5F497A" w:themeFill="accent4" w:themeFillShade="BF"/>
            <w:vAlign w:val="center"/>
          </w:tcPr>
          <w:p w14:paraId="346A6EE0" w14:textId="77777777" w:rsidR="004777FE" w:rsidRPr="009863A7" w:rsidRDefault="0094140B" w:rsidP="00DB07DD">
            <w:pPr>
              <w:pStyle w:val="Header2banner"/>
            </w:pPr>
            <w:r>
              <w:t>Unit Overview</w:t>
            </w:r>
          </w:p>
        </w:tc>
      </w:tr>
      <w:tr w:rsidR="004777FE" w:rsidRPr="00CC29E0" w14:paraId="1ACC457D" w14:textId="77777777" w:rsidTr="00C37A79">
        <w:trPr>
          <w:trHeight w:val="720"/>
        </w:trPr>
        <w:tc>
          <w:tcPr>
            <w:tcW w:w="9450" w:type="dxa"/>
            <w:gridSpan w:val="2"/>
            <w:tcBorders>
              <w:top w:val="single" w:sz="18" w:space="0" w:color="FFFFFF" w:themeColor="background1"/>
              <w:bottom w:val="single" w:sz="8" w:space="0" w:color="403152" w:themeColor="accent4" w:themeShade="80"/>
            </w:tcBorders>
            <w:shd w:val="solid" w:color="F2F2F2" w:themeColor="background1" w:themeShade="F2" w:fill="auto"/>
            <w:vAlign w:val="center"/>
          </w:tcPr>
          <w:p w14:paraId="299D838B" w14:textId="77777777" w:rsidR="004777FE" w:rsidRPr="009863A7" w:rsidRDefault="004777FE" w:rsidP="00E741AD">
            <w:pPr>
              <w:pStyle w:val="Heading1nospace"/>
              <w:rPr>
                <w:rFonts w:asciiTheme="majorHAnsi" w:hAnsiTheme="majorHAnsi"/>
                <w:color w:val="403152" w:themeColor="accent4" w:themeShade="80"/>
              </w:rPr>
            </w:pPr>
            <w:r>
              <w:rPr>
                <w:rFonts w:asciiTheme="majorHAnsi" w:hAnsiTheme="majorHAnsi"/>
              </w:rPr>
              <w:t>“</w:t>
            </w:r>
            <w:r w:rsidR="00E741AD">
              <w:rPr>
                <w:rFonts w:asciiTheme="majorHAnsi" w:hAnsiTheme="majorHAnsi"/>
              </w:rPr>
              <w:t xml:space="preserve">… </w:t>
            </w:r>
            <w:proofErr w:type="gramStart"/>
            <w:r w:rsidR="00E741AD">
              <w:rPr>
                <w:rFonts w:asciiTheme="majorHAnsi" w:hAnsiTheme="majorHAnsi"/>
              </w:rPr>
              <w:t>to</w:t>
            </w:r>
            <w:proofErr w:type="gramEnd"/>
            <w:r w:rsidR="00E741AD">
              <w:rPr>
                <w:rFonts w:asciiTheme="majorHAnsi" w:hAnsiTheme="majorHAnsi"/>
              </w:rPr>
              <w:t xml:space="preserve"> know the nature of the people well one must be a prince, and to know the nature of princes well one must be of the people.</w:t>
            </w:r>
            <w:r w:rsidRPr="009863A7">
              <w:rPr>
                <w:rFonts w:asciiTheme="majorHAnsi" w:hAnsiTheme="majorHAnsi"/>
              </w:rPr>
              <w:t>”</w:t>
            </w:r>
          </w:p>
        </w:tc>
      </w:tr>
      <w:tr w:rsidR="004777FE" w:rsidRPr="003539A7" w14:paraId="240032CC" w14:textId="77777777" w:rsidTr="00C37A79">
        <w:trPr>
          <w:trHeight w:val="576"/>
        </w:trPr>
        <w:tc>
          <w:tcPr>
            <w:tcW w:w="1980" w:type="dxa"/>
            <w:tcBorders>
              <w:top w:val="single" w:sz="8" w:space="0" w:color="403152" w:themeColor="accent4" w:themeShade="80"/>
              <w:bottom w:val="single" w:sz="8" w:space="0" w:color="403152" w:themeColor="accent4" w:themeShade="80"/>
            </w:tcBorders>
            <w:shd w:val="solid" w:color="F2F2F2" w:themeColor="background1" w:themeShade="F2" w:fill="auto"/>
          </w:tcPr>
          <w:p w14:paraId="299285A8" w14:textId="77777777" w:rsidR="004777FE" w:rsidRPr="009863A7" w:rsidRDefault="004777FE" w:rsidP="00DB07DD">
            <w:pPr>
              <w:rPr>
                <w:rFonts w:asciiTheme="majorHAnsi" w:hAnsiTheme="majorHAnsi"/>
                <w:b/>
                <w:color w:val="244061" w:themeColor="accent1" w:themeShade="80"/>
              </w:rPr>
            </w:pPr>
            <w:r w:rsidRPr="009863A7">
              <w:rPr>
                <w:rFonts w:asciiTheme="majorHAnsi" w:hAnsiTheme="majorHAnsi"/>
                <w:b/>
                <w:color w:val="244061" w:themeColor="accent1" w:themeShade="80"/>
              </w:rPr>
              <w:t>Text</w:t>
            </w:r>
            <w:r w:rsidR="00E741AD">
              <w:rPr>
                <w:rFonts w:asciiTheme="majorHAnsi" w:hAnsiTheme="majorHAnsi"/>
                <w:b/>
                <w:color w:val="244061" w:themeColor="accent1" w:themeShade="80"/>
              </w:rPr>
              <w:t>s</w:t>
            </w:r>
          </w:p>
        </w:tc>
        <w:tc>
          <w:tcPr>
            <w:tcW w:w="7470" w:type="dxa"/>
            <w:tcBorders>
              <w:top w:val="single" w:sz="8" w:space="0" w:color="403152" w:themeColor="accent4" w:themeShade="80"/>
              <w:bottom w:val="single" w:sz="8" w:space="0" w:color="403152" w:themeColor="accent4" w:themeShade="80"/>
            </w:tcBorders>
            <w:shd w:val="solid" w:color="F2F2F2" w:themeColor="background1" w:themeShade="F2" w:fill="auto"/>
          </w:tcPr>
          <w:p w14:paraId="751E4F2D" w14:textId="77777777" w:rsidR="004777FE" w:rsidRDefault="00D05665" w:rsidP="004777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The Prince</w:t>
            </w:r>
            <w:r w:rsidR="004777FE">
              <w:rPr>
                <w:rFonts w:asciiTheme="majorHAnsi" w:hAnsiTheme="majorHAnsi"/>
              </w:rPr>
              <w:t xml:space="preserve"> by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Niccol</w:t>
            </w:r>
            <w:r>
              <w:t>ò</w:t>
            </w:r>
            <w:proofErr w:type="spellEnd"/>
            <w:r>
              <w:rPr>
                <w:rFonts w:asciiTheme="majorHAnsi" w:hAnsiTheme="majorHAnsi"/>
              </w:rPr>
              <w:t xml:space="preserve"> Machiavelli</w:t>
            </w:r>
          </w:p>
          <w:p w14:paraId="26D066B0" w14:textId="3521375C" w:rsidR="004777FE" w:rsidRPr="00E741AD" w:rsidRDefault="00E741AD" w:rsidP="00DB07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Macbeth</w:t>
            </w:r>
            <w:r>
              <w:rPr>
                <w:rFonts w:asciiTheme="majorHAnsi" w:hAnsiTheme="majorHAnsi"/>
              </w:rPr>
              <w:t xml:space="preserve"> by William </w:t>
            </w:r>
            <w:r w:rsidR="00BA15FC">
              <w:rPr>
                <w:rFonts w:asciiTheme="majorHAnsi" w:hAnsiTheme="majorHAnsi"/>
              </w:rPr>
              <w:t>Shakespeare</w:t>
            </w:r>
          </w:p>
        </w:tc>
      </w:tr>
      <w:tr w:rsidR="004777FE" w:rsidRPr="003539A7" w14:paraId="23CF61B7" w14:textId="77777777" w:rsidTr="00C37A79">
        <w:trPr>
          <w:trHeight w:val="576"/>
        </w:trPr>
        <w:tc>
          <w:tcPr>
            <w:tcW w:w="1980" w:type="dxa"/>
            <w:tcBorders>
              <w:top w:val="single" w:sz="8" w:space="0" w:color="403152" w:themeColor="accent4" w:themeShade="80"/>
            </w:tcBorders>
            <w:shd w:val="solid" w:color="F2F2F2" w:themeColor="background1" w:themeShade="F2" w:fill="auto"/>
            <w:vAlign w:val="center"/>
          </w:tcPr>
          <w:p w14:paraId="36A9932D" w14:textId="77777777" w:rsidR="004777FE" w:rsidRPr="009863A7" w:rsidRDefault="004777FE" w:rsidP="00DB07DD">
            <w:pPr>
              <w:rPr>
                <w:rFonts w:asciiTheme="majorHAnsi" w:hAnsiTheme="majorHAnsi"/>
                <w:b/>
                <w:color w:val="244061" w:themeColor="accent1" w:themeShade="80"/>
              </w:rPr>
            </w:pPr>
            <w:r w:rsidRPr="009863A7">
              <w:rPr>
                <w:rFonts w:asciiTheme="majorHAnsi" w:hAnsiTheme="majorHAnsi"/>
                <w:b/>
                <w:color w:val="244061" w:themeColor="accent1" w:themeShade="80"/>
              </w:rPr>
              <w:t>Number of Lessons in Unit</w:t>
            </w:r>
          </w:p>
        </w:tc>
        <w:tc>
          <w:tcPr>
            <w:tcW w:w="7470" w:type="dxa"/>
            <w:tcBorders>
              <w:top w:val="single" w:sz="8" w:space="0" w:color="403152" w:themeColor="accent4" w:themeShade="80"/>
            </w:tcBorders>
            <w:shd w:val="solid" w:color="F2F2F2" w:themeColor="background1" w:themeShade="F2" w:fill="auto"/>
            <w:vAlign w:val="center"/>
          </w:tcPr>
          <w:p w14:paraId="228001BD" w14:textId="77777777" w:rsidR="004777FE" w:rsidRPr="009863A7" w:rsidRDefault="00D05665" w:rsidP="00DB07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</w:tbl>
    <w:p w14:paraId="65E469D8" w14:textId="77777777" w:rsidR="004777FE" w:rsidRDefault="004777FE" w:rsidP="004777FE">
      <w:pPr>
        <w:pStyle w:val="Heading1"/>
        <w:rPr>
          <w:rFonts w:asciiTheme="majorHAnsi" w:hAnsiTheme="majorHAnsi"/>
        </w:rPr>
      </w:pPr>
      <w:r w:rsidRPr="00E34F80">
        <w:rPr>
          <w:rFonts w:asciiTheme="majorHAnsi" w:hAnsiTheme="majorHAnsi"/>
        </w:rPr>
        <w:t>Introduction</w:t>
      </w:r>
    </w:p>
    <w:p w14:paraId="06BD5E6F" w14:textId="56DF4837" w:rsidR="0094140B" w:rsidRPr="00557DE0" w:rsidRDefault="0094140B" w:rsidP="0094140B">
      <w:r>
        <w:t>In th</w:t>
      </w:r>
      <w:r w:rsidR="00BA15FC">
        <w:t xml:space="preserve">e third </w:t>
      </w:r>
      <w:r>
        <w:t>unit</w:t>
      </w:r>
      <w:r w:rsidR="00BA15FC">
        <w:t xml:space="preserve"> of Module 10.4</w:t>
      </w:r>
      <w:r>
        <w:t xml:space="preserve">, students read excerpts from </w:t>
      </w:r>
      <w:proofErr w:type="spellStart"/>
      <w:r>
        <w:t>Niccolò</w:t>
      </w:r>
      <w:proofErr w:type="spellEnd"/>
      <w:r>
        <w:t xml:space="preserve"> Machiavelli’s </w:t>
      </w:r>
      <w:r w:rsidR="00013821">
        <w:t xml:space="preserve">political </w:t>
      </w:r>
      <w:r>
        <w:t xml:space="preserve">treatise, </w:t>
      </w:r>
      <w:r>
        <w:rPr>
          <w:i/>
        </w:rPr>
        <w:t>The Prince</w:t>
      </w:r>
      <w:r>
        <w:t>. Students use the skills, practices, and routines that they have developed throughout the year to identify central ideas and consider rhetoric</w:t>
      </w:r>
      <w:r w:rsidR="00557DE0">
        <w:t xml:space="preserve"> and point of view</w:t>
      </w:r>
      <w:r>
        <w:t>. Students continue to read closely, annotate texts, and collect and analyze evidence in order to suppor</w:t>
      </w:r>
      <w:r w:rsidR="00557DE0">
        <w:t xml:space="preserve">t evidence-based writing. As students work with </w:t>
      </w:r>
      <w:r w:rsidR="00013821">
        <w:rPr>
          <w:i/>
        </w:rPr>
        <w:t>The Prince</w:t>
      </w:r>
      <w:r w:rsidR="00557DE0">
        <w:t xml:space="preserve">, they </w:t>
      </w:r>
      <w:r w:rsidR="003B0EAE">
        <w:t xml:space="preserve">consider new central ideas and </w:t>
      </w:r>
      <w:r w:rsidR="00557DE0">
        <w:t>reconsider central ideas</w:t>
      </w:r>
      <w:r w:rsidR="00E56550">
        <w:t xml:space="preserve"> present in texts they read earlier in the module</w:t>
      </w:r>
      <w:r w:rsidR="00557DE0">
        <w:t xml:space="preserve">, such as </w:t>
      </w:r>
      <w:r w:rsidR="00013821">
        <w:t>morality and</w:t>
      </w:r>
      <w:r w:rsidR="003F0A20">
        <w:t xml:space="preserve"> </w:t>
      </w:r>
      <w:r w:rsidR="00557DE0">
        <w:t>the relationship between appearance and reality</w:t>
      </w:r>
      <w:r w:rsidR="00FA5A02">
        <w:t>. 10.4.3</w:t>
      </w:r>
      <w:r w:rsidR="00557DE0">
        <w:t xml:space="preserve"> </w:t>
      </w:r>
      <w:proofErr w:type="gramStart"/>
      <w:r w:rsidR="00557DE0">
        <w:t>concludes</w:t>
      </w:r>
      <w:proofErr w:type="gramEnd"/>
      <w:r w:rsidR="00557DE0">
        <w:t xml:space="preserve"> with a discussion that requires students to apply </w:t>
      </w:r>
      <w:r w:rsidR="003B0EAE">
        <w:t>concepts from</w:t>
      </w:r>
      <w:r w:rsidR="00557DE0">
        <w:t xml:space="preserve"> </w:t>
      </w:r>
      <w:r w:rsidR="00557DE0">
        <w:rPr>
          <w:i/>
        </w:rPr>
        <w:t xml:space="preserve">The Prince, </w:t>
      </w:r>
      <w:r w:rsidR="00557DE0">
        <w:t xml:space="preserve">a nonfiction text, to the fictional character of </w:t>
      </w:r>
      <w:r w:rsidR="00557DE0">
        <w:rPr>
          <w:i/>
        </w:rPr>
        <w:t>Macbeth</w:t>
      </w:r>
      <w:r w:rsidR="00557DE0">
        <w:t>, considering how Machiavelli’s ideas about effective leadership apply to the fictional K</w:t>
      </w:r>
      <w:r w:rsidR="00E45E2A">
        <w:t xml:space="preserve">ing of Scotland. </w:t>
      </w:r>
    </w:p>
    <w:p w14:paraId="29DC8F6F" w14:textId="77777777" w:rsidR="004777FE" w:rsidRPr="00FC3907" w:rsidRDefault="004777FE" w:rsidP="004777FE">
      <w:pPr>
        <w:pStyle w:val="Heading1"/>
        <w:rPr>
          <w:rFonts w:asciiTheme="majorHAnsi" w:hAnsiTheme="majorHAnsi"/>
        </w:rPr>
      </w:pPr>
      <w:r w:rsidRPr="00FC3907">
        <w:rPr>
          <w:rFonts w:asciiTheme="majorHAnsi" w:hAnsiTheme="majorHAnsi"/>
        </w:rPr>
        <w:t>Literacy Skills &amp; Habits</w:t>
      </w:r>
    </w:p>
    <w:p w14:paraId="0D775744" w14:textId="77777777" w:rsidR="004777FE" w:rsidRPr="003539A7" w:rsidRDefault="004777FE" w:rsidP="004777FE">
      <w:pPr>
        <w:pStyle w:val="BulletedList"/>
        <w:ind w:left="360"/>
      </w:pPr>
      <w:r w:rsidRPr="003539A7">
        <w:t>Read closely for textual details</w:t>
      </w:r>
    </w:p>
    <w:p w14:paraId="365B792F" w14:textId="77777777" w:rsidR="004777FE" w:rsidRPr="003539A7" w:rsidRDefault="004777FE" w:rsidP="004777FE">
      <w:pPr>
        <w:pStyle w:val="BulletedList"/>
        <w:ind w:left="360"/>
      </w:pPr>
      <w:r w:rsidRPr="003539A7">
        <w:t>Annotate texts to support comprehension and analysis</w:t>
      </w:r>
    </w:p>
    <w:p w14:paraId="6E44E3BA" w14:textId="0FA04B93" w:rsidR="004777FE" w:rsidRDefault="004777FE" w:rsidP="004777FE">
      <w:pPr>
        <w:pStyle w:val="BulletedList"/>
        <w:ind w:left="360"/>
      </w:pPr>
      <w:r w:rsidRPr="003539A7">
        <w:t>Engage in productive</w:t>
      </w:r>
      <w:r w:rsidR="00FA5A02">
        <w:t>,</w:t>
      </w:r>
      <w:r w:rsidRPr="003539A7">
        <w:t xml:space="preserve"> evidence-base</w:t>
      </w:r>
      <w:r>
        <w:t>d conversations about text</w:t>
      </w:r>
      <w:r w:rsidR="00FA5A02">
        <w:t>s</w:t>
      </w:r>
    </w:p>
    <w:p w14:paraId="63E146BC" w14:textId="77777777" w:rsidR="004777FE" w:rsidRDefault="004777FE" w:rsidP="004777FE">
      <w:pPr>
        <w:pStyle w:val="BulletedList"/>
        <w:ind w:left="360"/>
      </w:pPr>
      <w:r w:rsidRPr="003539A7">
        <w:t>Determine meaning of unknown vocabulary</w:t>
      </w:r>
    </w:p>
    <w:p w14:paraId="5463975A" w14:textId="77777777" w:rsidR="004777FE" w:rsidRDefault="004777FE" w:rsidP="004777FE">
      <w:pPr>
        <w:pStyle w:val="BulletedList"/>
        <w:ind w:left="360"/>
      </w:pPr>
      <w:r>
        <w:t>Independently preview text in preparation for supported analysis</w:t>
      </w:r>
    </w:p>
    <w:p w14:paraId="0BB2379B" w14:textId="77777777" w:rsidR="004777FE" w:rsidRPr="003539A7" w:rsidRDefault="004777FE" w:rsidP="004777FE">
      <w:pPr>
        <w:pStyle w:val="BulletedList"/>
        <w:ind w:left="360"/>
      </w:pPr>
      <w:r w:rsidRPr="003539A7">
        <w:t>Provide an objective summary of the text</w:t>
      </w:r>
    </w:p>
    <w:p w14:paraId="4F0BFBF7" w14:textId="77777777" w:rsidR="004777FE" w:rsidRPr="003539A7" w:rsidRDefault="004777FE" w:rsidP="004777FE">
      <w:pPr>
        <w:pStyle w:val="BulletedList"/>
        <w:ind w:left="360"/>
      </w:pPr>
      <w:r w:rsidRPr="003539A7">
        <w:t>Paraphrase and quote relevant evidence from a text</w:t>
      </w:r>
    </w:p>
    <w:p w14:paraId="19CE1796" w14:textId="77777777" w:rsidR="00197127" w:rsidRDefault="00197127" w:rsidP="004777FE">
      <w:pPr>
        <w:pStyle w:val="BulletedList"/>
        <w:ind w:left="360"/>
      </w:pPr>
      <w:r>
        <w:lastRenderedPageBreak/>
        <w:t>Analyze how an author uses rhetoric to advance his point of view</w:t>
      </w:r>
    </w:p>
    <w:p w14:paraId="126B9BB4" w14:textId="77777777" w:rsidR="004777FE" w:rsidRPr="003539A7" w:rsidRDefault="004777FE" w:rsidP="004777FE">
      <w:pPr>
        <w:pStyle w:val="BulletedList"/>
        <w:ind w:left="360"/>
      </w:pPr>
      <w:r w:rsidRPr="003539A7">
        <w:t>Write original evidence-based claims</w:t>
      </w:r>
    </w:p>
    <w:p w14:paraId="4541036F" w14:textId="77777777" w:rsidR="004777FE" w:rsidRPr="003539A7" w:rsidRDefault="004777FE" w:rsidP="004777FE">
      <w:pPr>
        <w:pStyle w:val="BulletedList"/>
        <w:ind w:left="360"/>
      </w:pPr>
      <w:r w:rsidRPr="003539A7">
        <w:t>Generate and respond to questions in scholarly discourse</w:t>
      </w:r>
    </w:p>
    <w:p w14:paraId="6A2D9842" w14:textId="77777777" w:rsidR="004777FE" w:rsidRPr="005B6EE5" w:rsidRDefault="004777FE" w:rsidP="004777FE">
      <w:pPr>
        <w:pStyle w:val="Heading1"/>
        <w:rPr>
          <w:rFonts w:asciiTheme="majorHAnsi" w:hAnsiTheme="majorHAnsi"/>
        </w:rPr>
      </w:pPr>
      <w:r w:rsidRPr="005B6EE5">
        <w:rPr>
          <w:rFonts w:asciiTheme="majorHAnsi" w:hAnsiTheme="majorHAnsi"/>
        </w:rPr>
        <w:t>Standards for This Unit</w:t>
      </w:r>
    </w:p>
    <w:tbl>
      <w:tblPr>
        <w:tblW w:w="94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0"/>
        <w:gridCol w:w="7997"/>
        <w:gridCol w:w="13"/>
      </w:tblGrid>
      <w:tr w:rsidR="00013821" w:rsidRPr="00714725" w14:paraId="4C6F2A25" w14:textId="77777777" w:rsidTr="004C0855">
        <w:trPr>
          <w:gridAfter w:val="1"/>
          <w:wAfter w:w="13" w:type="dxa"/>
        </w:trPr>
        <w:tc>
          <w:tcPr>
            <w:tcW w:w="9447" w:type="dxa"/>
            <w:gridSpan w:val="2"/>
            <w:shd w:val="clear" w:color="auto" w:fill="5F497A"/>
          </w:tcPr>
          <w:p w14:paraId="3ECCA8A9" w14:textId="77777777" w:rsidR="00013821" w:rsidRPr="00714725" w:rsidRDefault="00013821" w:rsidP="00E91065">
            <w:pPr>
              <w:pStyle w:val="TableHeaders"/>
            </w:pPr>
            <w:r w:rsidRPr="00E75803">
              <w:t>College and Career Readiness Anchor Standards for Reading</w:t>
            </w:r>
          </w:p>
        </w:tc>
      </w:tr>
      <w:tr w:rsidR="00013821" w:rsidRPr="007567BF" w14:paraId="16816D2B" w14:textId="77777777" w:rsidTr="004C0855">
        <w:trPr>
          <w:gridAfter w:val="1"/>
          <w:wAfter w:w="13" w:type="dxa"/>
          <w:trHeight w:val="707"/>
        </w:trPr>
        <w:tc>
          <w:tcPr>
            <w:tcW w:w="9447" w:type="dxa"/>
            <w:gridSpan w:val="2"/>
            <w:shd w:val="clear" w:color="auto" w:fill="auto"/>
          </w:tcPr>
          <w:p w14:paraId="5FB0A39B" w14:textId="77777777" w:rsidR="00013821" w:rsidRPr="007567BF" w:rsidRDefault="00013821" w:rsidP="00E91065">
            <w:pPr>
              <w:pStyle w:val="TableText"/>
            </w:pPr>
            <w:r w:rsidRPr="007567BF">
              <w:t>None</w:t>
            </w:r>
            <w:r>
              <w:t>.</w:t>
            </w:r>
          </w:p>
        </w:tc>
      </w:tr>
      <w:tr w:rsidR="008A344A" w:rsidRPr="003539A7" w14:paraId="5BB57405" w14:textId="77777777" w:rsidTr="004C085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" w:type="dxa"/>
            <w:right w:w="10" w:type="dxa"/>
          </w:tblCellMar>
        </w:tblPrEx>
        <w:tc>
          <w:tcPr>
            <w:tcW w:w="9460" w:type="dxa"/>
            <w:gridSpan w:val="3"/>
            <w:shd w:val="clear" w:color="auto" w:fill="5F497A" w:themeFill="accent4" w:themeFillShade="B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A18D46" w14:textId="1016B601" w:rsidR="008A344A" w:rsidRPr="003539A7" w:rsidRDefault="008A344A" w:rsidP="00DB07DD">
            <w:pPr>
              <w:pStyle w:val="TableHeaders"/>
            </w:pPr>
            <w:r>
              <w:t xml:space="preserve">CCS Standards: Reading—Literature </w:t>
            </w:r>
          </w:p>
        </w:tc>
      </w:tr>
      <w:tr w:rsidR="008A344A" w:rsidRPr="007567BF" w14:paraId="155E4922" w14:textId="77777777" w:rsidTr="004C0855">
        <w:trPr>
          <w:gridAfter w:val="1"/>
          <w:wAfter w:w="13" w:type="dxa"/>
          <w:trHeight w:val="707"/>
        </w:trPr>
        <w:tc>
          <w:tcPr>
            <w:tcW w:w="9447" w:type="dxa"/>
            <w:gridSpan w:val="2"/>
            <w:shd w:val="clear" w:color="auto" w:fill="auto"/>
          </w:tcPr>
          <w:p w14:paraId="5EC06136" w14:textId="77777777" w:rsidR="008A344A" w:rsidRPr="007567BF" w:rsidRDefault="008A344A" w:rsidP="00E91065">
            <w:pPr>
              <w:pStyle w:val="TableText"/>
            </w:pPr>
            <w:r w:rsidRPr="007567BF">
              <w:t>None</w:t>
            </w:r>
            <w:r>
              <w:t>.</w:t>
            </w:r>
          </w:p>
        </w:tc>
      </w:tr>
      <w:tr w:rsidR="004777FE" w:rsidRPr="003539A7" w14:paraId="424D3B6A" w14:textId="77777777" w:rsidTr="004C085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" w:type="dxa"/>
            <w:right w:w="10" w:type="dxa"/>
          </w:tblCellMar>
        </w:tblPrEx>
        <w:tc>
          <w:tcPr>
            <w:tcW w:w="9460" w:type="dxa"/>
            <w:gridSpan w:val="3"/>
            <w:shd w:val="clear" w:color="auto" w:fill="5F497A" w:themeFill="accent4" w:themeFillShade="B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36FB22" w14:textId="43F7BF48" w:rsidR="004777FE" w:rsidRPr="003539A7" w:rsidRDefault="004777FE" w:rsidP="00DB07DD">
            <w:pPr>
              <w:pStyle w:val="TableHeaders"/>
            </w:pPr>
            <w:r w:rsidRPr="003539A7">
              <w:t>CCS Standards: Reading</w:t>
            </w:r>
            <w:r w:rsidR="00013821">
              <w:t>—Informational Text</w:t>
            </w:r>
          </w:p>
        </w:tc>
      </w:tr>
      <w:tr w:rsidR="004777FE" w:rsidRPr="003539A7" w14:paraId="7B9C3A6A" w14:textId="77777777" w:rsidTr="004C085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" w:type="dxa"/>
            <w:right w:w="10" w:type="dxa"/>
          </w:tblCellMar>
        </w:tblPrEx>
        <w:tc>
          <w:tcPr>
            <w:tcW w:w="1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ED3949" w14:textId="77777777" w:rsidR="004777FE" w:rsidRPr="0074030E" w:rsidRDefault="004777FE" w:rsidP="00DB07DD">
            <w:pPr>
              <w:pStyle w:val="Normal3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R</w:t>
            </w:r>
            <w:r w:rsidR="00386933">
              <w:rPr>
                <w:rFonts w:ascii="Calibri" w:eastAsia="Calibri" w:hAnsi="Calibri" w:cs="Calibri"/>
                <w:b/>
                <w:sz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</w:rPr>
              <w:t>.9-10.2</w:t>
            </w:r>
          </w:p>
        </w:tc>
        <w:tc>
          <w:tcPr>
            <w:tcW w:w="8010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2BB6EF3" w14:textId="77777777" w:rsidR="004777FE" w:rsidRPr="00DA6D00" w:rsidRDefault="00386933" w:rsidP="00DA6D00">
            <w:pPr>
              <w:pStyle w:val="TableText"/>
              <w:rPr>
                <w:b/>
                <w:lang w:eastAsia="ja-JP"/>
              </w:rPr>
            </w:pPr>
            <w:r w:rsidRPr="00DA6D00">
              <w:rPr>
                <w:b/>
                <w:lang w:eastAsia="ja-JP"/>
              </w:rPr>
              <w:t xml:space="preserve">Determine a central idea of a text and analyze its development over the course of the text, including how it emerges and is shaped and refined by specific details; provide an objective summary of the text. </w:t>
            </w:r>
          </w:p>
        </w:tc>
      </w:tr>
      <w:tr w:rsidR="00DA6D00" w:rsidRPr="003539A7" w14:paraId="2992CEBD" w14:textId="77777777" w:rsidTr="004C085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" w:type="dxa"/>
            <w:right w:w="10" w:type="dxa"/>
          </w:tblCellMar>
        </w:tblPrEx>
        <w:tc>
          <w:tcPr>
            <w:tcW w:w="1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79E20E" w14:textId="77777777" w:rsidR="00DA6D00" w:rsidRPr="00386933" w:rsidRDefault="00DA6D00" w:rsidP="00DB07DD">
            <w:pPr>
              <w:pStyle w:val="Normal3"/>
              <w:rPr>
                <w:rFonts w:ascii="Calibri" w:eastAsia="Calibri" w:hAnsi="Calibri" w:cs="Calibri"/>
                <w:b/>
                <w:sz w:val="22"/>
              </w:rPr>
            </w:pPr>
            <w:r w:rsidRPr="00DA6D00">
              <w:rPr>
                <w:rFonts w:ascii="Calibri" w:eastAsia="Calibri" w:hAnsi="Calibri" w:cs="Calibri"/>
                <w:b/>
                <w:sz w:val="22"/>
              </w:rPr>
              <w:t>RI.9-10.5</w:t>
            </w:r>
          </w:p>
        </w:tc>
        <w:tc>
          <w:tcPr>
            <w:tcW w:w="8010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E1FC24" w14:textId="77777777" w:rsidR="00DA6D00" w:rsidRPr="00DA6D00" w:rsidRDefault="00DA6D00" w:rsidP="00DA6D00">
            <w:pPr>
              <w:pStyle w:val="TableText"/>
              <w:rPr>
                <w:b/>
                <w:lang w:eastAsia="ja-JP"/>
              </w:rPr>
            </w:pPr>
            <w:r w:rsidRPr="00DA6D00">
              <w:rPr>
                <w:b/>
                <w:lang w:eastAsia="ja-JP"/>
              </w:rPr>
              <w:t xml:space="preserve">Analyze in detail how an author's ideas or claims are developed and refined by particular sentences, paragraphs, or larger portions of a text (e.g., a section or chapter). </w:t>
            </w:r>
          </w:p>
        </w:tc>
      </w:tr>
      <w:tr w:rsidR="004777FE" w:rsidRPr="003539A7" w14:paraId="4077C488" w14:textId="77777777" w:rsidTr="004C085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" w:type="dxa"/>
            <w:right w:w="10" w:type="dxa"/>
          </w:tblCellMar>
        </w:tblPrEx>
        <w:tc>
          <w:tcPr>
            <w:tcW w:w="1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0120474" w14:textId="77777777" w:rsidR="004777FE" w:rsidRPr="0074030E" w:rsidRDefault="00386933" w:rsidP="00DB07DD">
            <w:pPr>
              <w:pStyle w:val="Normal3"/>
              <w:rPr>
                <w:rFonts w:ascii="Calibri" w:eastAsia="Calibri" w:hAnsi="Calibri" w:cs="Calibri"/>
                <w:b/>
                <w:sz w:val="22"/>
              </w:rPr>
            </w:pPr>
            <w:r w:rsidRPr="00386933">
              <w:rPr>
                <w:rFonts w:ascii="Calibri" w:eastAsia="Calibri" w:hAnsi="Calibri" w:cs="Calibri"/>
                <w:b/>
                <w:sz w:val="22"/>
              </w:rPr>
              <w:t>RI.9-10.6</w:t>
            </w:r>
          </w:p>
        </w:tc>
        <w:tc>
          <w:tcPr>
            <w:tcW w:w="8010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4176CF" w14:textId="77777777" w:rsidR="004777FE" w:rsidRPr="00DA6D00" w:rsidRDefault="00386933" w:rsidP="00DA6D00">
            <w:pPr>
              <w:pStyle w:val="TableText"/>
              <w:rPr>
                <w:b/>
                <w:lang w:eastAsia="ja-JP"/>
              </w:rPr>
            </w:pPr>
            <w:r w:rsidRPr="00DA6D00">
              <w:rPr>
                <w:b/>
                <w:lang w:eastAsia="ja-JP"/>
              </w:rPr>
              <w:t xml:space="preserve">Determine an author's point of view or purpose in a text and analyze how an author uses rhetoric to advance that point of view or purpose. </w:t>
            </w:r>
          </w:p>
        </w:tc>
      </w:tr>
      <w:tr w:rsidR="000679B0" w:rsidRPr="003539A7" w14:paraId="2C6AE142" w14:textId="77777777" w:rsidTr="004C085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" w:type="dxa"/>
            <w:right w:w="10" w:type="dxa"/>
          </w:tblCellMar>
        </w:tblPrEx>
        <w:trPr>
          <w:trHeight w:val="120"/>
        </w:trPr>
        <w:tc>
          <w:tcPr>
            <w:tcW w:w="9460" w:type="dxa"/>
            <w:gridSpan w:val="3"/>
            <w:shd w:val="clear" w:color="auto" w:fill="5F497A" w:themeFill="accent4" w:themeFillShade="B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BB7B02" w14:textId="77777777" w:rsidR="000679B0" w:rsidRPr="003539A7" w:rsidRDefault="000679B0" w:rsidP="00DB07DD">
            <w:pPr>
              <w:pStyle w:val="TableHeaders"/>
            </w:pPr>
            <w:r w:rsidRPr="003539A7">
              <w:t>CCS Standards: Writing</w:t>
            </w:r>
          </w:p>
        </w:tc>
      </w:tr>
      <w:tr w:rsidR="00381223" w:rsidRPr="00A836EB" w14:paraId="50C1D9E3" w14:textId="77777777" w:rsidTr="004C085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" w:type="dxa"/>
            <w:right w:w="10" w:type="dxa"/>
          </w:tblCellMar>
        </w:tblPrEx>
        <w:tc>
          <w:tcPr>
            <w:tcW w:w="1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50592D" w14:textId="7149A8CF" w:rsidR="00381223" w:rsidRPr="00386933" w:rsidRDefault="00381223" w:rsidP="00DA6D00">
            <w:pPr>
              <w:pStyle w:val="TableText"/>
            </w:pPr>
            <w:r w:rsidRPr="00386933">
              <w:t>W.9-10.</w:t>
            </w:r>
            <w:r w:rsidR="00386933" w:rsidRPr="00386933">
              <w:t>9</w:t>
            </w:r>
            <w:r w:rsidRPr="00386933">
              <w:t>.</w:t>
            </w:r>
            <w:r w:rsidR="008A344A">
              <w:t xml:space="preserve">a, </w:t>
            </w:r>
            <w:r w:rsidR="00386933" w:rsidRPr="00386933">
              <w:t>b</w:t>
            </w:r>
          </w:p>
        </w:tc>
        <w:tc>
          <w:tcPr>
            <w:tcW w:w="8010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79CFA9" w14:textId="77777777" w:rsidR="00386933" w:rsidRPr="00386933" w:rsidRDefault="00386933" w:rsidP="007F7414">
            <w:pPr>
              <w:pStyle w:val="TableText"/>
            </w:pPr>
            <w:r w:rsidRPr="00386933">
              <w:t xml:space="preserve">Draw evidence from literary or informational texts to support analysis, reflection, and research. </w:t>
            </w:r>
          </w:p>
          <w:p w14:paraId="00208F11" w14:textId="77777777" w:rsidR="007F7414" w:rsidRDefault="007F7414" w:rsidP="00B0646E">
            <w:pPr>
              <w:pStyle w:val="SubStandard"/>
            </w:pPr>
            <w:r>
              <w:t xml:space="preserve">Apply </w:t>
            </w:r>
            <w:r w:rsidRPr="00917947">
              <w:rPr>
                <w:i/>
              </w:rPr>
              <w:t>grades 9</w:t>
            </w:r>
            <w:r w:rsidR="00917947">
              <w:rPr>
                <w:i/>
              </w:rPr>
              <w:t>–</w:t>
            </w:r>
            <w:r w:rsidRPr="00917947">
              <w:rPr>
                <w:i/>
              </w:rPr>
              <w:t>10 Reading standards</w:t>
            </w:r>
            <w:r>
              <w:t xml:space="preserve"> to literature (e.g., "Analyze how an author draws on and transforms source material in a specific work [e.g., how </w:t>
            </w:r>
          </w:p>
          <w:p w14:paraId="7C1D3EA3" w14:textId="77777777" w:rsidR="007F7414" w:rsidRDefault="007F7414" w:rsidP="00B0646E">
            <w:pPr>
              <w:pStyle w:val="SubStandard"/>
              <w:numPr>
                <w:ilvl w:val="0"/>
                <w:numId w:val="0"/>
              </w:numPr>
              <w:ind w:left="360"/>
            </w:pPr>
            <w:r>
              <w:t xml:space="preserve">Shakespeare treats a theme or topic from Ovid or the Bible or how a later author draws on a play by Shakespeare]"). </w:t>
            </w:r>
          </w:p>
          <w:p w14:paraId="08F8EDA7" w14:textId="77777777" w:rsidR="00381223" w:rsidRPr="00386933" w:rsidRDefault="00386933" w:rsidP="007F7414">
            <w:pPr>
              <w:pStyle w:val="SubStandard"/>
            </w:pPr>
            <w:r w:rsidRPr="00386933">
              <w:lastRenderedPageBreak/>
              <w:t xml:space="preserve">Apply </w:t>
            </w:r>
            <w:r w:rsidRPr="00386933">
              <w:rPr>
                <w:i/>
              </w:rPr>
              <w:t>grades 9–10 Reading standards</w:t>
            </w:r>
            <w:r w:rsidRPr="00386933">
              <w:t xml:space="preserve"> to literary nonfiction (e.g., “Delineate and evaluate the argument and specific claims in a text, assessing whether the reasoning is valid and the evidence is relevant and sufficient; identify false statements and fallacious reasoning”).</w:t>
            </w:r>
          </w:p>
        </w:tc>
      </w:tr>
      <w:tr w:rsidR="000679B0" w:rsidRPr="003539A7" w14:paraId="5D41E015" w14:textId="77777777" w:rsidTr="004C085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" w:type="dxa"/>
            <w:right w:w="10" w:type="dxa"/>
          </w:tblCellMar>
        </w:tblPrEx>
        <w:tc>
          <w:tcPr>
            <w:tcW w:w="9460" w:type="dxa"/>
            <w:gridSpan w:val="3"/>
            <w:shd w:val="clear" w:color="auto" w:fill="5F497A" w:themeFill="accent4" w:themeFillShade="B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D0B87A" w14:textId="77777777" w:rsidR="000679B0" w:rsidRPr="003539A7" w:rsidRDefault="000679B0" w:rsidP="00DB07DD">
            <w:pPr>
              <w:pStyle w:val="TableHeaders"/>
            </w:pPr>
            <w:r w:rsidRPr="003539A7">
              <w:lastRenderedPageBreak/>
              <w:t>CCS Standards: Speaking &amp; Listening</w:t>
            </w:r>
          </w:p>
        </w:tc>
      </w:tr>
      <w:tr w:rsidR="000679B0" w:rsidRPr="00A836EB" w14:paraId="6D212258" w14:textId="77777777" w:rsidTr="004C085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" w:type="dxa"/>
            <w:right w:w="10" w:type="dxa"/>
          </w:tblCellMar>
        </w:tblPrEx>
        <w:tc>
          <w:tcPr>
            <w:tcW w:w="1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3E7592" w14:textId="77777777" w:rsidR="000679B0" w:rsidRPr="007F7414" w:rsidRDefault="00DA6D00" w:rsidP="00DA6D00">
            <w:pPr>
              <w:pStyle w:val="TableText"/>
              <w:rPr>
                <w:b/>
              </w:rPr>
            </w:pPr>
            <w:r w:rsidRPr="007F7414">
              <w:rPr>
                <w:b/>
              </w:rPr>
              <w:t>SL.9-10.1.a-e</w:t>
            </w:r>
          </w:p>
        </w:tc>
        <w:tc>
          <w:tcPr>
            <w:tcW w:w="8010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314A1D" w14:textId="77777777" w:rsidR="00DA6D00" w:rsidRPr="007F7414" w:rsidRDefault="00DA6D00" w:rsidP="00DA6D00">
            <w:pPr>
              <w:pStyle w:val="TableText"/>
              <w:rPr>
                <w:b/>
              </w:rPr>
            </w:pPr>
            <w:r w:rsidRPr="007F7414">
              <w:rPr>
                <w:b/>
              </w:rPr>
              <w:t xml:space="preserve">Initiate and participate effectively in a range of collaborative discussions (one-on-one, </w:t>
            </w:r>
            <w:r w:rsidR="007F7414">
              <w:rPr>
                <w:b/>
              </w:rPr>
              <w:t>i</w:t>
            </w:r>
            <w:r w:rsidRPr="007F7414">
              <w:rPr>
                <w:b/>
              </w:rPr>
              <w:t xml:space="preserve">n groups, and teacher-led) with diverse partners on </w:t>
            </w:r>
            <w:r w:rsidR="00917947">
              <w:rPr>
                <w:b/>
                <w:i/>
              </w:rPr>
              <w:t>grades 9–</w:t>
            </w:r>
            <w:r w:rsidRPr="00917947">
              <w:rPr>
                <w:b/>
                <w:i/>
              </w:rPr>
              <w:t>10 topics, texts, and issues</w:t>
            </w:r>
            <w:r w:rsidRPr="007F7414">
              <w:rPr>
                <w:b/>
              </w:rPr>
              <w:t xml:space="preserve">, building on others' ideas and expressing their own clearly and persuasively. </w:t>
            </w:r>
          </w:p>
          <w:p w14:paraId="53F51FD6" w14:textId="77777777" w:rsidR="00DA6D00" w:rsidRPr="0072211C" w:rsidRDefault="00DA6D00" w:rsidP="0072211C">
            <w:pPr>
              <w:pStyle w:val="SubStandard"/>
              <w:numPr>
                <w:ilvl w:val="0"/>
                <w:numId w:val="40"/>
              </w:numPr>
              <w:rPr>
                <w:b/>
              </w:rPr>
            </w:pPr>
            <w:r w:rsidRPr="007F7414">
              <w:rPr>
                <w:b/>
              </w:rPr>
              <w:t xml:space="preserve">Come to discussions prepared, having read and researched material under study; </w:t>
            </w:r>
            <w:r w:rsidRPr="0072211C">
              <w:rPr>
                <w:b/>
              </w:rPr>
              <w:t xml:space="preserve">explicitly draw on that preparation by referring to evidence from texts and other research on the topic or issue to stimulate a thoughtful, well-reasoned exchange of ideas. </w:t>
            </w:r>
          </w:p>
          <w:p w14:paraId="7DD344C2" w14:textId="77777777" w:rsidR="00DA6D00" w:rsidRPr="0072211C" w:rsidRDefault="00DA6D00" w:rsidP="0072211C">
            <w:pPr>
              <w:pStyle w:val="SubStandard"/>
              <w:rPr>
                <w:b/>
              </w:rPr>
            </w:pPr>
            <w:r w:rsidRPr="007F7414">
              <w:rPr>
                <w:b/>
              </w:rPr>
              <w:t xml:space="preserve">Work with peers to set rules for collegial discussions and decision-making (e.g., </w:t>
            </w:r>
            <w:r w:rsidRPr="0072211C">
              <w:rPr>
                <w:b/>
              </w:rPr>
              <w:t xml:space="preserve">informal consensus, taking votes on key issues, </w:t>
            </w:r>
            <w:proofErr w:type="gramStart"/>
            <w:r w:rsidRPr="0072211C">
              <w:rPr>
                <w:b/>
              </w:rPr>
              <w:t>presentation</w:t>
            </w:r>
            <w:proofErr w:type="gramEnd"/>
            <w:r w:rsidRPr="0072211C">
              <w:rPr>
                <w:b/>
              </w:rPr>
              <w:t xml:space="preserve"> of alternate views), clear goals and deadlines, and individual roles as needed. </w:t>
            </w:r>
          </w:p>
          <w:p w14:paraId="2D01B586" w14:textId="77777777" w:rsidR="00DA6D00" w:rsidRPr="0072211C" w:rsidRDefault="00DA6D00" w:rsidP="0072211C">
            <w:pPr>
              <w:pStyle w:val="SubStandard"/>
              <w:rPr>
                <w:b/>
              </w:rPr>
            </w:pPr>
            <w:r w:rsidRPr="007F7414">
              <w:rPr>
                <w:b/>
              </w:rPr>
              <w:t xml:space="preserve">Propel conversations by posing and responding to questions that relate the </w:t>
            </w:r>
            <w:r w:rsidRPr="0072211C">
              <w:rPr>
                <w:b/>
              </w:rPr>
              <w:t xml:space="preserve">current discussion to broader themes or larger ideas; actively incorporate others into the discussion; and clarify, verify, or challenge ideas and conclusions. </w:t>
            </w:r>
          </w:p>
          <w:p w14:paraId="359D90A6" w14:textId="77777777" w:rsidR="00DA6D00" w:rsidRPr="0072211C" w:rsidRDefault="00DA6D00" w:rsidP="0072211C">
            <w:pPr>
              <w:pStyle w:val="SubStandard"/>
              <w:rPr>
                <w:b/>
              </w:rPr>
            </w:pPr>
            <w:r w:rsidRPr="007F7414">
              <w:rPr>
                <w:b/>
              </w:rPr>
              <w:t xml:space="preserve">Respond thoughtfully to diverse perspectives, summarize points of agreement </w:t>
            </w:r>
            <w:r w:rsidRPr="0072211C">
              <w:rPr>
                <w:b/>
              </w:rPr>
              <w:t xml:space="preserve">and disagreement, and, when warranted, qualify or justify their own views and understanding and make new connections in light of the evidence and reasoning presented. </w:t>
            </w:r>
          </w:p>
          <w:p w14:paraId="78C30844" w14:textId="77777777" w:rsidR="004E3473" w:rsidRPr="0072211C" w:rsidRDefault="00DA6D00" w:rsidP="0072211C">
            <w:pPr>
              <w:pStyle w:val="SubStandard"/>
              <w:rPr>
                <w:b/>
              </w:rPr>
            </w:pPr>
            <w:r w:rsidRPr="007F7414">
              <w:rPr>
                <w:b/>
              </w:rPr>
              <w:t xml:space="preserve">Seek to understand other perspectives and cultures and communicate effectively </w:t>
            </w:r>
            <w:r w:rsidRPr="0072211C">
              <w:rPr>
                <w:b/>
              </w:rPr>
              <w:t>with audiences or individuals from varied backgrounds.</w:t>
            </w:r>
            <w:r>
              <w:t xml:space="preserve"> </w:t>
            </w:r>
          </w:p>
        </w:tc>
      </w:tr>
      <w:tr w:rsidR="000679B0" w:rsidRPr="003539A7" w14:paraId="57F76133" w14:textId="77777777" w:rsidTr="004C085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" w:type="dxa"/>
            <w:right w:w="10" w:type="dxa"/>
          </w:tblCellMar>
        </w:tblPrEx>
        <w:tc>
          <w:tcPr>
            <w:tcW w:w="9460" w:type="dxa"/>
            <w:gridSpan w:val="3"/>
            <w:shd w:val="clear" w:color="auto" w:fill="5F497A" w:themeFill="accent4" w:themeFillShade="B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2F7DBC" w14:textId="77777777" w:rsidR="000679B0" w:rsidRPr="003539A7" w:rsidRDefault="000679B0" w:rsidP="00DB07DD">
            <w:pPr>
              <w:pStyle w:val="TableHeaders"/>
            </w:pPr>
            <w:r w:rsidRPr="003539A7">
              <w:t>CCS Standards: Language</w:t>
            </w:r>
          </w:p>
        </w:tc>
      </w:tr>
      <w:tr w:rsidR="000679B0" w:rsidRPr="003539A7" w14:paraId="6C10A4A3" w14:textId="77777777" w:rsidTr="004C085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" w:type="dxa"/>
            <w:right w:w="10" w:type="dxa"/>
          </w:tblCellMar>
        </w:tblPrEx>
        <w:tc>
          <w:tcPr>
            <w:tcW w:w="1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58BB71" w14:textId="77777777" w:rsidR="000679B0" w:rsidRPr="00386933" w:rsidRDefault="00386933" w:rsidP="00DA6D00">
            <w:pPr>
              <w:pStyle w:val="TableText"/>
            </w:pPr>
            <w:r w:rsidRPr="00386933">
              <w:t>L.9-10.4.a</w:t>
            </w:r>
          </w:p>
        </w:tc>
        <w:tc>
          <w:tcPr>
            <w:tcW w:w="8010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1BB6B2" w14:textId="77777777" w:rsidR="00DA6D00" w:rsidRPr="00DA6D00" w:rsidRDefault="00DA6D00" w:rsidP="00DA6D00">
            <w:pPr>
              <w:pStyle w:val="TableText"/>
              <w:rPr>
                <w:lang w:eastAsia="ja-JP"/>
              </w:rPr>
            </w:pPr>
            <w:r w:rsidRPr="00DA6D00">
              <w:rPr>
                <w:lang w:eastAsia="ja-JP"/>
              </w:rPr>
              <w:t xml:space="preserve">Determine or clarify the meaning of unknown and multiple-meaning words and </w:t>
            </w:r>
            <w:r>
              <w:rPr>
                <w:lang w:eastAsia="ja-JP"/>
              </w:rPr>
              <w:t xml:space="preserve">phrases </w:t>
            </w:r>
            <w:r w:rsidRPr="00DA6D00">
              <w:rPr>
                <w:lang w:eastAsia="ja-JP"/>
              </w:rPr>
              <w:t xml:space="preserve">based on </w:t>
            </w:r>
            <w:r w:rsidRPr="003A57FF">
              <w:rPr>
                <w:i/>
                <w:lang w:eastAsia="ja-JP"/>
              </w:rPr>
              <w:t>grades 9–10 reading and content</w:t>
            </w:r>
            <w:r w:rsidRPr="00DA6D00">
              <w:rPr>
                <w:lang w:eastAsia="ja-JP"/>
              </w:rPr>
              <w:t xml:space="preserve">, choosing flexibly from a range of strategies. </w:t>
            </w:r>
          </w:p>
          <w:p w14:paraId="353C7992" w14:textId="77777777" w:rsidR="00BE1E61" w:rsidRPr="00DA6D00" w:rsidRDefault="00DA6D00" w:rsidP="00DA6D00">
            <w:pPr>
              <w:pStyle w:val="SubStandard"/>
              <w:numPr>
                <w:ilvl w:val="0"/>
                <w:numId w:val="39"/>
              </w:numPr>
            </w:pPr>
            <w:r w:rsidRPr="00DA6D00">
              <w:t>Use context (e.g., the overall meaning of a sentence, paragraph, or text; a word’s position or function in a sentence) as a clue to the meaning of a word or phrase.</w:t>
            </w:r>
          </w:p>
        </w:tc>
      </w:tr>
    </w:tbl>
    <w:p w14:paraId="5588EFCF" w14:textId="77777777" w:rsidR="004777FE" w:rsidRPr="003539A7" w:rsidRDefault="004777FE" w:rsidP="004777FE">
      <w:r w:rsidRPr="00A836EB">
        <w:rPr>
          <w:b/>
        </w:rPr>
        <w:t>Note:</w:t>
      </w:r>
      <w:r w:rsidRPr="003539A7">
        <w:t xml:space="preserve"> Bold text indicates targeted standards that will be assessed in the unit.</w:t>
      </w:r>
    </w:p>
    <w:p w14:paraId="0164B5F0" w14:textId="77777777" w:rsidR="004777FE" w:rsidRPr="005B6EE5" w:rsidRDefault="004777FE" w:rsidP="004777FE">
      <w:pPr>
        <w:pStyle w:val="Heading1"/>
        <w:rPr>
          <w:rFonts w:asciiTheme="majorHAnsi" w:hAnsiTheme="majorHAnsi"/>
        </w:rPr>
      </w:pPr>
      <w:r w:rsidRPr="005B6EE5">
        <w:rPr>
          <w:rFonts w:asciiTheme="majorHAnsi" w:hAnsiTheme="majorHAnsi"/>
        </w:rPr>
        <w:lastRenderedPageBreak/>
        <w:t>Unit Assessments</w:t>
      </w:r>
    </w:p>
    <w:tbl>
      <w:tblPr>
        <w:tblW w:w="94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7750"/>
      </w:tblGrid>
      <w:tr w:rsidR="004777FE" w:rsidRPr="003539A7" w14:paraId="33193B0B" w14:textId="77777777" w:rsidTr="004C0855">
        <w:tc>
          <w:tcPr>
            <w:tcW w:w="9460" w:type="dxa"/>
            <w:gridSpan w:val="2"/>
            <w:shd w:val="clear" w:color="auto" w:fill="5F497A" w:themeFill="accent4" w:themeFillShade="B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A47495" w14:textId="77777777" w:rsidR="004777FE" w:rsidRPr="003539A7" w:rsidRDefault="004777FE" w:rsidP="00DB07DD">
            <w:pPr>
              <w:pStyle w:val="TableHeaders"/>
            </w:pPr>
            <w:r w:rsidRPr="00A836EB">
              <w:t>Ongoing</w:t>
            </w:r>
            <w:r w:rsidRPr="003539A7">
              <w:t xml:space="preserve"> Assessment</w:t>
            </w:r>
          </w:p>
        </w:tc>
      </w:tr>
      <w:tr w:rsidR="004777FE" w:rsidRPr="003539A7" w14:paraId="7B1E35A6" w14:textId="77777777" w:rsidTr="004C0855"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FADBD7" w14:textId="77777777" w:rsidR="004777FE" w:rsidRPr="00A836EB" w:rsidRDefault="004777FE" w:rsidP="00DB07DD">
            <w:pPr>
              <w:rPr>
                <w:b/>
              </w:rPr>
            </w:pPr>
            <w:r w:rsidRPr="00A836EB">
              <w:rPr>
                <w:b/>
              </w:rPr>
              <w:t>Standards Assessed</w:t>
            </w:r>
          </w:p>
        </w:tc>
        <w:tc>
          <w:tcPr>
            <w:tcW w:w="77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D0AA32" w14:textId="2FB4CE95" w:rsidR="004777FE" w:rsidRPr="00A836EB" w:rsidRDefault="003E5549" w:rsidP="008A344A">
            <w:pPr>
              <w:pStyle w:val="TableText"/>
            </w:pPr>
            <w:r>
              <w:t xml:space="preserve">RI.9-10.2, RI.9-10.5, RI.9-10.6, </w:t>
            </w:r>
            <w:r w:rsidRPr="003E5549">
              <w:t>SL.9-10.1.a-e</w:t>
            </w:r>
            <w:r>
              <w:t xml:space="preserve">, </w:t>
            </w:r>
          </w:p>
        </w:tc>
      </w:tr>
      <w:tr w:rsidR="004777FE" w:rsidRPr="003539A7" w14:paraId="7DEA004F" w14:textId="77777777" w:rsidTr="004C0855"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FD1A50" w14:textId="77777777" w:rsidR="004777FE" w:rsidRPr="00A836EB" w:rsidRDefault="004777FE" w:rsidP="00DB07DD">
            <w:pPr>
              <w:rPr>
                <w:b/>
              </w:rPr>
            </w:pPr>
            <w:r w:rsidRPr="00A836EB">
              <w:rPr>
                <w:b/>
              </w:rPr>
              <w:t>Description of Assessment</w:t>
            </w:r>
          </w:p>
        </w:tc>
        <w:tc>
          <w:tcPr>
            <w:tcW w:w="77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E75664" w14:textId="77777777" w:rsidR="004777FE" w:rsidRPr="00A836EB" w:rsidRDefault="004777FE" w:rsidP="00DB07DD">
            <w:r w:rsidRPr="00A836EB">
              <w:t>Answer text-dependent questions. Write informally in response to text-based prompts. Present information in an organized and logical manner</w:t>
            </w:r>
            <w:r w:rsidR="00173471">
              <w:t xml:space="preserve"> both orally and in writing</w:t>
            </w:r>
            <w:r w:rsidRPr="00A836EB">
              <w:t xml:space="preserve">. </w:t>
            </w:r>
            <w:r w:rsidR="0046247F">
              <w:t>Participate in small-group and whole-class discussions, providing evidence and reasoning to support claims.</w:t>
            </w:r>
          </w:p>
        </w:tc>
      </w:tr>
    </w:tbl>
    <w:p w14:paraId="64F61293" w14:textId="77777777" w:rsidR="004777FE" w:rsidRPr="00A01D73" w:rsidRDefault="004777FE" w:rsidP="004777FE">
      <w:pPr>
        <w:pStyle w:val="Heading1"/>
        <w:rPr>
          <w:rFonts w:asciiTheme="majorHAnsi" w:hAnsiTheme="majorHAnsi"/>
        </w:rPr>
      </w:pPr>
      <w:r w:rsidRPr="00A01D73">
        <w:rPr>
          <w:rFonts w:asciiTheme="majorHAnsi" w:hAnsiTheme="majorHAnsi"/>
        </w:rPr>
        <w:t>Unit-at-a-Glance Calendar</w:t>
      </w:r>
    </w:p>
    <w:tbl>
      <w:tblPr>
        <w:tblpPr w:leftFromText="180" w:rightFromText="180" w:vertAnchor="text" w:tblpY="1"/>
        <w:tblOverlap w:val="never"/>
        <w:tblW w:w="9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1737"/>
        <w:gridCol w:w="6833"/>
      </w:tblGrid>
      <w:tr w:rsidR="004777FE" w14:paraId="78095C37" w14:textId="77777777">
        <w:trPr>
          <w:trHeight w:val="460"/>
        </w:trPr>
        <w:tc>
          <w:tcPr>
            <w:tcW w:w="878" w:type="dxa"/>
            <w:shd w:val="clear" w:color="auto" w:fill="5F497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338BE9" w14:textId="77777777" w:rsidR="004777FE" w:rsidRDefault="004777FE" w:rsidP="0038536A">
            <w:pPr>
              <w:pStyle w:val="Normal2"/>
              <w:contextualSpacing w:val="0"/>
              <w:jc w:val="center"/>
            </w:pPr>
            <w:r>
              <w:rPr>
                <w:b/>
                <w:color w:val="FFFFFF"/>
              </w:rPr>
              <w:t>Lesson</w:t>
            </w:r>
          </w:p>
        </w:tc>
        <w:tc>
          <w:tcPr>
            <w:tcW w:w="1737" w:type="dxa"/>
            <w:shd w:val="clear" w:color="auto" w:fill="5F497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8B42D0" w14:textId="052C8112" w:rsidR="004777FE" w:rsidRDefault="004777FE" w:rsidP="004C0855">
            <w:pPr>
              <w:pStyle w:val="Normal2"/>
              <w:contextualSpacing w:val="0"/>
            </w:pPr>
            <w:r>
              <w:rPr>
                <w:b/>
                <w:color w:val="FFFFFF"/>
              </w:rPr>
              <w:t xml:space="preserve">Text </w:t>
            </w:r>
          </w:p>
        </w:tc>
        <w:tc>
          <w:tcPr>
            <w:tcW w:w="6833" w:type="dxa"/>
            <w:shd w:val="clear" w:color="auto" w:fill="5F497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8EDEE3" w14:textId="77777777" w:rsidR="004777FE" w:rsidRDefault="004777FE" w:rsidP="0038536A">
            <w:pPr>
              <w:pStyle w:val="Normal2"/>
              <w:contextualSpacing w:val="0"/>
            </w:pPr>
            <w:r>
              <w:rPr>
                <w:b/>
                <w:color w:val="FFFFFF"/>
              </w:rPr>
              <w:t>Learning Outcomes/Goals</w:t>
            </w:r>
          </w:p>
        </w:tc>
      </w:tr>
      <w:tr w:rsidR="004777FE" w:rsidRPr="00FC7E03" w14:paraId="093907DC" w14:textId="77777777">
        <w:trPr>
          <w:trHeight w:val="340"/>
        </w:trPr>
        <w:tc>
          <w:tcPr>
            <w:tcW w:w="8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239B33" w14:textId="77777777" w:rsidR="004777FE" w:rsidRPr="00FC7E03" w:rsidRDefault="004777FE" w:rsidP="000A1995">
            <w:pPr>
              <w:pStyle w:val="TableText"/>
            </w:pPr>
            <w:r w:rsidRPr="00FC7E03">
              <w:t>1</w:t>
            </w:r>
          </w:p>
        </w:tc>
        <w:tc>
          <w:tcPr>
            <w:tcW w:w="17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05B8AF" w14:textId="2818437D" w:rsidR="004777FE" w:rsidRPr="003E5549" w:rsidRDefault="003E5549" w:rsidP="009C4D0B">
            <w:pPr>
              <w:pStyle w:val="TableText"/>
            </w:pPr>
            <w:r>
              <w:rPr>
                <w:i/>
              </w:rPr>
              <w:t>The Prince</w:t>
            </w:r>
            <w:r>
              <w:t xml:space="preserve"> by </w:t>
            </w:r>
            <w:proofErr w:type="spellStart"/>
            <w:r>
              <w:t>Niccolò</w:t>
            </w:r>
            <w:proofErr w:type="spellEnd"/>
            <w:r>
              <w:t xml:space="preserve"> Machiavelli, </w:t>
            </w:r>
            <w:r w:rsidR="009C4D0B">
              <w:t>c</w:t>
            </w:r>
            <w:r>
              <w:t>hapter</w:t>
            </w:r>
            <w:r w:rsidR="00DA58FA">
              <w:t xml:space="preserve"> 17 (</w:t>
            </w:r>
            <w:r w:rsidR="00BE41E3">
              <w:t>par</w:t>
            </w:r>
            <w:r w:rsidR="002C596C">
              <w:t>agraphs</w:t>
            </w:r>
            <w:r w:rsidR="00DA58FA">
              <w:t xml:space="preserve"> 1</w:t>
            </w:r>
            <w:r w:rsidR="002C596C">
              <w:t>–</w:t>
            </w:r>
            <w:r w:rsidR="00BE41E3">
              <w:t>2</w:t>
            </w:r>
            <w:r w:rsidR="00DA58FA">
              <w:t>)</w:t>
            </w:r>
          </w:p>
        </w:tc>
        <w:tc>
          <w:tcPr>
            <w:tcW w:w="683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8B0483" w14:textId="6E8E2716" w:rsidR="004777FE" w:rsidRPr="00DA58FA" w:rsidRDefault="00E741AD" w:rsidP="000A1995">
            <w:pPr>
              <w:pStyle w:val="TableText"/>
            </w:pPr>
            <w:r>
              <w:t>In this first lesson of the unit, students read and analy</w:t>
            </w:r>
            <w:r w:rsidR="00DE7F69">
              <w:t>ze the first two paragraphs of c</w:t>
            </w:r>
            <w:r>
              <w:t xml:space="preserve">hapter 17 of </w:t>
            </w:r>
            <w:proofErr w:type="spellStart"/>
            <w:r w:rsidR="00DA58FA">
              <w:t>Niccolò</w:t>
            </w:r>
            <w:proofErr w:type="spellEnd"/>
            <w:r w:rsidR="00DA58FA">
              <w:t xml:space="preserve"> Machiavelli’s </w:t>
            </w:r>
            <w:r>
              <w:rPr>
                <w:i/>
              </w:rPr>
              <w:t>The Prince</w:t>
            </w:r>
            <w:r w:rsidR="00DA58FA">
              <w:rPr>
                <w:i/>
              </w:rPr>
              <w:t xml:space="preserve"> </w:t>
            </w:r>
            <w:r w:rsidR="00DA58FA">
              <w:t>to identify central ideas, including ideas about the values of mercy and cruelty for a prince and about whether it is better for a prince to be loved or feared. Students examine Machiavelli’s use of specific details to support his ideas.</w:t>
            </w:r>
          </w:p>
        </w:tc>
      </w:tr>
      <w:tr w:rsidR="004777FE" w:rsidRPr="00FC7E03" w14:paraId="79039BFF" w14:textId="77777777">
        <w:trPr>
          <w:trHeight w:val="340"/>
        </w:trPr>
        <w:tc>
          <w:tcPr>
            <w:tcW w:w="8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EF368C" w14:textId="77777777" w:rsidR="004777FE" w:rsidRPr="00FC7E03" w:rsidRDefault="004777FE" w:rsidP="000A1995">
            <w:pPr>
              <w:pStyle w:val="TableText"/>
            </w:pPr>
            <w:r w:rsidRPr="00FC7E03">
              <w:t>2</w:t>
            </w:r>
          </w:p>
        </w:tc>
        <w:tc>
          <w:tcPr>
            <w:tcW w:w="17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0C7878" w14:textId="386952E3" w:rsidR="004777FE" w:rsidRPr="001D756A" w:rsidRDefault="00BE41E3" w:rsidP="002C596C">
            <w:pPr>
              <w:pStyle w:val="TableText"/>
            </w:pPr>
            <w:r>
              <w:rPr>
                <w:i/>
              </w:rPr>
              <w:t>The Prince</w:t>
            </w:r>
            <w:r>
              <w:t xml:space="preserve"> by </w:t>
            </w:r>
            <w:proofErr w:type="spellStart"/>
            <w:r>
              <w:t>N</w:t>
            </w:r>
            <w:r w:rsidR="00DA58FA">
              <w:t>icco</w:t>
            </w:r>
            <w:r w:rsidR="009C4D0B">
              <w:t>lò</w:t>
            </w:r>
            <w:proofErr w:type="spellEnd"/>
            <w:r w:rsidR="009C4D0B">
              <w:t xml:space="preserve"> Machiavelli, c</w:t>
            </w:r>
            <w:r w:rsidR="002C596C">
              <w:t>hapter 17 (paragraphs</w:t>
            </w:r>
            <w:r w:rsidR="00DA58FA">
              <w:t xml:space="preserve"> 3</w:t>
            </w:r>
            <w:r w:rsidR="002C596C">
              <w:t>–</w:t>
            </w:r>
            <w:r>
              <w:t>6</w:t>
            </w:r>
            <w:r w:rsidR="00F42901">
              <w:t>)</w:t>
            </w:r>
            <w:r>
              <w:t xml:space="preserve"> </w:t>
            </w:r>
          </w:p>
        </w:tc>
        <w:tc>
          <w:tcPr>
            <w:tcW w:w="683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7664BE" w14:textId="3259A5D0" w:rsidR="004777FE" w:rsidRPr="001D756A" w:rsidRDefault="0087546F" w:rsidP="00BA50C5">
            <w:pPr>
              <w:pStyle w:val="TableText"/>
              <w:rPr>
                <w:rFonts w:asciiTheme="majorHAnsi" w:eastAsiaTheme="minorEastAsia" w:hAnsiTheme="majorHAnsi" w:cs="Helvetica"/>
                <w:lang w:eastAsia="ja-JP"/>
              </w:rPr>
            </w:pPr>
            <w:r>
              <w:rPr>
                <w:rFonts w:asciiTheme="majorHAnsi" w:eastAsiaTheme="minorEastAsia" w:hAnsiTheme="majorHAnsi" w:cs="Helvetica"/>
                <w:lang w:eastAsia="ja-JP"/>
              </w:rPr>
              <w:t>In this lesson, s</w:t>
            </w:r>
            <w:r w:rsidR="00DA58FA">
              <w:rPr>
                <w:rFonts w:asciiTheme="majorHAnsi" w:eastAsiaTheme="minorEastAsia" w:hAnsiTheme="majorHAnsi" w:cs="Helvetica"/>
                <w:lang w:eastAsia="ja-JP"/>
              </w:rPr>
              <w:t xml:space="preserve">tudents </w:t>
            </w:r>
            <w:r w:rsidR="00BA50C5">
              <w:rPr>
                <w:rFonts w:asciiTheme="majorHAnsi" w:eastAsiaTheme="minorEastAsia" w:hAnsiTheme="majorHAnsi" w:cs="Helvetica"/>
                <w:lang w:eastAsia="ja-JP"/>
              </w:rPr>
              <w:t xml:space="preserve">review the Dedicatory Letter that they read for homework, considering Machiavelli’s purpose and point of view. Then students </w:t>
            </w:r>
            <w:r w:rsidR="00DA58FA">
              <w:rPr>
                <w:rFonts w:asciiTheme="majorHAnsi" w:eastAsiaTheme="minorEastAsia" w:hAnsiTheme="majorHAnsi" w:cs="Helvetica"/>
                <w:lang w:eastAsia="ja-JP"/>
              </w:rPr>
              <w:t>read the remaini</w:t>
            </w:r>
            <w:r w:rsidR="00DE7F69">
              <w:rPr>
                <w:rFonts w:asciiTheme="majorHAnsi" w:eastAsiaTheme="minorEastAsia" w:hAnsiTheme="majorHAnsi" w:cs="Helvetica"/>
                <w:lang w:eastAsia="ja-JP"/>
              </w:rPr>
              <w:t>ng four paragraphs of c</w:t>
            </w:r>
            <w:r w:rsidR="000A1995">
              <w:rPr>
                <w:rFonts w:asciiTheme="majorHAnsi" w:eastAsiaTheme="minorEastAsia" w:hAnsiTheme="majorHAnsi" w:cs="Helvetica"/>
                <w:lang w:eastAsia="ja-JP"/>
              </w:rPr>
              <w:t xml:space="preserve">hapter 17 of </w:t>
            </w:r>
            <w:r w:rsidR="000A1995">
              <w:rPr>
                <w:rFonts w:asciiTheme="majorHAnsi" w:eastAsiaTheme="minorEastAsia" w:hAnsiTheme="majorHAnsi" w:cs="Helvetica"/>
                <w:i/>
                <w:lang w:eastAsia="ja-JP"/>
              </w:rPr>
              <w:t>The Prince,</w:t>
            </w:r>
            <w:r w:rsidR="00DA58FA">
              <w:rPr>
                <w:rFonts w:asciiTheme="majorHAnsi" w:eastAsiaTheme="minorEastAsia" w:hAnsiTheme="majorHAnsi" w:cs="Helvetica"/>
                <w:lang w:eastAsia="ja-JP"/>
              </w:rPr>
              <w:t xml:space="preserve"> </w:t>
            </w:r>
            <w:r w:rsidR="00BA50C5">
              <w:rPr>
                <w:rFonts w:asciiTheme="majorHAnsi" w:eastAsiaTheme="minorEastAsia" w:hAnsiTheme="majorHAnsi" w:cs="Helvetica"/>
                <w:lang w:eastAsia="ja-JP"/>
              </w:rPr>
              <w:t>discussing in small groups</w:t>
            </w:r>
            <w:r w:rsidR="00DA58FA">
              <w:rPr>
                <w:rFonts w:asciiTheme="majorHAnsi" w:eastAsiaTheme="minorEastAsia" w:hAnsiTheme="majorHAnsi" w:cs="Helvetica"/>
                <w:lang w:eastAsia="ja-JP"/>
              </w:rPr>
              <w:t xml:space="preserve"> Machiavelli’s </w:t>
            </w:r>
            <w:r>
              <w:rPr>
                <w:rFonts w:asciiTheme="majorHAnsi" w:eastAsiaTheme="minorEastAsia" w:hAnsiTheme="majorHAnsi" w:cs="Helvetica"/>
                <w:lang w:eastAsia="ja-JP"/>
              </w:rPr>
              <w:t xml:space="preserve">point of view in this text and his </w:t>
            </w:r>
            <w:r w:rsidR="00DA58FA">
              <w:rPr>
                <w:rFonts w:asciiTheme="majorHAnsi" w:eastAsiaTheme="minorEastAsia" w:hAnsiTheme="majorHAnsi" w:cs="Helvetica"/>
                <w:lang w:eastAsia="ja-JP"/>
              </w:rPr>
              <w:t>use of rhetoric</w:t>
            </w:r>
            <w:r>
              <w:rPr>
                <w:rFonts w:asciiTheme="majorHAnsi" w:eastAsiaTheme="minorEastAsia" w:hAnsiTheme="majorHAnsi" w:cs="Helvetica"/>
                <w:lang w:eastAsia="ja-JP"/>
              </w:rPr>
              <w:t>, particularly historical examples</w:t>
            </w:r>
            <w:r w:rsidR="006F4681">
              <w:rPr>
                <w:rFonts w:asciiTheme="majorHAnsi" w:eastAsiaTheme="minorEastAsia" w:hAnsiTheme="majorHAnsi" w:cs="Helvetica"/>
                <w:lang w:eastAsia="ja-JP"/>
              </w:rPr>
              <w:t>, contrast,</w:t>
            </w:r>
            <w:r>
              <w:rPr>
                <w:rFonts w:asciiTheme="majorHAnsi" w:eastAsiaTheme="minorEastAsia" w:hAnsiTheme="majorHAnsi" w:cs="Helvetica"/>
                <w:lang w:eastAsia="ja-JP"/>
              </w:rPr>
              <w:t xml:space="preserve"> and absolute statements.</w:t>
            </w:r>
          </w:p>
        </w:tc>
      </w:tr>
      <w:tr w:rsidR="004777FE" w:rsidRPr="00FC7E03" w14:paraId="13BEE183" w14:textId="77777777">
        <w:trPr>
          <w:trHeight w:val="340"/>
        </w:trPr>
        <w:tc>
          <w:tcPr>
            <w:tcW w:w="8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8470B6" w14:textId="77777777" w:rsidR="004777FE" w:rsidRPr="00FC7E03" w:rsidRDefault="004777FE" w:rsidP="000A1995">
            <w:pPr>
              <w:pStyle w:val="TableText"/>
            </w:pPr>
            <w:r w:rsidRPr="00FC7E03">
              <w:t>3</w:t>
            </w:r>
          </w:p>
        </w:tc>
        <w:tc>
          <w:tcPr>
            <w:tcW w:w="17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E4BF52" w14:textId="2FD52605" w:rsidR="004777FE" w:rsidRPr="001D756A" w:rsidRDefault="00BE41E3" w:rsidP="009C4D0B">
            <w:pPr>
              <w:pStyle w:val="TableText"/>
            </w:pPr>
            <w:r>
              <w:rPr>
                <w:i/>
              </w:rPr>
              <w:t>The Prince</w:t>
            </w:r>
            <w:r>
              <w:t xml:space="preserve"> by </w:t>
            </w:r>
            <w:proofErr w:type="spellStart"/>
            <w:r>
              <w:t>N</w:t>
            </w:r>
            <w:r w:rsidR="00F42901">
              <w:t>iccolò</w:t>
            </w:r>
            <w:proofErr w:type="spellEnd"/>
            <w:r w:rsidR="00F42901">
              <w:t xml:space="preserve"> Machiavelli, </w:t>
            </w:r>
            <w:r w:rsidR="009C4D0B">
              <w:t>c</w:t>
            </w:r>
            <w:r w:rsidR="00F42901">
              <w:t xml:space="preserve">hapter 18 </w:t>
            </w:r>
            <w:r w:rsidR="00F42901" w:rsidRPr="004C0855">
              <w:rPr>
                <w:spacing w:val="-2"/>
              </w:rPr>
              <w:t>(paragraphs 1–</w:t>
            </w:r>
            <w:r w:rsidR="0087546F" w:rsidRPr="004C0855">
              <w:rPr>
                <w:spacing w:val="-2"/>
              </w:rPr>
              <w:t>3)</w:t>
            </w:r>
          </w:p>
        </w:tc>
        <w:tc>
          <w:tcPr>
            <w:tcW w:w="683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8C9864" w14:textId="217F8120" w:rsidR="004777FE" w:rsidRPr="00FC7E03" w:rsidRDefault="0087546F" w:rsidP="00013821">
            <w:pPr>
              <w:pStyle w:val="TableText"/>
            </w:pPr>
            <w:r>
              <w:t>In this lesson, students read and analyze</w:t>
            </w:r>
            <w:r w:rsidR="00DE7F69">
              <w:t xml:space="preserve"> the first three paragraphs of c</w:t>
            </w:r>
            <w:r>
              <w:t xml:space="preserve">hapter 18 of </w:t>
            </w:r>
            <w:r>
              <w:rPr>
                <w:i/>
              </w:rPr>
              <w:t>The Prince</w:t>
            </w:r>
            <w:r>
              <w:t>, identifying c</w:t>
            </w:r>
            <w:r w:rsidR="003A3D30">
              <w:t>entral ideas</w:t>
            </w:r>
            <w:r w:rsidR="00DE7F69">
              <w:t xml:space="preserve"> that are common to both c</w:t>
            </w:r>
            <w:r>
              <w:t xml:space="preserve">hapters 17 and 18, </w:t>
            </w:r>
            <w:r w:rsidR="00013821">
              <w:t>morality</w:t>
            </w:r>
            <w:r>
              <w:t>, ambition, and the relationship between appearance and reality.</w:t>
            </w:r>
            <w:r w:rsidR="004E1FBC">
              <w:t xml:space="preserve"> Students analyze how these ideas develop over the course of the two chapters.</w:t>
            </w:r>
          </w:p>
        </w:tc>
      </w:tr>
      <w:tr w:rsidR="004777FE" w:rsidRPr="00FC7E03" w14:paraId="126CC4E3" w14:textId="77777777">
        <w:trPr>
          <w:trHeight w:val="340"/>
        </w:trPr>
        <w:tc>
          <w:tcPr>
            <w:tcW w:w="8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DE2660" w14:textId="77777777" w:rsidR="004777FE" w:rsidRPr="00FC7E03" w:rsidRDefault="004777FE" w:rsidP="000A1995">
            <w:pPr>
              <w:pStyle w:val="TableText"/>
            </w:pPr>
            <w:r w:rsidRPr="00FC7E03">
              <w:lastRenderedPageBreak/>
              <w:t>4</w:t>
            </w:r>
          </w:p>
        </w:tc>
        <w:tc>
          <w:tcPr>
            <w:tcW w:w="17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72E4CE" w14:textId="68E2E948" w:rsidR="004777FE" w:rsidRPr="008D17FD" w:rsidRDefault="00BE41E3" w:rsidP="00F42901">
            <w:pPr>
              <w:pStyle w:val="TableText"/>
            </w:pPr>
            <w:r>
              <w:rPr>
                <w:i/>
              </w:rPr>
              <w:t>The Prince</w:t>
            </w:r>
            <w:r>
              <w:t xml:space="preserve"> by </w:t>
            </w:r>
            <w:proofErr w:type="spellStart"/>
            <w:r w:rsidR="00F42901">
              <w:t>Niccolò</w:t>
            </w:r>
            <w:proofErr w:type="spellEnd"/>
            <w:r w:rsidR="00F42901">
              <w:t xml:space="preserve"> Machiavelli, </w:t>
            </w:r>
            <w:r w:rsidR="009C4D0B">
              <w:t>c</w:t>
            </w:r>
            <w:r w:rsidR="00F42901">
              <w:t>hapter 18</w:t>
            </w:r>
            <w:r>
              <w:t xml:space="preserve"> </w:t>
            </w:r>
            <w:r w:rsidR="00F42901">
              <w:t>(paragraphs</w:t>
            </w:r>
            <w:r w:rsidR="0087546F">
              <w:t xml:space="preserve"> 4</w:t>
            </w:r>
            <w:r w:rsidR="00F42901">
              <w:t>–</w:t>
            </w:r>
            <w:r w:rsidR="0087546F">
              <w:t>6)</w:t>
            </w:r>
          </w:p>
        </w:tc>
        <w:tc>
          <w:tcPr>
            <w:tcW w:w="683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C06196" w14:textId="085D4B35" w:rsidR="004777FE" w:rsidRPr="0087546F" w:rsidRDefault="0087546F" w:rsidP="00DE7F69">
            <w:pPr>
              <w:pStyle w:val="TableText"/>
            </w:pPr>
            <w:r>
              <w:t xml:space="preserve">In this lesson, students read the final three paragraphs of </w:t>
            </w:r>
            <w:r w:rsidR="00DE7F69">
              <w:t>c</w:t>
            </w:r>
            <w:r>
              <w:t xml:space="preserve">hapter 18 of </w:t>
            </w:r>
            <w:r>
              <w:rPr>
                <w:i/>
              </w:rPr>
              <w:t>The Prince</w:t>
            </w:r>
            <w:r>
              <w:t>.</w:t>
            </w:r>
            <w:r w:rsidR="000A1995">
              <w:t xml:space="preserve"> Students </w:t>
            </w:r>
            <w:r w:rsidR="00E56550">
              <w:t>collaboratively identify quotes</w:t>
            </w:r>
            <w:r w:rsidR="000A1995">
              <w:t xml:space="preserve"> to analyze how specific phrases refine</w:t>
            </w:r>
            <w:r w:rsidR="002F5A55">
              <w:t xml:space="preserve"> and develop claims and</w:t>
            </w:r>
            <w:r w:rsidR="000A1995">
              <w:t xml:space="preserve"> central ideas that are common to </w:t>
            </w:r>
            <w:r w:rsidR="00DE7F69">
              <w:t>c</w:t>
            </w:r>
            <w:r w:rsidR="000A1995">
              <w:t>hapters 17 and 18.</w:t>
            </w:r>
            <w:r w:rsidR="004E1FBC">
              <w:t xml:space="preserve"> Then students examine each other’s work to gain a broader sense of how different phrases refine and develop ideas across the two chapters. </w:t>
            </w:r>
          </w:p>
        </w:tc>
      </w:tr>
      <w:tr w:rsidR="004777FE" w:rsidRPr="00FC7E03" w14:paraId="79606779" w14:textId="77777777">
        <w:trPr>
          <w:trHeight w:val="340"/>
        </w:trPr>
        <w:tc>
          <w:tcPr>
            <w:tcW w:w="8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C9E2A6" w14:textId="77777777" w:rsidR="004777FE" w:rsidRPr="00FC7E03" w:rsidRDefault="004777FE" w:rsidP="000A1995">
            <w:pPr>
              <w:pStyle w:val="TableText"/>
            </w:pPr>
            <w:r w:rsidRPr="00FC7E03">
              <w:t>5</w:t>
            </w:r>
          </w:p>
        </w:tc>
        <w:tc>
          <w:tcPr>
            <w:tcW w:w="17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08DE42" w14:textId="64F9E5C5" w:rsidR="004777FE" w:rsidRDefault="00BE41E3" w:rsidP="000A1995">
            <w:pPr>
              <w:pStyle w:val="TableText"/>
            </w:pPr>
            <w:r>
              <w:rPr>
                <w:i/>
              </w:rPr>
              <w:t>The Prince</w:t>
            </w:r>
            <w:r w:rsidR="009C4D0B">
              <w:t xml:space="preserve"> by </w:t>
            </w:r>
            <w:proofErr w:type="spellStart"/>
            <w:r w:rsidR="009C4D0B">
              <w:t>Niccolò</w:t>
            </w:r>
            <w:proofErr w:type="spellEnd"/>
            <w:r w:rsidR="009C4D0B">
              <w:t xml:space="preserve"> Machiavelli, c</w:t>
            </w:r>
            <w:r>
              <w:t>hapters 17 and 18</w:t>
            </w:r>
            <w:r w:rsidR="009C4D0B">
              <w:t>;</w:t>
            </w:r>
          </w:p>
          <w:p w14:paraId="14436FCF" w14:textId="77777777" w:rsidR="00BE41E3" w:rsidRPr="00BE41E3" w:rsidRDefault="00BE41E3" w:rsidP="000A1995">
            <w:pPr>
              <w:pStyle w:val="TableText"/>
            </w:pPr>
            <w:r>
              <w:rPr>
                <w:i/>
              </w:rPr>
              <w:t>Macbeth</w:t>
            </w:r>
            <w:r>
              <w:t xml:space="preserve"> by William Shakespeare</w:t>
            </w:r>
          </w:p>
        </w:tc>
        <w:tc>
          <w:tcPr>
            <w:tcW w:w="683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2505E7" w14:textId="77777777" w:rsidR="004777FE" w:rsidRPr="0046247F" w:rsidRDefault="002F5A55" w:rsidP="004E1FBC">
            <w:pPr>
              <w:pStyle w:val="TableText"/>
            </w:pPr>
            <w:r>
              <w:t>In this final lesson of the unit, students work in small groups to consider</w:t>
            </w:r>
            <w:r w:rsidR="0046247F">
              <w:t xml:space="preserve"> whether or not Machiavelli would </w:t>
            </w:r>
            <w:r w:rsidR="00BD52ED">
              <w:t>deem</w:t>
            </w:r>
            <w:r w:rsidR="0046247F">
              <w:t xml:space="preserve"> the fictional character of </w:t>
            </w:r>
            <w:r w:rsidR="0046247F">
              <w:rPr>
                <w:i/>
              </w:rPr>
              <w:t>Macbeth</w:t>
            </w:r>
            <w:r w:rsidR="0046247F">
              <w:t xml:space="preserve"> a successful prince. After providing evidence and reasoning to support their positions, the students participate in a whole-class discussion. Students use the 10.4.3 Discussion Rubric and Checklist to assess their participation.</w:t>
            </w:r>
          </w:p>
        </w:tc>
      </w:tr>
    </w:tbl>
    <w:p w14:paraId="67AB5E4F" w14:textId="77777777" w:rsidR="004777FE" w:rsidRPr="005B6EE5" w:rsidRDefault="004777FE" w:rsidP="004C0855">
      <w:pPr>
        <w:pStyle w:val="Heading1"/>
        <w:spacing w:before="320" w:after="0"/>
        <w:rPr>
          <w:rFonts w:asciiTheme="majorHAnsi" w:hAnsiTheme="majorHAnsi"/>
        </w:rPr>
      </w:pPr>
      <w:r w:rsidRPr="005B6EE5">
        <w:rPr>
          <w:rFonts w:asciiTheme="majorHAnsi" w:hAnsiTheme="majorHAnsi"/>
        </w:rPr>
        <w:lastRenderedPageBreak/>
        <w:t>Preparation, Materials, and Resources</w:t>
      </w:r>
    </w:p>
    <w:p w14:paraId="2DA18177" w14:textId="77777777" w:rsidR="004777FE" w:rsidRPr="008F708C" w:rsidRDefault="004777FE" w:rsidP="004777FE">
      <w:pPr>
        <w:rPr>
          <w:b/>
        </w:rPr>
      </w:pPr>
      <w:r w:rsidRPr="008F708C">
        <w:rPr>
          <w:b/>
        </w:rPr>
        <w:t>Preparation</w:t>
      </w:r>
    </w:p>
    <w:p w14:paraId="27F0901E" w14:textId="0F7AC10F" w:rsidR="004777FE" w:rsidRDefault="004777FE" w:rsidP="004777FE">
      <w:pPr>
        <w:pStyle w:val="BulletedList"/>
        <w:ind w:left="360"/>
      </w:pPr>
      <w:r w:rsidRPr="007B5476">
        <w:t xml:space="preserve">Read and annotate </w:t>
      </w:r>
      <w:r w:rsidR="003E5549">
        <w:t xml:space="preserve">the Dedicatory Letter, </w:t>
      </w:r>
      <w:r w:rsidR="00FA5A02">
        <w:t>c</w:t>
      </w:r>
      <w:r w:rsidR="003E5549">
        <w:t xml:space="preserve">hapters 17 and 18 of </w:t>
      </w:r>
      <w:r w:rsidR="003E5549">
        <w:rPr>
          <w:i/>
        </w:rPr>
        <w:t>The Prince</w:t>
      </w:r>
    </w:p>
    <w:p w14:paraId="52D5993A" w14:textId="2FAC7FA7" w:rsidR="004777FE" w:rsidRDefault="004777FE" w:rsidP="004777FE">
      <w:pPr>
        <w:pStyle w:val="BulletedList"/>
        <w:ind w:left="360"/>
      </w:pPr>
      <w:r>
        <w:t xml:space="preserve">Review the Short Response </w:t>
      </w:r>
      <w:r w:rsidR="00FA5A02">
        <w:t>Rubric and Checklist</w:t>
      </w:r>
    </w:p>
    <w:p w14:paraId="6764271A" w14:textId="77777777" w:rsidR="00BE41E3" w:rsidRDefault="00BE41E3" w:rsidP="004777FE">
      <w:pPr>
        <w:pStyle w:val="BulletedList"/>
        <w:ind w:left="360"/>
      </w:pPr>
      <w:r>
        <w:t>Review the 10.4.3 Discussion Rubric and Checklist</w:t>
      </w:r>
    </w:p>
    <w:p w14:paraId="083CF2E8" w14:textId="1C1C9487" w:rsidR="004777FE" w:rsidRDefault="004777FE" w:rsidP="004777FE">
      <w:pPr>
        <w:pStyle w:val="BulletedList"/>
        <w:ind w:left="360"/>
      </w:pPr>
      <w:r>
        <w:t xml:space="preserve">Review all unit </w:t>
      </w:r>
      <w:r w:rsidR="00DE7F69">
        <w:t>standards and post in classroom</w:t>
      </w:r>
    </w:p>
    <w:p w14:paraId="253F5552" w14:textId="77777777" w:rsidR="004777FE" w:rsidRDefault="004777FE" w:rsidP="004777FE">
      <w:pPr>
        <w:rPr>
          <w:b/>
        </w:rPr>
      </w:pPr>
    </w:p>
    <w:p w14:paraId="09B8F69F" w14:textId="77777777" w:rsidR="004777FE" w:rsidRPr="008F708C" w:rsidRDefault="004777FE" w:rsidP="004777FE">
      <w:pPr>
        <w:rPr>
          <w:b/>
        </w:rPr>
      </w:pPr>
      <w:r w:rsidRPr="008F708C">
        <w:rPr>
          <w:b/>
        </w:rPr>
        <w:t>Materials/Resources</w:t>
      </w:r>
    </w:p>
    <w:p w14:paraId="17D9DE59" w14:textId="77777777" w:rsidR="0046247F" w:rsidRDefault="004777FE" w:rsidP="004777FE">
      <w:pPr>
        <w:pStyle w:val="BulletedList"/>
        <w:ind w:left="360"/>
      </w:pPr>
      <w:r>
        <w:t xml:space="preserve">Copies of </w:t>
      </w:r>
      <w:r w:rsidR="0046247F">
        <w:rPr>
          <w:i/>
        </w:rPr>
        <w:t xml:space="preserve">The </w:t>
      </w:r>
      <w:r w:rsidR="0046247F" w:rsidRPr="0046247F">
        <w:rPr>
          <w:i/>
        </w:rPr>
        <w:t>Prince</w:t>
      </w:r>
    </w:p>
    <w:p w14:paraId="1C33B2BC" w14:textId="77777777" w:rsidR="004777FE" w:rsidRDefault="0046247F" w:rsidP="004777FE">
      <w:pPr>
        <w:pStyle w:val="BulletedList"/>
        <w:ind w:left="360"/>
      </w:pPr>
      <w:r>
        <w:t xml:space="preserve">Copies of </w:t>
      </w:r>
      <w:r w:rsidR="00173471" w:rsidRPr="0046247F">
        <w:rPr>
          <w:i/>
        </w:rPr>
        <w:t>Macbeth</w:t>
      </w:r>
    </w:p>
    <w:p w14:paraId="065C84D5" w14:textId="77777777" w:rsidR="00BD52ED" w:rsidRDefault="00BD52ED" w:rsidP="00BD52ED">
      <w:pPr>
        <w:pStyle w:val="BulletedList"/>
        <w:ind w:left="360"/>
      </w:pPr>
      <w:r>
        <w:t>Chart paper</w:t>
      </w:r>
    </w:p>
    <w:p w14:paraId="26608B24" w14:textId="77777777" w:rsidR="004777FE" w:rsidRPr="007B5476" w:rsidRDefault="004777FE" w:rsidP="004777FE">
      <w:pPr>
        <w:pStyle w:val="BulletedList"/>
        <w:ind w:left="360"/>
      </w:pPr>
      <w:r w:rsidRPr="007B5476">
        <w:t>S</w:t>
      </w:r>
      <w:r>
        <w:t>elf-stick</w:t>
      </w:r>
      <w:r w:rsidRPr="007B5476">
        <w:t xml:space="preserve"> notes for students</w:t>
      </w:r>
    </w:p>
    <w:p w14:paraId="60C69A8D" w14:textId="77777777" w:rsidR="004777FE" w:rsidRPr="007B5476" w:rsidRDefault="004777FE" w:rsidP="004777FE">
      <w:pPr>
        <w:pStyle w:val="BulletedList"/>
        <w:ind w:left="360"/>
      </w:pPr>
      <w:r w:rsidRPr="007B5476">
        <w:t>Writing utensils including pencils, pens, markers, and highlighters</w:t>
      </w:r>
    </w:p>
    <w:p w14:paraId="3E23EF16" w14:textId="77777777" w:rsidR="004777FE" w:rsidRDefault="004777FE" w:rsidP="004777FE">
      <w:pPr>
        <w:pStyle w:val="BulletedList"/>
        <w:ind w:left="360"/>
      </w:pPr>
      <w:r w:rsidRPr="007B5476">
        <w:t>Methods for collecting student work: student notebooks</w:t>
      </w:r>
      <w:r>
        <w:t>,</w:t>
      </w:r>
      <w:r w:rsidRPr="007B5476">
        <w:t xml:space="preserve"> folders</w:t>
      </w:r>
      <w:r>
        <w:t>, etc.</w:t>
      </w:r>
    </w:p>
    <w:p w14:paraId="0397ECFF" w14:textId="77777777" w:rsidR="0046247F" w:rsidRDefault="0046247F" w:rsidP="0046247F">
      <w:pPr>
        <w:pStyle w:val="BulletedList"/>
        <w:ind w:left="360"/>
      </w:pPr>
      <w:r w:rsidRPr="007B5476">
        <w:t>Access to technology (if possible): interactive whiteboard, document camera, and LCD projector</w:t>
      </w:r>
    </w:p>
    <w:p w14:paraId="5641F05C" w14:textId="77777777" w:rsidR="00FA5A02" w:rsidRDefault="004777FE" w:rsidP="00D46997">
      <w:pPr>
        <w:pStyle w:val="BulletedList"/>
        <w:ind w:left="317" w:hanging="317"/>
      </w:pPr>
      <w:r w:rsidRPr="0046247F">
        <w:t xml:space="preserve">Copies of the Short Response </w:t>
      </w:r>
      <w:r w:rsidR="00FA5A02">
        <w:t>Rubric and Checklist</w:t>
      </w:r>
    </w:p>
    <w:p w14:paraId="2D00FFCD" w14:textId="3AAEE997" w:rsidR="00EC6F81" w:rsidRDefault="00173471" w:rsidP="00D46997">
      <w:pPr>
        <w:pStyle w:val="BulletedList"/>
        <w:ind w:left="317" w:hanging="317"/>
      </w:pPr>
      <w:r w:rsidRPr="00FA5A02">
        <w:t>Copies of 10.4</w:t>
      </w:r>
      <w:r w:rsidR="00197127" w:rsidRPr="00FA5A02">
        <w:t>.3</w:t>
      </w:r>
      <w:r w:rsidR="00FA5A02" w:rsidRPr="00FA5A02">
        <w:t xml:space="preserve"> Discussion Rubric and </w:t>
      </w:r>
      <w:r w:rsidR="00FA5A02">
        <w:t>Checklist</w:t>
      </w:r>
    </w:p>
    <w:sectPr w:rsidR="00EC6F81" w:rsidSect="00DB07DD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C2F53" w14:textId="77777777" w:rsidR="00424B87" w:rsidRDefault="00424B87">
      <w:pPr>
        <w:spacing w:before="0" w:after="0" w:line="240" w:lineRule="auto"/>
      </w:pPr>
      <w:r>
        <w:separator/>
      </w:r>
    </w:p>
  </w:endnote>
  <w:endnote w:type="continuationSeparator" w:id="0">
    <w:p w14:paraId="481485FC" w14:textId="77777777" w:rsidR="00424B87" w:rsidRDefault="00424B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6F89E" w14:textId="77777777" w:rsidR="004E1FBC" w:rsidRPr="00563CB8" w:rsidRDefault="004E1FBC" w:rsidP="00DB07DD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9"/>
      <w:gridCol w:w="610"/>
      <w:gridCol w:w="4244"/>
    </w:tblGrid>
    <w:tr w:rsidR="004E1FBC" w14:paraId="3A8FEFBB" w14:textId="7777777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036C8564" w14:textId="562614FC" w:rsidR="004E1FBC" w:rsidRPr="002E4C92" w:rsidRDefault="004E1FBC" w:rsidP="00DB07DD">
          <w:pPr>
            <w:pStyle w:val="FooterText"/>
          </w:pPr>
          <w:r w:rsidRPr="002E4C92">
            <w:t>File:</w:t>
          </w:r>
          <w:r w:rsidRPr="00875407">
            <w:rPr>
              <w:b w:val="0"/>
            </w:rPr>
            <w:t xml:space="preserve"> </w:t>
          </w:r>
          <w:r w:rsidR="00875407" w:rsidRPr="00875407">
            <w:rPr>
              <w:b w:val="0"/>
            </w:rPr>
            <w:t>10</w:t>
          </w:r>
          <w:r w:rsidRPr="00875407">
            <w:rPr>
              <w:b w:val="0"/>
            </w:rPr>
            <w:t>.</w:t>
          </w:r>
          <w:r w:rsidR="00875407" w:rsidRPr="00875407">
            <w:rPr>
              <w:b w:val="0"/>
            </w:rPr>
            <w:t>4</w:t>
          </w:r>
          <w:r w:rsidRPr="00875407">
            <w:rPr>
              <w:b w:val="0"/>
            </w:rPr>
            <w:t>.</w:t>
          </w:r>
          <w:r w:rsidRPr="006F3982">
            <w:rPr>
              <w:b w:val="0"/>
            </w:rPr>
            <w:t xml:space="preserve">3 Overview </w:t>
          </w:r>
          <w:r w:rsidRPr="002E4C92">
            <w:t xml:space="preserve">Date: </w:t>
          </w:r>
          <w:r w:rsidR="00013821">
            <w:rPr>
              <w:b w:val="0"/>
            </w:rPr>
            <w:t>6/2</w:t>
          </w:r>
          <w:r w:rsidR="00DE7F69">
            <w:rPr>
              <w:b w:val="0"/>
            </w:rPr>
            <w:t>5</w:t>
          </w:r>
          <w:r w:rsidR="00013821">
            <w:rPr>
              <w:b w:val="0"/>
            </w:rPr>
            <w:t>/14</w:t>
          </w:r>
          <w:r w:rsidRPr="002E4C92">
            <w:t xml:space="preserve"> Classroom Use:</w:t>
          </w:r>
          <w:r>
            <w:t xml:space="preserve"> </w:t>
          </w:r>
          <w:r w:rsidRPr="006F3982">
            <w:rPr>
              <w:b w:val="0"/>
            </w:rPr>
            <w:t>Starting</w:t>
          </w:r>
          <w:r w:rsidR="00013821">
            <w:rPr>
              <w:b w:val="0"/>
            </w:rPr>
            <w:t xml:space="preserve"> 9/2014</w:t>
          </w:r>
          <w:r w:rsidRPr="002E4C92">
            <w:t xml:space="preserve"> </w:t>
          </w:r>
        </w:p>
        <w:p w14:paraId="75460572" w14:textId="138965AD" w:rsidR="004E1FBC" w:rsidRPr="00440948" w:rsidRDefault="00013821" w:rsidP="00DB07DD">
          <w:pPr>
            <w:pStyle w:val="FooterText"/>
            <w:rPr>
              <w:i/>
              <w:sz w:val="12"/>
            </w:rPr>
          </w:pPr>
          <w:r>
            <w:rPr>
              <w:sz w:val="12"/>
            </w:rPr>
            <w:t>© 2014</w:t>
          </w:r>
          <w:r w:rsidR="004E1FBC" w:rsidRPr="00440948">
            <w:rPr>
              <w:sz w:val="12"/>
            </w:rPr>
            <w:t xml:space="preserve"> Public Consulting Group. </w:t>
          </w:r>
          <w:r w:rsidR="004E1FBC" w:rsidRPr="00440948">
            <w:rPr>
              <w:i/>
              <w:sz w:val="12"/>
            </w:rPr>
            <w:t xml:space="preserve">This work is licensed under a </w:t>
          </w:r>
        </w:p>
        <w:p w14:paraId="1A4BE87E" w14:textId="77777777" w:rsidR="004E1FBC" w:rsidRDefault="004E1FBC" w:rsidP="00DB07DD">
          <w:pPr>
            <w:pStyle w:val="FooterText"/>
          </w:pPr>
          <w:r w:rsidRPr="0054791C">
            <w:rPr>
              <w:i/>
              <w:sz w:val="12"/>
            </w:rPr>
            <w:t>Creative Commons Attribution-</w:t>
          </w:r>
          <w:proofErr w:type="spellStart"/>
          <w:r w:rsidRPr="0054791C">
            <w:rPr>
              <w:i/>
              <w:sz w:val="12"/>
            </w:rPr>
            <w:t>NonCommercial</w:t>
          </w:r>
          <w:proofErr w:type="spellEnd"/>
          <w:r w:rsidRPr="0054791C">
            <w:rPr>
              <w:i/>
              <w:sz w:val="12"/>
            </w:rPr>
            <w:t>-</w:t>
          </w:r>
          <w:proofErr w:type="spellStart"/>
          <w:r w:rsidRPr="0054791C">
            <w:rPr>
              <w:i/>
              <w:sz w:val="12"/>
            </w:rPr>
            <w:t>ShareAlike</w:t>
          </w:r>
          <w:proofErr w:type="spellEnd"/>
          <w:r w:rsidRPr="0054791C">
            <w:rPr>
              <w:i/>
              <w:sz w:val="12"/>
            </w:rPr>
            <w:t xml:space="preserve"> 3.0 </w:t>
          </w:r>
          <w:proofErr w:type="spellStart"/>
          <w:r w:rsidRPr="0054791C">
            <w:rPr>
              <w:i/>
              <w:sz w:val="12"/>
            </w:rPr>
            <w:t>Unported</w:t>
          </w:r>
          <w:proofErr w:type="spellEnd"/>
          <w:r w:rsidRPr="0054791C">
            <w:rPr>
              <w:i/>
              <w:sz w:val="12"/>
            </w:rPr>
            <w:t xml:space="preserve"> License</w:t>
          </w:r>
        </w:p>
        <w:p w14:paraId="6D22E9D6" w14:textId="77777777" w:rsidR="004E1FBC" w:rsidRPr="002E4C92" w:rsidRDefault="00424B87" w:rsidP="00DB07DD">
          <w:pPr>
            <w:pStyle w:val="FooterText"/>
          </w:pPr>
          <w:hyperlink r:id="rId1" w:history="1">
            <w:r w:rsidR="004E1FBC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6F719C31" w14:textId="77777777" w:rsidR="004E1FBC" w:rsidRPr="002E4C92" w:rsidRDefault="004E1FBC" w:rsidP="00DB07DD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F60DAC">
            <w:rPr>
              <w:rFonts w:ascii="Calibri" w:hAnsi="Calibri" w:cs="Calibri"/>
              <w:b/>
              <w:noProof/>
              <w:color w:val="1F4E79"/>
              <w:sz w:val="28"/>
            </w:rPr>
            <w:t>5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14:paraId="748201E7" w14:textId="77777777" w:rsidR="004E1FBC" w:rsidRPr="002E4C92" w:rsidRDefault="004E1FBC" w:rsidP="00DB07DD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4D163C1F" wp14:editId="690D524B">
                <wp:extent cx="1697355" cy="636270"/>
                <wp:effectExtent l="19050" t="0" r="0" b="0"/>
                <wp:docPr id="2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ECB9AB" w14:textId="77777777" w:rsidR="004E1FBC" w:rsidRPr="00677A89" w:rsidRDefault="004E1FBC" w:rsidP="00DB0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ED1F6" w14:textId="77777777" w:rsidR="00424B87" w:rsidRDefault="00424B87">
      <w:pPr>
        <w:spacing w:before="0" w:after="0" w:line="240" w:lineRule="auto"/>
      </w:pPr>
      <w:r>
        <w:separator/>
      </w:r>
    </w:p>
  </w:footnote>
  <w:footnote w:type="continuationSeparator" w:id="0">
    <w:p w14:paraId="444C32A8" w14:textId="77777777" w:rsidR="00424B87" w:rsidRDefault="00424B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8"/>
      <w:gridCol w:w="2369"/>
      <w:gridCol w:w="3363"/>
    </w:tblGrid>
    <w:tr w:rsidR="004E1FBC" w14:paraId="0C99B3E6" w14:textId="77777777">
      <w:tc>
        <w:tcPr>
          <w:tcW w:w="3708" w:type="dxa"/>
        </w:tcPr>
        <w:p w14:paraId="5FE97AE0" w14:textId="77777777" w:rsidR="004E1FBC" w:rsidRDefault="004E1FBC" w:rsidP="00DB07DD">
          <w:pPr>
            <w:pStyle w:val="BodyText"/>
            <w:tabs>
              <w:tab w:val="center" w:pos="4770"/>
              <w:tab w:val="left" w:pos="4980"/>
              <w:tab w:val="right" w:pos="9450"/>
              <w:tab w:val="left" w:pos="11070"/>
            </w:tabs>
            <w:spacing w:before="180"/>
            <w:rPr>
              <w:b/>
              <w:color w:val="244061"/>
              <w:sz w:val="18"/>
            </w:rPr>
          </w:pPr>
          <w:r w:rsidRPr="0029415E">
            <w:rPr>
              <w:b/>
              <w:color w:val="244061"/>
              <w:sz w:val="18"/>
            </w:rPr>
            <w:t>NYS Common Core ELA &amp; Literacy Curriculum</w:t>
          </w:r>
        </w:p>
      </w:tc>
      <w:tc>
        <w:tcPr>
          <w:tcW w:w="2430" w:type="dxa"/>
          <w:vAlign w:val="center"/>
        </w:tcPr>
        <w:p w14:paraId="1B1BD785" w14:textId="77777777" w:rsidR="004E1FBC" w:rsidRDefault="004E1FBC" w:rsidP="00DB07DD">
          <w:pPr>
            <w:pStyle w:val="BodyText"/>
            <w:tabs>
              <w:tab w:val="center" w:pos="4770"/>
              <w:tab w:val="left" w:pos="4980"/>
              <w:tab w:val="right" w:pos="9450"/>
              <w:tab w:val="left" w:pos="11070"/>
            </w:tabs>
            <w:spacing w:before="180"/>
            <w:jc w:val="center"/>
            <w:rPr>
              <w:b/>
              <w:color w:val="244061"/>
              <w:sz w:val="18"/>
            </w:rPr>
          </w:pPr>
          <w:r w:rsidRPr="00EC15E4">
            <w:rPr>
              <w:color w:val="244061"/>
              <w:sz w:val="28"/>
            </w:rPr>
            <w:t>D R A F T</w:t>
          </w:r>
        </w:p>
      </w:tc>
      <w:tc>
        <w:tcPr>
          <w:tcW w:w="3438" w:type="dxa"/>
        </w:tcPr>
        <w:p w14:paraId="1627B6BA" w14:textId="77777777" w:rsidR="004E1FBC" w:rsidRDefault="004E1FBC" w:rsidP="00D05665">
          <w:pPr>
            <w:pStyle w:val="BodyText"/>
            <w:tabs>
              <w:tab w:val="center" w:pos="4770"/>
              <w:tab w:val="left" w:pos="4980"/>
              <w:tab w:val="right" w:pos="9450"/>
              <w:tab w:val="left" w:pos="11070"/>
            </w:tabs>
            <w:spacing w:before="180"/>
            <w:jc w:val="right"/>
            <w:rPr>
              <w:b/>
              <w:color w:val="244061"/>
              <w:sz w:val="18"/>
            </w:rPr>
          </w:pPr>
          <w:r>
            <w:rPr>
              <w:color w:val="244061"/>
              <w:sz w:val="18"/>
            </w:rPr>
            <w:t>Grade 10 • Module 4 • Unit 3 Overview</w:t>
          </w:r>
        </w:p>
      </w:tc>
    </w:tr>
  </w:tbl>
  <w:p w14:paraId="7F97261D" w14:textId="77777777" w:rsidR="004E1FBC" w:rsidRDefault="004E1FBC" w:rsidP="00DB07DD">
    <w:pPr>
      <w:pStyle w:val="Normal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672A"/>
    <w:multiLevelType w:val="multilevel"/>
    <w:tmpl w:val="30D2409C"/>
    <w:lvl w:ilvl="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607A"/>
    <w:multiLevelType w:val="multilevel"/>
    <w:tmpl w:val="4742321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17868"/>
    <w:multiLevelType w:val="hybridMultilevel"/>
    <w:tmpl w:val="530422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7471A"/>
    <w:multiLevelType w:val="hybridMultilevel"/>
    <w:tmpl w:val="0226E956"/>
    <w:lvl w:ilvl="0" w:tplc="C1AC8D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0268B"/>
    <w:multiLevelType w:val="multilevel"/>
    <w:tmpl w:val="F202FDB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130721"/>
    <w:multiLevelType w:val="multilevel"/>
    <w:tmpl w:val="D4A8A78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DD519A"/>
    <w:multiLevelType w:val="multilevel"/>
    <w:tmpl w:val="0C58090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D164E7"/>
    <w:multiLevelType w:val="multilevel"/>
    <w:tmpl w:val="0226E95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F059D"/>
    <w:multiLevelType w:val="multilevel"/>
    <w:tmpl w:val="C46E577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781750"/>
    <w:multiLevelType w:val="hybridMultilevel"/>
    <w:tmpl w:val="0B7ABDE4"/>
    <w:lvl w:ilvl="0" w:tplc="C2FE293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8139E"/>
    <w:multiLevelType w:val="hybridMultilevel"/>
    <w:tmpl w:val="70CA93A0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C204C4"/>
    <w:multiLevelType w:val="hybridMultilevel"/>
    <w:tmpl w:val="4E903A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D26F3"/>
    <w:multiLevelType w:val="multilevel"/>
    <w:tmpl w:val="4C3AAE4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2D0D94"/>
    <w:multiLevelType w:val="multilevel"/>
    <w:tmpl w:val="4C3AAE4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F337A0"/>
    <w:multiLevelType w:val="hybridMultilevel"/>
    <w:tmpl w:val="801655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80085"/>
    <w:multiLevelType w:val="hybridMultilevel"/>
    <w:tmpl w:val="1904F4C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016406"/>
    <w:multiLevelType w:val="hybridMultilevel"/>
    <w:tmpl w:val="30D2409C"/>
    <w:lvl w:ilvl="0" w:tplc="536CD20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E0D19"/>
    <w:multiLevelType w:val="multilevel"/>
    <w:tmpl w:val="727CA05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B1732A"/>
    <w:multiLevelType w:val="hybridMultilevel"/>
    <w:tmpl w:val="4C3AAE46"/>
    <w:lvl w:ilvl="0" w:tplc="C0C28912">
      <w:start w:val="1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E148B7"/>
    <w:multiLevelType w:val="multilevel"/>
    <w:tmpl w:val="530422B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53AEE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884849"/>
    <w:multiLevelType w:val="hybridMultilevel"/>
    <w:tmpl w:val="3EC477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4"/>
  </w:num>
  <w:num w:numId="4">
    <w:abstractNumId w:val="20"/>
  </w:num>
  <w:num w:numId="5">
    <w:abstractNumId w:val="4"/>
  </w:num>
  <w:num w:numId="6">
    <w:abstractNumId w:val="2"/>
  </w:num>
  <w:num w:numId="7">
    <w:abstractNumId w:val="23"/>
  </w:num>
  <w:num w:numId="8">
    <w:abstractNumId w:val="8"/>
    <w:lvlOverride w:ilvl="0">
      <w:startOverride w:val="1"/>
    </w:lvlOverride>
  </w:num>
  <w:num w:numId="9">
    <w:abstractNumId w:val="3"/>
  </w:num>
  <w:num w:numId="10">
    <w:abstractNumId w:val="26"/>
  </w:num>
  <w:num w:numId="11">
    <w:abstractNumId w:val="15"/>
  </w:num>
  <w:num w:numId="12">
    <w:abstractNumId w:val="29"/>
  </w:num>
  <w:num w:numId="13">
    <w:abstractNumId w:val="5"/>
  </w:num>
  <w:num w:numId="14">
    <w:abstractNumId w:val="18"/>
  </w:num>
  <w:num w:numId="15">
    <w:abstractNumId w:val="27"/>
  </w:num>
  <w:num w:numId="16">
    <w:abstractNumId w:val="22"/>
  </w:num>
  <w:num w:numId="17">
    <w:abstractNumId w:val="26"/>
    <w:lvlOverride w:ilvl="0">
      <w:startOverride w:val="1"/>
    </w:lvlOverride>
  </w:num>
  <w:num w:numId="18">
    <w:abstractNumId w:val="0"/>
  </w:num>
  <w:num w:numId="19">
    <w:abstractNumId w:val="6"/>
  </w:num>
  <w:num w:numId="20">
    <w:abstractNumId w:val="11"/>
  </w:num>
  <w:num w:numId="21">
    <w:abstractNumId w:val="13"/>
  </w:num>
  <w:num w:numId="22">
    <w:abstractNumId w:val="28"/>
  </w:num>
  <w:num w:numId="23">
    <w:abstractNumId w:val="26"/>
    <w:lvlOverride w:ilvl="0">
      <w:startOverride w:val="1"/>
    </w:lvlOverride>
  </w:num>
  <w:num w:numId="24">
    <w:abstractNumId w:val="9"/>
  </w:num>
  <w:num w:numId="25">
    <w:abstractNumId w:val="26"/>
    <w:lvlOverride w:ilvl="0">
      <w:startOverride w:val="1"/>
    </w:lvlOverride>
  </w:num>
  <w:num w:numId="26">
    <w:abstractNumId w:val="1"/>
  </w:num>
  <w:num w:numId="27">
    <w:abstractNumId w:val="26"/>
  </w:num>
  <w:num w:numId="28">
    <w:abstractNumId w:val="7"/>
  </w:num>
  <w:num w:numId="29">
    <w:abstractNumId w:val="12"/>
  </w:num>
  <w:num w:numId="30">
    <w:abstractNumId w:val="26"/>
    <w:lvlOverride w:ilvl="0">
      <w:startOverride w:val="1"/>
    </w:lvlOverride>
  </w:num>
  <w:num w:numId="31">
    <w:abstractNumId w:val="10"/>
  </w:num>
  <w:num w:numId="32">
    <w:abstractNumId w:val="26"/>
    <w:lvlOverride w:ilvl="0">
      <w:startOverride w:val="1"/>
    </w:lvlOverride>
  </w:num>
  <w:num w:numId="33">
    <w:abstractNumId w:val="25"/>
  </w:num>
  <w:num w:numId="34">
    <w:abstractNumId w:val="26"/>
    <w:lvlOverride w:ilvl="0">
      <w:startOverride w:val="1"/>
    </w:lvlOverride>
  </w:num>
  <w:num w:numId="35">
    <w:abstractNumId w:val="17"/>
  </w:num>
  <w:num w:numId="36">
    <w:abstractNumId w:val="14"/>
  </w:num>
  <w:num w:numId="37">
    <w:abstractNumId w:val="16"/>
  </w:num>
  <w:num w:numId="38">
    <w:abstractNumId w:val="21"/>
  </w:num>
  <w:num w:numId="39">
    <w:abstractNumId w:val="26"/>
    <w:lvlOverride w:ilvl="0">
      <w:startOverride w:val="1"/>
    </w:lvlOverride>
  </w:num>
  <w:num w:numId="40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E"/>
    <w:rsid w:val="00013821"/>
    <w:rsid w:val="000679B0"/>
    <w:rsid w:val="000A1995"/>
    <w:rsid w:val="000F51FD"/>
    <w:rsid w:val="001149D2"/>
    <w:rsid w:val="001207F1"/>
    <w:rsid w:val="00150FBE"/>
    <w:rsid w:val="00157637"/>
    <w:rsid w:val="00173471"/>
    <w:rsid w:val="00180789"/>
    <w:rsid w:val="0018485D"/>
    <w:rsid w:val="00197127"/>
    <w:rsid w:val="001A47E9"/>
    <w:rsid w:val="001B7FE4"/>
    <w:rsid w:val="001C49C1"/>
    <w:rsid w:val="001D756A"/>
    <w:rsid w:val="001E2B24"/>
    <w:rsid w:val="002063D3"/>
    <w:rsid w:val="00261269"/>
    <w:rsid w:val="002C596C"/>
    <w:rsid w:val="002F5A55"/>
    <w:rsid w:val="00322EF6"/>
    <w:rsid w:val="00381223"/>
    <w:rsid w:val="0038536A"/>
    <w:rsid w:val="00386933"/>
    <w:rsid w:val="003A3D30"/>
    <w:rsid w:val="003A57FF"/>
    <w:rsid w:val="003B0EAE"/>
    <w:rsid w:val="003C60BD"/>
    <w:rsid w:val="003E5549"/>
    <w:rsid w:val="003F0A20"/>
    <w:rsid w:val="00424B87"/>
    <w:rsid w:val="0046247F"/>
    <w:rsid w:val="004634A0"/>
    <w:rsid w:val="004777FE"/>
    <w:rsid w:val="00483BDD"/>
    <w:rsid w:val="004C0855"/>
    <w:rsid w:val="004E1FBC"/>
    <w:rsid w:val="004E3473"/>
    <w:rsid w:val="00557DE0"/>
    <w:rsid w:val="00586553"/>
    <w:rsid w:val="005B4697"/>
    <w:rsid w:val="006753BA"/>
    <w:rsid w:val="006879D8"/>
    <w:rsid w:val="006C4655"/>
    <w:rsid w:val="006E3207"/>
    <w:rsid w:val="006F4681"/>
    <w:rsid w:val="0072211C"/>
    <w:rsid w:val="007462E5"/>
    <w:rsid w:val="00775779"/>
    <w:rsid w:val="007C6020"/>
    <w:rsid w:val="007D3DBD"/>
    <w:rsid w:val="007F7414"/>
    <w:rsid w:val="00806F2B"/>
    <w:rsid w:val="00824BB6"/>
    <w:rsid w:val="00850EFB"/>
    <w:rsid w:val="00872B60"/>
    <w:rsid w:val="00875407"/>
    <w:rsid w:val="0087546F"/>
    <w:rsid w:val="0089322D"/>
    <w:rsid w:val="008A1982"/>
    <w:rsid w:val="008A344A"/>
    <w:rsid w:val="008D17FD"/>
    <w:rsid w:val="0091299E"/>
    <w:rsid w:val="00917947"/>
    <w:rsid w:val="00930092"/>
    <w:rsid w:val="0094140B"/>
    <w:rsid w:val="009B6DC7"/>
    <w:rsid w:val="009C4D0B"/>
    <w:rsid w:val="009C54CF"/>
    <w:rsid w:val="009E67B8"/>
    <w:rsid w:val="00A02350"/>
    <w:rsid w:val="00A1443B"/>
    <w:rsid w:val="00AA37FB"/>
    <w:rsid w:val="00B0646E"/>
    <w:rsid w:val="00B24BE1"/>
    <w:rsid w:val="00B80F87"/>
    <w:rsid w:val="00B911C5"/>
    <w:rsid w:val="00BA15FC"/>
    <w:rsid w:val="00BA50C5"/>
    <w:rsid w:val="00BC6F0E"/>
    <w:rsid w:val="00BD52ED"/>
    <w:rsid w:val="00BD575F"/>
    <w:rsid w:val="00BE1E61"/>
    <w:rsid w:val="00BE41E3"/>
    <w:rsid w:val="00C37A79"/>
    <w:rsid w:val="00CC78C0"/>
    <w:rsid w:val="00D036F7"/>
    <w:rsid w:val="00D05665"/>
    <w:rsid w:val="00D31A7F"/>
    <w:rsid w:val="00D51324"/>
    <w:rsid w:val="00D646B9"/>
    <w:rsid w:val="00DA58FA"/>
    <w:rsid w:val="00DA63F7"/>
    <w:rsid w:val="00DA6D00"/>
    <w:rsid w:val="00DB07DD"/>
    <w:rsid w:val="00DB1659"/>
    <w:rsid w:val="00DE7F69"/>
    <w:rsid w:val="00E45E2A"/>
    <w:rsid w:val="00E56550"/>
    <w:rsid w:val="00E56CFD"/>
    <w:rsid w:val="00E741AD"/>
    <w:rsid w:val="00E872DE"/>
    <w:rsid w:val="00EC6F81"/>
    <w:rsid w:val="00EE207F"/>
    <w:rsid w:val="00F42901"/>
    <w:rsid w:val="00F46A55"/>
    <w:rsid w:val="00F60DAC"/>
    <w:rsid w:val="00FA5A02"/>
    <w:rsid w:val="00FC37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B8E475"/>
  <w15:docId w15:val="{66A894B0-F990-4623-8E07-3AEAB8C0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4777FE"/>
    <w:pPr>
      <w:spacing w:before="60" w:after="6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1">
    <w:name w:val="heading 1"/>
    <w:aliases w:val="*Headers"/>
    <w:basedOn w:val="Normal"/>
    <w:next w:val="Normal"/>
    <w:link w:val="Heading1Char"/>
    <w:qFormat/>
    <w:rsid w:val="00B911C5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B911C5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B911C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">
    <w:name w:val="*BR*"/>
    <w:link w:val="BRChar"/>
    <w:qFormat/>
    <w:rsid w:val="00B911C5"/>
    <w:pPr>
      <w:pBdr>
        <w:bottom w:val="single" w:sz="12" w:space="1" w:color="7F7F7F" w:themeColor="text1" w:themeTint="80"/>
      </w:pBdr>
      <w:spacing w:after="360"/>
      <w:ind w:left="2880" w:right="2880"/>
    </w:pPr>
    <w:rPr>
      <w:rFonts w:ascii="Calibri" w:eastAsia="Calibri" w:hAnsi="Calibri" w:cs="Times New Roman"/>
      <w:sz w:val="18"/>
      <w:szCs w:val="22"/>
      <w:lang w:eastAsia="en-US"/>
    </w:rPr>
  </w:style>
  <w:style w:type="character" w:customStyle="1" w:styleId="BRChar">
    <w:name w:val="*BR* Char"/>
    <w:basedOn w:val="DefaultParagraphFont"/>
    <w:link w:val="BR"/>
    <w:rsid w:val="00B911C5"/>
    <w:rPr>
      <w:rFonts w:ascii="Calibri" w:eastAsia="Calibri" w:hAnsi="Calibri" w:cs="Times New Roman"/>
      <w:sz w:val="18"/>
      <w:szCs w:val="22"/>
      <w:lang w:eastAsia="en-US"/>
    </w:rPr>
  </w:style>
  <w:style w:type="paragraph" w:customStyle="1" w:styleId="BulletedList">
    <w:name w:val="*Bulleted List"/>
    <w:link w:val="BulletedListChar"/>
    <w:qFormat/>
    <w:rsid w:val="00B911C5"/>
    <w:pPr>
      <w:numPr>
        <w:numId w:val="1"/>
      </w:numPr>
      <w:spacing w:before="60" w:after="6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ulletedListChar">
    <w:name w:val="*Bulleted List Char"/>
    <w:basedOn w:val="DefaultParagraphFont"/>
    <w:link w:val="BulletedList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Q">
    <w:name w:val="*Q*"/>
    <w:link w:val="QChar"/>
    <w:qFormat/>
    <w:rsid w:val="00B911C5"/>
    <w:pPr>
      <w:spacing w:before="240" w:after="0" w:line="276" w:lineRule="auto"/>
    </w:pPr>
    <w:rPr>
      <w:rFonts w:ascii="Calibri" w:eastAsia="Calibri" w:hAnsi="Calibri" w:cs="Times New Roman"/>
      <w:b/>
      <w:sz w:val="22"/>
      <w:szCs w:val="22"/>
      <w:lang w:eastAsia="en-US"/>
    </w:rPr>
  </w:style>
  <w:style w:type="character" w:customStyle="1" w:styleId="QChar">
    <w:name w:val="*Q* Char"/>
    <w:basedOn w:val="DefaultParagraphFont"/>
    <w:link w:val="Q"/>
    <w:rsid w:val="00B911C5"/>
    <w:rPr>
      <w:rFonts w:ascii="Calibri" w:eastAsia="Calibri" w:hAnsi="Calibri" w:cs="Times New Roman"/>
      <w:b/>
      <w:sz w:val="22"/>
      <w:szCs w:val="22"/>
      <w:lang w:eastAsia="en-US"/>
    </w:rPr>
  </w:style>
  <w:style w:type="paragraph" w:customStyle="1" w:styleId="DCwithQ">
    <w:name w:val="*DC* with *Q*"/>
    <w:basedOn w:val="Q"/>
    <w:qFormat/>
    <w:rsid w:val="00B911C5"/>
    <w:pPr>
      <w:ind w:left="360"/>
    </w:pPr>
    <w:rPr>
      <w:color w:val="4F81BD" w:themeColor="accent1"/>
    </w:rPr>
  </w:style>
  <w:style w:type="paragraph" w:customStyle="1" w:styleId="SA">
    <w:name w:val="*SA*"/>
    <w:link w:val="SAChar"/>
    <w:qFormat/>
    <w:rsid w:val="00B911C5"/>
    <w:pPr>
      <w:numPr>
        <w:numId w:val="3"/>
      </w:numPr>
      <w:spacing w:before="120" w:after="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AChar">
    <w:name w:val="*SA* Char"/>
    <w:basedOn w:val="DefaultParagraphFont"/>
    <w:link w:val="SA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CwithSA">
    <w:name w:val="*DC* with *SA*"/>
    <w:basedOn w:val="SA"/>
    <w:qFormat/>
    <w:rsid w:val="00B911C5"/>
    <w:pPr>
      <w:numPr>
        <w:numId w:val="0"/>
      </w:numPr>
    </w:pPr>
    <w:rPr>
      <w:color w:val="4F81BD" w:themeColor="accent1"/>
    </w:rPr>
  </w:style>
  <w:style w:type="paragraph" w:customStyle="1" w:styleId="SR">
    <w:name w:val="*SR*"/>
    <w:link w:val="SRChar"/>
    <w:qFormat/>
    <w:rsid w:val="00B911C5"/>
    <w:pPr>
      <w:numPr>
        <w:numId w:val="4"/>
      </w:numPr>
      <w:spacing w:before="120" w:after="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RChar">
    <w:name w:val="*SR* Char"/>
    <w:basedOn w:val="DefaultParagraphFont"/>
    <w:link w:val="SR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CwithSR">
    <w:name w:val="*DC* with *SR*"/>
    <w:basedOn w:val="SR"/>
    <w:qFormat/>
    <w:rsid w:val="00B911C5"/>
    <w:pPr>
      <w:numPr>
        <w:numId w:val="5"/>
      </w:numPr>
    </w:pPr>
    <w:rPr>
      <w:color w:val="4F81BD" w:themeColor="accent1"/>
    </w:rPr>
  </w:style>
  <w:style w:type="paragraph" w:customStyle="1" w:styleId="ExcerptAuthor">
    <w:name w:val="*ExcerptAuthor"/>
    <w:basedOn w:val="Normal"/>
    <w:link w:val="ExcerptAuthorChar"/>
    <w:qFormat/>
    <w:rsid w:val="00B911C5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B911C5"/>
    <w:rPr>
      <w:rFonts w:asciiTheme="majorHAnsi" w:eastAsia="Calibri" w:hAnsiTheme="majorHAnsi" w:cs="Times New Roman"/>
      <w:b/>
      <w:sz w:val="22"/>
      <w:szCs w:val="22"/>
      <w:lang w:eastAsia="en-US"/>
    </w:rPr>
  </w:style>
  <w:style w:type="paragraph" w:customStyle="1" w:styleId="ExcerptBody">
    <w:name w:val="*ExcerptBody"/>
    <w:basedOn w:val="Normal"/>
    <w:link w:val="ExcerptBodyChar"/>
    <w:qFormat/>
    <w:rsid w:val="00B911C5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Cs w:val="17"/>
    </w:rPr>
  </w:style>
  <w:style w:type="character" w:customStyle="1" w:styleId="ExcerptBodyChar">
    <w:name w:val="*ExcerptBody Char"/>
    <w:basedOn w:val="DefaultParagraphFont"/>
    <w:link w:val="ExcerptBody"/>
    <w:rsid w:val="00B911C5"/>
    <w:rPr>
      <w:rFonts w:ascii="Times New Roman" w:eastAsia="Times New Roman" w:hAnsi="Times New Roman" w:cs="Times New Roman"/>
      <w:color w:val="000000"/>
      <w:sz w:val="24"/>
      <w:szCs w:val="17"/>
      <w:lang w:eastAsia="en-US"/>
    </w:rPr>
  </w:style>
  <w:style w:type="paragraph" w:customStyle="1" w:styleId="ExcerptTitle">
    <w:name w:val="*ExcerptTitle"/>
    <w:basedOn w:val="Normal"/>
    <w:link w:val="ExcerptTitleChar"/>
    <w:qFormat/>
    <w:rsid w:val="00B911C5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B911C5"/>
    <w:rPr>
      <w:rFonts w:asciiTheme="majorHAnsi" w:eastAsia="Calibri" w:hAnsiTheme="majorHAnsi" w:cs="Times New Roman"/>
      <w:b/>
      <w:smallCaps/>
      <w:sz w:val="32"/>
      <w:szCs w:val="22"/>
      <w:lang w:eastAsia="en-US"/>
    </w:rPr>
  </w:style>
  <w:style w:type="paragraph" w:customStyle="1" w:styleId="FooterText">
    <w:name w:val="*FooterText"/>
    <w:link w:val="FooterTextChar"/>
    <w:qFormat/>
    <w:rsid w:val="00B911C5"/>
    <w:pPr>
      <w:spacing w:after="0" w:line="200" w:lineRule="exact"/>
    </w:pPr>
    <w:rPr>
      <w:rFonts w:ascii="Calibri" w:eastAsia="Verdana" w:hAnsi="Calibri" w:cs="Calibri"/>
      <w:b/>
      <w:color w:val="595959"/>
      <w:sz w:val="14"/>
      <w:szCs w:val="22"/>
      <w:lang w:eastAsia="en-US"/>
    </w:rPr>
  </w:style>
  <w:style w:type="character" w:customStyle="1" w:styleId="FooterTextChar">
    <w:name w:val="FooterText Char"/>
    <w:basedOn w:val="DefaultParagraphFont"/>
    <w:link w:val="FooterText"/>
    <w:rsid w:val="00B911C5"/>
    <w:rPr>
      <w:rFonts w:ascii="Calibri" w:eastAsia="Verdana" w:hAnsi="Calibri" w:cs="Calibri"/>
      <w:b/>
      <w:color w:val="595959"/>
      <w:sz w:val="14"/>
      <w:szCs w:val="22"/>
      <w:lang w:eastAsia="en-US"/>
    </w:rPr>
  </w:style>
  <w:style w:type="paragraph" w:customStyle="1" w:styleId="IN">
    <w:name w:val="*IN*"/>
    <w:link w:val="INChar"/>
    <w:qFormat/>
    <w:rsid w:val="00B911C5"/>
    <w:pPr>
      <w:numPr>
        <w:numId w:val="6"/>
      </w:numPr>
      <w:spacing w:before="120" w:after="60" w:line="276" w:lineRule="auto"/>
    </w:pPr>
    <w:rPr>
      <w:rFonts w:ascii="Calibri" w:eastAsia="Calibri" w:hAnsi="Calibri" w:cs="Times New Roman"/>
      <w:color w:val="4F81BD"/>
      <w:sz w:val="22"/>
      <w:szCs w:val="22"/>
      <w:lang w:eastAsia="en-US"/>
    </w:rPr>
  </w:style>
  <w:style w:type="character" w:customStyle="1" w:styleId="INChar">
    <w:name w:val="*IN* Char"/>
    <w:basedOn w:val="DefaultParagraphFont"/>
    <w:link w:val="IN"/>
    <w:rsid w:val="00B911C5"/>
    <w:rPr>
      <w:rFonts w:ascii="Calibri" w:eastAsia="Calibri" w:hAnsi="Calibri" w:cs="Times New Roman"/>
      <w:color w:val="4F81BD"/>
      <w:sz w:val="22"/>
      <w:szCs w:val="22"/>
      <w:lang w:eastAsia="en-US"/>
    </w:rPr>
  </w:style>
  <w:style w:type="paragraph" w:customStyle="1" w:styleId="INBullet">
    <w:name w:val="*IN* Bullet"/>
    <w:link w:val="INBulletChar"/>
    <w:qFormat/>
    <w:rsid w:val="00B911C5"/>
    <w:pPr>
      <w:numPr>
        <w:numId w:val="7"/>
      </w:numPr>
      <w:spacing w:after="60" w:line="276" w:lineRule="auto"/>
    </w:pPr>
    <w:rPr>
      <w:rFonts w:ascii="Calibri" w:eastAsia="Calibri" w:hAnsi="Calibri" w:cs="Times New Roman"/>
      <w:color w:val="4F81BD"/>
      <w:sz w:val="22"/>
      <w:szCs w:val="22"/>
      <w:lang w:eastAsia="en-US"/>
    </w:rPr>
  </w:style>
  <w:style w:type="character" w:customStyle="1" w:styleId="INBulletChar">
    <w:name w:val="*IN* Bullet Char"/>
    <w:basedOn w:val="BulletedListChar"/>
    <w:link w:val="INBullet"/>
    <w:rsid w:val="00B911C5"/>
    <w:rPr>
      <w:rFonts w:ascii="Calibri" w:eastAsia="Calibri" w:hAnsi="Calibri" w:cs="Times New Roman"/>
      <w:color w:val="4F81BD"/>
      <w:sz w:val="22"/>
      <w:szCs w:val="22"/>
      <w:lang w:eastAsia="en-US"/>
    </w:rPr>
  </w:style>
  <w:style w:type="paragraph" w:customStyle="1" w:styleId="LearningSequenceHeader">
    <w:name w:val="*Learning Sequence Header"/>
    <w:next w:val="Normal"/>
    <w:link w:val="LearningSequenceHeaderChar"/>
    <w:qFormat/>
    <w:rsid w:val="00B911C5"/>
    <w:pPr>
      <w:pBdr>
        <w:bottom w:val="single" w:sz="12" w:space="1" w:color="9BBB59" w:themeColor="accent3"/>
      </w:pBdr>
      <w:tabs>
        <w:tab w:val="right" w:pos="9360"/>
      </w:tabs>
      <w:spacing w:before="480" w:after="0"/>
    </w:pPr>
    <w:rPr>
      <w:rFonts w:eastAsia="Calibri" w:cs="Times New Roman"/>
      <w:b/>
      <w:bCs/>
      <w:color w:val="4F81BD"/>
      <w:sz w:val="28"/>
      <w:szCs w:val="26"/>
      <w:lang w:eastAsia="en-US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B911C5"/>
    <w:rPr>
      <w:rFonts w:eastAsia="Calibri" w:cs="Times New Roman"/>
      <w:b/>
      <w:bCs/>
      <w:color w:val="4F81BD"/>
      <w:sz w:val="28"/>
      <w:szCs w:val="26"/>
      <w:lang w:eastAsia="en-US"/>
    </w:rPr>
  </w:style>
  <w:style w:type="paragraph" w:customStyle="1" w:styleId="NumberedList">
    <w:name w:val="*Numbered List"/>
    <w:link w:val="NumberedListChar"/>
    <w:qFormat/>
    <w:rsid w:val="00B911C5"/>
    <w:pPr>
      <w:numPr>
        <w:numId w:val="8"/>
      </w:numPr>
      <w:spacing w:after="6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umberedListChar">
    <w:name w:val="*Numbered List Char"/>
    <w:basedOn w:val="BulletedListChar"/>
    <w:link w:val="NumberedList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ageHeader">
    <w:name w:val="*PageHeader"/>
    <w:link w:val="PageHeaderChar"/>
    <w:qFormat/>
    <w:rsid w:val="00B911C5"/>
    <w:pPr>
      <w:spacing w:before="120" w:after="0"/>
    </w:pPr>
    <w:rPr>
      <w:rFonts w:ascii="Calibri" w:eastAsia="Calibri" w:hAnsi="Calibri" w:cs="Times New Roman"/>
      <w:b/>
      <w:sz w:val="18"/>
      <w:szCs w:val="22"/>
      <w:lang w:eastAsia="en-US"/>
    </w:rPr>
  </w:style>
  <w:style w:type="character" w:customStyle="1" w:styleId="PageHeaderChar">
    <w:name w:val="*PageHeader Char"/>
    <w:basedOn w:val="DefaultParagraphFont"/>
    <w:link w:val="PageHeader"/>
    <w:rsid w:val="00B911C5"/>
    <w:rPr>
      <w:rFonts w:ascii="Calibri" w:eastAsia="Calibri" w:hAnsi="Calibri" w:cs="Times New Roman"/>
      <w:b/>
      <w:sz w:val="18"/>
      <w:szCs w:val="22"/>
      <w:lang w:eastAsia="en-US"/>
    </w:rPr>
  </w:style>
  <w:style w:type="paragraph" w:customStyle="1" w:styleId="SASRBullet">
    <w:name w:val="*SA/SR Bullet"/>
    <w:basedOn w:val="Normal"/>
    <w:link w:val="SASRBulletChar"/>
    <w:qFormat/>
    <w:rsid w:val="00B911C5"/>
    <w:pPr>
      <w:numPr>
        <w:ilvl w:val="1"/>
        <w:numId w:val="9"/>
      </w:numPr>
      <w:spacing w:before="120"/>
      <w:contextualSpacing/>
    </w:pPr>
  </w:style>
  <w:style w:type="character" w:customStyle="1" w:styleId="SASRBulletChar">
    <w:name w:val="*SA/SR Bullet Char"/>
    <w:basedOn w:val="DefaultParagraphFont"/>
    <w:link w:val="SASRBullet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bleText">
    <w:name w:val="*TableText"/>
    <w:link w:val="TableTextChar"/>
    <w:qFormat/>
    <w:rsid w:val="00B911C5"/>
    <w:pPr>
      <w:spacing w:before="40" w:after="4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ableTextChar">
    <w:name w:val="*TableText Char"/>
    <w:basedOn w:val="DefaultParagraphFont"/>
    <w:link w:val="TableText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ubStandard">
    <w:name w:val="*SubStandard"/>
    <w:basedOn w:val="TableText"/>
    <w:link w:val="SubStandardChar"/>
    <w:qFormat/>
    <w:rsid w:val="00B911C5"/>
    <w:pPr>
      <w:numPr>
        <w:numId w:val="10"/>
      </w:numPr>
    </w:pPr>
  </w:style>
  <w:style w:type="character" w:customStyle="1" w:styleId="SubStandardChar">
    <w:name w:val="*SubStandard Char"/>
    <w:basedOn w:val="TableTextChar"/>
    <w:link w:val="SubStandard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">
    <w:name w:val="*TA*"/>
    <w:link w:val="TAChar"/>
    <w:qFormat/>
    <w:rsid w:val="00B911C5"/>
    <w:pPr>
      <w:spacing w:before="180" w:after="18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AChar">
    <w:name w:val="*TA* Char"/>
    <w:basedOn w:val="DefaultParagraphFont"/>
    <w:link w:val="TA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bleHeaders">
    <w:name w:val="*TableHeaders"/>
    <w:basedOn w:val="Normal"/>
    <w:link w:val="TableHeadersChar"/>
    <w:qFormat/>
    <w:rsid w:val="00B911C5"/>
    <w:pPr>
      <w:spacing w:before="40" w:after="40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B911C5"/>
    <w:rPr>
      <w:rFonts w:ascii="Calibri" w:eastAsia="Calibri" w:hAnsi="Calibri" w:cs="Times New Roman"/>
      <w:b/>
      <w:color w:val="FFFFFF" w:themeColor="background1"/>
      <w:sz w:val="22"/>
      <w:szCs w:val="22"/>
      <w:lang w:eastAsia="en-US"/>
    </w:rPr>
  </w:style>
  <w:style w:type="paragraph" w:customStyle="1" w:styleId="ToolHeader">
    <w:name w:val="*ToolHeader"/>
    <w:qFormat/>
    <w:rsid w:val="00B911C5"/>
    <w:pPr>
      <w:spacing w:after="120"/>
    </w:pPr>
    <w:rPr>
      <w:rFonts w:eastAsia="Calibri" w:cs="Times New Roman"/>
      <w:b/>
      <w:bCs/>
      <w:color w:val="365F91"/>
      <w:sz w:val="32"/>
      <w:szCs w:val="28"/>
      <w:lang w:eastAsia="en-US"/>
    </w:rPr>
  </w:style>
  <w:style w:type="paragraph" w:customStyle="1" w:styleId="ToolTableText">
    <w:name w:val="*ToolTableText"/>
    <w:qFormat/>
    <w:rsid w:val="00B911C5"/>
    <w:pPr>
      <w:spacing w:before="40" w:after="1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B911C5"/>
  </w:style>
  <w:style w:type="paragraph" w:styleId="BalloonText">
    <w:name w:val="Balloon Text"/>
    <w:basedOn w:val="Normal"/>
    <w:link w:val="BalloonTextChar"/>
    <w:uiPriority w:val="99"/>
    <w:semiHidden/>
    <w:unhideWhenUsed/>
    <w:rsid w:val="00B911C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11C5"/>
    <w:rPr>
      <w:rFonts w:ascii="Tahoma" w:eastAsia="Calibri" w:hAnsi="Tahoma" w:cs="Times New Roman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B911C5"/>
    <w:pPr>
      <w:spacing w:after="120"/>
    </w:pPr>
  </w:style>
  <w:style w:type="character" w:customStyle="1" w:styleId="BodyTextChar">
    <w:name w:val="Body Text Char"/>
    <w:link w:val="BodyText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B911C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91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1C5"/>
    <w:rPr>
      <w:sz w:val="20"/>
    </w:rPr>
  </w:style>
  <w:style w:type="character" w:customStyle="1" w:styleId="CommentTextChar">
    <w:name w:val="Comment Text Char"/>
    <w:link w:val="CommentText"/>
    <w:uiPriority w:val="99"/>
    <w:rsid w:val="00B911C5"/>
    <w:rPr>
      <w:rFonts w:ascii="Calibri" w:eastAsia="Calibri" w:hAnsi="Calibri" w:cs="Times New Roman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1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11C5"/>
    <w:rPr>
      <w:rFonts w:ascii="Calibri" w:eastAsia="Calibri" w:hAnsi="Calibri" w:cs="Times New Roman"/>
      <w:b/>
      <w:bCs/>
      <w:szCs w:val="22"/>
      <w:lang w:eastAsia="en-US"/>
    </w:rPr>
  </w:style>
  <w:style w:type="paragraph" w:customStyle="1" w:styleId="folio">
    <w:name w:val="folio"/>
    <w:basedOn w:val="Normal"/>
    <w:link w:val="folioChar"/>
    <w:qFormat/>
    <w:rsid w:val="00B911C5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character" w:customStyle="1" w:styleId="folioChar">
    <w:name w:val="folio Char"/>
    <w:basedOn w:val="DefaultParagraphFont"/>
    <w:link w:val="folio"/>
    <w:rsid w:val="00B911C5"/>
    <w:rPr>
      <w:rFonts w:ascii="Verdana" w:eastAsia="Verdana" w:hAnsi="Verdana" w:cs="Verdana"/>
      <w:color w:val="595959"/>
      <w:sz w:val="16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B911C5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rsid w:val="00B911C5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B911C5"/>
    <w:rPr>
      <w:rFonts w:ascii="Times New Roman" w:eastAsia="Calibri" w:hAnsi="Times New Roman" w:cs="Times New Roman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911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11C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11C5"/>
    <w:rPr>
      <w:rFonts w:ascii="Calibri" w:eastAsia="Calibri" w:hAnsi="Calibri" w:cs="Times New Roman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911C5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B911C5"/>
    <w:rPr>
      <w:rFonts w:ascii="Calibri" w:eastAsia="Calibri" w:hAnsi="Calibri" w:cs="Times New Roman"/>
      <w:szCs w:val="22"/>
      <w:lang w:eastAsia="en-US"/>
    </w:rPr>
  </w:style>
  <w:style w:type="paragraph" w:customStyle="1" w:styleId="Header-banner">
    <w:name w:val="Header-banner"/>
    <w:qFormat/>
    <w:rsid w:val="00B911C5"/>
    <w:pPr>
      <w:spacing w:after="0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  <w:szCs w:val="22"/>
      <w:lang w:eastAsia="en-US"/>
    </w:rPr>
  </w:style>
  <w:style w:type="paragraph" w:customStyle="1" w:styleId="Header2banner">
    <w:name w:val="Header2_banner"/>
    <w:basedOn w:val="Header-banner"/>
    <w:qFormat/>
    <w:rsid w:val="00B911C5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rsid w:val="00B911C5"/>
    <w:rPr>
      <w:rFonts w:eastAsia="Calibri" w:cs="Times New Roman"/>
      <w:b/>
      <w:bCs/>
      <w:color w:val="365F91"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911C5"/>
    <w:rPr>
      <w:rFonts w:ascii="Cambria" w:eastAsia="Calibri" w:hAnsi="Cambria" w:cs="Times New Roman"/>
      <w:b/>
      <w:bCs/>
      <w:i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B911C5"/>
    <w:rPr>
      <w:rFonts w:ascii="Cambria" w:eastAsia="Calibri" w:hAnsi="Cambria" w:cs="Times New Roman"/>
      <w:b/>
      <w:bCs/>
      <w:i/>
      <w:color w:val="7F7F7F"/>
      <w:szCs w:val="22"/>
      <w:lang w:eastAsia="en-US"/>
    </w:rPr>
  </w:style>
  <w:style w:type="character" w:styleId="Hyperlink">
    <w:name w:val="Hyperlink"/>
    <w:uiPriority w:val="99"/>
    <w:unhideWhenUsed/>
    <w:rsid w:val="00B911C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11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MediumGrid1-Accent21">
    <w:name w:val="Medium Grid 1 - Accent 21"/>
    <w:basedOn w:val="Normal"/>
    <w:uiPriority w:val="34"/>
    <w:rsid w:val="00B911C5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B911C5"/>
    <w:pPr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oSpacing1">
    <w:name w:val="No Spacing1"/>
    <w:link w:val="NoSpacingChar"/>
    <w:rsid w:val="00B911C5"/>
    <w:pPr>
      <w:spacing w:after="0"/>
    </w:pPr>
    <w:rPr>
      <w:rFonts w:ascii="Tahoma" w:eastAsia="Calibri" w:hAnsi="Tahoma" w:cs="Times New Roman"/>
      <w:sz w:val="19"/>
      <w:szCs w:val="22"/>
      <w:lang w:eastAsia="en-US"/>
    </w:rPr>
  </w:style>
  <w:style w:type="character" w:customStyle="1" w:styleId="NoSpacingChar">
    <w:name w:val="No Spacing Char"/>
    <w:link w:val="NoSpacing1"/>
    <w:rsid w:val="00B911C5"/>
    <w:rPr>
      <w:rFonts w:ascii="Tahoma" w:eastAsia="Calibri" w:hAnsi="Tahoma" w:cs="Times New Roman"/>
      <w:sz w:val="19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911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4">
    <w:name w:val="Pa4"/>
    <w:basedOn w:val="Normal"/>
    <w:next w:val="Normal"/>
    <w:uiPriority w:val="99"/>
    <w:rsid w:val="00B911C5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PageNumber">
    <w:name w:val="page number"/>
    <w:uiPriority w:val="99"/>
    <w:rsid w:val="00B911C5"/>
    <w:rPr>
      <w:rFonts w:cs="Times New Roman"/>
    </w:rPr>
  </w:style>
  <w:style w:type="character" w:customStyle="1" w:styleId="reference-text">
    <w:name w:val="reference-text"/>
    <w:rsid w:val="00B911C5"/>
  </w:style>
  <w:style w:type="table" w:styleId="TableGrid">
    <w:name w:val="Table Grid"/>
    <w:basedOn w:val="TableNormal"/>
    <w:uiPriority w:val="59"/>
    <w:rsid w:val="00B911C5"/>
    <w:pPr>
      <w:spacing w:after="0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911C5"/>
    <w:pPr>
      <w:spacing w:after="0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rsid w:val="00B911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911C5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rmal1">
    <w:name w:val="Normal1"/>
    <w:rsid w:val="004777FE"/>
    <w:pPr>
      <w:spacing w:after="0"/>
    </w:pPr>
    <w:rPr>
      <w:rFonts w:ascii="Calibri" w:eastAsia="Calibri" w:hAnsi="Calibri" w:cs="Calibri"/>
      <w:color w:val="000000"/>
      <w:sz w:val="22"/>
      <w:szCs w:val="24"/>
    </w:rPr>
  </w:style>
  <w:style w:type="paragraph" w:customStyle="1" w:styleId="Heading1nospace">
    <w:name w:val="Heading 1 no space"/>
    <w:basedOn w:val="Heading1"/>
    <w:qFormat/>
    <w:rsid w:val="004777FE"/>
    <w:pPr>
      <w:keepLines w:val="0"/>
      <w:spacing w:before="0" w:line="460" w:lineRule="exact"/>
      <w:jc w:val="center"/>
    </w:pPr>
    <w:rPr>
      <w:rFonts w:asciiTheme="minorHAnsi" w:eastAsia="Cambria" w:hAnsiTheme="minorHAnsi" w:cs="Cambria"/>
      <w:color w:val="244061" w:themeColor="accent1" w:themeShade="80"/>
      <w:sz w:val="40"/>
      <w:szCs w:val="36"/>
    </w:rPr>
  </w:style>
  <w:style w:type="paragraph" w:customStyle="1" w:styleId="Normal2">
    <w:name w:val="Normal2"/>
    <w:rsid w:val="004777FE"/>
    <w:pPr>
      <w:spacing w:after="0"/>
      <w:contextualSpacing/>
    </w:pPr>
    <w:rPr>
      <w:rFonts w:ascii="Calibri" w:eastAsia="Calibri" w:hAnsi="Calibri" w:cs="Calibri"/>
      <w:color w:val="000000"/>
      <w:sz w:val="22"/>
      <w:szCs w:val="24"/>
      <w:lang w:eastAsia="fr-FR"/>
    </w:rPr>
  </w:style>
  <w:style w:type="paragraph" w:customStyle="1" w:styleId="Normal3">
    <w:name w:val="Normal3"/>
    <w:rsid w:val="004777FE"/>
    <w:pPr>
      <w:spacing w:after="0"/>
    </w:pPr>
    <w:rPr>
      <w:rFonts w:ascii="Cambria" w:eastAsia="Cambria" w:hAnsi="Cambria" w:cs="Cambria"/>
      <w:color w:val="00000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</Company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D'Amico, Caitlin</cp:lastModifiedBy>
  <cp:revision>6</cp:revision>
  <dcterms:created xsi:type="dcterms:W3CDTF">2014-06-25T17:26:00Z</dcterms:created>
  <dcterms:modified xsi:type="dcterms:W3CDTF">2014-06-25T21:34:00Z</dcterms:modified>
</cp:coreProperties>
</file>