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572858" w:rsidP="00D31F4D">
            <w:pPr>
              <w:pStyle w:val="Header-banner"/>
              <w:rPr>
                <w:rFonts w:asciiTheme="minorHAnsi" w:hAnsiTheme="minorHAnsi"/>
              </w:rPr>
            </w:pPr>
            <w:r>
              <w:rPr>
                <w:rFonts w:asciiTheme="minorHAnsi" w:hAnsiTheme="minorHAnsi"/>
              </w:rPr>
              <w:t>10.4</w:t>
            </w:r>
            <w:r w:rsidR="00790BCC" w:rsidRPr="00D31F4D">
              <w:rPr>
                <w:rFonts w:asciiTheme="minorHAnsi" w:hAnsiTheme="minorHAnsi"/>
              </w:rPr>
              <w:t>.</w:t>
            </w:r>
            <w:r>
              <w:rPr>
                <w:rFonts w:asciiTheme="minorHAnsi" w:hAnsiTheme="minorHAnsi"/>
              </w:rPr>
              <w:t>2</w:t>
            </w:r>
          </w:p>
        </w:tc>
        <w:tc>
          <w:tcPr>
            <w:tcW w:w="7380" w:type="dxa"/>
            <w:shd w:val="clear" w:color="auto" w:fill="76923C"/>
            <w:vAlign w:val="center"/>
          </w:tcPr>
          <w:p w:rsidR="00790BCC" w:rsidRPr="00D31F4D" w:rsidRDefault="00572858" w:rsidP="00D31F4D">
            <w:pPr>
              <w:pStyle w:val="Header2banner"/>
              <w:rPr>
                <w:rFonts w:asciiTheme="minorHAnsi" w:hAnsiTheme="minorHAnsi"/>
              </w:rPr>
            </w:pPr>
            <w:r>
              <w:rPr>
                <w:rFonts w:asciiTheme="minorHAnsi" w:hAnsiTheme="minorHAnsi"/>
              </w:rPr>
              <w:t>Lesson 26</w:t>
            </w:r>
          </w:p>
        </w:tc>
      </w:tr>
    </w:tbl>
    <w:p w:rsidR="00790BCC" w:rsidRPr="00790BCC" w:rsidRDefault="00790BCC" w:rsidP="00D31F4D">
      <w:pPr>
        <w:pStyle w:val="Heading1"/>
      </w:pPr>
      <w:r w:rsidRPr="00790BCC">
        <w:t>Introduction</w:t>
      </w:r>
    </w:p>
    <w:p w:rsidR="001C3901" w:rsidRDefault="001C7764" w:rsidP="00FB2CD5">
      <w:r>
        <w:t>In this lesson</w:t>
      </w:r>
      <w:r w:rsidR="00222DB5">
        <w:t>,</w:t>
      </w:r>
      <w:r>
        <w:t xml:space="preserve"> students review the treatment of how</w:t>
      </w:r>
      <w:r w:rsidR="00BF083C">
        <w:t xml:space="preserve"> both</w:t>
      </w:r>
      <w:r>
        <w:t xml:space="preserve"> </w:t>
      </w:r>
      <w:r w:rsidR="00961097">
        <w:t xml:space="preserve">Akira </w:t>
      </w:r>
      <w:r>
        <w:t xml:space="preserve">Kurosawa’s hero </w:t>
      </w:r>
      <w:r w:rsidR="00961097">
        <w:t xml:space="preserve">in </w:t>
      </w:r>
      <w:r w:rsidR="00961097">
        <w:rPr>
          <w:i/>
        </w:rPr>
        <w:t xml:space="preserve">Throne of Blood </w:t>
      </w:r>
      <w:r>
        <w:t>and the Royal Shakespeare Company</w:t>
      </w:r>
      <w:r w:rsidR="00B34BF8">
        <w:t xml:space="preserve"> (RSC)</w:t>
      </w:r>
      <w:r>
        <w:t xml:space="preserve">’s </w:t>
      </w:r>
      <w:r w:rsidRPr="008B3D99">
        <w:t>Macbeth</w:t>
      </w:r>
      <w:r>
        <w:t xml:space="preserve"> </w:t>
      </w:r>
      <w:r w:rsidR="007A69B0">
        <w:t>interact with</w:t>
      </w:r>
      <w:r>
        <w:t xml:space="preserve"> supernatural p</w:t>
      </w:r>
      <w:r w:rsidR="007A69B0">
        <w:t>owers</w:t>
      </w:r>
      <w:r>
        <w:t xml:space="preserve">, exploring the significance of how </w:t>
      </w:r>
      <w:r w:rsidR="00284C16">
        <w:t xml:space="preserve">directorial choices emphasize different elements of a drama. </w:t>
      </w:r>
      <w:r w:rsidR="0051473A">
        <w:t>After a brief review of transitional words and phrases</w:t>
      </w:r>
      <w:r w:rsidR="00764213">
        <w:t>, domain-specific vocabulary,</w:t>
      </w:r>
      <w:r w:rsidR="004B1ACB">
        <w:t xml:space="preserve"> and using a formal style</w:t>
      </w:r>
      <w:r w:rsidR="0051473A">
        <w:t xml:space="preserve">, students </w:t>
      </w:r>
      <w:r w:rsidR="00FB2CD5">
        <w:t xml:space="preserve">revise short writing pieces from previous lessons to practice using these writing skills. Students </w:t>
      </w:r>
      <w:r w:rsidR="001C3901">
        <w:t>then</w:t>
      </w:r>
      <w:r w:rsidR="00FB2CD5">
        <w:t xml:space="preserve"> participate in a film discussion of the </w:t>
      </w:r>
      <w:r w:rsidR="00B34BF8">
        <w:t>RSC</w:t>
      </w:r>
      <w:r w:rsidR="00FB2CD5">
        <w:t xml:space="preserve"> film production of </w:t>
      </w:r>
      <w:r w:rsidR="00FB2CD5">
        <w:rPr>
          <w:i/>
        </w:rPr>
        <w:t xml:space="preserve">Macbeth </w:t>
      </w:r>
      <w:r w:rsidR="00FB2CD5">
        <w:t xml:space="preserve">and Akira Kurosawa’s </w:t>
      </w:r>
      <w:r w:rsidR="00FB2CD5">
        <w:rPr>
          <w:i/>
        </w:rPr>
        <w:t>Throne of Blood.</w:t>
      </w:r>
      <w:r w:rsidR="00FB2CD5">
        <w:t xml:space="preserve"> </w:t>
      </w:r>
    </w:p>
    <w:p w:rsidR="00222DB5" w:rsidRDefault="00FB2CD5" w:rsidP="00FB2CD5">
      <w:r>
        <w:t>The lesson concludes by having the students use the revised writing pieces, as well as notes from the film discussion and earlier lessons, as the basis for a Quick Write</w:t>
      </w:r>
      <w:r w:rsidR="00601F37">
        <w:t xml:space="preserve">. </w:t>
      </w:r>
      <w:r w:rsidR="00601F37" w:rsidRPr="00347FE0">
        <w:t>Student learning is assessed via a Quick</w:t>
      </w:r>
      <w:r w:rsidR="00601F37">
        <w:t xml:space="preserve"> Write at the end of the lesson: </w:t>
      </w:r>
      <w:r w:rsidR="0051473A">
        <w:t xml:space="preserve">Analyze the </w:t>
      </w:r>
      <w:r>
        <w:t>interaction</w:t>
      </w:r>
      <w:r w:rsidR="0051473A">
        <w:t xml:space="preserve">s between the main characters and the </w:t>
      </w:r>
      <w:proofErr w:type="gramStart"/>
      <w:r w:rsidR="00222DB5">
        <w:t>W</w:t>
      </w:r>
      <w:r w:rsidR="0051473A">
        <w:t>itch(</w:t>
      </w:r>
      <w:proofErr w:type="spellStart"/>
      <w:proofErr w:type="gramEnd"/>
      <w:r w:rsidR="0051473A">
        <w:t>es</w:t>
      </w:r>
      <w:proofErr w:type="spellEnd"/>
      <w:r w:rsidR="0051473A">
        <w:t xml:space="preserve">) in Kurosawa’s adaptation and the </w:t>
      </w:r>
      <w:r w:rsidR="00B34BF8">
        <w:t>RSC</w:t>
      </w:r>
      <w:r w:rsidR="0051473A">
        <w:t xml:space="preserve">’s 2011 version of </w:t>
      </w:r>
      <w:r w:rsidR="0051473A">
        <w:rPr>
          <w:i/>
        </w:rPr>
        <w:t>Macbeth</w:t>
      </w:r>
      <w:r w:rsidR="0051473A">
        <w:t xml:space="preserve">. What is emphasized or absent in each treatment? </w:t>
      </w:r>
    </w:p>
    <w:p w:rsidR="00790BCC" w:rsidRPr="0051473A" w:rsidRDefault="0051473A" w:rsidP="00D31F4D">
      <w:r>
        <w:t>For homework, students pre</w:t>
      </w:r>
      <w:r w:rsidR="00FB2CD5">
        <w:t>view</w:t>
      </w:r>
      <w:r>
        <w:t xml:space="preserve"> the first two paragraphs </w:t>
      </w:r>
      <w:r w:rsidR="008974AC">
        <w:t xml:space="preserve">of Chapter 17 in </w:t>
      </w:r>
      <w:proofErr w:type="spellStart"/>
      <w:r w:rsidR="008974AC">
        <w:t>Niccolò</w:t>
      </w:r>
      <w:proofErr w:type="spellEnd"/>
      <w:r w:rsidR="008974AC">
        <w:t xml:space="preserve"> Machiavelli’s </w:t>
      </w:r>
      <w:r w:rsidR="008974AC">
        <w:rPr>
          <w:i/>
        </w:rPr>
        <w:t xml:space="preserve">The Prince </w:t>
      </w:r>
      <w:r>
        <w:t xml:space="preserve">(from “Turning to the other qualities mentioned above” to </w:t>
      </w:r>
      <w:r w:rsidR="008974AC">
        <w:t>“</w:t>
      </w:r>
      <w:r>
        <w:t>a dread of punishment that will never abandon you</w:t>
      </w:r>
      <w:r w:rsidR="008974AC">
        <w:t>”</w:t>
      </w:r>
      <w:r>
        <w:t>)</w:t>
      </w:r>
      <w:r>
        <w:rPr>
          <w:i/>
        </w:rPr>
        <w:t>.</w:t>
      </w:r>
      <w:r>
        <w:t xml:space="preserve"> Students box and define new or unfamiliar words.</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66"/>
        <w:gridCol w:w="7894"/>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466" w:type="dxa"/>
          </w:tcPr>
          <w:p w:rsidR="00790BCC" w:rsidRPr="00790BCC" w:rsidRDefault="00572858" w:rsidP="00D31F4D">
            <w:pPr>
              <w:pStyle w:val="TableText"/>
            </w:pPr>
            <w:r>
              <w:t>RL.9-10.7.a</w:t>
            </w:r>
          </w:p>
        </w:tc>
        <w:tc>
          <w:tcPr>
            <w:tcW w:w="7894" w:type="dxa"/>
          </w:tcPr>
          <w:p w:rsidR="00790BCC" w:rsidRPr="00572858" w:rsidRDefault="00572858" w:rsidP="00D31F4D">
            <w:pPr>
              <w:pStyle w:val="TableText"/>
              <w:rPr>
                <w:i/>
              </w:rPr>
            </w:pPr>
            <w:r>
              <w:t>Analyze the representation of a subject or a key scene in two different artistic mediums, including what is emphasized or absent in each treatment (e.g., Auden’s “</w:t>
            </w:r>
            <w:proofErr w:type="spellStart"/>
            <w:r>
              <w:t>Musée</w:t>
            </w:r>
            <w:proofErr w:type="spellEnd"/>
            <w:r>
              <w:t xml:space="preserve"> des Beaux Arts” and </w:t>
            </w:r>
            <w:r w:rsidR="004D444E">
              <w:t>Breughel’s</w:t>
            </w:r>
            <w:r>
              <w:t xml:space="preserve"> </w:t>
            </w:r>
            <w:r>
              <w:rPr>
                <w:i/>
              </w:rPr>
              <w:t>Landscape with the Fall of Icarus).</w:t>
            </w:r>
          </w:p>
          <w:p w:rsidR="00790BCC" w:rsidRPr="00790BCC" w:rsidRDefault="00572858" w:rsidP="00D31F4D">
            <w:pPr>
              <w:pStyle w:val="SubStandard"/>
            </w:pPr>
            <w:r>
              <w:t>Analyze works by authors or artists who represent diverse world cultures.</w:t>
            </w:r>
          </w:p>
        </w:tc>
      </w:tr>
      <w:tr w:rsidR="00572858" w:rsidRPr="00790BCC">
        <w:tc>
          <w:tcPr>
            <w:tcW w:w="1466" w:type="dxa"/>
          </w:tcPr>
          <w:p w:rsidR="00572858" w:rsidRDefault="00572858" w:rsidP="00B34BF8">
            <w:pPr>
              <w:pStyle w:val="TableText"/>
            </w:pPr>
            <w:r>
              <w:t>W.9-10.2.c</w:t>
            </w:r>
            <w:r w:rsidR="00135406">
              <w:t xml:space="preserve">, d, </w:t>
            </w:r>
            <w:r w:rsidR="00B34BF8">
              <w:t>e</w:t>
            </w:r>
          </w:p>
        </w:tc>
        <w:tc>
          <w:tcPr>
            <w:tcW w:w="7894" w:type="dxa"/>
          </w:tcPr>
          <w:p w:rsidR="00572858" w:rsidRDefault="005226B0" w:rsidP="00D31F4D">
            <w:pPr>
              <w:pStyle w:val="TableText"/>
            </w:pPr>
            <w:r>
              <w:t>Write informative/explanatory texts to examine and convey complex ideas, concepts, and information clearly and accurately through the effective selection, organization, and analysis of content.</w:t>
            </w:r>
          </w:p>
          <w:p w:rsidR="005226B0" w:rsidRDefault="005226B0" w:rsidP="005226B0">
            <w:pPr>
              <w:pStyle w:val="SubStandard"/>
              <w:numPr>
                <w:ilvl w:val="0"/>
                <w:numId w:val="20"/>
              </w:numPr>
            </w:pPr>
            <w:r>
              <w:t>Use appropriate and varied transitions to link the major sections of the text, create cohesion, and clarify the relationships among complex ideas and concepts.</w:t>
            </w:r>
          </w:p>
          <w:p w:rsidR="005226B0" w:rsidRDefault="005226B0" w:rsidP="005226B0">
            <w:pPr>
              <w:pStyle w:val="SubStandard"/>
            </w:pPr>
            <w:r>
              <w:lastRenderedPageBreak/>
              <w:t>Use precise language and domain-specific vocabulary to manage the complexity of the topic.</w:t>
            </w:r>
          </w:p>
          <w:p w:rsidR="005226B0" w:rsidRPr="00790BCC" w:rsidRDefault="005226B0" w:rsidP="005226B0">
            <w:pPr>
              <w:pStyle w:val="SubStandard"/>
            </w:pPr>
            <w:r>
              <w:t>Establish and maintain a formal style and objective tone while attending to the norms and conventions of the discipline in which they are writing.</w:t>
            </w:r>
          </w:p>
        </w:tc>
      </w:tr>
      <w:tr w:rsidR="00790BCC" w:rsidRPr="00790BCC">
        <w:tc>
          <w:tcPr>
            <w:tcW w:w="9360" w:type="dxa"/>
            <w:gridSpan w:val="2"/>
            <w:shd w:val="clear" w:color="auto" w:fill="76923C"/>
          </w:tcPr>
          <w:p w:rsidR="00790BCC" w:rsidRPr="00790BCC" w:rsidRDefault="00790BCC" w:rsidP="007017EB">
            <w:pPr>
              <w:pStyle w:val="TableHeaders"/>
            </w:pPr>
            <w:r w:rsidRPr="00790BCC">
              <w:lastRenderedPageBreak/>
              <w:t>Addressed Standard(s)</w:t>
            </w:r>
          </w:p>
        </w:tc>
      </w:tr>
      <w:tr w:rsidR="00790BCC" w:rsidRPr="00790BCC">
        <w:trPr>
          <w:trHeight w:val="1929"/>
        </w:trPr>
        <w:tc>
          <w:tcPr>
            <w:tcW w:w="1466" w:type="dxa"/>
          </w:tcPr>
          <w:p w:rsidR="00790BCC" w:rsidRPr="00790BCC" w:rsidRDefault="00284C16" w:rsidP="007017EB">
            <w:pPr>
              <w:pStyle w:val="TableText"/>
            </w:pPr>
            <w:r>
              <w:t>SL.9-10</w:t>
            </w:r>
            <w:r w:rsidR="0051473A">
              <w:t>.1.c</w:t>
            </w:r>
          </w:p>
        </w:tc>
        <w:tc>
          <w:tcPr>
            <w:tcW w:w="7894" w:type="dxa"/>
          </w:tcPr>
          <w:p w:rsidR="0051473A" w:rsidRPr="00D533D5" w:rsidRDefault="0051473A" w:rsidP="00D533D5">
            <w:pPr>
              <w:pStyle w:val="TableText"/>
            </w:pPr>
            <w:r w:rsidRPr="00D533D5">
              <w:t>Initiate and participate effectively in a range of collaborative discussions (one-on-one, in groups</w:t>
            </w:r>
            <w:r w:rsidR="00A17E9B">
              <w:t>,</w:t>
            </w:r>
            <w:r w:rsidRPr="00D533D5">
              <w:t xml:space="preserve"> and teacher-led) with diverse partners on </w:t>
            </w:r>
            <w:r w:rsidRPr="00D533D5">
              <w:rPr>
                <w:i/>
              </w:rPr>
              <w:t>grades 9-10 topics, texts, and issues</w:t>
            </w:r>
            <w:r w:rsidRPr="00D533D5">
              <w:t>, building on others’ ideas and expressing their own clearly and persuasively.</w:t>
            </w:r>
          </w:p>
          <w:p w:rsidR="003D2ED8" w:rsidRDefault="0051473A" w:rsidP="00374ADB">
            <w:pPr>
              <w:pStyle w:val="SubStandard"/>
              <w:numPr>
                <w:ilvl w:val="0"/>
                <w:numId w:val="23"/>
              </w:numPr>
            </w:pPr>
            <w:r>
              <w:t xml:space="preserve">Propel </w:t>
            </w:r>
            <w:r w:rsidR="00374ADB">
              <w:t xml:space="preserve">conversations </w:t>
            </w:r>
            <w:r>
              <w:t xml:space="preserve">by posing and responding to questions that relate the current discussion to broader themes or larger ideas; actively incorporate others into the discussion; and clarify, verify, or challenge ideas and conclusions. </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C819FD" w:rsidRDefault="00543EF1" w:rsidP="00C819FD">
            <w:pPr>
              <w:pStyle w:val="TableText"/>
            </w:pPr>
            <w:r w:rsidRPr="00C819FD">
              <w:t xml:space="preserve">Student learning is assessed via a Quick Write at the end of the lesson. Students </w:t>
            </w:r>
            <w:r w:rsidR="003B5CB0">
              <w:t>respond to</w:t>
            </w:r>
            <w:r w:rsidR="003B5CB0" w:rsidRPr="00C819FD">
              <w:t xml:space="preserve"> </w:t>
            </w:r>
            <w:r w:rsidRPr="00C819FD">
              <w:t>the following prompt, citing textual evidence to support analysis and inferences drawn from the films.</w:t>
            </w:r>
          </w:p>
          <w:p w:rsidR="003D2ED0" w:rsidRPr="00790BCC" w:rsidRDefault="00BB1419" w:rsidP="00B34BF8">
            <w:pPr>
              <w:pStyle w:val="BulletedList"/>
            </w:pPr>
            <w:r>
              <w:t xml:space="preserve">Analyze the </w:t>
            </w:r>
            <w:r w:rsidR="00FB2CD5">
              <w:t>interaction</w:t>
            </w:r>
            <w:r>
              <w:t xml:space="preserve">s between the </w:t>
            </w:r>
            <w:r w:rsidR="003D2ED0">
              <w:t>m</w:t>
            </w:r>
            <w:r>
              <w:t xml:space="preserve">ain characters and the </w:t>
            </w:r>
            <w:proofErr w:type="gramStart"/>
            <w:r w:rsidR="00431AD6">
              <w:t>W</w:t>
            </w:r>
            <w:r>
              <w:t>itch(</w:t>
            </w:r>
            <w:proofErr w:type="spellStart"/>
            <w:proofErr w:type="gramEnd"/>
            <w:r>
              <w:t>es</w:t>
            </w:r>
            <w:proofErr w:type="spellEnd"/>
            <w:r>
              <w:t xml:space="preserve">) in Kurosawa’s adaptation and the </w:t>
            </w:r>
            <w:r w:rsidR="00B34BF8">
              <w:t>RSC’s</w:t>
            </w:r>
            <w:r>
              <w:t xml:space="preserve"> 2011 version of </w:t>
            </w:r>
            <w:r>
              <w:rPr>
                <w:i/>
              </w:rPr>
              <w:t>Macbeth</w:t>
            </w:r>
            <w:r>
              <w:t xml:space="preserve">. What is emphasized or absent in each </w:t>
            </w:r>
            <w:r w:rsidR="003D2ED0">
              <w:t>treat</w:t>
            </w:r>
            <w:r>
              <w:t>ment?</w:t>
            </w:r>
          </w:p>
        </w:tc>
      </w:tr>
      <w:tr w:rsidR="00790BCC" w:rsidRPr="00790BCC">
        <w:tc>
          <w:tcPr>
            <w:tcW w:w="9360" w:type="dxa"/>
            <w:shd w:val="clear" w:color="auto" w:fill="76923C"/>
          </w:tcPr>
          <w:p w:rsidR="00790BCC" w:rsidRPr="00790BCC" w:rsidRDefault="00790BCC" w:rsidP="007017EB">
            <w:pPr>
              <w:pStyle w:val="TableHeaders"/>
            </w:pPr>
            <w:r w:rsidRPr="00790BCC">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3D2ED0" w:rsidRDefault="000843D0" w:rsidP="00D31F4D">
            <w:pPr>
              <w:pStyle w:val="BulletedList"/>
            </w:pPr>
            <w:r>
              <w:t>Identify significant similarities and differences between the two productions (</w:t>
            </w:r>
            <w:r w:rsidR="001C2988">
              <w:t>e.g.,</w:t>
            </w:r>
            <w:r>
              <w:t xml:space="preserve"> </w:t>
            </w:r>
            <w:r w:rsidR="001C2988">
              <w:t xml:space="preserve">Both </w:t>
            </w:r>
            <w:r w:rsidR="007A69B0">
              <w:t xml:space="preserve">productions depict the hero </w:t>
            </w:r>
            <w:r w:rsidR="005C0BA4">
              <w:t>gaining</w:t>
            </w:r>
            <w:r w:rsidR="007A69B0">
              <w:t xml:space="preserve"> information about the future</w:t>
            </w:r>
            <w:r w:rsidR="005C0BA4">
              <w:t xml:space="preserve"> from the supernatural</w:t>
            </w:r>
            <w:r w:rsidR="007A69B0">
              <w:t>, maintaining Shak</w:t>
            </w:r>
            <w:r w:rsidR="004B1ACB">
              <w:t>espeare’s emphasis on the impact of the supernatural o</w:t>
            </w:r>
            <w:r w:rsidR="007A69B0">
              <w:t>n the tragedy</w:t>
            </w:r>
            <w:r w:rsidR="00C819FD">
              <w:t>. I</w:t>
            </w:r>
            <w:r w:rsidR="00AA23F8">
              <w:t xml:space="preserve">n the </w:t>
            </w:r>
            <w:r w:rsidR="00B34BF8">
              <w:t>RSC’s</w:t>
            </w:r>
            <w:r w:rsidR="00AA23F8">
              <w:t xml:space="preserve"> production</w:t>
            </w:r>
            <w:r w:rsidR="00F43B7A">
              <w:t>,</w:t>
            </w:r>
            <w:r w:rsidR="00AA23F8">
              <w:t xml:space="preserve"> Macbeth and Banquo are not immediately aware of the nature of the supernatural </w:t>
            </w:r>
            <w:r w:rsidR="00B34BF8">
              <w:t xml:space="preserve">as the play </w:t>
            </w:r>
            <w:r w:rsidR="00AA23F8">
              <w:t xml:space="preserve">begins and ask, “What are these, / So withered, and so wild in their attire, / That look not like </w:t>
            </w:r>
            <w:proofErr w:type="spellStart"/>
            <w:r w:rsidR="00AA23F8">
              <w:t>th</w:t>
            </w:r>
            <w:proofErr w:type="spellEnd"/>
            <w:r w:rsidR="00AA23F8">
              <w:t>’ inhabitants o</w:t>
            </w:r>
            <w:r w:rsidR="004125B3">
              <w:t>’</w:t>
            </w:r>
            <w:r w:rsidR="00AA23F8">
              <w:t xml:space="preserve"> </w:t>
            </w:r>
            <w:proofErr w:type="spellStart"/>
            <w:r w:rsidR="00AA23F8">
              <w:t>th</w:t>
            </w:r>
            <w:proofErr w:type="spellEnd"/>
            <w:r w:rsidR="00AA23F8">
              <w:t xml:space="preserve">’ Earth / And yet are </w:t>
            </w:r>
            <w:proofErr w:type="gramStart"/>
            <w:r w:rsidR="00AA23F8">
              <w:t xml:space="preserve">on </w:t>
            </w:r>
            <w:r w:rsidR="007E3919">
              <w:t>’</w:t>
            </w:r>
            <w:r w:rsidR="00AA23F8">
              <w:t>t</w:t>
            </w:r>
            <w:proofErr w:type="gramEnd"/>
            <w:r w:rsidR="00AA23F8">
              <w:t>? –</w:t>
            </w:r>
            <w:r w:rsidR="004B1ACB">
              <w:t xml:space="preserve"> Live you</w:t>
            </w:r>
            <w:r w:rsidR="00AA23F8">
              <w:t xml:space="preserve">? Or are you aught / </w:t>
            </w:r>
            <w:proofErr w:type="gramStart"/>
            <w:r w:rsidR="00AA23F8">
              <w:t>That</w:t>
            </w:r>
            <w:proofErr w:type="gramEnd"/>
            <w:r w:rsidR="00AA23F8">
              <w:t xml:space="preserve"> man may question?” </w:t>
            </w:r>
            <w:r w:rsidR="00C819FD">
              <w:t>(</w:t>
            </w:r>
            <w:r w:rsidR="004B1ACB">
              <w:t>Ac</w:t>
            </w:r>
            <w:r w:rsidR="00AA23F8">
              <w:t>t 1</w:t>
            </w:r>
            <w:r w:rsidR="005E5189">
              <w:t>.</w:t>
            </w:r>
            <w:r w:rsidR="00AA23F8">
              <w:t>3</w:t>
            </w:r>
            <w:r w:rsidR="004125B3">
              <w:t xml:space="preserve">, lines </w:t>
            </w:r>
            <w:r w:rsidR="00AA23F8">
              <w:t>40</w:t>
            </w:r>
            <w:r w:rsidR="00CF1514">
              <w:t>–</w:t>
            </w:r>
            <w:r w:rsidR="00AA23F8">
              <w:t>4</w:t>
            </w:r>
            <w:r w:rsidR="004125B3">
              <w:t>4</w:t>
            </w:r>
            <w:r w:rsidR="00C819FD">
              <w:t>)</w:t>
            </w:r>
            <w:r w:rsidR="00AA23F8">
              <w:t xml:space="preserve">. In contrast, </w:t>
            </w:r>
            <w:proofErr w:type="spellStart"/>
            <w:r w:rsidR="00AA23F8">
              <w:t>Washizu</w:t>
            </w:r>
            <w:proofErr w:type="spellEnd"/>
            <w:r w:rsidR="00AA23F8">
              <w:t xml:space="preserve">, in </w:t>
            </w:r>
            <w:r w:rsidR="00AA23F8">
              <w:rPr>
                <w:i/>
              </w:rPr>
              <w:t xml:space="preserve">Throne of Blood, </w:t>
            </w:r>
            <w:r w:rsidR="00AA23F8">
              <w:t>knows right away that the spirit is evil and addresses it in those terms.</w:t>
            </w:r>
            <w:r w:rsidR="004B1ACB">
              <w:t xml:space="preserve"> This changes the circumstances under which the two heroes act</w:t>
            </w:r>
            <w:r w:rsidR="00F43B7A">
              <w:t>.</w:t>
            </w:r>
            <w:r w:rsidR="004B1ACB">
              <w:t xml:space="preserve"> Macbeth is not fully aware of the evil influence, but </w:t>
            </w:r>
            <w:proofErr w:type="spellStart"/>
            <w:r w:rsidR="004B1ACB">
              <w:t>Washizu</w:t>
            </w:r>
            <w:proofErr w:type="spellEnd"/>
            <w:r w:rsidR="004B1ACB">
              <w:t xml:space="preserve"> knows very well that the spirit is evil</w:t>
            </w:r>
            <w:r w:rsidR="00C819FD">
              <w:t>.</w:t>
            </w:r>
            <w:r>
              <w:t>).</w:t>
            </w:r>
          </w:p>
          <w:p w:rsidR="000843D0" w:rsidRDefault="000843D0" w:rsidP="00D31F4D">
            <w:pPr>
              <w:pStyle w:val="BulletedList"/>
            </w:pPr>
            <w:r>
              <w:t>Identify significant additions, omissions, or other changes (</w:t>
            </w:r>
            <w:r w:rsidR="001C2988">
              <w:t>e.g</w:t>
            </w:r>
            <w:r>
              <w:t xml:space="preserve">., </w:t>
            </w:r>
            <w:r w:rsidR="00AA23F8">
              <w:t xml:space="preserve">Kurosawa added a monologue for the </w:t>
            </w:r>
            <w:r w:rsidR="00431AD6">
              <w:t>W</w:t>
            </w:r>
            <w:r w:rsidR="00AA23F8">
              <w:t>itch to sing that revealed her philosophy that man’s life is meaningless</w:t>
            </w:r>
            <w:r w:rsidR="00C819FD">
              <w:t>. B</w:t>
            </w:r>
            <w:r w:rsidR="00AA23F8">
              <w:t xml:space="preserve">oth productions begin with the soldiers rather than the </w:t>
            </w:r>
            <w:r w:rsidR="00431AD6">
              <w:t>W</w:t>
            </w:r>
            <w:r w:rsidR="00AA23F8">
              <w:t xml:space="preserve">itches; Kurosawa’s </w:t>
            </w:r>
            <w:r w:rsidR="00431AD6">
              <w:t>W</w:t>
            </w:r>
            <w:r w:rsidR="00AA23F8">
              <w:t xml:space="preserve">itch does not cast a spell, so it is </w:t>
            </w:r>
            <w:r w:rsidR="00AA23F8">
              <w:lastRenderedPageBreak/>
              <w:t xml:space="preserve">unclear what the </w:t>
            </w:r>
            <w:r w:rsidR="00431AD6">
              <w:t>W</w:t>
            </w:r>
            <w:r w:rsidR="00AA23F8">
              <w:t>itch’s power is</w:t>
            </w:r>
            <w:r w:rsidR="007E3919">
              <w:t>.</w:t>
            </w:r>
            <w:r w:rsidR="00AA23F8">
              <w:t>)</w:t>
            </w:r>
            <w:r w:rsidR="00F43B7A">
              <w:t>.</w:t>
            </w:r>
          </w:p>
          <w:p w:rsidR="00284C16" w:rsidRPr="00790BCC" w:rsidRDefault="00731FE6" w:rsidP="00431AD6">
            <w:pPr>
              <w:pStyle w:val="BulletedList"/>
            </w:pPr>
            <w:r>
              <w:t>Explain how differences create different emphases in the two treatments (</w:t>
            </w:r>
            <w:r w:rsidR="00C819FD">
              <w:t xml:space="preserve">e.g., </w:t>
            </w:r>
            <w:proofErr w:type="gramStart"/>
            <w:r w:rsidR="00C819FD">
              <w:t>B</w:t>
            </w:r>
            <w:r w:rsidR="00AA23F8">
              <w:t>y</w:t>
            </w:r>
            <w:proofErr w:type="gramEnd"/>
            <w:r w:rsidR="00AA23F8">
              <w:t xml:space="preserve"> beginning with the soldiers rather than the </w:t>
            </w:r>
            <w:r w:rsidR="00431AD6">
              <w:t>W</w:t>
            </w:r>
            <w:r w:rsidR="00AA23F8">
              <w:t>itches, both productions focus on human activity rather than supernatural activity, emphasizing the role of the men</w:t>
            </w:r>
            <w:r w:rsidR="00C819FD">
              <w:t>. T</w:t>
            </w:r>
            <w:r w:rsidR="00AA23F8">
              <w:t xml:space="preserve">hrough lighting and camera shots, both productions emphasize the </w:t>
            </w:r>
            <w:r w:rsidR="00431AD6">
              <w:t>W</w:t>
            </w:r>
            <w:r w:rsidR="00AA23F8">
              <w:t>itches in the exchanges, making it clear that they are powerful figures</w:t>
            </w:r>
            <w:r w:rsidR="007E3919">
              <w:t>.</w:t>
            </w:r>
            <w:r>
              <w:t>)</w:t>
            </w:r>
            <w:r w:rsidR="00463F50">
              <w:t>.</w:t>
            </w:r>
          </w:p>
        </w:tc>
      </w:tr>
    </w:tbl>
    <w:p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790BCC" w:rsidRPr="00790BCC" w:rsidRDefault="003D2ED0" w:rsidP="00D31F4D">
            <w:pPr>
              <w:pStyle w:val="BulletedList"/>
            </w:pPr>
            <w:r>
              <w:t>None</w:t>
            </w:r>
            <w:r w:rsidR="00463F50">
              <w:t>.</w:t>
            </w:r>
            <w:r>
              <w:t>*</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3D2ED0" w:rsidP="00D31F4D">
            <w:pPr>
              <w:pStyle w:val="BulletedList"/>
            </w:pPr>
            <w:r>
              <w:t>None</w:t>
            </w:r>
            <w:r w:rsidR="00463F50">
              <w:t>.</w:t>
            </w:r>
            <w:r>
              <w:t>*</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Pr="00790BCC" w:rsidRDefault="00BF083C" w:rsidP="00D31F4D">
            <w:pPr>
              <w:pStyle w:val="BulletedList"/>
            </w:pPr>
            <w:r>
              <w:t>None</w:t>
            </w:r>
            <w:r w:rsidR="00463F50">
              <w:t>.</w:t>
            </w:r>
            <w:r>
              <w:t>*</w:t>
            </w:r>
          </w:p>
        </w:tc>
      </w:tr>
    </w:tbl>
    <w:p w:rsidR="003D2ED0" w:rsidRPr="00937B70" w:rsidRDefault="003D2ED0" w:rsidP="0051473A">
      <w:pPr>
        <w:rPr>
          <w:rStyle w:val="Hyperlink"/>
        </w:rPr>
      </w:pPr>
      <w:r w:rsidRPr="0025552E">
        <w:rPr>
          <w:sz w:val="18"/>
        </w:rPr>
        <w:t>*Because this is not a close reading lesson, there is no specified vocabulary. However, in the process of returning to the text, students may uncover unfamiliar words. Teachers can guide students to make meaning of these words by following the protocols de</w:t>
      </w:r>
      <w:r w:rsidR="00135406">
        <w:rPr>
          <w:sz w:val="18"/>
        </w:rPr>
        <w:t>scribed in 1e</w:t>
      </w:r>
      <w:r w:rsidRPr="0025552E">
        <w:rPr>
          <w:sz w:val="18"/>
        </w:rPr>
        <w:t xml:space="preserve"> of this document </w:t>
      </w:r>
      <w:hyperlink r:id="rId7" w:history="1">
        <w:r w:rsidRPr="001B21FE">
          <w:rPr>
            <w:rStyle w:val="Hyperlink"/>
            <w:sz w:val="18"/>
            <w:szCs w:val="18"/>
          </w:rPr>
          <w:t>http://www.engageny.org/sites/default/files/resource/attachments/9-12_ela_prefatory_material.pdf</w:t>
        </w:r>
      </w:hyperlink>
      <w:r w:rsidR="00135406" w:rsidRPr="0025552E">
        <w:rPr>
          <w:sz w:val="18"/>
        </w:rPr>
        <w:t>.</w:t>
      </w:r>
    </w:p>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F10DD5" w:rsidP="00D31F4D">
            <w:pPr>
              <w:pStyle w:val="TableText"/>
              <w:rPr>
                <w:b/>
              </w:rPr>
            </w:pPr>
            <w:r>
              <w:rPr>
                <w:b/>
              </w:rPr>
              <w:t>Standards</w:t>
            </w:r>
            <w:r w:rsidR="00790BCC" w:rsidRPr="00D31F4D">
              <w:rPr>
                <w:b/>
              </w:rPr>
              <w:t>:</w:t>
            </w:r>
          </w:p>
          <w:p w:rsidR="00790BCC" w:rsidRPr="00790BCC" w:rsidRDefault="001927C5" w:rsidP="00F10DD5">
            <w:pPr>
              <w:pStyle w:val="BulletedList"/>
            </w:pPr>
            <w:r>
              <w:t>Sta</w:t>
            </w:r>
            <w:r w:rsidR="00135406">
              <w:t>ndards:</w:t>
            </w:r>
            <w:bookmarkStart w:id="0" w:name="_GoBack"/>
            <w:bookmarkEnd w:id="0"/>
            <w:r w:rsidR="00135406">
              <w:t xml:space="preserve"> RL.9-10.7.a, W.9-10.2.c, d, </w:t>
            </w:r>
            <w:r>
              <w:t>e</w:t>
            </w:r>
            <w:r w:rsidR="007E3919">
              <w:t>, SL.9-10.1.c</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9F34AA" w:rsidP="00D31F4D">
            <w:pPr>
              <w:pStyle w:val="NumberedList"/>
            </w:pPr>
            <w:r>
              <w:t>Writing Instruction</w:t>
            </w:r>
          </w:p>
          <w:p w:rsidR="00790BCC" w:rsidRPr="00790BCC" w:rsidRDefault="009F34AA" w:rsidP="00D31F4D">
            <w:pPr>
              <w:pStyle w:val="NumberedList"/>
            </w:pPr>
            <w:r>
              <w:t>Film Discussion</w:t>
            </w:r>
          </w:p>
          <w:p w:rsidR="00790BCC" w:rsidRPr="00790BCC" w:rsidRDefault="00D508C9" w:rsidP="00D31F4D">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CC5B51" w:rsidP="00D31F4D">
            <w:pPr>
              <w:pStyle w:val="NumberedList"/>
              <w:numPr>
                <w:ilvl w:val="0"/>
                <w:numId w:val="13"/>
              </w:numPr>
            </w:pPr>
            <w:r>
              <w:t>10</w:t>
            </w:r>
            <w:r w:rsidR="00790BCC" w:rsidRPr="00790BCC">
              <w:t>%</w:t>
            </w:r>
          </w:p>
          <w:p w:rsidR="00790BCC" w:rsidRPr="00790BCC" w:rsidRDefault="00DC22C4" w:rsidP="00D31F4D">
            <w:pPr>
              <w:pStyle w:val="NumberedList"/>
              <w:numPr>
                <w:ilvl w:val="0"/>
                <w:numId w:val="13"/>
              </w:numPr>
            </w:pPr>
            <w:r w:rsidRPr="00790BCC">
              <w:t>1</w:t>
            </w:r>
            <w:r>
              <w:t>5</w:t>
            </w:r>
            <w:r w:rsidR="00790BCC" w:rsidRPr="00790BCC">
              <w:t>%</w:t>
            </w:r>
          </w:p>
          <w:p w:rsidR="00790BCC" w:rsidRPr="00790BCC" w:rsidRDefault="00CC5B51" w:rsidP="00D31F4D">
            <w:pPr>
              <w:pStyle w:val="NumberedList"/>
              <w:numPr>
                <w:ilvl w:val="0"/>
                <w:numId w:val="13"/>
              </w:numPr>
            </w:pPr>
            <w:r>
              <w:t>35</w:t>
            </w:r>
            <w:r w:rsidR="00790BCC" w:rsidRPr="00790BCC">
              <w:t>%</w:t>
            </w:r>
          </w:p>
          <w:p w:rsidR="00790BCC" w:rsidRPr="00790BCC" w:rsidRDefault="00DC22C4" w:rsidP="00D31F4D">
            <w:pPr>
              <w:pStyle w:val="NumberedList"/>
              <w:numPr>
                <w:ilvl w:val="0"/>
                <w:numId w:val="13"/>
              </w:numPr>
            </w:pPr>
            <w:r>
              <w:t>20</w:t>
            </w:r>
            <w:r w:rsidR="00790BCC" w:rsidRPr="00790BCC">
              <w:t>%</w:t>
            </w:r>
          </w:p>
          <w:p w:rsidR="00790BCC" w:rsidRPr="00790BCC" w:rsidRDefault="00C819FD" w:rsidP="00D31F4D">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1806A8" w:rsidRDefault="001806A8" w:rsidP="001806A8">
      <w:pPr>
        <w:pStyle w:val="BulletedList"/>
      </w:pPr>
      <w:r>
        <w:t>Student copies of the 10.4 Common Core Learning Standards Tool (</w:t>
      </w:r>
      <w:r w:rsidR="00A54835">
        <w:t>refer to 10.4.2</w:t>
      </w:r>
      <w:r>
        <w:t xml:space="preserve"> Lesson 1)</w:t>
      </w:r>
    </w:p>
    <w:p w:rsidR="00790BCC" w:rsidRDefault="00463F50" w:rsidP="00D31F4D">
      <w:pPr>
        <w:pStyle w:val="BulletedList"/>
      </w:pPr>
      <w:r>
        <w:t>C</w:t>
      </w:r>
      <w:r w:rsidR="0051473A">
        <w:t xml:space="preserve">opies of </w:t>
      </w:r>
      <w:r>
        <w:t xml:space="preserve">the </w:t>
      </w:r>
      <w:r w:rsidR="0033425E">
        <w:t xml:space="preserve">Connecting Ideas Handout </w:t>
      </w:r>
      <w:r>
        <w:t>for each student</w:t>
      </w:r>
    </w:p>
    <w:p w:rsidR="00135406" w:rsidRDefault="00135406" w:rsidP="00D31F4D">
      <w:pPr>
        <w:pStyle w:val="BulletedList"/>
      </w:pPr>
      <w:r>
        <w:t xml:space="preserve">Akira Kurosawa’s </w:t>
      </w:r>
      <w:r>
        <w:rPr>
          <w:i/>
        </w:rPr>
        <w:t>Throne of Blood</w:t>
      </w:r>
      <w:r>
        <w:t xml:space="preserve"> and the Royal Shakespeare Company’s </w:t>
      </w:r>
      <w:r>
        <w:rPr>
          <w:i/>
        </w:rPr>
        <w:t>Macbeth</w:t>
      </w:r>
    </w:p>
    <w:p w:rsidR="004125B3" w:rsidRDefault="004125B3" w:rsidP="00D31F4D">
      <w:pPr>
        <w:pStyle w:val="BulletedList"/>
      </w:pPr>
      <w:r>
        <w:t>Student copies of</w:t>
      </w:r>
      <w:r w:rsidR="00463F50">
        <w:t xml:space="preserve"> the</w:t>
      </w:r>
      <w:r>
        <w:t xml:space="preserve"> Short Response Rubric and Checklist (refer to 10.4.1 Lesson 1)</w:t>
      </w:r>
    </w:p>
    <w:p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tcPr>
          <w:p w:rsidR="00D31F4D" w:rsidRPr="00D31F4D" w:rsidRDefault="00D31F4D" w:rsidP="00463F50">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r>
      <w:r w:rsidR="001806A8">
        <w:rPr>
          <w:b/>
          <w:bCs/>
          <w:color w:val="4F81BD"/>
          <w:sz w:val="28"/>
          <w:szCs w:val="26"/>
        </w:rPr>
        <w:t>10</w:t>
      </w:r>
      <w:r w:rsidRPr="00790BCC">
        <w:rPr>
          <w:b/>
          <w:bCs/>
          <w:color w:val="4F81BD"/>
          <w:sz w:val="28"/>
          <w:szCs w:val="26"/>
        </w:rPr>
        <w:t>%</w:t>
      </w:r>
    </w:p>
    <w:p w:rsidR="00FB2CD5" w:rsidRDefault="004917C9" w:rsidP="00210C4C">
      <w:pPr>
        <w:pStyle w:val="TA"/>
      </w:pPr>
      <w:r>
        <w:t xml:space="preserve">Begin by </w:t>
      </w:r>
      <w:r w:rsidR="00C5171A">
        <w:t>reviewing the agenda and the assessed standards for this lesson: RL.9-10.7</w:t>
      </w:r>
      <w:r w:rsidR="00A46885">
        <w:t>.a</w:t>
      </w:r>
      <w:r w:rsidR="00135406">
        <w:t xml:space="preserve"> and W.9-10.2.c, d, </w:t>
      </w:r>
      <w:r w:rsidR="008215A2">
        <w:t>e</w:t>
      </w:r>
      <w:r w:rsidR="00A42B5D">
        <w:t xml:space="preserve">. </w:t>
      </w:r>
      <w:proofErr w:type="gramStart"/>
      <w:r w:rsidR="00A42B5D">
        <w:t>In</w:t>
      </w:r>
      <w:proofErr w:type="gramEnd"/>
      <w:r w:rsidR="00A42B5D">
        <w:t xml:space="preserve"> this lesson, students</w:t>
      </w:r>
      <w:r w:rsidR="00C5171A">
        <w:t xml:space="preserve"> </w:t>
      </w:r>
      <w:r w:rsidR="00FB2CD5">
        <w:t xml:space="preserve">first participate in a brief review of select elements of writing style, revising short writing pieces from earlier lessons that </w:t>
      </w:r>
      <w:r w:rsidR="003B0D11">
        <w:t>are</w:t>
      </w:r>
      <w:r w:rsidR="00FB2CD5">
        <w:t xml:space="preserve"> used as the foundation for their response to the Quick Write for this lesson. Next, students </w:t>
      </w:r>
      <w:r w:rsidR="00677B6C">
        <w:t>reconsider</w:t>
      </w:r>
      <w:r w:rsidR="00C5171A">
        <w:t xml:space="preserve"> two short film clips</w:t>
      </w:r>
      <w:r w:rsidR="00FB2CD5">
        <w:t xml:space="preserve"> (</w:t>
      </w:r>
      <w:r w:rsidR="00C5171A">
        <w:t xml:space="preserve">one from the </w:t>
      </w:r>
      <w:r w:rsidR="00B34BF8">
        <w:t>RSC’s</w:t>
      </w:r>
      <w:r w:rsidR="00C819FD">
        <w:t xml:space="preserve"> 2011 television</w:t>
      </w:r>
      <w:r w:rsidR="00C5171A">
        <w:t xml:space="preserve"> production</w:t>
      </w:r>
      <w:r w:rsidR="00C819FD">
        <w:t xml:space="preserve"> of</w:t>
      </w:r>
      <w:r w:rsidR="00C5171A">
        <w:t xml:space="preserve"> </w:t>
      </w:r>
      <w:r w:rsidR="00C5171A">
        <w:rPr>
          <w:i/>
        </w:rPr>
        <w:t>Macbeth</w:t>
      </w:r>
      <w:r w:rsidR="00C5171A">
        <w:t xml:space="preserve"> and the other from Japanese director Akira Kurosawa’s film, </w:t>
      </w:r>
      <w:r w:rsidR="00C5171A">
        <w:rPr>
          <w:i/>
        </w:rPr>
        <w:t>Throne of Blood</w:t>
      </w:r>
      <w:r w:rsidR="00FB2CD5">
        <w:t>)</w:t>
      </w:r>
      <w:r w:rsidR="00C5171A">
        <w:rPr>
          <w:i/>
        </w:rPr>
        <w:t>.</w:t>
      </w:r>
      <w:r w:rsidR="00C5171A">
        <w:t xml:space="preserve"> </w:t>
      </w:r>
      <w:r w:rsidR="00FB2CD5">
        <w:t>The lesson concludes with a Quick Write</w:t>
      </w:r>
      <w:r w:rsidR="00FA0F55">
        <w:t xml:space="preserve"> in which students practice the elements of writing style</w:t>
      </w:r>
      <w:r w:rsidR="00FB2CD5">
        <w:t>.</w:t>
      </w:r>
    </w:p>
    <w:p w:rsidR="001806A8" w:rsidRDefault="00C5171A">
      <w:pPr>
        <w:pStyle w:val="SA"/>
      </w:pPr>
      <w:r>
        <w:t xml:space="preserve">Students </w:t>
      </w:r>
      <w:r w:rsidR="001806A8">
        <w:t>look at the agenda</w:t>
      </w:r>
      <w:r>
        <w:t>.</w:t>
      </w:r>
    </w:p>
    <w:p w:rsidR="001806A8" w:rsidRPr="00C845DB" w:rsidRDefault="001806A8" w:rsidP="001806A8">
      <w:pPr>
        <w:pStyle w:val="TA"/>
      </w:pPr>
      <w:r w:rsidRPr="00C845DB">
        <w:t xml:space="preserve">Distribute </w:t>
      </w:r>
      <w:r>
        <w:t xml:space="preserve">or </w:t>
      </w:r>
      <w:r w:rsidR="007E3919">
        <w:t>ask</w:t>
      </w:r>
      <w:r>
        <w:t xml:space="preserve"> students to take out their copies of</w:t>
      </w:r>
      <w:r w:rsidRPr="00C845DB">
        <w:t xml:space="preserve"> the </w:t>
      </w:r>
      <w:r>
        <w:t>10</w:t>
      </w:r>
      <w:r w:rsidRPr="00C845DB">
        <w:t>.</w:t>
      </w:r>
      <w:r>
        <w:t>4</w:t>
      </w:r>
      <w:r w:rsidRPr="00C845DB">
        <w:t xml:space="preserve"> Common Core Learning Standards Tool. Inform students that </w:t>
      </w:r>
      <w:r>
        <w:t xml:space="preserve">in this lesson </w:t>
      </w:r>
      <w:r w:rsidRPr="00C845DB">
        <w:t xml:space="preserve">they </w:t>
      </w:r>
      <w:r>
        <w:t xml:space="preserve">begin to work with a new standard: </w:t>
      </w:r>
      <w:r w:rsidR="002858B6">
        <w:t>R</w:t>
      </w:r>
      <w:r>
        <w:t>L.9-10.</w:t>
      </w:r>
      <w:r w:rsidR="002858B6">
        <w:t>7.a</w:t>
      </w:r>
      <w:r>
        <w:t xml:space="preserve">. </w:t>
      </w:r>
      <w:r w:rsidRPr="00C845DB">
        <w:t xml:space="preserve">Ask students to individually read </w:t>
      </w:r>
      <w:r>
        <w:t>this standard</w:t>
      </w:r>
      <w:r w:rsidRPr="00C845DB">
        <w:t xml:space="preserve"> on their tools and assess their familiarity with and mastery of </w:t>
      </w:r>
      <w:r>
        <w:t>it.</w:t>
      </w:r>
    </w:p>
    <w:p w:rsidR="001806A8" w:rsidRDefault="001806A8" w:rsidP="001806A8">
      <w:pPr>
        <w:pStyle w:val="SA"/>
        <w:numPr>
          <w:ilvl w:val="0"/>
          <w:numId w:val="8"/>
        </w:numPr>
      </w:pPr>
      <w:r>
        <w:t xml:space="preserve">Students read and assess their familiarity with standard </w:t>
      </w:r>
      <w:r w:rsidR="002858B6">
        <w:t>RL.9-10.7.a</w:t>
      </w:r>
      <w:r>
        <w:t xml:space="preserve">. </w:t>
      </w:r>
    </w:p>
    <w:p w:rsidR="001806A8" w:rsidRPr="00C845DB" w:rsidRDefault="001806A8" w:rsidP="001806A8">
      <w:pPr>
        <w:pStyle w:val="TA"/>
      </w:pPr>
      <w:r w:rsidRPr="00C845DB">
        <w:t>Instruct students to talk in pairs abo</w:t>
      </w:r>
      <w:r>
        <w:t xml:space="preserve">ut what they think the standard </w:t>
      </w:r>
      <w:r w:rsidR="007E3919">
        <w:t xml:space="preserve">and substandard </w:t>
      </w:r>
      <w:r>
        <w:t xml:space="preserve">means. </w:t>
      </w:r>
      <w:r w:rsidRPr="00C845DB">
        <w:t>Lea</w:t>
      </w:r>
      <w:r>
        <w:t>d a brief</w:t>
      </w:r>
      <w:r w:rsidR="00A46885">
        <w:t xml:space="preserve"> </w:t>
      </w:r>
      <w:r>
        <w:t>discussion about the standard</w:t>
      </w:r>
      <w:r w:rsidRPr="00C845DB">
        <w:t xml:space="preserve">. </w:t>
      </w:r>
    </w:p>
    <w:p w:rsidR="001806A8" w:rsidRDefault="001806A8" w:rsidP="001806A8">
      <w:pPr>
        <w:pStyle w:val="SR"/>
      </w:pPr>
      <w:r>
        <w:t xml:space="preserve">Analyze </w:t>
      </w:r>
      <w:r w:rsidR="002858B6">
        <w:t>texts or art work by people from countries around the world</w:t>
      </w:r>
      <w:r>
        <w:t>.</w:t>
      </w:r>
    </w:p>
    <w:p w:rsidR="00790BCC" w:rsidRPr="00790BCC" w:rsidRDefault="00790BCC" w:rsidP="007017EB">
      <w:pPr>
        <w:pStyle w:val="LearningSequenceHeader"/>
      </w:pPr>
      <w:r w:rsidRPr="00790BCC">
        <w:lastRenderedPageBreak/>
        <w:t>Activity 2: Homework Accountability</w:t>
      </w:r>
      <w:r w:rsidRPr="00790BCC">
        <w:tab/>
      </w:r>
      <w:r w:rsidR="00DC22C4" w:rsidRPr="00790BCC">
        <w:t>1</w:t>
      </w:r>
      <w:r w:rsidR="00DC22C4">
        <w:t>5</w:t>
      </w:r>
      <w:r w:rsidRPr="00790BCC">
        <w:t>%</w:t>
      </w:r>
    </w:p>
    <w:p w:rsidR="00731FE6" w:rsidRPr="00427129" w:rsidRDefault="00731FE6" w:rsidP="00731FE6">
      <w:pPr>
        <w:pStyle w:val="TA"/>
      </w:pPr>
      <w:r w:rsidRPr="00E51822">
        <w:t xml:space="preserve">Instruct students to talk in pairs about how they </w:t>
      </w:r>
      <w:r>
        <w:t>applied</w:t>
      </w:r>
      <w:r w:rsidRPr="00E51822">
        <w:t xml:space="preserve"> their focus standard</w:t>
      </w:r>
      <w:r>
        <w:t xml:space="preserve"> </w:t>
      </w:r>
      <w:r w:rsidRPr="00E51822">
        <w:t xml:space="preserve">to their </w:t>
      </w:r>
      <w:r>
        <w:t xml:space="preserve">Accountable Independent Reading </w:t>
      </w:r>
      <w:r w:rsidR="00F43B7A">
        <w:t xml:space="preserve">(AIR) </w:t>
      </w:r>
      <w:r w:rsidRPr="00E51822">
        <w:t>text</w:t>
      </w:r>
      <w:r w:rsidR="00896BE5">
        <w:t>s</w:t>
      </w:r>
      <w:r w:rsidRPr="00E51822">
        <w:t>. Lead a brief share out on the previous lesson’s AIR homework assignment. Select several students (or student pairs) to explain how they applied their focus standard to their AIR text.</w:t>
      </w:r>
    </w:p>
    <w:p w:rsidR="00731FE6" w:rsidRPr="00E1102F" w:rsidRDefault="00731FE6" w:rsidP="00731FE6">
      <w:pPr>
        <w:pStyle w:val="SA"/>
        <w:numPr>
          <w:ilvl w:val="0"/>
          <w:numId w:val="8"/>
        </w:numPr>
        <w:rPr>
          <w:b/>
        </w:rPr>
      </w:pPr>
      <w:r w:rsidRPr="00E51822">
        <w:t>Students (or student pairs) discuss and share how they applied their focus standard to their AIR text from the previous lesson’s homework.</w:t>
      </w:r>
    </w:p>
    <w:p w:rsidR="00731FE6" w:rsidRPr="008227BD" w:rsidRDefault="00731FE6" w:rsidP="00731FE6">
      <w:pPr>
        <w:pStyle w:val="BR"/>
        <w:rPr>
          <w:rFonts w:asciiTheme="majorHAnsi" w:hAnsiTheme="majorHAnsi"/>
        </w:rPr>
      </w:pPr>
    </w:p>
    <w:p w:rsidR="00EA43AB" w:rsidRDefault="00C5171A" w:rsidP="00EA43AB">
      <w:pPr>
        <w:pStyle w:val="TA"/>
      </w:pPr>
      <w:r>
        <w:t xml:space="preserve">Instruct students </w:t>
      </w:r>
      <w:r w:rsidR="00A46885">
        <w:t>take out</w:t>
      </w:r>
      <w:r w:rsidR="00731FE6">
        <w:t xml:space="preserve"> the</w:t>
      </w:r>
      <w:r w:rsidR="00EA43AB">
        <w:t xml:space="preserve">ir responses to </w:t>
      </w:r>
      <w:r w:rsidR="007E3919">
        <w:t xml:space="preserve">10.4.2 </w:t>
      </w:r>
      <w:r w:rsidR="00EA43AB">
        <w:t>Lesson 25</w:t>
      </w:r>
      <w:r w:rsidR="007E3919">
        <w:t>’s</w:t>
      </w:r>
      <w:r w:rsidR="00EA43AB">
        <w:t xml:space="preserve"> homework. (Write a paragraph in response to the following prompt: Analyze the impact of the directors’ choice of setting in Kurosawa’s </w:t>
      </w:r>
      <w:r w:rsidR="00EA43AB" w:rsidRPr="00937B70">
        <w:rPr>
          <w:i/>
        </w:rPr>
        <w:t>Throne of Blood</w:t>
      </w:r>
      <w:r w:rsidR="00EA43AB">
        <w:t xml:space="preserve"> and the RSC production of </w:t>
      </w:r>
      <w:r w:rsidR="00EA43AB" w:rsidRPr="00937B70">
        <w:rPr>
          <w:i/>
        </w:rPr>
        <w:t>Macbeth</w:t>
      </w:r>
      <w:r w:rsidR="00EA43AB">
        <w:t>.)</w:t>
      </w:r>
      <w:r w:rsidR="00A46885">
        <w:t xml:space="preserve"> Instruct </w:t>
      </w:r>
      <w:r w:rsidR="007E3919">
        <w:t xml:space="preserve">the </w:t>
      </w:r>
      <w:r w:rsidR="00A46885">
        <w:t>student pairs to</w:t>
      </w:r>
      <w:r w:rsidR="004B59A4">
        <w:t xml:space="preserve"> share their </w:t>
      </w:r>
      <w:r w:rsidR="007E3919">
        <w:t>responses</w:t>
      </w:r>
      <w:r w:rsidR="004B59A4">
        <w:t>.</w:t>
      </w:r>
    </w:p>
    <w:p w:rsidR="00B66EBC" w:rsidRDefault="00731FE6" w:rsidP="00B66EBC">
      <w:pPr>
        <w:pStyle w:val="SR"/>
      </w:pPr>
      <w:r>
        <w:t xml:space="preserve"> </w:t>
      </w:r>
      <w:r w:rsidR="00B66EBC">
        <w:t>Student responses may include:</w:t>
      </w:r>
    </w:p>
    <w:p w:rsidR="00B66EBC" w:rsidRDefault="00B66EBC" w:rsidP="00B66EBC">
      <w:pPr>
        <w:pStyle w:val="SASRBullet"/>
      </w:pPr>
      <w:r>
        <w:t xml:space="preserve">Both directors choose to emphasize the background of conflict at the start of </w:t>
      </w:r>
      <w:r>
        <w:rPr>
          <w:i/>
        </w:rPr>
        <w:t xml:space="preserve">Macbeth </w:t>
      </w:r>
      <w:r>
        <w:t xml:space="preserve">through the choice of setting. In </w:t>
      </w:r>
      <w:r>
        <w:rPr>
          <w:i/>
        </w:rPr>
        <w:t>Throne of Blood</w:t>
      </w:r>
      <w:r>
        <w:t xml:space="preserve">, Kurosawa situates </w:t>
      </w:r>
      <w:proofErr w:type="spellStart"/>
      <w:r w:rsidR="00F43B7A">
        <w:t>Washizu</w:t>
      </w:r>
      <w:proofErr w:type="spellEnd"/>
      <w:r w:rsidR="00F43B7A">
        <w:t xml:space="preserve"> </w:t>
      </w:r>
      <w:r w:rsidR="004B59A4">
        <w:t xml:space="preserve">(Macbeth) </w:t>
      </w:r>
      <w:r>
        <w:t>within the context of samurai culture in early-modern Japan, and so highlights both his military role and the importance of loyalty to his lord. In the RSC prod</w:t>
      </w:r>
      <w:r w:rsidR="00093098">
        <w:t>uc</w:t>
      </w:r>
      <w:r>
        <w:t xml:space="preserve">tion of </w:t>
      </w:r>
      <w:r>
        <w:rPr>
          <w:i/>
        </w:rPr>
        <w:t>Macbeth</w:t>
      </w:r>
      <w:r>
        <w:t xml:space="preserve">, the setting of the play in a twentieth-century military hospital during a war also </w:t>
      </w:r>
      <w:r w:rsidR="00093098">
        <w:t>situates</w:t>
      </w:r>
      <w:r>
        <w:t xml:space="preserve"> the play within a military culture, although the significance of feudal ties is played down. </w:t>
      </w:r>
    </w:p>
    <w:p w:rsidR="00B66EBC" w:rsidRDefault="00B66EBC" w:rsidP="00B66EBC">
      <w:pPr>
        <w:pStyle w:val="SASRBullet"/>
      </w:pPr>
      <w:r>
        <w:t xml:space="preserve">In both </w:t>
      </w:r>
      <w:r>
        <w:rPr>
          <w:i/>
        </w:rPr>
        <w:t xml:space="preserve">Throne of Blood </w:t>
      </w:r>
      <w:r>
        <w:t xml:space="preserve">and the RSC production of </w:t>
      </w:r>
      <w:r>
        <w:rPr>
          <w:i/>
        </w:rPr>
        <w:t>Macbeth</w:t>
      </w:r>
      <w:r>
        <w:t xml:space="preserve">, the directors use the setting to create tension. The opening scenes of </w:t>
      </w:r>
      <w:r>
        <w:rPr>
          <w:i/>
        </w:rPr>
        <w:t xml:space="preserve">Throne of Blood </w:t>
      </w:r>
      <w:r>
        <w:t xml:space="preserve">are made </w:t>
      </w:r>
      <w:proofErr w:type="gramStart"/>
      <w:r>
        <w:t>more tense</w:t>
      </w:r>
      <w:proofErr w:type="gramEnd"/>
      <w:r>
        <w:t xml:space="preserve"> by the claustrophobic and confusing setting of Spider’s Web Forest. In the RSC production of </w:t>
      </w:r>
      <w:r>
        <w:rPr>
          <w:i/>
        </w:rPr>
        <w:t>Macbeth</w:t>
      </w:r>
      <w:r>
        <w:t xml:space="preserve">, the underground setting of the maze-like hospital creates a similar effect, as do the flickering lights and explosions that remind the audience that a war is going on. </w:t>
      </w:r>
    </w:p>
    <w:p w:rsidR="00790BCC" w:rsidRPr="00790BCC" w:rsidRDefault="001C7764" w:rsidP="007017EB">
      <w:pPr>
        <w:pStyle w:val="LearningSequenceHeader"/>
      </w:pPr>
      <w:r>
        <w:t xml:space="preserve">Activity 3: </w:t>
      </w:r>
      <w:r w:rsidR="00D508C9">
        <w:t>Writing Instruction</w:t>
      </w:r>
      <w:r w:rsidR="00C9263F">
        <w:tab/>
      </w:r>
      <w:r w:rsidR="00CC5B51">
        <w:t>35</w:t>
      </w:r>
      <w:r w:rsidR="00790BCC" w:rsidRPr="00790BCC">
        <w:t>%</w:t>
      </w:r>
    </w:p>
    <w:p w:rsidR="00AA23F8" w:rsidRDefault="00D30D78" w:rsidP="00E24E21">
      <w:pPr>
        <w:pStyle w:val="TA"/>
      </w:pPr>
      <w:r>
        <w:t xml:space="preserve">Remind students of their previous work </w:t>
      </w:r>
      <w:r w:rsidR="00221A74">
        <w:t>in 10.3.</w:t>
      </w:r>
      <w:r w:rsidR="00F3618D">
        <w:t>3</w:t>
      </w:r>
      <w:r w:rsidR="007F4FB7">
        <w:t xml:space="preserve"> Lessons 5 and 6</w:t>
      </w:r>
      <w:r w:rsidR="00F3618D">
        <w:t xml:space="preserve"> </w:t>
      </w:r>
      <w:r>
        <w:t xml:space="preserve">with </w:t>
      </w:r>
      <w:r w:rsidR="00E24E21">
        <w:t>standard W.9-</w:t>
      </w:r>
      <w:r w:rsidR="004D444E">
        <w:t>10.2.c,</w:t>
      </w:r>
      <w:r>
        <w:t xml:space="preserve"> which </w:t>
      </w:r>
      <w:r w:rsidR="00E24E21">
        <w:t xml:space="preserve">demands that </w:t>
      </w:r>
      <w:r w:rsidR="00E24E21" w:rsidRPr="00E24E21">
        <w:t>students “use appropriate and varied transitions to link the major sections of the text, create cohesion, and clarify the relationships among complex ideas and concepts.”</w:t>
      </w:r>
      <w:r w:rsidR="00E24E21">
        <w:t xml:space="preserve"> </w:t>
      </w:r>
    </w:p>
    <w:p w:rsidR="00D30D78" w:rsidRDefault="00E24E21" w:rsidP="00E24E21">
      <w:pPr>
        <w:pStyle w:val="TA"/>
      </w:pPr>
      <w:r>
        <w:t>Instruct students to</w:t>
      </w:r>
      <w:r w:rsidR="00AA23F8">
        <w:t xml:space="preserve"> review their responses to the </w:t>
      </w:r>
      <w:r w:rsidR="00DF0900">
        <w:t xml:space="preserve">homework assignment for </w:t>
      </w:r>
      <w:r w:rsidR="007E3919">
        <w:t xml:space="preserve">10.4.2 </w:t>
      </w:r>
      <w:r w:rsidR="00DF0900">
        <w:t>Lesson 2</w:t>
      </w:r>
      <w:r w:rsidR="00F117DC">
        <w:t>4</w:t>
      </w:r>
      <w:r w:rsidR="00027AA6">
        <w:t xml:space="preserve"> </w:t>
      </w:r>
      <w:r w:rsidR="00DF0900">
        <w:t xml:space="preserve">and the </w:t>
      </w:r>
      <w:r w:rsidR="00AA23F8">
        <w:t xml:space="preserve">Quick Write </w:t>
      </w:r>
      <w:r w:rsidR="00DC22C4">
        <w:t>response</w:t>
      </w:r>
      <w:r w:rsidR="00AA23F8">
        <w:t xml:space="preserve"> they wrote in </w:t>
      </w:r>
      <w:r w:rsidR="007E3919">
        <w:t xml:space="preserve">10.4.2 </w:t>
      </w:r>
      <w:r w:rsidR="00AA23F8">
        <w:t xml:space="preserve">Lesson 25, </w:t>
      </w:r>
      <w:r w:rsidR="009D124A">
        <w:t xml:space="preserve">analyzing the treatment of the </w:t>
      </w:r>
      <w:r w:rsidR="00431AD6">
        <w:t>W</w:t>
      </w:r>
      <w:r w:rsidR="00AA23F8">
        <w:t xml:space="preserve">itches in the </w:t>
      </w:r>
      <w:r w:rsidR="00B34BF8">
        <w:t>RSC</w:t>
      </w:r>
      <w:r w:rsidR="00AA23F8">
        <w:t xml:space="preserve"> production and in </w:t>
      </w:r>
      <w:r w:rsidR="00AA23F8">
        <w:rPr>
          <w:i/>
        </w:rPr>
        <w:t>Throne of Blood</w:t>
      </w:r>
      <w:r w:rsidR="00AA23F8">
        <w:t>. Instruct students to</w:t>
      </w:r>
      <w:r>
        <w:t xml:space="preserve"> circl</w:t>
      </w:r>
      <w:r w:rsidR="00AA23F8">
        <w:t>e</w:t>
      </w:r>
      <w:r>
        <w:t xml:space="preserve"> any transition words they notice in their </w:t>
      </w:r>
      <w:r w:rsidR="00AA23F8">
        <w:t>respons</w:t>
      </w:r>
      <w:r>
        <w:t>es.</w:t>
      </w:r>
      <w:r w:rsidR="00FB2CD5">
        <w:t xml:space="preserve"> Explain to students that in this lesson</w:t>
      </w:r>
      <w:r w:rsidR="00F43B7A">
        <w:t>,</w:t>
      </w:r>
      <w:r w:rsidR="00FB2CD5">
        <w:t xml:space="preserve"> they review these short writing pieces several times before revising them, using peer</w:t>
      </w:r>
      <w:r w:rsidR="00F43B7A">
        <w:t xml:space="preserve"> </w:t>
      </w:r>
      <w:r w:rsidR="00FB2CD5">
        <w:t xml:space="preserve">recommendations and their own observations, as part of their preparation for </w:t>
      </w:r>
      <w:r w:rsidR="00FA0F55">
        <w:t>this</w:t>
      </w:r>
      <w:r w:rsidR="00FB2CD5">
        <w:t xml:space="preserve"> lesson’s Quick Write.</w:t>
      </w:r>
    </w:p>
    <w:p w:rsidR="009A2092" w:rsidRDefault="009A2092" w:rsidP="009A2092">
      <w:pPr>
        <w:pStyle w:val="IN"/>
      </w:pPr>
      <w:r>
        <w:lastRenderedPageBreak/>
        <w:t xml:space="preserve">Consider </w:t>
      </w:r>
      <w:r w:rsidR="006E562C">
        <w:t>reminding the students of the work they have done in earlier unit</w:t>
      </w:r>
      <w:r w:rsidR="00AC6014">
        <w:t>s</w:t>
      </w:r>
      <w:r w:rsidR="006E562C">
        <w:t xml:space="preserve"> with </w:t>
      </w:r>
      <w:r w:rsidR="006E562C" w:rsidRPr="00937B70">
        <w:rPr>
          <w:i/>
        </w:rPr>
        <w:t>transitional words</w:t>
      </w:r>
      <w:r w:rsidR="00AC6014">
        <w:t>.</w:t>
      </w:r>
      <w:r w:rsidR="006E562C">
        <w:t xml:space="preserve"> </w:t>
      </w:r>
      <w:r w:rsidR="00AC6014">
        <w:t>If necessary, remind students</w:t>
      </w:r>
      <w:r w:rsidR="006E562C">
        <w:t xml:space="preserve"> of</w:t>
      </w:r>
      <w:r>
        <w:t xml:space="preserve"> the following definition: The term </w:t>
      </w:r>
      <w:r>
        <w:rPr>
          <w:i/>
        </w:rPr>
        <w:t>transitional words</w:t>
      </w:r>
      <w:r>
        <w:t xml:space="preserve"> means “words that link ideas or connect sections of a writing piece.”</w:t>
      </w:r>
    </w:p>
    <w:p w:rsidR="00E24E21" w:rsidRDefault="006228D7" w:rsidP="006228D7">
      <w:pPr>
        <w:pStyle w:val="SA"/>
      </w:pPr>
      <w:r>
        <w:t xml:space="preserve">Students reread </w:t>
      </w:r>
      <w:r w:rsidR="007F4FB7">
        <w:t>the</w:t>
      </w:r>
      <w:r w:rsidR="00DF0900">
        <w:t xml:space="preserve"> homework from</w:t>
      </w:r>
      <w:r w:rsidR="007F4FB7">
        <w:t xml:space="preserve"> </w:t>
      </w:r>
      <w:r w:rsidR="007E3919">
        <w:t xml:space="preserve">10.4.2 </w:t>
      </w:r>
      <w:r w:rsidR="007F4FB7">
        <w:t>Lesson 2</w:t>
      </w:r>
      <w:r w:rsidR="00F117DC">
        <w:t>4</w:t>
      </w:r>
      <w:r w:rsidR="007F4FB7">
        <w:t xml:space="preserve"> and </w:t>
      </w:r>
      <w:r w:rsidR="00027AA6">
        <w:t xml:space="preserve">the </w:t>
      </w:r>
      <w:r w:rsidR="007F4FB7">
        <w:t>Quick Write</w:t>
      </w:r>
      <w:r w:rsidR="00DF0900">
        <w:t xml:space="preserve"> from </w:t>
      </w:r>
      <w:r w:rsidR="007E3919">
        <w:t xml:space="preserve">10.4.2 </w:t>
      </w:r>
      <w:r w:rsidR="00DF0900">
        <w:t>Lesson 25</w:t>
      </w:r>
      <w:r>
        <w:t>, circling transition words.</w:t>
      </w:r>
    </w:p>
    <w:p w:rsidR="006228D7" w:rsidRPr="00E24E21" w:rsidRDefault="006228D7" w:rsidP="006228D7">
      <w:pPr>
        <w:pStyle w:val="SR"/>
      </w:pPr>
      <w:r>
        <w:t>Student responses may include</w:t>
      </w:r>
      <w:r w:rsidR="00C277E3">
        <w:t>:</w:t>
      </w:r>
      <w:r>
        <w:t xml:space="preserve"> </w:t>
      </w:r>
      <w:r>
        <w:rPr>
          <w:i/>
        </w:rPr>
        <w:t xml:space="preserve">first, next, later, then, after that, before, because, therefore, </w:t>
      </w:r>
      <w:r w:rsidR="00413DAF">
        <w:rPr>
          <w:i/>
        </w:rPr>
        <w:t xml:space="preserve">in addition, meanwhile, at the same time, on the other hand, </w:t>
      </w:r>
      <w:r w:rsidR="00EA38EB">
        <w:rPr>
          <w:i/>
        </w:rPr>
        <w:t>however</w:t>
      </w:r>
      <w:r w:rsidR="00EA38EB" w:rsidRPr="00937B70">
        <w:t xml:space="preserve">, </w:t>
      </w:r>
      <w:r w:rsidR="00413DAF" w:rsidRPr="00937B70">
        <w:t>etc.</w:t>
      </w:r>
    </w:p>
    <w:p w:rsidR="00E24E21" w:rsidRDefault="00413DAF" w:rsidP="00E24E21">
      <w:pPr>
        <w:pStyle w:val="TA"/>
      </w:pPr>
      <w:r>
        <w:t xml:space="preserve">Explain that transition words can be used to show the relationship among various events and ideas. Writers often express comparative relationships and sequential relationships. Remind students that </w:t>
      </w:r>
      <w:r w:rsidR="00896BE5">
        <w:t xml:space="preserve">effective </w:t>
      </w:r>
      <w:r>
        <w:t xml:space="preserve">writers select their transition words and phrases carefully to </w:t>
      </w:r>
      <w:r w:rsidR="00FB2CD5">
        <w:t>clarify</w:t>
      </w:r>
      <w:r>
        <w:t xml:space="preserve"> the relationship</w:t>
      </w:r>
      <w:r w:rsidR="001E0A1D">
        <w:t xml:space="preserve"> be</w:t>
      </w:r>
      <w:r w:rsidR="00FB2CD5">
        <w:t>tween ideas or events (e.g., sequential, cause-and-effect, comparative, etc.).</w:t>
      </w:r>
    </w:p>
    <w:p w:rsidR="00D30D78" w:rsidRDefault="00A54835" w:rsidP="009D124A">
      <w:pPr>
        <w:pStyle w:val="TA"/>
      </w:pPr>
      <w:r>
        <w:t>Distribute or i</w:t>
      </w:r>
      <w:r w:rsidR="0033425E">
        <w:t>nstruct students to take out</w:t>
      </w:r>
      <w:r w:rsidR="00D30D78">
        <w:t xml:space="preserve"> the Connecting Ideas Handout</w:t>
      </w:r>
      <w:r w:rsidR="0033425E">
        <w:t xml:space="preserve"> they received in 10.3.</w:t>
      </w:r>
      <w:r w:rsidR="007F4FB7">
        <w:t>3 Lesson 5</w:t>
      </w:r>
      <w:r w:rsidR="0033425E">
        <w:t>. Briefly review</w:t>
      </w:r>
      <w:r w:rsidR="00D30D78">
        <w:t xml:space="preserve"> the handout </w:t>
      </w:r>
      <w:r w:rsidR="00821952">
        <w:t xml:space="preserve">with </w:t>
      </w:r>
      <w:r w:rsidR="00D30D78">
        <w:t xml:space="preserve">the class. Instruct students to compare the transitions they </w:t>
      </w:r>
      <w:r w:rsidR="00BC0B0D">
        <w:t>used</w:t>
      </w:r>
      <w:r w:rsidR="00D30D78">
        <w:t xml:space="preserve"> with the transitions on the handout.</w:t>
      </w:r>
    </w:p>
    <w:p w:rsidR="00D30D78" w:rsidRDefault="00D30D78" w:rsidP="00D30D78">
      <w:pPr>
        <w:pStyle w:val="SA"/>
      </w:pPr>
      <w:r>
        <w:t>Students review transi</w:t>
      </w:r>
      <w:r w:rsidR="00EA38EB">
        <w:t xml:space="preserve">tion words they </w:t>
      </w:r>
      <w:r w:rsidR="00794302">
        <w:t>us</w:t>
      </w:r>
      <w:r w:rsidR="00EA38EB">
        <w:t>ed and compare them</w:t>
      </w:r>
      <w:r>
        <w:t xml:space="preserve"> to transition words on the Connecting Ideas Handout.</w:t>
      </w:r>
    </w:p>
    <w:p w:rsidR="003D2ED8" w:rsidRDefault="003D2ED8" w:rsidP="00662456">
      <w:pPr>
        <w:pStyle w:val="BR"/>
      </w:pPr>
    </w:p>
    <w:p w:rsidR="00662456" w:rsidRDefault="00CF1514" w:rsidP="00662456">
      <w:pPr>
        <w:pStyle w:val="TA"/>
      </w:pPr>
      <w:r>
        <w:t>Remind</w:t>
      </w:r>
      <w:r w:rsidR="00662456">
        <w:t xml:space="preserve"> students </w:t>
      </w:r>
      <w:r>
        <w:t xml:space="preserve">of the work they have done with W.9-10.2.d in </w:t>
      </w:r>
      <w:r w:rsidR="007E3919">
        <w:t xml:space="preserve">Module </w:t>
      </w:r>
      <w:r>
        <w:t xml:space="preserve">10.3. Instruct students </w:t>
      </w:r>
      <w:r w:rsidR="00662456">
        <w:t xml:space="preserve">to review the domain-specific vocabulary they have used to discuss Shakespeare’s </w:t>
      </w:r>
      <w:r w:rsidR="00662456">
        <w:rPr>
          <w:i/>
        </w:rPr>
        <w:t>Macbeth</w:t>
      </w:r>
      <w:r w:rsidR="00662456">
        <w:t xml:space="preserve">, as well as the film excerpts of the </w:t>
      </w:r>
      <w:r w:rsidR="00B34BF8">
        <w:t>RSC’s</w:t>
      </w:r>
      <w:r w:rsidR="00662456">
        <w:t xml:space="preserve"> production of </w:t>
      </w:r>
      <w:r w:rsidR="00662456">
        <w:rPr>
          <w:i/>
        </w:rPr>
        <w:t>Macbeth</w:t>
      </w:r>
      <w:r w:rsidR="00662456">
        <w:t xml:space="preserve"> and Akira Kurosawa’s </w:t>
      </w:r>
      <w:r w:rsidR="00662456">
        <w:rPr>
          <w:i/>
        </w:rPr>
        <w:t>Throne of Blood.</w:t>
      </w:r>
    </w:p>
    <w:p w:rsidR="00662456" w:rsidRDefault="00662456" w:rsidP="00662456">
      <w:pPr>
        <w:pStyle w:val="SA"/>
      </w:pPr>
      <w:r>
        <w:t>Students work in pairs to review domain-specific vocabulary.</w:t>
      </w:r>
    </w:p>
    <w:p w:rsidR="00662456" w:rsidRPr="00662456" w:rsidRDefault="00662456" w:rsidP="00662456">
      <w:pPr>
        <w:pStyle w:val="SR"/>
      </w:pPr>
      <w:r>
        <w:t>Student responses may include</w:t>
      </w:r>
      <w:r w:rsidR="00C277E3">
        <w:t>:</w:t>
      </w:r>
      <w:r>
        <w:t xml:space="preserve"> </w:t>
      </w:r>
      <w:r>
        <w:rPr>
          <w:i/>
        </w:rPr>
        <w:t>act, scene, setting, tragedy, tragic hero, tragic flaw, monologue, dialogue, costumes, props, lighting, camera shot, camera angle</w:t>
      </w:r>
      <w:r w:rsidR="00C277E3" w:rsidRPr="00937B70">
        <w:t>, etc.</w:t>
      </w:r>
    </w:p>
    <w:p w:rsidR="00662456" w:rsidRPr="0015075A" w:rsidRDefault="00662456" w:rsidP="00662456">
      <w:pPr>
        <w:pStyle w:val="TA"/>
      </w:pPr>
      <w:r>
        <w:t>Ask students to review the</w:t>
      </w:r>
      <w:r w:rsidR="00FB2CD5">
        <w:t xml:space="preserve"> homework from</w:t>
      </w:r>
      <w:r>
        <w:t xml:space="preserve"> </w:t>
      </w:r>
      <w:r w:rsidR="007E3919">
        <w:t xml:space="preserve">10.4.2 </w:t>
      </w:r>
      <w:r>
        <w:t>Lesson</w:t>
      </w:r>
      <w:r w:rsidR="00FB2CD5">
        <w:t xml:space="preserve"> </w:t>
      </w:r>
      <w:r>
        <w:t>2</w:t>
      </w:r>
      <w:r w:rsidR="00B37B29">
        <w:t>4</w:t>
      </w:r>
      <w:r>
        <w:t xml:space="preserve"> and </w:t>
      </w:r>
      <w:r w:rsidR="00027AA6">
        <w:t xml:space="preserve">the </w:t>
      </w:r>
      <w:r>
        <w:t>Quick Write</w:t>
      </w:r>
      <w:r w:rsidR="00027AA6">
        <w:t xml:space="preserve"> from </w:t>
      </w:r>
      <w:r w:rsidR="007E3919">
        <w:t xml:space="preserve">10.4.2 </w:t>
      </w:r>
      <w:r w:rsidR="00027AA6">
        <w:t>Lesson 25</w:t>
      </w:r>
      <w:r>
        <w:t xml:space="preserve"> for examples of </w:t>
      </w:r>
      <w:r w:rsidR="00D81C15">
        <w:t>how they did or did not</w:t>
      </w:r>
      <w:r>
        <w:t xml:space="preserve"> include domain-specific vocabulary.</w:t>
      </w:r>
    </w:p>
    <w:p w:rsidR="00662456" w:rsidRDefault="00662456" w:rsidP="00662456">
      <w:pPr>
        <w:pStyle w:val="BR"/>
      </w:pPr>
    </w:p>
    <w:p w:rsidR="00612418" w:rsidRDefault="00612418" w:rsidP="00612418">
      <w:pPr>
        <w:pStyle w:val="TA"/>
      </w:pPr>
      <w:r>
        <w:t xml:space="preserve">Remind students of the work they did </w:t>
      </w:r>
      <w:r w:rsidR="00374ADB">
        <w:t xml:space="preserve">with standard W.9-10.2.e </w:t>
      </w:r>
      <w:r>
        <w:t>in 10.3.</w:t>
      </w:r>
      <w:r w:rsidR="009D124A">
        <w:t>3</w:t>
      </w:r>
      <w:r w:rsidR="007F4FB7">
        <w:t xml:space="preserve"> Lesson 7</w:t>
      </w:r>
      <w:r>
        <w:t xml:space="preserve"> regarding how to establish and maintain a formal style.</w:t>
      </w:r>
    </w:p>
    <w:p w:rsidR="00612418" w:rsidRDefault="00612418" w:rsidP="00612418">
      <w:pPr>
        <w:pStyle w:val="TA"/>
      </w:pPr>
      <w:r>
        <w:t>Instruct students to talk in pairs about what it means to have a “formal style” when writing, referring to their notes as needed.</w:t>
      </w:r>
    </w:p>
    <w:p w:rsidR="00612418" w:rsidRDefault="00612418" w:rsidP="00612418">
      <w:pPr>
        <w:pStyle w:val="SR"/>
      </w:pPr>
      <w:r>
        <w:t>Student responses may include:</w:t>
      </w:r>
    </w:p>
    <w:p w:rsidR="00612418" w:rsidRDefault="00612418" w:rsidP="00612418">
      <w:pPr>
        <w:pStyle w:val="SASRBullet"/>
      </w:pPr>
      <w:r>
        <w:lastRenderedPageBreak/>
        <w:t>Formal writing uses complete sentences, without contractions or abbreviations.</w:t>
      </w:r>
    </w:p>
    <w:p w:rsidR="00612418" w:rsidRDefault="00612418" w:rsidP="00612418">
      <w:pPr>
        <w:pStyle w:val="SASRBullet"/>
      </w:pPr>
      <w:r>
        <w:t>Formal writing does not use slang.</w:t>
      </w:r>
    </w:p>
    <w:p w:rsidR="00612418" w:rsidRDefault="00612418" w:rsidP="00612418">
      <w:pPr>
        <w:pStyle w:val="SASRBullet"/>
      </w:pPr>
      <w:r>
        <w:t>Formal writing uses more domain-specific vocabulary than casual conversation.</w:t>
      </w:r>
    </w:p>
    <w:p w:rsidR="00612418" w:rsidRDefault="00612418" w:rsidP="00612418">
      <w:pPr>
        <w:pStyle w:val="IN"/>
      </w:pPr>
      <w:r>
        <w:rPr>
          <w:b/>
        </w:rPr>
        <w:t>Differentiation Consideration:</w:t>
      </w:r>
      <w:r>
        <w:t xml:space="preserve"> Provide the following definition</w:t>
      </w:r>
      <w:r w:rsidR="009D124A">
        <w:t>s</w:t>
      </w:r>
      <w:r>
        <w:t xml:space="preserve">: </w:t>
      </w:r>
      <w:r>
        <w:rPr>
          <w:i/>
        </w:rPr>
        <w:t>contraction</w:t>
      </w:r>
      <w:r>
        <w:t xml:space="preserve"> means “a shortened form of a word or group of words, with the missing letters often replaced by an apostrophe” and </w:t>
      </w:r>
      <w:r>
        <w:rPr>
          <w:i/>
        </w:rPr>
        <w:t xml:space="preserve">abbreviation </w:t>
      </w:r>
      <w:r>
        <w:t>means “a shortened form of a word or phrase, used to represent the whole.” Consider giving some examples to illustrate the definition</w:t>
      </w:r>
      <w:r w:rsidR="00C3350B">
        <w:t>, e.g.</w:t>
      </w:r>
      <w:r w:rsidR="00135406">
        <w:t xml:space="preserve">, </w:t>
      </w:r>
      <w:r>
        <w:rPr>
          <w:i/>
        </w:rPr>
        <w:t>isn’t</w:t>
      </w:r>
      <w:r>
        <w:t xml:space="preserve"> is a contraction for “is not”</w:t>
      </w:r>
      <w:r w:rsidR="00C3350B">
        <w:t>;</w:t>
      </w:r>
      <w:r>
        <w:t xml:space="preserve"> </w:t>
      </w:r>
      <w:r>
        <w:rPr>
          <w:i/>
        </w:rPr>
        <w:t xml:space="preserve">they’ve </w:t>
      </w:r>
      <w:r>
        <w:t>is a contraction of “they have”</w:t>
      </w:r>
      <w:r w:rsidR="00C3350B">
        <w:t>;</w:t>
      </w:r>
      <w:r>
        <w:t xml:space="preserve"> </w:t>
      </w:r>
      <w:r>
        <w:rPr>
          <w:i/>
        </w:rPr>
        <w:t>Dr.</w:t>
      </w:r>
      <w:r>
        <w:t xml:space="preserve"> is an abbreviation for </w:t>
      </w:r>
      <w:r w:rsidR="00BF10E5">
        <w:t>“</w:t>
      </w:r>
      <w:r w:rsidRPr="0015075A">
        <w:t>Doctor</w:t>
      </w:r>
      <w:r w:rsidR="00BF10E5">
        <w:t>”;</w:t>
      </w:r>
      <w:r>
        <w:t xml:space="preserve"> </w:t>
      </w:r>
      <w:r>
        <w:rPr>
          <w:i/>
        </w:rPr>
        <w:t xml:space="preserve">U.S. </w:t>
      </w:r>
      <w:r>
        <w:t xml:space="preserve">is an abbreviation for </w:t>
      </w:r>
      <w:r w:rsidR="00BF10E5">
        <w:t>“</w:t>
      </w:r>
      <w:r>
        <w:rPr>
          <w:i/>
        </w:rPr>
        <w:t>United States</w:t>
      </w:r>
      <w:r w:rsidR="00BF10E5">
        <w:rPr>
          <w:i/>
        </w:rPr>
        <w:t>”;</w:t>
      </w:r>
      <w:r>
        <w:rPr>
          <w:i/>
        </w:rPr>
        <w:t xml:space="preserve"> </w:t>
      </w:r>
      <w:r w:rsidRPr="0015075A">
        <w:t>etc</w:t>
      </w:r>
      <w:r>
        <w:t>.</w:t>
      </w:r>
    </w:p>
    <w:p w:rsidR="003D2ED8" w:rsidRDefault="00612418">
      <w:pPr>
        <w:pStyle w:val="SA"/>
        <w:numPr>
          <w:ilvl w:val="0"/>
          <w:numId w:val="0"/>
        </w:numPr>
      </w:pPr>
      <w:r>
        <w:t>Instruct students to review the</w:t>
      </w:r>
      <w:r w:rsidR="00027AA6">
        <w:t xml:space="preserve"> homework response for </w:t>
      </w:r>
      <w:r w:rsidR="007E3919">
        <w:t xml:space="preserve">10.4.2 </w:t>
      </w:r>
      <w:r w:rsidR="00D81C15">
        <w:t xml:space="preserve">Lesson 24 and </w:t>
      </w:r>
      <w:r w:rsidR="00027AA6">
        <w:t xml:space="preserve">the </w:t>
      </w:r>
      <w:r w:rsidR="00D81C15">
        <w:t>Quick Write</w:t>
      </w:r>
      <w:r w:rsidR="00027AA6">
        <w:t xml:space="preserve"> from </w:t>
      </w:r>
      <w:r w:rsidR="007E3919">
        <w:t xml:space="preserve">10.4.2 </w:t>
      </w:r>
      <w:r w:rsidR="00027AA6">
        <w:t>Lesson 25</w:t>
      </w:r>
      <w:r>
        <w:t xml:space="preserve"> and to identify an example of how they did or did not use a formal tone in their writing.</w:t>
      </w:r>
    </w:p>
    <w:p w:rsidR="003D2ED8" w:rsidRDefault="00612418">
      <w:pPr>
        <w:pStyle w:val="SR"/>
      </w:pPr>
      <w:r>
        <w:t>Student responses may include:</w:t>
      </w:r>
    </w:p>
    <w:p w:rsidR="003D2ED8" w:rsidRDefault="00612418">
      <w:pPr>
        <w:pStyle w:val="SASRBullet"/>
      </w:pPr>
      <w:r>
        <w:t>Examples of using or not using contractions.</w:t>
      </w:r>
    </w:p>
    <w:p w:rsidR="003D2ED8" w:rsidRDefault="00612418">
      <w:pPr>
        <w:pStyle w:val="SASRBullet"/>
      </w:pPr>
      <w:r>
        <w:t>Examples of slang or casual word choices.</w:t>
      </w:r>
    </w:p>
    <w:p w:rsidR="003D2ED8" w:rsidRDefault="00612418">
      <w:pPr>
        <w:pStyle w:val="SASRBullet"/>
      </w:pPr>
      <w:r>
        <w:t>Examples of domain-specific vocabulary.</w:t>
      </w:r>
    </w:p>
    <w:p w:rsidR="00413DAF" w:rsidRDefault="00413DAF" w:rsidP="00413DAF">
      <w:pPr>
        <w:pStyle w:val="TA"/>
      </w:pPr>
      <w:r>
        <w:t xml:space="preserve">Instruct students to </w:t>
      </w:r>
      <w:r w:rsidR="005C6944">
        <w:t xml:space="preserve">exchange </w:t>
      </w:r>
      <w:r w:rsidR="00AA23F8">
        <w:t>respons</w:t>
      </w:r>
      <w:r>
        <w:t xml:space="preserve">es and to </w:t>
      </w:r>
      <w:r w:rsidR="005C6944">
        <w:t xml:space="preserve">make suggestions for </w:t>
      </w:r>
      <w:r w:rsidR="00677B6C">
        <w:t>adding or replacing transitional words</w:t>
      </w:r>
      <w:r w:rsidR="00DE01E4">
        <w:t xml:space="preserve"> and domain-specific vocabulary,</w:t>
      </w:r>
      <w:r w:rsidR="00794302">
        <w:t xml:space="preserve"> and </w:t>
      </w:r>
      <w:r w:rsidR="005C6944">
        <w:t xml:space="preserve">for ways to </w:t>
      </w:r>
      <w:r w:rsidR="00C03EAD">
        <w:t xml:space="preserve">establish or </w:t>
      </w:r>
      <w:r w:rsidR="00794302">
        <w:t>maintain a formal tone</w:t>
      </w:r>
      <w:r w:rsidR="00677B6C">
        <w:t>.</w:t>
      </w:r>
    </w:p>
    <w:p w:rsidR="00677B6C" w:rsidRDefault="00677B6C" w:rsidP="00677B6C">
      <w:pPr>
        <w:pStyle w:val="SA"/>
      </w:pPr>
      <w:r>
        <w:t>Students revise p</w:t>
      </w:r>
      <w:r w:rsidR="00431AD6">
        <w:t>eer</w:t>
      </w:r>
      <w:r>
        <w:t xml:space="preserve"> </w:t>
      </w:r>
      <w:r w:rsidR="00AA23F8">
        <w:t>respons</w:t>
      </w:r>
      <w:r>
        <w:t xml:space="preserve">es, </w:t>
      </w:r>
      <w:r w:rsidR="00DE01E4">
        <w:t>suggesting</w:t>
      </w:r>
      <w:r>
        <w:t xml:space="preserve"> appropriate transitional phrases</w:t>
      </w:r>
      <w:r w:rsidR="007E3919">
        <w:t>,</w:t>
      </w:r>
      <w:r w:rsidR="00794302">
        <w:t xml:space="preserve"> </w:t>
      </w:r>
      <w:r w:rsidR="00DE01E4">
        <w:t>domain-specific vocabulary</w:t>
      </w:r>
      <w:r w:rsidR="007E3919">
        <w:t>,</w:t>
      </w:r>
      <w:r w:rsidR="00DE01E4">
        <w:t xml:space="preserve"> and ways to </w:t>
      </w:r>
      <w:r w:rsidR="00794302">
        <w:t>maintain a formal tone</w:t>
      </w:r>
      <w:r>
        <w:t>.</w:t>
      </w:r>
    </w:p>
    <w:p w:rsidR="00027AA6" w:rsidRDefault="00027AA6" w:rsidP="00210C4C">
      <w:pPr>
        <w:pStyle w:val="IN"/>
      </w:pPr>
      <w:r>
        <w:t xml:space="preserve">Students use these revisions to guide their </w:t>
      </w:r>
      <w:r w:rsidR="00A72D80">
        <w:t>writing on</w:t>
      </w:r>
      <w:r>
        <w:t xml:space="preserve"> the Quick Write for this lesson.</w:t>
      </w:r>
    </w:p>
    <w:p w:rsidR="00DE01E4" w:rsidRDefault="00DE01E4" w:rsidP="00DE01E4">
      <w:pPr>
        <w:pStyle w:val="BR"/>
      </w:pPr>
    </w:p>
    <w:p w:rsidR="00D508C9" w:rsidRDefault="00D508C9" w:rsidP="00D508C9">
      <w:pPr>
        <w:pStyle w:val="TA"/>
      </w:pPr>
      <w:r>
        <w:t xml:space="preserve">Instruct students to return </w:t>
      </w:r>
      <w:r w:rsidR="00AA23F8">
        <w:t>respons</w:t>
      </w:r>
      <w:r>
        <w:t xml:space="preserve">es to original writers and to review </w:t>
      </w:r>
      <w:r w:rsidR="00C03EAD">
        <w:t>their</w:t>
      </w:r>
      <w:r>
        <w:t xml:space="preserve"> revised work, discussing the following question</w:t>
      </w:r>
      <w:r w:rsidR="009D124A">
        <w:t>s</w:t>
      </w:r>
      <w:r>
        <w:t>:</w:t>
      </w:r>
    </w:p>
    <w:p w:rsidR="00D508C9" w:rsidRDefault="00D508C9" w:rsidP="00D508C9">
      <w:pPr>
        <w:pStyle w:val="Q"/>
      </w:pPr>
      <w:r>
        <w:t>How does using carefully selected transitions improve a writing piece?</w:t>
      </w:r>
    </w:p>
    <w:p w:rsidR="00D508C9" w:rsidRDefault="00D508C9" w:rsidP="00D508C9">
      <w:pPr>
        <w:pStyle w:val="SR"/>
      </w:pPr>
      <w:r>
        <w:t>Student responses may include:</w:t>
      </w:r>
    </w:p>
    <w:p w:rsidR="00D508C9" w:rsidRDefault="00D508C9" w:rsidP="00D508C9">
      <w:pPr>
        <w:pStyle w:val="SASRBullet"/>
      </w:pPr>
      <w:r>
        <w:t>Using carefully selected t</w:t>
      </w:r>
      <w:r w:rsidR="009A2092">
        <w:t>ransitions can add variety to a</w:t>
      </w:r>
      <w:r w:rsidR="00E50461">
        <w:t xml:space="preserve"> </w:t>
      </w:r>
      <w:r>
        <w:t>piece and make it more interesting to read.</w:t>
      </w:r>
    </w:p>
    <w:p w:rsidR="00D508C9" w:rsidRDefault="00D508C9" w:rsidP="00D508C9">
      <w:pPr>
        <w:pStyle w:val="SASRBullet"/>
      </w:pPr>
      <w:r>
        <w:t>Using carefully selected transitions can clarify the relationship among ideas in a piece.</w:t>
      </w:r>
    </w:p>
    <w:p w:rsidR="00E24E21" w:rsidRDefault="00D508C9" w:rsidP="001C7764">
      <w:pPr>
        <w:pStyle w:val="SASRBullet"/>
      </w:pPr>
      <w:r>
        <w:t>Using carefully selected transitions can help structure a piece of writing more logically.</w:t>
      </w:r>
    </w:p>
    <w:p w:rsidR="003D2ED8" w:rsidRDefault="00794302">
      <w:pPr>
        <w:pStyle w:val="Q"/>
      </w:pPr>
      <w:r>
        <w:t>How do word choices help establish and maintain a formal tone?</w:t>
      </w:r>
    </w:p>
    <w:p w:rsidR="003D2ED8" w:rsidRDefault="00794302">
      <w:pPr>
        <w:pStyle w:val="SR"/>
      </w:pPr>
      <w:r>
        <w:t>Student responses may include:</w:t>
      </w:r>
    </w:p>
    <w:p w:rsidR="00794302" w:rsidRDefault="00794302" w:rsidP="00A477D4">
      <w:pPr>
        <w:pStyle w:val="SASRBullet"/>
      </w:pPr>
      <w:r>
        <w:lastRenderedPageBreak/>
        <w:t xml:space="preserve">By using full words instead of </w:t>
      </w:r>
      <w:r w:rsidR="00EF4600">
        <w:t>contractions,</w:t>
      </w:r>
      <w:r>
        <w:t xml:space="preserve"> writers can establish a formal tone.</w:t>
      </w:r>
    </w:p>
    <w:p w:rsidR="00794302" w:rsidRDefault="00794302" w:rsidP="00A477D4">
      <w:pPr>
        <w:pStyle w:val="SASRBullet"/>
      </w:pPr>
      <w:r>
        <w:t>Using domain-specific vocabulary contributes to a formal tone.</w:t>
      </w:r>
    </w:p>
    <w:p w:rsidR="003D2ED8" w:rsidRDefault="00794302">
      <w:pPr>
        <w:pStyle w:val="TA"/>
      </w:pPr>
      <w:r>
        <w:t xml:space="preserve">Lead a brief whole-class discussion </w:t>
      </w:r>
      <w:r w:rsidR="00EF4600">
        <w:t>of</w:t>
      </w:r>
      <w:r>
        <w:t xml:space="preserve"> student responses.</w:t>
      </w:r>
    </w:p>
    <w:p w:rsidR="00790BCC" w:rsidRPr="00790BCC" w:rsidRDefault="00D508C9" w:rsidP="007017EB">
      <w:pPr>
        <w:pStyle w:val="LearningSequenceHeader"/>
      </w:pPr>
      <w:r>
        <w:t>Activity 4: Film Discussion</w:t>
      </w:r>
      <w:r w:rsidR="009F34AA">
        <w:tab/>
      </w:r>
      <w:r w:rsidR="00DC22C4">
        <w:t>20</w:t>
      </w:r>
      <w:r w:rsidR="00790BCC" w:rsidRPr="00790BCC">
        <w:t>%</w:t>
      </w:r>
    </w:p>
    <w:p w:rsidR="00794302" w:rsidRDefault="009A2092" w:rsidP="0072581E">
      <w:pPr>
        <w:pStyle w:val="TA"/>
      </w:pPr>
      <w:r>
        <w:t xml:space="preserve">Instruct students to </w:t>
      </w:r>
      <w:r w:rsidR="0072581E">
        <w:t xml:space="preserve">form the small groups established in 10.4.2 Lesson 1 to </w:t>
      </w:r>
      <w:r>
        <w:t xml:space="preserve">review their film notes </w:t>
      </w:r>
      <w:r w:rsidR="00EA38EB">
        <w:t xml:space="preserve">from </w:t>
      </w:r>
      <w:r w:rsidR="00EF4600">
        <w:t xml:space="preserve">10.4.2 </w:t>
      </w:r>
      <w:r w:rsidR="0072581E">
        <w:t>L</w:t>
      </w:r>
      <w:r w:rsidR="00EA38EB">
        <w:t xml:space="preserve">essons </w:t>
      </w:r>
      <w:r w:rsidR="002B071A">
        <w:t>24 and 25</w:t>
      </w:r>
      <w:r w:rsidR="00EA38EB">
        <w:t>.</w:t>
      </w:r>
      <w:r w:rsidR="0022353A">
        <w:t xml:space="preserve"> </w:t>
      </w:r>
      <w:r w:rsidR="00375D3C">
        <w:t>Post or project the following questions for students to discuss</w:t>
      </w:r>
      <w:r w:rsidR="00794302">
        <w:t xml:space="preserve"> in small groups</w:t>
      </w:r>
      <w:r w:rsidR="002B071A">
        <w:t xml:space="preserve"> before sharing out with the class.</w:t>
      </w:r>
    </w:p>
    <w:p w:rsidR="00F270F1" w:rsidRDefault="00794302" w:rsidP="00A477D4">
      <w:pPr>
        <w:pStyle w:val="IN"/>
      </w:pPr>
      <w:r>
        <w:t xml:space="preserve">Consider reminding students that this is an opportunity to apply standard SL.9-10.1.c by participating effectively in a collaborative discussion, </w:t>
      </w:r>
      <w:r w:rsidR="00EF4600">
        <w:t xml:space="preserve">and </w:t>
      </w:r>
      <w:r>
        <w:t>clarifying, verifying, or challenging ideas and conclusions.</w:t>
      </w:r>
    </w:p>
    <w:p w:rsidR="005B28DB" w:rsidRDefault="005B28DB" w:rsidP="0084104D">
      <w:pPr>
        <w:pStyle w:val="Q"/>
      </w:pPr>
      <w:r>
        <w:t xml:space="preserve">What is the impact of the directors’ choices regarding </w:t>
      </w:r>
      <w:r w:rsidR="007D6299">
        <w:t xml:space="preserve">the </w:t>
      </w:r>
      <w:r>
        <w:t>setting</w:t>
      </w:r>
      <w:r w:rsidR="00B02030">
        <w:t xml:space="preserve"> of the events </w:t>
      </w:r>
      <w:r w:rsidR="007D6299">
        <w:t xml:space="preserve">in </w:t>
      </w:r>
      <w:r w:rsidR="00B02030">
        <w:t>the play</w:t>
      </w:r>
      <w:r>
        <w:t>?</w:t>
      </w:r>
    </w:p>
    <w:p w:rsidR="005B28DB" w:rsidRDefault="005B28DB" w:rsidP="005B28DB">
      <w:pPr>
        <w:pStyle w:val="SR"/>
      </w:pPr>
      <w:r>
        <w:t>Both directors chose to change the setting from medieval Scotland</w:t>
      </w:r>
      <w:r w:rsidR="00F43B7A">
        <w:t>.</w:t>
      </w:r>
      <w:r>
        <w:t xml:space="preserve"> </w:t>
      </w:r>
      <w:r w:rsidR="004B59A4">
        <w:t>T</w:t>
      </w:r>
      <w:r>
        <w:t xml:space="preserve">he RSC changed the setting to an unnamed country in an unnamed </w:t>
      </w:r>
      <w:r w:rsidR="00EF4600">
        <w:t>twentieth-</w:t>
      </w:r>
      <w:r>
        <w:t>century war. Kurosawa changed the setting to feudal Japan.</w:t>
      </w:r>
      <w:r w:rsidR="00B02030">
        <w:t xml:space="preserve"> The differences in setting suggest that the events of the play are not limited to one particular time and place, but that they are relevant to a wide range of audiences in different times and places.</w:t>
      </w:r>
    </w:p>
    <w:p w:rsidR="0084104D" w:rsidRDefault="00EC587E" w:rsidP="0084104D">
      <w:pPr>
        <w:pStyle w:val="Q"/>
      </w:pPr>
      <w:r>
        <w:t>How</w:t>
      </w:r>
      <w:r w:rsidR="0084104D">
        <w:t xml:space="preserve"> do the directors’ choices about</w:t>
      </w:r>
      <w:r w:rsidR="004E0171">
        <w:t xml:space="preserve"> how to begin the</w:t>
      </w:r>
      <w:r w:rsidR="00EA3A99">
        <w:t xml:space="preserve">ir productions </w:t>
      </w:r>
      <w:r>
        <w:t>impact the films’ emphases</w:t>
      </w:r>
      <w:r w:rsidR="0084104D">
        <w:t>?</w:t>
      </w:r>
    </w:p>
    <w:p w:rsidR="00EC587E" w:rsidRDefault="00EC587E" w:rsidP="00EA3A99">
      <w:pPr>
        <w:pStyle w:val="SR"/>
      </w:pPr>
      <w:r>
        <w:t>Student responses may include:</w:t>
      </w:r>
    </w:p>
    <w:p w:rsidR="00EA3A99" w:rsidRDefault="00EA3A99" w:rsidP="00EC587E">
      <w:pPr>
        <w:pStyle w:val="SASRBullet"/>
      </w:pPr>
      <w:r>
        <w:t xml:space="preserve">Both the RSC and Kurosawa begin their productions with the soldiers’ reports rather than with the </w:t>
      </w:r>
      <w:r w:rsidR="00431AD6">
        <w:t>W</w:t>
      </w:r>
      <w:r>
        <w:t xml:space="preserve">itches, as Shakespeare wrote the play. </w:t>
      </w:r>
    </w:p>
    <w:p w:rsidR="005C0BA4" w:rsidRDefault="00EA3A99" w:rsidP="00A477D4">
      <w:pPr>
        <w:pStyle w:val="SASRBullet"/>
      </w:pPr>
      <w:r>
        <w:t>The decision to start with human characters rather than supernatural characters suggests that the directors are emphasizing the role of human activity rather than the role of the supernatural in the lives of the main characters.</w:t>
      </w:r>
    </w:p>
    <w:p w:rsidR="00EA3A99" w:rsidRDefault="00EA3A99" w:rsidP="00EA3A99">
      <w:pPr>
        <w:pStyle w:val="Q"/>
      </w:pPr>
      <w:r>
        <w:t>How do the in</w:t>
      </w:r>
      <w:r w:rsidR="00A477D4">
        <w:t>itial appearances of the supernatural characters</w:t>
      </w:r>
      <w:r>
        <w:t xml:space="preserve"> impact the audience’s understandin</w:t>
      </w:r>
      <w:r w:rsidR="00A477D4">
        <w:t>g of the events in the scene</w:t>
      </w:r>
      <w:r>
        <w:t>?</w:t>
      </w:r>
    </w:p>
    <w:p w:rsidR="00EA3A99" w:rsidRDefault="00EA3A99" w:rsidP="00EA3A99">
      <w:pPr>
        <w:pStyle w:val="SR"/>
      </w:pPr>
      <w:r>
        <w:t>Student responses should include:</w:t>
      </w:r>
    </w:p>
    <w:p w:rsidR="00EA3A99" w:rsidRDefault="00EA3A99" w:rsidP="00EA3A99">
      <w:pPr>
        <w:pStyle w:val="SASRBullet"/>
      </w:pPr>
      <w:r>
        <w:t xml:space="preserve">In both productions, the </w:t>
      </w:r>
      <w:r w:rsidR="00431AD6">
        <w:t>W</w:t>
      </w:r>
      <w:r>
        <w:t xml:space="preserve">itches are first introduced as evil characters. In the RSC production, the </w:t>
      </w:r>
      <w:r w:rsidR="00431AD6">
        <w:t>W</w:t>
      </w:r>
      <w:r>
        <w:t>itches remove the sergeant’s heart after everyone has left the area and discuss meeting Macbeth. Next, they are seen casting a spell.</w:t>
      </w:r>
    </w:p>
    <w:p w:rsidR="00EA3A99" w:rsidRDefault="00EA3A99" w:rsidP="00EA3A99">
      <w:pPr>
        <w:pStyle w:val="SASRBullet"/>
      </w:pPr>
      <w:r>
        <w:lastRenderedPageBreak/>
        <w:t xml:space="preserve">In </w:t>
      </w:r>
      <w:r>
        <w:rPr>
          <w:i/>
        </w:rPr>
        <w:t>Throne of Blood</w:t>
      </w:r>
      <w:r w:rsidR="00C3350B" w:rsidRPr="00937B70">
        <w:t>,</w:t>
      </w:r>
      <w:r>
        <w:t xml:space="preserve"> the </w:t>
      </w:r>
      <w:r w:rsidR="00431AD6">
        <w:t>W</w:t>
      </w:r>
      <w:r>
        <w:t xml:space="preserve">itch is first introduced when </w:t>
      </w:r>
      <w:proofErr w:type="spellStart"/>
      <w:r>
        <w:t>Washizu</w:t>
      </w:r>
      <w:proofErr w:type="spellEnd"/>
      <w:r>
        <w:t xml:space="preserve"> and Miki hear a scream and identify the sound as that of “an evil spirit.”</w:t>
      </w:r>
    </w:p>
    <w:p w:rsidR="006369C7" w:rsidRDefault="006369C7" w:rsidP="006369C7">
      <w:pPr>
        <w:pStyle w:val="SASRBullet"/>
      </w:pPr>
      <w:r>
        <w:t>In the RSC</w:t>
      </w:r>
      <w:r w:rsidR="00C3350B">
        <w:t>,</w:t>
      </w:r>
      <w:r>
        <w:t xml:space="preserve"> the viewers have already seen the </w:t>
      </w:r>
      <w:r w:rsidR="00431AD6">
        <w:t>W</w:t>
      </w:r>
      <w:r>
        <w:t xml:space="preserve">itches, but in </w:t>
      </w:r>
      <w:r>
        <w:rPr>
          <w:i/>
        </w:rPr>
        <w:t>Throne of Blood</w:t>
      </w:r>
      <w:r w:rsidR="00C3350B" w:rsidRPr="00937B70">
        <w:t>,</w:t>
      </w:r>
      <w:r>
        <w:t xml:space="preserve"> the viewers and the characters both encounter the spirit for the first time in this scene, allowing the viewers to participate in </w:t>
      </w:r>
      <w:proofErr w:type="spellStart"/>
      <w:r>
        <w:t>Washizu</w:t>
      </w:r>
      <w:proofErr w:type="spellEnd"/>
      <w:r>
        <w:t xml:space="preserve"> and Miki’s experience more fully.</w:t>
      </w:r>
    </w:p>
    <w:p w:rsidR="006369C7" w:rsidRDefault="006369C7" w:rsidP="00A477D4">
      <w:pPr>
        <w:pStyle w:val="Q"/>
      </w:pPr>
      <w:r>
        <w:t xml:space="preserve">How </w:t>
      </w:r>
      <w:proofErr w:type="gramStart"/>
      <w:r>
        <w:t>do th</w:t>
      </w:r>
      <w:r w:rsidR="00A477D4">
        <w:t>e differences in how the supernatural characters</w:t>
      </w:r>
      <w:r>
        <w:t xml:space="preserve"> are</w:t>
      </w:r>
      <w:proofErr w:type="gramEnd"/>
      <w:r>
        <w:t xml:space="preserve"> introduced impact main characters’ </w:t>
      </w:r>
      <w:r w:rsidR="00A477D4">
        <w:t>responses to the events in the scene</w:t>
      </w:r>
      <w:r>
        <w:t>?</w:t>
      </w:r>
    </w:p>
    <w:p w:rsidR="006369C7" w:rsidRDefault="006369C7" w:rsidP="00A477D4">
      <w:pPr>
        <w:pStyle w:val="SR"/>
      </w:pPr>
      <w:r>
        <w:t>Student responses may include:</w:t>
      </w:r>
    </w:p>
    <w:p w:rsidR="006369C7" w:rsidRDefault="006369C7" w:rsidP="00A477D4">
      <w:pPr>
        <w:pStyle w:val="SASRBullet"/>
      </w:pPr>
      <w:r>
        <w:t xml:space="preserve">Because Macbeth does not immediately recognize the </w:t>
      </w:r>
      <w:r w:rsidR="00431AD6">
        <w:t>W</w:t>
      </w:r>
      <w:r>
        <w:t xml:space="preserve">itches as evil he does not immediately reject the </w:t>
      </w:r>
      <w:r w:rsidR="00431AD6">
        <w:t>W</w:t>
      </w:r>
      <w:r>
        <w:t xml:space="preserve">itches’ prophecy as evil, </w:t>
      </w:r>
      <w:r w:rsidR="00C3350B">
        <w:t>al</w:t>
      </w:r>
      <w:r>
        <w:t>though he is also not sure it is good.</w:t>
      </w:r>
    </w:p>
    <w:p w:rsidR="006369C7" w:rsidRDefault="00A477D4" w:rsidP="00A477D4">
      <w:pPr>
        <w:pStyle w:val="SASRBullet"/>
      </w:pPr>
      <w:r>
        <w:t xml:space="preserve">Because </w:t>
      </w:r>
      <w:proofErr w:type="spellStart"/>
      <w:r>
        <w:t>Washizu</w:t>
      </w:r>
      <w:proofErr w:type="spellEnd"/>
      <w:r>
        <w:t xml:space="preserve"> knows the spirit</w:t>
      </w:r>
      <w:r w:rsidR="006369C7">
        <w:t xml:space="preserve"> is evi</w:t>
      </w:r>
      <w:r>
        <w:t>l, he first gets angry at its</w:t>
      </w:r>
      <w:r w:rsidR="006369C7">
        <w:t xml:space="preserve"> suggestion that he will become Sovereign over Spider</w:t>
      </w:r>
      <w:r w:rsidR="00135406">
        <w:t>’s Web</w:t>
      </w:r>
      <w:r w:rsidR="006369C7">
        <w:t xml:space="preserve"> Castle.</w:t>
      </w:r>
    </w:p>
    <w:p w:rsidR="005B28DB" w:rsidRDefault="005B28DB" w:rsidP="006369C7">
      <w:pPr>
        <w:pStyle w:val="Q"/>
      </w:pPr>
      <w:r>
        <w:t>How do the</w:t>
      </w:r>
      <w:r w:rsidR="00EC587E">
        <w:t xml:space="preserve"> directors’</w:t>
      </w:r>
      <w:r>
        <w:t xml:space="preserve"> lighting and camera choice</w:t>
      </w:r>
      <w:r w:rsidR="00EC587E">
        <w:t>s</w:t>
      </w:r>
      <w:r>
        <w:t xml:space="preserve"> </w:t>
      </w:r>
      <w:r w:rsidR="00EC587E">
        <w:t>in</w:t>
      </w:r>
      <w:r>
        <w:t xml:space="preserve"> the </w:t>
      </w:r>
      <w:r w:rsidR="00431AD6">
        <w:t>W</w:t>
      </w:r>
      <w:r>
        <w:t xml:space="preserve">itches’ first encounter with the men develop the relationship between the men and the </w:t>
      </w:r>
      <w:r w:rsidR="00A477D4">
        <w:t>supernatural character</w:t>
      </w:r>
      <w:r>
        <w:t>s?</w:t>
      </w:r>
    </w:p>
    <w:p w:rsidR="003D2ED8" w:rsidRDefault="00EA3A99">
      <w:pPr>
        <w:pStyle w:val="SR"/>
      </w:pPr>
      <w:r>
        <w:t>Student responses may include:</w:t>
      </w:r>
    </w:p>
    <w:p w:rsidR="003D2ED8" w:rsidRDefault="00EA3A99">
      <w:pPr>
        <w:pStyle w:val="SASRBullet"/>
      </w:pPr>
      <w:r>
        <w:t xml:space="preserve">Both productions put the light on the </w:t>
      </w:r>
      <w:r w:rsidR="00431AD6">
        <w:t>W</w:t>
      </w:r>
      <w:r>
        <w:t xml:space="preserve">itches and keep the men in shadow, even though the men are closer to the camera, and film the </w:t>
      </w:r>
      <w:r w:rsidR="00431AD6">
        <w:t>W</w:t>
      </w:r>
      <w:r>
        <w:t xml:space="preserve">itches from behind the men, so the viewer is seeing them as the men see them. The </w:t>
      </w:r>
      <w:r w:rsidR="00431AD6">
        <w:t>W</w:t>
      </w:r>
      <w:r>
        <w:t>itches are in the center of the frame and appear as the most important figures in the scene because of the lighting and camera choices.</w:t>
      </w:r>
    </w:p>
    <w:p w:rsidR="003D2ED8" w:rsidRDefault="00EA3A99">
      <w:pPr>
        <w:pStyle w:val="SASRBullet"/>
      </w:pPr>
      <w:r>
        <w:t xml:space="preserve">Both productions rely on strong contrast between dark and light. </w:t>
      </w:r>
      <w:r>
        <w:rPr>
          <w:i/>
        </w:rPr>
        <w:t xml:space="preserve">Throne of Blood </w:t>
      </w:r>
      <w:r>
        <w:t xml:space="preserve">was filmed in black and white, but </w:t>
      </w:r>
      <w:r w:rsidR="006369C7">
        <w:t xml:space="preserve">the </w:t>
      </w:r>
      <w:r w:rsidR="00B34BF8">
        <w:t>RSC’s</w:t>
      </w:r>
      <w:r>
        <w:t xml:space="preserve"> production used colored film. Nonetheless, the colors are very dark and muted</w:t>
      </w:r>
      <w:r w:rsidR="006369C7">
        <w:t>, emphasizing the contrast between the dark and light tones.</w:t>
      </w:r>
    </w:p>
    <w:p w:rsidR="00375D3C" w:rsidRPr="00EA38EB" w:rsidRDefault="00B02030" w:rsidP="00B02030">
      <w:pPr>
        <w:pStyle w:val="TA"/>
      </w:pPr>
      <w:r>
        <w:t xml:space="preserve">Lead a brief whole-class discussion </w:t>
      </w:r>
      <w:r w:rsidR="00EF4600">
        <w:t>of</w:t>
      </w:r>
      <w:r>
        <w:t xml:space="preserve"> student responses.</w:t>
      </w:r>
    </w:p>
    <w:p w:rsidR="00790BCC" w:rsidRPr="00790BCC" w:rsidRDefault="00C9263F" w:rsidP="007017EB">
      <w:pPr>
        <w:pStyle w:val="LearningSequenceHeader"/>
      </w:pPr>
      <w:r>
        <w:t>Activity 5: Quick Write</w:t>
      </w:r>
      <w:r>
        <w:tab/>
      </w:r>
      <w:r w:rsidR="00612418">
        <w:t>1</w:t>
      </w:r>
      <w:r w:rsidR="004A25C9">
        <w:t>5</w:t>
      </w:r>
      <w:r w:rsidR="00790BCC" w:rsidRPr="00790BCC">
        <w:t>%</w:t>
      </w:r>
    </w:p>
    <w:p w:rsidR="00790BCC" w:rsidRDefault="00C5171A" w:rsidP="007017EB">
      <w:pPr>
        <w:pStyle w:val="TA"/>
      </w:pPr>
      <w:r>
        <w:t>Instruct students to respond briefly in writing to the following prompt:</w:t>
      </w:r>
    </w:p>
    <w:p w:rsidR="00C5171A" w:rsidRDefault="00530081" w:rsidP="00530081">
      <w:pPr>
        <w:pStyle w:val="Q"/>
      </w:pPr>
      <w:r>
        <w:t xml:space="preserve">Analyze the </w:t>
      </w:r>
      <w:r w:rsidR="00027AA6">
        <w:t xml:space="preserve">interactions </w:t>
      </w:r>
      <w:r>
        <w:t xml:space="preserve">between the main characters and the </w:t>
      </w:r>
      <w:proofErr w:type="gramStart"/>
      <w:r w:rsidR="00431AD6">
        <w:t>W</w:t>
      </w:r>
      <w:r>
        <w:t>itch(</w:t>
      </w:r>
      <w:proofErr w:type="spellStart"/>
      <w:proofErr w:type="gramEnd"/>
      <w:r>
        <w:t>es</w:t>
      </w:r>
      <w:proofErr w:type="spellEnd"/>
      <w:r>
        <w:t xml:space="preserve">) in Kurosawa’s adaptation and the </w:t>
      </w:r>
      <w:r w:rsidR="00B34BF8">
        <w:t>RSC’s</w:t>
      </w:r>
      <w:r>
        <w:t xml:space="preserve"> 2011 version of </w:t>
      </w:r>
      <w:r>
        <w:rPr>
          <w:i/>
        </w:rPr>
        <w:t>Macbeth</w:t>
      </w:r>
      <w:r>
        <w:t>. What is emphasized or absent in each treatment?</w:t>
      </w:r>
    </w:p>
    <w:p w:rsidR="00530081" w:rsidRDefault="00530081" w:rsidP="00530081">
      <w:pPr>
        <w:pStyle w:val="TA"/>
      </w:pPr>
      <w:r>
        <w:t xml:space="preserve">Instruct students to review </w:t>
      </w:r>
      <w:r w:rsidR="0051473A">
        <w:t xml:space="preserve">the </w:t>
      </w:r>
      <w:r w:rsidR="00027AA6">
        <w:t xml:space="preserve">revision to the homework for </w:t>
      </w:r>
      <w:r w:rsidR="00EF4600">
        <w:t xml:space="preserve">10.4.2 </w:t>
      </w:r>
      <w:r w:rsidR="00027AA6">
        <w:t xml:space="preserve">Lesson </w:t>
      </w:r>
      <w:r w:rsidR="008C0BEF">
        <w:t>24</w:t>
      </w:r>
      <w:r w:rsidR="00027AA6">
        <w:t xml:space="preserve"> and to the Quick Write for </w:t>
      </w:r>
      <w:r w:rsidR="00EF4600">
        <w:t xml:space="preserve">10.4.2 </w:t>
      </w:r>
      <w:r w:rsidR="00027AA6">
        <w:t xml:space="preserve">Lesson 25 that </w:t>
      </w:r>
      <w:r w:rsidR="0051473A">
        <w:t xml:space="preserve">they </w:t>
      </w:r>
      <w:r w:rsidR="00027AA6">
        <w:t xml:space="preserve">made during </w:t>
      </w:r>
      <w:r w:rsidR="0051473A">
        <w:t xml:space="preserve">the lesson, as well as their notes from class. Remind students </w:t>
      </w:r>
      <w:r>
        <w:t xml:space="preserve">to use appropriate and varied transitions, domain-specific vocabulary, and to maintain a formal style. Ask </w:t>
      </w:r>
      <w:r>
        <w:lastRenderedPageBreak/>
        <w:t xml:space="preserve">students to use this </w:t>
      </w:r>
      <w:r w:rsidR="00CF1514">
        <w:t>unit’s</w:t>
      </w:r>
      <w:r>
        <w:t xml:space="preserve"> vocabulary wherever possible in their written responses. Remind students to use the Short Response </w:t>
      </w:r>
      <w:r w:rsidR="004125B3">
        <w:t xml:space="preserve">Rubric and </w:t>
      </w:r>
      <w:r>
        <w:t>Checklist to guide their written responses.</w:t>
      </w:r>
    </w:p>
    <w:p w:rsidR="00612418" w:rsidRDefault="00530081" w:rsidP="00612418">
      <w:pPr>
        <w:pStyle w:val="SA"/>
      </w:pPr>
      <w:r>
        <w:t>Students listen and read the Quick Write prompt.</w:t>
      </w:r>
    </w:p>
    <w:p w:rsidR="00530081" w:rsidRDefault="00530081" w:rsidP="00530081">
      <w:pPr>
        <w:pStyle w:val="IN"/>
      </w:pPr>
      <w:r>
        <w:t>Display the prompt for students to see, or provide the prompt in hard copy.</w:t>
      </w:r>
    </w:p>
    <w:p w:rsidR="00530081" w:rsidRDefault="00530081" w:rsidP="00530081">
      <w:pPr>
        <w:pStyle w:val="TA"/>
      </w:pPr>
      <w:r>
        <w:t>Transition to the independent Quick Write.</w:t>
      </w:r>
    </w:p>
    <w:p w:rsidR="00530081" w:rsidRDefault="00530081" w:rsidP="00530081">
      <w:pPr>
        <w:pStyle w:val="SA"/>
      </w:pPr>
      <w:r>
        <w:t>Students independently answer the prompt</w:t>
      </w:r>
      <w:r w:rsidR="00EF4600">
        <w:t xml:space="preserve"> using evidence from the text.</w:t>
      </w:r>
    </w:p>
    <w:p w:rsidR="00530081" w:rsidRPr="00790BCC" w:rsidRDefault="00530081" w:rsidP="00530081">
      <w:pPr>
        <w:pStyle w:val="SR"/>
      </w:pPr>
      <w:r>
        <w:t>See the High Performance Response at the beginning of this lesson.</w:t>
      </w:r>
    </w:p>
    <w:p w:rsidR="00790BCC" w:rsidRPr="00790BCC" w:rsidRDefault="001032FC" w:rsidP="007017EB">
      <w:pPr>
        <w:pStyle w:val="LearningSequenceHeader"/>
      </w:pPr>
      <w:r>
        <w:t>Activity 6: Closing</w:t>
      </w:r>
      <w:r>
        <w:tab/>
        <w:t>5</w:t>
      </w:r>
      <w:r w:rsidR="00790BCC" w:rsidRPr="00790BCC">
        <w:t>%</w:t>
      </w:r>
    </w:p>
    <w:p w:rsidR="001032FC" w:rsidRPr="001032FC" w:rsidRDefault="001032FC" w:rsidP="00185491">
      <w:pPr>
        <w:pStyle w:val="TA"/>
        <w:jc w:val="both"/>
      </w:pPr>
      <w:r>
        <w:t xml:space="preserve">Distribute copies of </w:t>
      </w:r>
      <w:r>
        <w:rPr>
          <w:i/>
        </w:rPr>
        <w:t>The Prince</w:t>
      </w:r>
      <w:r>
        <w:t xml:space="preserve">, by </w:t>
      </w:r>
      <w:proofErr w:type="spellStart"/>
      <w:r>
        <w:t>Niccolò</w:t>
      </w:r>
      <w:proofErr w:type="spellEnd"/>
      <w:r>
        <w:t xml:space="preserve"> </w:t>
      </w:r>
      <w:r w:rsidR="004D444E">
        <w:t>Machiavelli</w:t>
      </w:r>
      <w:r>
        <w:t xml:space="preserve">. </w:t>
      </w:r>
    </w:p>
    <w:p w:rsidR="00790BCC" w:rsidRDefault="00530081" w:rsidP="007017EB">
      <w:pPr>
        <w:pStyle w:val="TA"/>
      </w:pPr>
      <w:r>
        <w:t xml:space="preserve">Display and distribute the homework assignment. For homework, instruct students to </w:t>
      </w:r>
      <w:r w:rsidR="0022353A">
        <w:t xml:space="preserve">preview </w:t>
      </w:r>
      <w:r>
        <w:t>paragraphs 1 and 2 of Chapt</w:t>
      </w:r>
      <w:r w:rsidR="00FF676B">
        <w:t xml:space="preserve">er 17 </w:t>
      </w:r>
      <w:r w:rsidR="0032721F">
        <w:t xml:space="preserve">in </w:t>
      </w:r>
      <w:proofErr w:type="spellStart"/>
      <w:r w:rsidR="0032721F">
        <w:t>Niccolò</w:t>
      </w:r>
      <w:proofErr w:type="spellEnd"/>
      <w:r w:rsidR="0032721F">
        <w:t xml:space="preserve"> Machiavelli’s </w:t>
      </w:r>
      <w:r w:rsidR="0032721F">
        <w:rPr>
          <w:i/>
        </w:rPr>
        <w:t xml:space="preserve">The Prince </w:t>
      </w:r>
      <w:r w:rsidR="000150BA" w:rsidRPr="000150BA">
        <w:t>(</w:t>
      </w:r>
      <w:r w:rsidR="000150BA">
        <w:t>from “Turning to the other qualities mentioned above” to “a dread of punishment that will never abandon you”</w:t>
      </w:r>
      <w:r w:rsidR="00FF676B">
        <w:t>)</w:t>
      </w:r>
      <w:r>
        <w:t xml:space="preserve">. </w:t>
      </w:r>
      <w:r w:rsidR="00EF4600">
        <w:t>Direct students to box any unfamiliar words and look up their definitions. Instruct them to choose the definition that makes the most sense in the context, and write a brief definition above or near the word in the text.</w:t>
      </w:r>
    </w:p>
    <w:p w:rsidR="00530081" w:rsidRPr="00530081" w:rsidRDefault="00530081" w:rsidP="00530081">
      <w:pPr>
        <w:pStyle w:val="SA"/>
      </w:pPr>
      <w:r>
        <w:t>Students follow along.</w:t>
      </w:r>
    </w:p>
    <w:p w:rsidR="00790BCC" w:rsidRPr="00790BCC" w:rsidRDefault="00790BCC" w:rsidP="007017EB">
      <w:pPr>
        <w:pStyle w:val="Heading1"/>
      </w:pPr>
      <w:r w:rsidRPr="00790BCC">
        <w:t>Homework</w:t>
      </w:r>
    </w:p>
    <w:p w:rsidR="00040961" w:rsidRDefault="00530081" w:rsidP="007017EB">
      <w:r>
        <w:t>Pre</w:t>
      </w:r>
      <w:r w:rsidR="0022353A">
        <w:t>view</w:t>
      </w:r>
      <w:r>
        <w:t xml:space="preserve"> paragraphs 1 and 2 </w:t>
      </w:r>
      <w:r w:rsidR="00FF676B">
        <w:t xml:space="preserve">of Chapter 17 </w:t>
      </w:r>
      <w:r w:rsidR="0032721F">
        <w:t xml:space="preserve">in </w:t>
      </w:r>
      <w:proofErr w:type="spellStart"/>
      <w:r w:rsidR="0032721F">
        <w:t>Niccolò</w:t>
      </w:r>
      <w:proofErr w:type="spellEnd"/>
      <w:r w:rsidR="0032721F">
        <w:t xml:space="preserve"> Machiavelli’s </w:t>
      </w:r>
      <w:r w:rsidR="0032721F">
        <w:rPr>
          <w:i/>
        </w:rPr>
        <w:t xml:space="preserve">The Prince </w:t>
      </w:r>
      <w:r w:rsidR="00FF676B">
        <w:t>(</w:t>
      </w:r>
      <w:r w:rsidR="000150BA">
        <w:t>from “Turning to the other qualities mentioned above” to “a dread of punishment that will never abandon you”</w:t>
      </w:r>
      <w:r w:rsidR="00FF676B">
        <w:t>)</w:t>
      </w:r>
      <w:r>
        <w:rPr>
          <w:i/>
        </w:rPr>
        <w:t>.</w:t>
      </w:r>
      <w:r>
        <w:t xml:space="preserve"> Box any unfamiliar vocabulary and look up their definitions. Choose the definition that makes the </w:t>
      </w:r>
      <w:r w:rsidR="006D2D4C">
        <w:t>most sense in the context, and write a brief definition above or near the word in the text or in your vocabulary journal.</w:t>
      </w:r>
      <w:r w:rsidR="00040961">
        <w:t xml:space="preserve"> </w:t>
      </w:r>
    </w:p>
    <w:p w:rsidR="00790BCC" w:rsidRPr="00790BCC" w:rsidRDefault="00790BCC" w:rsidP="00790BCC"/>
    <w:p w:rsidR="00FF676B" w:rsidRDefault="00FF676B" w:rsidP="000B3273">
      <w:pPr>
        <w:pStyle w:val="ToolHeader"/>
        <w:rPr>
          <w:i/>
        </w:rPr>
        <w:sectPr w:rsidR="00FF67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648" w:gutter="0"/>
          <w:cols w:space="720"/>
          <w:docGrid w:linePitch="299"/>
        </w:sectPr>
      </w:pPr>
    </w:p>
    <w:p w:rsidR="007E484F" w:rsidRDefault="00D508C9">
      <w:r>
        <w:rPr>
          <w:noProof/>
          <w:sz w:val="16"/>
          <w:szCs w:val="16"/>
        </w:rPr>
        <w:lastRenderedPageBreak/>
        <w:drawing>
          <wp:anchor distT="0" distB="0" distL="114300" distR="114300" simplePos="0" relativeHeight="251659264" behindDoc="0" locked="0" layoutInCell="1" allowOverlap="1">
            <wp:simplePos x="0" y="0"/>
            <wp:positionH relativeFrom="margin">
              <wp:posOffset>-412750</wp:posOffset>
            </wp:positionH>
            <wp:positionV relativeFrom="paragraph">
              <wp:posOffset>-582930</wp:posOffset>
            </wp:positionV>
            <wp:extent cx="9079992" cy="7013448"/>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necting-Ideas-Handou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79992" cy="7013448"/>
                    </a:xfrm>
                    <a:prstGeom prst="rect">
                      <a:avLst/>
                    </a:prstGeom>
                  </pic:spPr>
                </pic:pic>
              </a:graphicData>
            </a:graphic>
          </wp:anchor>
        </w:drawing>
      </w:r>
    </w:p>
    <w:sectPr w:rsidR="007E484F" w:rsidSect="00D508C9">
      <w:headerReference w:type="default" r:id="rId15"/>
      <w:footerReference w:type="default" r:id="rId16"/>
      <w:type w:val="continuous"/>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A5" w:rsidRDefault="007804A5">
      <w:pPr>
        <w:spacing w:before="0" w:after="0" w:line="240" w:lineRule="auto"/>
      </w:pPr>
      <w:r>
        <w:separator/>
      </w:r>
    </w:p>
  </w:endnote>
  <w:endnote w:type="continuationSeparator" w:id="0">
    <w:p w:rsidR="007804A5" w:rsidRDefault="007804A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D5" w:rsidRDefault="00173760" w:rsidP="004917C9">
    <w:pPr>
      <w:pStyle w:val="Footer"/>
      <w:rPr>
        <w:rStyle w:val="PageNumber"/>
        <w:rFonts w:ascii="Calibri" w:hAnsi="Calibri"/>
        <w:sz w:val="22"/>
      </w:rPr>
    </w:pPr>
    <w:r>
      <w:rPr>
        <w:rStyle w:val="PageNumber"/>
      </w:rPr>
      <w:fldChar w:fldCharType="begin"/>
    </w:r>
    <w:r w:rsidR="00FB2CD5">
      <w:rPr>
        <w:rStyle w:val="PageNumber"/>
      </w:rPr>
      <w:instrText xml:space="preserve">PAGE  </w:instrText>
    </w:r>
    <w:r>
      <w:rPr>
        <w:rStyle w:val="PageNumber"/>
      </w:rPr>
      <w:fldChar w:fldCharType="end"/>
    </w:r>
  </w:p>
  <w:p w:rsidR="00FB2CD5" w:rsidRDefault="00FB2CD5" w:rsidP="004917C9">
    <w:pPr>
      <w:pStyle w:val="Footer"/>
    </w:pPr>
  </w:p>
  <w:p w:rsidR="00FB2CD5" w:rsidRDefault="00FB2CD5" w:rsidP="004917C9"/>
  <w:p w:rsidR="00FB2CD5" w:rsidRDefault="00FB2CD5" w:rsidP="004917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D5" w:rsidRPr="00563CB8" w:rsidRDefault="00FB2CD5"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FB2CD5">
      <w:trPr>
        <w:trHeight w:val="705"/>
      </w:trPr>
      <w:tc>
        <w:tcPr>
          <w:tcW w:w="4609" w:type="dxa"/>
          <w:shd w:val="clear" w:color="auto" w:fill="auto"/>
          <w:vAlign w:val="center"/>
        </w:tcPr>
        <w:p w:rsidR="00FB2CD5" w:rsidRPr="002E4C92" w:rsidRDefault="00FB2CD5" w:rsidP="007017EB">
          <w:pPr>
            <w:pStyle w:val="FooterText"/>
          </w:pPr>
          <w:r w:rsidRPr="002E4C92">
            <w:t>File:</w:t>
          </w:r>
          <w:r>
            <w:rPr>
              <w:b w:val="0"/>
            </w:rPr>
            <w:t xml:space="preserve"> 10.4.2 Lesson 26</w:t>
          </w:r>
          <w:r w:rsidRPr="002E4C92">
            <w:t xml:space="preserve"> Date:</w:t>
          </w:r>
          <w:r w:rsidR="00F10DD5">
            <w:rPr>
              <w:b w:val="0"/>
            </w:rPr>
            <w:t xml:space="preserve"> 6/2</w:t>
          </w:r>
          <w:r w:rsidR="00C672DF">
            <w:rPr>
              <w:b w:val="0"/>
            </w:rPr>
            <w:t>5</w:t>
          </w:r>
          <w:r w:rsidRPr="0039525B">
            <w:rPr>
              <w:b w:val="0"/>
            </w:rPr>
            <w:t>/1</w:t>
          </w:r>
          <w:r>
            <w:rPr>
              <w:b w:val="0"/>
            </w:rPr>
            <w:t>4</w:t>
          </w:r>
          <w:r w:rsidRPr="0039525B">
            <w:rPr>
              <w:b w:val="0"/>
            </w:rPr>
            <w:t xml:space="preserve"> </w:t>
          </w:r>
          <w:r w:rsidRPr="002E4C92">
            <w:t>Classroom Use:</w:t>
          </w:r>
          <w:r>
            <w:rPr>
              <w:b w:val="0"/>
            </w:rPr>
            <w:t xml:space="preserve"> Starting 9</w:t>
          </w:r>
          <w:r w:rsidRPr="0039525B">
            <w:rPr>
              <w:b w:val="0"/>
            </w:rPr>
            <w:t>/201</w:t>
          </w:r>
          <w:r>
            <w:rPr>
              <w:b w:val="0"/>
            </w:rPr>
            <w:t>4</w:t>
          </w:r>
          <w:r w:rsidRPr="0039525B">
            <w:rPr>
              <w:b w:val="0"/>
            </w:rPr>
            <w:t xml:space="preserve"> </w:t>
          </w:r>
        </w:p>
        <w:p w:rsidR="00FB2CD5" w:rsidRPr="0039525B" w:rsidRDefault="00FB2CD5"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FB2CD5" w:rsidRPr="0039525B" w:rsidRDefault="00FB2CD5" w:rsidP="007017EB">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FB2CD5" w:rsidRPr="002E4C92" w:rsidRDefault="007804A5" w:rsidP="007017EB">
          <w:pPr>
            <w:pStyle w:val="FooterText"/>
          </w:pPr>
          <w:hyperlink r:id="rId1" w:history="1">
            <w:r w:rsidR="00FB2CD5"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FB2CD5" w:rsidRPr="002E4C92" w:rsidRDefault="00173760"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FB2CD5"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C067E">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FB2CD5" w:rsidRPr="002E4C92" w:rsidRDefault="00FB2CD5"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FB2CD5" w:rsidRPr="007017EB" w:rsidRDefault="00FB2CD5" w:rsidP="007017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7E" w:rsidRDefault="00EC06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D5" w:rsidRPr="00685BBC" w:rsidRDefault="00FB2CD5" w:rsidP="0068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A5" w:rsidRDefault="007804A5">
      <w:pPr>
        <w:spacing w:before="0" w:after="0" w:line="240" w:lineRule="auto"/>
      </w:pPr>
      <w:r>
        <w:separator/>
      </w:r>
    </w:p>
  </w:footnote>
  <w:footnote w:type="continuationSeparator" w:id="0">
    <w:p w:rsidR="007804A5" w:rsidRDefault="007804A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7E" w:rsidRDefault="00EC0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FB2CD5" w:rsidRPr="00563CB8">
      <w:tc>
        <w:tcPr>
          <w:tcW w:w="3708" w:type="dxa"/>
          <w:shd w:val="clear" w:color="auto" w:fill="auto"/>
        </w:tcPr>
        <w:p w:rsidR="00FB2CD5" w:rsidRPr="00563CB8" w:rsidRDefault="00FB2CD5"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FB2CD5" w:rsidRPr="00563CB8" w:rsidRDefault="00FB2CD5" w:rsidP="007017EB">
          <w:pPr>
            <w:jc w:val="center"/>
          </w:pPr>
          <w:r w:rsidRPr="00563CB8">
            <w:t>D R A F T</w:t>
          </w:r>
        </w:p>
      </w:tc>
      <w:tc>
        <w:tcPr>
          <w:tcW w:w="3438" w:type="dxa"/>
          <w:shd w:val="clear" w:color="auto" w:fill="auto"/>
        </w:tcPr>
        <w:p w:rsidR="00FB2CD5" w:rsidRPr="00E946A0" w:rsidRDefault="00FB2CD5" w:rsidP="007017EB">
          <w:pPr>
            <w:pStyle w:val="PageHeader"/>
            <w:jc w:val="right"/>
            <w:rPr>
              <w:b w:val="0"/>
            </w:rPr>
          </w:pPr>
          <w:r>
            <w:rPr>
              <w:b w:val="0"/>
            </w:rPr>
            <w:t>Grade 10 • Module 4 • Unit 2 • Lesson 26</w:t>
          </w:r>
        </w:p>
      </w:tc>
    </w:tr>
  </w:tbl>
  <w:p w:rsidR="00FB2CD5" w:rsidRPr="007017EB" w:rsidRDefault="00FB2CD5"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67E" w:rsidRDefault="00EC06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CD5" w:rsidRPr="008F7508" w:rsidRDefault="00FB2CD5" w:rsidP="008F7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144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974D06"/>
    <w:multiLevelType w:val="multilevel"/>
    <w:tmpl w:val="50B0C188"/>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3A190EFF"/>
    <w:multiLevelType w:val="hybridMultilevel"/>
    <w:tmpl w:val="F35A7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EE084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9"/>
  </w:num>
  <w:num w:numId="4">
    <w:abstractNumId w:val="11"/>
  </w:num>
  <w:num w:numId="5">
    <w:abstractNumId w:val="1"/>
  </w:num>
  <w:num w:numId="6">
    <w:abstractNumId w:val="13"/>
  </w:num>
  <w:num w:numId="7">
    <w:abstractNumId w:val="6"/>
    <w:lvlOverride w:ilvl="0">
      <w:startOverride w:val="1"/>
    </w:lvlOverride>
  </w:num>
  <w:num w:numId="8">
    <w:abstractNumId w:val="15"/>
  </w:num>
  <w:num w:numId="9">
    <w:abstractNumId w:val="2"/>
  </w:num>
  <w:num w:numId="10">
    <w:abstractNumId w:val="12"/>
  </w:num>
  <w:num w:numId="11">
    <w:abstractNumId w:val="16"/>
  </w:num>
  <w:num w:numId="12">
    <w:abstractNumId w:val="6"/>
  </w:num>
  <w:num w:numId="13">
    <w:abstractNumId w:val="6"/>
    <w:lvlOverride w:ilvl="0">
      <w:startOverride w:val="1"/>
    </w:lvlOverride>
  </w:num>
  <w:num w:numId="14">
    <w:abstractNumId w:val="5"/>
    <w:lvlOverride w:ilvl="0">
      <w:startOverride w:val="1"/>
    </w:lvlOverride>
  </w:num>
  <w:num w:numId="15">
    <w:abstractNumId w:val="15"/>
  </w:num>
  <w:num w:numId="16">
    <w:abstractNumId w:val="4"/>
  </w:num>
  <w:num w:numId="17">
    <w:abstractNumId w:val="0"/>
  </w:num>
  <w:num w:numId="18">
    <w:abstractNumId w:val="3"/>
  </w:num>
  <w:num w:numId="19">
    <w:abstractNumId w:val="14"/>
  </w:num>
  <w:num w:numId="20">
    <w:abstractNumId w:val="16"/>
    <w:lvlOverride w:ilvl="0">
      <w:startOverride w:val="3"/>
    </w:lvlOverride>
  </w:num>
  <w:num w:numId="21">
    <w:abstractNumId w:val="7"/>
  </w:num>
  <w:num w:numId="22">
    <w:abstractNumId w:val="10"/>
  </w:num>
  <w:num w:numId="23">
    <w:abstractNumId w:val="16"/>
    <w:lvlOverride w:ilvl="0">
      <w:startOverride w:val="3"/>
    </w:lvlOverride>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150BA"/>
    <w:rsid w:val="00027AA6"/>
    <w:rsid w:val="00040961"/>
    <w:rsid w:val="00047FAA"/>
    <w:rsid w:val="000648A4"/>
    <w:rsid w:val="000652E6"/>
    <w:rsid w:val="000843D0"/>
    <w:rsid w:val="00093098"/>
    <w:rsid w:val="000B3273"/>
    <w:rsid w:val="000B3A6F"/>
    <w:rsid w:val="000B70AC"/>
    <w:rsid w:val="000C54F0"/>
    <w:rsid w:val="00100BC4"/>
    <w:rsid w:val="001032FC"/>
    <w:rsid w:val="00106F26"/>
    <w:rsid w:val="00135406"/>
    <w:rsid w:val="00144B97"/>
    <w:rsid w:val="00145629"/>
    <w:rsid w:val="0015075A"/>
    <w:rsid w:val="001735F1"/>
    <w:rsid w:val="00173760"/>
    <w:rsid w:val="001806A8"/>
    <w:rsid w:val="00185491"/>
    <w:rsid w:val="001927C5"/>
    <w:rsid w:val="001B21FE"/>
    <w:rsid w:val="001B3017"/>
    <w:rsid w:val="001C2988"/>
    <w:rsid w:val="001C3901"/>
    <w:rsid w:val="001C7764"/>
    <w:rsid w:val="001E0A1D"/>
    <w:rsid w:val="00210C4C"/>
    <w:rsid w:val="00221A74"/>
    <w:rsid w:val="00222DB5"/>
    <w:rsid w:val="0022353A"/>
    <w:rsid w:val="0025552E"/>
    <w:rsid w:val="00261E25"/>
    <w:rsid w:val="00284C16"/>
    <w:rsid w:val="002858B6"/>
    <w:rsid w:val="002A3319"/>
    <w:rsid w:val="002B071A"/>
    <w:rsid w:val="002D41C1"/>
    <w:rsid w:val="002F2214"/>
    <w:rsid w:val="002F4FE1"/>
    <w:rsid w:val="00320400"/>
    <w:rsid w:val="0032721F"/>
    <w:rsid w:val="0033425E"/>
    <w:rsid w:val="00341F48"/>
    <w:rsid w:val="00373465"/>
    <w:rsid w:val="00374ADB"/>
    <w:rsid w:val="00375D3C"/>
    <w:rsid w:val="0039721E"/>
    <w:rsid w:val="003B0D11"/>
    <w:rsid w:val="003B5CB0"/>
    <w:rsid w:val="003C14C0"/>
    <w:rsid w:val="003C78C7"/>
    <w:rsid w:val="003D2ED0"/>
    <w:rsid w:val="003D2ED8"/>
    <w:rsid w:val="004125B3"/>
    <w:rsid w:val="00413DAF"/>
    <w:rsid w:val="0042739E"/>
    <w:rsid w:val="00427F02"/>
    <w:rsid w:val="00431AD6"/>
    <w:rsid w:val="004459CE"/>
    <w:rsid w:val="00463F50"/>
    <w:rsid w:val="00483E26"/>
    <w:rsid w:val="004917C9"/>
    <w:rsid w:val="004A25C9"/>
    <w:rsid w:val="004B1ACB"/>
    <w:rsid w:val="004B59A4"/>
    <w:rsid w:val="004C4D36"/>
    <w:rsid w:val="004C74FD"/>
    <w:rsid w:val="004D444E"/>
    <w:rsid w:val="004E0171"/>
    <w:rsid w:val="00506301"/>
    <w:rsid w:val="0051473A"/>
    <w:rsid w:val="005226B0"/>
    <w:rsid w:val="0052530C"/>
    <w:rsid w:val="00530081"/>
    <w:rsid w:val="00536DBD"/>
    <w:rsid w:val="00543EF1"/>
    <w:rsid w:val="00553238"/>
    <w:rsid w:val="00572858"/>
    <w:rsid w:val="00580B67"/>
    <w:rsid w:val="00584D80"/>
    <w:rsid w:val="005B28DB"/>
    <w:rsid w:val="005C07B4"/>
    <w:rsid w:val="005C0BA4"/>
    <w:rsid w:val="005C1C32"/>
    <w:rsid w:val="005C3881"/>
    <w:rsid w:val="005C6944"/>
    <w:rsid w:val="005E5189"/>
    <w:rsid w:val="00601F37"/>
    <w:rsid w:val="00612418"/>
    <w:rsid w:val="00612A30"/>
    <w:rsid w:val="006228D7"/>
    <w:rsid w:val="006369C7"/>
    <w:rsid w:val="00662456"/>
    <w:rsid w:val="00677B6C"/>
    <w:rsid w:val="006843F2"/>
    <w:rsid w:val="00685AE1"/>
    <w:rsid w:val="00685BBC"/>
    <w:rsid w:val="0068724D"/>
    <w:rsid w:val="00690B1D"/>
    <w:rsid w:val="006925A8"/>
    <w:rsid w:val="006A4FFF"/>
    <w:rsid w:val="006D2533"/>
    <w:rsid w:val="006D2D4C"/>
    <w:rsid w:val="006E24C5"/>
    <w:rsid w:val="006E4A1A"/>
    <w:rsid w:val="006E562C"/>
    <w:rsid w:val="006E7BE7"/>
    <w:rsid w:val="007017EB"/>
    <w:rsid w:val="0072581E"/>
    <w:rsid w:val="00731FE6"/>
    <w:rsid w:val="0073323B"/>
    <w:rsid w:val="00764213"/>
    <w:rsid w:val="00770CFC"/>
    <w:rsid w:val="00775BCF"/>
    <w:rsid w:val="007804A5"/>
    <w:rsid w:val="00790BCC"/>
    <w:rsid w:val="00794302"/>
    <w:rsid w:val="007A69B0"/>
    <w:rsid w:val="007A6E10"/>
    <w:rsid w:val="007B7012"/>
    <w:rsid w:val="007C04E2"/>
    <w:rsid w:val="007D2598"/>
    <w:rsid w:val="007D3309"/>
    <w:rsid w:val="007D5C02"/>
    <w:rsid w:val="007D6299"/>
    <w:rsid w:val="007E3919"/>
    <w:rsid w:val="007E3A30"/>
    <w:rsid w:val="007E484F"/>
    <w:rsid w:val="007F4FB7"/>
    <w:rsid w:val="008105DB"/>
    <w:rsid w:val="008215A2"/>
    <w:rsid w:val="00821952"/>
    <w:rsid w:val="0084104D"/>
    <w:rsid w:val="00862C77"/>
    <w:rsid w:val="00871E6E"/>
    <w:rsid w:val="00872145"/>
    <w:rsid w:val="00896BE5"/>
    <w:rsid w:val="008974AC"/>
    <w:rsid w:val="008A709E"/>
    <w:rsid w:val="008A7D25"/>
    <w:rsid w:val="008B3D99"/>
    <w:rsid w:val="008C0BEF"/>
    <w:rsid w:val="008E0122"/>
    <w:rsid w:val="008F7508"/>
    <w:rsid w:val="008F7EFF"/>
    <w:rsid w:val="00902CF8"/>
    <w:rsid w:val="009116E4"/>
    <w:rsid w:val="00915B87"/>
    <w:rsid w:val="009176A5"/>
    <w:rsid w:val="00922065"/>
    <w:rsid w:val="0092785D"/>
    <w:rsid w:val="00935236"/>
    <w:rsid w:val="00937B70"/>
    <w:rsid w:val="009450B7"/>
    <w:rsid w:val="009450F1"/>
    <w:rsid w:val="00961097"/>
    <w:rsid w:val="009614E3"/>
    <w:rsid w:val="009A108F"/>
    <w:rsid w:val="009A2092"/>
    <w:rsid w:val="009D124A"/>
    <w:rsid w:val="009E0DC1"/>
    <w:rsid w:val="009F34AA"/>
    <w:rsid w:val="009F4D42"/>
    <w:rsid w:val="00A06BEF"/>
    <w:rsid w:val="00A06EE0"/>
    <w:rsid w:val="00A118E4"/>
    <w:rsid w:val="00A17E9B"/>
    <w:rsid w:val="00A42B5D"/>
    <w:rsid w:val="00A46885"/>
    <w:rsid w:val="00A477D4"/>
    <w:rsid w:val="00A54835"/>
    <w:rsid w:val="00A54D3A"/>
    <w:rsid w:val="00A72D80"/>
    <w:rsid w:val="00A9491D"/>
    <w:rsid w:val="00AA23F8"/>
    <w:rsid w:val="00AA3B71"/>
    <w:rsid w:val="00AB758D"/>
    <w:rsid w:val="00AC6014"/>
    <w:rsid w:val="00AF2563"/>
    <w:rsid w:val="00B02030"/>
    <w:rsid w:val="00B21C20"/>
    <w:rsid w:val="00B260F0"/>
    <w:rsid w:val="00B27513"/>
    <w:rsid w:val="00B34BF8"/>
    <w:rsid w:val="00B37B29"/>
    <w:rsid w:val="00B46CDF"/>
    <w:rsid w:val="00B52467"/>
    <w:rsid w:val="00B66EBC"/>
    <w:rsid w:val="00BB1419"/>
    <w:rsid w:val="00BC0B0D"/>
    <w:rsid w:val="00BE420D"/>
    <w:rsid w:val="00BF083C"/>
    <w:rsid w:val="00BF10E5"/>
    <w:rsid w:val="00C03EAD"/>
    <w:rsid w:val="00C1390E"/>
    <w:rsid w:val="00C15FB8"/>
    <w:rsid w:val="00C277E3"/>
    <w:rsid w:val="00C279E5"/>
    <w:rsid w:val="00C327BA"/>
    <w:rsid w:val="00C3350B"/>
    <w:rsid w:val="00C350B2"/>
    <w:rsid w:val="00C5171A"/>
    <w:rsid w:val="00C5268D"/>
    <w:rsid w:val="00C672DF"/>
    <w:rsid w:val="00C819FD"/>
    <w:rsid w:val="00C9263F"/>
    <w:rsid w:val="00CB55B9"/>
    <w:rsid w:val="00CB66B2"/>
    <w:rsid w:val="00CC50EF"/>
    <w:rsid w:val="00CC5B51"/>
    <w:rsid w:val="00CD6A9B"/>
    <w:rsid w:val="00CD7FBB"/>
    <w:rsid w:val="00CE072E"/>
    <w:rsid w:val="00CF1514"/>
    <w:rsid w:val="00D036C1"/>
    <w:rsid w:val="00D30D78"/>
    <w:rsid w:val="00D31F4D"/>
    <w:rsid w:val="00D353A2"/>
    <w:rsid w:val="00D43571"/>
    <w:rsid w:val="00D45727"/>
    <w:rsid w:val="00D508C9"/>
    <w:rsid w:val="00D533D5"/>
    <w:rsid w:val="00D772F6"/>
    <w:rsid w:val="00D81C15"/>
    <w:rsid w:val="00D82832"/>
    <w:rsid w:val="00DA3E16"/>
    <w:rsid w:val="00DB4C96"/>
    <w:rsid w:val="00DC22C4"/>
    <w:rsid w:val="00DD1B7B"/>
    <w:rsid w:val="00DE01E4"/>
    <w:rsid w:val="00DE1E24"/>
    <w:rsid w:val="00DE6983"/>
    <w:rsid w:val="00DF0900"/>
    <w:rsid w:val="00E2296F"/>
    <w:rsid w:val="00E24E21"/>
    <w:rsid w:val="00E33768"/>
    <w:rsid w:val="00E50461"/>
    <w:rsid w:val="00E922C8"/>
    <w:rsid w:val="00EA38EB"/>
    <w:rsid w:val="00EA3A99"/>
    <w:rsid w:val="00EA43AB"/>
    <w:rsid w:val="00EA5069"/>
    <w:rsid w:val="00EA7DA0"/>
    <w:rsid w:val="00EB3FDD"/>
    <w:rsid w:val="00EB44FC"/>
    <w:rsid w:val="00EC067E"/>
    <w:rsid w:val="00EC587E"/>
    <w:rsid w:val="00EF0981"/>
    <w:rsid w:val="00EF4600"/>
    <w:rsid w:val="00F00AD9"/>
    <w:rsid w:val="00F10DD5"/>
    <w:rsid w:val="00F117DC"/>
    <w:rsid w:val="00F270F1"/>
    <w:rsid w:val="00F32276"/>
    <w:rsid w:val="00F33E96"/>
    <w:rsid w:val="00F3618D"/>
    <w:rsid w:val="00F43B7A"/>
    <w:rsid w:val="00F504D7"/>
    <w:rsid w:val="00F5516F"/>
    <w:rsid w:val="00F55A2B"/>
    <w:rsid w:val="00F96C78"/>
    <w:rsid w:val="00FA0F55"/>
    <w:rsid w:val="00FB2CD5"/>
    <w:rsid w:val="00FD4EFA"/>
    <w:rsid w:val="00FF4444"/>
    <w:rsid w:val="00FF67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BD1947-C53C-4F6A-9D8A-79D231AF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731F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ngageny.org/sites/default/files/resource/attachments/9-12_ela_prefatory_material.pdf"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3</cp:revision>
  <cp:lastPrinted>2014-06-12T23:50:00Z</cp:lastPrinted>
  <dcterms:created xsi:type="dcterms:W3CDTF">2014-06-25T15:49:00Z</dcterms:created>
  <dcterms:modified xsi:type="dcterms:W3CDTF">2014-06-25T15:49:00Z</dcterms:modified>
</cp:coreProperties>
</file>