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6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380"/>
      </w:tblGrid>
      <w:tr w:rsidR="00790BCC" w:rsidRPr="00790BCC">
        <w:trPr>
          <w:trHeight w:val="1008"/>
        </w:trPr>
        <w:tc>
          <w:tcPr>
            <w:tcW w:w="1980" w:type="dxa"/>
            <w:shd w:val="clear" w:color="auto" w:fill="385623"/>
            <w:vAlign w:val="center"/>
          </w:tcPr>
          <w:p w:rsidR="00790BCC" w:rsidRPr="00D31F4D" w:rsidRDefault="00EB4EAE" w:rsidP="00D31F4D">
            <w:pPr>
              <w:pStyle w:val="Header-banner"/>
              <w:rPr>
                <w:rFonts w:asciiTheme="minorHAnsi" w:hAnsiTheme="minorHAnsi"/>
              </w:rPr>
            </w:pPr>
            <w:bookmarkStart w:id="0" w:name="_GoBack" w:colFirst="1" w:colLast="1"/>
            <w:r>
              <w:rPr>
                <w:rFonts w:asciiTheme="minorHAnsi" w:hAnsiTheme="minorHAnsi"/>
              </w:rPr>
              <w:t>10.4.2</w:t>
            </w:r>
          </w:p>
        </w:tc>
        <w:tc>
          <w:tcPr>
            <w:tcW w:w="7380" w:type="dxa"/>
            <w:shd w:val="clear" w:color="auto" w:fill="76923C"/>
            <w:vAlign w:val="center"/>
          </w:tcPr>
          <w:p w:rsidR="00790BCC" w:rsidRPr="00D31F4D" w:rsidRDefault="00790BCC" w:rsidP="00D31F4D">
            <w:pPr>
              <w:pStyle w:val="Header2banner"/>
              <w:rPr>
                <w:rFonts w:asciiTheme="minorHAnsi" w:hAnsiTheme="minorHAnsi"/>
              </w:rPr>
            </w:pPr>
            <w:r w:rsidRPr="00D31F4D">
              <w:rPr>
                <w:rFonts w:asciiTheme="minorHAnsi" w:hAnsiTheme="minorHAnsi"/>
              </w:rPr>
              <w:t xml:space="preserve">Lesson </w:t>
            </w:r>
            <w:r w:rsidR="00EB4EAE">
              <w:rPr>
                <w:rFonts w:asciiTheme="minorHAnsi" w:hAnsiTheme="minorHAnsi"/>
              </w:rPr>
              <w:t>23</w:t>
            </w:r>
          </w:p>
        </w:tc>
      </w:tr>
    </w:tbl>
    <w:bookmarkEnd w:id="0"/>
    <w:p w:rsidR="00790BCC" w:rsidRPr="00790BCC" w:rsidRDefault="00790BCC" w:rsidP="00D31F4D">
      <w:pPr>
        <w:pStyle w:val="Heading1"/>
      </w:pPr>
      <w:r w:rsidRPr="00790BCC">
        <w:t>Introduction</w:t>
      </w:r>
    </w:p>
    <w:p w:rsidR="00193FC7" w:rsidRDefault="00EB4EAE" w:rsidP="00D31F4D">
      <w:r>
        <w:t>In this lesson</w:t>
      </w:r>
      <w:r w:rsidR="008D71F5">
        <w:t>,</w:t>
      </w:r>
      <w:r>
        <w:t xml:space="preserve"> students pre</w:t>
      </w:r>
      <w:r w:rsidR="001265A3">
        <w:t xml:space="preserve">pare to consider film treatments of </w:t>
      </w:r>
      <w:r w:rsidR="001265A3" w:rsidRPr="006C1DB8">
        <w:rPr>
          <w:i/>
        </w:rPr>
        <w:t>Macbeth</w:t>
      </w:r>
      <w:r w:rsidR="001265A3">
        <w:t xml:space="preserve"> through a variety of activities.  Students consider how </w:t>
      </w:r>
      <w:r w:rsidR="002F428B">
        <w:t>Act 1.1 and 1.3</w:t>
      </w:r>
      <w:r w:rsidR="001265A3">
        <w:t xml:space="preserve"> develop characters, plot, and central ideas</w:t>
      </w:r>
      <w:r w:rsidR="002F428B">
        <w:t xml:space="preserve">. </w:t>
      </w:r>
      <w:r w:rsidR="00193FC7">
        <w:t>Students also</w:t>
      </w:r>
      <w:r w:rsidR="002F428B">
        <w:t xml:space="preserve"> discuss</w:t>
      </w:r>
      <w:r w:rsidR="001265A3">
        <w:t xml:space="preserve"> how the </w:t>
      </w:r>
      <w:r w:rsidR="0010211B">
        <w:t>W</w:t>
      </w:r>
      <w:r w:rsidR="001265A3">
        <w:t xml:space="preserve">itches are depicted in the visual arts, focusing on “Macbeth </w:t>
      </w:r>
      <w:r w:rsidR="00D65CF1">
        <w:t>and t</w:t>
      </w:r>
      <w:r w:rsidR="00967F9F">
        <w:t xml:space="preserve">he Witches,” by </w:t>
      </w:r>
      <w:r w:rsidR="00470F74">
        <w:t>Joseph Anton Koch</w:t>
      </w:r>
      <w:r w:rsidR="001265A3">
        <w:t xml:space="preserve">. </w:t>
      </w:r>
      <w:r w:rsidR="00470F74">
        <w:t>Students</w:t>
      </w:r>
      <w:r w:rsidR="00193FC7">
        <w:t xml:space="preserve"> then</w:t>
      </w:r>
      <w:r w:rsidR="00470F74">
        <w:t xml:space="preserve"> analyze a second painting, Henry Fuseli’s “The Three Witches,” as part of their assessment</w:t>
      </w:r>
      <w:r w:rsidR="00193FC7">
        <w:t xml:space="preserve">. </w:t>
      </w:r>
      <w:r w:rsidR="00193FC7" w:rsidRPr="00193FC7">
        <w:t>Student learning is assessed via a Quick Write at the end of the lesson:</w:t>
      </w:r>
      <w:r w:rsidR="007F4827">
        <w:t xml:space="preserve"> </w:t>
      </w:r>
      <w:r w:rsidR="00276C0A">
        <w:t>Analyze how</w:t>
      </w:r>
      <w:r w:rsidR="007F4827">
        <w:t xml:space="preserve"> Henry Fuseli </w:t>
      </w:r>
      <w:r w:rsidR="00276C0A">
        <w:t>draws on and transforms</w:t>
      </w:r>
      <w:r w:rsidR="007F4827">
        <w:t xml:space="preserve"> the </w:t>
      </w:r>
      <w:r w:rsidR="0010211B">
        <w:t>W</w:t>
      </w:r>
      <w:r w:rsidR="007F4827">
        <w:t xml:space="preserve">itches from Shakespeare’s </w:t>
      </w:r>
      <w:r w:rsidR="007F4827">
        <w:rPr>
          <w:i/>
        </w:rPr>
        <w:t>Macbeth</w:t>
      </w:r>
      <w:r w:rsidR="00276C0A">
        <w:t>.</w:t>
      </w:r>
      <w:r w:rsidR="007F4827">
        <w:t xml:space="preserve"> </w:t>
      </w:r>
      <w:r w:rsidR="00276C0A" w:rsidRPr="00276C0A">
        <w:t xml:space="preserve">What does </w:t>
      </w:r>
      <w:r w:rsidR="00276C0A">
        <w:t>Fuseli</w:t>
      </w:r>
      <w:r w:rsidR="00276C0A" w:rsidRPr="00276C0A">
        <w:t xml:space="preserve"> emphasize or omit in his treatment of </w:t>
      </w:r>
      <w:r w:rsidR="00276C0A">
        <w:t>these characters</w:t>
      </w:r>
      <w:r w:rsidR="00276C0A" w:rsidRPr="00276C0A">
        <w:t>?</w:t>
      </w:r>
    </w:p>
    <w:p w:rsidR="00790BCC" w:rsidRPr="00B41738" w:rsidRDefault="007F4827" w:rsidP="00D31F4D">
      <w:r>
        <w:t>For homework, students</w:t>
      </w:r>
      <w:r w:rsidR="006C1DB8">
        <w:t xml:space="preserve"> </w:t>
      </w:r>
      <w:r w:rsidR="00025379">
        <w:t xml:space="preserve">conduct a brief search to find five interesting facts about Akira Kurosawa or samurai films to share with the class. </w:t>
      </w:r>
    </w:p>
    <w:p w:rsidR="00790BCC" w:rsidRPr="00790BCC" w:rsidRDefault="00790BCC" w:rsidP="00D31F4D">
      <w:pPr>
        <w:pStyle w:val="Heading1"/>
      </w:pPr>
      <w:r w:rsidRPr="00790BCC">
        <w:t xml:space="preserve">Standards </w:t>
      </w:r>
    </w:p>
    <w:tbl>
      <w:tblPr>
        <w:tblW w:w="936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9"/>
        <w:gridCol w:w="8031"/>
      </w:tblGrid>
      <w:tr w:rsidR="00790BCC" w:rsidRPr="00790BCC">
        <w:tc>
          <w:tcPr>
            <w:tcW w:w="9360" w:type="dxa"/>
            <w:gridSpan w:val="2"/>
            <w:shd w:val="clear" w:color="auto" w:fill="76923C"/>
          </w:tcPr>
          <w:p w:rsidR="00790BCC" w:rsidRPr="00790BCC" w:rsidRDefault="00790BCC" w:rsidP="007017EB">
            <w:pPr>
              <w:pStyle w:val="TableHeaders"/>
            </w:pPr>
            <w:r w:rsidRPr="00790BCC">
              <w:t>Assessed Standard(s)</w:t>
            </w:r>
          </w:p>
        </w:tc>
      </w:tr>
      <w:tr w:rsidR="00790BCC" w:rsidRPr="00790BCC">
        <w:tc>
          <w:tcPr>
            <w:tcW w:w="1329" w:type="dxa"/>
          </w:tcPr>
          <w:p w:rsidR="00790BCC" w:rsidRPr="00790BCC" w:rsidRDefault="00540FEE" w:rsidP="00D31F4D">
            <w:pPr>
              <w:pStyle w:val="TableText"/>
            </w:pPr>
            <w:r>
              <w:t>RL.9-10.7</w:t>
            </w:r>
          </w:p>
        </w:tc>
        <w:tc>
          <w:tcPr>
            <w:tcW w:w="8031" w:type="dxa"/>
          </w:tcPr>
          <w:p w:rsidR="00790BCC" w:rsidRPr="002956ED" w:rsidRDefault="00540FEE" w:rsidP="00D379E9">
            <w:pPr>
              <w:pStyle w:val="TableText"/>
            </w:pPr>
            <w:r>
              <w:t>Analyze the representation of a subject or a key scene in two different artistic mediums, including what is emphasized or absent in each treatment</w:t>
            </w:r>
            <w:r w:rsidR="00CC42AB">
              <w:t xml:space="preserve"> </w:t>
            </w:r>
            <w:r w:rsidR="00CC42AB" w:rsidRPr="00CC42AB">
              <w:t xml:space="preserve">(e.g., Auden’s “Musée des Beaux Arts” and Breughel’s </w:t>
            </w:r>
            <w:r w:rsidR="00CC42AB" w:rsidRPr="00CC42AB">
              <w:rPr>
                <w:i/>
              </w:rPr>
              <w:t>Landscape with the Fall of Icarus</w:t>
            </w:r>
            <w:r w:rsidR="00CC42AB" w:rsidRPr="00CC42AB">
              <w:t>).</w:t>
            </w:r>
          </w:p>
        </w:tc>
      </w:tr>
      <w:tr w:rsidR="00790BCC" w:rsidRPr="00790BCC">
        <w:tc>
          <w:tcPr>
            <w:tcW w:w="9360" w:type="dxa"/>
            <w:gridSpan w:val="2"/>
            <w:shd w:val="clear" w:color="auto" w:fill="76923C"/>
          </w:tcPr>
          <w:p w:rsidR="00790BCC" w:rsidRPr="00790BCC" w:rsidRDefault="00790BCC" w:rsidP="007017EB">
            <w:pPr>
              <w:pStyle w:val="TableHeaders"/>
            </w:pPr>
            <w:r w:rsidRPr="00790BCC">
              <w:t>Addressed Standard(s)</w:t>
            </w:r>
          </w:p>
        </w:tc>
      </w:tr>
      <w:tr w:rsidR="00F40F05" w:rsidRPr="00790BCC">
        <w:trPr>
          <w:trHeight w:val="462"/>
        </w:trPr>
        <w:tc>
          <w:tcPr>
            <w:tcW w:w="9360" w:type="dxa"/>
            <w:gridSpan w:val="2"/>
          </w:tcPr>
          <w:p w:rsidR="00F40F05" w:rsidRPr="00CC3868" w:rsidRDefault="00F40F05" w:rsidP="00EB4EAE">
            <w:pPr>
              <w:pStyle w:val="TableText"/>
            </w:pPr>
            <w:r>
              <w:t>None</w:t>
            </w:r>
            <w:r w:rsidR="00276C0A">
              <w:t>.</w:t>
            </w:r>
          </w:p>
        </w:tc>
      </w:tr>
    </w:tbl>
    <w:p w:rsidR="00790BCC" w:rsidRPr="00790BCC" w:rsidRDefault="00790BCC" w:rsidP="00D31F4D">
      <w:pPr>
        <w:pStyle w:val="Heading1"/>
      </w:pPr>
      <w:r w:rsidRPr="00790BCC">
        <w:t>Assessment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90BCC" w:rsidRPr="00790BCC">
        <w:tc>
          <w:tcPr>
            <w:tcW w:w="9360" w:type="dxa"/>
            <w:shd w:val="clear" w:color="auto" w:fill="76923C"/>
          </w:tcPr>
          <w:p w:rsidR="00790BCC" w:rsidRPr="00790BCC" w:rsidRDefault="00790BCC" w:rsidP="007017EB">
            <w:pPr>
              <w:pStyle w:val="TableHeaders"/>
            </w:pPr>
            <w:r w:rsidRPr="00790BCC">
              <w:t>Assessment(s)</w:t>
            </w:r>
          </w:p>
        </w:tc>
      </w:tr>
      <w:tr w:rsidR="00790BCC" w:rsidRPr="00790BCC">
        <w:tc>
          <w:tcPr>
            <w:tcW w:w="9360" w:type="dxa"/>
            <w:tcBorders>
              <w:top w:val="single" w:sz="4" w:space="0" w:color="auto"/>
              <w:left w:val="single" w:sz="4" w:space="0" w:color="auto"/>
              <w:bottom w:val="single" w:sz="4" w:space="0" w:color="auto"/>
              <w:right w:val="single" w:sz="4" w:space="0" w:color="auto"/>
            </w:tcBorders>
          </w:tcPr>
          <w:p w:rsidR="00790BCC" w:rsidRPr="00790BCC" w:rsidRDefault="0039126C" w:rsidP="00D31F4D">
            <w:pPr>
              <w:pStyle w:val="TableText"/>
            </w:pPr>
            <w:r>
              <w:t>Student l</w:t>
            </w:r>
            <w:r w:rsidR="005A6F98">
              <w:t xml:space="preserve">earning </w:t>
            </w:r>
            <w:r w:rsidR="00540FEE">
              <w:t xml:space="preserve">is assessed via a Quick Write at the end of the lesson. Students </w:t>
            </w:r>
            <w:r w:rsidR="0010211B">
              <w:t>respond to</w:t>
            </w:r>
            <w:r w:rsidR="00540FEE">
              <w:t xml:space="preserve"> the following prompt, citing textual evidence to support analysis and inferences drawn from the text or painting.</w:t>
            </w:r>
          </w:p>
          <w:p w:rsidR="007471E1" w:rsidRDefault="00276C0A" w:rsidP="007471E1">
            <w:pPr>
              <w:pStyle w:val="BulletedList"/>
            </w:pPr>
            <w:r>
              <w:t>Analyze how Henry Fuse</w:t>
            </w:r>
            <w:r w:rsidR="00F830C7">
              <w:t>li draws on and transforms the W</w:t>
            </w:r>
            <w:r>
              <w:t xml:space="preserve">itches from Shakespeare’s </w:t>
            </w:r>
            <w:r>
              <w:rPr>
                <w:i/>
              </w:rPr>
              <w:t>Macbeth</w:t>
            </w:r>
            <w:r>
              <w:t xml:space="preserve">. </w:t>
            </w:r>
            <w:r w:rsidRPr="00276C0A">
              <w:t xml:space="preserve">What does </w:t>
            </w:r>
            <w:r>
              <w:t>Fuseli</w:t>
            </w:r>
            <w:r w:rsidRPr="00276C0A">
              <w:t xml:space="preserve"> emphasize or omit in his treatment of </w:t>
            </w:r>
            <w:r>
              <w:t>these characters</w:t>
            </w:r>
            <w:r w:rsidRPr="00276C0A">
              <w:t>?</w:t>
            </w:r>
          </w:p>
        </w:tc>
      </w:tr>
      <w:tr w:rsidR="00790BCC" w:rsidRPr="00790BCC">
        <w:tc>
          <w:tcPr>
            <w:tcW w:w="9360" w:type="dxa"/>
            <w:shd w:val="clear" w:color="auto" w:fill="76923C"/>
          </w:tcPr>
          <w:p w:rsidR="00790BCC" w:rsidRPr="00790BCC" w:rsidRDefault="00790BCC" w:rsidP="002956ED">
            <w:pPr>
              <w:pStyle w:val="TableHeaders"/>
              <w:keepNext/>
            </w:pPr>
            <w:r w:rsidRPr="00790BCC">
              <w:lastRenderedPageBreak/>
              <w:t>High Performance Response(s)</w:t>
            </w:r>
          </w:p>
        </w:tc>
      </w:tr>
      <w:tr w:rsidR="00790BCC" w:rsidRPr="00790BCC" w:rsidTr="002956ED">
        <w:trPr>
          <w:cantSplit/>
        </w:trPr>
        <w:tc>
          <w:tcPr>
            <w:tcW w:w="9360" w:type="dxa"/>
          </w:tcPr>
          <w:p w:rsidR="00790BCC" w:rsidRPr="00790BCC" w:rsidRDefault="00790BCC" w:rsidP="00D31F4D">
            <w:pPr>
              <w:pStyle w:val="TableText"/>
            </w:pPr>
            <w:r w:rsidRPr="00790BCC">
              <w:t>A High Performance Response should:</w:t>
            </w:r>
          </w:p>
          <w:p w:rsidR="00790BCC" w:rsidRDefault="00540FEE" w:rsidP="00D31F4D">
            <w:pPr>
              <w:pStyle w:val="BulletedList"/>
            </w:pPr>
            <w:r>
              <w:t>Desc</w:t>
            </w:r>
            <w:r w:rsidR="00E01CCE">
              <w:t xml:space="preserve">ribe how Shakespeare </w:t>
            </w:r>
            <w:r>
              <w:t>depict</w:t>
            </w:r>
            <w:r w:rsidR="00E01CCE">
              <w:t>s</w:t>
            </w:r>
            <w:r>
              <w:t xml:space="preserve"> the </w:t>
            </w:r>
            <w:r w:rsidR="008223E2">
              <w:t>Witches</w:t>
            </w:r>
            <w:r w:rsidR="005A6F98">
              <w:t xml:space="preserve"> (</w:t>
            </w:r>
            <w:r w:rsidR="00611A6A">
              <w:t>e.g</w:t>
            </w:r>
            <w:r w:rsidR="005A6F98">
              <w:t>.,</w:t>
            </w:r>
            <w:r>
              <w:t xml:space="preserve"> Shakespeare, through the words of Banquo, describes the </w:t>
            </w:r>
            <w:r w:rsidR="008223E2">
              <w:t>Witches</w:t>
            </w:r>
            <w:r>
              <w:t xml:space="preserve"> as “withered” and “wild in their attire,” </w:t>
            </w:r>
            <w:r w:rsidR="00E01CCE">
              <w:t xml:space="preserve">each with a “choppy finger laying / Upon her skinny lips” </w:t>
            </w:r>
            <w:r w:rsidR="00276C0A">
              <w:t>(</w:t>
            </w:r>
            <w:r w:rsidR="00683776">
              <w:t xml:space="preserve">Act </w:t>
            </w:r>
            <w:r>
              <w:t>1</w:t>
            </w:r>
            <w:r w:rsidR="00B8723C">
              <w:t>.</w:t>
            </w:r>
            <w:r w:rsidR="00E01CCE">
              <w:t>3</w:t>
            </w:r>
            <w:r w:rsidR="00B8723C">
              <w:t xml:space="preserve">, </w:t>
            </w:r>
            <w:r w:rsidR="00683776">
              <w:t xml:space="preserve">lines </w:t>
            </w:r>
            <w:r w:rsidR="00B8723C">
              <w:t xml:space="preserve">41, </w:t>
            </w:r>
            <w:r w:rsidR="00E01CCE">
              <w:t>46</w:t>
            </w:r>
            <w:r w:rsidR="00276C0A">
              <w:t>–</w:t>
            </w:r>
            <w:r w:rsidR="00E01CCE">
              <w:t>47</w:t>
            </w:r>
            <w:r w:rsidR="00276C0A">
              <w:t>).</w:t>
            </w:r>
            <w:r w:rsidR="00E01CCE">
              <w:t xml:space="preserve"> </w:t>
            </w:r>
            <w:r w:rsidR="00276C0A">
              <w:t>H</w:t>
            </w:r>
            <w:r w:rsidR="00E01CCE">
              <w:t xml:space="preserve">e says they “look not like th’ inhabitants o’ th’ Earth” </w:t>
            </w:r>
            <w:r w:rsidR="00B8723C">
              <w:t>(Act 1.</w:t>
            </w:r>
            <w:r w:rsidR="00683776">
              <w:t xml:space="preserve">3, line 42) </w:t>
            </w:r>
            <w:r w:rsidR="00E01CCE">
              <w:t>and that they “should be women, /</w:t>
            </w:r>
            <w:r w:rsidR="008223E2">
              <w:t xml:space="preserve"> And yet [their] beards forbid </w:t>
            </w:r>
            <w:r w:rsidR="00E01CCE">
              <w:t xml:space="preserve">[Banquo] to interpret / That </w:t>
            </w:r>
            <w:r w:rsidR="00683776">
              <w:t>[</w:t>
            </w:r>
            <w:r w:rsidR="00E01CCE">
              <w:t>they</w:t>
            </w:r>
            <w:r w:rsidR="00683776">
              <w:t>]</w:t>
            </w:r>
            <w:r w:rsidR="00E01CCE">
              <w:t xml:space="preserve"> are so” </w:t>
            </w:r>
            <w:r w:rsidR="00276C0A">
              <w:t>(</w:t>
            </w:r>
            <w:r w:rsidR="00683776">
              <w:t xml:space="preserve">Act </w:t>
            </w:r>
            <w:r w:rsidR="00E01CCE">
              <w:t>1</w:t>
            </w:r>
            <w:r w:rsidR="00B8723C">
              <w:t>.</w:t>
            </w:r>
            <w:r w:rsidR="00E01CCE">
              <w:t>3</w:t>
            </w:r>
            <w:r w:rsidR="00683776">
              <w:t xml:space="preserve">, </w:t>
            </w:r>
            <w:r w:rsidR="00651198">
              <w:t xml:space="preserve">lines </w:t>
            </w:r>
            <w:r w:rsidR="00E01CCE">
              <w:t>47</w:t>
            </w:r>
            <w:r w:rsidR="00276C0A">
              <w:t>–</w:t>
            </w:r>
            <w:r w:rsidR="00E01CCE">
              <w:t>49</w:t>
            </w:r>
            <w:r w:rsidR="00276C0A">
              <w:t>).</w:t>
            </w:r>
            <w:r w:rsidR="00F40F05">
              <w:t xml:space="preserve"> </w:t>
            </w:r>
            <w:r w:rsidR="00276C0A">
              <w:t>T</w:t>
            </w:r>
            <w:r w:rsidR="00F40F05">
              <w:t xml:space="preserve">he </w:t>
            </w:r>
            <w:r w:rsidR="0010211B">
              <w:t>T</w:t>
            </w:r>
            <w:r w:rsidR="00F40F05">
              <w:t xml:space="preserve">hree </w:t>
            </w:r>
            <w:r w:rsidR="008223E2">
              <w:t>Witches</w:t>
            </w:r>
            <w:r w:rsidR="00F40F05">
              <w:t xml:space="preserve"> are not portrayed as fully developed individuals, but rather as </w:t>
            </w:r>
            <w:r w:rsidR="00967F9F">
              <w:t>a group of very similar creatures</w:t>
            </w:r>
            <w:r w:rsidR="00276C0A">
              <w:t>.</w:t>
            </w:r>
            <w:r w:rsidR="00D83A48">
              <w:t>).</w:t>
            </w:r>
          </w:p>
          <w:p w:rsidR="00E01CCE" w:rsidRDefault="00E01CCE" w:rsidP="00D31F4D">
            <w:pPr>
              <w:pStyle w:val="BulletedList"/>
            </w:pPr>
            <w:r>
              <w:t xml:space="preserve">Describe how Fusili depicts the </w:t>
            </w:r>
            <w:r w:rsidR="008223E2">
              <w:t>Witches</w:t>
            </w:r>
            <w:r>
              <w:t xml:space="preserve"> (e.g., He paints them as three old women, wearing loose white clothing and caps or bonnets. Their clothing seems as though it might be smeared with blood</w:t>
            </w:r>
            <w:r w:rsidR="006C1DB8">
              <w:t xml:space="preserve">. Each </w:t>
            </w:r>
            <w:r w:rsidR="00484268">
              <w:t>W</w:t>
            </w:r>
            <w:r w:rsidR="006C1DB8">
              <w:t>itch hold</w:t>
            </w:r>
            <w:r>
              <w:t xml:space="preserve">s a </w:t>
            </w:r>
            <w:r w:rsidR="006C1DB8">
              <w:t xml:space="preserve">right index </w:t>
            </w:r>
            <w:r>
              <w:t xml:space="preserve">finger to her lips, while her left hand is outstretched, as though pointing at something. The </w:t>
            </w:r>
            <w:r w:rsidR="008223E2">
              <w:t>Witches</w:t>
            </w:r>
            <w:r>
              <w:t xml:space="preserve"> appear to be looking upward at something other than what they are pointing at. The </w:t>
            </w:r>
            <w:r w:rsidR="008223E2">
              <w:t>Witches</w:t>
            </w:r>
            <w:r>
              <w:t xml:space="preserve"> have an eerie white light about them that is in contrast to the dark, shadowy background. Very little of the </w:t>
            </w:r>
            <w:r w:rsidR="008223E2">
              <w:t>Witches</w:t>
            </w:r>
            <w:r>
              <w:t xml:space="preserve">’ hair is visible, although strands of something light appear to be coming from the bonnet of the </w:t>
            </w:r>
            <w:r w:rsidR="00484268">
              <w:t>W</w:t>
            </w:r>
            <w:r>
              <w:t>itch in the back. This might</w:t>
            </w:r>
            <w:r w:rsidR="00C00F9B">
              <w:t xml:space="preserve"> be hair or might be some other matter or light. The </w:t>
            </w:r>
            <w:r w:rsidR="008223E2">
              <w:t>Witches</w:t>
            </w:r>
            <w:r w:rsidR="00C00F9B">
              <w:t xml:space="preserve">’ hands are wrinkled and have crooked fingers. The </w:t>
            </w:r>
            <w:r w:rsidR="008223E2">
              <w:t>Witches</w:t>
            </w:r>
            <w:r w:rsidR="00C00F9B">
              <w:t xml:space="preserve">’ faces have sharp, almost masculine features. </w:t>
            </w:r>
            <w:r w:rsidR="00967F9F">
              <w:t xml:space="preserve">The </w:t>
            </w:r>
            <w:r w:rsidR="008223E2">
              <w:t>Witches</w:t>
            </w:r>
            <w:r w:rsidR="00967F9F">
              <w:t xml:space="preserve"> are posed identically, wear very similar clothing, and are grouped so that they are almost a single unit rather than individuals.</w:t>
            </w:r>
            <w:r w:rsidR="00276C0A">
              <w:t>)</w:t>
            </w:r>
            <w:r w:rsidR="0010211B">
              <w:t>.</w:t>
            </w:r>
          </w:p>
          <w:p w:rsidR="00C00F9B" w:rsidRDefault="00C00F9B" w:rsidP="00D31F4D">
            <w:pPr>
              <w:pStyle w:val="BulletedList"/>
            </w:pPr>
            <w:r>
              <w:t xml:space="preserve">Compare and contrast the depictions (e.g., Shakespeare says that the </w:t>
            </w:r>
            <w:r w:rsidR="008223E2">
              <w:t>Witches</w:t>
            </w:r>
            <w:r>
              <w:t xml:space="preserve"> look wild and unearthly, but Fuseli’s </w:t>
            </w:r>
            <w:r w:rsidR="008223E2">
              <w:t>Witches</w:t>
            </w:r>
            <w:r>
              <w:t xml:space="preserve"> look like old women</w:t>
            </w:r>
            <w:r w:rsidR="004D52E9">
              <w:t>.</w:t>
            </w:r>
            <w:r>
              <w:t xml:space="preserve"> Shakespeare says the </w:t>
            </w:r>
            <w:r w:rsidR="008223E2">
              <w:t>Witches</w:t>
            </w:r>
            <w:r>
              <w:t xml:space="preserve"> have “beards” that make it difficult for Banquo to determine their gender, but Fus</w:t>
            </w:r>
            <w:r w:rsidR="006C1DB8">
              <w:t xml:space="preserve">eli’s </w:t>
            </w:r>
            <w:r w:rsidR="008223E2">
              <w:t>Witches</w:t>
            </w:r>
            <w:r w:rsidR="006C1DB8">
              <w:t xml:space="preserve"> are beardless. No</w:t>
            </w:r>
            <w:r>
              <w:t>netheless,</w:t>
            </w:r>
            <w:r w:rsidR="006C1DB8">
              <w:t xml:space="preserve"> </w:t>
            </w:r>
            <w:r>
              <w:t xml:space="preserve">Fuseli’s </w:t>
            </w:r>
            <w:r w:rsidR="008223E2">
              <w:t>Witches</w:t>
            </w:r>
            <w:r>
              <w:t xml:space="preserve"> have somewhat masculine features. Both depictions include the chapped, wrinkled hands and fingers on the </w:t>
            </w:r>
            <w:r w:rsidR="008223E2">
              <w:t>Witches</w:t>
            </w:r>
            <w:r>
              <w:t xml:space="preserve">’ lips and both depictions show figures with an unearthly appearance. </w:t>
            </w:r>
            <w:r w:rsidR="00967F9F">
              <w:t xml:space="preserve">Both depictions present the </w:t>
            </w:r>
            <w:r w:rsidR="008223E2">
              <w:t>Witches</w:t>
            </w:r>
            <w:r w:rsidR="006C1DB8">
              <w:t xml:space="preserve"> as a supernatural group </w:t>
            </w:r>
            <w:r w:rsidR="00967F9F">
              <w:t xml:space="preserve">rather than as individual characters. </w:t>
            </w:r>
            <w:r>
              <w:t xml:space="preserve">Fuseli adds a dark, shadowy background with some sort of dark, flying creature, perhaps a bat, floating behind the </w:t>
            </w:r>
            <w:r w:rsidR="008223E2">
              <w:t>Witches</w:t>
            </w:r>
            <w:r>
              <w:t>.)</w:t>
            </w:r>
            <w:r w:rsidR="00087D4F">
              <w:t>.</w:t>
            </w:r>
          </w:p>
          <w:p w:rsidR="00D83A48" w:rsidRPr="00790BCC" w:rsidRDefault="00C00F9B" w:rsidP="001265A3">
            <w:pPr>
              <w:pStyle w:val="BulletedList"/>
            </w:pPr>
            <w:r>
              <w:t xml:space="preserve">Explain how the differences emphasize different aspects of the </w:t>
            </w:r>
            <w:r w:rsidR="008223E2">
              <w:t>Witches</w:t>
            </w:r>
            <w:r>
              <w:t xml:space="preserve"> (e.g., Shakespeare emphasizes the </w:t>
            </w:r>
            <w:r w:rsidR="008223E2">
              <w:t>Witches</w:t>
            </w:r>
            <w:r>
              <w:t>’ wildness and ambiguous gender, making them seem very different from ordinary people, while Fuseli’s picture makes them seem more like old women</w:t>
            </w:r>
            <w:r w:rsidR="004D52E9">
              <w:t>.</w:t>
            </w:r>
            <w:r>
              <w:t xml:space="preserve"> Fuseli emphasizes the evil associated with the </w:t>
            </w:r>
            <w:r w:rsidR="008223E2">
              <w:t>Witches</w:t>
            </w:r>
            <w:r>
              <w:t xml:space="preserve"> by adding the dark, flying creature in the background and by using mostly black and white, with a little red, as the main colors of the picture</w:t>
            </w:r>
            <w:r w:rsidR="004D52E9">
              <w:t>. B</w:t>
            </w:r>
            <w:r>
              <w:t xml:space="preserve">oth emphasize </w:t>
            </w:r>
            <w:r w:rsidR="001265A3">
              <w:t xml:space="preserve">the </w:t>
            </w:r>
            <w:r w:rsidR="008223E2">
              <w:t>Witches</w:t>
            </w:r>
            <w:r w:rsidR="001265A3">
              <w:t>’ “choppy” fingers and age</w:t>
            </w:r>
            <w:r w:rsidR="004D52E9">
              <w:t>. B</w:t>
            </w:r>
            <w:r w:rsidR="001265A3">
              <w:t>oth create mysterious, eerie figures.</w:t>
            </w:r>
            <w:r w:rsidR="00967F9F">
              <w:t xml:space="preserve"> Both emphasize the group rather than the individual, suggesting that the </w:t>
            </w:r>
            <w:r w:rsidR="008223E2">
              <w:t>Witches</w:t>
            </w:r>
            <w:r w:rsidR="00967F9F">
              <w:t xml:space="preserve"> are more important for their symbolic value than for their personal attributes.</w:t>
            </w:r>
            <w:r w:rsidR="00087D4F">
              <w:t>).</w:t>
            </w:r>
          </w:p>
        </w:tc>
      </w:tr>
    </w:tbl>
    <w:p w:rsidR="00790BCC" w:rsidRPr="00790BCC" w:rsidRDefault="00790BCC" w:rsidP="00D31F4D">
      <w:pPr>
        <w:pStyle w:val="Heading1"/>
      </w:pPr>
      <w:r w:rsidRPr="00341F48">
        <w:lastRenderedPageBreak/>
        <w:t>Vocabulary</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790BCC" w:rsidRPr="00790BCC">
        <w:tc>
          <w:tcPr>
            <w:tcW w:w="9360" w:type="dxa"/>
            <w:shd w:val="clear" w:color="auto" w:fill="76923C"/>
          </w:tcPr>
          <w:p w:rsidR="00790BCC" w:rsidRPr="00790BCC" w:rsidRDefault="00790BCC" w:rsidP="00D31F4D">
            <w:pPr>
              <w:pStyle w:val="TableHeaders"/>
            </w:pPr>
            <w:r w:rsidRPr="00790BCC">
              <w:t>Vocabulary to provide directly (will not include extended instruction)</w:t>
            </w:r>
          </w:p>
        </w:tc>
      </w:tr>
      <w:tr w:rsidR="00790BCC" w:rsidRPr="00790BCC">
        <w:tc>
          <w:tcPr>
            <w:tcW w:w="9360" w:type="dxa"/>
          </w:tcPr>
          <w:p w:rsidR="00790BCC" w:rsidRPr="00790BCC" w:rsidRDefault="00CC3868" w:rsidP="00D31F4D">
            <w:pPr>
              <w:pStyle w:val="BulletedList"/>
            </w:pPr>
            <w:r>
              <w:t>None</w:t>
            </w:r>
            <w:r w:rsidR="00480D66">
              <w:t>.</w:t>
            </w:r>
            <w:r>
              <w:t>*</w:t>
            </w:r>
          </w:p>
        </w:tc>
      </w:tr>
      <w:tr w:rsidR="00790BCC" w:rsidRPr="00790BCC">
        <w:tc>
          <w:tcPr>
            <w:tcW w:w="9360" w:type="dxa"/>
            <w:shd w:val="clear" w:color="auto" w:fill="76923C"/>
          </w:tcPr>
          <w:p w:rsidR="00790BCC" w:rsidRPr="00790BCC" w:rsidRDefault="00790BCC" w:rsidP="00D31F4D">
            <w:pPr>
              <w:pStyle w:val="TableHeaders"/>
            </w:pPr>
            <w:r w:rsidRPr="00790BCC">
              <w:t>Vocabulary to teach (may include direct word work and/or questions)</w:t>
            </w:r>
          </w:p>
        </w:tc>
      </w:tr>
      <w:tr w:rsidR="00790BCC" w:rsidRPr="00790BCC">
        <w:tc>
          <w:tcPr>
            <w:tcW w:w="9360" w:type="dxa"/>
          </w:tcPr>
          <w:p w:rsidR="00790BCC" w:rsidRPr="00790BCC" w:rsidRDefault="00CC3868" w:rsidP="00D31F4D">
            <w:pPr>
              <w:pStyle w:val="BulletedList"/>
            </w:pPr>
            <w:r>
              <w:t>None</w:t>
            </w:r>
            <w:r w:rsidR="00480D66">
              <w:t>.</w:t>
            </w:r>
            <w:r>
              <w:t>*</w:t>
            </w:r>
          </w:p>
        </w:tc>
      </w:tr>
      <w:tr w:rsidR="00790BCC" w:rsidRPr="00790BCC">
        <w:tc>
          <w:tcPr>
            <w:tcW w:w="9360" w:type="dxa"/>
            <w:tcBorders>
              <w:top w:val="single" w:sz="4" w:space="0" w:color="auto"/>
              <w:left w:val="single" w:sz="4" w:space="0" w:color="auto"/>
              <w:bottom w:val="single" w:sz="4" w:space="0" w:color="auto"/>
              <w:right w:val="single" w:sz="4" w:space="0" w:color="auto"/>
            </w:tcBorders>
            <w:shd w:val="clear" w:color="auto" w:fill="76923C"/>
          </w:tcPr>
          <w:p w:rsidR="00790BCC" w:rsidRPr="00790BCC" w:rsidRDefault="00790BCC" w:rsidP="00D31F4D">
            <w:pPr>
              <w:pStyle w:val="TableHeaders"/>
            </w:pPr>
            <w:r w:rsidRPr="00790BCC">
              <w:t>Additional vocabulary to support English Language Learners (to provide directly)</w:t>
            </w:r>
          </w:p>
        </w:tc>
      </w:tr>
      <w:tr w:rsidR="00790BCC" w:rsidRPr="00790BCC">
        <w:tc>
          <w:tcPr>
            <w:tcW w:w="9360" w:type="dxa"/>
            <w:tcBorders>
              <w:top w:val="single" w:sz="4" w:space="0" w:color="auto"/>
              <w:left w:val="single" w:sz="4" w:space="0" w:color="auto"/>
              <w:bottom w:val="single" w:sz="4" w:space="0" w:color="auto"/>
              <w:right w:val="single" w:sz="4" w:space="0" w:color="auto"/>
            </w:tcBorders>
          </w:tcPr>
          <w:p w:rsidR="00790BCC" w:rsidRPr="00790BCC" w:rsidRDefault="00CC3868" w:rsidP="00D31F4D">
            <w:pPr>
              <w:pStyle w:val="BulletedList"/>
            </w:pPr>
            <w:r>
              <w:t>None</w:t>
            </w:r>
            <w:r w:rsidR="00480D66">
              <w:t>.</w:t>
            </w:r>
            <w:r>
              <w:t>*</w:t>
            </w:r>
          </w:p>
        </w:tc>
      </w:tr>
    </w:tbl>
    <w:p w:rsidR="00CC3868" w:rsidRPr="00611A6A" w:rsidRDefault="00CC3868" w:rsidP="00CC3868">
      <w:pPr>
        <w:rPr>
          <w:sz w:val="18"/>
        </w:rPr>
      </w:pPr>
      <w:r w:rsidRPr="00611A6A">
        <w:rPr>
          <w:sz w:val="18"/>
        </w:rPr>
        <w:t>*Because this is not a close reading lesson, there is no specified vocabulary. However, in the process of returning to the text, students may uncover unfamiliar words. Teachers can guide students to make meaning of these words by following the protocols de</w:t>
      </w:r>
      <w:r w:rsidR="002F7075">
        <w:rPr>
          <w:sz w:val="18"/>
        </w:rPr>
        <w:t>scribed in 1e</w:t>
      </w:r>
      <w:r w:rsidRPr="00611A6A">
        <w:rPr>
          <w:sz w:val="18"/>
        </w:rPr>
        <w:t xml:space="preserve"> of this document </w:t>
      </w:r>
      <w:hyperlink r:id="rId8" w:history="1">
        <w:r w:rsidRPr="00611A6A">
          <w:rPr>
            <w:rStyle w:val="Hyperlink"/>
            <w:sz w:val="18"/>
          </w:rPr>
          <w:t>http://www.engageny.org/sites/default/files/resource/attachments/9-12_ela_prefatory_material.pdf</w:t>
        </w:r>
      </w:hyperlink>
      <w:r w:rsidR="00D65CF1" w:rsidRPr="00611A6A">
        <w:rPr>
          <w:sz w:val="18"/>
        </w:rPr>
        <w:t>.</w:t>
      </w:r>
    </w:p>
    <w:p w:rsidR="00790BCC" w:rsidRPr="00790BCC" w:rsidRDefault="00790BCC" w:rsidP="00D31F4D">
      <w:pPr>
        <w:pStyle w:val="Heading1"/>
      </w:pPr>
      <w:r w:rsidRPr="00790BCC">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1705"/>
      </w:tblGrid>
      <w:tr w:rsidR="00790BCC" w:rsidRPr="00790BCC">
        <w:tc>
          <w:tcPr>
            <w:tcW w:w="7650" w:type="dxa"/>
            <w:tcBorders>
              <w:bottom w:val="single" w:sz="4" w:space="0" w:color="auto"/>
            </w:tcBorders>
            <w:shd w:val="clear" w:color="auto" w:fill="76923C"/>
          </w:tcPr>
          <w:p w:rsidR="00790BCC" w:rsidRPr="00790BCC" w:rsidRDefault="00790BCC" w:rsidP="00D31F4D">
            <w:pPr>
              <w:pStyle w:val="TableHeaders"/>
            </w:pPr>
            <w:r w:rsidRPr="00790BCC">
              <w:t>Student-Facing Agenda</w:t>
            </w:r>
          </w:p>
        </w:tc>
        <w:tc>
          <w:tcPr>
            <w:tcW w:w="1705" w:type="dxa"/>
            <w:tcBorders>
              <w:bottom w:val="single" w:sz="4" w:space="0" w:color="auto"/>
            </w:tcBorders>
            <w:shd w:val="clear" w:color="auto" w:fill="76923C"/>
          </w:tcPr>
          <w:p w:rsidR="00790BCC" w:rsidRPr="00790BCC" w:rsidRDefault="00790BCC" w:rsidP="00D31F4D">
            <w:pPr>
              <w:pStyle w:val="TableHeaders"/>
            </w:pPr>
            <w:r w:rsidRPr="00790BCC">
              <w:t>% of Lesson</w:t>
            </w:r>
          </w:p>
        </w:tc>
      </w:tr>
      <w:tr w:rsidR="00790BCC" w:rsidRPr="00790BCC">
        <w:trPr>
          <w:trHeight w:val="1313"/>
        </w:trPr>
        <w:tc>
          <w:tcPr>
            <w:tcW w:w="7650" w:type="dxa"/>
            <w:tcBorders>
              <w:bottom w:val="nil"/>
            </w:tcBorders>
          </w:tcPr>
          <w:p w:rsidR="00790BCC" w:rsidRPr="00D31F4D" w:rsidRDefault="00790BCC" w:rsidP="00D31F4D">
            <w:pPr>
              <w:pStyle w:val="TableText"/>
              <w:rPr>
                <w:b/>
              </w:rPr>
            </w:pPr>
            <w:r w:rsidRPr="00D31F4D">
              <w:rPr>
                <w:b/>
              </w:rPr>
              <w:t>Standards &amp; Text:</w:t>
            </w:r>
          </w:p>
          <w:p w:rsidR="00790BCC" w:rsidRPr="00790BCC" w:rsidRDefault="00CD2E53" w:rsidP="00D31F4D">
            <w:pPr>
              <w:pStyle w:val="BulletedList"/>
            </w:pPr>
            <w:r>
              <w:t xml:space="preserve">Standards: </w:t>
            </w:r>
            <w:r w:rsidR="00A065AA">
              <w:t>RL.9-10.7</w:t>
            </w:r>
          </w:p>
          <w:p w:rsidR="00790BCC" w:rsidRPr="00790BCC" w:rsidRDefault="00CD2E53" w:rsidP="00D65CF1">
            <w:pPr>
              <w:pStyle w:val="BulletedList"/>
            </w:pPr>
            <w:r>
              <w:t xml:space="preserve">Text: </w:t>
            </w:r>
            <w:r>
              <w:rPr>
                <w:i/>
              </w:rPr>
              <w:t>Macbeth</w:t>
            </w:r>
            <w:r w:rsidR="00683776">
              <w:rPr>
                <w:i/>
              </w:rPr>
              <w:t xml:space="preserve"> </w:t>
            </w:r>
            <w:r w:rsidR="00087D4F">
              <w:t xml:space="preserve">by William Shakespeare, </w:t>
            </w:r>
            <w:r w:rsidR="00DE7A68">
              <w:t>Act</w:t>
            </w:r>
            <w:r w:rsidR="00B8723C">
              <w:t xml:space="preserve"> 1.1 and 1.</w:t>
            </w:r>
            <w:r w:rsidR="00683776">
              <w:t xml:space="preserve">3 </w:t>
            </w:r>
          </w:p>
        </w:tc>
        <w:tc>
          <w:tcPr>
            <w:tcW w:w="1705" w:type="dxa"/>
            <w:tcBorders>
              <w:bottom w:val="nil"/>
            </w:tcBorders>
          </w:tcPr>
          <w:p w:rsidR="00790BCC" w:rsidRPr="00790BCC" w:rsidRDefault="00790BCC" w:rsidP="00790BCC"/>
          <w:p w:rsidR="00790BCC" w:rsidRPr="00790BCC" w:rsidRDefault="00790BCC" w:rsidP="00790BCC">
            <w:pPr>
              <w:spacing w:after="60" w:line="240" w:lineRule="auto"/>
            </w:pPr>
          </w:p>
        </w:tc>
      </w:tr>
      <w:tr w:rsidR="00790BCC" w:rsidRPr="00790BCC">
        <w:tc>
          <w:tcPr>
            <w:tcW w:w="7650" w:type="dxa"/>
            <w:tcBorders>
              <w:top w:val="nil"/>
            </w:tcBorders>
          </w:tcPr>
          <w:p w:rsidR="00790BCC" w:rsidRPr="00D31F4D" w:rsidRDefault="00790BCC" w:rsidP="00D31F4D">
            <w:pPr>
              <w:pStyle w:val="TableText"/>
              <w:rPr>
                <w:b/>
              </w:rPr>
            </w:pPr>
            <w:r w:rsidRPr="00D31F4D">
              <w:rPr>
                <w:b/>
              </w:rPr>
              <w:t>Learning Sequence:</w:t>
            </w:r>
          </w:p>
          <w:p w:rsidR="00790BCC" w:rsidRPr="00790BCC" w:rsidRDefault="00790BCC" w:rsidP="00D31F4D">
            <w:pPr>
              <w:pStyle w:val="NumberedList"/>
            </w:pPr>
            <w:r w:rsidRPr="00790BCC">
              <w:t>Introduction of Lesson Agenda</w:t>
            </w:r>
          </w:p>
          <w:p w:rsidR="00790BCC" w:rsidRPr="00790BCC" w:rsidRDefault="00790BCC" w:rsidP="00D31F4D">
            <w:pPr>
              <w:pStyle w:val="NumberedList"/>
            </w:pPr>
            <w:r w:rsidRPr="00790BCC">
              <w:t>Homework Accountability</w:t>
            </w:r>
          </w:p>
          <w:p w:rsidR="00B0629A" w:rsidRDefault="00B0629A" w:rsidP="00CA75BF">
            <w:pPr>
              <w:pStyle w:val="NumberedList"/>
            </w:pPr>
            <w:r>
              <w:t>Interpreting Literature Visually</w:t>
            </w:r>
          </w:p>
          <w:p w:rsidR="00790BCC" w:rsidRPr="00790BCC" w:rsidRDefault="00B0629A" w:rsidP="00CA75BF">
            <w:pPr>
              <w:pStyle w:val="NumberedList"/>
            </w:pPr>
            <w:r>
              <w:t>Quick Write</w:t>
            </w:r>
          </w:p>
          <w:p w:rsidR="00790BCC" w:rsidRPr="00790BCC" w:rsidRDefault="00790BCC" w:rsidP="00D31F4D">
            <w:pPr>
              <w:pStyle w:val="NumberedList"/>
            </w:pPr>
            <w:r w:rsidRPr="00790BCC">
              <w:t>Closing</w:t>
            </w:r>
          </w:p>
        </w:tc>
        <w:tc>
          <w:tcPr>
            <w:tcW w:w="1705" w:type="dxa"/>
            <w:tcBorders>
              <w:top w:val="nil"/>
            </w:tcBorders>
          </w:tcPr>
          <w:p w:rsidR="00790BCC" w:rsidRPr="00790BCC" w:rsidRDefault="00790BCC" w:rsidP="00790BCC">
            <w:pPr>
              <w:spacing w:before="40" w:after="40"/>
            </w:pPr>
          </w:p>
          <w:p w:rsidR="00790BCC" w:rsidRPr="00790BCC" w:rsidRDefault="00A7704A" w:rsidP="00D31F4D">
            <w:pPr>
              <w:pStyle w:val="NumberedList"/>
              <w:numPr>
                <w:ilvl w:val="0"/>
                <w:numId w:val="13"/>
              </w:numPr>
            </w:pPr>
            <w:r>
              <w:t>10</w:t>
            </w:r>
            <w:r w:rsidR="00790BCC" w:rsidRPr="00790BCC">
              <w:t>%</w:t>
            </w:r>
          </w:p>
          <w:p w:rsidR="00790BCC" w:rsidRPr="00790BCC" w:rsidRDefault="002F7F17" w:rsidP="00D31F4D">
            <w:pPr>
              <w:pStyle w:val="NumberedList"/>
              <w:numPr>
                <w:ilvl w:val="0"/>
                <w:numId w:val="13"/>
              </w:numPr>
            </w:pPr>
            <w:r>
              <w:t>2</w:t>
            </w:r>
            <w:r w:rsidR="00C062A9">
              <w:t>0</w:t>
            </w:r>
            <w:r w:rsidR="00790BCC" w:rsidRPr="00790BCC">
              <w:t>%</w:t>
            </w:r>
          </w:p>
          <w:p w:rsidR="002A3F45" w:rsidRDefault="00610A26" w:rsidP="00CA75BF">
            <w:pPr>
              <w:pStyle w:val="NumberedList"/>
              <w:numPr>
                <w:ilvl w:val="0"/>
                <w:numId w:val="13"/>
              </w:numPr>
            </w:pPr>
            <w:r>
              <w:t>50</w:t>
            </w:r>
            <w:r w:rsidR="002A3F45">
              <w:t>%</w:t>
            </w:r>
          </w:p>
          <w:p w:rsidR="00B0629A" w:rsidRPr="00790BCC" w:rsidRDefault="00386639" w:rsidP="00CA75BF">
            <w:pPr>
              <w:pStyle w:val="NumberedList"/>
              <w:numPr>
                <w:ilvl w:val="0"/>
                <w:numId w:val="13"/>
              </w:numPr>
            </w:pPr>
            <w:r>
              <w:t>15</w:t>
            </w:r>
            <w:r w:rsidR="00B0629A">
              <w:t>%</w:t>
            </w:r>
          </w:p>
          <w:p w:rsidR="00790BCC" w:rsidRPr="00790BCC" w:rsidRDefault="00610A26" w:rsidP="00D31F4D">
            <w:pPr>
              <w:pStyle w:val="NumberedList"/>
              <w:numPr>
                <w:ilvl w:val="0"/>
                <w:numId w:val="13"/>
              </w:numPr>
            </w:pPr>
            <w:r>
              <w:t>5</w:t>
            </w:r>
            <w:r w:rsidR="00790BCC" w:rsidRPr="00790BCC">
              <w:t>%</w:t>
            </w:r>
          </w:p>
        </w:tc>
      </w:tr>
    </w:tbl>
    <w:p w:rsidR="00790BCC" w:rsidRPr="00790BCC" w:rsidRDefault="00790BCC" w:rsidP="00D31F4D">
      <w:pPr>
        <w:pStyle w:val="Heading1"/>
      </w:pPr>
      <w:r w:rsidRPr="00790BCC">
        <w:t>Materials</w:t>
      </w:r>
    </w:p>
    <w:p w:rsidR="0000473A" w:rsidRDefault="0000473A" w:rsidP="0000473A">
      <w:pPr>
        <w:pStyle w:val="BulletedList"/>
      </w:pPr>
      <w:r>
        <w:t>Student copies of the 10.4 Common Core Learning Standards Tool (refer to 10.4.1 Lesson 1)</w:t>
      </w:r>
    </w:p>
    <w:p w:rsidR="00A065AA" w:rsidRDefault="00A065AA" w:rsidP="00D31F4D">
      <w:pPr>
        <w:pStyle w:val="BulletedList"/>
      </w:pPr>
      <w:r>
        <w:t>Copy of Jo</w:t>
      </w:r>
      <w:r w:rsidR="00D65CF1">
        <w:t>seph Anton Koch’s “Macbeth and t</w:t>
      </w:r>
      <w:r>
        <w:t>he Witches” to be projected for class consideration</w:t>
      </w:r>
    </w:p>
    <w:p w:rsidR="00D55987" w:rsidRDefault="008223E2" w:rsidP="00D31F4D">
      <w:pPr>
        <w:pStyle w:val="BulletedList"/>
      </w:pPr>
      <w:r>
        <w:t>Copies</w:t>
      </w:r>
      <w:r w:rsidR="00D55987">
        <w:t xml:space="preserve"> of Jose</w:t>
      </w:r>
      <w:r w:rsidR="00CE61DD">
        <w:t>p</w:t>
      </w:r>
      <w:r w:rsidR="00D65CF1">
        <w:t>h Anton Koch’s “Macbeth and t</w:t>
      </w:r>
      <w:r w:rsidR="00D55987">
        <w:t>he Witches” for use in small groups</w:t>
      </w:r>
    </w:p>
    <w:p w:rsidR="00812C72" w:rsidRDefault="008223E2" w:rsidP="00D31F4D">
      <w:pPr>
        <w:pStyle w:val="BulletedList"/>
      </w:pPr>
      <w:r>
        <w:t>C</w:t>
      </w:r>
      <w:r w:rsidR="00812C72">
        <w:t xml:space="preserve">opies of the Stylistic Choices Tool </w:t>
      </w:r>
      <w:r>
        <w:t>for each student</w:t>
      </w:r>
    </w:p>
    <w:p w:rsidR="0000473A" w:rsidRDefault="008223E2" w:rsidP="00D31F4D">
      <w:pPr>
        <w:pStyle w:val="BulletedList"/>
      </w:pPr>
      <w:r>
        <w:lastRenderedPageBreak/>
        <w:t xml:space="preserve">Copies </w:t>
      </w:r>
      <w:r w:rsidR="00812C72">
        <w:t>of a picture for students to analyze (e.g</w:t>
      </w:r>
      <w:r w:rsidR="00BD0A25">
        <w:t>.</w:t>
      </w:r>
      <w:r w:rsidR="00812C72">
        <w:t>, Henry Fuseli’s “The Three Witches”</w:t>
      </w:r>
      <w:r w:rsidR="00D55987">
        <w:t>)</w:t>
      </w:r>
      <w:r w:rsidR="00812C72">
        <w:t xml:space="preserve"> or </w:t>
      </w:r>
      <w:r w:rsidR="00A065AA">
        <w:t>one copy to be projected for class consideration</w:t>
      </w:r>
    </w:p>
    <w:p w:rsidR="0039126C" w:rsidRPr="00790BCC" w:rsidRDefault="0000473A" w:rsidP="0000473A">
      <w:pPr>
        <w:pStyle w:val="BulletedList"/>
      </w:pPr>
      <w:r>
        <w:t>Student copies of the Short Response Rubric and Checklist (refer to 10.4.1 Lesson 1)</w:t>
      </w:r>
    </w:p>
    <w:p w:rsidR="00790BCC" w:rsidRDefault="00790BCC" w:rsidP="00D31F4D">
      <w:pPr>
        <w:pStyle w:val="Heading1"/>
      </w:pPr>
      <w:r w:rsidRPr="00790BCC">
        <w:t>Learning Sequence</w:t>
      </w:r>
    </w:p>
    <w:tbl>
      <w:tblPr>
        <w:tblStyle w:val="TableGrid1"/>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8466"/>
      </w:tblGrid>
      <w:tr w:rsidR="00D31F4D" w:rsidRPr="00D31F4D">
        <w:tc>
          <w:tcPr>
            <w:tcW w:w="9360" w:type="dxa"/>
            <w:gridSpan w:val="2"/>
            <w:shd w:val="clear" w:color="auto" w:fill="76923C"/>
          </w:tcPr>
          <w:p w:rsidR="00D31F4D" w:rsidRPr="00D31F4D" w:rsidRDefault="00D31F4D" w:rsidP="009450B7">
            <w:pPr>
              <w:pStyle w:val="TableHeaders"/>
            </w:pPr>
            <w:r w:rsidRPr="009450B7">
              <w:t>How to Use the Learning Sequence</w:t>
            </w:r>
          </w:p>
        </w:tc>
      </w:tr>
      <w:tr w:rsidR="00D31F4D" w:rsidRPr="00D31F4D">
        <w:tc>
          <w:tcPr>
            <w:tcW w:w="894" w:type="dxa"/>
            <w:shd w:val="clear" w:color="auto" w:fill="76923C"/>
          </w:tcPr>
          <w:p w:rsidR="00D31F4D" w:rsidRPr="009450B7" w:rsidRDefault="00D31F4D" w:rsidP="00D31F4D">
            <w:pPr>
              <w:pStyle w:val="TableHeaders"/>
            </w:pPr>
            <w:r w:rsidRPr="009450B7">
              <w:t>Symbol</w:t>
            </w:r>
          </w:p>
        </w:tc>
        <w:tc>
          <w:tcPr>
            <w:tcW w:w="8466" w:type="dxa"/>
            <w:shd w:val="clear" w:color="auto" w:fill="76923C"/>
          </w:tcPr>
          <w:p w:rsidR="00D31F4D" w:rsidRPr="009450B7" w:rsidRDefault="00D31F4D" w:rsidP="00D31F4D">
            <w:pPr>
              <w:pStyle w:val="TableHeaders"/>
            </w:pPr>
            <w:r w:rsidRPr="009450B7">
              <w:t>Type of Text &amp; Interpretation of the Symbol</w:t>
            </w:r>
          </w:p>
        </w:tc>
      </w:tr>
      <w:tr w:rsidR="00D31F4D" w:rsidRPr="00D31F4D">
        <w:tc>
          <w:tcPr>
            <w:tcW w:w="894" w:type="dxa"/>
          </w:tcPr>
          <w:p w:rsidR="00D31F4D" w:rsidRPr="00D31F4D" w:rsidRDefault="00D31F4D" w:rsidP="00D31F4D">
            <w:pPr>
              <w:spacing w:before="20" w:after="20" w:line="240" w:lineRule="auto"/>
              <w:jc w:val="center"/>
              <w:rPr>
                <w:b/>
                <w:color w:val="4F81BD"/>
              </w:rPr>
            </w:pPr>
            <w:r w:rsidRPr="00D31F4D">
              <w:rPr>
                <w:b/>
                <w:color w:val="4F81BD"/>
              </w:rPr>
              <w:t>10%</w:t>
            </w:r>
          </w:p>
        </w:tc>
        <w:tc>
          <w:tcPr>
            <w:tcW w:w="8466" w:type="dxa"/>
          </w:tcPr>
          <w:p w:rsidR="00D31F4D" w:rsidRPr="00D31F4D" w:rsidRDefault="00D31F4D" w:rsidP="00D31F4D">
            <w:pPr>
              <w:spacing w:before="20" w:after="20" w:line="240" w:lineRule="auto"/>
              <w:rPr>
                <w:b/>
                <w:color w:val="4F81BD"/>
              </w:rPr>
            </w:pPr>
            <w:r w:rsidRPr="00D31F4D">
              <w:rPr>
                <w:b/>
                <w:color w:val="4F81BD"/>
              </w:rPr>
              <w:t>Percentage indicates the percentage of lesson time each activity should take.</w:t>
            </w:r>
          </w:p>
        </w:tc>
      </w:tr>
      <w:tr w:rsidR="00D31F4D" w:rsidRPr="00D31F4D">
        <w:tc>
          <w:tcPr>
            <w:tcW w:w="894" w:type="dxa"/>
            <w:vMerge w:val="restart"/>
            <w:vAlign w:val="center"/>
          </w:tcPr>
          <w:p w:rsidR="00D31F4D" w:rsidRPr="00D31F4D" w:rsidRDefault="00D31F4D" w:rsidP="00D31F4D">
            <w:pPr>
              <w:spacing w:before="20" w:after="20" w:line="240" w:lineRule="auto"/>
              <w:jc w:val="center"/>
              <w:rPr>
                <w:sz w:val="18"/>
              </w:rPr>
            </w:pPr>
            <w:r w:rsidRPr="00D31F4D">
              <w:rPr>
                <w:sz w:val="18"/>
              </w:rPr>
              <w:t>no symbol</w:t>
            </w:r>
          </w:p>
        </w:tc>
        <w:tc>
          <w:tcPr>
            <w:tcW w:w="8466" w:type="dxa"/>
          </w:tcPr>
          <w:p w:rsidR="00D31F4D" w:rsidRPr="00D31F4D" w:rsidRDefault="00D31F4D" w:rsidP="00D31F4D">
            <w:pPr>
              <w:spacing w:before="20" w:after="20" w:line="240" w:lineRule="auto"/>
            </w:pPr>
            <w:r w:rsidRPr="00D31F4D">
              <w:t>Plain text indicates teacher action.</w:t>
            </w:r>
          </w:p>
        </w:tc>
      </w:tr>
      <w:tr w:rsidR="00D31F4D" w:rsidRPr="00D31F4D">
        <w:tc>
          <w:tcPr>
            <w:tcW w:w="894" w:type="dxa"/>
            <w:vMerge/>
          </w:tcPr>
          <w:p w:rsidR="00D31F4D" w:rsidRPr="00D31F4D" w:rsidRDefault="00D31F4D" w:rsidP="00D31F4D">
            <w:pPr>
              <w:spacing w:before="20" w:after="20" w:line="240" w:lineRule="auto"/>
              <w:jc w:val="center"/>
              <w:rPr>
                <w:b/>
                <w:color w:val="000000"/>
              </w:rPr>
            </w:pPr>
          </w:p>
        </w:tc>
        <w:tc>
          <w:tcPr>
            <w:tcW w:w="8466" w:type="dxa"/>
          </w:tcPr>
          <w:p w:rsidR="00D31F4D" w:rsidRPr="00D31F4D" w:rsidRDefault="00D31F4D" w:rsidP="00D31F4D">
            <w:pPr>
              <w:spacing w:before="20" w:after="20" w:line="240" w:lineRule="auto"/>
              <w:rPr>
                <w:color w:val="4F81BD"/>
              </w:rPr>
            </w:pPr>
            <w:r w:rsidRPr="00D31F4D">
              <w:rPr>
                <w:b/>
              </w:rPr>
              <w:t>Bold text indicates questions for the teacher to ask students.</w:t>
            </w:r>
          </w:p>
        </w:tc>
      </w:tr>
      <w:tr w:rsidR="00D31F4D" w:rsidRPr="00D31F4D">
        <w:tc>
          <w:tcPr>
            <w:tcW w:w="894" w:type="dxa"/>
            <w:vMerge/>
          </w:tcPr>
          <w:p w:rsidR="00D31F4D" w:rsidRPr="00D31F4D" w:rsidRDefault="00D31F4D" w:rsidP="00D31F4D">
            <w:pPr>
              <w:spacing w:before="20" w:after="20" w:line="240" w:lineRule="auto"/>
              <w:jc w:val="center"/>
              <w:rPr>
                <w:b/>
                <w:color w:val="000000"/>
              </w:rPr>
            </w:pPr>
          </w:p>
        </w:tc>
        <w:tc>
          <w:tcPr>
            <w:tcW w:w="8466" w:type="dxa"/>
          </w:tcPr>
          <w:p w:rsidR="00D31F4D" w:rsidRPr="00D31F4D" w:rsidRDefault="00D31F4D" w:rsidP="00D31F4D">
            <w:pPr>
              <w:spacing w:before="20" w:after="20" w:line="240" w:lineRule="auto"/>
              <w:rPr>
                <w:i/>
              </w:rPr>
            </w:pPr>
            <w:r w:rsidRPr="00D31F4D">
              <w:rPr>
                <w:i/>
              </w:rPr>
              <w:t>Italicized text indicates a vocabulary word.</w:t>
            </w:r>
          </w:p>
        </w:tc>
      </w:tr>
      <w:tr w:rsidR="00D31F4D" w:rsidRPr="00D31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D31F4D" w:rsidRPr="00D31F4D" w:rsidRDefault="00D31F4D" w:rsidP="00D31F4D">
            <w:pPr>
              <w:spacing w:before="40" w:after="0" w:line="240" w:lineRule="auto"/>
              <w:jc w:val="center"/>
            </w:pPr>
            <w:r w:rsidRPr="00D31F4D">
              <w:sym w:font="Webdings" w:char="F034"/>
            </w:r>
          </w:p>
        </w:tc>
        <w:tc>
          <w:tcPr>
            <w:tcW w:w="8466" w:type="dxa"/>
          </w:tcPr>
          <w:p w:rsidR="00D31F4D" w:rsidRPr="00D31F4D" w:rsidRDefault="00D31F4D" w:rsidP="00D31F4D">
            <w:pPr>
              <w:spacing w:before="20" w:after="20" w:line="240" w:lineRule="auto"/>
            </w:pPr>
            <w:r w:rsidRPr="00D31F4D">
              <w:t>Indicates student action(s).</w:t>
            </w:r>
          </w:p>
        </w:tc>
      </w:tr>
      <w:tr w:rsidR="00D31F4D" w:rsidRPr="00D31F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D31F4D" w:rsidRPr="00D31F4D" w:rsidRDefault="00D31F4D" w:rsidP="00D31F4D">
            <w:pPr>
              <w:spacing w:before="80" w:after="0" w:line="240" w:lineRule="auto"/>
              <w:jc w:val="center"/>
            </w:pPr>
            <w:r w:rsidRPr="00D31F4D">
              <w:sym w:font="Webdings" w:char="F028"/>
            </w:r>
          </w:p>
        </w:tc>
        <w:tc>
          <w:tcPr>
            <w:tcW w:w="8466" w:type="dxa"/>
          </w:tcPr>
          <w:p w:rsidR="00D31F4D" w:rsidRPr="00D31F4D" w:rsidRDefault="00D31F4D" w:rsidP="00D31F4D">
            <w:pPr>
              <w:spacing w:before="20" w:after="20" w:line="240" w:lineRule="auto"/>
            </w:pPr>
            <w:r w:rsidRPr="00D31F4D">
              <w:t>Indicates possible student response(s) to teacher questions.</w:t>
            </w:r>
          </w:p>
        </w:tc>
      </w:tr>
      <w:tr w:rsidR="00D31F4D" w:rsidRPr="00D31F4D">
        <w:tc>
          <w:tcPr>
            <w:tcW w:w="894" w:type="dxa"/>
            <w:vAlign w:val="bottom"/>
          </w:tcPr>
          <w:p w:rsidR="00D31F4D" w:rsidRPr="00D31F4D" w:rsidRDefault="00D31F4D" w:rsidP="00D31F4D">
            <w:pPr>
              <w:spacing w:after="0" w:line="240" w:lineRule="auto"/>
              <w:jc w:val="center"/>
              <w:rPr>
                <w:color w:val="4F81BD"/>
              </w:rPr>
            </w:pPr>
            <w:r w:rsidRPr="00D31F4D">
              <w:rPr>
                <w:color w:val="4F81BD"/>
              </w:rPr>
              <w:sym w:font="Webdings" w:char="F069"/>
            </w:r>
          </w:p>
        </w:tc>
        <w:tc>
          <w:tcPr>
            <w:tcW w:w="8466" w:type="dxa"/>
          </w:tcPr>
          <w:p w:rsidR="00D31F4D" w:rsidRPr="00D31F4D" w:rsidRDefault="00D31F4D" w:rsidP="00D31F4D">
            <w:pPr>
              <w:spacing w:before="20" w:after="20" w:line="240" w:lineRule="auto"/>
              <w:rPr>
                <w:color w:val="4F81BD"/>
              </w:rPr>
            </w:pPr>
            <w:r w:rsidRPr="00D31F4D">
              <w:rPr>
                <w:color w:val="4F81BD"/>
              </w:rPr>
              <w:t>Indicates instructional notes for the teacher.</w:t>
            </w:r>
          </w:p>
        </w:tc>
      </w:tr>
    </w:tbl>
    <w:p w:rsidR="00790BCC" w:rsidRPr="00790BCC" w:rsidRDefault="00790BCC" w:rsidP="00790BCC">
      <w:pPr>
        <w:pBdr>
          <w:bottom w:val="single" w:sz="12" w:space="1" w:color="9BBB59"/>
        </w:pBdr>
        <w:tabs>
          <w:tab w:val="right" w:pos="9360"/>
        </w:tabs>
        <w:spacing w:before="480" w:after="0" w:line="240" w:lineRule="auto"/>
        <w:rPr>
          <w:b/>
          <w:bCs/>
          <w:color w:val="4F81BD"/>
          <w:sz w:val="28"/>
          <w:szCs w:val="26"/>
        </w:rPr>
      </w:pPr>
      <w:r w:rsidRPr="00790BCC">
        <w:rPr>
          <w:b/>
          <w:bCs/>
          <w:color w:val="4F81BD"/>
          <w:sz w:val="28"/>
          <w:szCs w:val="26"/>
        </w:rPr>
        <w:t>Activity 1: Introduction of Lesson Agenda</w:t>
      </w:r>
      <w:r w:rsidRPr="00790BCC">
        <w:rPr>
          <w:b/>
          <w:bCs/>
          <w:color w:val="4F81BD"/>
          <w:sz w:val="28"/>
          <w:szCs w:val="26"/>
        </w:rPr>
        <w:tab/>
      </w:r>
      <w:r w:rsidR="00A7704A">
        <w:rPr>
          <w:b/>
          <w:bCs/>
          <w:color w:val="4F81BD"/>
          <w:sz w:val="28"/>
          <w:szCs w:val="26"/>
        </w:rPr>
        <w:t>10</w:t>
      </w:r>
      <w:r w:rsidRPr="00790BCC">
        <w:rPr>
          <w:b/>
          <w:bCs/>
          <w:color w:val="4F81BD"/>
          <w:sz w:val="28"/>
          <w:szCs w:val="26"/>
        </w:rPr>
        <w:t>%</w:t>
      </w:r>
    </w:p>
    <w:p w:rsidR="00FD4EFA" w:rsidRDefault="00292650" w:rsidP="00FD4EFA">
      <w:pPr>
        <w:pStyle w:val="TA"/>
      </w:pPr>
      <w:r>
        <w:t xml:space="preserve">Begin by reviewing the agenda and the assessed standard for this lesson: </w:t>
      </w:r>
      <w:r w:rsidR="00A065AA">
        <w:t>RL.9-10.7</w:t>
      </w:r>
      <w:r>
        <w:t xml:space="preserve">. In this lesson, students </w:t>
      </w:r>
      <w:r w:rsidR="00D769DB">
        <w:t>discuss</w:t>
      </w:r>
      <w:r w:rsidR="00A065AA">
        <w:t xml:space="preserve"> how Shakespeare’s use of the </w:t>
      </w:r>
      <w:r w:rsidR="008223E2">
        <w:t>Witches</w:t>
      </w:r>
      <w:r w:rsidR="00A065AA">
        <w:t xml:space="preserve"> in Act 1 develops characters, plot</w:t>
      </w:r>
      <w:r w:rsidR="004D52E9">
        <w:t>,</w:t>
      </w:r>
      <w:r w:rsidR="00A065AA">
        <w:t xml:space="preserve"> and central ideas. Students also analyze Joseph Anton </w:t>
      </w:r>
      <w:r w:rsidR="00D65CF1">
        <w:t>Koch’s painting, “Macbeth and t</w:t>
      </w:r>
      <w:r w:rsidR="00A065AA">
        <w:t>he Witches</w:t>
      </w:r>
      <w:r w:rsidR="004D52E9">
        <w:t>,</w:t>
      </w:r>
      <w:r w:rsidR="00A065AA">
        <w:t xml:space="preserve">” as a class before independently analyzing another painting, Henry Fuseli’s “The Three Witches,” in order to consider how artists can </w:t>
      </w:r>
      <w:r w:rsidR="006C1DB8">
        <w:t xml:space="preserve">interpret a literary work </w:t>
      </w:r>
      <w:r w:rsidR="00A065AA">
        <w:t>visually.</w:t>
      </w:r>
    </w:p>
    <w:p w:rsidR="00A7704A" w:rsidRDefault="00D83A48" w:rsidP="00D83A48">
      <w:pPr>
        <w:pStyle w:val="SA"/>
      </w:pPr>
      <w:r>
        <w:t xml:space="preserve">Students </w:t>
      </w:r>
      <w:r w:rsidR="008C3DF6">
        <w:t>look at the agenda.</w:t>
      </w:r>
    </w:p>
    <w:p w:rsidR="00A7704A" w:rsidRPr="00C845DB" w:rsidRDefault="00A7704A" w:rsidP="00A7704A">
      <w:pPr>
        <w:pStyle w:val="TA"/>
      </w:pPr>
      <w:r w:rsidRPr="00C845DB">
        <w:t xml:space="preserve">Distribute </w:t>
      </w:r>
      <w:r>
        <w:t xml:space="preserve">or </w:t>
      </w:r>
      <w:r w:rsidR="00CB3066">
        <w:t>ask</w:t>
      </w:r>
      <w:r>
        <w:t xml:space="preserve"> students to take out their copies of</w:t>
      </w:r>
      <w:r w:rsidRPr="00C845DB">
        <w:t xml:space="preserve"> the </w:t>
      </w:r>
      <w:r>
        <w:t>10</w:t>
      </w:r>
      <w:r w:rsidRPr="00C845DB">
        <w:t>.</w:t>
      </w:r>
      <w:r>
        <w:t>4</w:t>
      </w:r>
      <w:r w:rsidRPr="00C845DB">
        <w:t xml:space="preserve"> Common Core Learning Standards Tool. Inform students that </w:t>
      </w:r>
      <w:r>
        <w:t xml:space="preserve">in this lesson </w:t>
      </w:r>
      <w:r w:rsidRPr="00C845DB">
        <w:t xml:space="preserve">they </w:t>
      </w:r>
      <w:r>
        <w:t xml:space="preserve">begin to work with a new standard: </w:t>
      </w:r>
      <w:r w:rsidR="00463F3B">
        <w:t>R</w:t>
      </w:r>
      <w:r>
        <w:t>L.9-10.</w:t>
      </w:r>
      <w:r w:rsidR="00463F3B">
        <w:t>7</w:t>
      </w:r>
      <w:r>
        <w:t xml:space="preserve">. </w:t>
      </w:r>
      <w:r w:rsidRPr="00C845DB">
        <w:t xml:space="preserve">Ask students to individually read </w:t>
      </w:r>
      <w:r>
        <w:t>this standard</w:t>
      </w:r>
      <w:r w:rsidRPr="00C845DB">
        <w:t xml:space="preserve"> on their tools and assess their familiarity with and mastery of </w:t>
      </w:r>
      <w:r>
        <w:t>it.</w:t>
      </w:r>
    </w:p>
    <w:p w:rsidR="00A7704A" w:rsidRDefault="00A7704A" w:rsidP="00A7704A">
      <w:pPr>
        <w:pStyle w:val="SA"/>
        <w:numPr>
          <w:ilvl w:val="0"/>
          <w:numId w:val="8"/>
        </w:numPr>
      </w:pPr>
      <w:r>
        <w:t xml:space="preserve">Students read and assess their familiarity with standard </w:t>
      </w:r>
      <w:r w:rsidR="00463F3B">
        <w:t>R</w:t>
      </w:r>
      <w:r>
        <w:t>L.9-10.</w:t>
      </w:r>
      <w:r w:rsidR="00463F3B">
        <w:t>7</w:t>
      </w:r>
      <w:r>
        <w:t xml:space="preserve">. </w:t>
      </w:r>
    </w:p>
    <w:p w:rsidR="00A7704A" w:rsidRPr="00C845DB" w:rsidRDefault="00A7704A" w:rsidP="00A7704A">
      <w:pPr>
        <w:pStyle w:val="TA"/>
      </w:pPr>
      <w:r w:rsidRPr="00C845DB">
        <w:t>Instruct students to talk in pairs abo</w:t>
      </w:r>
      <w:r>
        <w:t xml:space="preserve">ut what they think the standard means. </w:t>
      </w:r>
      <w:r w:rsidRPr="00C845DB">
        <w:t>Lea</w:t>
      </w:r>
      <w:r>
        <w:t>d a brief discussion about the standard</w:t>
      </w:r>
      <w:r w:rsidRPr="00C845DB">
        <w:t xml:space="preserve">. </w:t>
      </w:r>
    </w:p>
    <w:p w:rsidR="00886F14" w:rsidRDefault="00886F14" w:rsidP="00A7704A">
      <w:pPr>
        <w:pStyle w:val="SR"/>
      </w:pPr>
      <w:r>
        <w:t xml:space="preserve">Student responses </w:t>
      </w:r>
      <w:r w:rsidR="00CB3066">
        <w:t>should</w:t>
      </w:r>
      <w:r>
        <w:t xml:space="preserve"> include:</w:t>
      </w:r>
    </w:p>
    <w:p w:rsidR="00886F14" w:rsidRDefault="00A7704A" w:rsidP="00886F14">
      <w:pPr>
        <w:pStyle w:val="SASRBullet"/>
      </w:pPr>
      <w:r>
        <w:t xml:space="preserve">Analyze </w:t>
      </w:r>
      <w:r w:rsidR="00886F14">
        <w:t>an important scene in two different types of art</w:t>
      </w:r>
      <w:r w:rsidR="00716489">
        <w:t>.</w:t>
      </w:r>
    </w:p>
    <w:p w:rsidR="00886F14" w:rsidRDefault="00886F14" w:rsidP="00886F14">
      <w:pPr>
        <w:pStyle w:val="SASRBullet"/>
      </w:pPr>
      <w:r>
        <w:t>Analyze what is highlighted or left out of each representation of the scene</w:t>
      </w:r>
      <w:r w:rsidR="00716489">
        <w:t>.</w:t>
      </w:r>
    </w:p>
    <w:p w:rsidR="00790BCC" w:rsidRDefault="00790BCC" w:rsidP="007765DF">
      <w:pPr>
        <w:pStyle w:val="LearningSequenceHeader"/>
      </w:pPr>
      <w:r w:rsidRPr="00790BCC">
        <w:lastRenderedPageBreak/>
        <w:t>Activity 2: Homework Accountability</w:t>
      </w:r>
      <w:r w:rsidRPr="00790BCC">
        <w:tab/>
      </w:r>
      <w:r w:rsidR="002F7F17">
        <w:t>2</w:t>
      </w:r>
      <w:r w:rsidR="00C062A9">
        <w:t>0%</w:t>
      </w:r>
    </w:p>
    <w:p w:rsidR="007765DF" w:rsidRDefault="007765DF" w:rsidP="002F7F17">
      <w:r>
        <w:t xml:space="preserve">Instruct students to meet in pairs to </w:t>
      </w:r>
      <w:r w:rsidR="00C062A9">
        <w:t>discuss how Shakespeare uses Act 1.1 and 1.3 to develop characters, plot, and central ideas, referring to their completed</w:t>
      </w:r>
      <w:r>
        <w:t xml:space="preserve"> Act 1 Witches’ Scenes Review Tools.</w:t>
      </w:r>
    </w:p>
    <w:p w:rsidR="00C062A9" w:rsidRDefault="00C062A9" w:rsidP="002F7F17">
      <w:pPr>
        <w:pStyle w:val="SA"/>
      </w:pPr>
      <w:r>
        <w:t xml:space="preserve">Students refer to their </w:t>
      </w:r>
      <w:r w:rsidR="00CB3066">
        <w:t>Act 1 Witches’ Scenes Review T</w:t>
      </w:r>
      <w:r>
        <w:t xml:space="preserve">ools to discuss Shakespeare’s treatment of the </w:t>
      </w:r>
      <w:r w:rsidR="00CB3066">
        <w:t>W</w:t>
      </w:r>
      <w:r>
        <w:t>itches in Act 1.</w:t>
      </w:r>
    </w:p>
    <w:p w:rsidR="00C062A9" w:rsidRDefault="00C062A9" w:rsidP="002F7F17">
      <w:pPr>
        <w:pStyle w:val="SR"/>
      </w:pPr>
      <w:r>
        <w:t>See the Model Act 1 Witches’ Scenes Review Tool for possible student responses.</w:t>
      </w:r>
    </w:p>
    <w:p w:rsidR="00D45FA7" w:rsidRPr="00790BCC" w:rsidRDefault="00FC38A9" w:rsidP="006C1DB8">
      <w:pPr>
        <w:pStyle w:val="TA"/>
      </w:pPr>
      <w:r>
        <w:t xml:space="preserve">Lead a brief whole-class discussion </w:t>
      </w:r>
      <w:r w:rsidR="00FB69EC">
        <w:t>of</w:t>
      </w:r>
      <w:r>
        <w:t xml:space="preserve"> student responses.</w:t>
      </w:r>
    </w:p>
    <w:p w:rsidR="00FC38A9" w:rsidRPr="00790BCC" w:rsidRDefault="00F54D2A" w:rsidP="00FC38A9">
      <w:pPr>
        <w:pStyle w:val="LearningSequenceHeader"/>
      </w:pPr>
      <w:r>
        <w:t xml:space="preserve">Activity </w:t>
      </w:r>
      <w:r w:rsidR="00C062A9">
        <w:t>3</w:t>
      </w:r>
      <w:r>
        <w:t>: Interpreting Literature Visually</w:t>
      </w:r>
      <w:r w:rsidR="00386639">
        <w:tab/>
      </w:r>
      <w:r w:rsidR="00610A26">
        <w:t>50</w:t>
      </w:r>
      <w:r w:rsidR="00FC38A9" w:rsidRPr="00790BCC">
        <w:t>%</w:t>
      </w:r>
    </w:p>
    <w:p w:rsidR="00F54D2A" w:rsidRDefault="00B0629A" w:rsidP="006C1DB8">
      <w:pPr>
        <w:pStyle w:val="TA"/>
      </w:pPr>
      <w:r>
        <w:t>Without telling the students the name of the painting, d</w:t>
      </w:r>
      <w:r w:rsidR="00F54D2A">
        <w:t>isplay a full-co</w:t>
      </w:r>
      <w:r w:rsidR="00703D8E">
        <w:t>lor reproduction of Joseph Anton Koc</w:t>
      </w:r>
      <w:r>
        <w:t xml:space="preserve">h’s “Macbeth and </w:t>
      </w:r>
      <w:r w:rsidR="00CB3066">
        <w:t>t</w:t>
      </w:r>
      <w:r>
        <w:t>he Witches</w:t>
      </w:r>
      <w:r w:rsidR="00F54D2A">
        <w:t xml:space="preserve">” </w:t>
      </w:r>
      <w:r>
        <w:t xml:space="preserve">(or another painting of the same subject, such as </w:t>
      </w:r>
      <w:r w:rsidR="00703D8E">
        <w:t>Clarkson Frederick Stanfield’s “</w:t>
      </w:r>
      <w:r w:rsidR="00F26D33">
        <w:t>Macbeth and the Witches”</w:t>
      </w:r>
      <w:r w:rsidR="00703D8E">
        <w:t xml:space="preserve"> or Théodore Chassériau’s “Macbeth and Banquo Meeting the Witches</w:t>
      </w:r>
      <w:r>
        <w:t xml:space="preserve"> on the Heath</w:t>
      </w:r>
      <w:r w:rsidR="00703D8E">
        <w:t>”</w:t>
      </w:r>
      <w:r>
        <w:t>).</w:t>
      </w:r>
    </w:p>
    <w:p w:rsidR="00B0629A" w:rsidRDefault="00B0629A" w:rsidP="006C1DB8">
      <w:pPr>
        <w:pStyle w:val="Q"/>
      </w:pPr>
      <w:r>
        <w:t>What is depicted in this picture?</w:t>
      </w:r>
    </w:p>
    <w:p w:rsidR="00B0629A" w:rsidRDefault="00B0629A" w:rsidP="006C1DB8">
      <w:pPr>
        <w:pStyle w:val="SR"/>
      </w:pPr>
      <w:r>
        <w:t>Two men on horseback are meeting three people on a windy day near the ocean.</w:t>
      </w:r>
    </w:p>
    <w:p w:rsidR="00B0629A" w:rsidRDefault="00B0629A" w:rsidP="006C1DB8">
      <w:pPr>
        <w:pStyle w:val="TA"/>
      </w:pPr>
      <w:r>
        <w:t>Inform students that the painting is called “Macbeth and the Witches” and was painted by Joseph Anton Koch.</w:t>
      </w:r>
    </w:p>
    <w:p w:rsidR="00D30FAF" w:rsidRDefault="00D30FAF" w:rsidP="00D30FAF">
      <w:pPr>
        <w:pStyle w:val="TA"/>
      </w:pPr>
      <w:r>
        <w:t xml:space="preserve">Distribute </w:t>
      </w:r>
      <w:r w:rsidR="00FF11E1">
        <w:t xml:space="preserve">or project </w:t>
      </w:r>
      <w:r>
        <w:t>color copies of the print, as well as the Stylistic Choices Tool, to each group. Instruct students to view the painting carefully before completing the Stylistic Choices Tool in small groups.</w:t>
      </w:r>
    </w:p>
    <w:p w:rsidR="00D30FAF" w:rsidRDefault="00D30FAF" w:rsidP="00D30FAF">
      <w:pPr>
        <w:pStyle w:val="SA"/>
      </w:pPr>
      <w:r>
        <w:t>Students work together to study and discuss the picture to complete the tool.</w:t>
      </w:r>
    </w:p>
    <w:p w:rsidR="00D30FAF" w:rsidRDefault="00D30FAF" w:rsidP="00EC07C7">
      <w:pPr>
        <w:pStyle w:val="SR"/>
      </w:pPr>
      <w:r>
        <w:t xml:space="preserve">See </w:t>
      </w:r>
      <w:r w:rsidR="002956ED">
        <w:t xml:space="preserve">the </w:t>
      </w:r>
      <w:r>
        <w:t>Model Stylistic Choices Tool for possible student responses.</w:t>
      </w:r>
    </w:p>
    <w:p w:rsidR="00EC07C7" w:rsidRDefault="00EC07C7" w:rsidP="00EC07C7">
      <w:pPr>
        <w:pStyle w:val="IN"/>
      </w:pPr>
      <w:r>
        <w:t xml:space="preserve">Consider reminding students of their work with RL.9-10.7 in 9.1.3 Lesson 13, when they considered Marc Chagall’s treatment of </w:t>
      </w:r>
      <w:r>
        <w:rPr>
          <w:i/>
        </w:rPr>
        <w:t>Romeo and Juliet</w:t>
      </w:r>
      <w:r>
        <w:t>.</w:t>
      </w:r>
    </w:p>
    <w:p w:rsidR="00AF128E" w:rsidRPr="00AF128E" w:rsidRDefault="00AF128E" w:rsidP="00EC07C7">
      <w:pPr>
        <w:pStyle w:val="TA"/>
      </w:pPr>
      <w:r>
        <w:t xml:space="preserve">Lead a brief, whole-class discussion </w:t>
      </w:r>
      <w:r w:rsidR="003675DF">
        <w:t>of</w:t>
      </w:r>
      <w:r>
        <w:t xml:space="preserve"> student responses.</w:t>
      </w:r>
    </w:p>
    <w:p w:rsidR="00AF128E" w:rsidRPr="00790BCC" w:rsidRDefault="00AF128E" w:rsidP="008223E2">
      <w:pPr>
        <w:pStyle w:val="LearningSequenceHeader"/>
        <w:keepNext/>
      </w:pPr>
      <w:r>
        <w:t xml:space="preserve">Activity </w:t>
      </w:r>
      <w:r w:rsidR="00D65CF1">
        <w:t>4</w:t>
      </w:r>
      <w:r>
        <w:t>: Quick Write</w:t>
      </w:r>
      <w:r>
        <w:tab/>
        <w:t>15</w:t>
      </w:r>
      <w:r w:rsidRPr="00790BCC">
        <w:t>%</w:t>
      </w:r>
    </w:p>
    <w:p w:rsidR="007B0594" w:rsidRDefault="007B0594" w:rsidP="00EC07C7">
      <w:pPr>
        <w:pStyle w:val="TA"/>
      </w:pPr>
      <w:r>
        <w:t xml:space="preserve">Project Henry </w:t>
      </w:r>
      <w:r w:rsidR="00F26D33">
        <w:t xml:space="preserve">Fuseli’s “The Three Witches” or distribute full-color copies to each student, along with a blank copy of the Stylistic Choices Tool. Instruct students to </w:t>
      </w:r>
      <w:r w:rsidR="00D272D0">
        <w:t>respond briefly in writing to the following prompt:</w:t>
      </w:r>
    </w:p>
    <w:p w:rsidR="00F26D33" w:rsidRPr="009461C2" w:rsidRDefault="009461C2" w:rsidP="00EC07C7">
      <w:pPr>
        <w:pStyle w:val="Q"/>
      </w:pPr>
      <w:r w:rsidRPr="009461C2">
        <w:lastRenderedPageBreak/>
        <w:t xml:space="preserve">Analyze how Henry Fuseli draws on and transforms the </w:t>
      </w:r>
      <w:r w:rsidR="008223E2">
        <w:t>Witches</w:t>
      </w:r>
      <w:r w:rsidRPr="009461C2">
        <w:t xml:space="preserve"> from Shakespeare’s </w:t>
      </w:r>
      <w:r w:rsidRPr="000D3A54">
        <w:rPr>
          <w:i/>
        </w:rPr>
        <w:t>Macbeth</w:t>
      </w:r>
      <w:r w:rsidRPr="009461C2">
        <w:t>. What does Fuseli emphasize or omit in his treatment of these characters?</w:t>
      </w:r>
    </w:p>
    <w:p w:rsidR="00F26D33" w:rsidRDefault="00D272D0" w:rsidP="00EC07C7">
      <w:pPr>
        <w:pStyle w:val="TA"/>
      </w:pPr>
      <w:r>
        <w:t xml:space="preserve">Instruct students to examine the painting, </w:t>
      </w:r>
      <w:r w:rsidR="00EC07C7">
        <w:t xml:space="preserve">using the Stylistic Choices Tool as a guide, and to </w:t>
      </w:r>
      <w:r>
        <w:t xml:space="preserve">review Act 1 along with their notes and annotations. Remind students to use the Short Response </w:t>
      </w:r>
      <w:r w:rsidR="00EC07C7">
        <w:t xml:space="preserve">Rubric and Checklist </w:t>
      </w:r>
      <w:r>
        <w:t>to guide their written responses.</w:t>
      </w:r>
    </w:p>
    <w:p w:rsidR="00D272D0" w:rsidRDefault="00D272D0" w:rsidP="00EC07C7">
      <w:pPr>
        <w:pStyle w:val="SA"/>
      </w:pPr>
      <w:r>
        <w:t>Students listen and read the Quick Write prompt.</w:t>
      </w:r>
    </w:p>
    <w:p w:rsidR="00D272D0" w:rsidRDefault="00D272D0" w:rsidP="00EC07C7">
      <w:pPr>
        <w:pStyle w:val="IN"/>
      </w:pPr>
      <w:r>
        <w:t>Display the prompt for students to see, or provide the prompt in hard copy.</w:t>
      </w:r>
    </w:p>
    <w:p w:rsidR="00D272D0" w:rsidRDefault="00D272D0" w:rsidP="00EC07C7">
      <w:pPr>
        <w:pStyle w:val="TA"/>
      </w:pPr>
      <w:r>
        <w:t>Transition students to the independent Quick Write.</w:t>
      </w:r>
    </w:p>
    <w:p w:rsidR="00D272D0" w:rsidRDefault="00D272D0" w:rsidP="00EC07C7">
      <w:pPr>
        <w:pStyle w:val="SA"/>
      </w:pPr>
      <w:r>
        <w:t>Students independently answer the prompt using evidence from the text and the painting and using the Stylistic Choices Tool as a guide.</w:t>
      </w:r>
    </w:p>
    <w:p w:rsidR="00D272D0" w:rsidRDefault="00D272D0" w:rsidP="009E459F">
      <w:pPr>
        <w:pStyle w:val="SR"/>
      </w:pPr>
      <w:r>
        <w:t>See the High Performance Response at the beginning of this lesson.</w:t>
      </w:r>
    </w:p>
    <w:p w:rsidR="00790BCC" w:rsidRPr="00790BCC" w:rsidRDefault="00BA099E" w:rsidP="007017EB">
      <w:pPr>
        <w:pStyle w:val="LearningSequenceHeader"/>
      </w:pPr>
      <w:r>
        <w:t xml:space="preserve">Activity </w:t>
      </w:r>
      <w:r w:rsidR="00D65CF1">
        <w:t>5</w:t>
      </w:r>
      <w:r>
        <w:t>: Closing</w:t>
      </w:r>
      <w:r>
        <w:tab/>
      </w:r>
      <w:r w:rsidR="00610A26">
        <w:t>5</w:t>
      </w:r>
      <w:r w:rsidR="00790BCC" w:rsidRPr="00790BCC">
        <w:t>%</w:t>
      </w:r>
    </w:p>
    <w:p w:rsidR="00025379" w:rsidRDefault="007F4827" w:rsidP="00025379">
      <w:pPr>
        <w:pStyle w:val="TA"/>
      </w:pPr>
      <w:r>
        <w:t xml:space="preserve">Display and distribute the homework assignment. For homework, </w:t>
      </w:r>
      <w:r w:rsidR="00025379">
        <w:t xml:space="preserve">instruct students to conduct a brief search to find five interesting facts about </w:t>
      </w:r>
      <w:r w:rsidR="0096221D">
        <w:t xml:space="preserve">either </w:t>
      </w:r>
      <w:r w:rsidR="00025379">
        <w:t xml:space="preserve">Akira Kurosawa or samurai films to share with the class. </w:t>
      </w:r>
    </w:p>
    <w:p w:rsidR="00025379" w:rsidRDefault="0096221D" w:rsidP="00025379">
      <w:pPr>
        <w:pStyle w:val="IN"/>
      </w:pPr>
      <w:r>
        <w:t>H</w:t>
      </w:r>
      <w:r w:rsidR="00025379">
        <w:t>alf of the class should research Kurosawa and the other half should research the film genre.</w:t>
      </w:r>
    </w:p>
    <w:p w:rsidR="00790BCC" w:rsidRPr="00790BCC" w:rsidRDefault="00790BCC" w:rsidP="007017EB">
      <w:pPr>
        <w:pStyle w:val="Heading1"/>
      </w:pPr>
      <w:r w:rsidRPr="00790BCC">
        <w:t>Homework</w:t>
      </w:r>
    </w:p>
    <w:p w:rsidR="00025379" w:rsidRDefault="00025379" w:rsidP="00790BCC">
      <w:r>
        <w:t xml:space="preserve">Conduct a brief search to find five interesting facts about </w:t>
      </w:r>
      <w:r w:rsidR="0096221D">
        <w:t xml:space="preserve">either </w:t>
      </w:r>
      <w:r>
        <w:t>Akira Kurosawa or samurai films to share with the class.</w:t>
      </w:r>
    </w:p>
    <w:p w:rsidR="007318D2" w:rsidRDefault="00790BCC">
      <w:pPr>
        <w:pStyle w:val="ToolHeader"/>
      </w:pPr>
      <w:r w:rsidRPr="00790BCC">
        <w:rPr>
          <w:i/>
        </w:rPr>
        <w:br w:type="page"/>
      </w:r>
    </w:p>
    <w:p w:rsidR="00B41738" w:rsidRDefault="00B41738" w:rsidP="000B3273">
      <w:pPr>
        <w:pStyle w:val="ToolHeader"/>
        <w:sectPr w:rsidR="00B41738">
          <w:headerReference w:type="default" r:id="rId9"/>
          <w:footerReference w:type="even" r:id="rId10"/>
          <w:footerReference w:type="default" r:id="rId11"/>
          <w:pgSz w:w="12240" w:h="15840"/>
          <w:pgMar w:top="1440" w:right="1440" w:bottom="1440" w:left="1440" w:header="432" w:footer="648" w:gutter="0"/>
          <w:cols w:space="720"/>
          <w:docGrid w:linePitch="299"/>
        </w:sectPr>
      </w:pPr>
    </w:p>
    <w:p w:rsidR="002A3F45" w:rsidRDefault="002A3F45" w:rsidP="008223E2">
      <w:pPr>
        <w:pStyle w:val="ToolHeader"/>
      </w:pPr>
      <w:r>
        <w:lastRenderedPageBreak/>
        <w:t>Model Act 1 Witches’ Scenes Review Tool</w:t>
      </w:r>
    </w:p>
    <w:tbl>
      <w:tblPr>
        <w:tblStyle w:val="TableGrid"/>
        <w:tblW w:w="13158" w:type="dxa"/>
        <w:tblInd w:w="108" w:type="dxa"/>
        <w:tblLook w:val="04A0" w:firstRow="1" w:lastRow="0" w:firstColumn="1" w:lastColumn="0" w:noHBand="0" w:noVBand="1"/>
      </w:tblPr>
      <w:tblGrid>
        <w:gridCol w:w="816"/>
        <w:gridCol w:w="4692"/>
        <w:gridCol w:w="810"/>
        <w:gridCol w:w="3330"/>
        <w:gridCol w:w="720"/>
        <w:gridCol w:w="2790"/>
      </w:tblGrid>
      <w:tr w:rsidR="008223E2" w:rsidRPr="000B3273">
        <w:trPr>
          <w:trHeight w:val="557"/>
        </w:trPr>
        <w:tc>
          <w:tcPr>
            <w:tcW w:w="816" w:type="dxa"/>
            <w:shd w:val="clear" w:color="auto" w:fill="D9D9D9"/>
            <w:vAlign w:val="center"/>
          </w:tcPr>
          <w:p w:rsidR="008223E2" w:rsidRPr="000B3273" w:rsidRDefault="008223E2" w:rsidP="00025379">
            <w:pPr>
              <w:pStyle w:val="TableText"/>
              <w:rPr>
                <w:b/>
              </w:rPr>
            </w:pPr>
            <w:r w:rsidRPr="000B3273">
              <w:rPr>
                <w:b/>
              </w:rPr>
              <w:t>Name:</w:t>
            </w:r>
          </w:p>
        </w:tc>
        <w:tc>
          <w:tcPr>
            <w:tcW w:w="4692" w:type="dxa"/>
            <w:vAlign w:val="center"/>
          </w:tcPr>
          <w:p w:rsidR="008223E2" w:rsidRPr="000B3273" w:rsidRDefault="008223E2" w:rsidP="00025379">
            <w:pPr>
              <w:pStyle w:val="TableText"/>
              <w:rPr>
                <w:b/>
              </w:rPr>
            </w:pPr>
          </w:p>
        </w:tc>
        <w:tc>
          <w:tcPr>
            <w:tcW w:w="810" w:type="dxa"/>
            <w:shd w:val="clear" w:color="auto" w:fill="D9D9D9"/>
            <w:vAlign w:val="center"/>
          </w:tcPr>
          <w:p w:rsidR="008223E2" w:rsidRPr="000B3273" w:rsidRDefault="008223E2" w:rsidP="00025379">
            <w:pPr>
              <w:pStyle w:val="TableText"/>
              <w:rPr>
                <w:b/>
              </w:rPr>
            </w:pPr>
            <w:r w:rsidRPr="000B3273">
              <w:rPr>
                <w:b/>
              </w:rPr>
              <w:t>Class:</w:t>
            </w:r>
          </w:p>
        </w:tc>
        <w:tc>
          <w:tcPr>
            <w:tcW w:w="3330" w:type="dxa"/>
            <w:vAlign w:val="center"/>
          </w:tcPr>
          <w:p w:rsidR="008223E2" w:rsidRPr="000B3273" w:rsidRDefault="008223E2" w:rsidP="00025379">
            <w:pPr>
              <w:pStyle w:val="TableText"/>
              <w:rPr>
                <w:b/>
              </w:rPr>
            </w:pPr>
          </w:p>
        </w:tc>
        <w:tc>
          <w:tcPr>
            <w:tcW w:w="720" w:type="dxa"/>
            <w:shd w:val="clear" w:color="auto" w:fill="D9D9D9"/>
            <w:vAlign w:val="center"/>
          </w:tcPr>
          <w:p w:rsidR="008223E2" w:rsidRPr="000B3273" w:rsidRDefault="008223E2" w:rsidP="00025379">
            <w:pPr>
              <w:pStyle w:val="TableText"/>
              <w:rPr>
                <w:b/>
              </w:rPr>
            </w:pPr>
            <w:r w:rsidRPr="000B3273">
              <w:rPr>
                <w:b/>
              </w:rPr>
              <w:t>Date:</w:t>
            </w:r>
          </w:p>
        </w:tc>
        <w:tc>
          <w:tcPr>
            <w:tcW w:w="2790" w:type="dxa"/>
            <w:vAlign w:val="center"/>
          </w:tcPr>
          <w:p w:rsidR="008223E2" w:rsidRPr="000B3273" w:rsidRDefault="008223E2" w:rsidP="00025379">
            <w:pPr>
              <w:pStyle w:val="TableText"/>
              <w:rPr>
                <w:b/>
              </w:rPr>
            </w:pPr>
          </w:p>
        </w:tc>
      </w:tr>
    </w:tbl>
    <w:p w:rsidR="002A3F45" w:rsidRPr="00456722" w:rsidRDefault="002A3F45" w:rsidP="002A3F45">
      <w:pPr>
        <w:spacing w:after="0"/>
        <w:rPr>
          <w:sz w:val="10"/>
        </w:rPr>
      </w:pPr>
    </w:p>
    <w:tbl>
      <w:tblPr>
        <w:tblStyle w:val="TableGrid"/>
        <w:tblW w:w="13176" w:type="dxa"/>
        <w:tblInd w:w="108" w:type="dxa"/>
        <w:tblLayout w:type="fixed"/>
        <w:tblLook w:val="04A0" w:firstRow="1" w:lastRow="0" w:firstColumn="1" w:lastColumn="0" w:noHBand="0" w:noVBand="1"/>
      </w:tblPr>
      <w:tblGrid>
        <w:gridCol w:w="2718"/>
        <w:gridCol w:w="2782"/>
        <w:gridCol w:w="2690"/>
        <w:gridCol w:w="2493"/>
        <w:gridCol w:w="2493"/>
      </w:tblGrid>
      <w:tr w:rsidR="002A3F45" w:rsidRPr="00456722">
        <w:tc>
          <w:tcPr>
            <w:tcW w:w="13176" w:type="dxa"/>
            <w:gridSpan w:val="5"/>
            <w:shd w:val="clear" w:color="auto" w:fill="D9D9D9"/>
          </w:tcPr>
          <w:p w:rsidR="002A3F45" w:rsidRPr="00456722" w:rsidRDefault="007471E1" w:rsidP="002A3F45">
            <w:pPr>
              <w:pStyle w:val="ToolTableText"/>
            </w:pPr>
            <w:r w:rsidRPr="007471E1">
              <w:rPr>
                <w:b/>
              </w:rPr>
              <w:t xml:space="preserve">Directions: </w:t>
            </w:r>
            <w:r w:rsidRPr="007471E1">
              <w:t xml:space="preserve">Reread the scenes listed below and then answer Questions 1 </w:t>
            </w:r>
            <w:r w:rsidR="00114946">
              <w:t>through</w:t>
            </w:r>
            <w:r w:rsidRPr="007471E1">
              <w:t xml:space="preserve"> 4 for each scene.</w:t>
            </w:r>
          </w:p>
        </w:tc>
      </w:tr>
      <w:tr w:rsidR="002A3F45" w:rsidRPr="00456722">
        <w:tc>
          <w:tcPr>
            <w:tcW w:w="2718" w:type="dxa"/>
            <w:shd w:val="clear" w:color="auto" w:fill="D9D9D9"/>
          </w:tcPr>
          <w:p w:rsidR="002A3F45" w:rsidRPr="00456722" w:rsidRDefault="007471E1" w:rsidP="008223E2">
            <w:pPr>
              <w:pStyle w:val="ToolTableText"/>
              <w:spacing w:after="40"/>
              <w:rPr>
                <w:b/>
              </w:rPr>
            </w:pPr>
            <w:r w:rsidRPr="007471E1">
              <w:rPr>
                <w:b/>
              </w:rPr>
              <w:t>Scene</w:t>
            </w:r>
          </w:p>
        </w:tc>
        <w:tc>
          <w:tcPr>
            <w:tcW w:w="2782" w:type="dxa"/>
            <w:shd w:val="clear" w:color="auto" w:fill="D9D9D9"/>
          </w:tcPr>
          <w:p w:rsidR="002A3F45" w:rsidRPr="00456722" w:rsidRDefault="007471E1" w:rsidP="008223E2">
            <w:pPr>
              <w:pStyle w:val="ToolTableText"/>
              <w:spacing w:after="40"/>
              <w:rPr>
                <w:b/>
              </w:rPr>
            </w:pPr>
            <w:r w:rsidRPr="007471E1">
              <w:rPr>
                <w:b/>
              </w:rPr>
              <w:t xml:space="preserve">1. What information does the scene provide about the </w:t>
            </w:r>
            <w:r w:rsidR="008223E2">
              <w:rPr>
                <w:b/>
              </w:rPr>
              <w:t>Witches</w:t>
            </w:r>
            <w:r w:rsidRPr="007471E1">
              <w:rPr>
                <w:b/>
              </w:rPr>
              <w:t>? How are they described?</w:t>
            </w:r>
          </w:p>
        </w:tc>
        <w:tc>
          <w:tcPr>
            <w:tcW w:w="2690" w:type="dxa"/>
            <w:shd w:val="clear" w:color="auto" w:fill="D9D9D9"/>
          </w:tcPr>
          <w:p w:rsidR="002A3F45" w:rsidRPr="00456722" w:rsidRDefault="007471E1" w:rsidP="008223E2">
            <w:pPr>
              <w:pStyle w:val="ToolTableText"/>
              <w:spacing w:after="40"/>
              <w:rPr>
                <w:b/>
              </w:rPr>
            </w:pPr>
            <w:r w:rsidRPr="007471E1">
              <w:rPr>
                <w:b/>
              </w:rPr>
              <w:t>2. How does the scene develop other characters?</w:t>
            </w:r>
          </w:p>
        </w:tc>
        <w:tc>
          <w:tcPr>
            <w:tcW w:w="2493" w:type="dxa"/>
            <w:shd w:val="clear" w:color="auto" w:fill="D9D9D9"/>
          </w:tcPr>
          <w:p w:rsidR="002A3F45" w:rsidRPr="00456722" w:rsidRDefault="007471E1" w:rsidP="008223E2">
            <w:pPr>
              <w:pStyle w:val="ToolTableText"/>
              <w:spacing w:after="40"/>
              <w:rPr>
                <w:b/>
              </w:rPr>
            </w:pPr>
            <w:r w:rsidRPr="007471E1">
              <w:rPr>
                <w:b/>
              </w:rPr>
              <w:t>3. How does the scene develop the plot?</w:t>
            </w:r>
          </w:p>
        </w:tc>
        <w:tc>
          <w:tcPr>
            <w:tcW w:w="2493" w:type="dxa"/>
            <w:shd w:val="clear" w:color="auto" w:fill="D9D9D9"/>
          </w:tcPr>
          <w:p w:rsidR="002A3F45" w:rsidRPr="00456722" w:rsidRDefault="007471E1" w:rsidP="008223E2">
            <w:pPr>
              <w:pStyle w:val="ToolTableText"/>
              <w:spacing w:after="40"/>
              <w:rPr>
                <w:b/>
              </w:rPr>
            </w:pPr>
            <w:r w:rsidRPr="007471E1">
              <w:rPr>
                <w:b/>
              </w:rPr>
              <w:t>4. How does the scene develop central ideas?</w:t>
            </w:r>
          </w:p>
        </w:tc>
      </w:tr>
      <w:tr w:rsidR="002A3F45" w:rsidRPr="00456722">
        <w:tc>
          <w:tcPr>
            <w:tcW w:w="2718" w:type="dxa"/>
          </w:tcPr>
          <w:p w:rsidR="002A3F45" w:rsidRPr="00456722" w:rsidRDefault="00683776" w:rsidP="008223E2">
            <w:pPr>
              <w:pStyle w:val="ToolTableText"/>
              <w:spacing w:after="60"/>
              <w:rPr>
                <w:b/>
              </w:rPr>
            </w:pPr>
            <w:r>
              <w:rPr>
                <w:b/>
              </w:rPr>
              <w:t xml:space="preserve">Act </w:t>
            </w:r>
            <w:r w:rsidR="007471E1" w:rsidRPr="007471E1">
              <w:rPr>
                <w:b/>
              </w:rPr>
              <w:t>1</w:t>
            </w:r>
            <w:r w:rsidR="00B8723C">
              <w:rPr>
                <w:b/>
              </w:rPr>
              <w:t>.</w:t>
            </w:r>
            <w:r w:rsidR="007471E1" w:rsidRPr="007471E1">
              <w:rPr>
                <w:b/>
              </w:rPr>
              <w:t xml:space="preserve">1 </w:t>
            </w:r>
            <w:r w:rsidR="007471E1" w:rsidRPr="007471E1">
              <w:t>(from “When shall we three meet again?” to “Hover through the fog and filthy air</w:t>
            </w:r>
            <w:r w:rsidR="00D55987">
              <w:t>.</w:t>
            </w:r>
            <w:r w:rsidR="007471E1" w:rsidRPr="007471E1">
              <w:t>”)</w:t>
            </w:r>
          </w:p>
        </w:tc>
        <w:tc>
          <w:tcPr>
            <w:tcW w:w="2782" w:type="dxa"/>
          </w:tcPr>
          <w:p w:rsidR="002A3F45" w:rsidRPr="00456722" w:rsidRDefault="007471E1" w:rsidP="008223E2">
            <w:pPr>
              <w:pStyle w:val="ToolTableText"/>
              <w:spacing w:after="60"/>
            </w:pPr>
            <w:r w:rsidRPr="007471E1">
              <w:t>They are probably evil – The setting is spooky, with thunder and lightning.</w:t>
            </w:r>
          </w:p>
          <w:p w:rsidR="002A3F45" w:rsidRPr="00456722" w:rsidRDefault="007471E1" w:rsidP="008223E2">
            <w:pPr>
              <w:pStyle w:val="ToolTableText"/>
              <w:spacing w:after="60"/>
            </w:pPr>
            <w:r w:rsidRPr="007471E1">
              <w:t>They are supernatural: they have “familiars” – Graymalkin and Paddock. (lines 9–10)</w:t>
            </w:r>
          </w:p>
          <w:p w:rsidR="00264F4F" w:rsidRPr="00456722" w:rsidRDefault="007471E1" w:rsidP="008223E2">
            <w:pPr>
              <w:pStyle w:val="ToolTableText"/>
              <w:spacing w:after="60"/>
            </w:pPr>
            <w:r w:rsidRPr="007471E1">
              <w:t>They are ambiguous</w:t>
            </w:r>
            <w:r w:rsidR="003A12EE">
              <w:t>, saying</w:t>
            </w:r>
            <w:r w:rsidR="00BD68FC">
              <w:t>,</w:t>
            </w:r>
            <w:r w:rsidR="003A12EE">
              <w:t xml:space="preserve"> </w:t>
            </w:r>
            <w:r w:rsidRPr="007471E1">
              <w:t>“Fair is foul, and foul is fair</w:t>
            </w:r>
            <w:r w:rsidR="003A12EE">
              <w:t>.</w:t>
            </w:r>
            <w:r w:rsidRPr="007471E1">
              <w:t>” (line 1</w:t>
            </w:r>
            <w:r w:rsidR="003A12EE">
              <w:t>2</w:t>
            </w:r>
            <w:r w:rsidRPr="007471E1">
              <w:t>)</w:t>
            </w:r>
          </w:p>
        </w:tc>
        <w:tc>
          <w:tcPr>
            <w:tcW w:w="2690" w:type="dxa"/>
          </w:tcPr>
          <w:p w:rsidR="002A3F45" w:rsidRPr="00456722" w:rsidRDefault="007471E1" w:rsidP="008223E2">
            <w:pPr>
              <w:pStyle w:val="ToolTableText"/>
              <w:spacing w:after="60"/>
            </w:pPr>
            <w:r w:rsidRPr="007471E1">
              <w:t xml:space="preserve">Macbeth is first presented as </w:t>
            </w:r>
            <w:r w:rsidR="00114946">
              <w:t xml:space="preserve">a </w:t>
            </w:r>
            <w:r w:rsidRPr="007471E1">
              <w:t xml:space="preserve">figure of interest to the </w:t>
            </w:r>
            <w:r w:rsidR="008223E2">
              <w:t>Witches</w:t>
            </w:r>
            <w:r w:rsidRPr="007471E1">
              <w:t xml:space="preserve">, so he is associated with evil early on. </w:t>
            </w:r>
          </w:p>
        </w:tc>
        <w:tc>
          <w:tcPr>
            <w:tcW w:w="2493" w:type="dxa"/>
          </w:tcPr>
          <w:p w:rsidR="002A3F45" w:rsidRPr="00456722" w:rsidRDefault="007471E1" w:rsidP="008223E2">
            <w:pPr>
              <w:pStyle w:val="ToolTableText"/>
              <w:spacing w:after="60"/>
            </w:pPr>
            <w:r w:rsidRPr="007471E1">
              <w:t xml:space="preserve">This scene explains that a battle is taking place. The </w:t>
            </w:r>
            <w:r w:rsidR="008223E2">
              <w:t>Witches</w:t>
            </w:r>
            <w:r w:rsidRPr="007471E1">
              <w:t xml:space="preserve"> will meet again “When the battle’s lost and won</w:t>
            </w:r>
            <w:r w:rsidR="00114946">
              <w:t>.</w:t>
            </w:r>
            <w:r w:rsidRPr="007471E1">
              <w:t>” (line 4)</w:t>
            </w:r>
          </w:p>
        </w:tc>
        <w:tc>
          <w:tcPr>
            <w:tcW w:w="2493" w:type="dxa"/>
          </w:tcPr>
          <w:p w:rsidR="002A3F45" w:rsidRPr="00456722" w:rsidRDefault="007471E1" w:rsidP="008223E2">
            <w:pPr>
              <w:pStyle w:val="ToolTableText"/>
              <w:spacing w:after="60"/>
            </w:pPr>
            <w:r w:rsidRPr="007471E1">
              <w:t>Evil is present from the very beginning.</w:t>
            </w:r>
          </w:p>
          <w:p w:rsidR="002A3F45" w:rsidRPr="00456722" w:rsidRDefault="007471E1" w:rsidP="008223E2">
            <w:pPr>
              <w:pStyle w:val="ToolTableText"/>
              <w:spacing w:after="60"/>
            </w:pPr>
            <w:r w:rsidRPr="007471E1">
              <w:t>Ambiguity (truth vs. deception)</w:t>
            </w:r>
          </w:p>
        </w:tc>
      </w:tr>
      <w:tr w:rsidR="002A3F45" w:rsidRPr="00456722">
        <w:tc>
          <w:tcPr>
            <w:tcW w:w="2718" w:type="dxa"/>
          </w:tcPr>
          <w:p w:rsidR="002A3F45" w:rsidRPr="00456722" w:rsidRDefault="00683776" w:rsidP="008223E2">
            <w:pPr>
              <w:pStyle w:val="ToolTableText"/>
              <w:spacing w:after="60"/>
              <w:rPr>
                <w:b/>
              </w:rPr>
            </w:pPr>
            <w:r>
              <w:rPr>
                <w:b/>
              </w:rPr>
              <w:t xml:space="preserve">Act </w:t>
            </w:r>
            <w:r w:rsidR="007471E1" w:rsidRPr="007471E1">
              <w:rPr>
                <w:b/>
              </w:rPr>
              <w:t>1</w:t>
            </w:r>
            <w:r w:rsidR="00B8723C">
              <w:rPr>
                <w:b/>
              </w:rPr>
              <w:t>.</w:t>
            </w:r>
            <w:r w:rsidR="007471E1" w:rsidRPr="007471E1">
              <w:rPr>
                <w:b/>
              </w:rPr>
              <w:t>3</w:t>
            </w:r>
            <w:r>
              <w:rPr>
                <w:b/>
              </w:rPr>
              <w:t xml:space="preserve">, lines </w:t>
            </w:r>
            <w:r w:rsidR="007471E1" w:rsidRPr="007471E1">
              <w:rPr>
                <w:b/>
              </w:rPr>
              <w:t xml:space="preserve">1–81 </w:t>
            </w:r>
            <w:r w:rsidR="007471E1" w:rsidRPr="007471E1">
              <w:t>(from “Where hast thou been, sister?” to “Speak, I charge you.”)</w:t>
            </w:r>
          </w:p>
        </w:tc>
        <w:tc>
          <w:tcPr>
            <w:tcW w:w="2782" w:type="dxa"/>
          </w:tcPr>
          <w:p w:rsidR="002A3F45" w:rsidRPr="00456722" w:rsidRDefault="007471E1" w:rsidP="008223E2">
            <w:pPr>
              <w:pStyle w:val="ToolTableText"/>
              <w:spacing w:after="60"/>
            </w:pPr>
            <w:r w:rsidRPr="007471E1">
              <w:t xml:space="preserve">The </w:t>
            </w:r>
            <w:r w:rsidR="008223E2">
              <w:t>Witches</w:t>
            </w:r>
            <w:r w:rsidRPr="007471E1">
              <w:t xml:space="preserve"> are violent (one has been “killing swine” </w:t>
            </w:r>
            <w:r w:rsidR="00D65CF1">
              <w:t>(</w:t>
            </w:r>
            <w:r w:rsidRPr="007471E1">
              <w:t>line 2</w:t>
            </w:r>
            <w:r w:rsidR="00D65CF1">
              <w:t>)</w:t>
            </w:r>
            <w:r w:rsidRPr="007471E1">
              <w:t xml:space="preserve">) and spiteful (one is punishing the husband of a woman who would not give her chestnuts </w:t>
            </w:r>
            <w:r w:rsidR="00A126C4">
              <w:t>(</w:t>
            </w:r>
            <w:r w:rsidRPr="007471E1">
              <w:t>lines 4–27</w:t>
            </w:r>
            <w:r w:rsidR="003A12EE">
              <w:t>, from “A sailor’s wife had chestnuts in her lap” to “Look what I have”</w:t>
            </w:r>
            <w:r w:rsidRPr="007471E1">
              <w:t>)</w:t>
            </w:r>
            <w:r w:rsidR="00A126C4">
              <w:t>)</w:t>
            </w:r>
            <w:r w:rsidRPr="007471E1">
              <w:t>.</w:t>
            </w:r>
          </w:p>
          <w:p w:rsidR="002A3F45" w:rsidRPr="00456722" w:rsidRDefault="007471E1" w:rsidP="008223E2">
            <w:pPr>
              <w:pStyle w:val="ToolTableText"/>
              <w:spacing w:after="60"/>
            </w:pPr>
            <w:r w:rsidRPr="007471E1">
              <w:t xml:space="preserve">The </w:t>
            </w:r>
            <w:r w:rsidR="008223E2">
              <w:t>Witches</w:t>
            </w:r>
            <w:r w:rsidRPr="007471E1">
              <w:t xml:space="preserve"> have some supernatural powers (they </w:t>
            </w:r>
            <w:r w:rsidRPr="007471E1">
              <w:lastRenderedPageBreak/>
              <w:t>control the winds and can keep the sailor from sleeping), but it is limited. The First Witch says of the sailor and his ship, “Though his bark cannot be lost, Yet it shall be tempest-tossed” (lines 25–26).</w:t>
            </w:r>
          </w:p>
          <w:p w:rsidR="002A3F45" w:rsidRDefault="007471E1" w:rsidP="008223E2">
            <w:pPr>
              <w:pStyle w:val="ToolTableText"/>
              <w:spacing w:after="60"/>
            </w:pPr>
            <w:r w:rsidRPr="007471E1">
              <w:t xml:space="preserve">The </w:t>
            </w:r>
            <w:r w:rsidR="008223E2">
              <w:t>Witches</w:t>
            </w:r>
            <w:r w:rsidRPr="007471E1">
              <w:t xml:space="preserve"> can see the future: They recognize Macbeth as “Thane of Cawdor” and “king hereafter” and also know that Banquo will not be king but that his descendants will be kings.</w:t>
            </w:r>
          </w:p>
          <w:p w:rsidR="003A12EE" w:rsidRPr="00456722" w:rsidRDefault="003A12EE" w:rsidP="00D65CF1">
            <w:pPr>
              <w:pStyle w:val="ToolTableText"/>
              <w:spacing w:after="60"/>
            </w:pPr>
            <w:r w:rsidRPr="00456722">
              <w:t xml:space="preserve">Banquo describes the </w:t>
            </w:r>
            <w:r w:rsidR="008223E2">
              <w:t>Witches</w:t>
            </w:r>
            <w:r w:rsidRPr="00456722">
              <w:t xml:space="preserve"> as “withered” and “wild in their attire,” each with a “choppy finger laying / Upon her skinny lips” (</w:t>
            </w:r>
            <w:r w:rsidR="00B8723C">
              <w:t xml:space="preserve">lines </w:t>
            </w:r>
            <w:r w:rsidRPr="00456722">
              <w:t>41, 46–47). He says they “look not like th’ inhabitants o’ th’ Earth” and that they “should be women, / And yet [their] beards forbid [Banquo] to interpret / That they are so” (</w:t>
            </w:r>
            <w:r w:rsidR="00B8723C">
              <w:t xml:space="preserve">lines </w:t>
            </w:r>
            <w:r w:rsidRPr="00456722">
              <w:t>47–49).</w:t>
            </w:r>
          </w:p>
        </w:tc>
        <w:tc>
          <w:tcPr>
            <w:tcW w:w="2690" w:type="dxa"/>
          </w:tcPr>
          <w:p w:rsidR="002A3F45" w:rsidRPr="00456722" w:rsidRDefault="007471E1" w:rsidP="008223E2">
            <w:pPr>
              <w:pStyle w:val="ToolTableText"/>
              <w:spacing w:after="60"/>
            </w:pPr>
            <w:r w:rsidRPr="007471E1">
              <w:lastRenderedPageBreak/>
              <w:t xml:space="preserve">Macbeth is associated with the </w:t>
            </w:r>
            <w:r w:rsidR="008223E2">
              <w:t>Witches</w:t>
            </w:r>
            <w:r w:rsidRPr="007471E1">
              <w:t xml:space="preserve"> again when he says, “So foul and fair a day I have not seen” (line 39).</w:t>
            </w:r>
          </w:p>
          <w:p w:rsidR="002A3F45" w:rsidRPr="00456722" w:rsidRDefault="007471E1" w:rsidP="008223E2">
            <w:pPr>
              <w:pStyle w:val="ToolTableText"/>
              <w:spacing w:after="60"/>
            </w:pPr>
            <w:r w:rsidRPr="007471E1">
              <w:t xml:space="preserve">The interactions with the </w:t>
            </w:r>
            <w:r w:rsidR="008223E2">
              <w:t>Witches</w:t>
            </w:r>
            <w:r w:rsidRPr="007471E1">
              <w:t xml:space="preserve"> reveal that Macbeth might already have been thinking about how to become king. Banquo notices that he “start[s] and seem[s] to fear / Things that do sound </w:t>
            </w:r>
            <w:r w:rsidRPr="007471E1">
              <w:lastRenderedPageBreak/>
              <w:t>so fair” (lines 54–55).</w:t>
            </w:r>
          </w:p>
          <w:p w:rsidR="002A3F45" w:rsidRPr="008223E2" w:rsidRDefault="007471E1" w:rsidP="008223E2">
            <w:pPr>
              <w:pStyle w:val="ToolTableText"/>
              <w:spacing w:after="60"/>
              <w:rPr>
                <w:spacing w:val="-2"/>
              </w:rPr>
            </w:pPr>
            <w:r w:rsidRPr="008223E2">
              <w:rPr>
                <w:spacing w:val="-2"/>
              </w:rPr>
              <w:t xml:space="preserve">Banquo tells them that he “neither beg[s] nor fear[s] / [Their] favors nor [their] hate” (lines 63–64), but he is cautious of the </w:t>
            </w:r>
            <w:r w:rsidR="008223E2" w:rsidRPr="008223E2">
              <w:rPr>
                <w:spacing w:val="-2"/>
              </w:rPr>
              <w:t>Witches</w:t>
            </w:r>
            <w:r w:rsidRPr="008223E2">
              <w:rPr>
                <w:spacing w:val="-2"/>
              </w:rPr>
              <w:t>, questioning them and calling them “imperfect speakers” (line 73).</w:t>
            </w:r>
          </w:p>
          <w:p w:rsidR="002A3F45" w:rsidRPr="008223E2" w:rsidRDefault="007471E1" w:rsidP="008223E2">
            <w:pPr>
              <w:pStyle w:val="ToolTableText"/>
              <w:spacing w:after="60"/>
              <w:rPr>
                <w:spacing w:val="-2"/>
              </w:rPr>
            </w:pPr>
            <w:r w:rsidRPr="008223E2">
              <w:rPr>
                <w:spacing w:val="-2"/>
              </w:rPr>
              <w:t xml:space="preserve">When </w:t>
            </w:r>
            <w:r w:rsidR="003A12EE" w:rsidRPr="008223E2">
              <w:rPr>
                <w:spacing w:val="-2"/>
              </w:rPr>
              <w:t>Macbeth and Banquo</w:t>
            </w:r>
            <w:r w:rsidRPr="008223E2">
              <w:rPr>
                <w:spacing w:val="-2"/>
              </w:rPr>
              <w:t xml:space="preserve"> learn that Macbeth has been named Thane of Cawdor, Banquo remains suspicious of the </w:t>
            </w:r>
            <w:r w:rsidR="008223E2" w:rsidRPr="008223E2">
              <w:rPr>
                <w:spacing w:val="-2"/>
              </w:rPr>
              <w:t>Witches</w:t>
            </w:r>
            <w:r w:rsidRPr="008223E2">
              <w:rPr>
                <w:spacing w:val="-2"/>
              </w:rPr>
              <w:t>, saying, “oftentimes, to win us to our harm, / The instruments of darkness tell us truths, / Win us with honest trifles, to betray</w:t>
            </w:r>
            <w:r w:rsidR="00D75887" w:rsidRPr="008223E2">
              <w:rPr>
                <w:spacing w:val="-2"/>
              </w:rPr>
              <w:t xml:space="preserve"> </w:t>
            </w:r>
            <w:r w:rsidR="00A126C4">
              <w:rPr>
                <w:spacing w:val="-2"/>
              </w:rPr>
              <w:t>’</w:t>
            </w:r>
            <w:r w:rsidRPr="008223E2">
              <w:rPr>
                <w:spacing w:val="-2"/>
              </w:rPr>
              <w:t>s / In deepest consequence” (lines 135–138), but Macbeth ignores this caution.</w:t>
            </w:r>
          </w:p>
          <w:p w:rsidR="002A3F45" w:rsidRPr="008223E2" w:rsidRDefault="007471E1" w:rsidP="008223E2">
            <w:pPr>
              <w:pStyle w:val="ToolTableText"/>
              <w:spacing w:after="60"/>
              <w:rPr>
                <w:spacing w:val="-2"/>
              </w:rPr>
            </w:pPr>
            <w:r w:rsidRPr="008223E2">
              <w:rPr>
                <w:spacing w:val="-2"/>
              </w:rPr>
              <w:t xml:space="preserve">Macbeth recognizes that the “supernatural soliciting / Cannot be ill, cannot be good” and goes on to describe how the news has prompted him to consider a “suggestion / Whose horrid image” shatters him, yet that he can’t help thinking about it (lines 143–144, 147–148). </w:t>
            </w:r>
          </w:p>
        </w:tc>
        <w:tc>
          <w:tcPr>
            <w:tcW w:w="2493" w:type="dxa"/>
          </w:tcPr>
          <w:p w:rsidR="002A3F45" w:rsidRPr="00456722" w:rsidRDefault="003A12EE" w:rsidP="008223E2">
            <w:pPr>
              <w:pStyle w:val="ToolTableText"/>
              <w:spacing w:after="60"/>
            </w:pPr>
            <w:r>
              <w:lastRenderedPageBreak/>
              <w:t xml:space="preserve">The </w:t>
            </w:r>
            <w:r w:rsidR="008223E2">
              <w:t>Witches</w:t>
            </w:r>
            <w:r>
              <w:t xml:space="preserve"> greet Macbeth with “All hail, Macbeth! Hail to thee, Thane of Cawdor! / All hail, Macbeth, that shall be king hereafter!” (lines 52</w:t>
            </w:r>
            <w:r w:rsidR="00FF11E1">
              <w:t>–</w:t>
            </w:r>
            <w:r>
              <w:t>53) and tell Banquo, “Thou shalt get kings, though thou be none” (line 70). The prophetic words</w:t>
            </w:r>
            <w:r w:rsidR="007471E1" w:rsidRPr="007471E1">
              <w:t xml:space="preserve"> giv</w:t>
            </w:r>
            <w:r>
              <w:t>e</w:t>
            </w:r>
            <w:r w:rsidR="007471E1" w:rsidRPr="007471E1">
              <w:t xml:space="preserve"> Macbeth a clear motive to </w:t>
            </w:r>
            <w:r w:rsidR="007471E1" w:rsidRPr="007471E1">
              <w:lastRenderedPageBreak/>
              <w:t>murder both Duncan and Banquo.</w:t>
            </w:r>
          </w:p>
          <w:p w:rsidR="002A3F45" w:rsidRPr="00456722" w:rsidRDefault="007471E1" w:rsidP="008223E2">
            <w:pPr>
              <w:pStyle w:val="ToolTableText"/>
              <w:spacing w:after="60"/>
            </w:pPr>
            <w:r w:rsidRPr="007471E1">
              <w:t>We learn that Macbeth has been named Thane of Cawdor</w:t>
            </w:r>
            <w:r w:rsidR="003A12EE">
              <w:t xml:space="preserve"> when Ross announces, “He [Duncan] bade me, from him, call thee Thane of Cawdor” (line 110)</w:t>
            </w:r>
            <w:r w:rsidRPr="007471E1">
              <w:t>.</w:t>
            </w:r>
          </w:p>
          <w:p w:rsidR="002A3F45" w:rsidRPr="00456722" w:rsidRDefault="002A3F45" w:rsidP="008223E2">
            <w:pPr>
              <w:pStyle w:val="ToolTableText"/>
              <w:spacing w:after="60"/>
            </w:pPr>
          </w:p>
        </w:tc>
        <w:tc>
          <w:tcPr>
            <w:tcW w:w="2493" w:type="dxa"/>
          </w:tcPr>
          <w:p w:rsidR="002A3F45" w:rsidRPr="00456722" w:rsidRDefault="007471E1" w:rsidP="008223E2">
            <w:pPr>
              <w:pStyle w:val="ToolTableText"/>
              <w:spacing w:after="60"/>
            </w:pPr>
            <w:r w:rsidRPr="007471E1">
              <w:lastRenderedPageBreak/>
              <w:t xml:space="preserve">The idea of fate vs. agency is introduced – how much control does the sailor have? It is developed when Banquo and Macbeth learn that Macbeth has been named Thane of Cawdor: Did the </w:t>
            </w:r>
            <w:r w:rsidR="008223E2">
              <w:t>Witches</w:t>
            </w:r>
            <w:r w:rsidRPr="007471E1">
              <w:t xml:space="preserve"> cause this to happen or only know it would happen?</w:t>
            </w:r>
          </w:p>
          <w:p w:rsidR="002A3F45" w:rsidRPr="00456722" w:rsidRDefault="007471E1" w:rsidP="008223E2">
            <w:pPr>
              <w:pStyle w:val="ToolTableText"/>
              <w:spacing w:after="60"/>
            </w:pPr>
            <w:r w:rsidRPr="007471E1">
              <w:t xml:space="preserve">Truth vs. deception </w:t>
            </w:r>
            <w:r w:rsidRPr="007471E1">
              <w:lastRenderedPageBreak/>
              <w:t xml:space="preserve">continues to develop here as Banquo and Macbeth struggle to make sense of the </w:t>
            </w:r>
            <w:r w:rsidR="008223E2">
              <w:t>Witches</w:t>
            </w:r>
            <w:r w:rsidRPr="007471E1">
              <w:t>’ prophecies and Banquo recognizes that there might be an element of deceit in them.</w:t>
            </w:r>
          </w:p>
        </w:tc>
      </w:tr>
    </w:tbl>
    <w:p w:rsidR="00967F9F" w:rsidRDefault="00967F9F" w:rsidP="00703D8E">
      <w:pPr>
        <w:pStyle w:val="ToolHeader"/>
        <w:sectPr w:rsidR="00967F9F">
          <w:headerReference w:type="default" r:id="rId12"/>
          <w:footerReference w:type="default" r:id="rId13"/>
          <w:pgSz w:w="15840" w:h="12240" w:orient="landscape"/>
          <w:pgMar w:top="1440" w:right="1440" w:bottom="1440" w:left="1440" w:header="432" w:footer="648" w:gutter="0"/>
          <w:cols w:space="720"/>
          <w:docGrid w:linePitch="299"/>
        </w:sectPr>
      </w:pPr>
    </w:p>
    <w:p w:rsidR="00703D8E" w:rsidRPr="009B0F71" w:rsidRDefault="00703D8E" w:rsidP="00703D8E">
      <w:pPr>
        <w:pStyle w:val="ToolHeader"/>
      </w:pPr>
      <w:r>
        <w:lastRenderedPageBreak/>
        <w:t>Stylistic Choices Tool</w:t>
      </w:r>
    </w:p>
    <w:tbl>
      <w:tblPr>
        <w:tblStyle w:val="TableGrid"/>
        <w:tblW w:w="0" w:type="auto"/>
        <w:tblLook w:val="04A0" w:firstRow="1" w:lastRow="0" w:firstColumn="1" w:lastColumn="0" w:noHBand="0" w:noVBand="1"/>
      </w:tblPr>
      <w:tblGrid>
        <w:gridCol w:w="816"/>
        <w:gridCol w:w="2786"/>
        <w:gridCol w:w="728"/>
        <w:gridCol w:w="3045"/>
        <w:gridCol w:w="720"/>
        <w:gridCol w:w="1373"/>
      </w:tblGrid>
      <w:tr w:rsidR="00703D8E" w:rsidRPr="008227BD">
        <w:trPr>
          <w:trHeight w:val="557"/>
        </w:trPr>
        <w:tc>
          <w:tcPr>
            <w:tcW w:w="816" w:type="dxa"/>
            <w:shd w:val="clear" w:color="auto" w:fill="D9D9D9"/>
            <w:vAlign w:val="center"/>
          </w:tcPr>
          <w:p w:rsidR="007471E1" w:rsidRPr="008223E2" w:rsidRDefault="00703D8E" w:rsidP="007471E1">
            <w:pPr>
              <w:pStyle w:val="ToolTableText"/>
              <w:rPr>
                <w:b/>
              </w:rPr>
            </w:pPr>
            <w:r w:rsidRPr="008223E2">
              <w:rPr>
                <w:b/>
              </w:rPr>
              <w:t>Name:</w:t>
            </w:r>
          </w:p>
        </w:tc>
        <w:tc>
          <w:tcPr>
            <w:tcW w:w="2786" w:type="dxa"/>
            <w:vAlign w:val="center"/>
          </w:tcPr>
          <w:p w:rsidR="007471E1" w:rsidRDefault="007471E1" w:rsidP="007471E1">
            <w:pPr>
              <w:pStyle w:val="ToolTableText"/>
            </w:pPr>
          </w:p>
        </w:tc>
        <w:tc>
          <w:tcPr>
            <w:tcW w:w="728" w:type="dxa"/>
            <w:shd w:val="clear" w:color="auto" w:fill="D9D9D9"/>
            <w:vAlign w:val="center"/>
          </w:tcPr>
          <w:p w:rsidR="007471E1" w:rsidRPr="008223E2" w:rsidRDefault="00703D8E" w:rsidP="007471E1">
            <w:pPr>
              <w:pStyle w:val="ToolTableText"/>
              <w:rPr>
                <w:b/>
              </w:rPr>
            </w:pPr>
            <w:r w:rsidRPr="008223E2">
              <w:rPr>
                <w:b/>
              </w:rPr>
              <w:t>Class:</w:t>
            </w:r>
          </w:p>
        </w:tc>
        <w:tc>
          <w:tcPr>
            <w:tcW w:w="3045" w:type="dxa"/>
            <w:vAlign w:val="center"/>
          </w:tcPr>
          <w:p w:rsidR="007471E1" w:rsidRDefault="007471E1" w:rsidP="007471E1">
            <w:pPr>
              <w:pStyle w:val="ToolTableText"/>
            </w:pPr>
          </w:p>
        </w:tc>
        <w:tc>
          <w:tcPr>
            <w:tcW w:w="720" w:type="dxa"/>
            <w:shd w:val="clear" w:color="auto" w:fill="D9D9D9"/>
            <w:vAlign w:val="center"/>
          </w:tcPr>
          <w:p w:rsidR="007471E1" w:rsidRPr="008223E2" w:rsidRDefault="00703D8E" w:rsidP="007471E1">
            <w:pPr>
              <w:pStyle w:val="ToolTableText"/>
              <w:rPr>
                <w:b/>
              </w:rPr>
            </w:pPr>
            <w:r w:rsidRPr="008223E2">
              <w:rPr>
                <w:b/>
              </w:rPr>
              <w:t>Date:</w:t>
            </w:r>
          </w:p>
        </w:tc>
        <w:tc>
          <w:tcPr>
            <w:tcW w:w="1373" w:type="dxa"/>
            <w:vAlign w:val="center"/>
          </w:tcPr>
          <w:p w:rsidR="007471E1" w:rsidRDefault="007471E1" w:rsidP="007471E1">
            <w:pPr>
              <w:pStyle w:val="ToolTableText"/>
            </w:pPr>
          </w:p>
        </w:tc>
      </w:tr>
    </w:tbl>
    <w:p w:rsidR="007471E1" w:rsidRDefault="007471E1" w:rsidP="007471E1">
      <w:pPr>
        <w:pStyle w:val="ToolTableText"/>
        <w:rPr>
          <w:sz w:val="10"/>
        </w:rPr>
      </w:pPr>
    </w:p>
    <w:tbl>
      <w:tblPr>
        <w:tblStyle w:val="TableGrid"/>
        <w:tblW w:w="9468" w:type="dxa"/>
        <w:tblLayout w:type="fixed"/>
        <w:tblLook w:val="04A0" w:firstRow="1" w:lastRow="0" w:firstColumn="1" w:lastColumn="0" w:noHBand="0" w:noVBand="1"/>
      </w:tblPr>
      <w:tblGrid>
        <w:gridCol w:w="9468"/>
      </w:tblGrid>
      <w:tr w:rsidR="00967F9F" w:rsidRPr="008227BD">
        <w:tc>
          <w:tcPr>
            <w:tcW w:w="9468" w:type="dxa"/>
            <w:shd w:val="clear" w:color="auto" w:fill="D9D9D9"/>
          </w:tcPr>
          <w:p w:rsidR="00703D8E" w:rsidRPr="008227BD" w:rsidRDefault="00703D8E" w:rsidP="00C61F75">
            <w:pPr>
              <w:pStyle w:val="ToolTableText"/>
            </w:pPr>
            <w:r w:rsidRPr="008223E2">
              <w:rPr>
                <w:b/>
              </w:rPr>
              <w:t>Directions:</w:t>
            </w:r>
            <w:r w:rsidRPr="008227BD">
              <w:t xml:space="preserve"> Reread </w:t>
            </w:r>
            <w:r>
              <w:t>Act 1.3, lines 39</w:t>
            </w:r>
            <w:r w:rsidR="00C61F75">
              <w:t>–</w:t>
            </w:r>
            <w:r>
              <w:t>81, from “So foul and fair a day I have not seen” to “Speak, I charge you</w:t>
            </w:r>
            <w:r w:rsidRPr="008227BD">
              <w:t>.</w:t>
            </w:r>
            <w:r>
              <w:t>” Then examine a selected painting carefully before answering the following questions.</w:t>
            </w:r>
          </w:p>
        </w:tc>
      </w:tr>
      <w:tr w:rsidR="00967F9F" w:rsidRPr="008227BD">
        <w:tc>
          <w:tcPr>
            <w:tcW w:w="9468" w:type="dxa"/>
            <w:shd w:val="clear" w:color="auto" w:fill="auto"/>
          </w:tcPr>
          <w:p w:rsidR="00426145" w:rsidRPr="008227BD" w:rsidRDefault="00703D8E" w:rsidP="008223E2">
            <w:pPr>
              <w:pStyle w:val="ToolTableText"/>
              <w:spacing w:before="120"/>
            </w:pPr>
            <w:r w:rsidRPr="008223E2">
              <w:rPr>
                <w:b/>
              </w:rPr>
              <w:t>Name of Painting:</w:t>
            </w:r>
            <w:r w:rsidR="00426145">
              <w:t xml:space="preserve">                                                       </w:t>
            </w:r>
            <w:r w:rsidRPr="008223E2">
              <w:rPr>
                <w:b/>
              </w:rPr>
              <w:t>Artist:</w:t>
            </w:r>
          </w:p>
        </w:tc>
      </w:tr>
      <w:tr w:rsidR="00967F9F" w:rsidRPr="008227BD">
        <w:tc>
          <w:tcPr>
            <w:tcW w:w="9468" w:type="dxa"/>
            <w:shd w:val="clear" w:color="auto" w:fill="auto"/>
          </w:tcPr>
          <w:p w:rsidR="007471E1" w:rsidRDefault="001D465C" w:rsidP="007471E1">
            <w:pPr>
              <w:pStyle w:val="ToolTableText"/>
            </w:pPr>
            <w:r>
              <w:rPr>
                <w:b/>
              </w:rPr>
              <w:t>1. Who is in the painting and what do you notice about how they are presented? (</w:t>
            </w:r>
            <w:r w:rsidR="00A126C4">
              <w:rPr>
                <w:b/>
              </w:rPr>
              <w:t>E</w:t>
            </w:r>
            <w:r w:rsidR="001D01D9">
              <w:rPr>
                <w:b/>
              </w:rPr>
              <w:t xml:space="preserve">.g., </w:t>
            </w:r>
            <w:r>
              <w:rPr>
                <w:b/>
              </w:rPr>
              <w:t>Are they moving? Still?)</w:t>
            </w:r>
          </w:p>
          <w:p w:rsidR="00426145" w:rsidRDefault="00426145" w:rsidP="00441896">
            <w:pPr>
              <w:pStyle w:val="ToolTableText"/>
            </w:pPr>
          </w:p>
          <w:p w:rsidR="00651198" w:rsidRDefault="00651198" w:rsidP="00441896">
            <w:pPr>
              <w:pStyle w:val="ToolTableText"/>
            </w:pPr>
          </w:p>
          <w:p w:rsidR="00651198" w:rsidRDefault="00651198" w:rsidP="00441896">
            <w:pPr>
              <w:pStyle w:val="ToolTableText"/>
            </w:pPr>
          </w:p>
          <w:p w:rsidR="00967F9F" w:rsidRPr="008227BD" w:rsidRDefault="00967F9F" w:rsidP="00441896">
            <w:pPr>
              <w:pStyle w:val="ToolTableText"/>
            </w:pPr>
          </w:p>
        </w:tc>
      </w:tr>
      <w:tr w:rsidR="00967F9F" w:rsidRPr="008227BD">
        <w:tc>
          <w:tcPr>
            <w:tcW w:w="9468" w:type="dxa"/>
            <w:shd w:val="clear" w:color="auto" w:fill="auto"/>
          </w:tcPr>
          <w:p w:rsidR="007471E1" w:rsidRPr="00D65CF1" w:rsidRDefault="001D465C" w:rsidP="007471E1">
            <w:pPr>
              <w:pStyle w:val="ToolTableText"/>
              <w:rPr>
                <w:spacing w:val="-2"/>
              </w:rPr>
            </w:pPr>
            <w:r w:rsidRPr="00D65CF1">
              <w:rPr>
                <w:b/>
                <w:spacing w:val="-2"/>
              </w:rPr>
              <w:t>2. Where are the characters in relation to one another? What can you infer from their position</w:t>
            </w:r>
            <w:r w:rsidR="001D01D9" w:rsidRPr="00D65CF1">
              <w:rPr>
                <w:b/>
                <w:spacing w:val="-2"/>
              </w:rPr>
              <w:t>s</w:t>
            </w:r>
            <w:r w:rsidRPr="00D65CF1">
              <w:rPr>
                <w:b/>
                <w:spacing w:val="-2"/>
              </w:rPr>
              <w:t xml:space="preserve"> in the painting? </w:t>
            </w:r>
          </w:p>
          <w:p w:rsidR="007471E1" w:rsidRDefault="007471E1" w:rsidP="007471E1">
            <w:pPr>
              <w:pStyle w:val="ToolTableText"/>
            </w:pPr>
          </w:p>
          <w:p w:rsidR="00426145" w:rsidRDefault="00426145" w:rsidP="00441896">
            <w:pPr>
              <w:pStyle w:val="ToolTableText"/>
            </w:pPr>
          </w:p>
          <w:p w:rsidR="00651198" w:rsidRDefault="00651198" w:rsidP="00441896">
            <w:pPr>
              <w:pStyle w:val="ToolTableText"/>
            </w:pPr>
          </w:p>
          <w:p w:rsidR="00651198" w:rsidRDefault="00651198" w:rsidP="00441896">
            <w:pPr>
              <w:pStyle w:val="ToolTableText"/>
            </w:pPr>
          </w:p>
          <w:p w:rsidR="00967F9F" w:rsidRPr="008227BD" w:rsidRDefault="00967F9F" w:rsidP="00441896">
            <w:pPr>
              <w:pStyle w:val="ToolTableText"/>
            </w:pPr>
          </w:p>
        </w:tc>
      </w:tr>
      <w:tr w:rsidR="00967F9F" w:rsidRPr="008227BD">
        <w:tc>
          <w:tcPr>
            <w:tcW w:w="9468" w:type="dxa"/>
            <w:shd w:val="clear" w:color="auto" w:fill="auto"/>
          </w:tcPr>
          <w:p w:rsidR="007471E1" w:rsidRPr="007471E1" w:rsidRDefault="001D465C" w:rsidP="007471E1">
            <w:pPr>
              <w:pStyle w:val="ToolTableText"/>
            </w:pPr>
            <w:r>
              <w:rPr>
                <w:b/>
              </w:rPr>
              <w:t>3. Who is most important in the painting? How can you tell?</w:t>
            </w:r>
          </w:p>
          <w:p w:rsidR="007471E1" w:rsidRDefault="007471E1" w:rsidP="007471E1">
            <w:pPr>
              <w:pStyle w:val="ToolTableText"/>
              <w:rPr>
                <w:b/>
                <w:bCs/>
                <w:i/>
                <w:color w:val="7F7F7F"/>
              </w:rPr>
            </w:pPr>
          </w:p>
          <w:p w:rsidR="007471E1" w:rsidRDefault="007471E1" w:rsidP="007471E1">
            <w:pPr>
              <w:pStyle w:val="ToolTableText"/>
              <w:rPr>
                <w:b/>
                <w:bCs/>
                <w:i/>
                <w:color w:val="7F7F7F"/>
              </w:rPr>
            </w:pPr>
          </w:p>
          <w:p w:rsidR="00651198" w:rsidRDefault="00651198" w:rsidP="007471E1">
            <w:pPr>
              <w:pStyle w:val="ToolTableText"/>
              <w:rPr>
                <w:b/>
                <w:bCs/>
                <w:i/>
                <w:color w:val="7F7F7F"/>
              </w:rPr>
            </w:pPr>
          </w:p>
          <w:p w:rsidR="00651198" w:rsidRDefault="00651198" w:rsidP="007471E1">
            <w:pPr>
              <w:pStyle w:val="ToolTableText"/>
              <w:rPr>
                <w:b/>
                <w:bCs/>
                <w:i/>
                <w:color w:val="7F7F7F"/>
              </w:rPr>
            </w:pPr>
          </w:p>
          <w:p w:rsidR="00967F9F" w:rsidRPr="008227BD" w:rsidRDefault="00967F9F" w:rsidP="00441896">
            <w:pPr>
              <w:pStyle w:val="ToolTableText"/>
            </w:pPr>
          </w:p>
        </w:tc>
      </w:tr>
      <w:tr w:rsidR="00967F9F" w:rsidRPr="008227BD">
        <w:tc>
          <w:tcPr>
            <w:tcW w:w="9468" w:type="dxa"/>
            <w:shd w:val="clear" w:color="auto" w:fill="auto"/>
          </w:tcPr>
          <w:p w:rsidR="007471E1" w:rsidRPr="007471E1" w:rsidRDefault="001D465C" w:rsidP="007471E1">
            <w:pPr>
              <w:pStyle w:val="ToolTableText"/>
            </w:pPr>
            <w:r>
              <w:rPr>
                <w:b/>
              </w:rPr>
              <w:t>4. What symbols or imagery can you identify?</w:t>
            </w:r>
          </w:p>
          <w:p w:rsidR="007471E1" w:rsidRDefault="007471E1" w:rsidP="007471E1">
            <w:pPr>
              <w:pStyle w:val="ToolTableText"/>
              <w:rPr>
                <w:b/>
                <w:bCs/>
                <w:i/>
                <w:color w:val="7F7F7F"/>
              </w:rPr>
            </w:pPr>
          </w:p>
          <w:p w:rsidR="00651198" w:rsidRDefault="00651198" w:rsidP="007471E1">
            <w:pPr>
              <w:pStyle w:val="ToolTableText"/>
              <w:rPr>
                <w:b/>
                <w:bCs/>
                <w:i/>
                <w:color w:val="7F7F7F"/>
              </w:rPr>
            </w:pPr>
          </w:p>
          <w:p w:rsidR="00651198" w:rsidRDefault="00651198" w:rsidP="007471E1">
            <w:pPr>
              <w:pStyle w:val="ToolTableText"/>
              <w:rPr>
                <w:b/>
                <w:bCs/>
                <w:i/>
                <w:color w:val="7F7F7F"/>
              </w:rPr>
            </w:pPr>
          </w:p>
          <w:p w:rsidR="00426145" w:rsidRDefault="00426145" w:rsidP="00441896">
            <w:pPr>
              <w:pStyle w:val="ToolTableText"/>
            </w:pPr>
          </w:p>
          <w:p w:rsidR="00967F9F" w:rsidRPr="008227BD" w:rsidRDefault="00967F9F" w:rsidP="00441896">
            <w:pPr>
              <w:pStyle w:val="ToolTableText"/>
            </w:pPr>
          </w:p>
        </w:tc>
      </w:tr>
      <w:tr w:rsidR="00967F9F" w:rsidRPr="008227BD" w:rsidTr="00D65CF1">
        <w:trPr>
          <w:cantSplit/>
        </w:trPr>
        <w:tc>
          <w:tcPr>
            <w:tcW w:w="9468" w:type="dxa"/>
            <w:shd w:val="clear" w:color="auto" w:fill="auto"/>
          </w:tcPr>
          <w:p w:rsidR="007471E1" w:rsidRPr="007471E1" w:rsidRDefault="001D465C" w:rsidP="007471E1">
            <w:pPr>
              <w:pStyle w:val="ToolTableText"/>
            </w:pPr>
            <w:r>
              <w:rPr>
                <w:b/>
              </w:rPr>
              <w:lastRenderedPageBreak/>
              <w:t>5. What are the main colors in the picture?</w:t>
            </w:r>
          </w:p>
          <w:p w:rsidR="00426145" w:rsidRDefault="00426145" w:rsidP="00441896">
            <w:pPr>
              <w:pStyle w:val="ToolTableText"/>
            </w:pPr>
          </w:p>
          <w:p w:rsidR="00426145" w:rsidRDefault="00426145" w:rsidP="00441896">
            <w:pPr>
              <w:pStyle w:val="ToolTableText"/>
            </w:pPr>
          </w:p>
          <w:p w:rsidR="00967F9F" w:rsidRPr="008227BD" w:rsidRDefault="00967F9F" w:rsidP="00441896">
            <w:pPr>
              <w:pStyle w:val="ToolTableText"/>
            </w:pPr>
          </w:p>
        </w:tc>
      </w:tr>
      <w:tr w:rsidR="00967F9F" w:rsidRPr="008227BD">
        <w:tc>
          <w:tcPr>
            <w:tcW w:w="9468" w:type="dxa"/>
            <w:shd w:val="clear" w:color="auto" w:fill="auto"/>
          </w:tcPr>
          <w:p w:rsidR="007471E1" w:rsidRPr="007471E1" w:rsidRDefault="001D465C" w:rsidP="007471E1">
            <w:pPr>
              <w:pStyle w:val="ToolTableText"/>
            </w:pPr>
            <w:r>
              <w:rPr>
                <w:b/>
              </w:rPr>
              <w:t>6. What is the quality of the colors? (</w:t>
            </w:r>
            <w:r w:rsidR="00A126C4">
              <w:rPr>
                <w:b/>
              </w:rPr>
              <w:t>E</w:t>
            </w:r>
            <w:r w:rsidR="001D01D9">
              <w:rPr>
                <w:b/>
              </w:rPr>
              <w:t xml:space="preserve">.g., </w:t>
            </w:r>
            <w:r>
              <w:rPr>
                <w:b/>
              </w:rPr>
              <w:t>Are they bright? Dark? Muted?)</w:t>
            </w:r>
          </w:p>
          <w:p w:rsidR="007471E1" w:rsidRDefault="007471E1" w:rsidP="007471E1">
            <w:pPr>
              <w:pStyle w:val="ToolTableText"/>
            </w:pPr>
          </w:p>
          <w:p w:rsidR="007471E1" w:rsidRDefault="007471E1" w:rsidP="007471E1">
            <w:pPr>
              <w:pStyle w:val="ToolTableText"/>
            </w:pPr>
          </w:p>
          <w:p w:rsidR="00651198" w:rsidRDefault="00651198" w:rsidP="007471E1">
            <w:pPr>
              <w:pStyle w:val="ToolTableText"/>
            </w:pPr>
          </w:p>
        </w:tc>
      </w:tr>
      <w:tr w:rsidR="00967F9F" w:rsidRPr="008227BD">
        <w:tc>
          <w:tcPr>
            <w:tcW w:w="9468" w:type="dxa"/>
            <w:shd w:val="clear" w:color="auto" w:fill="auto"/>
          </w:tcPr>
          <w:p w:rsidR="007471E1" w:rsidRPr="007471E1" w:rsidRDefault="001D465C" w:rsidP="007471E1">
            <w:pPr>
              <w:pStyle w:val="ToolTableText"/>
            </w:pPr>
            <w:r>
              <w:rPr>
                <w:b/>
              </w:rPr>
              <w:t>7. What mood do the symbols, imagery</w:t>
            </w:r>
            <w:r w:rsidR="00E62B06">
              <w:rPr>
                <w:b/>
              </w:rPr>
              <w:t>,</w:t>
            </w:r>
            <w:r>
              <w:rPr>
                <w:b/>
              </w:rPr>
              <w:t xml:space="preserve"> and colors create</w:t>
            </w:r>
            <w:r w:rsidR="00A126C4">
              <w:rPr>
                <w:b/>
              </w:rPr>
              <w:t xml:space="preserve"> in the painting</w:t>
            </w:r>
            <w:r>
              <w:rPr>
                <w:b/>
              </w:rPr>
              <w:t xml:space="preserve">? </w:t>
            </w:r>
          </w:p>
          <w:p w:rsidR="007471E1" w:rsidRDefault="007471E1" w:rsidP="007471E1">
            <w:pPr>
              <w:pStyle w:val="ToolTableText"/>
              <w:rPr>
                <w:b/>
                <w:bCs/>
                <w:i/>
                <w:color w:val="7F7F7F"/>
              </w:rPr>
            </w:pPr>
          </w:p>
          <w:p w:rsidR="007471E1" w:rsidRDefault="007471E1" w:rsidP="007471E1">
            <w:pPr>
              <w:pStyle w:val="ToolTableText"/>
              <w:rPr>
                <w:b/>
                <w:bCs/>
                <w:i/>
                <w:color w:val="7F7F7F"/>
              </w:rPr>
            </w:pPr>
          </w:p>
          <w:p w:rsidR="007471E1" w:rsidRDefault="007471E1" w:rsidP="007471E1">
            <w:pPr>
              <w:pStyle w:val="ToolTableText"/>
              <w:rPr>
                <w:b/>
                <w:bCs/>
                <w:i/>
                <w:color w:val="7F7F7F"/>
              </w:rPr>
            </w:pPr>
          </w:p>
        </w:tc>
      </w:tr>
      <w:tr w:rsidR="00967F9F" w:rsidRPr="008227BD">
        <w:tc>
          <w:tcPr>
            <w:tcW w:w="9468" w:type="dxa"/>
            <w:shd w:val="clear" w:color="auto" w:fill="auto"/>
          </w:tcPr>
          <w:p w:rsidR="007471E1" w:rsidRPr="007471E1" w:rsidRDefault="001D465C" w:rsidP="007471E1">
            <w:pPr>
              <w:pStyle w:val="ToolTableText"/>
            </w:pPr>
            <w:r>
              <w:rPr>
                <w:b/>
              </w:rPr>
              <w:t xml:space="preserve">8. What, if anything, has the artist chosen not to represent and/or change in this painting? Consider what you know about the </w:t>
            </w:r>
            <w:r w:rsidR="005628B7">
              <w:rPr>
                <w:b/>
              </w:rPr>
              <w:t>characters</w:t>
            </w:r>
            <w:r w:rsidR="000A2438">
              <w:rPr>
                <w:b/>
              </w:rPr>
              <w:t xml:space="preserve"> from the play</w:t>
            </w:r>
            <w:r>
              <w:rPr>
                <w:b/>
              </w:rPr>
              <w:t>.</w:t>
            </w:r>
          </w:p>
          <w:p w:rsidR="007471E1" w:rsidRDefault="007471E1" w:rsidP="007471E1">
            <w:pPr>
              <w:pStyle w:val="ToolTableText"/>
            </w:pPr>
          </w:p>
          <w:p w:rsidR="007471E1" w:rsidRDefault="007471E1" w:rsidP="007471E1">
            <w:pPr>
              <w:pStyle w:val="ToolTableText"/>
            </w:pPr>
          </w:p>
          <w:p w:rsidR="007471E1" w:rsidRDefault="007471E1" w:rsidP="007471E1">
            <w:pPr>
              <w:pStyle w:val="ToolTableText"/>
            </w:pPr>
          </w:p>
        </w:tc>
      </w:tr>
      <w:tr w:rsidR="00967F9F" w:rsidRPr="008227BD">
        <w:tc>
          <w:tcPr>
            <w:tcW w:w="9468" w:type="dxa"/>
            <w:shd w:val="clear" w:color="auto" w:fill="auto"/>
          </w:tcPr>
          <w:p w:rsidR="007471E1" w:rsidRPr="007471E1" w:rsidRDefault="001D465C" w:rsidP="007471E1">
            <w:pPr>
              <w:pStyle w:val="ToolTableText"/>
            </w:pPr>
            <w:r>
              <w:rPr>
                <w:b/>
              </w:rPr>
              <w:t>9. How does your knowledge of what the artist chose to omit and/or change influence your understanding of the painting?</w:t>
            </w:r>
          </w:p>
          <w:p w:rsidR="007471E1" w:rsidRDefault="007471E1" w:rsidP="007471E1">
            <w:pPr>
              <w:pStyle w:val="ToolTableText"/>
            </w:pPr>
          </w:p>
          <w:p w:rsidR="007471E1" w:rsidRDefault="007471E1" w:rsidP="007471E1">
            <w:pPr>
              <w:pStyle w:val="ToolTableText"/>
            </w:pPr>
          </w:p>
          <w:p w:rsidR="007471E1" w:rsidRDefault="007471E1" w:rsidP="007471E1">
            <w:pPr>
              <w:pStyle w:val="ToolTableText"/>
            </w:pPr>
          </w:p>
        </w:tc>
      </w:tr>
    </w:tbl>
    <w:p w:rsidR="00E62B06" w:rsidRDefault="00E62B06" w:rsidP="00441896">
      <w:pPr>
        <w:pStyle w:val="ToolHeader"/>
      </w:pPr>
    </w:p>
    <w:p w:rsidR="00E62B06" w:rsidRDefault="00E62B06">
      <w:pPr>
        <w:spacing w:before="0" w:after="160" w:line="259" w:lineRule="auto"/>
        <w:rPr>
          <w:rFonts w:asciiTheme="minorHAnsi" w:hAnsiTheme="minorHAnsi"/>
          <w:b/>
          <w:bCs/>
          <w:color w:val="365F91"/>
          <w:sz w:val="32"/>
          <w:szCs w:val="28"/>
        </w:rPr>
      </w:pPr>
      <w:r>
        <w:br w:type="page"/>
      </w:r>
    </w:p>
    <w:p w:rsidR="00441896" w:rsidRPr="009B0F71" w:rsidRDefault="00441896" w:rsidP="00441896">
      <w:pPr>
        <w:pStyle w:val="ToolHeader"/>
      </w:pPr>
      <w:r>
        <w:lastRenderedPageBreak/>
        <w:t>Model Stylistic Choices Tool</w:t>
      </w:r>
    </w:p>
    <w:tbl>
      <w:tblPr>
        <w:tblStyle w:val="TableGrid"/>
        <w:tblW w:w="0" w:type="auto"/>
        <w:tblLook w:val="04A0" w:firstRow="1" w:lastRow="0" w:firstColumn="1" w:lastColumn="0" w:noHBand="0" w:noVBand="1"/>
      </w:tblPr>
      <w:tblGrid>
        <w:gridCol w:w="816"/>
        <w:gridCol w:w="2786"/>
        <w:gridCol w:w="728"/>
        <w:gridCol w:w="3045"/>
        <w:gridCol w:w="720"/>
        <w:gridCol w:w="1373"/>
      </w:tblGrid>
      <w:tr w:rsidR="00441896" w:rsidRPr="008227BD">
        <w:trPr>
          <w:trHeight w:val="557"/>
        </w:trPr>
        <w:tc>
          <w:tcPr>
            <w:tcW w:w="816" w:type="dxa"/>
            <w:shd w:val="clear" w:color="auto" w:fill="D9D9D9"/>
            <w:vAlign w:val="center"/>
          </w:tcPr>
          <w:p w:rsidR="00441896" w:rsidRPr="008223E2" w:rsidRDefault="00441896" w:rsidP="00441896">
            <w:pPr>
              <w:pStyle w:val="ToolTableText"/>
              <w:rPr>
                <w:b/>
              </w:rPr>
            </w:pPr>
            <w:r w:rsidRPr="008223E2">
              <w:rPr>
                <w:b/>
              </w:rPr>
              <w:t>Name:</w:t>
            </w:r>
          </w:p>
        </w:tc>
        <w:tc>
          <w:tcPr>
            <w:tcW w:w="2786" w:type="dxa"/>
            <w:vAlign w:val="center"/>
          </w:tcPr>
          <w:p w:rsidR="00441896" w:rsidRPr="008227BD" w:rsidRDefault="00441896" w:rsidP="00441896">
            <w:pPr>
              <w:pStyle w:val="ToolTableText"/>
            </w:pPr>
          </w:p>
        </w:tc>
        <w:tc>
          <w:tcPr>
            <w:tcW w:w="728" w:type="dxa"/>
            <w:shd w:val="clear" w:color="auto" w:fill="D9D9D9"/>
            <w:vAlign w:val="center"/>
          </w:tcPr>
          <w:p w:rsidR="00441896" w:rsidRPr="008223E2" w:rsidRDefault="00441896" w:rsidP="00441896">
            <w:pPr>
              <w:pStyle w:val="ToolTableText"/>
              <w:rPr>
                <w:b/>
              </w:rPr>
            </w:pPr>
            <w:r w:rsidRPr="008223E2">
              <w:rPr>
                <w:b/>
              </w:rPr>
              <w:t>Class:</w:t>
            </w:r>
          </w:p>
        </w:tc>
        <w:tc>
          <w:tcPr>
            <w:tcW w:w="3045" w:type="dxa"/>
            <w:vAlign w:val="center"/>
          </w:tcPr>
          <w:p w:rsidR="00441896" w:rsidRPr="008227BD" w:rsidRDefault="00441896" w:rsidP="00441896">
            <w:pPr>
              <w:pStyle w:val="ToolTableText"/>
            </w:pPr>
          </w:p>
        </w:tc>
        <w:tc>
          <w:tcPr>
            <w:tcW w:w="720" w:type="dxa"/>
            <w:shd w:val="clear" w:color="auto" w:fill="D9D9D9"/>
            <w:vAlign w:val="center"/>
          </w:tcPr>
          <w:p w:rsidR="00441896" w:rsidRPr="008223E2" w:rsidRDefault="00441896" w:rsidP="00441896">
            <w:pPr>
              <w:pStyle w:val="ToolTableText"/>
              <w:rPr>
                <w:b/>
              </w:rPr>
            </w:pPr>
            <w:r w:rsidRPr="008223E2">
              <w:rPr>
                <w:b/>
              </w:rPr>
              <w:t>Date:</w:t>
            </w:r>
          </w:p>
        </w:tc>
        <w:tc>
          <w:tcPr>
            <w:tcW w:w="1373" w:type="dxa"/>
            <w:vAlign w:val="center"/>
          </w:tcPr>
          <w:p w:rsidR="00441896" w:rsidRPr="008227BD" w:rsidRDefault="00441896" w:rsidP="00441896">
            <w:pPr>
              <w:pStyle w:val="ToolTableText"/>
            </w:pPr>
          </w:p>
        </w:tc>
      </w:tr>
    </w:tbl>
    <w:p w:rsidR="00441896" w:rsidRPr="008227BD" w:rsidRDefault="00441896" w:rsidP="00441896">
      <w:pPr>
        <w:pStyle w:val="ToolTableText"/>
        <w:rPr>
          <w:sz w:val="10"/>
        </w:rPr>
      </w:pPr>
    </w:p>
    <w:tbl>
      <w:tblPr>
        <w:tblStyle w:val="TableGrid"/>
        <w:tblW w:w="9468" w:type="dxa"/>
        <w:tblLayout w:type="fixed"/>
        <w:tblLook w:val="04A0" w:firstRow="1" w:lastRow="0" w:firstColumn="1" w:lastColumn="0" w:noHBand="0" w:noVBand="1"/>
      </w:tblPr>
      <w:tblGrid>
        <w:gridCol w:w="9468"/>
      </w:tblGrid>
      <w:tr w:rsidR="00441896" w:rsidRPr="008227BD">
        <w:tc>
          <w:tcPr>
            <w:tcW w:w="9468" w:type="dxa"/>
            <w:shd w:val="clear" w:color="auto" w:fill="D9D9D9"/>
          </w:tcPr>
          <w:p w:rsidR="00441896" w:rsidRPr="008227BD" w:rsidRDefault="00441896" w:rsidP="00441896">
            <w:pPr>
              <w:pStyle w:val="ToolTableText"/>
            </w:pPr>
            <w:r w:rsidRPr="008223E2">
              <w:rPr>
                <w:b/>
              </w:rPr>
              <w:t>Directions:</w:t>
            </w:r>
            <w:r w:rsidRPr="008227BD">
              <w:t xml:space="preserve"> Reread </w:t>
            </w:r>
            <w:r>
              <w:t>Act 1.3, lines 39-81, from “So foul and fair a day I have not seen” to “Speak, I charge you</w:t>
            </w:r>
            <w:r w:rsidRPr="008227BD">
              <w:t>.</w:t>
            </w:r>
            <w:r>
              <w:t>” Then examine a selected painting carefully before answering the following questions.</w:t>
            </w:r>
          </w:p>
        </w:tc>
      </w:tr>
      <w:tr w:rsidR="00441896" w:rsidRPr="008227BD">
        <w:tc>
          <w:tcPr>
            <w:tcW w:w="9468" w:type="dxa"/>
            <w:shd w:val="clear" w:color="auto" w:fill="auto"/>
          </w:tcPr>
          <w:p w:rsidR="00441896" w:rsidRPr="008227BD" w:rsidRDefault="00441896" w:rsidP="008223E2">
            <w:pPr>
              <w:pStyle w:val="ToolTableText"/>
              <w:spacing w:before="120"/>
            </w:pPr>
            <w:r w:rsidRPr="008223E2">
              <w:rPr>
                <w:b/>
              </w:rPr>
              <w:t>Name of Painting</w:t>
            </w:r>
            <w:r>
              <w:t xml:space="preserve">:  </w:t>
            </w:r>
            <w:r w:rsidR="00D65CF1">
              <w:t>“Macbeth and t</w:t>
            </w:r>
            <w:r w:rsidR="00F26D33">
              <w:t>he Witches”</w:t>
            </w:r>
            <w:r>
              <w:t xml:space="preserve">                                                     </w:t>
            </w:r>
            <w:r w:rsidRPr="008223E2">
              <w:rPr>
                <w:b/>
              </w:rPr>
              <w:t>Artist:</w:t>
            </w:r>
            <w:r w:rsidR="00F26D33">
              <w:t xml:space="preserve"> Joseph Anton Koch</w:t>
            </w:r>
          </w:p>
        </w:tc>
      </w:tr>
      <w:tr w:rsidR="00441896" w:rsidRPr="008227BD">
        <w:tc>
          <w:tcPr>
            <w:tcW w:w="9468" w:type="dxa"/>
            <w:shd w:val="clear" w:color="auto" w:fill="auto"/>
          </w:tcPr>
          <w:p w:rsidR="00441896" w:rsidRPr="00441896" w:rsidRDefault="001D465C" w:rsidP="00441896">
            <w:pPr>
              <w:pStyle w:val="ToolTableText"/>
              <w:rPr>
                <w:b/>
              </w:rPr>
            </w:pPr>
            <w:r>
              <w:rPr>
                <w:b/>
              </w:rPr>
              <w:t>1. Who is in the painting and what do you notice about how they are presented? (</w:t>
            </w:r>
            <w:r w:rsidR="00A126C4">
              <w:rPr>
                <w:b/>
              </w:rPr>
              <w:t xml:space="preserve">E.g., </w:t>
            </w:r>
            <w:r>
              <w:rPr>
                <w:b/>
              </w:rPr>
              <w:t>Are they moving? Still?)</w:t>
            </w:r>
          </w:p>
          <w:p w:rsidR="00441896" w:rsidRDefault="00441896" w:rsidP="00441896">
            <w:pPr>
              <w:pStyle w:val="ToolTableText"/>
            </w:pPr>
            <w:r>
              <w:t xml:space="preserve">Macbeth and Banquo are riding on horses when they meet the </w:t>
            </w:r>
            <w:r w:rsidR="00A126C4">
              <w:t>T</w:t>
            </w:r>
            <w:r>
              <w:t xml:space="preserve">hree </w:t>
            </w:r>
            <w:r w:rsidR="008223E2">
              <w:t>Witches</w:t>
            </w:r>
            <w:r>
              <w:t>.</w:t>
            </w:r>
          </w:p>
          <w:p w:rsidR="00441896" w:rsidRDefault="00441896" w:rsidP="00441896">
            <w:pPr>
              <w:pStyle w:val="ToolTableText"/>
            </w:pPr>
            <w:r>
              <w:t xml:space="preserve">The </w:t>
            </w:r>
            <w:r w:rsidR="00A126C4">
              <w:t>T</w:t>
            </w:r>
            <w:r>
              <w:t xml:space="preserve">hree </w:t>
            </w:r>
            <w:r w:rsidR="008223E2">
              <w:t>Witches</w:t>
            </w:r>
            <w:r>
              <w:t xml:space="preserve"> are standing by the water and pointing at the men.</w:t>
            </w:r>
          </w:p>
          <w:p w:rsidR="00441896" w:rsidRDefault="00441896" w:rsidP="00441896">
            <w:pPr>
              <w:pStyle w:val="ToolTableText"/>
            </w:pPr>
            <w:r>
              <w:t>Soldiers are in the background, behind Macbeth and Banquo.</w:t>
            </w:r>
          </w:p>
          <w:p w:rsidR="00441896" w:rsidRPr="008227BD" w:rsidRDefault="00441896" w:rsidP="00441896">
            <w:pPr>
              <w:pStyle w:val="ToolTableText"/>
            </w:pPr>
            <w:r>
              <w:t>Creatures are flying through the sky as though they are coming out of the clouds toward the people.</w:t>
            </w:r>
          </w:p>
        </w:tc>
      </w:tr>
      <w:tr w:rsidR="00441896" w:rsidRPr="008227BD">
        <w:tc>
          <w:tcPr>
            <w:tcW w:w="9468" w:type="dxa"/>
            <w:shd w:val="clear" w:color="auto" w:fill="auto"/>
          </w:tcPr>
          <w:p w:rsidR="00441896" w:rsidRPr="00441896" w:rsidRDefault="001D465C" w:rsidP="00441896">
            <w:pPr>
              <w:pStyle w:val="ToolTableText"/>
              <w:rPr>
                <w:b/>
              </w:rPr>
            </w:pPr>
            <w:r>
              <w:rPr>
                <w:b/>
              </w:rPr>
              <w:t xml:space="preserve">2. Where are the characters in relation to one another? What can you infer from their position in the painting? </w:t>
            </w:r>
          </w:p>
          <w:p w:rsidR="00441896" w:rsidRDefault="00441896" w:rsidP="00441896">
            <w:pPr>
              <w:pStyle w:val="ToolTableText"/>
            </w:pPr>
            <w:r>
              <w:t xml:space="preserve">The characters are on opposite sides of the painting, still quite far from one another, so the </w:t>
            </w:r>
            <w:r w:rsidR="008223E2">
              <w:t>Witches</w:t>
            </w:r>
            <w:r>
              <w:t xml:space="preserve"> are probably greeting the men but the men have not yet questioned the </w:t>
            </w:r>
            <w:r w:rsidR="008223E2">
              <w:t>Witches</w:t>
            </w:r>
            <w:r>
              <w:t>.</w:t>
            </w:r>
          </w:p>
          <w:p w:rsidR="00441896" w:rsidRDefault="00441896" w:rsidP="00441896">
            <w:pPr>
              <w:pStyle w:val="ToolTableText"/>
            </w:pPr>
            <w:r>
              <w:t xml:space="preserve">The </w:t>
            </w:r>
            <w:r w:rsidR="008223E2">
              <w:t>Witches</w:t>
            </w:r>
            <w:r>
              <w:t xml:space="preserve"> and men are far apart from one another, and the men’s horses seem to be reacting negatively to the </w:t>
            </w:r>
            <w:r w:rsidR="008223E2">
              <w:t>Witches</w:t>
            </w:r>
            <w:r>
              <w:t>, suggesting that there is a problem.</w:t>
            </w:r>
          </w:p>
          <w:p w:rsidR="00441896" w:rsidRDefault="00441896" w:rsidP="00441896">
            <w:pPr>
              <w:pStyle w:val="ToolTableText"/>
            </w:pPr>
            <w:r>
              <w:t xml:space="preserve">Soldiers are far in the background. You can infer that they would not be very helpful </w:t>
            </w:r>
            <w:r w:rsidR="00E61B24">
              <w:t>i</w:t>
            </w:r>
            <w:r>
              <w:t>n this situation.</w:t>
            </w:r>
          </w:p>
          <w:p w:rsidR="00441896" w:rsidRPr="008227BD" w:rsidRDefault="00441896" w:rsidP="00441896">
            <w:pPr>
              <w:pStyle w:val="ToolTableText"/>
            </w:pPr>
            <w:r>
              <w:t xml:space="preserve">Creatures floating in the sky above the </w:t>
            </w:r>
            <w:r w:rsidR="008223E2">
              <w:t>Witches</w:t>
            </w:r>
            <w:r>
              <w:t xml:space="preserve"> and people suggest that supernatural elements might be controlling or influencing events in some way.</w:t>
            </w:r>
          </w:p>
        </w:tc>
      </w:tr>
      <w:tr w:rsidR="00441896" w:rsidRPr="008227BD">
        <w:tc>
          <w:tcPr>
            <w:tcW w:w="9468" w:type="dxa"/>
            <w:shd w:val="clear" w:color="auto" w:fill="auto"/>
          </w:tcPr>
          <w:p w:rsidR="00441896" w:rsidRPr="00441896" w:rsidRDefault="001D465C" w:rsidP="00441896">
            <w:pPr>
              <w:pStyle w:val="ToolTableText"/>
              <w:rPr>
                <w:b/>
              </w:rPr>
            </w:pPr>
            <w:r>
              <w:rPr>
                <w:b/>
              </w:rPr>
              <w:t>3. Who is most important in the painting? How can you tell?</w:t>
            </w:r>
          </w:p>
          <w:p w:rsidR="007471E1" w:rsidRDefault="00D30FAF" w:rsidP="007471E1">
            <w:pPr>
              <w:pStyle w:val="ToolTableText"/>
            </w:pPr>
            <w:r>
              <w:t>The man in the red cape (Macbeth?) is most important because he is wearing the most colorful clothing and is placed high on a horse.</w:t>
            </w:r>
          </w:p>
          <w:p w:rsidR="00441896" w:rsidRPr="008227BD" w:rsidRDefault="00D30FAF" w:rsidP="00441896">
            <w:pPr>
              <w:pStyle w:val="ToolTableText"/>
            </w:pPr>
            <w:r>
              <w:t xml:space="preserve">The </w:t>
            </w:r>
            <w:r w:rsidR="008223E2">
              <w:t>Witches</w:t>
            </w:r>
            <w:r>
              <w:t xml:space="preserve"> are most important. The cape that is blowing over their heads makes them take up more space and the wind and waves are all blowing in the same direction that they are pointing.</w:t>
            </w:r>
          </w:p>
        </w:tc>
      </w:tr>
      <w:tr w:rsidR="00441896" w:rsidRPr="008227BD">
        <w:tc>
          <w:tcPr>
            <w:tcW w:w="9468" w:type="dxa"/>
            <w:shd w:val="clear" w:color="auto" w:fill="auto"/>
          </w:tcPr>
          <w:p w:rsidR="00441896" w:rsidRPr="00D30FAF" w:rsidRDefault="007471E1" w:rsidP="00441896">
            <w:pPr>
              <w:pStyle w:val="ToolTableText"/>
              <w:rPr>
                <w:b/>
              </w:rPr>
            </w:pPr>
            <w:r w:rsidRPr="007471E1">
              <w:rPr>
                <w:b/>
              </w:rPr>
              <w:t>4. What symbols or imagery can you identify?</w:t>
            </w:r>
          </w:p>
          <w:p w:rsidR="007471E1" w:rsidRDefault="00D30FAF" w:rsidP="007471E1">
            <w:pPr>
              <w:pStyle w:val="ToolTableText"/>
            </w:pPr>
            <w:r>
              <w:t xml:space="preserve">The weather and the sea look wild and violent, representing the events of the play. </w:t>
            </w:r>
          </w:p>
          <w:p w:rsidR="007471E1" w:rsidRDefault="00D30FAF" w:rsidP="007471E1">
            <w:pPr>
              <w:pStyle w:val="ToolTableText"/>
            </w:pPr>
            <w:r>
              <w:t xml:space="preserve">The ship in the background behind the </w:t>
            </w:r>
            <w:r w:rsidR="008223E2">
              <w:t>Witches</w:t>
            </w:r>
            <w:r>
              <w:t>, and the strong winds, sugges</w:t>
            </w:r>
            <w:r w:rsidR="00EC07C7">
              <w:t>t</w:t>
            </w:r>
            <w:r>
              <w:t xml:space="preserve"> the powers the </w:t>
            </w:r>
            <w:r w:rsidR="008223E2">
              <w:t>Witches</w:t>
            </w:r>
            <w:r>
              <w:t xml:space="preserve"> have and suggest supernatural powers. </w:t>
            </w:r>
          </w:p>
          <w:p w:rsidR="007471E1" w:rsidRDefault="00D30FAF" w:rsidP="007471E1">
            <w:pPr>
              <w:pStyle w:val="ToolTableText"/>
            </w:pPr>
            <w:r>
              <w:t>The soldiers far behind Macbeth and Banquo symbolize human powers.</w:t>
            </w:r>
          </w:p>
          <w:p w:rsidR="007471E1" w:rsidRDefault="00D30FAF" w:rsidP="007471E1">
            <w:pPr>
              <w:pStyle w:val="ToolTableText"/>
            </w:pPr>
            <w:r>
              <w:t xml:space="preserve">In the sky, a stream of </w:t>
            </w:r>
            <w:r w:rsidR="00EC07C7">
              <w:t>other supernatural creatures flies</w:t>
            </w:r>
            <w:r>
              <w:t xml:space="preserve"> in front of the mountain and the fort on top of it. </w:t>
            </w:r>
          </w:p>
          <w:p w:rsidR="007471E1" w:rsidRDefault="00D30FAF" w:rsidP="007471E1">
            <w:pPr>
              <w:pStyle w:val="ToolTableText"/>
            </w:pPr>
            <w:r>
              <w:t xml:space="preserve">The figures in the sky are holding a crown, which is important because the </w:t>
            </w:r>
            <w:r w:rsidR="008223E2">
              <w:t>Witches</w:t>
            </w:r>
            <w:r>
              <w:t xml:space="preserve"> tell Macbeth that he will be King of Scotland.</w:t>
            </w:r>
          </w:p>
          <w:p w:rsidR="00441896" w:rsidRPr="008227BD" w:rsidRDefault="00D30FAF" w:rsidP="00441896">
            <w:pPr>
              <w:pStyle w:val="ToolTableText"/>
            </w:pPr>
            <w:r>
              <w:t>The remains of the destroyed castle suggest ruin.</w:t>
            </w:r>
          </w:p>
        </w:tc>
      </w:tr>
      <w:tr w:rsidR="00441896" w:rsidRPr="008227BD">
        <w:tc>
          <w:tcPr>
            <w:tcW w:w="9468" w:type="dxa"/>
            <w:shd w:val="clear" w:color="auto" w:fill="auto"/>
          </w:tcPr>
          <w:p w:rsidR="00441896" w:rsidRPr="00D30FAF" w:rsidRDefault="007471E1" w:rsidP="00441896">
            <w:pPr>
              <w:pStyle w:val="ToolTableText"/>
              <w:rPr>
                <w:b/>
              </w:rPr>
            </w:pPr>
            <w:r w:rsidRPr="007471E1">
              <w:rPr>
                <w:b/>
              </w:rPr>
              <w:lastRenderedPageBreak/>
              <w:t>5. What are the main colors in the picture?</w:t>
            </w:r>
          </w:p>
          <w:p w:rsidR="00441896" w:rsidRPr="008227BD" w:rsidRDefault="00D30FAF" w:rsidP="00441896">
            <w:pPr>
              <w:pStyle w:val="ToolTableText"/>
            </w:pPr>
            <w:r>
              <w:t>Yellow (cream), white, black, red, and green.</w:t>
            </w:r>
          </w:p>
        </w:tc>
      </w:tr>
      <w:tr w:rsidR="00441896" w:rsidRPr="008227BD">
        <w:tc>
          <w:tcPr>
            <w:tcW w:w="9468" w:type="dxa"/>
            <w:shd w:val="clear" w:color="auto" w:fill="auto"/>
          </w:tcPr>
          <w:p w:rsidR="00441896" w:rsidRPr="00D30FAF" w:rsidRDefault="007471E1" w:rsidP="00441896">
            <w:pPr>
              <w:pStyle w:val="ToolTableText"/>
              <w:rPr>
                <w:b/>
              </w:rPr>
            </w:pPr>
            <w:r w:rsidRPr="007471E1">
              <w:rPr>
                <w:b/>
              </w:rPr>
              <w:t>6. What is the quality of the colors? (</w:t>
            </w:r>
            <w:r w:rsidR="00D65CF1">
              <w:rPr>
                <w:b/>
              </w:rPr>
              <w:t xml:space="preserve">E.g., </w:t>
            </w:r>
            <w:r w:rsidRPr="007471E1">
              <w:rPr>
                <w:b/>
              </w:rPr>
              <w:t>Are they bright? Dark? Muted?)</w:t>
            </w:r>
          </w:p>
          <w:p w:rsidR="00441896" w:rsidRDefault="00D30FAF" w:rsidP="00441896">
            <w:pPr>
              <w:pStyle w:val="ToolTableText"/>
            </w:pPr>
            <w:r>
              <w:t>The colors are dark and muted.</w:t>
            </w:r>
          </w:p>
        </w:tc>
      </w:tr>
      <w:tr w:rsidR="00441896" w:rsidRPr="008227BD">
        <w:tc>
          <w:tcPr>
            <w:tcW w:w="9468" w:type="dxa"/>
            <w:shd w:val="clear" w:color="auto" w:fill="auto"/>
          </w:tcPr>
          <w:p w:rsidR="00441896" w:rsidRPr="00D30FAF" w:rsidRDefault="007471E1" w:rsidP="00441896">
            <w:pPr>
              <w:pStyle w:val="ToolTableText"/>
              <w:rPr>
                <w:b/>
              </w:rPr>
            </w:pPr>
            <w:r w:rsidRPr="007471E1">
              <w:rPr>
                <w:b/>
              </w:rPr>
              <w:t>7. What mood do the symbols, imagery</w:t>
            </w:r>
            <w:r w:rsidR="000A2438">
              <w:rPr>
                <w:b/>
              </w:rPr>
              <w:t>,</w:t>
            </w:r>
            <w:r w:rsidRPr="007471E1">
              <w:rPr>
                <w:b/>
              </w:rPr>
              <w:t xml:space="preserve"> and colors create</w:t>
            </w:r>
            <w:r w:rsidR="00A126C4">
              <w:rPr>
                <w:b/>
              </w:rPr>
              <w:t xml:space="preserve"> in the painting</w:t>
            </w:r>
            <w:r w:rsidRPr="007471E1">
              <w:rPr>
                <w:b/>
              </w:rPr>
              <w:t xml:space="preserve">? </w:t>
            </w:r>
          </w:p>
          <w:p w:rsidR="00441896" w:rsidRDefault="00D30FAF" w:rsidP="00441896">
            <w:pPr>
              <w:pStyle w:val="ToolTableText"/>
            </w:pPr>
            <w:r>
              <w:t xml:space="preserve">The symbols and imagery, along with the dark, muted colors, create a frightening, ominous mood. </w:t>
            </w:r>
          </w:p>
        </w:tc>
      </w:tr>
      <w:tr w:rsidR="00441896" w:rsidRPr="008227BD">
        <w:tc>
          <w:tcPr>
            <w:tcW w:w="9468" w:type="dxa"/>
            <w:shd w:val="clear" w:color="auto" w:fill="auto"/>
          </w:tcPr>
          <w:p w:rsidR="00441896" w:rsidRPr="00D30FAF" w:rsidRDefault="007471E1" w:rsidP="00441896">
            <w:pPr>
              <w:pStyle w:val="ToolTableText"/>
              <w:rPr>
                <w:b/>
              </w:rPr>
            </w:pPr>
            <w:r w:rsidRPr="007471E1">
              <w:rPr>
                <w:b/>
              </w:rPr>
              <w:t xml:space="preserve">8. What, if anything, has the artist chosen not to represent and/or change in this painting? Consider what you know about the </w:t>
            </w:r>
            <w:r w:rsidR="000A2438">
              <w:rPr>
                <w:b/>
              </w:rPr>
              <w:t>characters from the play</w:t>
            </w:r>
            <w:r w:rsidRPr="007471E1">
              <w:rPr>
                <w:b/>
              </w:rPr>
              <w:t>.</w:t>
            </w:r>
          </w:p>
          <w:p w:rsidR="007471E1" w:rsidRDefault="00D30FAF" w:rsidP="007471E1">
            <w:pPr>
              <w:pStyle w:val="ToolTableText"/>
            </w:pPr>
            <w:r>
              <w:t xml:space="preserve">The artist has changed the setting of the meeting from the heath (a wide, empty space) to beside the ocean. </w:t>
            </w:r>
          </w:p>
          <w:p w:rsidR="007471E1" w:rsidRDefault="00D30FAF" w:rsidP="007471E1">
            <w:pPr>
              <w:pStyle w:val="ToolTableText"/>
            </w:pPr>
            <w:r>
              <w:t xml:space="preserve">The artist included creatures flying through the sky, but they were not mentioned in the play. </w:t>
            </w:r>
          </w:p>
          <w:p w:rsidR="00441896" w:rsidRDefault="00D30FAF" w:rsidP="00441896">
            <w:pPr>
              <w:pStyle w:val="ToolTableText"/>
            </w:pPr>
            <w:r>
              <w:t>The artist included soldiers in the background, following Macbeth and Banquo</w:t>
            </w:r>
            <w:r w:rsidR="00917350">
              <w:t>.</w:t>
            </w:r>
          </w:p>
        </w:tc>
      </w:tr>
      <w:tr w:rsidR="00441896" w:rsidRPr="008227BD">
        <w:tc>
          <w:tcPr>
            <w:tcW w:w="9468" w:type="dxa"/>
            <w:shd w:val="clear" w:color="auto" w:fill="auto"/>
          </w:tcPr>
          <w:p w:rsidR="00441896" w:rsidRPr="00D30FAF" w:rsidRDefault="007471E1" w:rsidP="00441896">
            <w:pPr>
              <w:pStyle w:val="ToolTableText"/>
              <w:rPr>
                <w:b/>
              </w:rPr>
            </w:pPr>
            <w:r w:rsidRPr="007471E1">
              <w:rPr>
                <w:b/>
              </w:rPr>
              <w:t>9. How does your knowledge of what the artist chose to omit and/or change influence your understanding of the painting?</w:t>
            </w:r>
          </w:p>
          <w:p w:rsidR="007471E1" w:rsidRDefault="00D30FAF" w:rsidP="007471E1">
            <w:pPr>
              <w:pStyle w:val="ToolTableText"/>
            </w:pPr>
            <w:r>
              <w:t xml:space="preserve">Setting the scene by the ocean allows the artist to include the sinking ship, which recalls the </w:t>
            </w:r>
            <w:r w:rsidR="008223E2">
              <w:t>Witches</w:t>
            </w:r>
            <w:r>
              <w:t xml:space="preserve">’ ability to control the winds and the spell they cast on the sailor married to the woman who would not give the </w:t>
            </w:r>
            <w:r w:rsidR="00A126C4">
              <w:t>W</w:t>
            </w:r>
            <w:r>
              <w:t>itch her chestnuts.</w:t>
            </w:r>
          </w:p>
          <w:p w:rsidR="007471E1" w:rsidRDefault="00D30FAF" w:rsidP="007471E1">
            <w:pPr>
              <w:pStyle w:val="ToolTableText"/>
            </w:pPr>
            <w:r>
              <w:t>Adding the flying creatures adds to the sense that the supernatural is very powerful.</w:t>
            </w:r>
          </w:p>
          <w:p w:rsidR="00441896" w:rsidRDefault="00D30FAF" w:rsidP="00441896">
            <w:pPr>
              <w:pStyle w:val="ToolTableText"/>
            </w:pPr>
            <w:r>
              <w:t>Including the soldiers emphasizes the role</w:t>
            </w:r>
            <w:r w:rsidR="00A126C4">
              <w:t>s</w:t>
            </w:r>
            <w:r>
              <w:t xml:space="preserve"> of Macbeth and Banquo as leaders and important figures.</w:t>
            </w:r>
          </w:p>
        </w:tc>
      </w:tr>
    </w:tbl>
    <w:p w:rsidR="00441896" w:rsidRPr="00703D8E" w:rsidRDefault="00441896" w:rsidP="00703D8E">
      <w:pPr>
        <w:rPr>
          <w:rFonts w:asciiTheme="majorHAnsi" w:hAnsiTheme="majorHAnsi"/>
        </w:rPr>
      </w:pPr>
    </w:p>
    <w:p w:rsidR="00967F9F" w:rsidRDefault="00B335F0" w:rsidP="00703D8E">
      <w:pPr>
        <w:rPr>
          <w:rFonts w:asciiTheme="majorHAnsi" w:hAnsiTheme="majorHAnsi"/>
        </w:rPr>
        <w:sectPr w:rsidR="00967F9F">
          <w:headerReference w:type="default" r:id="rId14"/>
          <w:footerReference w:type="default" r:id="rId15"/>
          <w:pgSz w:w="12240" w:h="15840"/>
          <w:pgMar w:top="1440" w:right="1440" w:bottom="1440" w:left="1440" w:header="432" w:footer="648" w:gutter="0"/>
          <w:cols w:space="720"/>
          <w:docGrid w:linePitch="299"/>
        </w:sectPr>
      </w:pPr>
      <w:r>
        <w:rPr>
          <w:rFonts w:asciiTheme="majorHAnsi" w:hAnsiTheme="majorHAnsi"/>
        </w:rPr>
        <w:t xml:space="preserve"> </w:t>
      </w:r>
    </w:p>
    <w:p w:rsidR="00703D8E" w:rsidRPr="00703D8E" w:rsidRDefault="00840973" w:rsidP="00703D8E">
      <w:pPr>
        <w:rPr>
          <w:rFonts w:asciiTheme="majorHAnsi" w:hAnsiTheme="majorHAnsi"/>
        </w:rPr>
      </w:pPr>
      <w:r>
        <w:rPr>
          <w:rFonts w:asciiTheme="majorHAnsi" w:hAnsiTheme="majorHAnsi"/>
          <w:noProof/>
        </w:rPr>
        <w:lastRenderedPageBreak/>
        <w:drawing>
          <wp:inline distT="0" distB="0" distL="0" distR="0">
            <wp:extent cx="6299200" cy="4165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200" cy="4165600"/>
                    </a:xfrm>
                    <a:prstGeom prst="rect">
                      <a:avLst/>
                    </a:prstGeom>
                    <a:noFill/>
                    <a:ln>
                      <a:noFill/>
                    </a:ln>
                  </pic:spPr>
                </pic:pic>
              </a:graphicData>
            </a:graphic>
          </wp:inline>
        </w:drawing>
      </w:r>
    </w:p>
    <w:p w:rsidR="00703D8E" w:rsidRPr="00703D8E" w:rsidRDefault="00967F9F" w:rsidP="00703D8E">
      <w:pPr>
        <w:rPr>
          <w:rFonts w:asciiTheme="majorHAnsi" w:hAnsiTheme="majorHAnsi"/>
        </w:rPr>
      </w:pPr>
      <w:r>
        <w:t xml:space="preserve">Joseph Anton Koch’s “Macbeth and </w:t>
      </w:r>
      <w:r w:rsidR="00A126C4">
        <w:t>t</w:t>
      </w:r>
      <w:r>
        <w:t>he Witches”</w:t>
      </w:r>
    </w:p>
    <w:p w:rsidR="00703D8E" w:rsidRPr="00703D8E" w:rsidRDefault="00703D8E" w:rsidP="00703D8E">
      <w:pPr>
        <w:rPr>
          <w:rFonts w:asciiTheme="majorHAnsi" w:hAnsiTheme="majorHAnsi"/>
        </w:rPr>
      </w:pPr>
      <w:r w:rsidRPr="00703D8E">
        <w:rPr>
          <w:rFonts w:asciiTheme="majorHAnsi" w:hAnsiTheme="majorHAnsi"/>
        </w:rPr>
        <w:lastRenderedPageBreak/>
        <w:t xml:space="preserve"> </w:t>
      </w:r>
      <w:r w:rsidR="00840973">
        <w:rPr>
          <w:rFonts w:asciiTheme="majorHAnsi" w:hAnsiTheme="majorHAnsi"/>
          <w:noProof/>
        </w:rPr>
        <w:drawing>
          <wp:inline distT="0" distB="0" distL="0" distR="0">
            <wp:extent cx="6282055" cy="430085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2055" cy="4300855"/>
                    </a:xfrm>
                    <a:prstGeom prst="rect">
                      <a:avLst/>
                    </a:prstGeom>
                    <a:noFill/>
                    <a:ln>
                      <a:noFill/>
                    </a:ln>
                  </pic:spPr>
                </pic:pic>
              </a:graphicData>
            </a:graphic>
          </wp:inline>
        </w:drawing>
      </w:r>
    </w:p>
    <w:p w:rsidR="00703D8E" w:rsidRDefault="00967F9F" w:rsidP="00703D8E">
      <w:pPr>
        <w:rPr>
          <w:rFonts w:asciiTheme="majorHAnsi" w:hAnsiTheme="majorHAnsi"/>
        </w:rPr>
      </w:pPr>
      <w:r>
        <w:t>Henry Fuseli’s “The Three Witches”</w:t>
      </w:r>
    </w:p>
    <w:p w:rsidR="00426145" w:rsidRDefault="00840973" w:rsidP="00703D8E">
      <w:pPr>
        <w:rPr>
          <w:rFonts w:asciiTheme="majorHAnsi" w:hAnsiTheme="majorHAnsi"/>
        </w:rPr>
      </w:pPr>
      <w:r>
        <w:rPr>
          <w:rFonts w:asciiTheme="majorHAnsi" w:hAnsiTheme="majorHAnsi"/>
          <w:noProof/>
        </w:rPr>
        <w:lastRenderedPageBreak/>
        <w:drawing>
          <wp:inline distT="0" distB="0" distL="0" distR="0">
            <wp:extent cx="7848600" cy="47498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8600" cy="4749800"/>
                    </a:xfrm>
                    <a:prstGeom prst="rect">
                      <a:avLst/>
                    </a:prstGeom>
                    <a:noFill/>
                    <a:ln>
                      <a:noFill/>
                    </a:ln>
                  </pic:spPr>
                </pic:pic>
              </a:graphicData>
            </a:graphic>
          </wp:inline>
        </w:drawing>
      </w:r>
    </w:p>
    <w:p w:rsidR="00426145" w:rsidRDefault="00967F9F" w:rsidP="00703D8E">
      <w:pPr>
        <w:rPr>
          <w:rFonts w:asciiTheme="majorHAnsi" w:hAnsiTheme="majorHAnsi"/>
        </w:rPr>
      </w:pPr>
      <w:r>
        <w:t>Clarkson Frederick Stanfield’s “Macbeth and the Witches”</w:t>
      </w:r>
    </w:p>
    <w:p w:rsidR="00426145" w:rsidRDefault="00840973" w:rsidP="00703D8E">
      <w:pPr>
        <w:rPr>
          <w:rFonts w:asciiTheme="majorHAnsi" w:hAnsiTheme="majorHAnsi"/>
        </w:rPr>
      </w:pPr>
      <w:r>
        <w:rPr>
          <w:rFonts w:asciiTheme="majorHAnsi" w:hAnsiTheme="majorHAnsi"/>
          <w:noProof/>
        </w:rPr>
        <w:lastRenderedPageBreak/>
        <w:drawing>
          <wp:inline distT="0" distB="0" distL="0" distR="0">
            <wp:extent cx="5892800" cy="440245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800" cy="4402455"/>
                    </a:xfrm>
                    <a:prstGeom prst="rect">
                      <a:avLst/>
                    </a:prstGeom>
                    <a:noFill/>
                    <a:ln>
                      <a:noFill/>
                    </a:ln>
                  </pic:spPr>
                </pic:pic>
              </a:graphicData>
            </a:graphic>
          </wp:inline>
        </w:drawing>
      </w:r>
    </w:p>
    <w:p w:rsidR="00621031" w:rsidRDefault="00967F9F">
      <w:r>
        <w:t>Théodore Chassériau’s “Macbeth and Banquo Meeting the Witches on the Heath”</w:t>
      </w:r>
    </w:p>
    <w:sectPr w:rsidR="00621031" w:rsidSect="00967F9F">
      <w:headerReference w:type="default" r:id="rId20"/>
      <w:footerReference w:type="default" r:id="rId21"/>
      <w:pgSz w:w="15840" w:h="12240" w:orient="landscape"/>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FAF" w:rsidRDefault="00233FAF">
      <w:pPr>
        <w:spacing w:before="0" w:after="0" w:line="240" w:lineRule="auto"/>
      </w:pPr>
      <w:r>
        <w:separator/>
      </w:r>
    </w:p>
  </w:endnote>
  <w:endnote w:type="continuationSeparator" w:id="0">
    <w:p w:rsidR="00233FAF" w:rsidRDefault="00233FA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D22" w:rsidRDefault="00AC1977" w:rsidP="00EB4EAE">
    <w:pPr>
      <w:pStyle w:val="Footer"/>
      <w:rPr>
        <w:rStyle w:val="PageNumber"/>
        <w:rFonts w:ascii="Calibri" w:hAnsi="Calibri"/>
        <w:sz w:val="22"/>
      </w:rPr>
    </w:pPr>
    <w:r>
      <w:rPr>
        <w:rStyle w:val="PageNumber"/>
      </w:rPr>
      <w:fldChar w:fldCharType="begin"/>
    </w:r>
    <w:r w:rsidR="00A56D22">
      <w:rPr>
        <w:rStyle w:val="PageNumber"/>
      </w:rPr>
      <w:instrText xml:space="preserve">PAGE  </w:instrText>
    </w:r>
    <w:r>
      <w:rPr>
        <w:rStyle w:val="PageNumber"/>
      </w:rPr>
      <w:fldChar w:fldCharType="end"/>
    </w:r>
  </w:p>
  <w:p w:rsidR="00A56D22" w:rsidRDefault="00A56D22" w:rsidP="00EB4EAE">
    <w:pPr>
      <w:pStyle w:val="Footer"/>
    </w:pPr>
  </w:p>
  <w:p w:rsidR="00A56D22" w:rsidRDefault="00A56D22" w:rsidP="00EB4EAE"/>
  <w:p w:rsidR="00A56D22" w:rsidRDefault="00A56D22" w:rsidP="00EB4EA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D22" w:rsidRPr="00563CB8" w:rsidRDefault="00A56D22" w:rsidP="007017EB">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A56D22">
      <w:trPr>
        <w:trHeight w:val="705"/>
      </w:trPr>
      <w:tc>
        <w:tcPr>
          <w:tcW w:w="4609" w:type="dxa"/>
          <w:shd w:val="clear" w:color="auto" w:fill="auto"/>
          <w:vAlign w:val="center"/>
        </w:tcPr>
        <w:p w:rsidR="00A56D22" w:rsidRPr="002E4C92" w:rsidRDefault="00A56D22" w:rsidP="007017EB">
          <w:pPr>
            <w:pStyle w:val="FooterText"/>
          </w:pPr>
          <w:r w:rsidRPr="002E4C92">
            <w:t>File:</w:t>
          </w:r>
          <w:r>
            <w:rPr>
              <w:b w:val="0"/>
            </w:rPr>
            <w:t xml:space="preserve"> 10.4.2 Lesson 23</w:t>
          </w:r>
          <w:r w:rsidRPr="002E4C92">
            <w:t xml:space="preserve"> Date:</w:t>
          </w:r>
          <w:r w:rsidR="00F46D00">
            <w:rPr>
              <w:b w:val="0"/>
            </w:rPr>
            <w:t xml:space="preserve"> 6/2</w:t>
          </w:r>
          <w:r w:rsidR="009B294A">
            <w:rPr>
              <w:b w:val="0"/>
            </w:rPr>
            <w:t>5</w:t>
          </w:r>
          <w:r w:rsidRPr="0039525B">
            <w:rPr>
              <w:b w:val="0"/>
            </w:rPr>
            <w:t>/1</w:t>
          </w:r>
          <w:r>
            <w:rPr>
              <w:b w:val="0"/>
            </w:rPr>
            <w:t>4</w:t>
          </w:r>
          <w:r w:rsidRPr="0039525B">
            <w:rPr>
              <w:b w:val="0"/>
            </w:rPr>
            <w:t xml:space="preserve"> </w:t>
          </w:r>
          <w:r w:rsidRPr="002E4C92">
            <w:t>Classroom Use:</w:t>
          </w:r>
          <w:r>
            <w:rPr>
              <w:b w:val="0"/>
            </w:rPr>
            <w:t xml:space="preserve"> Starting 9</w:t>
          </w:r>
          <w:r w:rsidRPr="0039525B">
            <w:rPr>
              <w:b w:val="0"/>
            </w:rPr>
            <w:t>/201</w:t>
          </w:r>
          <w:r>
            <w:rPr>
              <w:b w:val="0"/>
            </w:rPr>
            <w:t>4</w:t>
          </w:r>
          <w:r w:rsidRPr="0039525B">
            <w:rPr>
              <w:b w:val="0"/>
            </w:rPr>
            <w:t xml:space="preserve"> </w:t>
          </w:r>
        </w:p>
        <w:p w:rsidR="00A56D22" w:rsidRPr="0039525B" w:rsidRDefault="00A56D22" w:rsidP="007017EB">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A56D22" w:rsidRPr="0039525B" w:rsidRDefault="00A56D22" w:rsidP="007017EB">
          <w:pPr>
            <w:pStyle w:val="FooterText"/>
            <w:rPr>
              <w:b w:val="0"/>
              <w:i/>
            </w:rPr>
          </w:pPr>
          <w:r w:rsidRPr="0039525B">
            <w:rPr>
              <w:b w:val="0"/>
              <w:i/>
              <w:sz w:val="12"/>
            </w:rPr>
            <w:t>Creative Commons Attribution-NonCommercial-ShareAlike 3.0 Unported License</w:t>
          </w:r>
        </w:p>
        <w:p w:rsidR="00A56D22" w:rsidRPr="002E4C92" w:rsidRDefault="00233FAF" w:rsidP="007017EB">
          <w:pPr>
            <w:pStyle w:val="FooterText"/>
          </w:pPr>
          <w:hyperlink r:id="rId1" w:history="1">
            <w:r w:rsidR="00A56D22"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A56D22" w:rsidRPr="002E4C92" w:rsidRDefault="00AC1977" w:rsidP="007017EB">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A56D2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B294A">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A56D22" w:rsidRPr="002E4C92" w:rsidRDefault="00A56D22" w:rsidP="007017E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A56D22" w:rsidRPr="007017EB" w:rsidRDefault="00A56D22" w:rsidP="007017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D22" w:rsidRPr="00563CB8" w:rsidRDefault="00A56D22" w:rsidP="007017EB">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A56D22">
      <w:trPr>
        <w:trHeight w:val="705"/>
      </w:trPr>
      <w:tc>
        <w:tcPr>
          <w:tcW w:w="4609" w:type="dxa"/>
          <w:shd w:val="clear" w:color="auto" w:fill="auto"/>
          <w:vAlign w:val="center"/>
        </w:tcPr>
        <w:p w:rsidR="00A56D22" w:rsidRPr="002E4C92" w:rsidRDefault="00A56D22" w:rsidP="007017EB">
          <w:pPr>
            <w:pStyle w:val="FooterText"/>
          </w:pPr>
          <w:r w:rsidRPr="002E4C92">
            <w:t>File:</w:t>
          </w:r>
          <w:r>
            <w:rPr>
              <w:b w:val="0"/>
            </w:rPr>
            <w:t xml:space="preserve"> 10.4.2 Lesson 23</w:t>
          </w:r>
          <w:r w:rsidRPr="002E4C92">
            <w:t xml:space="preserve"> Date:</w:t>
          </w:r>
          <w:r w:rsidR="00F46D00">
            <w:rPr>
              <w:b w:val="0"/>
            </w:rPr>
            <w:t xml:space="preserve"> 6/2</w:t>
          </w:r>
          <w:r w:rsidR="009B294A">
            <w:rPr>
              <w:b w:val="0"/>
            </w:rPr>
            <w:t>5</w:t>
          </w:r>
          <w:r w:rsidRPr="0039525B">
            <w:rPr>
              <w:b w:val="0"/>
            </w:rPr>
            <w:t>/1</w:t>
          </w:r>
          <w:r>
            <w:rPr>
              <w:b w:val="0"/>
            </w:rPr>
            <w:t>4</w:t>
          </w:r>
          <w:r w:rsidRPr="0039525B">
            <w:rPr>
              <w:b w:val="0"/>
            </w:rPr>
            <w:t xml:space="preserve"> </w:t>
          </w:r>
          <w:r w:rsidRPr="002E4C92">
            <w:t>Classroom Use:</w:t>
          </w:r>
          <w:r>
            <w:rPr>
              <w:b w:val="0"/>
            </w:rPr>
            <w:t xml:space="preserve"> Starting 9</w:t>
          </w:r>
          <w:r w:rsidRPr="0039525B">
            <w:rPr>
              <w:b w:val="0"/>
            </w:rPr>
            <w:t>/201</w:t>
          </w:r>
          <w:r>
            <w:rPr>
              <w:b w:val="0"/>
            </w:rPr>
            <w:t>4</w:t>
          </w:r>
          <w:r w:rsidRPr="0039525B">
            <w:rPr>
              <w:b w:val="0"/>
            </w:rPr>
            <w:t xml:space="preserve"> </w:t>
          </w:r>
        </w:p>
        <w:p w:rsidR="00A56D22" w:rsidRPr="0039525B" w:rsidRDefault="00A56D22" w:rsidP="007017EB">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A56D22" w:rsidRPr="0039525B" w:rsidRDefault="00A56D22" w:rsidP="007017EB">
          <w:pPr>
            <w:pStyle w:val="FooterText"/>
            <w:rPr>
              <w:b w:val="0"/>
              <w:i/>
            </w:rPr>
          </w:pPr>
          <w:r w:rsidRPr="0039525B">
            <w:rPr>
              <w:b w:val="0"/>
              <w:i/>
              <w:sz w:val="12"/>
            </w:rPr>
            <w:t>Creative Commons Attribution-NonCommercial-ShareAlike 3.0 Unported License</w:t>
          </w:r>
        </w:p>
        <w:p w:rsidR="00A56D22" w:rsidRPr="002E4C92" w:rsidRDefault="00233FAF" w:rsidP="007017EB">
          <w:pPr>
            <w:pStyle w:val="FooterText"/>
          </w:pPr>
          <w:hyperlink r:id="rId1" w:history="1">
            <w:r w:rsidR="00A56D22"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A56D22" w:rsidRPr="002E4C92" w:rsidRDefault="00AC1977" w:rsidP="007017EB">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A56D2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B294A">
            <w:rPr>
              <w:rFonts w:ascii="Calibri" w:hAnsi="Calibri" w:cs="Calibri"/>
              <w:b/>
              <w:noProof/>
              <w:color w:val="1F4E79"/>
              <w:sz w:val="28"/>
            </w:rPr>
            <w:t>8</w:t>
          </w:r>
          <w:r w:rsidRPr="002E4C92">
            <w:rPr>
              <w:rFonts w:ascii="Calibri" w:hAnsi="Calibri" w:cs="Calibri"/>
              <w:b/>
              <w:color w:val="1F4E79"/>
              <w:sz w:val="28"/>
            </w:rPr>
            <w:fldChar w:fldCharType="end"/>
          </w:r>
        </w:p>
      </w:tc>
      <w:tc>
        <w:tcPr>
          <w:tcW w:w="4325" w:type="dxa"/>
          <w:shd w:val="clear" w:color="auto" w:fill="auto"/>
          <w:vAlign w:val="bottom"/>
        </w:tcPr>
        <w:p w:rsidR="00A56D22" w:rsidRPr="002E4C92" w:rsidRDefault="00A56D22" w:rsidP="007017E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9"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A56D22" w:rsidRPr="007017EB" w:rsidRDefault="00A56D22" w:rsidP="007017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D22" w:rsidRPr="00563CB8" w:rsidRDefault="00A56D22" w:rsidP="007017EB">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A56D22">
      <w:trPr>
        <w:trHeight w:val="705"/>
      </w:trPr>
      <w:tc>
        <w:tcPr>
          <w:tcW w:w="4609" w:type="dxa"/>
          <w:shd w:val="clear" w:color="auto" w:fill="auto"/>
          <w:vAlign w:val="center"/>
        </w:tcPr>
        <w:p w:rsidR="00A56D22" w:rsidRPr="002E4C92" w:rsidRDefault="00A56D22" w:rsidP="007017EB">
          <w:pPr>
            <w:pStyle w:val="FooterText"/>
          </w:pPr>
          <w:r w:rsidRPr="002E4C92">
            <w:t>File:</w:t>
          </w:r>
          <w:r>
            <w:rPr>
              <w:b w:val="0"/>
            </w:rPr>
            <w:t xml:space="preserve"> 10.4.2 Lesson 23</w:t>
          </w:r>
          <w:r w:rsidRPr="002E4C92">
            <w:t xml:space="preserve"> Date:</w:t>
          </w:r>
          <w:r w:rsidR="00F46D00">
            <w:rPr>
              <w:b w:val="0"/>
            </w:rPr>
            <w:t xml:space="preserve"> 6/2</w:t>
          </w:r>
          <w:r w:rsidR="009B294A">
            <w:rPr>
              <w:b w:val="0"/>
            </w:rPr>
            <w:t>5</w:t>
          </w:r>
          <w:r w:rsidRPr="0039525B">
            <w:rPr>
              <w:b w:val="0"/>
            </w:rPr>
            <w:t>/1</w:t>
          </w:r>
          <w:r>
            <w:rPr>
              <w:b w:val="0"/>
            </w:rPr>
            <w:t>4</w:t>
          </w:r>
          <w:r w:rsidRPr="0039525B">
            <w:rPr>
              <w:b w:val="0"/>
            </w:rPr>
            <w:t xml:space="preserve"> </w:t>
          </w:r>
          <w:r w:rsidRPr="002E4C92">
            <w:t>Classroom Use:</w:t>
          </w:r>
          <w:r>
            <w:rPr>
              <w:b w:val="0"/>
            </w:rPr>
            <w:t xml:space="preserve"> Starting 9</w:t>
          </w:r>
          <w:r w:rsidRPr="0039525B">
            <w:rPr>
              <w:b w:val="0"/>
            </w:rPr>
            <w:t>/201</w:t>
          </w:r>
          <w:r>
            <w:rPr>
              <w:b w:val="0"/>
            </w:rPr>
            <w:t>4</w:t>
          </w:r>
          <w:r w:rsidRPr="0039525B">
            <w:rPr>
              <w:b w:val="0"/>
            </w:rPr>
            <w:t xml:space="preserve"> </w:t>
          </w:r>
        </w:p>
        <w:p w:rsidR="00A56D22" w:rsidRPr="0039525B" w:rsidRDefault="00A56D22" w:rsidP="007017EB">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A56D22" w:rsidRPr="0039525B" w:rsidRDefault="00A56D22" w:rsidP="007017EB">
          <w:pPr>
            <w:pStyle w:val="FooterText"/>
            <w:rPr>
              <w:b w:val="0"/>
              <w:i/>
            </w:rPr>
          </w:pPr>
          <w:r w:rsidRPr="0039525B">
            <w:rPr>
              <w:b w:val="0"/>
              <w:i/>
              <w:sz w:val="12"/>
            </w:rPr>
            <w:t>Creative Commons Attribution-NonCommercial-ShareAlike 3.0 Unported License</w:t>
          </w:r>
        </w:p>
        <w:p w:rsidR="00A56D22" w:rsidRPr="002E4C92" w:rsidRDefault="00233FAF" w:rsidP="007017EB">
          <w:pPr>
            <w:pStyle w:val="FooterText"/>
          </w:pPr>
          <w:hyperlink r:id="rId1" w:history="1">
            <w:r w:rsidR="00A56D22"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A56D22" w:rsidRPr="002E4C92" w:rsidRDefault="00AC1977" w:rsidP="007017EB">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A56D2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B294A">
            <w:rPr>
              <w:rFonts w:ascii="Calibri" w:hAnsi="Calibri" w:cs="Calibri"/>
              <w:b/>
              <w:noProof/>
              <w:color w:val="1F4E79"/>
              <w:sz w:val="28"/>
            </w:rPr>
            <w:t>12</w:t>
          </w:r>
          <w:r w:rsidRPr="002E4C92">
            <w:rPr>
              <w:rFonts w:ascii="Calibri" w:hAnsi="Calibri" w:cs="Calibri"/>
              <w:b/>
              <w:color w:val="1F4E79"/>
              <w:sz w:val="28"/>
            </w:rPr>
            <w:fldChar w:fldCharType="end"/>
          </w:r>
        </w:p>
      </w:tc>
      <w:tc>
        <w:tcPr>
          <w:tcW w:w="4325" w:type="dxa"/>
          <w:shd w:val="clear" w:color="auto" w:fill="auto"/>
          <w:vAlign w:val="bottom"/>
        </w:tcPr>
        <w:p w:rsidR="00A56D22" w:rsidRPr="002E4C92" w:rsidRDefault="00A56D22" w:rsidP="007017E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7"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A56D22" w:rsidRPr="007017EB" w:rsidRDefault="00A56D22" w:rsidP="007017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D22" w:rsidRPr="00563CB8" w:rsidRDefault="00A56D22" w:rsidP="007017EB">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6341"/>
      <w:gridCol w:w="860"/>
      <w:gridCol w:w="5951"/>
    </w:tblGrid>
    <w:tr w:rsidR="00A56D22">
      <w:trPr>
        <w:trHeight w:val="705"/>
      </w:trPr>
      <w:tc>
        <w:tcPr>
          <w:tcW w:w="4609" w:type="dxa"/>
          <w:shd w:val="clear" w:color="auto" w:fill="auto"/>
          <w:vAlign w:val="center"/>
        </w:tcPr>
        <w:p w:rsidR="00A56D22" w:rsidRPr="002E4C92" w:rsidRDefault="00A56D22" w:rsidP="007017EB">
          <w:pPr>
            <w:pStyle w:val="FooterText"/>
          </w:pPr>
          <w:r w:rsidRPr="002E4C92">
            <w:t>File:</w:t>
          </w:r>
          <w:r>
            <w:rPr>
              <w:b w:val="0"/>
            </w:rPr>
            <w:t xml:space="preserve"> 10.4.2 Lesson 23</w:t>
          </w:r>
          <w:r w:rsidRPr="002E4C92">
            <w:t xml:space="preserve"> Date:</w:t>
          </w:r>
          <w:r>
            <w:rPr>
              <w:b w:val="0"/>
            </w:rPr>
            <w:t xml:space="preserve"> 6/</w:t>
          </w:r>
          <w:r w:rsidR="00F46D00">
            <w:rPr>
              <w:b w:val="0"/>
            </w:rPr>
            <w:t>2</w:t>
          </w:r>
          <w:r w:rsidR="009B294A">
            <w:rPr>
              <w:b w:val="0"/>
            </w:rPr>
            <w:t>5</w:t>
          </w:r>
          <w:r w:rsidRPr="0039525B">
            <w:rPr>
              <w:b w:val="0"/>
            </w:rPr>
            <w:t>/1</w:t>
          </w:r>
          <w:r>
            <w:rPr>
              <w:b w:val="0"/>
            </w:rPr>
            <w:t>4</w:t>
          </w:r>
          <w:r w:rsidRPr="0039525B">
            <w:rPr>
              <w:b w:val="0"/>
            </w:rPr>
            <w:t xml:space="preserve"> </w:t>
          </w:r>
          <w:r w:rsidRPr="002E4C92">
            <w:t>Classroom Use:</w:t>
          </w:r>
          <w:r>
            <w:rPr>
              <w:b w:val="0"/>
            </w:rPr>
            <w:t xml:space="preserve"> Starting 9</w:t>
          </w:r>
          <w:r w:rsidRPr="0039525B">
            <w:rPr>
              <w:b w:val="0"/>
            </w:rPr>
            <w:t>/201</w:t>
          </w:r>
          <w:r>
            <w:rPr>
              <w:b w:val="0"/>
            </w:rPr>
            <w:t>4</w:t>
          </w:r>
          <w:r w:rsidRPr="0039525B">
            <w:rPr>
              <w:b w:val="0"/>
            </w:rPr>
            <w:t xml:space="preserve"> </w:t>
          </w:r>
        </w:p>
        <w:p w:rsidR="00A56D22" w:rsidRPr="0039525B" w:rsidRDefault="00A56D22" w:rsidP="007017EB">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A56D22" w:rsidRPr="0039525B" w:rsidRDefault="00A56D22" w:rsidP="007017EB">
          <w:pPr>
            <w:pStyle w:val="FooterText"/>
            <w:rPr>
              <w:b w:val="0"/>
              <w:i/>
            </w:rPr>
          </w:pPr>
          <w:r w:rsidRPr="0039525B">
            <w:rPr>
              <w:b w:val="0"/>
              <w:i/>
              <w:sz w:val="12"/>
            </w:rPr>
            <w:t>Creative Commons Attribution-NonCommercial-ShareAlike 3.0 Unported License</w:t>
          </w:r>
        </w:p>
        <w:p w:rsidR="00A56D22" w:rsidRPr="002E4C92" w:rsidRDefault="00233FAF" w:rsidP="007017EB">
          <w:pPr>
            <w:pStyle w:val="FooterText"/>
          </w:pPr>
          <w:hyperlink r:id="rId1" w:history="1">
            <w:r w:rsidR="00A56D22"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A56D22" w:rsidRPr="002E4C92" w:rsidRDefault="00AC1977" w:rsidP="007017EB">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A56D22"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9B294A">
            <w:rPr>
              <w:rFonts w:ascii="Calibri" w:hAnsi="Calibri" w:cs="Calibri"/>
              <w:b/>
              <w:noProof/>
              <w:color w:val="1F4E79"/>
              <w:sz w:val="28"/>
            </w:rPr>
            <w:t>16</w:t>
          </w:r>
          <w:r w:rsidRPr="002E4C92">
            <w:rPr>
              <w:rFonts w:ascii="Calibri" w:hAnsi="Calibri" w:cs="Calibri"/>
              <w:b/>
              <w:color w:val="1F4E79"/>
              <w:sz w:val="28"/>
            </w:rPr>
            <w:fldChar w:fldCharType="end"/>
          </w:r>
        </w:p>
      </w:tc>
      <w:tc>
        <w:tcPr>
          <w:tcW w:w="4325" w:type="dxa"/>
          <w:shd w:val="clear" w:color="auto" w:fill="auto"/>
          <w:vAlign w:val="bottom"/>
        </w:tcPr>
        <w:p w:rsidR="00A56D22" w:rsidRPr="002E4C92" w:rsidRDefault="00A56D22" w:rsidP="007017EB">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8"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A56D22" w:rsidRPr="007017EB" w:rsidRDefault="00A56D22" w:rsidP="007017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FAF" w:rsidRDefault="00233FAF">
      <w:pPr>
        <w:spacing w:before="0" w:after="0" w:line="240" w:lineRule="auto"/>
      </w:pPr>
      <w:r>
        <w:separator/>
      </w:r>
    </w:p>
  </w:footnote>
  <w:footnote w:type="continuationSeparator" w:id="0">
    <w:p w:rsidR="00233FAF" w:rsidRDefault="00233FAF">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A56D22" w:rsidRPr="00563CB8">
      <w:tc>
        <w:tcPr>
          <w:tcW w:w="3708" w:type="dxa"/>
          <w:shd w:val="clear" w:color="auto" w:fill="auto"/>
        </w:tcPr>
        <w:p w:rsidR="00A56D22" w:rsidRPr="00563CB8" w:rsidRDefault="00A56D22" w:rsidP="007017EB">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A56D22" w:rsidRPr="00563CB8" w:rsidRDefault="00A56D22" w:rsidP="007017EB">
          <w:pPr>
            <w:jc w:val="center"/>
          </w:pPr>
          <w:r w:rsidRPr="00563CB8">
            <w:t>D R A F T</w:t>
          </w:r>
        </w:p>
      </w:tc>
      <w:tc>
        <w:tcPr>
          <w:tcW w:w="3438" w:type="dxa"/>
          <w:shd w:val="clear" w:color="auto" w:fill="auto"/>
        </w:tcPr>
        <w:p w:rsidR="00A56D22" w:rsidRPr="00E946A0" w:rsidRDefault="00A56D22" w:rsidP="007017EB">
          <w:pPr>
            <w:pStyle w:val="PageHeader"/>
            <w:jc w:val="right"/>
            <w:rPr>
              <w:b w:val="0"/>
            </w:rPr>
          </w:pPr>
          <w:r>
            <w:rPr>
              <w:b w:val="0"/>
            </w:rPr>
            <w:t>Grade 10 • Module 4 • Unit 2 • Lesson 23</w:t>
          </w:r>
        </w:p>
      </w:tc>
    </w:tr>
  </w:tbl>
  <w:p w:rsidR="00A56D22" w:rsidRPr="007017EB" w:rsidRDefault="00A56D22" w:rsidP="007017EB">
    <w:pPr>
      <w:pStyle w:val="Header"/>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A56D22" w:rsidRPr="00563CB8">
      <w:tc>
        <w:tcPr>
          <w:tcW w:w="3708" w:type="dxa"/>
          <w:shd w:val="clear" w:color="auto" w:fill="auto"/>
        </w:tcPr>
        <w:p w:rsidR="00A56D22" w:rsidRPr="00563CB8" w:rsidRDefault="00A56D22" w:rsidP="007017EB">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A56D22" w:rsidRPr="00563CB8" w:rsidRDefault="00A56D22" w:rsidP="007017EB">
          <w:pPr>
            <w:jc w:val="center"/>
          </w:pPr>
          <w:r w:rsidRPr="00563CB8">
            <w:t>D R A F T</w:t>
          </w:r>
        </w:p>
      </w:tc>
      <w:tc>
        <w:tcPr>
          <w:tcW w:w="3438" w:type="dxa"/>
          <w:shd w:val="clear" w:color="auto" w:fill="auto"/>
        </w:tcPr>
        <w:p w:rsidR="00A56D22" w:rsidRPr="00E946A0" w:rsidRDefault="00A56D22" w:rsidP="007017EB">
          <w:pPr>
            <w:pStyle w:val="PageHeader"/>
            <w:jc w:val="right"/>
            <w:rPr>
              <w:b w:val="0"/>
            </w:rPr>
          </w:pPr>
          <w:r>
            <w:rPr>
              <w:b w:val="0"/>
            </w:rPr>
            <w:t>Grade 10 • Module 4 • Unit 2 • Lesson 23</w:t>
          </w:r>
        </w:p>
      </w:tc>
    </w:tr>
  </w:tbl>
  <w:p w:rsidR="00A56D22" w:rsidRPr="007017EB" w:rsidRDefault="00A56D22" w:rsidP="007017EB">
    <w:pPr>
      <w:pStyle w:val="Header"/>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A56D22" w:rsidRPr="00563CB8">
      <w:tc>
        <w:tcPr>
          <w:tcW w:w="3708" w:type="dxa"/>
          <w:shd w:val="clear" w:color="auto" w:fill="auto"/>
        </w:tcPr>
        <w:p w:rsidR="00A56D22" w:rsidRPr="00563CB8" w:rsidRDefault="00A56D22" w:rsidP="007017EB">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A56D22" w:rsidRPr="00563CB8" w:rsidRDefault="00A56D22" w:rsidP="007017EB">
          <w:pPr>
            <w:jc w:val="center"/>
          </w:pPr>
          <w:r w:rsidRPr="00563CB8">
            <w:t>D R A F T</w:t>
          </w:r>
        </w:p>
      </w:tc>
      <w:tc>
        <w:tcPr>
          <w:tcW w:w="3438" w:type="dxa"/>
          <w:shd w:val="clear" w:color="auto" w:fill="auto"/>
        </w:tcPr>
        <w:p w:rsidR="00A56D22" w:rsidRPr="00E946A0" w:rsidRDefault="00A56D22" w:rsidP="007017EB">
          <w:pPr>
            <w:pStyle w:val="PageHeader"/>
            <w:jc w:val="right"/>
            <w:rPr>
              <w:b w:val="0"/>
            </w:rPr>
          </w:pPr>
          <w:r>
            <w:rPr>
              <w:b w:val="0"/>
            </w:rPr>
            <w:t>Grade 10 • Module 4 • Unit 2 • Lesson 23</w:t>
          </w:r>
        </w:p>
      </w:tc>
    </w:tr>
  </w:tbl>
  <w:p w:rsidR="00A56D22" w:rsidRPr="007017EB" w:rsidRDefault="00A56D22" w:rsidP="007017EB">
    <w:pPr>
      <w:pStyle w:val="Header"/>
      <w:rPr>
        <w:sz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5102"/>
      <w:gridCol w:w="3344"/>
      <w:gridCol w:w="4730"/>
    </w:tblGrid>
    <w:tr w:rsidR="00A56D22" w:rsidRPr="00563CB8">
      <w:tc>
        <w:tcPr>
          <w:tcW w:w="3708" w:type="dxa"/>
          <w:shd w:val="clear" w:color="auto" w:fill="auto"/>
        </w:tcPr>
        <w:p w:rsidR="00A56D22" w:rsidRPr="00563CB8" w:rsidRDefault="00A56D22" w:rsidP="007017EB">
          <w:pPr>
            <w:pStyle w:val="PageHeader"/>
          </w:pPr>
          <w:r w:rsidRPr="00563CB8">
            <w:t xml:space="preserve">NYS </w:t>
          </w:r>
          <w:r w:rsidRPr="00E946A0">
            <w:t>Common</w:t>
          </w:r>
          <w:r w:rsidRPr="00563CB8">
            <w:t xml:space="preserve"> Core ELA &amp; Literacy Curriculum</w:t>
          </w:r>
        </w:p>
      </w:tc>
      <w:tc>
        <w:tcPr>
          <w:tcW w:w="2430" w:type="dxa"/>
          <w:shd w:val="clear" w:color="auto" w:fill="auto"/>
          <w:vAlign w:val="center"/>
        </w:tcPr>
        <w:p w:rsidR="00A56D22" w:rsidRPr="00563CB8" w:rsidRDefault="00A56D22" w:rsidP="007017EB">
          <w:pPr>
            <w:jc w:val="center"/>
          </w:pPr>
          <w:r w:rsidRPr="00563CB8">
            <w:t>D R A F T</w:t>
          </w:r>
        </w:p>
      </w:tc>
      <w:tc>
        <w:tcPr>
          <w:tcW w:w="3438" w:type="dxa"/>
          <w:shd w:val="clear" w:color="auto" w:fill="auto"/>
        </w:tcPr>
        <w:p w:rsidR="00A56D22" w:rsidRPr="00E946A0" w:rsidRDefault="00A56D22" w:rsidP="007017EB">
          <w:pPr>
            <w:pStyle w:val="PageHeader"/>
            <w:jc w:val="right"/>
            <w:rPr>
              <w:b w:val="0"/>
            </w:rPr>
          </w:pPr>
          <w:r>
            <w:rPr>
              <w:b w:val="0"/>
            </w:rPr>
            <w:t>Grade 10 • Module 4 • Unit 2 • Lesson 23</w:t>
          </w:r>
        </w:p>
      </w:tc>
    </w:tr>
  </w:tbl>
  <w:p w:rsidR="00A56D22" w:rsidRPr="007017EB" w:rsidRDefault="00A56D22" w:rsidP="007017EB">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B5950"/>
    <w:multiLevelType w:val="hybridMultilevel"/>
    <w:tmpl w:val="18D646F2"/>
    <w:lvl w:ilvl="0" w:tplc="49C8140C">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8777492"/>
    <w:multiLevelType w:val="hybridMultilevel"/>
    <w:tmpl w:val="F2B8274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96D5ABD"/>
    <w:multiLevelType w:val="hybridMultilevel"/>
    <w:tmpl w:val="B358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5336F"/>
    <w:multiLevelType w:val="hybridMultilevel"/>
    <w:tmpl w:val="36025B7A"/>
    <w:lvl w:ilvl="0" w:tplc="C4405466">
      <w:start w:val="1"/>
      <w:numFmt w:val="bullet"/>
      <w:pStyle w:val="DCwithSR"/>
      <w:lvlText w:val=""/>
      <w:lvlJc w:val="left"/>
      <w:pPr>
        <w:ind w:left="1440" w:hanging="360"/>
      </w:pPr>
      <w:rPr>
        <w:rFonts w:ascii="Webdings" w:hAnsi="Webdings"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8C3417"/>
    <w:multiLevelType w:val="hybridMultilevel"/>
    <w:tmpl w:val="EC38C6D8"/>
    <w:lvl w:ilvl="0" w:tplc="F6EC464E">
      <w:start w:val="1"/>
      <w:numFmt w:val="decimal"/>
      <w:lvlText w:val="%1."/>
      <w:lvlJc w:val="left"/>
      <w:pPr>
        <w:ind w:left="360" w:hanging="360"/>
      </w:pPr>
      <w:rPr>
        <w:rFonts w:hint="default"/>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9F32E6D"/>
    <w:multiLevelType w:val="hybridMultilevel"/>
    <w:tmpl w:val="6B5ABABC"/>
    <w:lvl w:ilvl="0" w:tplc="B130EF86">
      <w:start w:val="1"/>
      <w:numFmt w:val="bullet"/>
      <w:lvlText w:val=""/>
      <w:lvlJc w:val="left"/>
      <w:pPr>
        <w:ind w:left="360" w:hanging="360"/>
      </w:pPr>
      <w:rPr>
        <w:rFonts w:ascii="Wingdings" w:hAnsi="Wingdings" w:hint="default"/>
      </w:rPr>
    </w:lvl>
    <w:lvl w:ilvl="1" w:tplc="C47690DA">
      <w:start w:val="1"/>
      <w:numFmt w:val="bullet"/>
      <w:lvlText w:val=""/>
      <w:lvlJc w:val="left"/>
      <w:pPr>
        <w:ind w:left="1080" w:hanging="360"/>
      </w:pPr>
      <w:rPr>
        <w:rFonts w:ascii="Wingdings 2" w:hAnsi="Wingdings 2" w:hint="default"/>
        <w:sz w:val="16"/>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C262C50"/>
    <w:multiLevelType w:val="hybridMultilevel"/>
    <w:tmpl w:val="7D4A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B34FA9"/>
    <w:multiLevelType w:val="hybridMultilevel"/>
    <w:tmpl w:val="3336278A"/>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B1732A"/>
    <w:multiLevelType w:val="hybridMultilevel"/>
    <w:tmpl w:val="E4ECD5DC"/>
    <w:lvl w:ilvl="0" w:tplc="17E40626">
      <w:start w:val="1"/>
      <w:numFmt w:val="lowerLetter"/>
      <w:pStyle w:val="SubStandar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lvlOverride w:ilvl="0">
      <w:startOverride w:val="1"/>
    </w:lvlOverride>
  </w:num>
  <w:num w:numId="2">
    <w:abstractNumId w:val="7"/>
    <w:lvlOverride w:ilvl="0">
      <w:startOverride w:val="1"/>
    </w:lvlOverride>
  </w:num>
  <w:num w:numId="3">
    <w:abstractNumId w:val="8"/>
  </w:num>
  <w:num w:numId="4">
    <w:abstractNumId w:val="9"/>
  </w:num>
  <w:num w:numId="5">
    <w:abstractNumId w:val="1"/>
  </w:num>
  <w:num w:numId="6">
    <w:abstractNumId w:val="11"/>
  </w:num>
  <w:num w:numId="7">
    <w:abstractNumId w:val="7"/>
    <w:lvlOverride w:ilvl="0">
      <w:startOverride w:val="1"/>
    </w:lvlOverride>
  </w:num>
  <w:num w:numId="8">
    <w:abstractNumId w:val="13"/>
  </w:num>
  <w:num w:numId="9">
    <w:abstractNumId w:val="3"/>
  </w:num>
  <w:num w:numId="10">
    <w:abstractNumId w:val="10"/>
  </w:num>
  <w:num w:numId="11">
    <w:abstractNumId w:val="14"/>
  </w:num>
  <w:num w:numId="12">
    <w:abstractNumId w:val="7"/>
  </w:num>
  <w:num w:numId="13">
    <w:abstractNumId w:val="7"/>
    <w:lvlOverride w:ilvl="0">
      <w:startOverride w:val="1"/>
    </w:lvlOverride>
  </w:num>
  <w:num w:numId="14">
    <w:abstractNumId w:val="6"/>
    <w:lvlOverride w:ilvl="0">
      <w:startOverride w:val="1"/>
    </w:lvlOverride>
  </w:num>
  <w:num w:numId="15">
    <w:abstractNumId w:val="13"/>
  </w:num>
  <w:num w:numId="16">
    <w:abstractNumId w:val="5"/>
  </w:num>
  <w:num w:numId="17">
    <w:abstractNumId w:val="0"/>
  </w:num>
  <w:num w:numId="18">
    <w:abstractNumId w:val="4"/>
  </w:num>
  <w:num w:numId="19">
    <w:abstractNumId w:val="12"/>
  </w:num>
  <w:num w:numId="20">
    <w:abstractNumId w:val="2"/>
  </w:num>
  <w:num w:numId="21">
    <w:abstractNumId w:val="14"/>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90BCC"/>
    <w:rsid w:val="00000ED5"/>
    <w:rsid w:val="000025B1"/>
    <w:rsid w:val="00002CC4"/>
    <w:rsid w:val="0000473A"/>
    <w:rsid w:val="00025379"/>
    <w:rsid w:val="000256D4"/>
    <w:rsid w:val="00087D4F"/>
    <w:rsid w:val="000A2438"/>
    <w:rsid w:val="000B06AB"/>
    <w:rsid w:val="000B3273"/>
    <w:rsid w:val="000B3A6F"/>
    <w:rsid w:val="000B62BB"/>
    <w:rsid w:val="000C28ED"/>
    <w:rsid w:val="000D346F"/>
    <w:rsid w:val="000D3A54"/>
    <w:rsid w:val="000D45DE"/>
    <w:rsid w:val="000E4F95"/>
    <w:rsid w:val="0010211B"/>
    <w:rsid w:val="00114946"/>
    <w:rsid w:val="00116656"/>
    <w:rsid w:val="001232FE"/>
    <w:rsid w:val="001247E8"/>
    <w:rsid w:val="001265A3"/>
    <w:rsid w:val="00144B97"/>
    <w:rsid w:val="001735F1"/>
    <w:rsid w:val="00187E62"/>
    <w:rsid w:val="00193FC7"/>
    <w:rsid w:val="001B2015"/>
    <w:rsid w:val="001D01D9"/>
    <w:rsid w:val="001D3DF6"/>
    <w:rsid w:val="001D465C"/>
    <w:rsid w:val="001D55E2"/>
    <w:rsid w:val="001E1C38"/>
    <w:rsid w:val="001F6781"/>
    <w:rsid w:val="00216CCD"/>
    <w:rsid w:val="00230CC3"/>
    <w:rsid w:val="00233FAF"/>
    <w:rsid w:val="002341C2"/>
    <w:rsid w:val="0026218E"/>
    <w:rsid w:val="00263163"/>
    <w:rsid w:val="00264F4F"/>
    <w:rsid w:val="0026562A"/>
    <w:rsid w:val="00276C0A"/>
    <w:rsid w:val="002833CC"/>
    <w:rsid w:val="00292650"/>
    <w:rsid w:val="002956ED"/>
    <w:rsid w:val="002A3F45"/>
    <w:rsid w:val="002C1334"/>
    <w:rsid w:val="002F28A0"/>
    <w:rsid w:val="002F428B"/>
    <w:rsid w:val="002F7075"/>
    <w:rsid w:val="002F7F17"/>
    <w:rsid w:val="00341F48"/>
    <w:rsid w:val="003675DF"/>
    <w:rsid w:val="00386639"/>
    <w:rsid w:val="0039126C"/>
    <w:rsid w:val="003A12EE"/>
    <w:rsid w:val="003A5239"/>
    <w:rsid w:val="003B153C"/>
    <w:rsid w:val="003B735D"/>
    <w:rsid w:val="003C6CC3"/>
    <w:rsid w:val="003D7A0F"/>
    <w:rsid w:val="003E5793"/>
    <w:rsid w:val="003F06D0"/>
    <w:rsid w:val="00426145"/>
    <w:rsid w:val="004266DB"/>
    <w:rsid w:val="00434859"/>
    <w:rsid w:val="00441896"/>
    <w:rsid w:val="00446646"/>
    <w:rsid w:val="00456722"/>
    <w:rsid w:val="00463F3B"/>
    <w:rsid w:val="00470F74"/>
    <w:rsid w:val="00473DA2"/>
    <w:rsid w:val="00480D66"/>
    <w:rsid w:val="00484268"/>
    <w:rsid w:val="004B3F74"/>
    <w:rsid w:val="004D0D50"/>
    <w:rsid w:val="004D1F82"/>
    <w:rsid w:val="004D52E9"/>
    <w:rsid w:val="004E5827"/>
    <w:rsid w:val="00540FEE"/>
    <w:rsid w:val="00544EED"/>
    <w:rsid w:val="0055165A"/>
    <w:rsid w:val="005628B7"/>
    <w:rsid w:val="005778CC"/>
    <w:rsid w:val="00584E4A"/>
    <w:rsid w:val="005A6F98"/>
    <w:rsid w:val="005B0D36"/>
    <w:rsid w:val="005D19E4"/>
    <w:rsid w:val="005E2C0B"/>
    <w:rsid w:val="005F6A20"/>
    <w:rsid w:val="00610A26"/>
    <w:rsid w:val="00611A6A"/>
    <w:rsid w:val="00611DE3"/>
    <w:rsid w:val="00621031"/>
    <w:rsid w:val="00637507"/>
    <w:rsid w:val="00643891"/>
    <w:rsid w:val="006447BD"/>
    <w:rsid w:val="00651198"/>
    <w:rsid w:val="00673B6C"/>
    <w:rsid w:val="00683776"/>
    <w:rsid w:val="00687687"/>
    <w:rsid w:val="00690918"/>
    <w:rsid w:val="00695C07"/>
    <w:rsid w:val="006A0978"/>
    <w:rsid w:val="006B2F43"/>
    <w:rsid w:val="006C1DB8"/>
    <w:rsid w:val="006C4C92"/>
    <w:rsid w:val="006F37E2"/>
    <w:rsid w:val="007011A9"/>
    <w:rsid w:val="007017EB"/>
    <w:rsid w:val="00703D8E"/>
    <w:rsid w:val="007140E5"/>
    <w:rsid w:val="00716489"/>
    <w:rsid w:val="007209DE"/>
    <w:rsid w:val="007236C9"/>
    <w:rsid w:val="007318D2"/>
    <w:rsid w:val="007405AC"/>
    <w:rsid w:val="007471E1"/>
    <w:rsid w:val="00754828"/>
    <w:rsid w:val="0075654F"/>
    <w:rsid w:val="007765DF"/>
    <w:rsid w:val="00790BCC"/>
    <w:rsid w:val="00793989"/>
    <w:rsid w:val="00797536"/>
    <w:rsid w:val="007B0594"/>
    <w:rsid w:val="007D2598"/>
    <w:rsid w:val="007E484F"/>
    <w:rsid w:val="007F4827"/>
    <w:rsid w:val="0080009F"/>
    <w:rsid w:val="00812C72"/>
    <w:rsid w:val="008223E2"/>
    <w:rsid w:val="00827906"/>
    <w:rsid w:val="00840973"/>
    <w:rsid w:val="008662D4"/>
    <w:rsid w:val="00871E6E"/>
    <w:rsid w:val="00886F14"/>
    <w:rsid w:val="008B06A0"/>
    <w:rsid w:val="008C0C15"/>
    <w:rsid w:val="008C35A6"/>
    <w:rsid w:val="008C3DF6"/>
    <w:rsid w:val="008D60A1"/>
    <w:rsid w:val="008D71F5"/>
    <w:rsid w:val="008E0122"/>
    <w:rsid w:val="008F6474"/>
    <w:rsid w:val="00902CF8"/>
    <w:rsid w:val="00914AD7"/>
    <w:rsid w:val="00917350"/>
    <w:rsid w:val="0092572B"/>
    <w:rsid w:val="00927C1D"/>
    <w:rsid w:val="009450B7"/>
    <w:rsid w:val="009450F1"/>
    <w:rsid w:val="009461C2"/>
    <w:rsid w:val="0095004F"/>
    <w:rsid w:val="00955DD1"/>
    <w:rsid w:val="0096221D"/>
    <w:rsid w:val="00967F9F"/>
    <w:rsid w:val="00974781"/>
    <w:rsid w:val="00985128"/>
    <w:rsid w:val="009B294A"/>
    <w:rsid w:val="009E459F"/>
    <w:rsid w:val="009F1DCC"/>
    <w:rsid w:val="009F49E0"/>
    <w:rsid w:val="00A03FA0"/>
    <w:rsid w:val="00A065AA"/>
    <w:rsid w:val="00A126C4"/>
    <w:rsid w:val="00A47E5F"/>
    <w:rsid w:val="00A551B5"/>
    <w:rsid w:val="00A56D22"/>
    <w:rsid w:val="00A57645"/>
    <w:rsid w:val="00A7704A"/>
    <w:rsid w:val="00A91C63"/>
    <w:rsid w:val="00AB758D"/>
    <w:rsid w:val="00AC1977"/>
    <w:rsid w:val="00AD0910"/>
    <w:rsid w:val="00AE2F58"/>
    <w:rsid w:val="00AF128E"/>
    <w:rsid w:val="00B0629A"/>
    <w:rsid w:val="00B335F0"/>
    <w:rsid w:val="00B37A96"/>
    <w:rsid w:val="00B41738"/>
    <w:rsid w:val="00B47421"/>
    <w:rsid w:val="00B75365"/>
    <w:rsid w:val="00B8723C"/>
    <w:rsid w:val="00B95EAE"/>
    <w:rsid w:val="00BA099E"/>
    <w:rsid w:val="00BA2A9F"/>
    <w:rsid w:val="00BA4F52"/>
    <w:rsid w:val="00BC7EFA"/>
    <w:rsid w:val="00BD09B6"/>
    <w:rsid w:val="00BD0A25"/>
    <w:rsid w:val="00BD68FC"/>
    <w:rsid w:val="00BE420D"/>
    <w:rsid w:val="00BE616B"/>
    <w:rsid w:val="00BF62DF"/>
    <w:rsid w:val="00C00F9B"/>
    <w:rsid w:val="00C062A9"/>
    <w:rsid w:val="00C1390E"/>
    <w:rsid w:val="00C15CBF"/>
    <w:rsid w:val="00C3526E"/>
    <w:rsid w:val="00C459E9"/>
    <w:rsid w:val="00C5268D"/>
    <w:rsid w:val="00C61F75"/>
    <w:rsid w:val="00C62D5D"/>
    <w:rsid w:val="00CA0AE7"/>
    <w:rsid w:val="00CA75BF"/>
    <w:rsid w:val="00CB3066"/>
    <w:rsid w:val="00CB3C3A"/>
    <w:rsid w:val="00CC3868"/>
    <w:rsid w:val="00CC42AB"/>
    <w:rsid w:val="00CD2E53"/>
    <w:rsid w:val="00CD7FBB"/>
    <w:rsid w:val="00CE1DEF"/>
    <w:rsid w:val="00CE4139"/>
    <w:rsid w:val="00CE61DD"/>
    <w:rsid w:val="00CF09E3"/>
    <w:rsid w:val="00D272D0"/>
    <w:rsid w:val="00D30FAF"/>
    <w:rsid w:val="00D31F4D"/>
    <w:rsid w:val="00D353A2"/>
    <w:rsid w:val="00D379E9"/>
    <w:rsid w:val="00D43571"/>
    <w:rsid w:val="00D45FA7"/>
    <w:rsid w:val="00D55987"/>
    <w:rsid w:val="00D65CF1"/>
    <w:rsid w:val="00D666DF"/>
    <w:rsid w:val="00D75887"/>
    <w:rsid w:val="00D769DB"/>
    <w:rsid w:val="00D83A48"/>
    <w:rsid w:val="00D90E4C"/>
    <w:rsid w:val="00DA3E16"/>
    <w:rsid w:val="00DB78A2"/>
    <w:rsid w:val="00DE7A68"/>
    <w:rsid w:val="00E01CCE"/>
    <w:rsid w:val="00E038FD"/>
    <w:rsid w:val="00E61B24"/>
    <w:rsid w:val="00E62B06"/>
    <w:rsid w:val="00E92C6C"/>
    <w:rsid w:val="00EA5069"/>
    <w:rsid w:val="00EB30C8"/>
    <w:rsid w:val="00EB4EAE"/>
    <w:rsid w:val="00EB6803"/>
    <w:rsid w:val="00EC07C7"/>
    <w:rsid w:val="00F11153"/>
    <w:rsid w:val="00F26D33"/>
    <w:rsid w:val="00F40F05"/>
    <w:rsid w:val="00F46D00"/>
    <w:rsid w:val="00F54D2A"/>
    <w:rsid w:val="00F55A2B"/>
    <w:rsid w:val="00F60C2E"/>
    <w:rsid w:val="00F63D0F"/>
    <w:rsid w:val="00F722CD"/>
    <w:rsid w:val="00F830C7"/>
    <w:rsid w:val="00F8531E"/>
    <w:rsid w:val="00FB69EC"/>
    <w:rsid w:val="00FC38A9"/>
    <w:rsid w:val="00FD3350"/>
    <w:rsid w:val="00FD4EFA"/>
    <w:rsid w:val="00FF11E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8E17F4-D3CD-493C-9CC9-D56B8264A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5268D"/>
    <w:pPr>
      <w:spacing w:before="60" w:after="180" w:line="276" w:lineRule="auto"/>
    </w:pPr>
    <w:rPr>
      <w:rFonts w:ascii="Calibri" w:eastAsia="Calibri" w:hAnsi="Calibri" w:cs="Times New Roman"/>
    </w:rPr>
  </w:style>
  <w:style w:type="paragraph" w:styleId="Heading1">
    <w:name w:val="heading 1"/>
    <w:aliases w:val="*Headers"/>
    <w:basedOn w:val="Normal"/>
    <w:next w:val="Normal"/>
    <w:link w:val="Heading1Char"/>
    <w:uiPriority w:val="9"/>
    <w:qFormat/>
    <w:rsid w:val="00C5268D"/>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rsid w:val="00C5268D"/>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C5268D"/>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5268D"/>
    <w:pPr>
      <w:tabs>
        <w:tab w:val="center" w:pos="4320"/>
        <w:tab w:val="right" w:pos="8640"/>
      </w:tabs>
    </w:pPr>
    <w:rPr>
      <w:rFonts w:ascii="Times New Roman" w:hAnsi="Times New Roman"/>
      <w:sz w:val="20"/>
    </w:rPr>
  </w:style>
  <w:style w:type="character" w:customStyle="1" w:styleId="FooterChar">
    <w:name w:val="Footer Char"/>
    <w:link w:val="Footer"/>
    <w:uiPriority w:val="99"/>
    <w:rsid w:val="00C5268D"/>
    <w:rPr>
      <w:rFonts w:ascii="Times New Roman" w:eastAsia="Calibri" w:hAnsi="Times New Roman" w:cs="Times New Roman"/>
      <w:sz w:val="20"/>
    </w:rPr>
  </w:style>
  <w:style w:type="character" w:styleId="PageNumber">
    <w:name w:val="page number"/>
    <w:uiPriority w:val="99"/>
    <w:rsid w:val="00C5268D"/>
    <w:rPr>
      <w:rFonts w:cs="Times New Roman"/>
    </w:rPr>
  </w:style>
  <w:style w:type="character" w:styleId="Hyperlink">
    <w:name w:val="Hyperlink"/>
    <w:uiPriority w:val="99"/>
    <w:unhideWhenUsed/>
    <w:rsid w:val="00C5268D"/>
    <w:rPr>
      <w:color w:val="0000FF"/>
      <w:u w:val="single"/>
    </w:rPr>
  </w:style>
  <w:style w:type="table" w:styleId="TableGrid">
    <w:name w:val="Table Grid"/>
    <w:basedOn w:val="TableNormal"/>
    <w:uiPriority w:val="59"/>
    <w:rsid w:val="00C5268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lio">
    <w:name w:val="folio"/>
    <w:basedOn w:val="Normal"/>
    <w:link w:val="folioChar"/>
    <w:rsid w:val="00C5268D"/>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NumberedList">
    <w:name w:val="*Numbered List"/>
    <w:link w:val="NumberedListChar"/>
    <w:qFormat/>
    <w:rsid w:val="00C5268D"/>
    <w:pPr>
      <w:numPr>
        <w:numId w:val="7"/>
      </w:numPr>
      <w:spacing w:after="60" w:line="240" w:lineRule="auto"/>
    </w:pPr>
    <w:rPr>
      <w:rFonts w:ascii="Calibri" w:eastAsia="Calibri" w:hAnsi="Calibri" w:cs="Times New Roman"/>
    </w:rPr>
  </w:style>
  <w:style w:type="paragraph" w:customStyle="1" w:styleId="PageHeader">
    <w:name w:val="*PageHeader"/>
    <w:link w:val="PageHeaderChar"/>
    <w:qFormat/>
    <w:rsid w:val="00C5268D"/>
    <w:pPr>
      <w:spacing w:before="120" w:after="0" w:line="240" w:lineRule="auto"/>
    </w:pPr>
    <w:rPr>
      <w:rFonts w:ascii="Calibri" w:eastAsia="Calibri" w:hAnsi="Calibri" w:cs="Times New Roman"/>
      <w:b/>
      <w:sz w:val="18"/>
    </w:rPr>
  </w:style>
  <w:style w:type="character" w:customStyle="1" w:styleId="PageHeaderChar">
    <w:name w:val="*PageHeader Char"/>
    <w:basedOn w:val="DefaultParagraphFont"/>
    <w:link w:val="PageHeader"/>
    <w:rsid w:val="00C5268D"/>
    <w:rPr>
      <w:rFonts w:ascii="Calibri" w:eastAsia="Calibri" w:hAnsi="Calibri" w:cs="Times New Roman"/>
      <w:b/>
      <w:sz w:val="18"/>
    </w:rPr>
  </w:style>
  <w:style w:type="paragraph" w:customStyle="1" w:styleId="FooterText">
    <w:name w:val="*FooterText"/>
    <w:link w:val="FooterTextChar"/>
    <w:qFormat/>
    <w:rsid w:val="00C5268D"/>
    <w:pPr>
      <w:spacing w:after="0" w:line="200" w:lineRule="exact"/>
    </w:pPr>
    <w:rPr>
      <w:rFonts w:ascii="Calibri" w:eastAsia="Verdana" w:hAnsi="Calibri" w:cs="Calibri"/>
      <w:b/>
      <w:color w:val="595959"/>
      <w:sz w:val="14"/>
    </w:rPr>
  </w:style>
  <w:style w:type="character" w:customStyle="1" w:styleId="folioChar">
    <w:name w:val="folio Char"/>
    <w:basedOn w:val="DefaultParagraphFont"/>
    <w:link w:val="folio"/>
    <w:rsid w:val="00C5268D"/>
    <w:rPr>
      <w:rFonts w:ascii="Verdana" w:eastAsia="Verdana" w:hAnsi="Verdana" w:cs="Verdana"/>
      <w:color w:val="595959"/>
      <w:sz w:val="16"/>
    </w:rPr>
  </w:style>
  <w:style w:type="character" w:customStyle="1" w:styleId="FooterTextChar">
    <w:name w:val="FooterText Char"/>
    <w:basedOn w:val="folioChar"/>
    <w:link w:val="FooterText"/>
    <w:rsid w:val="00C5268D"/>
    <w:rPr>
      <w:rFonts w:ascii="Calibri" w:eastAsia="Verdana" w:hAnsi="Calibri" w:cs="Calibri"/>
      <w:b/>
      <w:color w:val="595959"/>
      <w:sz w:val="14"/>
    </w:rPr>
  </w:style>
  <w:style w:type="paragraph" w:styleId="Header">
    <w:name w:val="header"/>
    <w:basedOn w:val="Normal"/>
    <w:link w:val="HeaderChar"/>
    <w:uiPriority w:val="99"/>
    <w:unhideWhenUsed/>
    <w:rsid w:val="00C5268D"/>
    <w:pPr>
      <w:tabs>
        <w:tab w:val="center" w:pos="4680"/>
        <w:tab w:val="right" w:pos="9360"/>
      </w:tabs>
    </w:pPr>
    <w:rPr>
      <w:sz w:val="20"/>
    </w:rPr>
  </w:style>
  <w:style w:type="character" w:customStyle="1" w:styleId="HeaderChar">
    <w:name w:val="Header Char"/>
    <w:link w:val="Header"/>
    <w:uiPriority w:val="99"/>
    <w:rsid w:val="00C5268D"/>
    <w:rPr>
      <w:rFonts w:ascii="Calibri" w:eastAsia="Calibri" w:hAnsi="Calibri" w:cs="Times New Roman"/>
      <w:sz w:val="20"/>
    </w:rPr>
  </w:style>
  <w:style w:type="paragraph" w:customStyle="1" w:styleId="BR">
    <w:name w:val="*BR*"/>
    <w:link w:val="BRChar"/>
    <w:qFormat/>
    <w:rsid w:val="00C5268D"/>
    <w:pPr>
      <w:pBdr>
        <w:bottom w:val="single" w:sz="12" w:space="1" w:color="7F7F7F" w:themeColor="text1" w:themeTint="80"/>
      </w:pBdr>
      <w:spacing w:after="360" w:line="240" w:lineRule="auto"/>
      <w:ind w:left="2880" w:right="2880"/>
    </w:pPr>
    <w:rPr>
      <w:rFonts w:ascii="Calibri" w:eastAsia="Calibri" w:hAnsi="Calibri" w:cs="Times New Roman"/>
      <w:sz w:val="18"/>
    </w:rPr>
  </w:style>
  <w:style w:type="character" w:customStyle="1" w:styleId="BRChar">
    <w:name w:val="*BR* Char"/>
    <w:basedOn w:val="DefaultParagraphFont"/>
    <w:link w:val="BR"/>
    <w:rsid w:val="00C5268D"/>
    <w:rPr>
      <w:rFonts w:ascii="Calibri" w:eastAsia="Calibri" w:hAnsi="Calibri" w:cs="Times New Roman"/>
      <w:sz w:val="18"/>
    </w:rPr>
  </w:style>
  <w:style w:type="paragraph" w:customStyle="1" w:styleId="BulletedList">
    <w:name w:val="*Bulleted List"/>
    <w:link w:val="BulletedListChar"/>
    <w:qFormat/>
    <w:rsid w:val="00D43571"/>
    <w:pPr>
      <w:numPr>
        <w:numId w:val="4"/>
      </w:numPr>
      <w:spacing w:before="60" w:after="60" w:line="276" w:lineRule="auto"/>
      <w:ind w:left="360"/>
    </w:pPr>
    <w:rPr>
      <w:rFonts w:ascii="Calibri" w:eastAsia="Calibri" w:hAnsi="Calibri" w:cs="Times New Roman"/>
    </w:rPr>
  </w:style>
  <w:style w:type="character" w:customStyle="1" w:styleId="BulletedListChar">
    <w:name w:val="*Bulleted List Char"/>
    <w:basedOn w:val="DefaultParagraphFont"/>
    <w:link w:val="BulletedList"/>
    <w:rsid w:val="00D43571"/>
    <w:rPr>
      <w:rFonts w:ascii="Calibri" w:eastAsia="Calibri" w:hAnsi="Calibri" w:cs="Times New Roman"/>
    </w:rPr>
  </w:style>
  <w:style w:type="paragraph" w:customStyle="1" w:styleId="ExcerptAuthor">
    <w:name w:val="*ExcerptAuthor"/>
    <w:basedOn w:val="Normal"/>
    <w:link w:val="ExcerptAuthorChar"/>
    <w:qFormat/>
    <w:rsid w:val="00C5268D"/>
    <w:pPr>
      <w:jc w:val="center"/>
    </w:pPr>
    <w:rPr>
      <w:rFonts w:asciiTheme="majorHAnsi" w:hAnsiTheme="majorHAnsi"/>
      <w:b/>
    </w:rPr>
  </w:style>
  <w:style w:type="character" w:customStyle="1" w:styleId="ExcerptAuthorChar">
    <w:name w:val="*ExcerptAuthor Char"/>
    <w:basedOn w:val="DefaultParagraphFont"/>
    <w:link w:val="ExcerptAuthor"/>
    <w:rsid w:val="00C5268D"/>
    <w:rPr>
      <w:rFonts w:asciiTheme="majorHAnsi" w:eastAsia="Calibri" w:hAnsiTheme="majorHAnsi" w:cs="Times New Roman"/>
      <w:b/>
    </w:rPr>
  </w:style>
  <w:style w:type="paragraph" w:customStyle="1" w:styleId="ExcerptBody">
    <w:name w:val="*ExcerptBody"/>
    <w:basedOn w:val="Normal"/>
    <w:link w:val="ExcerptBodyChar"/>
    <w:qFormat/>
    <w:rsid w:val="00C5268D"/>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C5268D"/>
    <w:rPr>
      <w:rFonts w:ascii="Times New Roman" w:eastAsia="Times New Roman" w:hAnsi="Times New Roman" w:cs="Times New Roman"/>
      <w:color w:val="000000"/>
      <w:sz w:val="24"/>
      <w:szCs w:val="17"/>
    </w:rPr>
  </w:style>
  <w:style w:type="paragraph" w:customStyle="1" w:styleId="ExcerptTitle">
    <w:name w:val="*ExcerptTitle"/>
    <w:basedOn w:val="Normal"/>
    <w:link w:val="ExcerptTitleChar"/>
    <w:qFormat/>
    <w:rsid w:val="00C5268D"/>
    <w:pPr>
      <w:jc w:val="center"/>
    </w:pPr>
    <w:rPr>
      <w:rFonts w:asciiTheme="majorHAnsi" w:hAnsiTheme="majorHAnsi"/>
      <w:b/>
      <w:smallCaps/>
      <w:sz w:val="32"/>
    </w:rPr>
  </w:style>
  <w:style w:type="character" w:customStyle="1" w:styleId="ExcerptTitleChar">
    <w:name w:val="*ExcerptTitle Char"/>
    <w:basedOn w:val="DefaultParagraphFont"/>
    <w:link w:val="ExcerptTitle"/>
    <w:rsid w:val="00C5268D"/>
    <w:rPr>
      <w:rFonts w:asciiTheme="majorHAnsi" w:eastAsia="Calibri" w:hAnsiTheme="majorHAnsi" w:cs="Times New Roman"/>
      <w:b/>
      <w:smallCaps/>
      <w:sz w:val="32"/>
    </w:rPr>
  </w:style>
  <w:style w:type="paragraph" w:customStyle="1" w:styleId="IN">
    <w:name w:val="*IN*"/>
    <w:link w:val="INChar"/>
    <w:qFormat/>
    <w:rsid w:val="00CD7FBB"/>
    <w:pPr>
      <w:numPr>
        <w:numId w:val="5"/>
      </w:numPr>
      <w:spacing w:before="120" w:after="60" w:line="276" w:lineRule="auto"/>
      <w:ind w:left="360"/>
    </w:pPr>
    <w:rPr>
      <w:rFonts w:ascii="Calibri" w:eastAsia="Calibri" w:hAnsi="Calibri" w:cs="Times New Roman"/>
      <w:color w:val="4F81BD"/>
    </w:rPr>
  </w:style>
  <w:style w:type="character" w:customStyle="1" w:styleId="INChar">
    <w:name w:val="*IN* Char"/>
    <w:basedOn w:val="DefaultParagraphFont"/>
    <w:link w:val="IN"/>
    <w:rsid w:val="00CD7FBB"/>
    <w:rPr>
      <w:rFonts w:ascii="Calibri" w:eastAsia="Calibri" w:hAnsi="Calibri" w:cs="Times New Roman"/>
      <w:color w:val="4F81BD"/>
    </w:rPr>
  </w:style>
  <w:style w:type="paragraph" w:customStyle="1" w:styleId="INBullet">
    <w:name w:val="*IN* Bullet"/>
    <w:link w:val="INBulletChar"/>
    <w:qFormat/>
    <w:rsid w:val="00CD7FBB"/>
    <w:pPr>
      <w:numPr>
        <w:numId w:val="6"/>
      </w:numPr>
      <w:spacing w:after="60" w:line="276" w:lineRule="auto"/>
      <w:ind w:left="720"/>
    </w:pPr>
    <w:rPr>
      <w:rFonts w:ascii="Calibri" w:eastAsia="Calibri" w:hAnsi="Calibri" w:cs="Times New Roman"/>
      <w:color w:val="4F81BD"/>
    </w:rPr>
  </w:style>
  <w:style w:type="character" w:customStyle="1" w:styleId="INBulletChar">
    <w:name w:val="*IN* Bullet Char"/>
    <w:basedOn w:val="BulletedListChar"/>
    <w:link w:val="INBullet"/>
    <w:rsid w:val="00CD7FBB"/>
    <w:rPr>
      <w:rFonts w:ascii="Calibri" w:eastAsia="Calibri" w:hAnsi="Calibri" w:cs="Times New Roman"/>
      <w:color w:val="4F81BD"/>
    </w:rPr>
  </w:style>
  <w:style w:type="paragraph" w:customStyle="1" w:styleId="LearningSequenceHeader">
    <w:name w:val="*Learning Sequence Header"/>
    <w:next w:val="Normal"/>
    <w:link w:val="LearningSequenceHeaderChar"/>
    <w:qFormat/>
    <w:rsid w:val="00C5268D"/>
    <w:pPr>
      <w:pBdr>
        <w:bottom w:val="single" w:sz="12" w:space="1" w:color="9BBB59" w:themeColor="accent3"/>
      </w:pBdr>
      <w:tabs>
        <w:tab w:val="right" w:pos="9360"/>
      </w:tabs>
      <w:spacing w:before="480" w:after="0" w:line="240" w:lineRule="auto"/>
    </w:pPr>
    <w:rPr>
      <w:rFonts w:eastAsia="Calibri" w:cs="Times New Roman"/>
      <w:b/>
      <w:bCs/>
      <w:color w:val="4F81BD"/>
      <w:sz w:val="28"/>
      <w:szCs w:val="26"/>
    </w:rPr>
  </w:style>
  <w:style w:type="character" w:customStyle="1" w:styleId="LearningSequenceHeaderChar">
    <w:name w:val="*Learning Sequence Header Char"/>
    <w:basedOn w:val="DefaultParagraphFont"/>
    <w:link w:val="LearningSequenceHeader"/>
    <w:rsid w:val="00C5268D"/>
    <w:rPr>
      <w:rFonts w:eastAsia="Calibri" w:cs="Times New Roman"/>
      <w:b/>
      <w:bCs/>
      <w:color w:val="4F81BD"/>
      <w:sz w:val="28"/>
      <w:szCs w:val="26"/>
    </w:rPr>
  </w:style>
  <w:style w:type="character" w:customStyle="1" w:styleId="NumberedListChar">
    <w:name w:val="*Numbered List Char"/>
    <w:basedOn w:val="BulletedListChar"/>
    <w:link w:val="NumberedList"/>
    <w:rsid w:val="00C5268D"/>
    <w:rPr>
      <w:rFonts w:ascii="Calibri" w:eastAsia="Calibri" w:hAnsi="Calibri" w:cs="Times New Roman"/>
    </w:rPr>
  </w:style>
  <w:style w:type="paragraph" w:customStyle="1" w:styleId="Q">
    <w:name w:val="*Q*"/>
    <w:link w:val="QChar"/>
    <w:qFormat/>
    <w:rsid w:val="00C5268D"/>
    <w:pPr>
      <w:spacing w:before="240" w:after="0" w:line="276" w:lineRule="auto"/>
    </w:pPr>
    <w:rPr>
      <w:rFonts w:ascii="Calibri" w:eastAsia="Calibri" w:hAnsi="Calibri" w:cs="Times New Roman"/>
      <w:b/>
    </w:rPr>
  </w:style>
  <w:style w:type="character" w:customStyle="1" w:styleId="QChar">
    <w:name w:val="*Q* Char"/>
    <w:basedOn w:val="DefaultParagraphFont"/>
    <w:link w:val="Q"/>
    <w:rsid w:val="00C5268D"/>
    <w:rPr>
      <w:rFonts w:ascii="Calibri" w:eastAsia="Calibri" w:hAnsi="Calibri" w:cs="Times New Roman"/>
      <w:b/>
    </w:rPr>
  </w:style>
  <w:style w:type="paragraph" w:customStyle="1" w:styleId="SA">
    <w:name w:val="*SA*"/>
    <w:link w:val="SAChar"/>
    <w:qFormat/>
    <w:rsid w:val="00C5268D"/>
    <w:pPr>
      <w:numPr>
        <w:numId w:val="15"/>
      </w:numPr>
      <w:spacing w:before="120" w:after="0" w:line="276" w:lineRule="auto"/>
    </w:pPr>
    <w:rPr>
      <w:rFonts w:ascii="Calibri" w:eastAsia="Calibri" w:hAnsi="Calibri" w:cs="Times New Roman"/>
    </w:rPr>
  </w:style>
  <w:style w:type="character" w:customStyle="1" w:styleId="SAChar">
    <w:name w:val="*SA* Char"/>
    <w:basedOn w:val="DefaultParagraphFont"/>
    <w:link w:val="SA"/>
    <w:rsid w:val="00C5268D"/>
    <w:rPr>
      <w:rFonts w:ascii="Calibri" w:eastAsia="Calibri" w:hAnsi="Calibri" w:cs="Times New Roman"/>
    </w:rPr>
  </w:style>
  <w:style w:type="paragraph" w:customStyle="1" w:styleId="SASRBullet">
    <w:name w:val="*SA/SR Bullet"/>
    <w:basedOn w:val="Normal"/>
    <w:link w:val="SASRBulletChar"/>
    <w:qFormat/>
    <w:rsid w:val="00D43571"/>
    <w:pPr>
      <w:numPr>
        <w:ilvl w:val="1"/>
        <w:numId w:val="9"/>
      </w:numPr>
      <w:spacing w:before="120"/>
      <w:ind w:left="1080"/>
      <w:contextualSpacing/>
    </w:pPr>
  </w:style>
  <w:style w:type="character" w:customStyle="1" w:styleId="SASRBulletChar">
    <w:name w:val="*SA/SR Bullet Char"/>
    <w:basedOn w:val="DefaultParagraphFont"/>
    <w:link w:val="SASRBullet"/>
    <w:rsid w:val="00D43571"/>
    <w:rPr>
      <w:rFonts w:ascii="Calibri" w:eastAsia="Calibri" w:hAnsi="Calibri" w:cs="Times New Roman"/>
    </w:rPr>
  </w:style>
  <w:style w:type="paragraph" w:customStyle="1" w:styleId="SR">
    <w:name w:val="*SR*"/>
    <w:link w:val="SRChar"/>
    <w:qFormat/>
    <w:rsid w:val="00D43571"/>
    <w:pPr>
      <w:numPr>
        <w:numId w:val="10"/>
      </w:numPr>
      <w:spacing w:before="120" w:after="0" w:line="276" w:lineRule="auto"/>
      <w:ind w:left="720"/>
    </w:pPr>
    <w:rPr>
      <w:rFonts w:ascii="Calibri" w:eastAsia="Calibri" w:hAnsi="Calibri" w:cs="Times New Roman"/>
    </w:rPr>
  </w:style>
  <w:style w:type="character" w:customStyle="1" w:styleId="SRChar">
    <w:name w:val="*SR* Char"/>
    <w:basedOn w:val="DefaultParagraphFont"/>
    <w:link w:val="SR"/>
    <w:rsid w:val="00D43571"/>
    <w:rPr>
      <w:rFonts w:ascii="Calibri" w:eastAsia="Calibri" w:hAnsi="Calibri" w:cs="Times New Roman"/>
    </w:rPr>
  </w:style>
  <w:style w:type="paragraph" w:customStyle="1" w:styleId="TableText">
    <w:name w:val="*TableText"/>
    <w:link w:val="TableTextChar"/>
    <w:qFormat/>
    <w:rsid w:val="00C5268D"/>
    <w:pPr>
      <w:spacing w:before="40" w:after="40" w:line="276" w:lineRule="auto"/>
    </w:pPr>
    <w:rPr>
      <w:rFonts w:ascii="Calibri" w:eastAsia="Calibri" w:hAnsi="Calibri" w:cs="Times New Roman"/>
    </w:rPr>
  </w:style>
  <w:style w:type="character" w:customStyle="1" w:styleId="TableTextChar">
    <w:name w:val="*TableText Char"/>
    <w:basedOn w:val="DefaultParagraphFont"/>
    <w:link w:val="TableText"/>
    <w:rsid w:val="00C5268D"/>
    <w:rPr>
      <w:rFonts w:ascii="Calibri" w:eastAsia="Calibri" w:hAnsi="Calibri" w:cs="Times New Roman"/>
    </w:rPr>
  </w:style>
  <w:style w:type="paragraph" w:customStyle="1" w:styleId="SubStandard">
    <w:name w:val="*SubStandard"/>
    <w:basedOn w:val="TableText"/>
    <w:link w:val="SubStandardChar"/>
    <w:qFormat/>
    <w:rsid w:val="00C5268D"/>
    <w:pPr>
      <w:numPr>
        <w:numId w:val="11"/>
      </w:numPr>
    </w:pPr>
  </w:style>
  <w:style w:type="character" w:customStyle="1" w:styleId="SubStandardChar">
    <w:name w:val="*SubStandard Char"/>
    <w:basedOn w:val="TableTextChar"/>
    <w:link w:val="SubStandard"/>
    <w:rsid w:val="00C5268D"/>
    <w:rPr>
      <w:rFonts w:ascii="Calibri" w:eastAsia="Calibri" w:hAnsi="Calibri" w:cs="Times New Roman"/>
    </w:rPr>
  </w:style>
  <w:style w:type="paragraph" w:customStyle="1" w:styleId="TA">
    <w:name w:val="*TA*"/>
    <w:link w:val="TAChar"/>
    <w:qFormat/>
    <w:rsid w:val="00C5268D"/>
    <w:pPr>
      <w:spacing w:before="180" w:after="180" w:line="240" w:lineRule="auto"/>
    </w:pPr>
    <w:rPr>
      <w:rFonts w:ascii="Calibri" w:eastAsia="Calibri" w:hAnsi="Calibri" w:cs="Times New Roman"/>
    </w:rPr>
  </w:style>
  <w:style w:type="character" w:customStyle="1" w:styleId="TAChar">
    <w:name w:val="*TA* Char"/>
    <w:basedOn w:val="DefaultParagraphFont"/>
    <w:link w:val="TA"/>
    <w:rsid w:val="00C5268D"/>
    <w:rPr>
      <w:rFonts w:ascii="Calibri" w:eastAsia="Calibri" w:hAnsi="Calibri" w:cs="Times New Roman"/>
    </w:rPr>
  </w:style>
  <w:style w:type="paragraph" w:customStyle="1" w:styleId="TableHeaders">
    <w:name w:val="*TableHeaders"/>
    <w:basedOn w:val="Normal"/>
    <w:link w:val="TableHeadersChar"/>
    <w:qFormat/>
    <w:rsid w:val="00C5268D"/>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C5268D"/>
    <w:rPr>
      <w:rFonts w:ascii="Calibri" w:eastAsia="Calibri" w:hAnsi="Calibri" w:cs="Times New Roman"/>
      <w:b/>
      <w:color w:val="FFFFFF" w:themeColor="background1"/>
    </w:rPr>
  </w:style>
  <w:style w:type="paragraph" w:customStyle="1" w:styleId="ToolHeader">
    <w:name w:val="*ToolHeader"/>
    <w:link w:val="ToolHeaderChar"/>
    <w:qFormat/>
    <w:rsid w:val="00C5268D"/>
    <w:pPr>
      <w:spacing w:after="120" w:line="240" w:lineRule="auto"/>
    </w:pPr>
    <w:rPr>
      <w:rFonts w:eastAsia="Calibri" w:cs="Times New Roman"/>
      <w:b/>
      <w:bCs/>
      <w:color w:val="365F91"/>
      <w:sz w:val="32"/>
      <w:szCs w:val="28"/>
    </w:rPr>
  </w:style>
  <w:style w:type="paragraph" w:customStyle="1" w:styleId="ToolTableText">
    <w:name w:val="*ToolTableText"/>
    <w:qFormat/>
    <w:rsid w:val="00C5268D"/>
    <w:pPr>
      <w:spacing w:before="40" w:after="120" w:line="240" w:lineRule="auto"/>
    </w:pPr>
    <w:rPr>
      <w:rFonts w:ascii="Calibri" w:eastAsia="Calibri" w:hAnsi="Calibri" w:cs="Times New Roman"/>
    </w:rPr>
  </w:style>
  <w:style w:type="character" w:customStyle="1" w:styleId="apple-converted-space">
    <w:name w:val="apple-converted-space"/>
    <w:rsid w:val="00C5268D"/>
  </w:style>
  <w:style w:type="paragraph" w:styleId="BalloonText">
    <w:name w:val="Balloon Text"/>
    <w:basedOn w:val="Normal"/>
    <w:link w:val="BalloonTextChar"/>
    <w:uiPriority w:val="99"/>
    <w:semiHidden/>
    <w:unhideWhenUsed/>
    <w:rsid w:val="00C5268D"/>
    <w:rPr>
      <w:rFonts w:ascii="Tahoma" w:hAnsi="Tahoma"/>
      <w:sz w:val="16"/>
      <w:szCs w:val="16"/>
    </w:rPr>
  </w:style>
  <w:style w:type="character" w:customStyle="1" w:styleId="BalloonTextChar">
    <w:name w:val="Balloon Text Char"/>
    <w:link w:val="BalloonText"/>
    <w:uiPriority w:val="99"/>
    <w:semiHidden/>
    <w:rsid w:val="00C5268D"/>
    <w:rPr>
      <w:rFonts w:ascii="Tahoma" w:eastAsia="Calibri" w:hAnsi="Tahoma" w:cs="Times New Roman"/>
      <w:sz w:val="16"/>
      <w:szCs w:val="16"/>
    </w:rPr>
  </w:style>
  <w:style w:type="paragraph" w:styleId="BodyText">
    <w:name w:val="Body Text"/>
    <w:basedOn w:val="Normal"/>
    <w:link w:val="BodyTextChar"/>
    <w:rsid w:val="00C5268D"/>
    <w:pPr>
      <w:spacing w:after="120"/>
    </w:pPr>
  </w:style>
  <w:style w:type="character" w:customStyle="1" w:styleId="BodyTextChar">
    <w:name w:val="Body Text Char"/>
    <w:link w:val="BodyText"/>
    <w:rsid w:val="00C5268D"/>
    <w:rPr>
      <w:rFonts w:ascii="Calibri" w:eastAsia="Calibri" w:hAnsi="Calibri" w:cs="Times New Roman"/>
    </w:rPr>
  </w:style>
  <w:style w:type="paragraph" w:customStyle="1" w:styleId="ColorfulList-Accent11">
    <w:name w:val="Colorful List - Accent 11"/>
    <w:basedOn w:val="Normal"/>
    <w:uiPriority w:val="34"/>
    <w:rsid w:val="00C5268D"/>
    <w:pPr>
      <w:ind w:left="720"/>
      <w:contextualSpacing/>
    </w:pPr>
  </w:style>
  <w:style w:type="character" w:styleId="CommentReference">
    <w:name w:val="annotation reference"/>
    <w:uiPriority w:val="99"/>
    <w:semiHidden/>
    <w:unhideWhenUsed/>
    <w:rsid w:val="00C5268D"/>
    <w:rPr>
      <w:sz w:val="16"/>
      <w:szCs w:val="16"/>
    </w:rPr>
  </w:style>
  <w:style w:type="paragraph" w:styleId="CommentText">
    <w:name w:val="annotation text"/>
    <w:basedOn w:val="Normal"/>
    <w:link w:val="CommentTextChar"/>
    <w:uiPriority w:val="99"/>
    <w:unhideWhenUsed/>
    <w:rsid w:val="00C5268D"/>
    <w:rPr>
      <w:sz w:val="20"/>
    </w:rPr>
  </w:style>
  <w:style w:type="character" w:customStyle="1" w:styleId="CommentTextChar">
    <w:name w:val="Comment Text Char"/>
    <w:link w:val="CommentText"/>
    <w:uiPriority w:val="99"/>
    <w:rsid w:val="00C5268D"/>
    <w:rPr>
      <w:rFonts w:ascii="Calibri" w:eastAsia="Calibri" w:hAnsi="Calibri" w:cs="Times New Roman"/>
      <w:sz w:val="20"/>
    </w:rPr>
  </w:style>
  <w:style w:type="paragraph" w:styleId="CommentSubject">
    <w:name w:val="annotation subject"/>
    <w:basedOn w:val="CommentText"/>
    <w:next w:val="CommentText"/>
    <w:link w:val="CommentSubjectChar"/>
    <w:uiPriority w:val="99"/>
    <w:semiHidden/>
    <w:unhideWhenUsed/>
    <w:rsid w:val="00C5268D"/>
    <w:rPr>
      <w:b/>
      <w:bCs/>
    </w:rPr>
  </w:style>
  <w:style w:type="character" w:customStyle="1" w:styleId="CommentSubjectChar">
    <w:name w:val="Comment Subject Char"/>
    <w:link w:val="CommentSubject"/>
    <w:uiPriority w:val="99"/>
    <w:semiHidden/>
    <w:rsid w:val="00C5268D"/>
    <w:rPr>
      <w:rFonts w:ascii="Calibri" w:eastAsia="Calibri" w:hAnsi="Calibri" w:cs="Times New Roman"/>
      <w:b/>
      <w:bCs/>
      <w:sz w:val="20"/>
    </w:rPr>
  </w:style>
  <w:style w:type="character" w:styleId="FollowedHyperlink">
    <w:name w:val="FollowedHyperlink"/>
    <w:uiPriority w:val="99"/>
    <w:semiHidden/>
    <w:unhideWhenUsed/>
    <w:rsid w:val="00C5268D"/>
    <w:rPr>
      <w:color w:val="954F72"/>
      <w:u w:val="single"/>
    </w:rPr>
  </w:style>
  <w:style w:type="character" w:styleId="FootnoteReference">
    <w:name w:val="footnote reference"/>
    <w:basedOn w:val="DefaultParagraphFont"/>
    <w:uiPriority w:val="99"/>
    <w:semiHidden/>
    <w:unhideWhenUsed/>
    <w:rsid w:val="00C5268D"/>
    <w:rPr>
      <w:vertAlign w:val="superscript"/>
    </w:rPr>
  </w:style>
  <w:style w:type="paragraph" w:styleId="FootnoteText">
    <w:name w:val="footnote text"/>
    <w:basedOn w:val="Normal"/>
    <w:link w:val="FootnoteTextChar"/>
    <w:uiPriority w:val="99"/>
    <w:semiHidden/>
    <w:unhideWhenUsed/>
    <w:rsid w:val="00C5268D"/>
    <w:rPr>
      <w:sz w:val="20"/>
    </w:rPr>
  </w:style>
  <w:style w:type="character" w:customStyle="1" w:styleId="FootnoteTextChar">
    <w:name w:val="Footnote Text Char"/>
    <w:basedOn w:val="DefaultParagraphFont"/>
    <w:link w:val="FootnoteText"/>
    <w:uiPriority w:val="99"/>
    <w:semiHidden/>
    <w:rsid w:val="00C5268D"/>
    <w:rPr>
      <w:rFonts w:ascii="Calibri" w:eastAsia="Calibri" w:hAnsi="Calibri" w:cs="Times New Roman"/>
      <w:sz w:val="20"/>
    </w:rPr>
  </w:style>
  <w:style w:type="paragraph" w:customStyle="1" w:styleId="Header-banner">
    <w:name w:val="Header-banner"/>
    <w:rsid w:val="00D31F4D"/>
    <w:pPr>
      <w:spacing w:after="0" w:line="240" w:lineRule="auto"/>
      <w:ind w:left="43" w:right="43"/>
      <w:jc w:val="center"/>
    </w:pPr>
    <w:rPr>
      <w:rFonts w:ascii="Calibri" w:eastAsia="Calibri" w:hAnsi="Calibri" w:cs="Calibri"/>
      <w:b/>
      <w:bCs/>
      <w:caps/>
      <w:color w:val="FFFFFF"/>
      <w:sz w:val="44"/>
    </w:rPr>
  </w:style>
  <w:style w:type="paragraph" w:customStyle="1" w:styleId="Header2banner">
    <w:name w:val="Header2_banner"/>
    <w:basedOn w:val="Header-banner"/>
    <w:rsid w:val="00D31F4D"/>
    <w:pPr>
      <w:spacing w:line="440" w:lineRule="exact"/>
      <w:jc w:val="left"/>
    </w:pPr>
    <w:rPr>
      <w:caps w:val="0"/>
    </w:rPr>
  </w:style>
  <w:style w:type="character" w:customStyle="1" w:styleId="Heading1Char">
    <w:name w:val="Heading 1 Char"/>
    <w:aliases w:val="*Headers Char"/>
    <w:link w:val="Heading1"/>
    <w:uiPriority w:val="9"/>
    <w:rsid w:val="00C5268D"/>
    <w:rPr>
      <w:rFonts w:eastAsia="Calibri" w:cs="Times New Roman"/>
      <w:b/>
      <w:bCs/>
      <w:color w:val="365F91"/>
      <w:sz w:val="32"/>
      <w:szCs w:val="28"/>
    </w:rPr>
  </w:style>
  <w:style w:type="character" w:customStyle="1" w:styleId="Heading2Char">
    <w:name w:val="Heading 2 Char"/>
    <w:link w:val="Heading2"/>
    <w:uiPriority w:val="9"/>
    <w:rsid w:val="00C5268D"/>
    <w:rPr>
      <w:rFonts w:ascii="Cambria" w:eastAsia="Calibri" w:hAnsi="Cambria" w:cs="Times New Roman"/>
      <w:b/>
      <w:bCs/>
      <w:i/>
      <w:color w:val="4F81BD"/>
      <w:sz w:val="26"/>
      <w:szCs w:val="26"/>
    </w:rPr>
  </w:style>
  <w:style w:type="character" w:customStyle="1" w:styleId="Heading3Char">
    <w:name w:val="Heading 3 Char"/>
    <w:link w:val="Heading3"/>
    <w:uiPriority w:val="9"/>
    <w:rsid w:val="00C5268D"/>
    <w:rPr>
      <w:rFonts w:ascii="Cambria" w:eastAsia="Calibri" w:hAnsi="Cambria" w:cs="Times New Roman"/>
      <w:b/>
      <w:bCs/>
      <w:i/>
      <w:color w:val="7F7F7F"/>
      <w:sz w:val="20"/>
    </w:rPr>
  </w:style>
  <w:style w:type="paragraph" w:styleId="ListParagraph">
    <w:name w:val="List Paragraph"/>
    <w:basedOn w:val="Normal"/>
    <w:link w:val="ListParagraphChar"/>
    <w:uiPriority w:val="34"/>
    <w:rsid w:val="00C5268D"/>
    <w:pPr>
      <w:ind w:left="720"/>
      <w:contextualSpacing/>
    </w:pPr>
  </w:style>
  <w:style w:type="character" w:customStyle="1" w:styleId="ListParagraphChar">
    <w:name w:val="List Paragraph Char"/>
    <w:basedOn w:val="DefaultParagraphFont"/>
    <w:link w:val="ListParagraph"/>
    <w:uiPriority w:val="34"/>
    <w:rsid w:val="00C5268D"/>
    <w:rPr>
      <w:rFonts w:ascii="Calibri" w:eastAsia="Calibri" w:hAnsi="Calibri" w:cs="Times New Roman"/>
    </w:rPr>
  </w:style>
  <w:style w:type="paragraph" w:customStyle="1" w:styleId="MediumGrid1-Accent21">
    <w:name w:val="Medium Grid 1 - Accent 21"/>
    <w:basedOn w:val="Normal"/>
    <w:uiPriority w:val="34"/>
    <w:rsid w:val="00C5268D"/>
    <w:pPr>
      <w:ind w:left="720"/>
      <w:contextualSpacing/>
    </w:pPr>
  </w:style>
  <w:style w:type="paragraph" w:customStyle="1" w:styleId="MediumList2-Accent41">
    <w:name w:val="Medium List 2 - Accent 41"/>
    <w:basedOn w:val="Normal"/>
    <w:link w:val="MediumList2-Accent41Char"/>
    <w:uiPriority w:val="34"/>
    <w:rsid w:val="00C5268D"/>
    <w:pPr>
      <w:spacing w:after="200"/>
      <w:ind w:left="720"/>
      <w:contextualSpacing/>
    </w:pPr>
  </w:style>
  <w:style w:type="character" w:customStyle="1" w:styleId="MediumList2-Accent41Char">
    <w:name w:val="Medium List 2 - Accent 41 Char"/>
    <w:basedOn w:val="DefaultParagraphFont"/>
    <w:link w:val="MediumList2-Accent41"/>
    <w:uiPriority w:val="34"/>
    <w:rsid w:val="00C5268D"/>
    <w:rPr>
      <w:rFonts w:ascii="Calibri" w:eastAsia="Calibri" w:hAnsi="Calibri" w:cs="Times New Roman"/>
    </w:rPr>
  </w:style>
  <w:style w:type="paragraph" w:customStyle="1" w:styleId="NoSpacing1">
    <w:name w:val="No Spacing1"/>
    <w:link w:val="NoSpacingChar"/>
    <w:rsid w:val="00C5268D"/>
    <w:pPr>
      <w:spacing w:after="0" w:line="240" w:lineRule="auto"/>
    </w:pPr>
    <w:rPr>
      <w:rFonts w:ascii="Tahoma" w:eastAsia="Calibri" w:hAnsi="Tahoma" w:cs="Times New Roman"/>
      <w:sz w:val="19"/>
    </w:rPr>
  </w:style>
  <w:style w:type="character" w:customStyle="1" w:styleId="NoSpacingChar">
    <w:name w:val="No Spacing Char"/>
    <w:link w:val="NoSpacing1"/>
    <w:rsid w:val="00C5268D"/>
    <w:rPr>
      <w:rFonts w:ascii="Tahoma" w:eastAsia="Calibri" w:hAnsi="Tahoma" w:cs="Times New Roman"/>
      <w:sz w:val="19"/>
    </w:rPr>
  </w:style>
  <w:style w:type="paragraph" w:styleId="NormalWeb">
    <w:name w:val="Normal (Web)"/>
    <w:basedOn w:val="Normal"/>
    <w:uiPriority w:val="99"/>
    <w:unhideWhenUsed/>
    <w:rsid w:val="00C5268D"/>
    <w:pPr>
      <w:spacing w:before="100" w:beforeAutospacing="1" w:after="100" w:afterAutospacing="1"/>
    </w:pPr>
    <w:rPr>
      <w:rFonts w:ascii="Times New Roman" w:hAnsi="Times New Roman"/>
      <w:sz w:val="24"/>
      <w:szCs w:val="24"/>
    </w:rPr>
  </w:style>
  <w:style w:type="paragraph" w:customStyle="1" w:styleId="Pa4">
    <w:name w:val="Pa4"/>
    <w:basedOn w:val="Normal"/>
    <w:next w:val="Normal"/>
    <w:uiPriority w:val="99"/>
    <w:rsid w:val="00C5268D"/>
    <w:pPr>
      <w:autoSpaceDE w:val="0"/>
      <w:autoSpaceDN w:val="0"/>
      <w:adjustRightInd w:val="0"/>
      <w:spacing w:line="241" w:lineRule="atLeast"/>
    </w:pPr>
    <w:rPr>
      <w:rFonts w:ascii="Garamond" w:hAnsi="Garamond"/>
      <w:sz w:val="24"/>
      <w:szCs w:val="24"/>
    </w:rPr>
  </w:style>
  <w:style w:type="character" w:customStyle="1" w:styleId="reference-text">
    <w:name w:val="reference-text"/>
    <w:rsid w:val="00C5268D"/>
  </w:style>
  <w:style w:type="paragraph" w:styleId="Title">
    <w:name w:val="Title"/>
    <w:basedOn w:val="Normal"/>
    <w:next w:val="Normal"/>
    <w:link w:val="TitleChar"/>
    <w:uiPriority w:val="10"/>
    <w:rsid w:val="00C5268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5268D"/>
    <w:rPr>
      <w:rFonts w:ascii="Cambria" w:eastAsia="Calibri" w:hAnsi="Cambria" w:cs="Times New Roman"/>
      <w:color w:val="17365D"/>
      <w:spacing w:val="5"/>
      <w:kern w:val="28"/>
      <w:sz w:val="52"/>
      <w:szCs w:val="52"/>
    </w:rPr>
  </w:style>
  <w:style w:type="table" w:customStyle="1" w:styleId="TableGrid1">
    <w:name w:val="Table Grid1"/>
    <w:basedOn w:val="TableNormal"/>
    <w:next w:val="TableGrid"/>
    <w:uiPriority w:val="59"/>
    <w:rsid w:val="00D31F4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CwithQ">
    <w:name w:val="*DC* with *Q*"/>
    <w:basedOn w:val="Q"/>
    <w:qFormat/>
    <w:rsid w:val="00FD4EFA"/>
    <w:pPr>
      <w:ind w:left="360"/>
    </w:pPr>
    <w:rPr>
      <w:color w:val="4F81BD" w:themeColor="accent1"/>
    </w:rPr>
  </w:style>
  <w:style w:type="paragraph" w:customStyle="1" w:styleId="DCwithSA">
    <w:name w:val="*DC* with *SA*"/>
    <w:basedOn w:val="SA"/>
    <w:qFormat/>
    <w:rsid w:val="00FD4EFA"/>
    <w:rPr>
      <w:color w:val="4F81BD" w:themeColor="accent1"/>
    </w:rPr>
  </w:style>
  <w:style w:type="paragraph" w:customStyle="1" w:styleId="DCwithSR">
    <w:name w:val="*DC* with *SR*"/>
    <w:basedOn w:val="SR"/>
    <w:qFormat/>
    <w:rsid w:val="001735F1"/>
    <w:pPr>
      <w:numPr>
        <w:numId w:val="16"/>
      </w:numPr>
      <w:ind w:left="720"/>
    </w:pPr>
    <w:rPr>
      <w:color w:val="4F81BD" w:themeColor="accent1"/>
    </w:rPr>
  </w:style>
  <w:style w:type="character" w:customStyle="1" w:styleId="ToolHeaderChar">
    <w:name w:val="*ToolHeader Char"/>
    <w:basedOn w:val="DefaultParagraphFont"/>
    <w:link w:val="ToolHeader"/>
    <w:rsid w:val="00EB4EAE"/>
    <w:rPr>
      <w:rFonts w:eastAsia="Calibri" w:cs="Times New Roman"/>
      <w:b/>
      <w:bCs/>
      <w:color w:val="365F91"/>
      <w:sz w:val="32"/>
      <w:szCs w:val="28"/>
    </w:rPr>
  </w:style>
  <w:style w:type="paragraph" w:styleId="Revision">
    <w:name w:val="Revision"/>
    <w:hidden/>
    <w:uiPriority w:val="99"/>
    <w:semiHidden/>
    <w:rsid w:val="002A3F4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62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ageny.org/sites/default/files/resource/attachments/9-12_ela_prefatory_material.pdf" TargetMode="Externa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CCE7F-F296-44BB-BCE6-84B2FE1F7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3043</Words>
  <Characters>17349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PCG Education</dc:creator>
  <cp:keywords/>
  <dc:description/>
  <cp:lastModifiedBy>Chmielewski, Elizabeth</cp:lastModifiedBy>
  <cp:revision>2</cp:revision>
  <cp:lastPrinted>2014-06-16T14:52:00Z</cp:lastPrinted>
  <dcterms:created xsi:type="dcterms:W3CDTF">2014-06-25T15:24:00Z</dcterms:created>
  <dcterms:modified xsi:type="dcterms:W3CDTF">2014-06-25T15:24:00Z</dcterms:modified>
</cp:coreProperties>
</file>