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77E5BDF" w14:textId="77777777" w:rsidTr="00D14A2C">
        <w:trPr>
          <w:trHeight w:val="1008"/>
        </w:trPr>
        <w:tc>
          <w:tcPr>
            <w:tcW w:w="1980" w:type="dxa"/>
            <w:shd w:val="clear" w:color="auto" w:fill="385623"/>
            <w:vAlign w:val="center"/>
          </w:tcPr>
          <w:p w14:paraId="46E04C21" w14:textId="77777777" w:rsidR="00790BCC" w:rsidRPr="00D31F4D" w:rsidRDefault="006620B5"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25D56B33" w14:textId="77777777" w:rsidR="00790BCC" w:rsidRPr="00D31F4D" w:rsidRDefault="006620B5" w:rsidP="00D31F4D">
            <w:pPr>
              <w:pStyle w:val="Header2banner"/>
              <w:rPr>
                <w:rFonts w:asciiTheme="minorHAnsi" w:hAnsiTheme="minorHAnsi"/>
              </w:rPr>
            </w:pPr>
            <w:r>
              <w:rPr>
                <w:rFonts w:asciiTheme="minorHAnsi" w:hAnsiTheme="minorHAnsi"/>
              </w:rPr>
              <w:t>Lesson 22</w:t>
            </w:r>
          </w:p>
        </w:tc>
      </w:tr>
    </w:tbl>
    <w:p w14:paraId="15973369" w14:textId="77777777" w:rsidR="00790BCC" w:rsidRPr="00790BCC" w:rsidRDefault="00790BCC" w:rsidP="00D31F4D">
      <w:pPr>
        <w:pStyle w:val="Heading1"/>
      </w:pPr>
      <w:r w:rsidRPr="00790BCC">
        <w:t>Introduction</w:t>
      </w:r>
    </w:p>
    <w:p w14:paraId="536041D7" w14:textId="0310294D" w:rsidR="00EC23DC" w:rsidRDefault="006620B5" w:rsidP="006620B5">
      <w:r>
        <w:t xml:space="preserve">In this </w:t>
      </w:r>
      <w:r w:rsidR="00317535">
        <w:t xml:space="preserve">lesson, the </w:t>
      </w:r>
      <w:r w:rsidR="00355E34">
        <w:t xml:space="preserve">10.4.2 </w:t>
      </w:r>
      <w:r>
        <w:t xml:space="preserve">End-of-Unit Assessment, students craft a formal, multi-paragraph essay presenting an argument in response to the question of which character bears the most responsibility for the tragedy of </w:t>
      </w:r>
      <w:r>
        <w:rPr>
          <w:i/>
        </w:rPr>
        <w:t>Macbeth</w:t>
      </w:r>
      <w:r>
        <w:t>.</w:t>
      </w:r>
      <w:r w:rsidR="00B62764">
        <w:t xml:space="preserve"> </w:t>
      </w:r>
      <w:r>
        <w:t>Students review their annotated text, lesson Quick Writes, discussion notes, homework notes, and tools to organize their ideas. Students</w:t>
      </w:r>
      <w:r w:rsidR="00897B7E">
        <w:t xml:space="preserve"> then develop their arguments with supporting claims based on </w:t>
      </w:r>
      <w:r>
        <w:t xml:space="preserve">relevant </w:t>
      </w:r>
      <w:r w:rsidR="00897B7E">
        <w:t>evidence and valid reasoning.</w:t>
      </w:r>
      <w:r w:rsidR="00D07DDC">
        <w:t xml:space="preserve"> </w:t>
      </w:r>
      <w:r>
        <w:t xml:space="preserve">Student responses are assessed using the </w:t>
      </w:r>
      <w:r w:rsidR="00897B7E">
        <w:t xml:space="preserve">10.4.2 End-of-Unit </w:t>
      </w:r>
      <w:r>
        <w:t>Text Analysis</w:t>
      </w:r>
      <w:r w:rsidR="00892C66">
        <w:t xml:space="preserve"> Rubric</w:t>
      </w:r>
      <w:r w:rsidR="009047CA">
        <w:t xml:space="preserve">. </w:t>
      </w:r>
    </w:p>
    <w:p w14:paraId="649BFBDD" w14:textId="19338C52" w:rsidR="006620B5" w:rsidRPr="006620B5" w:rsidRDefault="009047CA" w:rsidP="006620B5">
      <w:r>
        <w:t xml:space="preserve">For homework, </w:t>
      </w:r>
      <w:r w:rsidR="00480C7E">
        <w:t xml:space="preserve">students reread Acts 1.1 and 1.3 in order to consider how Shakespeare uses these scenes to present information about the </w:t>
      </w:r>
      <w:r w:rsidR="004445BD">
        <w:t>W</w:t>
      </w:r>
      <w:r w:rsidR="00480C7E">
        <w:t xml:space="preserve">itches, other characters, and </w:t>
      </w:r>
      <w:r w:rsidR="00892C66">
        <w:t xml:space="preserve">the </w:t>
      </w:r>
      <w:r w:rsidR="00480C7E">
        <w:t xml:space="preserve">plot. </w:t>
      </w:r>
      <w:r w:rsidR="00FD6CDD">
        <w:t>S</w:t>
      </w:r>
      <w:r w:rsidR="00D07DDC">
        <w:t>tudents participating in the optional Lesson 23a of this unit</w:t>
      </w:r>
      <w:r w:rsidR="00480C7E">
        <w:t xml:space="preserve"> complete an alternative assignment </w:t>
      </w:r>
      <w:r w:rsidR="002B21B5">
        <w:t>in which they</w:t>
      </w:r>
      <w:r>
        <w:t xml:space="preserve"> pre</w:t>
      </w:r>
      <w:r w:rsidR="002B21B5">
        <w:t>pare to present</w:t>
      </w:r>
      <w:r>
        <w:t xml:space="preserve"> their arguments orally in small groups</w:t>
      </w:r>
      <w:r w:rsidR="00897B7E">
        <w:t xml:space="preserve">, referring to the </w:t>
      </w:r>
      <w:r w:rsidR="00E92122">
        <w:t xml:space="preserve">10.4.2 </w:t>
      </w:r>
      <w:r w:rsidR="00897B7E">
        <w:t xml:space="preserve">Speaking and Listening </w:t>
      </w:r>
      <w:r w:rsidR="00B66822">
        <w:t xml:space="preserve">Rubric and </w:t>
      </w:r>
      <w:r w:rsidR="00897B7E">
        <w:t>Checklist</w:t>
      </w:r>
      <w:r w:rsidR="00892C66">
        <w:t>. Students</w:t>
      </w:r>
      <w:r w:rsidR="00480C7E">
        <w:t xml:space="preserve"> reread Acts 1.1 and 1.3 as homework after presenting their oral arguments</w:t>
      </w:r>
      <w:r w:rsidR="00B135BB">
        <w:t>.</w:t>
      </w:r>
    </w:p>
    <w:p w14:paraId="4F1A3A61" w14:textId="699AE8B3"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5D032E6" w14:textId="77777777" w:rsidTr="00D14A2C">
        <w:tc>
          <w:tcPr>
            <w:tcW w:w="9360" w:type="dxa"/>
            <w:gridSpan w:val="2"/>
            <w:shd w:val="clear" w:color="auto" w:fill="76923C"/>
          </w:tcPr>
          <w:p w14:paraId="3C3E8710" w14:textId="77777777" w:rsidR="00790BCC" w:rsidRPr="00790BCC" w:rsidRDefault="00790BCC" w:rsidP="007017EB">
            <w:pPr>
              <w:pStyle w:val="TableHeaders"/>
            </w:pPr>
            <w:r w:rsidRPr="00790BCC">
              <w:t>Assessed Standard(s)</w:t>
            </w:r>
          </w:p>
        </w:tc>
      </w:tr>
      <w:tr w:rsidR="00790BCC" w:rsidRPr="00790BCC" w14:paraId="33B6D896" w14:textId="77777777" w:rsidTr="00D14A2C">
        <w:tc>
          <w:tcPr>
            <w:tcW w:w="1329" w:type="dxa"/>
          </w:tcPr>
          <w:p w14:paraId="5F3D8356" w14:textId="77777777" w:rsidR="00790BCC" w:rsidRPr="00790BCC" w:rsidRDefault="009047CA" w:rsidP="00D31F4D">
            <w:pPr>
              <w:pStyle w:val="TableText"/>
            </w:pPr>
            <w:r>
              <w:t>RL.9-10.3</w:t>
            </w:r>
          </w:p>
        </w:tc>
        <w:tc>
          <w:tcPr>
            <w:tcW w:w="8031" w:type="dxa"/>
          </w:tcPr>
          <w:p w14:paraId="55E455A7" w14:textId="77777777" w:rsidR="00790BCC" w:rsidRPr="00790BCC" w:rsidRDefault="009047CA" w:rsidP="009047CA">
            <w:pPr>
              <w:pStyle w:val="TableText"/>
            </w:pPr>
            <w:r>
              <w:t>Analyze how complex characters (e.g., those with multiple or conflicting motivations) develop over the course of a text, interact with other characters, and advance the plot or develop the theme.</w:t>
            </w:r>
          </w:p>
        </w:tc>
      </w:tr>
      <w:tr w:rsidR="009047CA" w:rsidRPr="00790BCC" w14:paraId="57C374D8" w14:textId="77777777" w:rsidTr="00D14A2C">
        <w:tc>
          <w:tcPr>
            <w:tcW w:w="1329" w:type="dxa"/>
          </w:tcPr>
          <w:p w14:paraId="089FC212" w14:textId="77777777" w:rsidR="009047CA" w:rsidRDefault="009047CA" w:rsidP="00D31F4D">
            <w:pPr>
              <w:pStyle w:val="TableText"/>
            </w:pPr>
            <w:r>
              <w:t>W.9-10.1</w:t>
            </w:r>
            <w:r w:rsidR="00B66822">
              <w:t>.a-e</w:t>
            </w:r>
          </w:p>
        </w:tc>
        <w:tc>
          <w:tcPr>
            <w:tcW w:w="8031" w:type="dxa"/>
          </w:tcPr>
          <w:p w14:paraId="73E4DC44" w14:textId="77777777" w:rsidR="009047CA" w:rsidRDefault="009047CA" w:rsidP="009047CA">
            <w:pPr>
              <w:pStyle w:val="TableText"/>
            </w:pPr>
            <w:r>
              <w:t xml:space="preserve">Write arguments to support claims in an analysis of substantive topics or texts, using valid reasoning and relevant and sufficient evidence. Explore and inquire into areas of interest to formulate an argument. </w:t>
            </w:r>
          </w:p>
          <w:p w14:paraId="2DE31198" w14:textId="77777777" w:rsidR="009047CA" w:rsidRDefault="009047CA" w:rsidP="00052A88">
            <w:pPr>
              <w:pStyle w:val="SubStandard"/>
            </w:pPr>
            <w:r>
              <w:t xml:space="preserve">Introduce precise claim(s), distinguish the claim(s) from alternate or opposing claims, and create an organization that establishes clear relationships among claim(s), counterclaims, reasons, and evidence. </w:t>
            </w:r>
          </w:p>
          <w:p w14:paraId="7B26B57A" w14:textId="77777777" w:rsidR="009047CA" w:rsidRDefault="009047CA" w:rsidP="00052A88">
            <w:pPr>
              <w:pStyle w:val="SubStandard"/>
            </w:pPr>
            <w:r>
              <w:t xml:space="preserve">Develop claim(s) and counterclaims fairly, supplying evidence for each while pointing out the strengths and limitations of both in a manner that anticipates the audience’s knowledge level and concerns. </w:t>
            </w:r>
          </w:p>
          <w:p w14:paraId="170D118B" w14:textId="77777777" w:rsidR="009047CA" w:rsidRDefault="009047CA" w:rsidP="00052A88">
            <w:pPr>
              <w:pStyle w:val="SubStandard"/>
            </w:pPr>
            <w:r>
              <w:t xml:space="preserve">Use words, phrases, and clauses to link the major sections of the text, create cohesion, and clarify the relationships between claim(s) and reasons, between </w:t>
            </w:r>
            <w:r>
              <w:lastRenderedPageBreak/>
              <w:t xml:space="preserve">reasons and evidence, and between claim(s) and counterclaims. </w:t>
            </w:r>
          </w:p>
          <w:p w14:paraId="6B66BDA9" w14:textId="77777777" w:rsidR="00C858EE" w:rsidRDefault="009047CA" w:rsidP="00052A88">
            <w:pPr>
              <w:pStyle w:val="SubStandard"/>
            </w:pPr>
            <w:r>
              <w:t xml:space="preserve">Establish and maintain a formal style and objective tone while attending to the norms and conventions of the discipline in which they are writing. </w:t>
            </w:r>
          </w:p>
          <w:p w14:paraId="5F86F720" w14:textId="77777777" w:rsidR="009047CA" w:rsidRPr="00790BCC" w:rsidRDefault="009047CA" w:rsidP="00052A88">
            <w:pPr>
              <w:pStyle w:val="SubStandard"/>
            </w:pPr>
            <w:r>
              <w:t>Provide a concluding statement or section tha</w:t>
            </w:r>
            <w:r w:rsidR="00C858EE">
              <w:t xml:space="preserve">t follows from and supports the </w:t>
            </w:r>
            <w:r>
              <w:t>argument presented.</w:t>
            </w:r>
          </w:p>
        </w:tc>
      </w:tr>
      <w:tr w:rsidR="0071650E" w:rsidRPr="00790BCC" w14:paraId="4EC4A4E5" w14:textId="77777777" w:rsidTr="00D14A2C">
        <w:tc>
          <w:tcPr>
            <w:tcW w:w="1329" w:type="dxa"/>
          </w:tcPr>
          <w:p w14:paraId="006663BB" w14:textId="77777777" w:rsidR="0071650E" w:rsidRDefault="0071650E" w:rsidP="00D31F4D">
            <w:pPr>
              <w:pStyle w:val="TableText"/>
            </w:pPr>
            <w:r>
              <w:lastRenderedPageBreak/>
              <w:t>L.9-10.1</w:t>
            </w:r>
            <w:r w:rsidR="0073046A">
              <w:t>.a-b</w:t>
            </w:r>
          </w:p>
        </w:tc>
        <w:tc>
          <w:tcPr>
            <w:tcW w:w="8031" w:type="dxa"/>
          </w:tcPr>
          <w:p w14:paraId="730CA791" w14:textId="77777777" w:rsidR="0071650E" w:rsidRDefault="0071650E" w:rsidP="009047CA">
            <w:pPr>
              <w:pStyle w:val="TableText"/>
            </w:pPr>
            <w:r>
              <w:t xml:space="preserve">Demonstrate command of the conventions of standard English grammar and usage when writing or speaking. </w:t>
            </w:r>
          </w:p>
          <w:p w14:paraId="47854D14" w14:textId="77777777" w:rsidR="00937174" w:rsidRDefault="0073046A">
            <w:pPr>
              <w:pStyle w:val="SubStandard"/>
              <w:numPr>
                <w:ilvl w:val="0"/>
                <w:numId w:val="23"/>
              </w:numPr>
            </w:pPr>
            <w:r>
              <w:t>Use parallel structure.</w:t>
            </w:r>
          </w:p>
          <w:p w14:paraId="5FEAD39A" w14:textId="77777777" w:rsidR="00937174" w:rsidRDefault="0073046A">
            <w:pPr>
              <w:pStyle w:val="SubStandard"/>
            </w:pPr>
            <w:r>
              <w:t>Use various types of phrases (noun, verb, adjectival, adverbial, participial, prepositional, absolute) and clauses (independent, dependent; noun, relative, adverbial) to convey specific meanings and add variety and interest to writing or presentations.</w:t>
            </w:r>
          </w:p>
        </w:tc>
      </w:tr>
      <w:tr w:rsidR="0071650E" w:rsidRPr="00790BCC" w14:paraId="6CC34128" w14:textId="77777777" w:rsidTr="00D14A2C">
        <w:tc>
          <w:tcPr>
            <w:tcW w:w="1329" w:type="dxa"/>
          </w:tcPr>
          <w:p w14:paraId="68F6B8E2" w14:textId="77777777" w:rsidR="0071650E" w:rsidRDefault="0071650E" w:rsidP="0073046A">
            <w:pPr>
              <w:pStyle w:val="TableText"/>
            </w:pPr>
            <w:r>
              <w:t>L.9-10.2.a-</w:t>
            </w:r>
            <w:r w:rsidR="0073046A">
              <w:t>c</w:t>
            </w:r>
          </w:p>
        </w:tc>
        <w:tc>
          <w:tcPr>
            <w:tcW w:w="8031" w:type="dxa"/>
          </w:tcPr>
          <w:p w14:paraId="5C1FB22E" w14:textId="77777777" w:rsidR="0071650E" w:rsidRDefault="0071650E" w:rsidP="0071650E">
            <w:pPr>
              <w:pStyle w:val="TableText"/>
            </w:pPr>
            <w:r>
              <w:t xml:space="preserve">Demonstrate command of the conventions of standard English capitalization, punctuation, and spelling when writing. </w:t>
            </w:r>
          </w:p>
          <w:p w14:paraId="4703871F" w14:textId="77777777" w:rsidR="0073046A" w:rsidRDefault="0073046A" w:rsidP="0073046A">
            <w:pPr>
              <w:pStyle w:val="SubStandard"/>
              <w:numPr>
                <w:ilvl w:val="0"/>
                <w:numId w:val="20"/>
              </w:numPr>
            </w:pPr>
            <w:r>
              <w:t>Use a semicolon (and perhaps a conjunctive adverb) to link two or more closely related independent clauses.</w:t>
            </w:r>
          </w:p>
          <w:p w14:paraId="6D638621" w14:textId="77777777" w:rsidR="0073046A" w:rsidRDefault="0073046A" w:rsidP="0073046A">
            <w:pPr>
              <w:pStyle w:val="SubStandard"/>
              <w:numPr>
                <w:ilvl w:val="0"/>
                <w:numId w:val="20"/>
              </w:numPr>
            </w:pPr>
            <w:r>
              <w:t>Use a colon to introduce a list or quotation.</w:t>
            </w:r>
          </w:p>
          <w:p w14:paraId="1E1D7FF9" w14:textId="77777777" w:rsidR="00937174" w:rsidRDefault="0073046A">
            <w:pPr>
              <w:pStyle w:val="SubStandard"/>
            </w:pPr>
            <w:r w:rsidRPr="0073046A">
              <w:t>Spell correctly.</w:t>
            </w:r>
          </w:p>
        </w:tc>
      </w:tr>
      <w:tr w:rsidR="0004648B" w:rsidRPr="00790BCC" w14:paraId="4A625742" w14:textId="77777777" w:rsidTr="00D14A2C">
        <w:tc>
          <w:tcPr>
            <w:tcW w:w="9360" w:type="dxa"/>
            <w:gridSpan w:val="2"/>
            <w:shd w:val="clear" w:color="auto" w:fill="76923C" w:themeFill="accent3" w:themeFillShade="BF"/>
          </w:tcPr>
          <w:p w14:paraId="19A7833C" w14:textId="77777777" w:rsidR="0004648B" w:rsidRPr="0004648B" w:rsidRDefault="00234CE0" w:rsidP="0004648B">
            <w:pPr>
              <w:pStyle w:val="TableText"/>
              <w:rPr>
                <w:b/>
                <w:color w:val="FFFFFF" w:themeColor="background1"/>
              </w:rPr>
            </w:pPr>
            <w:r w:rsidRPr="00234CE0">
              <w:rPr>
                <w:b/>
                <w:color w:val="FFFFFF" w:themeColor="background1"/>
              </w:rPr>
              <w:t>Addressed Standard(s)</w:t>
            </w:r>
          </w:p>
        </w:tc>
      </w:tr>
      <w:tr w:rsidR="0004648B" w:rsidRPr="00790BCC" w14:paraId="4F0DBBA5" w14:textId="77777777" w:rsidTr="00D14A2C">
        <w:tc>
          <w:tcPr>
            <w:tcW w:w="1329" w:type="dxa"/>
          </w:tcPr>
          <w:p w14:paraId="39BA5D3D" w14:textId="77777777" w:rsidR="0004648B" w:rsidRDefault="00364B1E" w:rsidP="0073046A">
            <w:pPr>
              <w:pStyle w:val="TableText"/>
            </w:pPr>
            <w:r>
              <w:t>W.9-10.9.a</w:t>
            </w:r>
          </w:p>
        </w:tc>
        <w:tc>
          <w:tcPr>
            <w:tcW w:w="8031" w:type="dxa"/>
          </w:tcPr>
          <w:p w14:paraId="3D97B3F8" w14:textId="77777777" w:rsidR="00BB5FB1" w:rsidRDefault="00BB5FB1" w:rsidP="00BB5FB1">
            <w:pPr>
              <w:pStyle w:val="TableText"/>
            </w:pPr>
            <w:r>
              <w:t>Draw evidence from literary or informational texts to support analysis, reflection, and research.</w:t>
            </w:r>
          </w:p>
          <w:p w14:paraId="7FDFFD84" w14:textId="77777777" w:rsidR="00937174" w:rsidRDefault="00BB5FB1">
            <w:pPr>
              <w:pStyle w:val="SubStandard"/>
              <w:numPr>
                <w:ilvl w:val="0"/>
                <w:numId w:val="25"/>
              </w:numPr>
            </w:pPr>
            <w:r>
              <w:t xml:space="preserve">Apply </w:t>
            </w:r>
            <w:r w:rsidRPr="00A16B96">
              <w:rPr>
                <w:i/>
              </w:rPr>
              <w:t>grades 9–10 Reading standards</w:t>
            </w:r>
            <w:r>
              <w:t xml:space="preserve"> to literature (e.g., “Analyze how an author draws on and transforms source material in a specific work [e.g., how Shakespeare treats a theme or topic from Ovid or the Bible or how a later author draws on a play by Shakespeare]”).</w:t>
            </w:r>
          </w:p>
        </w:tc>
      </w:tr>
      <w:tr w:rsidR="000E7CE5" w:rsidRPr="00790BCC" w14:paraId="33D337A9" w14:textId="77777777" w:rsidTr="00D14A2C">
        <w:tc>
          <w:tcPr>
            <w:tcW w:w="1329" w:type="dxa"/>
          </w:tcPr>
          <w:p w14:paraId="5CE48B2C" w14:textId="77777777" w:rsidR="000E7CE5" w:rsidRDefault="000E7CE5" w:rsidP="0073046A">
            <w:pPr>
              <w:pStyle w:val="TableText"/>
            </w:pPr>
            <w:r>
              <w:t>SL.9-10.4</w:t>
            </w:r>
          </w:p>
        </w:tc>
        <w:tc>
          <w:tcPr>
            <w:tcW w:w="8031" w:type="dxa"/>
          </w:tcPr>
          <w:p w14:paraId="46BBF5D8" w14:textId="77777777" w:rsidR="000E7CE5" w:rsidRPr="000E7CE5" w:rsidRDefault="000E7CE5" w:rsidP="00BB5FB1">
            <w:pPr>
              <w:pStyle w:val="TableText"/>
            </w:pPr>
            <w:r w:rsidRPr="000E7CE5">
              <w:t>Present information, findings, and supporting evidence clearly, concisely, and logically such that listeners can follow the line of reasoning and the organization, development, substance, and style are appropriate to purpose, audience, and task.</w:t>
            </w:r>
          </w:p>
        </w:tc>
      </w:tr>
    </w:tbl>
    <w:p w14:paraId="490B2037"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5A12DB0" w14:textId="77777777" w:rsidTr="00D14A2C">
        <w:tc>
          <w:tcPr>
            <w:tcW w:w="9360" w:type="dxa"/>
            <w:shd w:val="clear" w:color="auto" w:fill="76923C"/>
          </w:tcPr>
          <w:p w14:paraId="4ADFC54E" w14:textId="77777777" w:rsidR="00790BCC" w:rsidRPr="00790BCC" w:rsidRDefault="00790BCC" w:rsidP="007017EB">
            <w:pPr>
              <w:pStyle w:val="TableHeaders"/>
            </w:pPr>
            <w:r w:rsidRPr="00790BCC">
              <w:t>Assessment(s)</w:t>
            </w:r>
          </w:p>
        </w:tc>
      </w:tr>
      <w:tr w:rsidR="00790BCC" w:rsidRPr="00790BCC" w14:paraId="241A6594" w14:textId="77777777" w:rsidTr="00D14A2C">
        <w:tc>
          <w:tcPr>
            <w:tcW w:w="9360" w:type="dxa"/>
            <w:tcBorders>
              <w:top w:val="single" w:sz="4" w:space="0" w:color="auto"/>
              <w:left w:val="single" w:sz="4" w:space="0" w:color="auto"/>
              <w:bottom w:val="single" w:sz="4" w:space="0" w:color="auto"/>
              <w:right w:val="single" w:sz="4" w:space="0" w:color="auto"/>
            </w:tcBorders>
          </w:tcPr>
          <w:p w14:paraId="13625F14" w14:textId="0D073156" w:rsidR="00790BCC" w:rsidRPr="00790BCC" w:rsidRDefault="006620B5" w:rsidP="00D31F4D">
            <w:pPr>
              <w:pStyle w:val="TableText"/>
            </w:pPr>
            <w:r>
              <w:t>Student learning is assessed via a multi-paragraph response. Students respond to the following prompt, citing textual evidence to support analysis and inferences drawn from the text.</w:t>
            </w:r>
          </w:p>
          <w:p w14:paraId="3FE64733" w14:textId="797F7979" w:rsidR="00790BCC" w:rsidRPr="00C858EE" w:rsidRDefault="00C858EE" w:rsidP="00C858EE">
            <w:pPr>
              <w:pStyle w:val="BulletedList"/>
              <w:rPr>
                <w:rFonts w:ascii="Times" w:hAnsi="Times"/>
                <w:sz w:val="20"/>
                <w:szCs w:val="20"/>
              </w:rPr>
            </w:pPr>
            <w:r w:rsidRPr="00C858EE">
              <w:lastRenderedPageBreak/>
              <w:t xml:space="preserve">Select a central character from </w:t>
            </w:r>
            <w:r w:rsidRPr="00C858EE">
              <w:rPr>
                <w:i/>
                <w:iCs/>
              </w:rPr>
              <w:t>Macbeth</w:t>
            </w:r>
            <w:r w:rsidRPr="00C858EE">
              <w:t>. Write an argument about how this character is primarily responsible for the tragedy. Support your claims using evidence that draws on character development, interactions, plot</w:t>
            </w:r>
            <w:r w:rsidR="00317535">
              <w:t>,</w:t>
            </w:r>
            <w:r w:rsidRPr="00C858EE">
              <w:t xml:space="preserve"> and/or central ideas.</w:t>
            </w:r>
          </w:p>
          <w:p w14:paraId="00464D91" w14:textId="03280589" w:rsidR="006620B5" w:rsidRPr="00790BCC" w:rsidRDefault="006620B5" w:rsidP="00317535">
            <w:pPr>
              <w:pStyle w:val="IN"/>
            </w:pPr>
            <w:r>
              <w:t xml:space="preserve">Student responses will be evaluated using the </w:t>
            </w:r>
            <w:r w:rsidR="00BB5412">
              <w:t xml:space="preserve">10.4.2 End-of-Unit </w:t>
            </w:r>
            <w:r>
              <w:t xml:space="preserve">Text Analysis </w:t>
            </w:r>
            <w:r w:rsidR="00772B2B">
              <w:t>Rubric</w:t>
            </w:r>
            <w:r>
              <w:t>.</w:t>
            </w:r>
          </w:p>
        </w:tc>
      </w:tr>
      <w:tr w:rsidR="00790BCC" w:rsidRPr="00790BCC" w14:paraId="5A09B42D" w14:textId="77777777" w:rsidTr="00D14A2C">
        <w:tc>
          <w:tcPr>
            <w:tcW w:w="9360" w:type="dxa"/>
            <w:shd w:val="clear" w:color="auto" w:fill="76923C"/>
          </w:tcPr>
          <w:p w14:paraId="23B7B78F" w14:textId="77777777" w:rsidR="00790BCC" w:rsidRPr="00790BCC" w:rsidRDefault="00790BCC" w:rsidP="007017EB">
            <w:pPr>
              <w:pStyle w:val="TableHeaders"/>
            </w:pPr>
            <w:r w:rsidRPr="00790BCC">
              <w:lastRenderedPageBreak/>
              <w:t>High Performance Response(s)</w:t>
            </w:r>
          </w:p>
        </w:tc>
      </w:tr>
      <w:tr w:rsidR="00790BCC" w:rsidRPr="00790BCC" w14:paraId="6CFE6E29" w14:textId="77777777" w:rsidTr="00D14A2C">
        <w:tc>
          <w:tcPr>
            <w:tcW w:w="9360" w:type="dxa"/>
          </w:tcPr>
          <w:p w14:paraId="41520A46" w14:textId="77777777" w:rsidR="00790BCC" w:rsidRPr="00790BCC" w:rsidRDefault="00790BCC" w:rsidP="00D31F4D">
            <w:pPr>
              <w:pStyle w:val="TableText"/>
            </w:pPr>
            <w:r w:rsidRPr="00790BCC">
              <w:t>A High Performance Response should:</w:t>
            </w:r>
          </w:p>
          <w:p w14:paraId="0360F6CD" w14:textId="251A3919" w:rsidR="00790BCC" w:rsidRDefault="00052A88" w:rsidP="00D31F4D">
            <w:pPr>
              <w:pStyle w:val="BulletedList"/>
            </w:pPr>
            <w:r>
              <w:t xml:space="preserve">Identify a central character from </w:t>
            </w:r>
            <w:r w:rsidRPr="00EB0772">
              <w:rPr>
                <w:i/>
              </w:rPr>
              <w:t>Macbeth</w:t>
            </w:r>
            <w:r>
              <w:t xml:space="preserve"> (</w:t>
            </w:r>
            <w:r w:rsidR="00317535">
              <w:t>e.g.</w:t>
            </w:r>
            <w:r>
              <w:t xml:space="preserve">, the </w:t>
            </w:r>
            <w:r w:rsidR="00382AA2">
              <w:t>Wi</w:t>
            </w:r>
            <w:r w:rsidR="00B32A2A">
              <w:t>t</w:t>
            </w:r>
            <w:r w:rsidR="00382AA2">
              <w:t>ches</w:t>
            </w:r>
            <w:r>
              <w:t>, Macbeth, or Lady Macbeth) as primarily responsible for the tragedy.</w:t>
            </w:r>
          </w:p>
          <w:p w14:paraId="39E8C202" w14:textId="7A0D4992" w:rsidR="00052A88" w:rsidRDefault="00052A88" w:rsidP="00D31F4D">
            <w:pPr>
              <w:pStyle w:val="BulletedList"/>
            </w:pPr>
            <w:r>
              <w:t>Present a central claim about this character’s responsibility for the tragedy (</w:t>
            </w:r>
            <w:r w:rsidR="00904DDE">
              <w:t>e.g</w:t>
            </w:r>
            <w:r>
              <w:t xml:space="preserve">., </w:t>
            </w:r>
            <w:r w:rsidR="00904DDE">
              <w:t xml:space="preserve">The </w:t>
            </w:r>
            <w:r w:rsidR="00382AA2">
              <w:t>Wi</w:t>
            </w:r>
            <w:r w:rsidR="00B32A2A">
              <w:t>t</w:t>
            </w:r>
            <w:r w:rsidR="00382AA2">
              <w:t>ches</w:t>
            </w:r>
            <w:r>
              <w:t xml:space="preserve"> bear primary responsibility for the tragedy</w:t>
            </w:r>
            <w:r w:rsidR="00DB3350">
              <w:t>,</w:t>
            </w:r>
            <w:r>
              <w:t xml:space="preserve"> because they </w:t>
            </w:r>
            <w:r w:rsidR="00897B7E">
              <w:t>caused future events</w:t>
            </w:r>
            <w:r>
              <w:t>; Macbeth bears primary responsibility</w:t>
            </w:r>
            <w:r w:rsidR="00DB3350">
              <w:t>,</w:t>
            </w:r>
            <w:r>
              <w:t xml:space="preserve"> </w:t>
            </w:r>
            <w:r w:rsidR="00382AA2">
              <w:t xml:space="preserve">because he </w:t>
            </w:r>
            <w:r w:rsidR="00897B7E">
              <w:t xml:space="preserve">chose to kill Duncan to ensure the fulfillment of the </w:t>
            </w:r>
            <w:r w:rsidR="00382AA2">
              <w:t>Wi</w:t>
            </w:r>
            <w:r w:rsidR="00B32A2A">
              <w:t>t</w:t>
            </w:r>
            <w:r w:rsidR="00382AA2">
              <w:t>ches</w:t>
            </w:r>
            <w:r w:rsidR="00897B7E">
              <w:t>’ prophecy</w:t>
            </w:r>
            <w:r>
              <w:t>; Lady Macbeth bears primary responsibility</w:t>
            </w:r>
            <w:r w:rsidR="00B135BB">
              <w:t>,</w:t>
            </w:r>
            <w:r>
              <w:t xml:space="preserve"> because she </w:t>
            </w:r>
            <w:r w:rsidR="00897B7E">
              <w:t>arranged to have him kill Duncan in order to gain the crown</w:t>
            </w:r>
            <w:r>
              <w:t>).</w:t>
            </w:r>
          </w:p>
          <w:p w14:paraId="31678EA9" w14:textId="6ACC6FE8" w:rsidR="00052A88" w:rsidRDefault="00897B7E" w:rsidP="00D31F4D">
            <w:pPr>
              <w:pStyle w:val="BulletedList"/>
            </w:pPr>
            <w:r>
              <w:t>Support claims through the use of supporting claims (</w:t>
            </w:r>
            <w:r w:rsidR="0091797F">
              <w:t>e.g</w:t>
            </w:r>
            <w:r>
              <w:t xml:space="preserve">., </w:t>
            </w:r>
            <w:r w:rsidR="0091797F">
              <w:t>T</w:t>
            </w:r>
            <w:r>
              <w:t xml:space="preserve">he </w:t>
            </w:r>
            <w:r w:rsidR="00382AA2">
              <w:t>Wi</w:t>
            </w:r>
            <w:r w:rsidR="00B32A2A">
              <w:t>t</w:t>
            </w:r>
            <w:r w:rsidR="00382AA2">
              <w:t>ches</w:t>
            </w:r>
            <w:r>
              <w:t xml:space="preserve"> are spiteful and powerful supernatural forces who can control the future; Macbeth is an ambitious and violent man; Lady Macbeth is a </w:t>
            </w:r>
            <w:r w:rsidR="0013650F">
              <w:t>controlling and</w:t>
            </w:r>
            <w:r>
              <w:t xml:space="preserve"> ruthless </w:t>
            </w:r>
            <w:r w:rsidR="00A90888">
              <w:t>woman).</w:t>
            </w:r>
          </w:p>
          <w:p w14:paraId="6CD8AB41" w14:textId="67FC7B3E" w:rsidR="00CC3A67" w:rsidRDefault="00A90888" w:rsidP="00A90888">
            <w:pPr>
              <w:pStyle w:val="BulletedList"/>
            </w:pPr>
            <w:r>
              <w:t>Use relevant evidence and valid reasoning</w:t>
            </w:r>
            <w:r w:rsidR="002B21B5">
              <w:t xml:space="preserve">, such as the </w:t>
            </w:r>
            <w:r w:rsidR="00EC67A2">
              <w:t xml:space="preserve">following </w:t>
            </w:r>
            <w:r w:rsidR="002B21B5">
              <w:t>examples</w:t>
            </w:r>
            <w:r w:rsidR="00CC3A67">
              <w:t>:</w:t>
            </w:r>
          </w:p>
          <w:p w14:paraId="4F2ECFDA" w14:textId="049ECC5B" w:rsidR="00CC3A67" w:rsidRDefault="0091797F" w:rsidP="00BC4A89">
            <w:pPr>
              <w:pStyle w:val="BulletedList"/>
              <w:numPr>
                <w:ilvl w:val="0"/>
                <w:numId w:val="27"/>
              </w:numPr>
            </w:pPr>
            <w:r>
              <w:t xml:space="preserve">The </w:t>
            </w:r>
            <w:r w:rsidR="00382AA2">
              <w:t>Wi</w:t>
            </w:r>
            <w:r w:rsidR="00B32A2A">
              <w:t>t</w:t>
            </w:r>
            <w:r w:rsidR="00382AA2">
              <w:t>ches</w:t>
            </w:r>
            <w:r w:rsidR="00A90888">
              <w:t xml:space="preserve"> cast a spel</w:t>
            </w:r>
            <w:r w:rsidR="00C413D1">
              <w:t xml:space="preserve">l, saying, “The charm’s wound up” </w:t>
            </w:r>
            <w:r w:rsidR="001F3F19">
              <w:t>(</w:t>
            </w:r>
            <w:r w:rsidR="00A90888">
              <w:t>Act 1</w:t>
            </w:r>
            <w:r w:rsidR="00466411">
              <w:t>.</w:t>
            </w:r>
            <w:r w:rsidR="00A90888">
              <w:t>3</w:t>
            </w:r>
            <w:r w:rsidR="00B62764">
              <w:t>, line 38</w:t>
            </w:r>
            <w:r w:rsidR="001F3F19">
              <w:t xml:space="preserve">) </w:t>
            </w:r>
            <w:r w:rsidR="00A90888">
              <w:t>and “trade[d] and traffic[</w:t>
            </w:r>
            <w:r w:rsidR="00A478E7">
              <w:t>k</w:t>
            </w:r>
            <w:r w:rsidR="00A90888">
              <w:t xml:space="preserve">ed] with Macbeth / In riddles and affairs of death” </w:t>
            </w:r>
            <w:r w:rsidR="001F3F19">
              <w:t>(</w:t>
            </w:r>
            <w:r w:rsidR="00A90888">
              <w:t>Act 3</w:t>
            </w:r>
            <w:r w:rsidR="00466411">
              <w:t>.</w:t>
            </w:r>
            <w:r w:rsidR="00A90888">
              <w:t>5</w:t>
            </w:r>
            <w:r w:rsidR="00B62764">
              <w:t xml:space="preserve">, lines </w:t>
            </w:r>
            <w:r w:rsidR="00A90888">
              <w:t>4</w:t>
            </w:r>
            <w:r>
              <w:t>–</w:t>
            </w:r>
            <w:r w:rsidR="00A90888">
              <w:t>5</w:t>
            </w:r>
            <w:r w:rsidR="001F3F19">
              <w:t>)</w:t>
            </w:r>
            <w:r w:rsidR="00850BFB">
              <w:t xml:space="preserve">. </w:t>
            </w:r>
          </w:p>
          <w:p w14:paraId="51E8C61F" w14:textId="6296D925" w:rsidR="00CC3A67" w:rsidRPr="00BC4A89" w:rsidRDefault="00A90888" w:rsidP="00BC4A89">
            <w:pPr>
              <w:pStyle w:val="SASRBullet"/>
              <w:ind w:left="725"/>
            </w:pPr>
            <w:r w:rsidRPr="000C57AD">
              <w:t>Macbeth plotted from the very beginning to kill in order to obtain the crown</w:t>
            </w:r>
            <w:r w:rsidR="00C413D1" w:rsidRPr="000C57AD">
              <w:t>, noting in an aside, “The Prince of Cumberland! That is a step / On which I must fall down or</w:t>
            </w:r>
            <w:r w:rsidR="00B62764" w:rsidRPr="000C57AD">
              <w:t xml:space="preserve"> else</w:t>
            </w:r>
            <w:r w:rsidR="00C413D1" w:rsidRPr="000C57AD">
              <w:t xml:space="preserve"> o’erleap, / For in my way it lies” </w:t>
            </w:r>
            <w:r w:rsidR="001C56E6" w:rsidRPr="000C57AD">
              <w:t>(</w:t>
            </w:r>
            <w:r w:rsidR="00970F40" w:rsidRPr="000C57AD">
              <w:t>Act 1</w:t>
            </w:r>
            <w:r w:rsidR="00466411" w:rsidRPr="000C57AD">
              <w:t>.</w:t>
            </w:r>
            <w:r w:rsidR="00970F40" w:rsidRPr="000C57AD">
              <w:t>4</w:t>
            </w:r>
            <w:r w:rsidR="00B62764" w:rsidRPr="00CC7475">
              <w:t xml:space="preserve">, lines </w:t>
            </w:r>
            <w:r w:rsidR="00970F40" w:rsidRPr="00D8338E">
              <w:t>55</w:t>
            </w:r>
            <w:r w:rsidR="00C95E6E" w:rsidRPr="00D8338E">
              <w:t>–</w:t>
            </w:r>
            <w:r w:rsidR="00B62764" w:rsidRPr="00D8338E">
              <w:t>57</w:t>
            </w:r>
            <w:r w:rsidR="001C56E6" w:rsidRPr="00D8338E">
              <w:t>)</w:t>
            </w:r>
            <w:r w:rsidR="00850BFB" w:rsidRPr="00D8338E">
              <w:t>. He also</w:t>
            </w:r>
            <w:r w:rsidRPr="00D8338E">
              <w:t xml:space="preserve"> plots with Lady Macbeth to murder Duncan</w:t>
            </w:r>
            <w:r w:rsidR="00C413D1" w:rsidRPr="00BC4A89">
              <w:t>, suggesting</w:t>
            </w:r>
            <w:r w:rsidR="001C56E6" w:rsidRPr="00BC4A89">
              <w:t>,</w:t>
            </w:r>
            <w:r w:rsidR="00C413D1" w:rsidRPr="00BC4A89">
              <w:t xml:space="preserve"> “Will it not be received, / When we have marked with blood those sleepy two / Of his own chamber and used their very daggers, / That they have done</w:t>
            </w:r>
            <w:r w:rsidR="001C56E6" w:rsidRPr="00BC4A89">
              <w:t xml:space="preserve"> </w:t>
            </w:r>
            <w:r w:rsidR="00C413D1" w:rsidRPr="00BC4A89">
              <w:t>’t?”</w:t>
            </w:r>
            <w:r w:rsidRPr="00BC4A89">
              <w:t xml:space="preserve"> </w:t>
            </w:r>
            <w:r w:rsidR="001C56E6" w:rsidRPr="00BC4A89">
              <w:t>(</w:t>
            </w:r>
            <w:r w:rsidRPr="00BC4A89">
              <w:t>Act 1</w:t>
            </w:r>
            <w:r w:rsidR="00466411" w:rsidRPr="00BC4A89">
              <w:t>.</w:t>
            </w:r>
            <w:r w:rsidRPr="00BC4A89">
              <w:t>7</w:t>
            </w:r>
            <w:r w:rsidR="00B62764" w:rsidRPr="00BC4A89">
              <w:t xml:space="preserve">, lines </w:t>
            </w:r>
            <w:r w:rsidRPr="00BC4A89">
              <w:t>85</w:t>
            </w:r>
            <w:r w:rsidR="00C95E6E" w:rsidRPr="00BC4A89">
              <w:t>–</w:t>
            </w:r>
            <w:r w:rsidRPr="00BC4A89">
              <w:t>88</w:t>
            </w:r>
            <w:r w:rsidR="001C56E6" w:rsidRPr="00BC4A89">
              <w:t>)</w:t>
            </w:r>
            <w:r w:rsidRPr="00BC4A89">
              <w:t>. He continues on to plot the death of his friend, Banquo</w:t>
            </w:r>
            <w:r w:rsidR="0051452E" w:rsidRPr="00BC4A89">
              <w:t xml:space="preserve">, telling Lady Macbeth, “Ere the bat hath flown </w:t>
            </w:r>
            <w:r w:rsidR="001C56E6" w:rsidRPr="00BC4A89">
              <w:t>…</w:t>
            </w:r>
            <w:r w:rsidR="0051452E" w:rsidRPr="00BC4A89">
              <w:t xml:space="preserve"> there shall be done / A deed of dreadful note”</w:t>
            </w:r>
            <w:r w:rsidRPr="00BC4A89">
              <w:t xml:space="preserve"> </w:t>
            </w:r>
            <w:r w:rsidR="001C56E6" w:rsidRPr="00BC4A89">
              <w:t>(</w:t>
            </w:r>
            <w:r w:rsidRPr="00BC4A89">
              <w:t>Act</w:t>
            </w:r>
            <w:r w:rsidR="00970F40" w:rsidRPr="00BC4A89">
              <w:t xml:space="preserve"> 3</w:t>
            </w:r>
            <w:r w:rsidR="00E60B1D">
              <w:t>.</w:t>
            </w:r>
            <w:r w:rsidR="00970F40" w:rsidRPr="00BC4A89">
              <w:t>2</w:t>
            </w:r>
            <w:r w:rsidR="00B62764" w:rsidRPr="00BC4A89">
              <w:t xml:space="preserve">, lines </w:t>
            </w:r>
            <w:r w:rsidR="0051452E" w:rsidRPr="00BC4A89">
              <w:t>45</w:t>
            </w:r>
            <w:r w:rsidR="00C95E6E" w:rsidRPr="00BC4A89">
              <w:t>–</w:t>
            </w:r>
            <w:r w:rsidR="0051452E" w:rsidRPr="00BC4A89">
              <w:t>49</w:t>
            </w:r>
            <w:r w:rsidR="00C95E6E" w:rsidRPr="00BC4A89">
              <w:t>)</w:t>
            </w:r>
            <w:r w:rsidR="00B135BB">
              <w:t>,</w:t>
            </w:r>
            <w:r w:rsidR="00970F40" w:rsidRPr="00BC4A89">
              <w:t xml:space="preserve"> as well as Lady Macduff and her </w:t>
            </w:r>
            <w:r w:rsidR="00C95E6E" w:rsidRPr="00BC4A89">
              <w:t>children (</w:t>
            </w:r>
            <w:r w:rsidR="00970F40" w:rsidRPr="00BC4A89">
              <w:t>Act 4</w:t>
            </w:r>
            <w:r w:rsidR="00466411" w:rsidRPr="00BC4A89">
              <w:t>.</w:t>
            </w:r>
            <w:r w:rsidR="00970F40" w:rsidRPr="00BC4A89">
              <w:t>1</w:t>
            </w:r>
            <w:r w:rsidR="00B62764" w:rsidRPr="00BC4A89">
              <w:t xml:space="preserve">, lines </w:t>
            </w:r>
            <w:r w:rsidR="00970F40" w:rsidRPr="00BC4A89">
              <w:t>171</w:t>
            </w:r>
            <w:r w:rsidR="00C95E6E" w:rsidRPr="00BC4A89">
              <w:t>–</w:t>
            </w:r>
            <w:r w:rsidR="00970F40" w:rsidRPr="00BC4A89">
              <w:t>17</w:t>
            </w:r>
            <w:r w:rsidR="00B62764" w:rsidRPr="00BC4A89">
              <w:t>5, from “The castle of Macduff I will surprise” to “This deed I’ll do before this purpose cool”</w:t>
            </w:r>
            <w:r w:rsidR="00C95E6E" w:rsidRPr="00BC4A89">
              <w:t>)</w:t>
            </w:r>
            <w:r w:rsidR="00970F40" w:rsidRPr="00BC4A89">
              <w:t xml:space="preserve"> and Young Siward </w:t>
            </w:r>
            <w:r w:rsidR="006A453B" w:rsidRPr="00BC4A89">
              <w:t>(</w:t>
            </w:r>
            <w:r w:rsidR="00970F40" w:rsidRPr="00BC4A89">
              <w:t>Act 5</w:t>
            </w:r>
            <w:r w:rsidR="00466411" w:rsidRPr="00BC4A89">
              <w:t>.</w:t>
            </w:r>
            <w:r w:rsidR="00970F40" w:rsidRPr="00BC4A89">
              <w:t>7</w:t>
            </w:r>
            <w:r w:rsidR="00617856" w:rsidRPr="00BC4A89">
              <w:t>, line</w:t>
            </w:r>
            <w:r w:rsidR="00B62764" w:rsidRPr="00BC4A89">
              <w:t xml:space="preserve"> </w:t>
            </w:r>
            <w:r w:rsidR="00970F40" w:rsidRPr="00BC4A89">
              <w:t>14</w:t>
            </w:r>
            <w:r w:rsidR="00617856" w:rsidRPr="00BC4A89">
              <w:t xml:space="preserve"> s.d.</w:t>
            </w:r>
            <w:r w:rsidR="00E60B1D">
              <w:t>)</w:t>
            </w:r>
            <w:r w:rsidR="00323D09" w:rsidRPr="00BC4A89">
              <w:t>:</w:t>
            </w:r>
            <w:r w:rsidR="00B62764" w:rsidRPr="00BC4A89">
              <w:t xml:space="preserve"> “</w:t>
            </w:r>
            <w:r w:rsidR="00B62764" w:rsidRPr="007B53CD">
              <w:rPr>
                <w:i/>
              </w:rPr>
              <w:t>The</w:t>
            </w:r>
            <w:r w:rsidR="007B53CD" w:rsidRPr="00BC4A89">
              <w:rPr>
                <w:i/>
              </w:rPr>
              <w:t>y</w:t>
            </w:r>
            <w:r w:rsidR="00B62764" w:rsidRPr="007B53CD">
              <w:rPr>
                <w:i/>
              </w:rPr>
              <w:t xml:space="preserve"> fight, and young Siward is slain.</w:t>
            </w:r>
            <w:r w:rsidR="00B62764" w:rsidRPr="00BC4A89">
              <w:t>”</w:t>
            </w:r>
            <w:r w:rsidR="00850BFB" w:rsidRPr="000C57AD">
              <w:t xml:space="preserve"> </w:t>
            </w:r>
          </w:p>
          <w:p w14:paraId="6A056AA0" w14:textId="2ACAFA9A" w:rsidR="00A90888" w:rsidRDefault="00970F40" w:rsidP="00BC4A89">
            <w:pPr>
              <w:pStyle w:val="BulletedList"/>
              <w:numPr>
                <w:ilvl w:val="0"/>
                <w:numId w:val="27"/>
              </w:numPr>
            </w:pPr>
            <w:r>
              <w:t xml:space="preserve">Lady Macbeth knows Macbeth might </w:t>
            </w:r>
            <w:r w:rsidR="00B62764">
              <w:t>be</w:t>
            </w:r>
            <w:r>
              <w:t xml:space="preserve"> “too </w:t>
            </w:r>
            <w:r w:rsidR="00B62764">
              <w:t>full</w:t>
            </w:r>
            <w:r>
              <w:t xml:space="preserve"> o’ th’ milk of human kindness” </w:t>
            </w:r>
            <w:r w:rsidR="00C6764C">
              <w:t>(</w:t>
            </w:r>
            <w:r>
              <w:t>Act 1</w:t>
            </w:r>
            <w:r w:rsidR="00466411">
              <w:t>.</w:t>
            </w:r>
            <w:r>
              <w:t>5</w:t>
            </w:r>
            <w:r w:rsidR="00B62764">
              <w:t xml:space="preserve">, line </w:t>
            </w:r>
            <w:r>
              <w:t>17</w:t>
            </w:r>
            <w:r w:rsidR="00C6764C">
              <w:t>)</w:t>
            </w:r>
            <w:r>
              <w:t xml:space="preserve"> to kill Duncan, so she talks him into </w:t>
            </w:r>
            <w:r w:rsidR="00C6764C">
              <w:t>the deed</w:t>
            </w:r>
            <w:r w:rsidR="0051452E">
              <w:t>, first telling him, “O, never / Shall sun that morrow see</w:t>
            </w:r>
            <w:r w:rsidR="00B62764">
              <w:t>!</w:t>
            </w:r>
            <w:r w:rsidR="0051452E">
              <w:t xml:space="preserve">” speaking of the day that Duncan leaves the castle </w:t>
            </w:r>
            <w:r w:rsidR="001C56E6">
              <w:t>(</w:t>
            </w:r>
            <w:r w:rsidR="00EE3681">
              <w:t xml:space="preserve">Act </w:t>
            </w:r>
            <w:r w:rsidR="00733622">
              <w:t>1</w:t>
            </w:r>
            <w:r w:rsidR="00466411">
              <w:t>.</w:t>
            </w:r>
            <w:r w:rsidR="00733622">
              <w:t>5</w:t>
            </w:r>
            <w:r w:rsidR="00B62764">
              <w:t xml:space="preserve">, lines </w:t>
            </w:r>
            <w:r w:rsidR="00733622">
              <w:t>71</w:t>
            </w:r>
            <w:r w:rsidR="00C6764C">
              <w:t>–</w:t>
            </w:r>
            <w:r w:rsidR="0051452E">
              <w:t>7</w:t>
            </w:r>
            <w:r w:rsidR="00733622">
              <w:t>2</w:t>
            </w:r>
            <w:r w:rsidR="001C56E6">
              <w:t>)</w:t>
            </w:r>
            <w:r w:rsidR="00850BFB">
              <w:t>.</w:t>
            </w:r>
            <w:r w:rsidR="001C56E6">
              <w:t xml:space="preserve"> </w:t>
            </w:r>
            <w:r w:rsidR="00850BFB">
              <w:t>T</w:t>
            </w:r>
            <w:r w:rsidR="0051452E">
              <w:t>hen</w:t>
            </w:r>
            <w:r w:rsidR="001952B4">
              <w:t>,</w:t>
            </w:r>
            <w:r w:rsidR="0051452E">
              <w:t xml:space="preserve"> </w:t>
            </w:r>
            <w:r w:rsidR="00850BFB">
              <w:t>she taunts</w:t>
            </w:r>
            <w:r w:rsidR="0051452E">
              <w:t xml:space="preserve"> Macbeth when he seems to reconsider the plan, asking</w:t>
            </w:r>
            <w:r w:rsidR="003A0405">
              <w:t>,</w:t>
            </w:r>
            <w:r w:rsidR="0051452E">
              <w:t xml:space="preserve"> “Was the hope drunk / Wherein you dressed yourself? </w:t>
            </w:r>
            <w:r w:rsidR="003A0405">
              <w:t>…</w:t>
            </w:r>
            <w:r w:rsidR="0051452E">
              <w:t xml:space="preserve"> Art thou afeard / To be the same in thine own act and valor </w:t>
            </w:r>
            <w:r w:rsidR="0051452E">
              <w:lastRenderedPageBreak/>
              <w:t xml:space="preserve">/ As thou art in desire? </w:t>
            </w:r>
            <w:r w:rsidR="003A0405">
              <w:t>…</w:t>
            </w:r>
            <w:r w:rsidR="0051452E">
              <w:t xml:space="preserve"> Would’st thou</w:t>
            </w:r>
            <w:r w:rsidR="003A0405">
              <w:t xml:space="preserve"> …</w:t>
            </w:r>
            <w:r w:rsidR="00B62764">
              <w:t xml:space="preserve"> /</w:t>
            </w:r>
            <w:r w:rsidR="0051452E">
              <w:t xml:space="preserve"> live a coward </w:t>
            </w:r>
            <w:r w:rsidR="003A0405">
              <w:t>…</w:t>
            </w:r>
            <w:r w:rsidR="0051452E">
              <w:t xml:space="preserve">? </w:t>
            </w:r>
            <w:r w:rsidR="00B62764">
              <w:t xml:space="preserve">/ </w:t>
            </w:r>
            <w:r w:rsidR="003A0405">
              <w:t xml:space="preserve">… </w:t>
            </w:r>
            <w:r w:rsidR="0051452E">
              <w:t>What beast was</w:t>
            </w:r>
            <w:r w:rsidR="00317535">
              <w:t xml:space="preserve"> </w:t>
            </w:r>
            <w:r w:rsidR="0051452E">
              <w:t xml:space="preserve">’t, / then, / That made you break this enterprise to me?” </w:t>
            </w:r>
            <w:r w:rsidR="003A0405">
              <w:t>(</w:t>
            </w:r>
            <w:r w:rsidR="00EE3681">
              <w:t xml:space="preserve">Act </w:t>
            </w:r>
            <w:r w:rsidR="00733622">
              <w:t>1</w:t>
            </w:r>
            <w:r w:rsidR="00382AA2">
              <w:t>.</w:t>
            </w:r>
            <w:r w:rsidR="00733622">
              <w:t>7</w:t>
            </w:r>
            <w:r w:rsidR="00B62764">
              <w:t xml:space="preserve">, lines </w:t>
            </w:r>
            <w:r w:rsidR="00733622">
              <w:t>39</w:t>
            </w:r>
            <w:r w:rsidR="00C6764C">
              <w:t>–</w:t>
            </w:r>
            <w:r w:rsidR="00733622">
              <w:t>49, 53</w:t>
            </w:r>
            <w:r w:rsidR="00C6764C">
              <w:t>–</w:t>
            </w:r>
            <w:r w:rsidR="00B62764">
              <w:t>55</w:t>
            </w:r>
            <w:r w:rsidR="002836E4">
              <w:t>)</w:t>
            </w:r>
            <w:r w:rsidR="008303CC">
              <w:t>.</w:t>
            </w:r>
            <w:r w:rsidR="0051452E">
              <w:t xml:space="preserve"> </w:t>
            </w:r>
            <w:r w:rsidR="008303CC">
              <w:t>She demonstrates her commitment with</w:t>
            </w:r>
            <w:r w:rsidR="0051452E">
              <w:t xml:space="preserve"> a horrible description, saying</w:t>
            </w:r>
            <w:r w:rsidR="00D653B3">
              <w:t>,</w:t>
            </w:r>
            <w:r w:rsidR="0051452E">
              <w:t xml:space="preserve"> </w:t>
            </w:r>
            <w:r w:rsidR="00CF766D">
              <w:t xml:space="preserve">“I would </w:t>
            </w:r>
            <w:r w:rsidR="00D653B3">
              <w:t>…</w:t>
            </w:r>
            <w:r w:rsidR="00CF766D">
              <w:t xml:space="preserve"> </w:t>
            </w:r>
            <w:r w:rsidR="00B62764">
              <w:t xml:space="preserve">/ </w:t>
            </w:r>
            <w:r w:rsidR="00CF766D">
              <w:t xml:space="preserve">have </w:t>
            </w:r>
            <w:r w:rsidR="00D653B3">
              <w:t>…</w:t>
            </w:r>
            <w:r w:rsidR="00CF766D">
              <w:t xml:space="preserve"> </w:t>
            </w:r>
            <w:r w:rsidR="00B62764">
              <w:t xml:space="preserve">/ </w:t>
            </w:r>
            <w:r w:rsidR="00CF766D">
              <w:t xml:space="preserve">dashed the brains out [of the babe that milks me] </w:t>
            </w:r>
            <w:r w:rsidR="00D653B3">
              <w:t>…</w:t>
            </w:r>
            <w:r w:rsidR="00CF766D">
              <w:t xml:space="preserve"> had I so sworn as you / Have done to this” </w:t>
            </w:r>
            <w:r w:rsidR="00D653B3">
              <w:t>(</w:t>
            </w:r>
            <w:r w:rsidR="00CF766D">
              <w:t>Act 1</w:t>
            </w:r>
            <w:r w:rsidR="00382AA2">
              <w:t>.</w:t>
            </w:r>
            <w:r w:rsidR="00CF766D">
              <w:t>7</w:t>
            </w:r>
            <w:r w:rsidR="00B62764">
              <w:t xml:space="preserve">, lines </w:t>
            </w:r>
            <w:r w:rsidR="00CF766D">
              <w:t>6</w:t>
            </w:r>
            <w:r w:rsidR="00B62764">
              <w:t>3</w:t>
            </w:r>
            <w:r w:rsidR="00382AA2">
              <w:t>–</w:t>
            </w:r>
            <w:r w:rsidR="00CF766D">
              <w:t>67</w:t>
            </w:r>
            <w:r w:rsidR="00D653B3">
              <w:t>)</w:t>
            </w:r>
            <w:r w:rsidR="008303CC">
              <w:t xml:space="preserve">. Finally, she </w:t>
            </w:r>
            <w:r w:rsidR="00733622">
              <w:t xml:space="preserve">helps with </w:t>
            </w:r>
            <w:r w:rsidR="008303CC">
              <w:t xml:space="preserve">Duncan’s </w:t>
            </w:r>
            <w:r w:rsidR="00733622">
              <w:t>murder</w:t>
            </w:r>
            <w:r w:rsidR="00CF766D">
              <w:t xml:space="preserve">, telling Macbeth, “Go get some water / And wash this filthy witness from your hand. </w:t>
            </w:r>
            <w:r w:rsidR="00D653B3">
              <w:t>…</w:t>
            </w:r>
            <w:r w:rsidR="00CF766D">
              <w:t xml:space="preserve"> Give me the daggers </w:t>
            </w:r>
            <w:r w:rsidR="00D653B3">
              <w:t>…</w:t>
            </w:r>
            <w:r w:rsidR="00CF766D">
              <w:t xml:space="preserve"> If he do bleed, / I’ll gild the faces of the grooms withal, / For it must seem their guilt” </w:t>
            </w:r>
            <w:r w:rsidR="00D653B3">
              <w:t>(</w:t>
            </w:r>
            <w:r w:rsidR="00EE3681">
              <w:t xml:space="preserve">Act </w:t>
            </w:r>
            <w:r w:rsidR="00733622">
              <w:t>2</w:t>
            </w:r>
            <w:r w:rsidR="00382AA2">
              <w:t>.</w:t>
            </w:r>
            <w:r w:rsidR="00733622">
              <w:t>2</w:t>
            </w:r>
            <w:r w:rsidR="00B62764">
              <w:t xml:space="preserve">, lines </w:t>
            </w:r>
            <w:r w:rsidR="00733622">
              <w:t>60</w:t>
            </w:r>
            <w:r w:rsidR="00C6764C">
              <w:t>–</w:t>
            </w:r>
            <w:r w:rsidR="00733622">
              <w:t>73).</w:t>
            </w:r>
          </w:p>
          <w:p w14:paraId="6CD87462" w14:textId="79BA23A6" w:rsidR="00CC3A67" w:rsidRDefault="00733622" w:rsidP="00BC4A89">
            <w:pPr>
              <w:pStyle w:val="BulletedList"/>
              <w:numPr>
                <w:ilvl w:val="0"/>
                <w:numId w:val="29"/>
              </w:numPr>
              <w:ind w:left="365" w:hanging="365"/>
            </w:pPr>
            <w:r>
              <w:t>Consider counterclaims</w:t>
            </w:r>
            <w:r w:rsidR="002B21B5">
              <w:t xml:space="preserve">, such as </w:t>
            </w:r>
            <w:r w:rsidR="00AF3A9C">
              <w:t>the following examples</w:t>
            </w:r>
            <w:r w:rsidR="002B21B5">
              <w:t>:</w:t>
            </w:r>
          </w:p>
          <w:p w14:paraId="46F5C1E5" w14:textId="729CF4D6" w:rsidR="00CC3A67" w:rsidRDefault="00A16A01" w:rsidP="00BC4A89">
            <w:pPr>
              <w:pStyle w:val="BulletedList"/>
              <w:numPr>
                <w:ilvl w:val="0"/>
                <w:numId w:val="31"/>
              </w:numPr>
            </w:pPr>
            <w:r>
              <w:t xml:space="preserve">Even </w:t>
            </w:r>
            <w:r w:rsidR="00733622">
              <w:t xml:space="preserve">though the </w:t>
            </w:r>
            <w:r w:rsidR="00382AA2">
              <w:t>Wi</w:t>
            </w:r>
            <w:r w:rsidR="00AF3A9C">
              <w:t>t</w:t>
            </w:r>
            <w:r w:rsidR="00382AA2">
              <w:t>ches</w:t>
            </w:r>
            <w:r w:rsidR="00733622">
              <w:t xml:space="preserve"> cast a spell, Macbeth and Lady Macbeth did not have to kill Duncan because it was already fated that Macbeth would get the crown</w:t>
            </w:r>
            <w:r w:rsidR="00CF766D">
              <w:t xml:space="preserve">, as is evident when Macbeth says, “If chance will have me king, why, chance may / crown me / without my stir” </w:t>
            </w:r>
            <w:r w:rsidR="0051112E">
              <w:t>(</w:t>
            </w:r>
            <w:r w:rsidR="00CF766D">
              <w:t>Act 1</w:t>
            </w:r>
            <w:r w:rsidR="00382AA2">
              <w:t>.</w:t>
            </w:r>
            <w:r w:rsidR="00CF766D">
              <w:t>4</w:t>
            </w:r>
            <w:r w:rsidR="00B62764">
              <w:t xml:space="preserve">, lines </w:t>
            </w:r>
            <w:r w:rsidR="00CF766D">
              <w:t>157</w:t>
            </w:r>
            <w:r w:rsidR="0051112E">
              <w:t>–</w:t>
            </w:r>
            <w:r w:rsidR="00CF766D">
              <w:t>159</w:t>
            </w:r>
            <w:r w:rsidR="00AF3A9C">
              <w:t>).</w:t>
            </w:r>
            <w:r w:rsidR="0051112E">
              <w:t xml:space="preserve"> </w:t>
            </w:r>
          </w:p>
          <w:p w14:paraId="5D1C566A" w14:textId="12A42B9D" w:rsidR="00CC3A67" w:rsidRDefault="00733622" w:rsidP="00BC4A89">
            <w:pPr>
              <w:pStyle w:val="BulletedList"/>
              <w:numPr>
                <w:ilvl w:val="0"/>
                <w:numId w:val="31"/>
              </w:numPr>
            </w:pPr>
            <w:r>
              <w:t xml:space="preserve">Macbeth would not have considered killing Duncan if the </w:t>
            </w:r>
            <w:r w:rsidR="00382AA2">
              <w:t>Wi</w:t>
            </w:r>
            <w:r w:rsidR="001952B4">
              <w:t>t</w:t>
            </w:r>
            <w:r w:rsidR="00382AA2">
              <w:t>ches</w:t>
            </w:r>
            <w:r>
              <w:t xml:space="preserve"> had not prophesized that he would get the crown</w:t>
            </w:r>
            <w:r w:rsidR="00CF766D">
              <w:t>, calling him</w:t>
            </w:r>
            <w:r w:rsidR="001952B4">
              <w:t>,</w:t>
            </w:r>
            <w:r w:rsidR="00CF766D">
              <w:t xml:space="preserve"> “Macbeth, that shalt be king hereafter!” </w:t>
            </w:r>
            <w:r w:rsidR="0051112E">
              <w:t>(</w:t>
            </w:r>
            <w:r w:rsidR="00CF766D">
              <w:t>Act 1</w:t>
            </w:r>
            <w:r w:rsidR="00382AA2">
              <w:t>.</w:t>
            </w:r>
            <w:r w:rsidR="00CF766D">
              <w:t>3</w:t>
            </w:r>
            <w:r w:rsidR="00B62764">
              <w:t xml:space="preserve">, line </w:t>
            </w:r>
            <w:r w:rsidR="00CF766D">
              <w:t>53</w:t>
            </w:r>
            <w:r w:rsidR="0051112E">
              <w:t>)</w:t>
            </w:r>
            <w:r w:rsidR="001952B4">
              <w:t>, and</w:t>
            </w:r>
            <w:r w:rsidR="0051112E">
              <w:t xml:space="preserve"> </w:t>
            </w:r>
            <w:r w:rsidR="001952B4">
              <w:t>i</w:t>
            </w:r>
            <w:r>
              <w:t>f Lady Macbeth had not talked him into it</w:t>
            </w:r>
            <w:r w:rsidR="00CF766D">
              <w:t>, telling him, “</w:t>
            </w:r>
            <w:r w:rsidR="00B771B1">
              <w:t>and you shall put / This night’s great business into my dispatch, / Which shall to all our nights and days to com</w:t>
            </w:r>
            <w:r w:rsidR="0051112E">
              <w:t>e</w:t>
            </w:r>
            <w:r w:rsidR="00B771B1">
              <w:t xml:space="preserve"> /</w:t>
            </w:r>
            <w:r w:rsidR="0051112E">
              <w:t xml:space="preserve"> </w:t>
            </w:r>
            <w:r w:rsidR="00B771B1">
              <w:t xml:space="preserve">Give solely to our sovereign sway and masterdom” </w:t>
            </w:r>
            <w:r w:rsidR="0051112E">
              <w:t>(</w:t>
            </w:r>
            <w:r w:rsidR="00B771B1">
              <w:t>Act 1</w:t>
            </w:r>
            <w:r w:rsidR="00382AA2">
              <w:t>.</w:t>
            </w:r>
            <w:r w:rsidR="00B771B1">
              <w:t>6</w:t>
            </w:r>
            <w:r w:rsidR="00B62764">
              <w:t>, lines 79</w:t>
            </w:r>
            <w:r w:rsidR="0051112E">
              <w:t>–</w:t>
            </w:r>
            <w:r w:rsidR="00B771B1">
              <w:t>82</w:t>
            </w:r>
            <w:r w:rsidR="0051112E">
              <w:t xml:space="preserve">). </w:t>
            </w:r>
          </w:p>
          <w:p w14:paraId="232C13C0" w14:textId="6472010A" w:rsidR="00733622" w:rsidRPr="00790BCC" w:rsidRDefault="00B771B1" w:rsidP="00317535">
            <w:pPr>
              <w:pStyle w:val="BulletedList"/>
              <w:numPr>
                <w:ilvl w:val="0"/>
                <w:numId w:val="31"/>
              </w:numPr>
            </w:pPr>
            <w:r>
              <w:t>I</w:t>
            </w:r>
            <w:r w:rsidR="00733622">
              <w:t xml:space="preserve">f Macbeth had not told Lady Macbeth about his encounter with the </w:t>
            </w:r>
            <w:r w:rsidR="00382AA2">
              <w:t>Wi</w:t>
            </w:r>
            <w:r w:rsidR="009D6C26">
              <w:t>t</w:t>
            </w:r>
            <w:r w:rsidR="00382AA2">
              <w:t>ches</w:t>
            </w:r>
            <w:r w:rsidR="00CF766D">
              <w:t xml:space="preserve">, </w:t>
            </w:r>
            <w:r w:rsidR="0051112E">
              <w:t>writing</w:t>
            </w:r>
            <w:r w:rsidR="00CF766D">
              <w:t xml:space="preserve">, “This have </w:t>
            </w:r>
            <w:r w:rsidR="00B62764">
              <w:t xml:space="preserve">I </w:t>
            </w:r>
            <w:r w:rsidR="00CF766D">
              <w:t>thought good to deliver / thee, my dearest partner of</w:t>
            </w:r>
            <w:r w:rsidR="00A478E7">
              <w:t xml:space="preserve"> greatness, that thou / might’s</w:t>
            </w:r>
            <w:r w:rsidR="00CF766D">
              <w:t xml:space="preserve">t not lose the dues of rejoicing by being igno- / rant of what greatness is promised thee” </w:t>
            </w:r>
            <w:r w:rsidR="0051112E">
              <w:t>(</w:t>
            </w:r>
            <w:r w:rsidR="00CF766D">
              <w:t>Act 1</w:t>
            </w:r>
            <w:r w:rsidR="00382AA2">
              <w:t>.</w:t>
            </w:r>
            <w:r w:rsidR="00CF766D">
              <w:t>5</w:t>
            </w:r>
            <w:r w:rsidR="00B62764">
              <w:t xml:space="preserve">, lines </w:t>
            </w:r>
            <w:r w:rsidR="00CF766D">
              <w:t>10</w:t>
            </w:r>
            <w:r w:rsidR="0051112E">
              <w:t>–</w:t>
            </w:r>
            <w:r w:rsidR="00CF766D">
              <w:t>13</w:t>
            </w:r>
            <w:r w:rsidR="0051112E">
              <w:t>)</w:t>
            </w:r>
            <w:r w:rsidR="00CF766D">
              <w:t>,</w:t>
            </w:r>
            <w:r w:rsidR="00733622">
              <w:t xml:space="preserve"> she w</w:t>
            </w:r>
            <w:r w:rsidR="00AC09A2">
              <w:t>ould not have planned Duncan’s murder, which was so unnatural for her that it drove her insane.</w:t>
            </w:r>
          </w:p>
        </w:tc>
      </w:tr>
    </w:tbl>
    <w:p w14:paraId="77D50AAF"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F92B286" w14:textId="77777777" w:rsidTr="00D14A2C">
        <w:tc>
          <w:tcPr>
            <w:tcW w:w="9360" w:type="dxa"/>
            <w:shd w:val="clear" w:color="auto" w:fill="76923C"/>
          </w:tcPr>
          <w:p w14:paraId="4307DC14" w14:textId="77777777" w:rsidR="00790BCC" w:rsidRPr="00790BCC" w:rsidRDefault="00790BCC" w:rsidP="00D31F4D">
            <w:pPr>
              <w:pStyle w:val="TableHeaders"/>
            </w:pPr>
            <w:r w:rsidRPr="00790BCC">
              <w:t>Vocabulary to provide directly (will not include extended instruction)</w:t>
            </w:r>
          </w:p>
        </w:tc>
      </w:tr>
      <w:tr w:rsidR="00790BCC" w:rsidRPr="00790BCC" w14:paraId="3D84A930" w14:textId="77777777" w:rsidTr="00D14A2C">
        <w:tc>
          <w:tcPr>
            <w:tcW w:w="9360" w:type="dxa"/>
          </w:tcPr>
          <w:p w14:paraId="59D78E8D" w14:textId="2942C59F" w:rsidR="00790BCC" w:rsidRPr="00790BCC" w:rsidRDefault="006620B5" w:rsidP="002472C8">
            <w:pPr>
              <w:pStyle w:val="BulletedList"/>
            </w:pPr>
            <w:r>
              <w:t>None</w:t>
            </w:r>
            <w:r w:rsidR="002472C8">
              <w:t>.</w:t>
            </w:r>
            <w:r>
              <w:t>*</w:t>
            </w:r>
          </w:p>
        </w:tc>
      </w:tr>
      <w:tr w:rsidR="00790BCC" w:rsidRPr="00790BCC" w14:paraId="4184733B" w14:textId="77777777" w:rsidTr="00D14A2C">
        <w:tc>
          <w:tcPr>
            <w:tcW w:w="9360" w:type="dxa"/>
            <w:shd w:val="clear" w:color="auto" w:fill="76923C"/>
          </w:tcPr>
          <w:p w14:paraId="255B7AD8" w14:textId="77777777" w:rsidR="00790BCC" w:rsidRPr="00790BCC" w:rsidRDefault="00790BCC" w:rsidP="00D31F4D">
            <w:pPr>
              <w:pStyle w:val="TableHeaders"/>
            </w:pPr>
            <w:r w:rsidRPr="00790BCC">
              <w:t>Vocabulary to teach (may include direct word work and/or questions)</w:t>
            </w:r>
          </w:p>
        </w:tc>
      </w:tr>
      <w:tr w:rsidR="00790BCC" w:rsidRPr="00790BCC" w14:paraId="303B1194" w14:textId="77777777" w:rsidTr="00D14A2C">
        <w:tc>
          <w:tcPr>
            <w:tcW w:w="9360" w:type="dxa"/>
          </w:tcPr>
          <w:p w14:paraId="11457235" w14:textId="01A428BA" w:rsidR="00790BCC" w:rsidRPr="00790BCC" w:rsidRDefault="006620B5" w:rsidP="002472C8">
            <w:pPr>
              <w:pStyle w:val="BulletedList"/>
            </w:pPr>
            <w:r>
              <w:t>None</w:t>
            </w:r>
            <w:r w:rsidR="002472C8">
              <w:t>.</w:t>
            </w:r>
            <w:r>
              <w:t>*</w:t>
            </w:r>
          </w:p>
        </w:tc>
      </w:tr>
      <w:tr w:rsidR="00790BCC" w:rsidRPr="00790BCC" w14:paraId="510BE48B" w14:textId="77777777" w:rsidTr="00D14A2C">
        <w:tc>
          <w:tcPr>
            <w:tcW w:w="9360" w:type="dxa"/>
            <w:tcBorders>
              <w:top w:val="single" w:sz="4" w:space="0" w:color="auto"/>
              <w:left w:val="single" w:sz="4" w:space="0" w:color="auto"/>
              <w:bottom w:val="single" w:sz="4" w:space="0" w:color="auto"/>
              <w:right w:val="single" w:sz="4" w:space="0" w:color="auto"/>
            </w:tcBorders>
            <w:shd w:val="clear" w:color="auto" w:fill="76923C"/>
          </w:tcPr>
          <w:p w14:paraId="651E28B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C388A62" w14:textId="77777777" w:rsidTr="00D14A2C">
        <w:tc>
          <w:tcPr>
            <w:tcW w:w="9360" w:type="dxa"/>
            <w:tcBorders>
              <w:top w:val="single" w:sz="4" w:space="0" w:color="auto"/>
              <w:left w:val="single" w:sz="4" w:space="0" w:color="auto"/>
              <w:bottom w:val="single" w:sz="4" w:space="0" w:color="auto"/>
              <w:right w:val="single" w:sz="4" w:space="0" w:color="auto"/>
            </w:tcBorders>
          </w:tcPr>
          <w:p w14:paraId="504B84F5" w14:textId="11BB1162" w:rsidR="00790BCC" w:rsidRPr="00790BCC" w:rsidRDefault="006620B5" w:rsidP="002472C8">
            <w:pPr>
              <w:pStyle w:val="BulletedList"/>
            </w:pPr>
            <w:r>
              <w:t>None</w:t>
            </w:r>
            <w:r w:rsidR="002472C8">
              <w:t>.</w:t>
            </w:r>
            <w:r>
              <w:t>*</w:t>
            </w:r>
          </w:p>
        </w:tc>
      </w:tr>
    </w:tbl>
    <w:p w14:paraId="2021DA93" w14:textId="5D29C2A2" w:rsidR="006620B5" w:rsidRPr="00921416" w:rsidRDefault="006620B5" w:rsidP="006620B5">
      <w:pPr>
        <w:rPr>
          <w:sz w:val="18"/>
        </w:rPr>
      </w:pPr>
      <w:r w:rsidRPr="00921416">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E60B1D">
        <w:rPr>
          <w:sz w:val="18"/>
        </w:rPr>
        <w:t>e</w:t>
      </w:r>
      <w:r w:rsidRPr="00921416">
        <w:rPr>
          <w:sz w:val="18"/>
        </w:rPr>
        <w:t xml:space="preserve"> of this document </w:t>
      </w:r>
      <w:hyperlink r:id="rId7" w:history="1">
        <w:r w:rsidRPr="00921416">
          <w:rPr>
            <w:rStyle w:val="Hyperlink"/>
            <w:sz w:val="18"/>
          </w:rPr>
          <w:t>http://www.engageny.org/sites/default/files/resource/attachments/9-12_ela_prefatory_material.pdf</w:t>
        </w:r>
      </w:hyperlink>
      <w:r w:rsidR="00A14E71" w:rsidRPr="00382AA2">
        <w:rPr>
          <w:rStyle w:val="Hyperlink"/>
          <w:color w:val="auto"/>
          <w:sz w:val="18"/>
          <w:u w:val="none"/>
        </w:rPr>
        <w:t>.</w:t>
      </w:r>
    </w:p>
    <w:p w14:paraId="7D27C2D2"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181ECB6" w14:textId="77777777" w:rsidTr="00D14A2C">
        <w:tc>
          <w:tcPr>
            <w:tcW w:w="7650" w:type="dxa"/>
            <w:tcBorders>
              <w:bottom w:val="single" w:sz="4" w:space="0" w:color="auto"/>
            </w:tcBorders>
            <w:shd w:val="clear" w:color="auto" w:fill="76923C"/>
          </w:tcPr>
          <w:p w14:paraId="7969EC58"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F9CE81F" w14:textId="77777777" w:rsidR="00790BCC" w:rsidRPr="00790BCC" w:rsidRDefault="00790BCC" w:rsidP="00D31F4D">
            <w:pPr>
              <w:pStyle w:val="TableHeaders"/>
            </w:pPr>
            <w:r w:rsidRPr="00790BCC">
              <w:t>% of Lesson</w:t>
            </w:r>
          </w:p>
        </w:tc>
      </w:tr>
      <w:tr w:rsidR="00790BCC" w:rsidRPr="00790BCC" w14:paraId="057E819A" w14:textId="77777777" w:rsidTr="00D14A2C">
        <w:trPr>
          <w:trHeight w:val="1313"/>
        </w:trPr>
        <w:tc>
          <w:tcPr>
            <w:tcW w:w="7650" w:type="dxa"/>
            <w:tcBorders>
              <w:bottom w:val="nil"/>
            </w:tcBorders>
          </w:tcPr>
          <w:p w14:paraId="20630146" w14:textId="77777777" w:rsidR="00790BCC" w:rsidRPr="00D31F4D" w:rsidRDefault="00790BCC" w:rsidP="00D31F4D">
            <w:pPr>
              <w:pStyle w:val="TableText"/>
              <w:rPr>
                <w:b/>
              </w:rPr>
            </w:pPr>
            <w:r w:rsidRPr="00D31F4D">
              <w:rPr>
                <w:b/>
              </w:rPr>
              <w:t>Standards &amp; Text:</w:t>
            </w:r>
          </w:p>
          <w:p w14:paraId="11349759" w14:textId="77777777" w:rsidR="00790BCC" w:rsidRPr="00790BCC" w:rsidRDefault="00C858EE" w:rsidP="002472C8">
            <w:pPr>
              <w:pStyle w:val="BulletedList"/>
            </w:pPr>
            <w:r>
              <w:t>Standards: RL.9-10.3, W.9-10.1</w:t>
            </w:r>
            <w:r w:rsidR="00585598">
              <w:t>.a-e</w:t>
            </w:r>
            <w:r w:rsidR="00AC09A2">
              <w:t>, L.9-10.1</w:t>
            </w:r>
            <w:r w:rsidR="00585598">
              <w:t>.a-b</w:t>
            </w:r>
            <w:r w:rsidR="00AC09A2">
              <w:t>, L.9-10.2.a-</w:t>
            </w:r>
            <w:r w:rsidR="00585598">
              <w:t>c</w:t>
            </w:r>
            <w:r w:rsidR="00983A85">
              <w:t>, W.9-10.9.a, SL.9-10.4</w:t>
            </w:r>
          </w:p>
          <w:p w14:paraId="299EFEA9" w14:textId="261C9EE3" w:rsidR="00790BCC" w:rsidRPr="00790BCC" w:rsidRDefault="00C858EE" w:rsidP="00E60B1D">
            <w:pPr>
              <w:pStyle w:val="BulletedList"/>
            </w:pPr>
            <w:r>
              <w:t xml:space="preserve">Text: </w:t>
            </w:r>
            <w:r>
              <w:rPr>
                <w:i/>
              </w:rPr>
              <w:t>Macbeth</w:t>
            </w:r>
            <w:r w:rsidR="00A14E71">
              <w:rPr>
                <w:i/>
              </w:rPr>
              <w:t xml:space="preserve"> </w:t>
            </w:r>
            <w:r w:rsidR="00A14E71" w:rsidRPr="00A14E71">
              <w:t>by William Shakespeare</w:t>
            </w:r>
          </w:p>
        </w:tc>
        <w:tc>
          <w:tcPr>
            <w:tcW w:w="1705" w:type="dxa"/>
            <w:tcBorders>
              <w:bottom w:val="nil"/>
            </w:tcBorders>
          </w:tcPr>
          <w:p w14:paraId="539C5E41" w14:textId="77777777" w:rsidR="00790BCC" w:rsidRPr="00790BCC" w:rsidRDefault="00790BCC" w:rsidP="00790BCC"/>
          <w:p w14:paraId="30D8BAAE" w14:textId="77777777" w:rsidR="00790BCC" w:rsidRPr="00790BCC" w:rsidRDefault="00790BCC" w:rsidP="00790BCC">
            <w:pPr>
              <w:spacing w:after="60" w:line="240" w:lineRule="auto"/>
            </w:pPr>
          </w:p>
        </w:tc>
      </w:tr>
      <w:tr w:rsidR="00790BCC" w:rsidRPr="00790BCC" w14:paraId="1399EA4D" w14:textId="77777777" w:rsidTr="00D14A2C">
        <w:tc>
          <w:tcPr>
            <w:tcW w:w="7650" w:type="dxa"/>
            <w:tcBorders>
              <w:top w:val="nil"/>
            </w:tcBorders>
          </w:tcPr>
          <w:p w14:paraId="613EA2FF" w14:textId="77777777" w:rsidR="00790BCC" w:rsidRPr="00D31F4D" w:rsidRDefault="00790BCC" w:rsidP="00D31F4D">
            <w:pPr>
              <w:pStyle w:val="TableText"/>
              <w:rPr>
                <w:b/>
              </w:rPr>
            </w:pPr>
            <w:r w:rsidRPr="00D31F4D">
              <w:rPr>
                <w:b/>
              </w:rPr>
              <w:t>Learning Sequence:</w:t>
            </w:r>
          </w:p>
          <w:p w14:paraId="3AFFF75D" w14:textId="77777777" w:rsidR="00790BCC" w:rsidRPr="00790BCC" w:rsidRDefault="00790BCC" w:rsidP="00D31F4D">
            <w:pPr>
              <w:pStyle w:val="NumberedList"/>
            </w:pPr>
            <w:r w:rsidRPr="00790BCC">
              <w:t>Introduction of Lesson Agenda</w:t>
            </w:r>
          </w:p>
          <w:p w14:paraId="08C185C0" w14:textId="77777777" w:rsidR="00790BCC" w:rsidRPr="00790BCC" w:rsidRDefault="00790BCC" w:rsidP="00D31F4D">
            <w:pPr>
              <w:pStyle w:val="NumberedList"/>
            </w:pPr>
            <w:r w:rsidRPr="00790BCC">
              <w:t>Homework Accountability</w:t>
            </w:r>
          </w:p>
          <w:p w14:paraId="0334DDDC" w14:textId="77777777" w:rsidR="00E94CB8" w:rsidRDefault="00AC09A2">
            <w:pPr>
              <w:pStyle w:val="NumberedList"/>
            </w:pPr>
            <w:r>
              <w:t>End-of-Unit Assessment</w:t>
            </w:r>
          </w:p>
          <w:p w14:paraId="330842BB" w14:textId="593C9A61" w:rsidR="00E60B1D" w:rsidRDefault="00E60B1D" w:rsidP="00D31F4D">
            <w:pPr>
              <w:pStyle w:val="NumberedList"/>
            </w:pPr>
            <w:r>
              <w:t>Preparation for Oral Presentations (Optional)</w:t>
            </w:r>
          </w:p>
          <w:p w14:paraId="1E3002DC" w14:textId="77777777" w:rsidR="00790BCC" w:rsidRPr="00790BCC" w:rsidRDefault="00790BCC" w:rsidP="00D31F4D">
            <w:pPr>
              <w:pStyle w:val="NumberedList"/>
            </w:pPr>
            <w:r w:rsidRPr="00790BCC">
              <w:t>Closing</w:t>
            </w:r>
          </w:p>
        </w:tc>
        <w:tc>
          <w:tcPr>
            <w:tcW w:w="1705" w:type="dxa"/>
            <w:tcBorders>
              <w:top w:val="nil"/>
            </w:tcBorders>
          </w:tcPr>
          <w:p w14:paraId="32EA85C5" w14:textId="77777777" w:rsidR="00790BCC" w:rsidRPr="00790BCC" w:rsidRDefault="00790BCC" w:rsidP="00790BCC">
            <w:pPr>
              <w:spacing w:before="40" w:after="40"/>
            </w:pPr>
          </w:p>
          <w:p w14:paraId="6A1AAADC" w14:textId="77777777" w:rsidR="00790BCC" w:rsidRPr="00790BCC" w:rsidRDefault="00790BCC" w:rsidP="00D31F4D">
            <w:pPr>
              <w:pStyle w:val="NumberedList"/>
              <w:numPr>
                <w:ilvl w:val="0"/>
                <w:numId w:val="13"/>
              </w:numPr>
            </w:pPr>
            <w:r w:rsidRPr="00790BCC">
              <w:t>5%</w:t>
            </w:r>
          </w:p>
          <w:p w14:paraId="1C19A107" w14:textId="77777777" w:rsidR="00790BCC" w:rsidRPr="00790BCC" w:rsidRDefault="00E879B6" w:rsidP="00D31F4D">
            <w:pPr>
              <w:pStyle w:val="NumberedList"/>
              <w:numPr>
                <w:ilvl w:val="0"/>
                <w:numId w:val="13"/>
              </w:numPr>
            </w:pPr>
            <w:r>
              <w:t>10</w:t>
            </w:r>
            <w:r w:rsidR="00790BCC" w:rsidRPr="00790BCC">
              <w:t>%</w:t>
            </w:r>
          </w:p>
          <w:p w14:paraId="1E433AA0" w14:textId="77777777" w:rsidR="00790BCC" w:rsidRPr="00790BCC" w:rsidRDefault="00E879B6" w:rsidP="001D00C7">
            <w:pPr>
              <w:pStyle w:val="NumberedList"/>
              <w:numPr>
                <w:ilvl w:val="0"/>
                <w:numId w:val="13"/>
              </w:numPr>
            </w:pPr>
            <w:r>
              <w:t>70</w:t>
            </w:r>
            <w:r w:rsidR="00790BCC" w:rsidRPr="00790BCC">
              <w:t>%</w:t>
            </w:r>
          </w:p>
          <w:p w14:paraId="5EF4D8B9" w14:textId="131DC9B5" w:rsidR="00790BCC" w:rsidRDefault="001D00C7" w:rsidP="00BF77FE">
            <w:pPr>
              <w:pStyle w:val="NumberedList"/>
              <w:numPr>
                <w:ilvl w:val="0"/>
                <w:numId w:val="13"/>
              </w:numPr>
            </w:pPr>
            <w:r>
              <w:t>1</w:t>
            </w:r>
            <w:r w:rsidR="00E60B1D">
              <w:t>0</w:t>
            </w:r>
            <w:r w:rsidR="00790BCC" w:rsidRPr="00790BCC">
              <w:t>%</w:t>
            </w:r>
          </w:p>
          <w:p w14:paraId="142CBEA1" w14:textId="722B1469" w:rsidR="00E60B1D" w:rsidRPr="00790BCC" w:rsidRDefault="00E60B1D" w:rsidP="00BF77FE">
            <w:pPr>
              <w:pStyle w:val="NumberedList"/>
              <w:numPr>
                <w:ilvl w:val="0"/>
                <w:numId w:val="13"/>
              </w:numPr>
            </w:pPr>
            <w:r>
              <w:t>5%</w:t>
            </w:r>
          </w:p>
        </w:tc>
      </w:tr>
    </w:tbl>
    <w:p w14:paraId="12BE4E36" w14:textId="77777777" w:rsidR="00790BCC" w:rsidRPr="00790BCC" w:rsidRDefault="00790BCC" w:rsidP="00D31F4D">
      <w:pPr>
        <w:pStyle w:val="Heading1"/>
      </w:pPr>
      <w:r w:rsidRPr="00790BCC">
        <w:t>Materials</w:t>
      </w:r>
    </w:p>
    <w:p w14:paraId="29CB36F9" w14:textId="78CFDC1F" w:rsidR="00790BCC" w:rsidRDefault="006620B5" w:rsidP="00BC4A89">
      <w:pPr>
        <w:pStyle w:val="BulletedList"/>
        <w:numPr>
          <w:ilvl w:val="0"/>
          <w:numId w:val="31"/>
        </w:numPr>
      </w:pPr>
      <w:r>
        <w:t>Copies of the</w:t>
      </w:r>
      <w:r w:rsidR="00E60B1D">
        <w:t xml:space="preserve"> 10.4.2</w:t>
      </w:r>
      <w:r>
        <w:t xml:space="preserve"> End-of-Unit Assessment for each student</w:t>
      </w:r>
    </w:p>
    <w:p w14:paraId="7408C1A0" w14:textId="619A3DB1" w:rsidR="006620B5" w:rsidRDefault="007B088F" w:rsidP="00BC4A89">
      <w:pPr>
        <w:pStyle w:val="BulletedList"/>
        <w:numPr>
          <w:ilvl w:val="0"/>
          <w:numId w:val="31"/>
        </w:numPr>
      </w:pPr>
      <w:r>
        <w:t>Student c</w:t>
      </w:r>
      <w:r w:rsidR="006620B5">
        <w:t xml:space="preserve">opies of </w:t>
      </w:r>
      <w:r w:rsidR="00585598">
        <w:t xml:space="preserve">10.4.2 End-of-Unit </w:t>
      </w:r>
      <w:r w:rsidR="006620B5">
        <w:t xml:space="preserve">Text Analysis </w:t>
      </w:r>
      <w:r w:rsidR="00772B2B">
        <w:t xml:space="preserve">Rubric and </w:t>
      </w:r>
      <w:r w:rsidR="00E92122">
        <w:t>Checklis</w:t>
      </w:r>
      <w:r w:rsidR="00403B9B">
        <w:t>t</w:t>
      </w:r>
      <w:r w:rsidR="00772B2B">
        <w:t xml:space="preserve"> </w:t>
      </w:r>
      <w:r>
        <w:t>(refer to 10.4.2 Lesson 2</w:t>
      </w:r>
      <w:r w:rsidR="0051112E">
        <w:t>1</w:t>
      </w:r>
      <w:r w:rsidR="00936B8E">
        <w:t>)</w:t>
      </w:r>
    </w:p>
    <w:p w14:paraId="73063ED2" w14:textId="38940AB5" w:rsidR="00035595" w:rsidRDefault="00035595" w:rsidP="00BC4A89">
      <w:pPr>
        <w:pStyle w:val="BulletedList"/>
        <w:numPr>
          <w:ilvl w:val="0"/>
          <w:numId w:val="31"/>
        </w:numPr>
      </w:pPr>
      <w:r>
        <w:t>Copies of the Act 1 Witches’ Scenes Review Tool (for students not completing Lesson 23a)</w:t>
      </w:r>
    </w:p>
    <w:p w14:paraId="0EF908CB" w14:textId="1B72A34C" w:rsidR="00E92122" w:rsidRPr="00790BCC" w:rsidRDefault="00585598" w:rsidP="00BC4A89">
      <w:pPr>
        <w:pStyle w:val="BulletedList"/>
        <w:numPr>
          <w:ilvl w:val="0"/>
          <w:numId w:val="31"/>
        </w:numPr>
      </w:pPr>
      <w:r>
        <w:t>C</w:t>
      </w:r>
      <w:r w:rsidR="00E92122">
        <w:t xml:space="preserve">opies of the 10.4.2 </w:t>
      </w:r>
      <w:r w:rsidR="00640AFA">
        <w:t xml:space="preserve">End-of-Unit </w:t>
      </w:r>
      <w:r w:rsidR="00E92122">
        <w:t xml:space="preserve">Speaking and Listening </w:t>
      </w:r>
      <w:r w:rsidR="00772B2B">
        <w:t xml:space="preserve">Rubric and </w:t>
      </w:r>
      <w:r w:rsidR="00C8001D">
        <w:t>Checkl</w:t>
      </w:r>
      <w:r w:rsidR="00772B2B">
        <w:t xml:space="preserve">ist </w:t>
      </w:r>
      <w:r>
        <w:t>for each student</w:t>
      </w:r>
      <w:r w:rsidR="00AC5989">
        <w:t xml:space="preserve"> (preparation for optional Lesson 23a)</w:t>
      </w:r>
    </w:p>
    <w:p w14:paraId="02D31C5B"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3F1F2CC" w14:textId="77777777" w:rsidTr="00D14A2C">
        <w:tc>
          <w:tcPr>
            <w:tcW w:w="9360" w:type="dxa"/>
            <w:gridSpan w:val="2"/>
            <w:shd w:val="clear" w:color="auto" w:fill="76923C"/>
          </w:tcPr>
          <w:p w14:paraId="77F382E8" w14:textId="77777777" w:rsidR="00D31F4D" w:rsidRPr="00D31F4D" w:rsidRDefault="00D31F4D" w:rsidP="009450B7">
            <w:pPr>
              <w:pStyle w:val="TableHeaders"/>
            </w:pPr>
            <w:r w:rsidRPr="009450B7">
              <w:rPr>
                <w:sz w:val="22"/>
              </w:rPr>
              <w:t>How to Use the Learning Sequence</w:t>
            </w:r>
          </w:p>
        </w:tc>
      </w:tr>
      <w:tr w:rsidR="00D31F4D" w:rsidRPr="00D31F4D" w14:paraId="54DC30D3" w14:textId="77777777" w:rsidTr="00D14A2C">
        <w:tc>
          <w:tcPr>
            <w:tcW w:w="894" w:type="dxa"/>
            <w:shd w:val="clear" w:color="auto" w:fill="76923C"/>
          </w:tcPr>
          <w:p w14:paraId="03FC57E7"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02C4D99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9153ED5" w14:textId="77777777" w:rsidTr="00D14A2C">
        <w:tc>
          <w:tcPr>
            <w:tcW w:w="894" w:type="dxa"/>
          </w:tcPr>
          <w:p w14:paraId="1E49E69F"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42135A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30E7747" w14:textId="77777777" w:rsidTr="00D14A2C">
        <w:tc>
          <w:tcPr>
            <w:tcW w:w="894" w:type="dxa"/>
            <w:vMerge w:val="restart"/>
            <w:vAlign w:val="center"/>
          </w:tcPr>
          <w:p w14:paraId="1F185D6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4C4F598" w14:textId="77777777" w:rsidR="00D31F4D" w:rsidRPr="00D31F4D" w:rsidRDefault="00D31F4D" w:rsidP="00D31F4D">
            <w:pPr>
              <w:spacing w:before="20" w:after="20" w:line="240" w:lineRule="auto"/>
            </w:pPr>
            <w:r w:rsidRPr="00D31F4D">
              <w:t>Plain text indicates teacher action.</w:t>
            </w:r>
          </w:p>
        </w:tc>
      </w:tr>
      <w:tr w:rsidR="00D31F4D" w:rsidRPr="00D31F4D" w14:paraId="0F383A1E" w14:textId="77777777" w:rsidTr="00D14A2C">
        <w:tc>
          <w:tcPr>
            <w:tcW w:w="894" w:type="dxa"/>
            <w:vMerge/>
          </w:tcPr>
          <w:p w14:paraId="2D0294F8" w14:textId="77777777" w:rsidR="00D31F4D" w:rsidRPr="00D31F4D" w:rsidRDefault="00D31F4D" w:rsidP="00D31F4D">
            <w:pPr>
              <w:spacing w:before="20" w:after="20" w:line="240" w:lineRule="auto"/>
              <w:jc w:val="center"/>
              <w:rPr>
                <w:b/>
                <w:color w:val="000000"/>
              </w:rPr>
            </w:pPr>
          </w:p>
        </w:tc>
        <w:tc>
          <w:tcPr>
            <w:tcW w:w="8466" w:type="dxa"/>
          </w:tcPr>
          <w:p w14:paraId="5719AE1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A6F7398" w14:textId="77777777" w:rsidTr="00D14A2C">
        <w:tc>
          <w:tcPr>
            <w:tcW w:w="894" w:type="dxa"/>
            <w:vMerge/>
          </w:tcPr>
          <w:p w14:paraId="7B1A463E" w14:textId="77777777" w:rsidR="00D31F4D" w:rsidRPr="00D31F4D" w:rsidRDefault="00D31F4D" w:rsidP="00D31F4D">
            <w:pPr>
              <w:spacing w:before="20" w:after="20" w:line="240" w:lineRule="auto"/>
              <w:jc w:val="center"/>
              <w:rPr>
                <w:b/>
                <w:color w:val="000000"/>
              </w:rPr>
            </w:pPr>
          </w:p>
        </w:tc>
        <w:tc>
          <w:tcPr>
            <w:tcW w:w="8466" w:type="dxa"/>
          </w:tcPr>
          <w:p w14:paraId="3A05C550"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D6C9AD2" w14:textId="77777777" w:rsidTr="00D14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0B2466A" w14:textId="77777777" w:rsidR="00D31F4D" w:rsidRPr="00D31F4D" w:rsidRDefault="00D31F4D" w:rsidP="00D31F4D">
            <w:pPr>
              <w:spacing w:before="40" w:after="0" w:line="240" w:lineRule="auto"/>
              <w:jc w:val="center"/>
            </w:pPr>
            <w:r w:rsidRPr="00D31F4D">
              <w:sym w:font="Webdings" w:char="F034"/>
            </w:r>
          </w:p>
        </w:tc>
        <w:tc>
          <w:tcPr>
            <w:tcW w:w="8466" w:type="dxa"/>
          </w:tcPr>
          <w:p w14:paraId="02443331" w14:textId="77777777" w:rsidR="00D31F4D" w:rsidRPr="00D31F4D" w:rsidRDefault="00D31F4D" w:rsidP="00D31F4D">
            <w:pPr>
              <w:spacing w:before="20" w:after="20" w:line="240" w:lineRule="auto"/>
            </w:pPr>
            <w:r w:rsidRPr="00D31F4D">
              <w:t>Indicates student action(s).</w:t>
            </w:r>
          </w:p>
        </w:tc>
      </w:tr>
      <w:tr w:rsidR="00D31F4D" w:rsidRPr="00D31F4D" w14:paraId="4B86BE66" w14:textId="77777777" w:rsidTr="00D14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A7C30BA" w14:textId="77777777" w:rsidR="00D31F4D" w:rsidRPr="00D31F4D" w:rsidRDefault="00D31F4D" w:rsidP="00D31F4D">
            <w:pPr>
              <w:spacing w:before="80" w:after="0" w:line="240" w:lineRule="auto"/>
              <w:jc w:val="center"/>
            </w:pPr>
            <w:r w:rsidRPr="00D31F4D">
              <w:sym w:font="Webdings" w:char="F028"/>
            </w:r>
          </w:p>
        </w:tc>
        <w:tc>
          <w:tcPr>
            <w:tcW w:w="8466" w:type="dxa"/>
          </w:tcPr>
          <w:p w14:paraId="29661029"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749D913" w14:textId="77777777" w:rsidTr="00D14A2C">
        <w:tc>
          <w:tcPr>
            <w:tcW w:w="894" w:type="dxa"/>
            <w:vAlign w:val="bottom"/>
          </w:tcPr>
          <w:p w14:paraId="0B43302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B9B7E52"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71953BE" w14:textId="77777777" w:rsidR="00A14E71" w:rsidRPr="00A14E71" w:rsidRDefault="00A14E71" w:rsidP="00A14E71">
      <w:r>
        <w:br w:type="page"/>
      </w:r>
    </w:p>
    <w:p w14:paraId="61AE6F72" w14:textId="77777777" w:rsidR="00790BCC" w:rsidRPr="00790BCC" w:rsidRDefault="00790BCC" w:rsidP="00EB0772">
      <w:pPr>
        <w:pStyle w:val="LearningSequenceHeader"/>
      </w:pPr>
      <w:r w:rsidRPr="00790BCC">
        <w:lastRenderedPageBreak/>
        <w:t>Activity 1: Introduction of Lesson Agenda</w:t>
      </w:r>
      <w:r w:rsidRPr="00790BCC">
        <w:tab/>
        <w:t>5%</w:t>
      </w:r>
    </w:p>
    <w:p w14:paraId="7BF656EE" w14:textId="17EF5CA0" w:rsidR="00FD4EFA" w:rsidRPr="00FD4EFA" w:rsidRDefault="006620B5" w:rsidP="00FD4EFA">
      <w:pPr>
        <w:pStyle w:val="TA"/>
      </w:pPr>
      <w:r>
        <w:t xml:space="preserve">Begin by reviewing the agenda and the assessed standards for this lesson: </w:t>
      </w:r>
      <w:r w:rsidR="00E92122">
        <w:t>RL.9-10.3, W.9-10.1</w:t>
      </w:r>
      <w:r w:rsidR="00157227">
        <w:t>.a-e</w:t>
      </w:r>
      <w:r w:rsidR="00E92122">
        <w:t>, L.9-10.1</w:t>
      </w:r>
      <w:r w:rsidR="00157227">
        <w:t>.a-b</w:t>
      </w:r>
      <w:r w:rsidR="009D6C26">
        <w:t>,</w:t>
      </w:r>
      <w:r w:rsidR="00E92122">
        <w:t xml:space="preserve"> and L.9-10.2.a-</w:t>
      </w:r>
      <w:r w:rsidR="00157227">
        <w:t>c</w:t>
      </w:r>
      <w:r>
        <w:t>. In this lesson, students complete the End-of-Unit</w:t>
      </w:r>
      <w:r w:rsidR="00E92122">
        <w:t xml:space="preserve"> Assessment in which they write a multi-paragraph argument supporting a central claim about which character of </w:t>
      </w:r>
      <w:r w:rsidR="00E92122">
        <w:rPr>
          <w:i/>
        </w:rPr>
        <w:t xml:space="preserve">Macbeth </w:t>
      </w:r>
      <w:r w:rsidR="00E92122">
        <w:t>is primarily responsible for the tragedy</w:t>
      </w:r>
      <w:r>
        <w:t>.</w:t>
      </w:r>
    </w:p>
    <w:p w14:paraId="3471E598" w14:textId="77777777" w:rsidR="00FD4EFA" w:rsidRDefault="006620B5" w:rsidP="00FD4EFA">
      <w:pPr>
        <w:pStyle w:val="SA"/>
      </w:pPr>
      <w:r>
        <w:t xml:space="preserve">Students </w:t>
      </w:r>
      <w:r w:rsidR="00157227">
        <w:t>look at the agenda</w:t>
      </w:r>
      <w:r>
        <w:t>.</w:t>
      </w:r>
    </w:p>
    <w:p w14:paraId="1081B8E3" w14:textId="54C11A93" w:rsidR="009626EF" w:rsidRPr="00FD4EFA" w:rsidRDefault="009626EF" w:rsidP="00BC4A89">
      <w:pPr>
        <w:pStyle w:val="IN"/>
      </w:pPr>
      <w:r>
        <w:t>Remind students to use domain-specific vocabulary, as well as proper grammar, capitalization, punctuation, and spelling to achieve a formal style and objective tone.</w:t>
      </w:r>
      <w:r w:rsidR="004A5E2D">
        <w:t xml:space="preserve"> If necessary, remind students of the work they did in 10.3</w:t>
      </w:r>
      <w:r w:rsidR="00AF3A9C">
        <w:t>.3</w:t>
      </w:r>
      <w:r w:rsidR="004A5E2D">
        <w:t xml:space="preserve"> regarding how to establish and maintain a formal style.</w:t>
      </w:r>
      <w:r w:rsidR="00C818A8">
        <w:t xml:space="preserve"> Remind students that domain-specific vocabulary includes </w:t>
      </w:r>
      <w:r w:rsidR="00620DE7">
        <w:t xml:space="preserve">terms such as </w:t>
      </w:r>
      <w:r w:rsidR="007635A1" w:rsidRPr="00BC4A89">
        <w:rPr>
          <w:i/>
        </w:rPr>
        <w:t>acts, scenes, lines, stage directions, monologues, soliloquies,</w:t>
      </w:r>
      <w:r w:rsidR="007635A1">
        <w:t xml:space="preserve"> etc.</w:t>
      </w:r>
    </w:p>
    <w:p w14:paraId="5B9E8693" w14:textId="77777777" w:rsidR="00790BCC" w:rsidRPr="00790BCC" w:rsidRDefault="00790BCC" w:rsidP="007017EB">
      <w:pPr>
        <w:pStyle w:val="LearningSequenceHeader"/>
      </w:pPr>
      <w:r w:rsidRPr="00790BCC">
        <w:t>Activ</w:t>
      </w:r>
      <w:r w:rsidR="002312B4">
        <w:t>ity 2: Homework Accountability</w:t>
      </w:r>
      <w:r w:rsidR="002312B4">
        <w:tab/>
      </w:r>
      <w:r w:rsidR="00E879B6">
        <w:t>10</w:t>
      </w:r>
      <w:r w:rsidRPr="00790BCC">
        <w:t>%</w:t>
      </w:r>
    </w:p>
    <w:p w14:paraId="6B9D9263" w14:textId="77777777" w:rsidR="00790BCC" w:rsidRDefault="006620B5" w:rsidP="007017EB">
      <w:pPr>
        <w:pStyle w:val="TA"/>
      </w:pPr>
      <w:r>
        <w:t>Instruct students to take out their materials for the End-of-Unit Assessment, including all notes, annotations, tools, and Quick Writes.</w:t>
      </w:r>
    </w:p>
    <w:p w14:paraId="1705C9C4" w14:textId="77777777" w:rsidR="006620B5" w:rsidRDefault="006620B5" w:rsidP="006620B5">
      <w:pPr>
        <w:pStyle w:val="SA"/>
      </w:pPr>
      <w:r>
        <w:t>Students take out their materials for the End-of-Unit Assessment.</w:t>
      </w:r>
    </w:p>
    <w:p w14:paraId="541A29F6" w14:textId="77777777" w:rsidR="006620B5" w:rsidRDefault="006620B5" w:rsidP="006620B5">
      <w:pPr>
        <w:pStyle w:val="IN"/>
      </w:pPr>
      <w:r>
        <w:t>Students demonstrate completion of their homework by having all of their materials organized and accessible for the assessment.</w:t>
      </w:r>
    </w:p>
    <w:p w14:paraId="0AC8A055" w14:textId="1E0D1F27" w:rsidR="00790BCC" w:rsidRPr="00790BCC" w:rsidRDefault="006620B5" w:rsidP="007017EB">
      <w:pPr>
        <w:pStyle w:val="LearningSequenceHeader"/>
      </w:pPr>
      <w:r>
        <w:t xml:space="preserve">Activity 3: </w:t>
      </w:r>
      <w:r w:rsidR="00355E34">
        <w:t xml:space="preserve">10.4.2 </w:t>
      </w:r>
      <w:r>
        <w:t>End-of-Unit Assessment</w:t>
      </w:r>
      <w:r w:rsidR="002312B4">
        <w:tab/>
      </w:r>
      <w:r w:rsidR="00E879B6">
        <w:t>70</w:t>
      </w:r>
      <w:r w:rsidR="00790BCC" w:rsidRPr="00790BCC">
        <w:t>%</w:t>
      </w:r>
    </w:p>
    <w:p w14:paraId="4B62D37C" w14:textId="0F2558F0" w:rsidR="00A304CC" w:rsidRDefault="00D02E0D" w:rsidP="00A304CC">
      <w:pPr>
        <w:pStyle w:val="TA"/>
      </w:pPr>
      <w:r>
        <w:t>Explain to students that because it is a formal writing task, the 10.4.2 End-of-Unit Assessment should include an introductory statement that presents a central claim, well-organized supporting claims and counterclaims with supporting evidence and clear reasoning, and a concluding statement that articulates the importance of the argument. Remind students to use domain-specific vocabulary, as well as proper grammar, capitalization, punctuation, and spelling to achieve a formal style and objective tone.</w:t>
      </w:r>
      <w:r w:rsidR="00A304CC">
        <w:t xml:space="preserve"> Remind students as they write to refer to their notes, tools, and annotated text from previous lessons.</w:t>
      </w:r>
    </w:p>
    <w:p w14:paraId="29582C71" w14:textId="77777777" w:rsidR="00A304CC" w:rsidRDefault="00A304CC" w:rsidP="00A304CC">
      <w:pPr>
        <w:pStyle w:val="IN"/>
      </w:pPr>
      <w:r>
        <w:t>Consider reminding students that the appropriate use of strong evidence to support their claims demonstrates their application of W.9-10.9.a.</w:t>
      </w:r>
    </w:p>
    <w:p w14:paraId="2E56137A" w14:textId="77777777" w:rsidR="00D02E0D" w:rsidRDefault="00D02E0D" w:rsidP="007017EB">
      <w:pPr>
        <w:pStyle w:val="TA"/>
      </w:pPr>
      <w:r>
        <w:t>Instruct students to write a multi-paragraph response to the following prompt:</w:t>
      </w:r>
    </w:p>
    <w:p w14:paraId="0F6ABCE5" w14:textId="77777777" w:rsidR="00974335" w:rsidRDefault="00D02E0D" w:rsidP="00974335">
      <w:pPr>
        <w:pStyle w:val="Q"/>
      </w:pPr>
      <w:r w:rsidRPr="00C858EE">
        <w:lastRenderedPageBreak/>
        <w:t xml:space="preserve">Select a central character from </w:t>
      </w:r>
      <w:r w:rsidRPr="00C858EE">
        <w:rPr>
          <w:i/>
          <w:iCs/>
        </w:rPr>
        <w:t>Macbeth</w:t>
      </w:r>
      <w:r w:rsidRPr="00C858EE">
        <w:t>. Write an argument about how this character is primarily responsible for the tragedy. Support your claims using evidence that draws on character development, interactions, plot</w:t>
      </w:r>
      <w:r w:rsidR="00D74AC7">
        <w:t>,</w:t>
      </w:r>
      <w:r w:rsidRPr="00C858EE">
        <w:t xml:space="preserve"> and/or central ideas.</w:t>
      </w:r>
    </w:p>
    <w:p w14:paraId="0D53A1EB" w14:textId="22C29DE8" w:rsidR="00A06B1D" w:rsidRDefault="00A06B1D" w:rsidP="00A06B1D">
      <w:pPr>
        <w:pStyle w:val="TA"/>
      </w:pPr>
      <w:r>
        <w:t xml:space="preserve">Remind students to use the 10.4.2 End-of-Unit Text Analysis </w:t>
      </w:r>
      <w:r w:rsidR="00C8001D">
        <w:t xml:space="preserve">Rubric </w:t>
      </w:r>
      <w:r>
        <w:t xml:space="preserve">to guide their written responses. </w:t>
      </w:r>
      <w:r w:rsidR="00A304CC">
        <w:t xml:space="preserve">Ask students to use this lesson’s vocabulary wherever possible in their written responses. </w:t>
      </w:r>
    </w:p>
    <w:p w14:paraId="38D9978A" w14:textId="77777777" w:rsidR="00A304CC" w:rsidRDefault="00A304CC" w:rsidP="00EB0772">
      <w:pPr>
        <w:pStyle w:val="IN"/>
      </w:pPr>
      <w:r>
        <w:t>Display the prompt for students to see, or provide the prompt in hard copy.</w:t>
      </w:r>
    </w:p>
    <w:p w14:paraId="43B1CAFD" w14:textId="06829A03" w:rsidR="00DE602B" w:rsidRDefault="00DE602B" w:rsidP="00DE602B">
      <w:pPr>
        <w:pStyle w:val="SA"/>
      </w:pPr>
      <w:r>
        <w:t xml:space="preserve">Students independently </w:t>
      </w:r>
      <w:r w:rsidR="00A304CC">
        <w:t>answer the prompt</w:t>
      </w:r>
      <w:r>
        <w:t xml:space="preserve"> using evidence from the text.</w:t>
      </w:r>
    </w:p>
    <w:p w14:paraId="16C51E69" w14:textId="5B5B1F02" w:rsidR="00DE602B" w:rsidRDefault="00DE602B" w:rsidP="00DE602B">
      <w:pPr>
        <w:pStyle w:val="SR"/>
      </w:pPr>
      <w:r>
        <w:t xml:space="preserve">See the High Performance </w:t>
      </w:r>
      <w:r w:rsidR="00D74AC7">
        <w:t>R</w:t>
      </w:r>
      <w:r>
        <w:t>esponse at the beginning of this lesson.</w:t>
      </w:r>
    </w:p>
    <w:p w14:paraId="232C5519" w14:textId="070AAF2C" w:rsidR="00790BCC" w:rsidRPr="00790BCC" w:rsidRDefault="00434625" w:rsidP="00E60B1D">
      <w:pPr>
        <w:pStyle w:val="LearningSequenceHeader"/>
        <w:spacing w:before="320"/>
      </w:pPr>
      <w:r>
        <w:t>Activity 4:</w:t>
      </w:r>
      <w:r w:rsidR="00E60B1D">
        <w:t xml:space="preserve"> Preparation for Oral Presentations (Optional)</w:t>
      </w:r>
      <w:r w:rsidR="00D11D22">
        <w:tab/>
      </w:r>
      <w:r w:rsidR="00BF77FE">
        <w:t>1</w:t>
      </w:r>
      <w:r w:rsidR="00E60B1D">
        <w:t>0</w:t>
      </w:r>
      <w:r w:rsidR="00790BCC" w:rsidRPr="00790BCC">
        <w:t>%</w:t>
      </w:r>
    </w:p>
    <w:p w14:paraId="76C96756" w14:textId="7D77F7DE" w:rsidR="00F80461" w:rsidRDefault="00EA7696" w:rsidP="00EA7696">
      <w:pPr>
        <w:pStyle w:val="IN"/>
      </w:pPr>
      <w:r>
        <w:t xml:space="preserve">The following instruction prepares students for Optional Lesson 23a, in which students have the opportunity to present their ideas as oral presentations. </w:t>
      </w:r>
      <w:r w:rsidR="00AC5989">
        <w:t>If using this option, i</w:t>
      </w:r>
      <w:r w:rsidR="001D00C7">
        <w:t xml:space="preserve">nstruct students to meet in </w:t>
      </w:r>
      <w:r w:rsidR="00C32595">
        <w:t>the</w:t>
      </w:r>
      <w:r w:rsidR="001D00C7">
        <w:t xml:space="preserve"> small groups</w:t>
      </w:r>
      <w:r w:rsidR="00C32595">
        <w:t xml:space="preserve"> established in 10.4.2 Lesson 1</w:t>
      </w:r>
      <w:r w:rsidR="001D00C7">
        <w:t>. Inform students that in the next lesson</w:t>
      </w:r>
      <w:r w:rsidR="00D74AC7">
        <w:t>,</w:t>
      </w:r>
      <w:r w:rsidR="001D00C7">
        <w:t xml:space="preserve"> they will have an opportunity to present their </w:t>
      </w:r>
      <w:r w:rsidR="00C32595">
        <w:t>arguments</w:t>
      </w:r>
      <w:r w:rsidR="001D00C7">
        <w:t xml:space="preserve"> orally</w:t>
      </w:r>
      <w:r w:rsidR="00C32595">
        <w:t xml:space="preserve"> to their small groups</w:t>
      </w:r>
      <w:r w:rsidR="001D00C7">
        <w:t>. Post or project the following questions for students to answer in their small groups</w:t>
      </w:r>
      <w:r w:rsidR="00C32595">
        <w:t xml:space="preserve"> before sharing out with the class.</w:t>
      </w:r>
    </w:p>
    <w:p w14:paraId="278E447B" w14:textId="77777777" w:rsidR="001D00C7" w:rsidRPr="00FD6CDD" w:rsidRDefault="001D00C7" w:rsidP="00FD6CDD">
      <w:pPr>
        <w:pStyle w:val="Q"/>
        <w:ind w:firstLine="360"/>
        <w:rPr>
          <w:color w:val="4F81BD" w:themeColor="accent1"/>
        </w:rPr>
      </w:pPr>
      <w:r w:rsidRPr="00FD6CDD">
        <w:rPr>
          <w:color w:val="4F81BD" w:themeColor="accent1"/>
        </w:rPr>
        <w:t>In what ways will presenting ideas orally be different from presenting ideas in writing?</w:t>
      </w:r>
    </w:p>
    <w:p w14:paraId="17E5EE70" w14:textId="77777777" w:rsidR="001D00C7" w:rsidRPr="00FD6CDD" w:rsidRDefault="001D00C7" w:rsidP="001D00C7">
      <w:pPr>
        <w:pStyle w:val="SR"/>
        <w:rPr>
          <w:color w:val="4F81BD" w:themeColor="accent1"/>
        </w:rPr>
      </w:pPr>
      <w:r w:rsidRPr="00FD6CDD">
        <w:rPr>
          <w:color w:val="4F81BD" w:themeColor="accent1"/>
        </w:rPr>
        <w:t>Student responses may include:</w:t>
      </w:r>
    </w:p>
    <w:p w14:paraId="6AF90AAA" w14:textId="0378BB75" w:rsidR="001D00C7" w:rsidRPr="00FD6CDD" w:rsidRDefault="001D00C7" w:rsidP="001D00C7">
      <w:pPr>
        <w:pStyle w:val="SASRBullet"/>
        <w:rPr>
          <w:color w:val="4F81BD" w:themeColor="accent1"/>
        </w:rPr>
      </w:pPr>
      <w:r w:rsidRPr="00FD6CDD">
        <w:rPr>
          <w:color w:val="4F81BD" w:themeColor="accent1"/>
        </w:rPr>
        <w:t>It might feel less formal</w:t>
      </w:r>
      <w:r w:rsidR="00DB3350">
        <w:rPr>
          <w:color w:val="4F81BD" w:themeColor="accent1"/>
        </w:rPr>
        <w:t>,</w:t>
      </w:r>
      <w:r w:rsidRPr="00FD6CDD">
        <w:rPr>
          <w:color w:val="4F81BD" w:themeColor="accent1"/>
        </w:rPr>
        <w:t xml:space="preserve"> because we are talking to peers.</w:t>
      </w:r>
    </w:p>
    <w:p w14:paraId="6F1AFCA3" w14:textId="1CF1CE01" w:rsidR="001D00C7" w:rsidRPr="00FD6CDD" w:rsidRDefault="001D00C7" w:rsidP="001D00C7">
      <w:pPr>
        <w:pStyle w:val="SASRBullet"/>
        <w:rPr>
          <w:color w:val="4F81BD" w:themeColor="accent1"/>
        </w:rPr>
      </w:pPr>
      <w:r w:rsidRPr="00FD6CDD">
        <w:rPr>
          <w:color w:val="4F81BD" w:themeColor="accent1"/>
        </w:rPr>
        <w:t>It might be harder to make sure the ideas are clear</w:t>
      </w:r>
      <w:r w:rsidR="00DB3350">
        <w:rPr>
          <w:color w:val="4F81BD" w:themeColor="accent1"/>
        </w:rPr>
        <w:t>,</w:t>
      </w:r>
      <w:r w:rsidRPr="00FD6CDD">
        <w:rPr>
          <w:color w:val="4F81BD" w:themeColor="accent1"/>
        </w:rPr>
        <w:t xml:space="preserve"> because there is no written record of the ideas that build up to a claim.</w:t>
      </w:r>
    </w:p>
    <w:p w14:paraId="795AF42B" w14:textId="43FEAB8F" w:rsidR="001D00C7" w:rsidRPr="00FD6CDD" w:rsidRDefault="001D00C7" w:rsidP="00E60B1D">
      <w:pPr>
        <w:pStyle w:val="IN"/>
        <w:numPr>
          <w:ilvl w:val="0"/>
          <w:numId w:val="0"/>
        </w:numPr>
        <w:ind w:left="360"/>
      </w:pPr>
      <w:r w:rsidRPr="00FD6CDD">
        <w:t xml:space="preserve">Distribute the 10.4.2 </w:t>
      </w:r>
      <w:r w:rsidR="00544FB5">
        <w:t xml:space="preserve">End-of-Unit </w:t>
      </w:r>
      <w:r w:rsidR="002A13A3">
        <w:t>Speaking and Listening</w:t>
      </w:r>
      <w:r w:rsidRPr="00FD6CDD">
        <w:t xml:space="preserve"> </w:t>
      </w:r>
      <w:r w:rsidR="00C8001D" w:rsidRPr="00FD6CDD">
        <w:t>Rubric</w:t>
      </w:r>
      <w:r w:rsidR="00C8001D">
        <w:t xml:space="preserve"> and </w:t>
      </w:r>
      <w:r w:rsidR="00C8001D" w:rsidRPr="00FD6CDD">
        <w:t>Checklist</w:t>
      </w:r>
      <w:r w:rsidR="00C8001D">
        <w:t>.</w:t>
      </w:r>
      <w:r w:rsidR="00C8001D" w:rsidRPr="00FD6CDD">
        <w:t xml:space="preserve"> </w:t>
      </w:r>
      <w:r w:rsidRPr="00FD6CDD">
        <w:t>Instruct students to review and discuss the</w:t>
      </w:r>
      <w:r w:rsidR="00DE1EAB" w:rsidRPr="00FD6CDD">
        <w:t xml:space="preserve"> rubric and checklist</w:t>
      </w:r>
      <w:r w:rsidRPr="00FD6CDD">
        <w:t xml:space="preserve"> in small groups before answering the following questions:</w:t>
      </w:r>
    </w:p>
    <w:p w14:paraId="315618AC" w14:textId="77777777" w:rsidR="001D00C7" w:rsidRPr="00FD6CDD" w:rsidRDefault="001D00C7" w:rsidP="00FD6CDD">
      <w:pPr>
        <w:pStyle w:val="Q"/>
        <w:ind w:firstLine="360"/>
        <w:rPr>
          <w:color w:val="4F81BD" w:themeColor="accent1"/>
        </w:rPr>
      </w:pPr>
      <w:r w:rsidRPr="00FD6CDD">
        <w:rPr>
          <w:color w:val="4F81BD" w:themeColor="accent1"/>
        </w:rPr>
        <w:t>What makes a successful oral presentation?</w:t>
      </w:r>
    </w:p>
    <w:p w14:paraId="4EFD4C7C" w14:textId="77777777" w:rsidR="001D00C7" w:rsidRPr="00FD6CDD" w:rsidRDefault="001D00C7" w:rsidP="001D00C7">
      <w:pPr>
        <w:pStyle w:val="SR"/>
        <w:rPr>
          <w:color w:val="4F81BD" w:themeColor="accent1"/>
        </w:rPr>
      </w:pPr>
      <w:r w:rsidRPr="00FD6CDD">
        <w:rPr>
          <w:color w:val="4F81BD" w:themeColor="accent1"/>
        </w:rPr>
        <w:t>Student responses may include:</w:t>
      </w:r>
    </w:p>
    <w:p w14:paraId="666C0E41" w14:textId="77777777" w:rsidR="001D00C7" w:rsidRPr="00FD6CDD" w:rsidRDefault="001D00C7" w:rsidP="001D00C7">
      <w:pPr>
        <w:pStyle w:val="SASRBullet"/>
        <w:rPr>
          <w:color w:val="4F81BD" w:themeColor="accent1"/>
        </w:rPr>
      </w:pPr>
      <w:r w:rsidRPr="00FD6CDD">
        <w:rPr>
          <w:color w:val="4F81BD" w:themeColor="accent1"/>
        </w:rPr>
        <w:t>Successful presentations are concise: They present an idea clearly and stay on topic.</w:t>
      </w:r>
    </w:p>
    <w:p w14:paraId="5A6BD251" w14:textId="77777777" w:rsidR="001D00C7" w:rsidRPr="00FD6CDD" w:rsidRDefault="001D00C7" w:rsidP="001D00C7">
      <w:pPr>
        <w:pStyle w:val="SASRBullet"/>
        <w:rPr>
          <w:color w:val="4F81BD" w:themeColor="accent1"/>
        </w:rPr>
      </w:pPr>
      <w:r w:rsidRPr="00FD6CDD">
        <w:rPr>
          <w:color w:val="4F81BD" w:themeColor="accent1"/>
        </w:rPr>
        <w:t>Successful presentations use evidence to support ideas.</w:t>
      </w:r>
    </w:p>
    <w:p w14:paraId="75704D2E" w14:textId="77777777" w:rsidR="001D00C7" w:rsidRPr="00FD6CDD" w:rsidRDefault="001D00C7" w:rsidP="001D00C7">
      <w:pPr>
        <w:pStyle w:val="SASRBullet"/>
        <w:rPr>
          <w:color w:val="4F81BD" w:themeColor="accent1"/>
        </w:rPr>
      </w:pPr>
      <w:r w:rsidRPr="00FD6CDD">
        <w:rPr>
          <w:color w:val="4F81BD" w:themeColor="accent1"/>
        </w:rPr>
        <w:t xml:space="preserve">Successful presentations are </w:t>
      </w:r>
      <w:r w:rsidR="0013650F" w:rsidRPr="00FD6CDD">
        <w:rPr>
          <w:color w:val="4F81BD" w:themeColor="accent1"/>
        </w:rPr>
        <w:t>well organized</w:t>
      </w:r>
      <w:r w:rsidRPr="00FD6CDD">
        <w:rPr>
          <w:color w:val="4F81BD" w:themeColor="accent1"/>
        </w:rPr>
        <w:t>: They present evidence in a logical way that is easy for listeners to follow.</w:t>
      </w:r>
    </w:p>
    <w:p w14:paraId="704DE328" w14:textId="77777777" w:rsidR="001D00C7" w:rsidRPr="00FD6CDD" w:rsidRDefault="001D00C7" w:rsidP="001D00C7">
      <w:pPr>
        <w:pStyle w:val="SASRBullet"/>
        <w:rPr>
          <w:color w:val="4F81BD" w:themeColor="accent1"/>
        </w:rPr>
      </w:pPr>
      <w:r w:rsidRPr="00FD6CDD">
        <w:rPr>
          <w:color w:val="4F81BD" w:themeColor="accent1"/>
        </w:rPr>
        <w:t>Successful presentations are interesting for listeners: Presenters speak clearly and in a style that is appropriate for the listeners.</w:t>
      </w:r>
    </w:p>
    <w:p w14:paraId="771062B3" w14:textId="77777777" w:rsidR="001D00C7" w:rsidRPr="00FD6CDD" w:rsidRDefault="001D00C7" w:rsidP="00FD6CDD">
      <w:pPr>
        <w:pStyle w:val="Q"/>
        <w:ind w:firstLine="360"/>
        <w:rPr>
          <w:color w:val="4F81BD" w:themeColor="accent1"/>
        </w:rPr>
      </w:pPr>
      <w:r w:rsidRPr="00FD6CDD">
        <w:rPr>
          <w:color w:val="4F81BD" w:themeColor="accent1"/>
        </w:rPr>
        <w:lastRenderedPageBreak/>
        <w:t>What are some effective ways to prepare for an oral presentation?</w:t>
      </w:r>
    </w:p>
    <w:p w14:paraId="4AA75FE4" w14:textId="77777777" w:rsidR="001D00C7" w:rsidRPr="00FD6CDD" w:rsidRDefault="001D00C7" w:rsidP="001D00C7">
      <w:pPr>
        <w:pStyle w:val="SR"/>
        <w:rPr>
          <w:color w:val="4F81BD" w:themeColor="accent1"/>
        </w:rPr>
      </w:pPr>
      <w:r w:rsidRPr="00FD6CDD">
        <w:rPr>
          <w:color w:val="4F81BD" w:themeColor="accent1"/>
        </w:rPr>
        <w:t>Student responses may include:</w:t>
      </w:r>
    </w:p>
    <w:p w14:paraId="12169934" w14:textId="77777777" w:rsidR="001D00C7" w:rsidRPr="00FD6CDD" w:rsidRDefault="001D00C7" w:rsidP="001D00C7">
      <w:pPr>
        <w:pStyle w:val="SASRBullet"/>
        <w:rPr>
          <w:color w:val="4F81BD" w:themeColor="accent1"/>
        </w:rPr>
      </w:pPr>
      <w:r w:rsidRPr="00FD6CDD">
        <w:rPr>
          <w:color w:val="4F81BD" w:themeColor="accent1"/>
        </w:rPr>
        <w:t>Prepare by reviewing the content of the argument.</w:t>
      </w:r>
    </w:p>
    <w:p w14:paraId="08001E89" w14:textId="77777777" w:rsidR="001D00C7" w:rsidRPr="00FD6CDD" w:rsidRDefault="001D00C7" w:rsidP="001D00C7">
      <w:pPr>
        <w:pStyle w:val="SASRBullet"/>
        <w:rPr>
          <w:color w:val="4F81BD" w:themeColor="accent1"/>
        </w:rPr>
      </w:pPr>
      <w:r w:rsidRPr="00FD6CDD">
        <w:rPr>
          <w:color w:val="4F81BD" w:themeColor="accent1"/>
        </w:rPr>
        <w:t>Practice presenting the central claim concisely.</w:t>
      </w:r>
    </w:p>
    <w:p w14:paraId="07A01B8E" w14:textId="77777777" w:rsidR="001D00C7" w:rsidRPr="00FD6CDD" w:rsidRDefault="001D00C7" w:rsidP="001D00C7">
      <w:pPr>
        <w:pStyle w:val="SASRBullet"/>
        <w:rPr>
          <w:color w:val="4F81BD" w:themeColor="accent1"/>
        </w:rPr>
      </w:pPr>
      <w:r w:rsidRPr="00FD6CDD">
        <w:rPr>
          <w:color w:val="4F81BD" w:themeColor="accent1"/>
        </w:rPr>
        <w:t xml:space="preserve">Use notecards or </w:t>
      </w:r>
      <w:r w:rsidR="00240B47" w:rsidRPr="00FD6CDD">
        <w:rPr>
          <w:color w:val="4F81BD" w:themeColor="accent1"/>
        </w:rPr>
        <w:t xml:space="preserve">the Argument Outline Tool </w:t>
      </w:r>
      <w:r w:rsidRPr="00FD6CDD">
        <w:rPr>
          <w:color w:val="4F81BD" w:themeColor="accent1"/>
        </w:rPr>
        <w:t>to help keep ideas in order and to remember important points.</w:t>
      </w:r>
    </w:p>
    <w:p w14:paraId="244DC964" w14:textId="77777777" w:rsidR="001D00C7" w:rsidRPr="00FD6CDD" w:rsidRDefault="001D00C7" w:rsidP="001D00C7">
      <w:pPr>
        <w:pStyle w:val="SASRBullet"/>
        <w:rPr>
          <w:color w:val="4F81BD" w:themeColor="accent1"/>
        </w:rPr>
      </w:pPr>
      <w:r w:rsidRPr="00FD6CDD">
        <w:rPr>
          <w:color w:val="4F81BD" w:themeColor="accent1"/>
        </w:rPr>
        <w:t>Practice to ensure that the volume, rate, and tone are appropriate.</w:t>
      </w:r>
    </w:p>
    <w:p w14:paraId="5733BAA6" w14:textId="77777777" w:rsidR="001D00C7" w:rsidRPr="00FD6CDD" w:rsidRDefault="001D00C7" w:rsidP="001D00C7">
      <w:pPr>
        <w:pStyle w:val="SASRBullet"/>
        <w:rPr>
          <w:color w:val="4F81BD" w:themeColor="accent1"/>
        </w:rPr>
      </w:pPr>
      <w:r w:rsidRPr="00FD6CDD">
        <w:rPr>
          <w:color w:val="4F81BD" w:themeColor="accent1"/>
        </w:rPr>
        <w:t>Remember to make eye contact.</w:t>
      </w:r>
    </w:p>
    <w:p w14:paraId="768C4A6B" w14:textId="77777777" w:rsidR="001D00C7" w:rsidRPr="00FD6CDD" w:rsidRDefault="001D00C7" w:rsidP="00E60B1D">
      <w:pPr>
        <w:pStyle w:val="IN"/>
        <w:numPr>
          <w:ilvl w:val="0"/>
          <w:numId w:val="0"/>
        </w:numPr>
        <w:ind w:left="360"/>
      </w:pPr>
      <w:r w:rsidRPr="00FD6CDD">
        <w:t>Lead a brief whole-class discussion based on student responses.</w:t>
      </w:r>
    </w:p>
    <w:p w14:paraId="7F0FDC16" w14:textId="159D0B0A" w:rsidR="002A13A3" w:rsidRDefault="002A13A3">
      <w:pPr>
        <w:pStyle w:val="IN"/>
      </w:pPr>
      <w:r>
        <w:t>Consider reminding students that this is an opportunity to apply standard SL.9-10.4 by presenting information, findings, and supporting evidence clearly, concisely</w:t>
      </w:r>
      <w:r w:rsidR="00DF515A">
        <w:t>,</w:t>
      </w:r>
      <w:r>
        <w:t xml:space="preserve"> and logically. </w:t>
      </w:r>
    </w:p>
    <w:p w14:paraId="1E7B2384" w14:textId="77777777" w:rsidR="00F80461" w:rsidRDefault="00AC5989">
      <w:pPr>
        <w:pStyle w:val="IN"/>
      </w:pPr>
      <w:r>
        <w:t>If students are not giving oral presentations in the next lesson, omit the discussion above and adjust time allotments by allowing slightly more time for writing the multi-paragraph essays and slightly less time for the closing.</w:t>
      </w:r>
    </w:p>
    <w:p w14:paraId="7CE661A8" w14:textId="2D3D582D" w:rsidR="00E60B1D" w:rsidRDefault="00E60B1D" w:rsidP="00E60B1D">
      <w:pPr>
        <w:pStyle w:val="LearningSequenceHeader"/>
      </w:pPr>
      <w:r>
        <w:t>Activity 5: Closing</w:t>
      </w:r>
      <w:r>
        <w:tab/>
        <w:t>5%</w:t>
      </w:r>
    </w:p>
    <w:p w14:paraId="3BB256A7" w14:textId="3858CD85" w:rsidR="00FD6CDD" w:rsidRDefault="00C377ED" w:rsidP="00BC4A89">
      <w:pPr>
        <w:pStyle w:val="TA"/>
      </w:pPr>
      <w:r>
        <w:t xml:space="preserve">Display and distribute the homework assignment. For homework, instruct students to </w:t>
      </w:r>
      <w:r w:rsidR="004C592E">
        <w:t>reread Acts 1.1 and 1.3 before completing the Act 1 Witches’ Scenes Revi</w:t>
      </w:r>
      <w:r w:rsidR="002B21B5">
        <w:t>e</w:t>
      </w:r>
      <w:r w:rsidR="004C592E">
        <w:t>w Tool.</w:t>
      </w:r>
    </w:p>
    <w:p w14:paraId="4B9D3C44" w14:textId="5D71189D" w:rsidR="00D07DDC" w:rsidRDefault="00FD6CDD" w:rsidP="00BC4A89">
      <w:pPr>
        <w:pStyle w:val="IN"/>
      </w:pPr>
      <w:r>
        <w:t>F</w:t>
      </w:r>
      <w:r w:rsidR="00AC5989">
        <w:t xml:space="preserve">or students giving oral presentations as described in the optional Lesson 23a of this unit, </w:t>
      </w:r>
      <w:r w:rsidR="004C592E">
        <w:t>omit the homework above</w:t>
      </w:r>
      <w:r w:rsidR="00DF515A">
        <w:t>. I</w:t>
      </w:r>
      <w:r w:rsidR="004C592E">
        <w:t>nstead</w:t>
      </w:r>
      <w:r w:rsidR="00DF515A">
        <w:t>,</w:t>
      </w:r>
      <w:r w:rsidR="004C592E">
        <w:t xml:space="preserve"> </w:t>
      </w:r>
      <w:r w:rsidR="00AC5989">
        <w:t xml:space="preserve">instruct </w:t>
      </w:r>
      <w:r w:rsidR="004C592E">
        <w:t>students</w:t>
      </w:r>
      <w:r w:rsidR="00AC5989">
        <w:t xml:space="preserve"> to review their </w:t>
      </w:r>
      <w:r w:rsidR="00AC5989">
        <w:rPr>
          <w:i/>
        </w:rPr>
        <w:t>Macbeth</w:t>
      </w:r>
      <w:r w:rsidR="00AC5989">
        <w:t xml:space="preserve"> Argument Outline Tool and the 10.4.2 </w:t>
      </w:r>
      <w:r w:rsidR="00544FB5">
        <w:t xml:space="preserve">End-of-Unit </w:t>
      </w:r>
      <w:r w:rsidR="00AC5989">
        <w:t xml:space="preserve">Speaking and Listening </w:t>
      </w:r>
      <w:r w:rsidR="00C8001D">
        <w:t xml:space="preserve">Rubric and Checklist </w:t>
      </w:r>
      <w:r w:rsidR="00AC5989">
        <w:t>and practice presenting their short (less than five minutes) arguments orally.</w:t>
      </w:r>
    </w:p>
    <w:p w14:paraId="6A1DDDCF" w14:textId="77777777" w:rsidR="00F80461" w:rsidRDefault="00806C4B">
      <w:pPr>
        <w:pStyle w:val="SA"/>
      </w:pPr>
      <w:r>
        <w:t>Students follow along.</w:t>
      </w:r>
    </w:p>
    <w:p w14:paraId="16D337A0" w14:textId="77777777" w:rsidR="00790BCC" w:rsidRPr="00790BCC" w:rsidRDefault="00790BCC" w:rsidP="00E60B1D">
      <w:pPr>
        <w:pStyle w:val="Heading1"/>
      </w:pPr>
      <w:r w:rsidRPr="00790BCC">
        <w:t>Homework</w:t>
      </w:r>
    </w:p>
    <w:p w14:paraId="4009BE68" w14:textId="77777777" w:rsidR="004C592E" w:rsidRDefault="004C592E" w:rsidP="00AC5989">
      <w:r>
        <w:t>Reread Acts 1.1 and 1.3 before completing the Act 1 Witches’ Scenes Review Tool.</w:t>
      </w:r>
    </w:p>
    <w:p w14:paraId="50DA67FC" w14:textId="77777777" w:rsidR="004C592E" w:rsidRDefault="004C592E" w:rsidP="00BC4A89">
      <w:pPr>
        <w:pStyle w:val="IN"/>
      </w:pPr>
      <w:r>
        <w:t>For students participating in Lesson 23a (oral presentations), replace this homework with the following homework</w:t>
      </w:r>
      <w:r w:rsidR="00480C7E">
        <w:t>:</w:t>
      </w:r>
    </w:p>
    <w:p w14:paraId="2421BACE" w14:textId="09B25124" w:rsidR="00806C4B" w:rsidRDefault="002312B4" w:rsidP="00806C4B">
      <w:r>
        <w:t>Review</w:t>
      </w:r>
      <w:r w:rsidR="00DA65D1">
        <w:t xml:space="preserve"> the</w:t>
      </w:r>
      <w:r>
        <w:t xml:space="preserve"> </w:t>
      </w:r>
      <w:r>
        <w:rPr>
          <w:i/>
        </w:rPr>
        <w:t xml:space="preserve">Macbeth </w:t>
      </w:r>
      <w:r>
        <w:t xml:space="preserve">Argument Outline Tool and the 10.4.2 </w:t>
      </w:r>
      <w:r w:rsidR="000B5DC8">
        <w:t xml:space="preserve">End-of-Unit </w:t>
      </w:r>
      <w:r>
        <w:t xml:space="preserve">Speaking and Listening </w:t>
      </w:r>
      <w:r w:rsidR="00C8001D">
        <w:t xml:space="preserve">Rubric and Checklist. </w:t>
      </w:r>
      <w:r>
        <w:t xml:space="preserve">Practice presenting </w:t>
      </w:r>
      <w:r w:rsidR="00DA5B3C">
        <w:t xml:space="preserve">your </w:t>
      </w:r>
      <w:r w:rsidR="00574C6D">
        <w:t xml:space="preserve">short (less than five minutes) </w:t>
      </w:r>
      <w:r>
        <w:t>argument orally.</w:t>
      </w:r>
    </w:p>
    <w:p w14:paraId="5F9418A9" w14:textId="77777777" w:rsidR="00C377ED" w:rsidRDefault="00790BCC" w:rsidP="0071650E">
      <w:pPr>
        <w:spacing w:before="0" w:after="120" w:line="240" w:lineRule="auto"/>
      </w:pPr>
      <w:r w:rsidRPr="00790BCC">
        <w:br w:type="page"/>
      </w:r>
    </w:p>
    <w:p w14:paraId="4F82F485" w14:textId="77777777" w:rsidR="00C377ED" w:rsidRDefault="00C377ED" w:rsidP="008C1319">
      <w:pPr>
        <w:pStyle w:val="ToolHeader"/>
        <w:spacing w:after="240"/>
      </w:pPr>
      <w:r>
        <w:lastRenderedPageBreak/>
        <w:t>10.4.2 End-of-Unit Assessment</w:t>
      </w:r>
    </w:p>
    <w:p w14:paraId="6DEB6615" w14:textId="77777777" w:rsidR="00C377ED" w:rsidRDefault="00C377ED" w:rsidP="00C377ED">
      <w:pPr>
        <w:rPr>
          <w:b/>
        </w:rPr>
      </w:pPr>
      <w:r w:rsidRPr="00F17A60">
        <w:rPr>
          <w:b/>
        </w:rPr>
        <w:t xml:space="preserve">Your Task: </w:t>
      </w:r>
      <w:r w:rsidRPr="00F17A60">
        <w:t xml:space="preserve">Rely on your close reading of </w:t>
      </w:r>
      <w:r>
        <w:rPr>
          <w:i/>
        </w:rPr>
        <w:t>Macbeth</w:t>
      </w:r>
      <w:r w:rsidRPr="00F17A60">
        <w:t xml:space="preserve"> to write a well-crafted multi-paragraph r</w:t>
      </w:r>
      <w:r>
        <w:t>esponse to the following prompt.</w:t>
      </w:r>
    </w:p>
    <w:p w14:paraId="7AB836AD" w14:textId="4180FD19" w:rsidR="00C377ED" w:rsidRPr="00445D39" w:rsidRDefault="00C377ED" w:rsidP="00E60B1D">
      <w:pPr>
        <w:pStyle w:val="BulletedList"/>
        <w:numPr>
          <w:ilvl w:val="0"/>
          <w:numId w:val="0"/>
        </w:numPr>
        <w:ind w:left="720"/>
        <w:rPr>
          <w:i/>
        </w:rPr>
      </w:pPr>
      <w:r w:rsidRPr="00F55B0E">
        <w:rPr>
          <w:i/>
        </w:rPr>
        <w:t xml:space="preserve">Select a central character from </w:t>
      </w:r>
      <w:r w:rsidRPr="00EB0772">
        <w:rPr>
          <w:iCs/>
        </w:rPr>
        <w:t>Macbeth</w:t>
      </w:r>
      <w:r w:rsidRPr="00F55B0E">
        <w:rPr>
          <w:i/>
        </w:rPr>
        <w:t>. Write an argument about how this character is primarily responsible for the tragedy. Support your claims using evidence that draws on character development, interactions, plot</w:t>
      </w:r>
      <w:r w:rsidR="00DB3350">
        <w:rPr>
          <w:i/>
        </w:rPr>
        <w:t>,</w:t>
      </w:r>
      <w:r w:rsidRPr="00F55B0E">
        <w:rPr>
          <w:i/>
        </w:rPr>
        <w:t xml:space="preserve"> and/or central ideas.</w:t>
      </w:r>
    </w:p>
    <w:p w14:paraId="08167F37" w14:textId="5F99D579" w:rsidR="00C377ED" w:rsidRPr="00CA24B8" w:rsidRDefault="00C377ED" w:rsidP="00C377ED">
      <w:r w:rsidRPr="00CA24B8">
        <w:t xml:space="preserve">Your writing will be assessed using the </w:t>
      </w:r>
      <w:r w:rsidR="00F55B0E">
        <w:t>10.4.2</w:t>
      </w:r>
      <w:r>
        <w:t xml:space="preserve"> End-of-Unit </w:t>
      </w:r>
      <w:r w:rsidRPr="00845D53">
        <w:t xml:space="preserve">Text Analysis </w:t>
      </w:r>
      <w:r w:rsidR="00C8001D" w:rsidRPr="00845D53">
        <w:t>Rubric and</w:t>
      </w:r>
      <w:r w:rsidR="00C8001D">
        <w:t xml:space="preserve"> </w:t>
      </w:r>
      <w:r w:rsidR="00C8001D" w:rsidRPr="00845D53">
        <w:t>Checklist</w:t>
      </w:r>
      <w:r w:rsidR="00C8001D">
        <w:t>.</w:t>
      </w:r>
      <w:r w:rsidR="00C8001D" w:rsidRPr="00845D53">
        <w:t xml:space="preserve"> </w:t>
      </w:r>
    </w:p>
    <w:p w14:paraId="621B17E7" w14:textId="77777777" w:rsidR="00C377ED" w:rsidRPr="009F5479" w:rsidRDefault="00C377ED" w:rsidP="00C377ED">
      <w:pPr>
        <w:spacing w:after="120"/>
        <w:rPr>
          <w:b/>
        </w:rPr>
      </w:pPr>
      <w:r w:rsidRPr="009F5479">
        <w:rPr>
          <w:b/>
        </w:rPr>
        <w:t>Guidelines</w:t>
      </w:r>
    </w:p>
    <w:p w14:paraId="4470D83A" w14:textId="77777777" w:rsidR="00C377ED" w:rsidRPr="00D333B4" w:rsidRDefault="00C377ED" w:rsidP="00C377ED">
      <w:pPr>
        <w:spacing w:after="60"/>
        <w:ind w:left="360"/>
        <w:rPr>
          <w:b/>
        </w:rPr>
      </w:pPr>
      <w:r w:rsidRPr="00D333B4">
        <w:rPr>
          <w:b/>
        </w:rPr>
        <w:t>Be sure to:</w:t>
      </w:r>
    </w:p>
    <w:p w14:paraId="382404B5" w14:textId="77777777" w:rsidR="00C377ED" w:rsidRPr="00E60B1D" w:rsidRDefault="00C377ED" w:rsidP="00E60B1D">
      <w:pPr>
        <w:pStyle w:val="BulletedList"/>
        <w:ind w:left="720"/>
      </w:pPr>
      <w:r w:rsidRPr="00E60B1D">
        <w:t>Closely read the prompt</w:t>
      </w:r>
    </w:p>
    <w:p w14:paraId="58D57336" w14:textId="77777777" w:rsidR="00C377ED" w:rsidRPr="00E60B1D" w:rsidRDefault="00C377ED" w:rsidP="00E60B1D">
      <w:pPr>
        <w:pStyle w:val="BulletedList"/>
        <w:ind w:left="720"/>
      </w:pPr>
      <w:r w:rsidRPr="00E60B1D">
        <w:t>Respond directly to all parts of the prompt</w:t>
      </w:r>
    </w:p>
    <w:p w14:paraId="0FB1C832" w14:textId="77777777" w:rsidR="00C377ED" w:rsidRPr="00E60B1D" w:rsidRDefault="00C377ED" w:rsidP="00E60B1D">
      <w:pPr>
        <w:pStyle w:val="BulletedList"/>
        <w:ind w:left="720"/>
      </w:pPr>
      <w:r w:rsidRPr="00E60B1D">
        <w:t>Paraphrase, quote, and reference relevant evidence to support your analysis</w:t>
      </w:r>
    </w:p>
    <w:p w14:paraId="3259D705" w14:textId="77777777" w:rsidR="00C377ED" w:rsidRPr="00E60B1D" w:rsidRDefault="00C377ED" w:rsidP="00E60B1D">
      <w:pPr>
        <w:pStyle w:val="BulletedList"/>
        <w:ind w:left="720"/>
      </w:pPr>
      <w:r w:rsidRPr="00E60B1D">
        <w:t>Organize your ideas in a cohesive and coherent manner</w:t>
      </w:r>
    </w:p>
    <w:p w14:paraId="3B9A9EC7" w14:textId="77777777" w:rsidR="00C377ED" w:rsidRPr="00E60B1D" w:rsidRDefault="00C377ED" w:rsidP="00E60B1D">
      <w:pPr>
        <w:pStyle w:val="BulletedList"/>
        <w:ind w:left="720"/>
      </w:pPr>
      <w:r w:rsidRPr="00E60B1D">
        <w:t>Use precise language appropriate for your task</w:t>
      </w:r>
    </w:p>
    <w:p w14:paraId="35CA0878" w14:textId="77777777" w:rsidR="00C377ED" w:rsidRPr="00E60B1D" w:rsidRDefault="00C377ED" w:rsidP="008C1319">
      <w:pPr>
        <w:pStyle w:val="BulletedList"/>
        <w:spacing w:after="240"/>
        <w:ind w:left="720"/>
      </w:pPr>
      <w:r w:rsidRPr="00E60B1D">
        <w:t>Follow the conventions of standard written English</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C377ED" w14:paraId="60C287AC" w14:textId="77777777">
        <w:tc>
          <w:tcPr>
            <w:tcW w:w="9576" w:type="dxa"/>
            <w:tcBorders>
              <w:bottom w:val="nil"/>
            </w:tcBorders>
            <w:shd w:val="clear" w:color="auto" w:fill="D9D9D9" w:themeFill="background1" w:themeFillShade="D9"/>
          </w:tcPr>
          <w:p w14:paraId="22B3A4B5" w14:textId="2EB8EBEB" w:rsidR="00C377ED" w:rsidRPr="00B31BFB" w:rsidRDefault="00E60B1D" w:rsidP="0071650E">
            <w:r>
              <w:rPr>
                <w:b/>
              </w:rPr>
              <w:t xml:space="preserve">CCSS: </w:t>
            </w:r>
            <w:r w:rsidR="0071650E">
              <w:t>RL.9-10.3, W.9-10.1.a-e</w:t>
            </w:r>
            <w:r w:rsidR="00445D39">
              <w:t>, L.9-10.1.a-b, L.9-10.2.a-c</w:t>
            </w:r>
          </w:p>
        </w:tc>
      </w:tr>
      <w:tr w:rsidR="00C377ED" w14:paraId="197F99A5" w14:textId="77777777">
        <w:tc>
          <w:tcPr>
            <w:tcW w:w="9576" w:type="dxa"/>
            <w:tcBorders>
              <w:top w:val="nil"/>
              <w:bottom w:val="nil"/>
            </w:tcBorders>
            <w:shd w:val="clear" w:color="auto" w:fill="D9D9D9" w:themeFill="background1" w:themeFillShade="D9"/>
          </w:tcPr>
          <w:p w14:paraId="21DBBC1C" w14:textId="77777777" w:rsidR="00C377ED" w:rsidRDefault="00C377ED" w:rsidP="00C377ED">
            <w:pPr>
              <w:rPr>
                <w:b/>
              </w:rPr>
            </w:pPr>
            <w:r w:rsidRPr="00C54F48">
              <w:rPr>
                <w:b/>
              </w:rPr>
              <w:t>Commentary on the Task:</w:t>
            </w:r>
          </w:p>
          <w:p w14:paraId="05CC43DC" w14:textId="4621BB0D" w:rsidR="00C377ED" w:rsidRDefault="00C377ED" w:rsidP="00C377ED">
            <w:r>
              <w:t>This task</w:t>
            </w:r>
            <w:r w:rsidR="0071650E">
              <w:t xml:space="preserve"> measures RL.9-10.</w:t>
            </w:r>
            <w:r>
              <w:t>3 because it demands that students:</w:t>
            </w:r>
          </w:p>
          <w:p w14:paraId="0853FF8E" w14:textId="77777777" w:rsidR="00C377ED" w:rsidRPr="0071650E" w:rsidRDefault="0071650E" w:rsidP="00E60B1D">
            <w:pPr>
              <w:pStyle w:val="BulletedList"/>
              <w:rPr>
                <w:sz w:val="22"/>
                <w:szCs w:val="22"/>
              </w:rPr>
            </w:pPr>
            <w:r>
              <w:t>Analyze how complex characters (e.g., those with multiple or conflicting motivations) develop over the course of a text, interact with other characters, and advance the plot or develop the theme.</w:t>
            </w:r>
          </w:p>
        </w:tc>
      </w:tr>
      <w:tr w:rsidR="00C377ED" w14:paraId="6AD77627" w14:textId="77777777">
        <w:tc>
          <w:tcPr>
            <w:tcW w:w="9576" w:type="dxa"/>
            <w:tcBorders>
              <w:top w:val="nil"/>
              <w:bottom w:val="nil"/>
            </w:tcBorders>
            <w:shd w:val="clear" w:color="auto" w:fill="D9D9D9" w:themeFill="background1" w:themeFillShade="D9"/>
          </w:tcPr>
          <w:p w14:paraId="4F36051D" w14:textId="77777777" w:rsidR="00C377ED" w:rsidRDefault="0071650E" w:rsidP="00C377ED">
            <w:pPr>
              <w:pStyle w:val="BulletedList"/>
              <w:numPr>
                <w:ilvl w:val="0"/>
                <w:numId w:val="0"/>
              </w:numPr>
            </w:pPr>
            <w:r>
              <w:t>This task measures W.9-10.1.a-</w:t>
            </w:r>
            <w:r w:rsidR="00C377ED">
              <w:t>e because it demands that students:</w:t>
            </w:r>
          </w:p>
          <w:p w14:paraId="666F0FE3" w14:textId="77777777" w:rsidR="0071650E" w:rsidRPr="00E60B1D" w:rsidRDefault="0071650E" w:rsidP="00E60B1D">
            <w:pPr>
              <w:pStyle w:val="BulletedList"/>
            </w:pPr>
            <w:r w:rsidRPr="00E60B1D">
              <w:t xml:space="preserve">Write arguments to support claims in an analysis of substantive topics or texts, using valid reasoning and relevant and sufficient evidence. </w:t>
            </w:r>
          </w:p>
          <w:p w14:paraId="4DC155F3" w14:textId="77777777" w:rsidR="0071650E" w:rsidRPr="00E60B1D" w:rsidRDefault="0071650E" w:rsidP="00E60B1D">
            <w:pPr>
              <w:pStyle w:val="BulletedList"/>
            </w:pPr>
            <w:r w:rsidRPr="00E60B1D">
              <w:t>Introduce precise claim(s), distinguish the claim(s) from alternate or opposing claims, and create an organization that establishes clear relationships among claim(s), counterclaims, reasons, and evidence.</w:t>
            </w:r>
          </w:p>
          <w:p w14:paraId="0D0B26FE" w14:textId="77777777" w:rsidR="0071650E" w:rsidRPr="00E60B1D" w:rsidRDefault="0071650E" w:rsidP="00E60B1D">
            <w:pPr>
              <w:pStyle w:val="BulletedList"/>
            </w:pPr>
            <w:r w:rsidRPr="00E60B1D">
              <w:t>Develop claim(s) and counterclaims fairly, supplying evidence for each while pointing out the strengths and limitations of both in a manner that anticipates the audience’s knowledge level and concerns.</w:t>
            </w:r>
          </w:p>
          <w:p w14:paraId="7FE39E55" w14:textId="77777777" w:rsidR="0071650E" w:rsidRPr="00E60B1D" w:rsidRDefault="0071650E" w:rsidP="00E60B1D">
            <w:pPr>
              <w:pStyle w:val="BulletedList"/>
            </w:pPr>
            <w:r w:rsidRPr="00E60B1D">
              <w:t>Use words, phrases, and clauses to link the major sections of the text, create cohesion, and clarify the relationships between claim(s) and reasons, between reasons and evidence, and between claim(s) and counterclaims.</w:t>
            </w:r>
          </w:p>
          <w:p w14:paraId="5A3E2EB2" w14:textId="77777777" w:rsidR="0071650E" w:rsidRPr="00E60B1D" w:rsidRDefault="0071650E" w:rsidP="008C1319">
            <w:pPr>
              <w:pStyle w:val="BulletedList"/>
              <w:keepNext/>
            </w:pPr>
            <w:r w:rsidRPr="00E60B1D">
              <w:lastRenderedPageBreak/>
              <w:t xml:space="preserve">Establish and maintain a formal style and objective tone while attending to the norms and conventions of the discipline in which they are writing. </w:t>
            </w:r>
          </w:p>
          <w:p w14:paraId="1E923A68" w14:textId="77777777" w:rsidR="00C377ED" w:rsidRPr="0071650E" w:rsidRDefault="0071650E" w:rsidP="00E60B1D">
            <w:pPr>
              <w:pStyle w:val="BulletedList"/>
              <w:rPr>
                <w:sz w:val="22"/>
                <w:szCs w:val="22"/>
              </w:rPr>
            </w:pPr>
            <w:r w:rsidRPr="00E60B1D">
              <w:t>Provide a concluding statement or section that follows from and supports the argument presented.</w:t>
            </w:r>
          </w:p>
        </w:tc>
      </w:tr>
      <w:tr w:rsidR="00C377ED" w14:paraId="61AF1FE7" w14:textId="77777777">
        <w:tc>
          <w:tcPr>
            <w:tcW w:w="9576" w:type="dxa"/>
            <w:tcBorders>
              <w:top w:val="nil"/>
            </w:tcBorders>
            <w:shd w:val="clear" w:color="auto" w:fill="D9D9D9" w:themeFill="background1" w:themeFillShade="D9"/>
          </w:tcPr>
          <w:p w14:paraId="66DCB638" w14:textId="77777777" w:rsidR="00C377ED" w:rsidRDefault="00C377ED" w:rsidP="00C377ED">
            <w:pPr>
              <w:pStyle w:val="BulletedList"/>
              <w:numPr>
                <w:ilvl w:val="0"/>
                <w:numId w:val="0"/>
              </w:numPr>
            </w:pPr>
            <w:r>
              <w:lastRenderedPageBreak/>
              <w:t>This task measures L.9-10.1 and L.9-10.2 because it demands that students:</w:t>
            </w:r>
          </w:p>
          <w:p w14:paraId="3C476C85" w14:textId="77777777" w:rsidR="00C377ED" w:rsidRPr="00E60B1D" w:rsidRDefault="00C377ED" w:rsidP="00E60B1D">
            <w:pPr>
              <w:pStyle w:val="BulletedList"/>
            </w:pPr>
            <w:r w:rsidRPr="00E60B1D">
              <w:t>Demonstrate command of the conventions of standard English grammar and usage when writing or speaking.</w:t>
            </w:r>
          </w:p>
          <w:p w14:paraId="1B1AEC8E" w14:textId="77777777" w:rsidR="004D300C" w:rsidRPr="00E60B1D" w:rsidRDefault="004D300C" w:rsidP="00E60B1D">
            <w:pPr>
              <w:pStyle w:val="BulletedList"/>
              <w:numPr>
                <w:ilvl w:val="1"/>
                <w:numId w:val="4"/>
              </w:numPr>
              <w:ind w:left="1080"/>
            </w:pPr>
            <w:r w:rsidRPr="00E60B1D">
              <w:t>Use parallel structure.</w:t>
            </w:r>
          </w:p>
          <w:p w14:paraId="72F1CCF0" w14:textId="77777777" w:rsidR="00937174" w:rsidRPr="00E60B1D" w:rsidRDefault="004D300C" w:rsidP="00E60B1D">
            <w:pPr>
              <w:pStyle w:val="BulletedList"/>
              <w:numPr>
                <w:ilvl w:val="1"/>
                <w:numId w:val="4"/>
              </w:numPr>
              <w:ind w:left="1080"/>
            </w:pPr>
            <w:r w:rsidRPr="00E60B1D">
              <w:t>Use various types of phrases (noun, verb, adjectival, adverbial, participial, prepositional, absolute) and clauses (independent, dependent; noun, relative, adverbial) to convey specific meanings and add variety and interest to writing or presentations.</w:t>
            </w:r>
          </w:p>
          <w:p w14:paraId="41500CB9" w14:textId="77777777" w:rsidR="00937174" w:rsidRDefault="00C377ED" w:rsidP="00E60B1D">
            <w:pPr>
              <w:pStyle w:val="BulletedList"/>
              <w:rPr>
                <w:b/>
                <w:sz w:val="22"/>
                <w:szCs w:val="22"/>
              </w:rPr>
            </w:pPr>
            <w:r w:rsidRPr="00A70A6A">
              <w:t>Demonstrate command of the conventions of standard English capitalization, punctuation, and spelling when writing.</w:t>
            </w:r>
          </w:p>
          <w:p w14:paraId="3704E0A9" w14:textId="77777777" w:rsidR="00937174" w:rsidRPr="00E60B1D" w:rsidRDefault="008E613B" w:rsidP="00E60B1D">
            <w:pPr>
              <w:pStyle w:val="BulletedList"/>
              <w:numPr>
                <w:ilvl w:val="1"/>
                <w:numId w:val="4"/>
              </w:numPr>
              <w:ind w:left="1080"/>
            </w:pPr>
            <w:r w:rsidRPr="00E60B1D">
              <w:t xml:space="preserve">Use a semicolon (and perhaps a conjunctive adverb) to link two or more closely related independent clauses. </w:t>
            </w:r>
          </w:p>
          <w:p w14:paraId="512B89DC" w14:textId="77777777" w:rsidR="00937174" w:rsidRPr="00E60B1D" w:rsidRDefault="008E613B" w:rsidP="00E60B1D">
            <w:pPr>
              <w:pStyle w:val="BulletedList"/>
              <w:numPr>
                <w:ilvl w:val="1"/>
                <w:numId w:val="4"/>
              </w:numPr>
              <w:ind w:left="1080"/>
            </w:pPr>
            <w:r w:rsidRPr="00E60B1D">
              <w:t xml:space="preserve">Use a colon to introduce a list or quotation. </w:t>
            </w:r>
          </w:p>
          <w:p w14:paraId="0E54AE4B" w14:textId="77F5D5DA" w:rsidR="00937174" w:rsidRDefault="008E613B" w:rsidP="00E60B1D">
            <w:pPr>
              <w:pStyle w:val="BulletedList"/>
              <w:numPr>
                <w:ilvl w:val="1"/>
                <w:numId w:val="4"/>
              </w:numPr>
              <w:ind w:left="1080"/>
              <w:rPr>
                <w:sz w:val="22"/>
                <w:szCs w:val="22"/>
              </w:rPr>
            </w:pPr>
            <w:r w:rsidRPr="00E60B1D">
              <w:t>Spell correctly.</w:t>
            </w:r>
            <w:r w:rsidRPr="008E613B">
              <w:t xml:space="preserve"> </w:t>
            </w:r>
          </w:p>
        </w:tc>
      </w:tr>
    </w:tbl>
    <w:p w14:paraId="1667C4A6" w14:textId="77777777" w:rsidR="00F55B0E" w:rsidRDefault="00F55B0E" w:rsidP="00F55B0E"/>
    <w:p w14:paraId="25EFE514" w14:textId="77777777" w:rsidR="00A14E71" w:rsidRDefault="00A14E71" w:rsidP="00790BCC">
      <w:pPr>
        <w:spacing w:after="0" w:line="240" w:lineRule="auto"/>
        <w:sectPr w:rsidR="00A14E71">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61ADD956" w14:textId="77777777" w:rsidR="00035595" w:rsidRPr="00790BCC" w:rsidRDefault="00035595" w:rsidP="00035595">
      <w:pPr>
        <w:pStyle w:val="ToolHeader"/>
      </w:pPr>
      <w:r>
        <w:lastRenderedPageBreak/>
        <w:t>Act 1 Witches’ Scenes Review Tool</w:t>
      </w:r>
    </w:p>
    <w:tbl>
      <w:tblPr>
        <w:tblStyle w:val="TableGrid"/>
        <w:tblW w:w="13158" w:type="dxa"/>
        <w:tblInd w:w="108" w:type="dxa"/>
        <w:tblLook w:val="04A0" w:firstRow="1" w:lastRow="0" w:firstColumn="1" w:lastColumn="0" w:noHBand="0" w:noVBand="1"/>
      </w:tblPr>
      <w:tblGrid>
        <w:gridCol w:w="816"/>
        <w:gridCol w:w="4692"/>
        <w:gridCol w:w="810"/>
        <w:gridCol w:w="3330"/>
        <w:gridCol w:w="720"/>
        <w:gridCol w:w="2790"/>
      </w:tblGrid>
      <w:tr w:rsidR="00035595" w:rsidRPr="000B3273" w14:paraId="1C5F2657" w14:textId="77777777" w:rsidTr="00B135BB">
        <w:trPr>
          <w:trHeight w:val="557"/>
        </w:trPr>
        <w:tc>
          <w:tcPr>
            <w:tcW w:w="816" w:type="dxa"/>
            <w:shd w:val="clear" w:color="auto" w:fill="D9D9D9"/>
            <w:vAlign w:val="center"/>
          </w:tcPr>
          <w:p w14:paraId="657796F3" w14:textId="77777777" w:rsidR="00035595" w:rsidRPr="000B3273" w:rsidRDefault="00035595" w:rsidP="00B135BB">
            <w:pPr>
              <w:pStyle w:val="TableText"/>
              <w:rPr>
                <w:b/>
              </w:rPr>
            </w:pPr>
            <w:r w:rsidRPr="000B3273">
              <w:rPr>
                <w:b/>
              </w:rPr>
              <w:t>Name:</w:t>
            </w:r>
          </w:p>
        </w:tc>
        <w:tc>
          <w:tcPr>
            <w:tcW w:w="4692" w:type="dxa"/>
            <w:vAlign w:val="center"/>
          </w:tcPr>
          <w:p w14:paraId="37E6D8E5" w14:textId="77777777" w:rsidR="00035595" w:rsidRPr="000B3273" w:rsidRDefault="00035595" w:rsidP="00B135BB">
            <w:pPr>
              <w:pStyle w:val="TableText"/>
              <w:rPr>
                <w:b/>
              </w:rPr>
            </w:pPr>
          </w:p>
        </w:tc>
        <w:tc>
          <w:tcPr>
            <w:tcW w:w="810" w:type="dxa"/>
            <w:shd w:val="clear" w:color="auto" w:fill="D9D9D9"/>
            <w:vAlign w:val="center"/>
          </w:tcPr>
          <w:p w14:paraId="2E1BA342" w14:textId="77777777" w:rsidR="00035595" w:rsidRPr="000B3273" w:rsidRDefault="00035595" w:rsidP="00B135BB">
            <w:pPr>
              <w:pStyle w:val="TableText"/>
              <w:rPr>
                <w:b/>
              </w:rPr>
            </w:pPr>
            <w:r w:rsidRPr="000B3273">
              <w:rPr>
                <w:b/>
              </w:rPr>
              <w:t>Class:</w:t>
            </w:r>
          </w:p>
        </w:tc>
        <w:tc>
          <w:tcPr>
            <w:tcW w:w="3330" w:type="dxa"/>
            <w:vAlign w:val="center"/>
          </w:tcPr>
          <w:p w14:paraId="7552DB30" w14:textId="77777777" w:rsidR="00035595" w:rsidRPr="000B3273" w:rsidRDefault="00035595" w:rsidP="00B135BB">
            <w:pPr>
              <w:pStyle w:val="TableText"/>
              <w:rPr>
                <w:b/>
              </w:rPr>
            </w:pPr>
          </w:p>
        </w:tc>
        <w:tc>
          <w:tcPr>
            <w:tcW w:w="720" w:type="dxa"/>
            <w:shd w:val="clear" w:color="auto" w:fill="D9D9D9"/>
            <w:vAlign w:val="center"/>
          </w:tcPr>
          <w:p w14:paraId="06AFB3D5" w14:textId="77777777" w:rsidR="00035595" w:rsidRPr="000B3273" w:rsidRDefault="00035595" w:rsidP="00B135BB">
            <w:pPr>
              <w:pStyle w:val="TableText"/>
              <w:rPr>
                <w:b/>
              </w:rPr>
            </w:pPr>
            <w:r w:rsidRPr="000B3273">
              <w:rPr>
                <w:b/>
              </w:rPr>
              <w:t>Date:</w:t>
            </w:r>
          </w:p>
        </w:tc>
        <w:tc>
          <w:tcPr>
            <w:tcW w:w="2790" w:type="dxa"/>
            <w:vAlign w:val="center"/>
          </w:tcPr>
          <w:p w14:paraId="1D929B5E" w14:textId="77777777" w:rsidR="00035595" w:rsidRPr="000B3273" w:rsidRDefault="00035595" w:rsidP="00B135BB">
            <w:pPr>
              <w:pStyle w:val="TableText"/>
              <w:rPr>
                <w:b/>
              </w:rPr>
            </w:pPr>
          </w:p>
        </w:tc>
      </w:tr>
    </w:tbl>
    <w:p w14:paraId="094E8C22" w14:textId="77777777" w:rsidR="00035595" w:rsidRPr="00790BCC" w:rsidRDefault="00035595" w:rsidP="00035595">
      <w:pPr>
        <w:spacing w:after="0"/>
        <w:rPr>
          <w:sz w:val="10"/>
        </w:rPr>
      </w:pPr>
    </w:p>
    <w:tbl>
      <w:tblPr>
        <w:tblStyle w:val="TableGrid"/>
        <w:tblW w:w="13176" w:type="dxa"/>
        <w:tblInd w:w="108" w:type="dxa"/>
        <w:tblLayout w:type="fixed"/>
        <w:tblLook w:val="04A0" w:firstRow="1" w:lastRow="0" w:firstColumn="1" w:lastColumn="0" w:noHBand="0" w:noVBand="1"/>
      </w:tblPr>
      <w:tblGrid>
        <w:gridCol w:w="2718"/>
        <w:gridCol w:w="2782"/>
        <w:gridCol w:w="2690"/>
        <w:gridCol w:w="2493"/>
        <w:gridCol w:w="2493"/>
      </w:tblGrid>
      <w:tr w:rsidR="00035595" w:rsidRPr="000B3273" w14:paraId="56B30BD5" w14:textId="77777777" w:rsidTr="00B135BB">
        <w:tc>
          <w:tcPr>
            <w:tcW w:w="13176" w:type="dxa"/>
            <w:gridSpan w:val="5"/>
            <w:shd w:val="clear" w:color="auto" w:fill="D9D9D9"/>
          </w:tcPr>
          <w:p w14:paraId="2562B47E" w14:textId="167C9E90" w:rsidR="00035595" w:rsidRPr="004266DB" w:rsidRDefault="00035595" w:rsidP="00C36C86">
            <w:pPr>
              <w:pStyle w:val="ToolTableText"/>
            </w:pPr>
            <w:r>
              <w:rPr>
                <w:b/>
              </w:rPr>
              <w:t xml:space="preserve">Directions: </w:t>
            </w:r>
            <w:r>
              <w:t xml:space="preserve">Reread the scenes listed below and then answer </w:t>
            </w:r>
            <w:r w:rsidR="00C36C86">
              <w:t>q</w:t>
            </w:r>
            <w:r>
              <w:t xml:space="preserve">uestions 1 </w:t>
            </w:r>
            <w:r w:rsidR="00C36C86">
              <w:t>through</w:t>
            </w:r>
            <w:r>
              <w:t xml:space="preserve"> 4 for each scene.</w:t>
            </w:r>
          </w:p>
        </w:tc>
      </w:tr>
      <w:tr w:rsidR="00035595" w:rsidRPr="000B3273" w14:paraId="482E65AC" w14:textId="77777777" w:rsidTr="00B135BB">
        <w:tc>
          <w:tcPr>
            <w:tcW w:w="2718" w:type="dxa"/>
            <w:shd w:val="clear" w:color="auto" w:fill="D9D9D9"/>
          </w:tcPr>
          <w:p w14:paraId="2DD9BDDA" w14:textId="77777777" w:rsidR="00035595" w:rsidRPr="000B3273" w:rsidRDefault="00035595" w:rsidP="00B135BB">
            <w:pPr>
              <w:pStyle w:val="ToolTableText"/>
              <w:rPr>
                <w:b/>
              </w:rPr>
            </w:pPr>
            <w:r>
              <w:rPr>
                <w:b/>
              </w:rPr>
              <w:t>Scene</w:t>
            </w:r>
          </w:p>
        </w:tc>
        <w:tc>
          <w:tcPr>
            <w:tcW w:w="2782" w:type="dxa"/>
            <w:shd w:val="clear" w:color="auto" w:fill="D9D9D9"/>
          </w:tcPr>
          <w:p w14:paraId="15551503" w14:textId="77777777" w:rsidR="00035595" w:rsidRPr="000B3273" w:rsidRDefault="00035595" w:rsidP="00B135BB">
            <w:pPr>
              <w:pStyle w:val="ToolTableText"/>
              <w:rPr>
                <w:b/>
              </w:rPr>
            </w:pPr>
            <w:r>
              <w:rPr>
                <w:b/>
              </w:rPr>
              <w:t xml:space="preserve">1. What information does the scene provide about the Witches? </w:t>
            </w:r>
            <w:r w:rsidRPr="00456722">
              <w:rPr>
                <w:b/>
              </w:rPr>
              <w:t>How are they described?</w:t>
            </w:r>
          </w:p>
        </w:tc>
        <w:tc>
          <w:tcPr>
            <w:tcW w:w="2690" w:type="dxa"/>
            <w:shd w:val="clear" w:color="auto" w:fill="D9D9D9"/>
          </w:tcPr>
          <w:p w14:paraId="7C13CC22" w14:textId="77777777" w:rsidR="00035595" w:rsidRPr="000B3273" w:rsidRDefault="00035595" w:rsidP="00B135BB">
            <w:pPr>
              <w:pStyle w:val="ToolTableText"/>
              <w:rPr>
                <w:b/>
              </w:rPr>
            </w:pPr>
            <w:r>
              <w:rPr>
                <w:b/>
              </w:rPr>
              <w:t>2. How does the scene develop other characters?</w:t>
            </w:r>
          </w:p>
        </w:tc>
        <w:tc>
          <w:tcPr>
            <w:tcW w:w="2493" w:type="dxa"/>
            <w:shd w:val="clear" w:color="auto" w:fill="D9D9D9"/>
          </w:tcPr>
          <w:p w14:paraId="1E8B2F76" w14:textId="77777777" w:rsidR="00035595" w:rsidRDefault="00035595" w:rsidP="00B135BB">
            <w:pPr>
              <w:pStyle w:val="ToolTableText"/>
              <w:rPr>
                <w:b/>
              </w:rPr>
            </w:pPr>
            <w:r>
              <w:rPr>
                <w:b/>
              </w:rPr>
              <w:t>3. How does the scene develop the plot?</w:t>
            </w:r>
          </w:p>
        </w:tc>
        <w:tc>
          <w:tcPr>
            <w:tcW w:w="2493" w:type="dxa"/>
            <w:shd w:val="clear" w:color="auto" w:fill="D9D9D9"/>
          </w:tcPr>
          <w:p w14:paraId="5CA88620" w14:textId="77777777" w:rsidR="00035595" w:rsidRDefault="00035595" w:rsidP="00B135BB">
            <w:pPr>
              <w:pStyle w:val="ToolTableText"/>
              <w:rPr>
                <w:b/>
              </w:rPr>
            </w:pPr>
            <w:r>
              <w:rPr>
                <w:b/>
              </w:rPr>
              <w:t>4. How does the scene develop central ideas?</w:t>
            </w:r>
          </w:p>
        </w:tc>
      </w:tr>
      <w:tr w:rsidR="00035595" w:rsidRPr="00790BCC" w14:paraId="2A4F3A19" w14:textId="77777777" w:rsidTr="00B135BB">
        <w:tc>
          <w:tcPr>
            <w:tcW w:w="2718" w:type="dxa"/>
          </w:tcPr>
          <w:p w14:paraId="36FF4E7A" w14:textId="77777777" w:rsidR="00035595" w:rsidRPr="004266DB" w:rsidRDefault="00035595" w:rsidP="00B135BB">
            <w:pPr>
              <w:pStyle w:val="ToolTableText"/>
              <w:rPr>
                <w:b/>
              </w:rPr>
            </w:pPr>
            <w:r>
              <w:rPr>
                <w:b/>
              </w:rPr>
              <w:t xml:space="preserve">Act </w:t>
            </w:r>
            <w:r w:rsidRPr="004266DB">
              <w:rPr>
                <w:b/>
              </w:rPr>
              <w:t>1</w:t>
            </w:r>
            <w:r>
              <w:rPr>
                <w:b/>
              </w:rPr>
              <w:t>.</w:t>
            </w:r>
            <w:r w:rsidRPr="004266DB">
              <w:rPr>
                <w:b/>
              </w:rPr>
              <w:t xml:space="preserve">1 </w:t>
            </w:r>
            <w:r>
              <w:t>(from “When shall we three meet again?” to “Hover through the fog and filthy air.”)</w:t>
            </w:r>
          </w:p>
        </w:tc>
        <w:tc>
          <w:tcPr>
            <w:tcW w:w="2782" w:type="dxa"/>
          </w:tcPr>
          <w:p w14:paraId="7B7273BC" w14:textId="77777777" w:rsidR="00035595" w:rsidRDefault="00035595" w:rsidP="00B135BB">
            <w:pPr>
              <w:pStyle w:val="ToolTableText"/>
            </w:pPr>
          </w:p>
          <w:p w14:paraId="70CEF632" w14:textId="77777777" w:rsidR="00035595" w:rsidRDefault="00035595" w:rsidP="00B135BB">
            <w:pPr>
              <w:pStyle w:val="ToolTableText"/>
            </w:pPr>
          </w:p>
          <w:p w14:paraId="4EC7C297" w14:textId="77777777" w:rsidR="00035595" w:rsidRDefault="00035595" w:rsidP="00B135BB">
            <w:pPr>
              <w:pStyle w:val="ToolTableText"/>
            </w:pPr>
          </w:p>
          <w:p w14:paraId="60810062" w14:textId="77777777" w:rsidR="00035595" w:rsidRDefault="00035595" w:rsidP="00B135BB">
            <w:pPr>
              <w:pStyle w:val="ToolTableText"/>
            </w:pPr>
          </w:p>
          <w:p w14:paraId="4FF88E29" w14:textId="77777777" w:rsidR="00035595" w:rsidRDefault="00035595" w:rsidP="00B135BB">
            <w:pPr>
              <w:pStyle w:val="ToolTableText"/>
            </w:pPr>
          </w:p>
          <w:p w14:paraId="0D729D94" w14:textId="77777777" w:rsidR="00035595" w:rsidRDefault="00035595" w:rsidP="00B135BB">
            <w:pPr>
              <w:pStyle w:val="ToolTableText"/>
            </w:pPr>
          </w:p>
          <w:p w14:paraId="0113F2B6" w14:textId="77777777" w:rsidR="00035595" w:rsidRPr="00790BCC" w:rsidRDefault="00035595" w:rsidP="00B135BB">
            <w:pPr>
              <w:pStyle w:val="ToolTableText"/>
            </w:pPr>
          </w:p>
        </w:tc>
        <w:tc>
          <w:tcPr>
            <w:tcW w:w="2690" w:type="dxa"/>
          </w:tcPr>
          <w:p w14:paraId="7552EF94" w14:textId="77777777" w:rsidR="00035595" w:rsidRPr="00790BCC" w:rsidRDefault="00035595" w:rsidP="00B135BB">
            <w:pPr>
              <w:pStyle w:val="ToolTableText"/>
            </w:pPr>
          </w:p>
        </w:tc>
        <w:tc>
          <w:tcPr>
            <w:tcW w:w="2493" w:type="dxa"/>
          </w:tcPr>
          <w:p w14:paraId="09BDFB34" w14:textId="77777777" w:rsidR="00035595" w:rsidRPr="00790BCC" w:rsidRDefault="00035595" w:rsidP="00B135BB">
            <w:pPr>
              <w:pStyle w:val="ToolTableText"/>
            </w:pPr>
          </w:p>
        </w:tc>
        <w:tc>
          <w:tcPr>
            <w:tcW w:w="2493" w:type="dxa"/>
          </w:tcPr>
          <w:p w14:paraId="585AB143" w14:textId="77777777" w:rsidR="00035595" w:rsidRPr="00790BCC" w:rsidRDefault="00035595" w:rsidP="00B135BB">
            <w:pPr>
              <w:pStyle w:val="ToolTableText"/>
            </w:pPr>
          </w:p>
        </w:tc>
      </w:tr>
      <w:tr w:rsidR="00035595" w:rsidRPr="00790BCC" w14:paraId="7998985F" w14:textId="77777777" w:rsidTr="00B135BB">
        <w:tc>
          <w:tcPr>
            <w:tcW w:w="2718" w:type="dxa"/>
          </w:tcPr>
          <w:p w14:paraId="3C7493FE" w14:textId="77777777" w:rsidR="00035595" w:rsidRPr="004266DB" w:rsidRDefault="00035595" w:rsidP="00B135BB">
            <w:pPr>
              <w:pStyle w:val="ToolTableText"/>
              <w:rPr>
                <w:b/>
              </w:rPr>
            </w:pPr>
            <w:r>
              <w:rPr>
                <w:b/>
              </w:rPr>
              <w:t xml:space="preserve">Act </w:t>
            </w:r>
            <w:r w:rsidRPr="004266DB">
              <w:rPr>
                <w:b/>
              </w:rPr>
              <w:t>1</w:t>
            </w:r>
            <w:r>
              <w:rPr>
                <w:b/>
              </w:rPr>
              <w:t>.</w:t>
            </w:r>
            <w:r w:rsidRPr="004266DB">
              <w:rPr>
                <w:b/>
              </w:rPr>
              <w:t>3</w:t>
            </w:r>
            <w:r>
              <w:rPr>
                <w:b/>
              </w:rPr>
              <w:t xml:space="preserve">, lines </w:t>
            </w:r>
            <w:r w:rsidRPr="004266DB">
              <w:rPr>
                <w:b/>
              </w:rPr>
              <w:t>1</w:t>
            </w:r>
            <w:r>
              <w:rPr>
                <w:b/>
              </w:rPr>
              <w:t>–</w:t>
            </w:r>
            <w:r w:rsidRPr="004266DB">
              <w:rPr>
                <w:b/>
              </w:rPr>
              <w:t xml:space="preserve">81 </w:t>
            </w:r>
            <w:r>
              <w:t>(from “Where hast thou been, sister?” to “Speak, I charge you.”)</w:t>
            </w:r>
          </w:p>
        </w:tc>
        <w:tc>
          <w:tcPr>
            <w:tcW w:w="2782" w:type="dxa"/>
          </w:tcPr>
          <w:p w14:paraId="5F5E58FA" w14:textId="77777777" w:rsidR="00035595" w:rsidRDefault="00035595" w:rsidP="00B135BB">
            <w:pPr>
              <w:pStyle w:val="ToolTableText"/>
            </w:pPr>
          </w:p>
          <w:p w14:paraId="418869A1" w14:textId="77777777" w:rsidR="00035595" w:rsidRDefault="00035595" w:rsidP="00B135BB">
            <w:pPr>
              <w:pStyle w:val="ToolTableText"/>
            </w:pPr>
          </w:p>
          <w:p w14:paraId="2949142A" w14:textId="77777777" w:rsidR="00035595" w:rsidRDefault="00035595" w:rsidP="00B135BB">
            <w:pPr>
              <w:pStyle w:val="ToolTableText"/>
            </w:pPr>
          </w:p>
          <w:p w14:paraId="73975E74" w14:textId="77777777" w:rsidR="00035595" w:rsidRDefault="00035595" w:rsidP="00B135BB">
            <w:pPr>
              <w:pStyle w:val="ToolTableText"/>
            </w:pPr>
          </w:p>
          <w:p w14:paraId="110F881F" w14:textId="77777777" w:rsidR="00035595" w:rsidRDefault="00035595" w:rsidP="00B135BB">
            <w:pPr>
              <w:pStyle w:val="ToolTableText"/>
            </w:pPr>
          </w:p>
          <w:p w14:paraId="1BE5CA08" w14:textId="77777777" w:rsidR="00035595" w:rsidRDefault="00035595" w:rsidP="00B135BB">
            <w:pPr>
              <w:pStyle w:val="ToolTableText"/>
            </w:pPr>
          </w:p>
          <w:p w14:paraId="5984544B" w14:textId="77777777" w:rsidR="00035595" w:rsidRPr="00790BCC" w:rsidRDefault="00035595" w:rsidP="00B135BB">
            <w:pPr>
              <w:pStyle w:val="ToolTableText"/>
            </w:pPr>
          </w:p>
        </w:tc>
        <w:tc>
          <w:tcPr>
            <w:tcW w:w="2690" w:type="dxa"/>
          </w:tcPr>
          <w:p w14:paraId="44A2B4B6" w14:textId="77777777" w:rsidR="00035595" w:rsidRPr="00790BCC" w:rsidRDefault="00035595" w:rsidP="00B135BB">
            <w:pPr>
              <w:pStyle w:val="ToolTableText"/>
            </w:pPr>
          </w:p>
        </w:tc>
        <w:tc>
          <w:tcPr>
            <w:tcW w:w="2493" w:type="dxa"/>
          </w:tcPr>
          <w:p w14:paraId="30FB8070" w14:textId="77777777" w:rsidR="00035595" w:rsidRPr="00790BCC" w:rsidRDefault="00035595" w:rsidP="00B135BB">
            <w:pPr>
              <w:pStyle w:val="ToolTableText"/>
            </w:pPr>
          </w:p>
        </w:tc>
        <w:tc>
          <w:tcPr>
            <w:tcW w:w="2493" w:type="dxa"/>
          </w:tcPr>
          <w:p w14:paraId="3B7B05C1" w14:textId="77777777" w:rsidR="00035595" w:rsidRPr="00790BCC" w:rsidRDefault="00035595" w:rsidP="00B135BB">
            <w:pPr>
              <w:pStyle w:val="ToolTableText"/>
            </w:pPr>
          </w:p>
        </w:tc>
      </w:tr>
    </w:tbl>
    <w:p w14:paraId="7F3402C2" w14:textId="77777777" w:rsidR="007B0F7F" w:rsidRDefault="007B0F7F" w:rsidP="007B0F7F">
      <w:pPr>
        <w:spacing w:before="0" w:after="120" w:line="240" w:lineRule="auto"/>
        <w:rPr>
          <w:rFonts w:asciiTheme="minorHAnsi" w:hAnsiTheme="minorHAnsi"/>
          <w:b/>
          <w:bCs/>
          <w:color w:val="365F91"/>
          <w:sz w:val="32"/>
          <w:szCs w:val="28"/>
        </w:rPr>
      </w:pPr>
      <w:r>
        <w:rPr>
          <w:rFonts w:asciiTheme="minorHAnsi" w:hAnsiTheme="minorHAnsi"/>
          <w:b/>
          <w:bCs/>
          <w:color w:val="365F91"/>
          <w:sz w:val="32"/>
          <w:szCs w:val="28"/>
        </w:rPr>
        <w:lastRenderedPageBreak/>
        <w:t>10.4.2</w:t>
      </w:r>
      <w:r w:rsidRPr="00D51AE5">
        <w:rPr>
          <w:rFonts w:asciiTheme="minorHAnsi" w:hAnsiTheme="minorHAnsi"/>
          <w:b/>
          <w:bCs/>
          <w:color w:val="365F91"/>
          <w:sz w:val="32"/>
          <w:szCs w:val="28"/>
        </w:rPr>
        <w:t xml:space="preserve"> </w:t>
      </w:r>
      <w:r>
        <w:rPr>
          <w:rFonts w:asciiTheme="minorHAnsi" w:hAnsiTheme="minorHAnsi"/>
          <w:b/>
          <w:bCs/>
          <w:color w:val="365F91"/>
          <w:sz w:val="32"/>
          <w:szCs w:val="28"/>
        </w:rPr>
        <w:t>End-of-Unit Speaking and Listening</w:t>
      </w:r>
      <w:r w:rsidRPr="00D51AE5">
        <w:rPr>
          <w:rFonts w:asciiTheme="minorHAnsi" w:hAnsiTheme="minorHAnsi"/>
          <w:b/>
          <w:bCs/>
          <w:color w:val="365F91"/>
          <w:sz w:val="32"/>
          <w:szCs w:val="28"/>
        </w:rPr>
        <w:t xml:space="preserve"> Rubric</w:t>
      </w:r>
      <w:r w:rsidRPr="00D51AE5">
        <w:rPr>
          <w:rFonts w:asciiTheme="minorHAnsi" w:hAnsiTheme="minorHAnsi"/>
          <w:b/>
          <w:bCs/>
          <w:color w:val="365F91"/>
          <w:sz w:val="32"/>
          <w:szCs w:val="28"/>
        </w:rPr>
        <w:tab/>
      </w:r>
      <w:r>
        <w:rPr>
          <w:rFonts w:asciiTheme="minorHAnsi" w:hAnsiTheme="minorHAnsi"/>
          <w:b/>
          <w:bCs/>
          <w:color w:val="365F91"/>
          <w:sz w:val="32"/>
          <w:szCs w:val="28"/>
        </w:rPr>
        <w:tab/>
      </w:r>
      <w:r>
        <w:rPr>
          <w:rFonts w:asciiTheme="minorHAnsi" w:hAnsiTheme="minorHAnsi"/>
          <w:b/>
          <w:bCs/>
          <w:color w:val="365F91"/>
          <w:sz w:val="32"/>
          <w:szCs w:val="28"/>
        </w:rPr>
        <w:tab/>
      </w:r>
      <w:r>
        <w:rPr>
          <w:rFonts w:asciiTheme="minorHAnsi" w:hAnsiTheme="minorHAnsi"/>
          <w:b/>
          <w:bCs/>
          <w:color w:val="365F91"/>
          <w:sz w:val="32"/>
          <w:szCs w:val="28"/>
        </w:rPr>
        <w:tab/>
      </w:r>
      <w:r>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rPr>
        <w:tab/>
      </w:r>
      <w:r w:rsidRPr="00D51AE5">
        <w:rPr>
          <w:rFonts w:asciiTheme="minorHAnsi" w:hAnsiTheme="minorHAnsi"/>
          <w:b/>
          <w:bCs/>
          <w:color w:val="365F91"/>
          <w:sz w:val="32"/>
          <w:szCs w:val="28"/>
          <w:u w:val="single"/>
        </w:rPr>
        <w:tab/>
      </w:r>
      <w:r>
        <w:rPr>
          <w:rFonts w:asciiTheme="minorHAnsi" w:hAnsiTheme="minorHAnsi"/>
          <w:b/>
          <w:bCs/>
          <w:color w:val="365F91"/>
          <w:sz w:val="32"/>
          <w:szCs w:val="28"/>
        </w:rPr>
        <w:t>/</w:t>
      </w:r>
      <w:r w:rsidRPr="00897B7E">
        <w:rPr>
          <w:rFonts w:asciiTheme="minorHAnsi" w:hAnsiTheme="minorHAnsi"/>
          <w:b/>
          <w:bCs/>
          <w:color w:val="365F91"/>
          <w:sz w:val="32"/>
          <w:szCs w:val="32"/>
        </w:rPr>
        <w:t>16</w:t>
      </w:r>
    </w:p>
    <w:tbl>
      <w:tblPr>
        <w:tblW w:w="12960" w:type="dxa"/>
        <w:tblBorders>
          <w:top w:val="nil"/>
          <w:left w:val="nil"/>
          <w:bottom w:val="nil"/>
          <w:right w:val="nil"/>
        </w:tblBorders>
        <w:tblLayout w:type="fixed"/>
        <w:tblLook w:val="0000" w:firstRow="0" w:lastRow="0" w:firstColumn="0" w:lastColumn="0" w:noHBand="0" w:noVBand="0"/>
      </w:tblPr>
      <w:tblGrid>
        <w:gridCol w:w="2592"/>
        <w:gridCol w:w="2592"/>
        <w:gridCol w:w="2592"/>
        <w:gridCol w:w="2592"/>
        <w:gridCol w:w="2592"/>
      </w:tblGrid>
      <w:tr w:rsidR="007B0F7F" w:rsidRPr="00BB5412" w14:paraId="62C03986" w14:textId="77777777">
        <w:trPr>
          <w:trHeight w:val="183"/>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ACC28" w14:textId="77777777" w:rsidR="007B0F7F" w:rsidRPr="00BB5412" w:rsidRDefault="007B0F7F" w:rsidP="007B0F7F">
            <w:pPr>
              <w:pStyle w:val="TableText"/>
              <w:rPr>
                <w:sz w:val="16"/>
                <w:szCs w:val="16"/>
              </w:rPr>
            </w:pPr>
            <w:r w:rsidRPr="00BB5412">
              <w:rPr>
                <w:sz w:val="16"/>
                <w:szCs w:val="16"/>
              </w:rPr>
              <w:t>Criteria</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6E1C9" w14:textId="77777777" w:rsidR="007B0F7F" w:rsidRPr="00BB5412" w:rsidRDefault="007B0F7F" w:rsidP="007B0F7F">
            <w:pPr>
              <w:pStyle w:val="TableText"/>
              <w:rPr>
                <w:sz w:val="16"/>
                <w:szCs w:val="16"/>
              </w:rPr>
            </w:pPr>
            <w:r w:rsidRPr="00BB5412">
              <w:rPr>
                <w:sz w:val="16"/>
                <w:szCs w:val="16"/>
              </w:rPr>
              <w:t>4 – Responses at this Level:</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0D241" w14:textId="77777777" w:rsidR="007B0F7F" w:rsidRPr="00BB5412" w:rsidRDefault="007B0F7F" w:rsidP="007B0F7F">
            <w:pPr>
              <w:pStyle w:val="TableText"/>
              <w:rPr>
                <w:sz w:val="16"/>
                <w:szCs w:val="16"/>
              </w:rPr>
            </w:pPr>
            <w:r w:rsidRPr="00BB5412">
              <w:rPr>
                <w:sz w:val="16"/>
                <w:szCs w:val="16"/>
              </w:rPr>
              <w:t>3 – Responses at this Level:</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EF9BB" w14:textId="77777777" w:rsidR="007B0F7F" w:rsidRPr="00BB5412" w:rsidRDefault="007B0F7F" w:rsidP="007B0F7F">
            <w:pPr>
              <w:pStyle w:val="TableText"/>
              <w:rPr>
                <w:sz w:val="16"/>
                <w:szCs w:val="16"/>
              </w:rPr>
            </w:pPr>
            <w:r w:rsidRPr="00BB5412">
              <w:rPr>
                <w:sz w:val="16"/>
                <w:szCs w:val="16"/>
              </w:rPr>
              <w:t>2 – Responses at this Level:</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46E9" w14:textId="77777777" w:rsidR="007B0F7F" w:rsidRPr="00BB5412" w:rsidRDefault="007B0F7F" w:rsidP="007B0F7F">
            <w:pPr>
              <w:pStyle w:val="TableText"/>
              <w:rPr>
                <w:sz w:val="16"/>
                <w:szCs w:val="16"/>
              </w:rPr>
            </w:pPr>
            <w:r w:rsidRPr="00BB5412">
              <w:rPr>
                <w:sz w:val="16"/>
                <w:szCs w:val="16"/>
              </w:rPr>
              <w:t>1 – Responses at this Level:</w:t>
            </w:r>
          </w:p>
        </w:tc>
      </w:tr>
      <w:tr w:rsidR="007B0F7F" w:rsidRPr="00BB5412" w14:paraId="52F9AFFC" w14:textId="77777777">
        <w:trPr>
          <w:trHeight w:val="655"/>
        </w:trPr>
        <w:tc>
          <w:tcPr>
            <w:tcW w:w="2592" w:type="dxa"/>
            <w:tcBorders>
              <w:top w:val="single" w:sz="4" w:space="0" w:color="auto"/>
              <w:left w:val="single" w:sz="4" w:space="0" w:color="auto"/>
              <w:right w:val="single" w:sz="4" w:space="0" w:color="auto"/>
            </w:tcBorders>
            <w:shd w:val="clear" w:color="auto" w:fill="D9D9D9" w:themeFill="background1" w:themeFillShade="D9"/>
          </w:tcPr>
          <w:p w14:paraId="036BC491" w14:textId="77777777" w:rsidR="007B0F7F" w:rsidRPr="00BB5412" w:rsidRDefault="007B0F7F" w:rsidP="007B0F7F">
            <w:pPr>
              <w:pStyle w:val="TableText"/>
              <w:rPr>
                <w:b/>
                <w:sz w:val="16"/>
                <w:szCs w:val="16"/>
              </w:rPr>
            </w:pPr>
            <w:r w:rsidRPr="00BB5412">
              <w:rPr>
                <w:b/>
                <w:sz w:val="16"/>
                <w:szCs w:val="16"/>
              </w:rPr>
              <w:t>Content and Analysis</w:t>
            </w:r>
          </w:p>
          <w:p w14:paraId="58609DF4" w14:textId="77777777" w:rsidR="007B0F7F" w:rsidRPr="00BB5412" w:rsidRDefault="007B0F7F" w:rsidP="00D67E8E">
            <w:pPr>
              <w:pStyle w:val="TableText"/>
              <w:rPr>
                <w:sz w:val="16"/>
                <w:szCs w:val="16"/>
              </w:rPr>
            </w:pPr>
            <w:r w:rsidRPr="00BB5412">
              <w:rPr>
                <w:sz w:val="16"/>
                <w:szCs w:val="16"/>
              </w:rPr>
              <w:t xml:space="preserve">The extent to which the </w:t>
            </w:r>
            <w:r w:rsidR="00D67E8E" w:rsidRPr="00BB5412">
              <w:rPr>
                <w:sz w:val="16"/>
                <w:szCs w:val="16"/>
              </w:rPr>
              <w:t>presentation relies on evidence to support a claim.</w:t>
            </w:r>
          </w:p>
          <w:p w14:paraId="0D988B16" w14:textId="77777777" w:rsidR="007B0F7F" w:rsidRPr="00BB5412" w:rsidRDefault="00AA3043" w:rsidP="007B0F7F">
            <w:pPr>
              <w:pStyle w:val="TableText"/>
              <w:rPr>
                <w:sz w:val="16"/>
                <w:szCs w:val="16"/>
              </w:rPr>
            </w:pPr>
            <w:r w:rsidRPr="00BB5412">
              <w:rPr>
                <w:sz w:val="16"/>
                <w:szCs w:val="16"/>
              </w:rPr>
              <w:t>CCSS.SL.9-10.4</w:t>
            </w:r>
          </w:p>
        </w:tc>
        <w:tc>
          <w:tcPr>
            <w:tcW w:w="2592" w:type="dxa"/>
            <w:tcBorders>
              <w:top w:val="single" w:sz="4" w:space="0" w:color="auto"/>
              <w:left w:val="single" w:sz="4" w:space="0" w:color="auto"/>
              <w:bottom w:val="nil"/>
              <w:right w:val="single" w:sz="4" w:space="0" w:color="auto"/>
            </w:tcBorders>
          </w:tcPr>
          <w:p w14:paraId="301C7E9E" w14:textId="69353369" w:rsidR="007B0F7F" w:rsidRPr="00BB5412" w:rsidRDefault="00D67E8E" w:rsidP="00C07EAD">
            <w:pPr>
              <w:pStyle w:val="TableText"/>
              <w:rPr>
                <w:sz w:val="16"/>
                <w:szCs w:val="16"/>
              </w:rPr>
            </w:pPr>
            <w:r w:rsidRPr="00BB5412">
              <w:rPr>
                <w:sz w:val="16"/>
                <w:szCs w:val="16"/>
              </w:rPr>
              <w:t xml:space="preserve">Use more than one </w:t>
            </w:r>
            <w:r w:rsidR="00C07EAD" w:rsidRPr="00BB5412">
              <w:rPr>
                <w:sz w:val="16"/>
                <w:szCs w:val="16"/>
              </w:rPr>
              <w:t>piece</w:t>
            </w:r>
            <w:r w:rsidRPr="00BB5412">
              <w:rPr>
                <w:sz w:val="16"/>
                <w:szCs w:val="16"/>
              </w:rPr>
              <w:t xml:space="preserve"> of</w:t>
            </w:r>
            <w:r w:rsidR="00C07EAD" w:rsidRPr="00BB5412">
              <w:rPr>
                <w:sz w:val="16"/>
                <w:szCs w:val="16"/>
              </w:rPr>
              <w:t xml:space="preserve"> specific</w:t>
            </w:r>
            <w:r w:rsidRPr="00BB5412">
              <w:rPr>
                <w:sz w:val="16"/>
                <w:szCs w:val="16"/>
              </w:rPr>
              <w:t xml:space="preserve"> evidence that logically and insightfully support</w:t>
            </w:r>
            <w:r w:rsidR="00C07EAD" w:rsidRPr="00BB5412">
              <w:rPr>
                <w:sz w:val="16"/>
                <w:szCs w:val="16"/>
              </w:rPr>
              <w:t>s</w:t>
            </w:r>
            <w:r w:rsidRPr="00BB5412">
              <w:rPr>
                <w:sz w:val="16"/>
                <w:szCs w:val="16"/>
              </w:rPr>
              <w:t xml:space="preserve"> the claim.</w:t>
            </w:r>
          </w:p>
        </w:tc>
        <w:tc>
          <w:tcPr>
            <w:tcW w:w="2592" w:type="dxa"/>
            <w:tcBorders>
              <w:top w:val="single" w:sz="4" w:space="0" w:color="auto"/>
              <w:left w:val="single" w:sz="4" w:space="0" w:color="auto"/>
              <w:bottom w:val="nil"/>
              <w:right w:val="single" w:sz="4" w:space="0" w:color="auto"/>
            </w:tcBorders>
          </w:tcPr>
          <w:p w14:paraId="50325302" w14:textId="39023257" w:rsidR="007B0F7F" w:rsidRPr="00BB5412" w:rsidRDefault="00D67E8E" w:rsidP="007B0F7F">
            <w:pPr>
              <w:pStyle w:val="TableText"/>
              <w:rPr>
                <w:sz w:val="16"/>
                <w:szCs w:val="16"/>
              </w:rPr>
            </w:pPr>
            <w:r w:rsidRPr="00BB5412">
              <w:rPr>
                <w:sz w:val="16"/>
                <w:szCs w:val="16"/>
              </w:rPr>
              <w:t>Use more than one piece of specific evidence that logically support</w:t>
            </w:r>
            <w:r w:rsidR="00C07EAD" w:rsidRPr="00BB5412">
              <w:rPr>
                <w:sz w:val="16"/>
                <w:szCs w:val="16"/>
              </w:rPr>
              <w:t>s</w:t>
            </w:r>
            <w:r w:rsidRPr="00BB5412">
              <w:rPr>
                <w:sz w:val="16"/>
                <w:szCs w:val="16"/>
              </w:rPr>
              <w:t xml:space="preserve"> the claim</w:t>
            </w:r>
            <w:r w:rsidR="007B0F7F" w:rsidRPr="00BB5412">
              <w:rPr>
                <w:sz w:val="16"/>
                <w:szCs w:val="16"/>
              </w:rPr>
              <w:t xml:space="preserve">. </w:t>
            </w:r>
          </w:p>
          <w:p w14:paraId="35A744E0" w14:textId="77777777" w:rsidR="007B0F7F" w:rsidRPr="00BB5412" w:rsidRDefault="007B0F7F" w:rsidP="007B0F7F">
            <w:pPr>
              <w:pStyle w:val="TableText"/>
              <w:rPr>
                <w:sz w:val="16"/>
                <w:szCs w:val="16"/>
              </w:rPr>
            </w:pPr>
          </w:p>
        </w:tc>
        <w:tc>
          <w:tcPr>
            <w:tcW w:w="2592" w:type="dxa"/>
            <w:tcBorders>
              <w:top w:val="single" w:sz="4" w:space="0" w:color="auto"/>
              <w:left w:val="single" w:sz="4" w:space="0" w:color="auto"/>
              <w:bottom w:val="nil"/>
              <w:right w:val="single" w:sz="4" w:space="0" w:color="auto"/>
            </w:tcBorders>
          </w:tcPr>
          <w:p w14:paraId="6D0A1459" w14:textId="77777777" w:rsidR="007B0F7F" w:rsidRPr="00BB5412" w:rsidRDefault="00D67E8E" w:rsidP="00D67E8E">
            <w:pPr>
              <w:pStyle w:val="TableText"/>
              <w:rPr>
                <w:sz w:val="16"/>
                <w:szCs w:val="16"/>
              </w:rPr>
            </w:pPr>
            <w:r w:rsidRPr="00BB5412">
              <w:rPr>
                <w:sz w:val="16"/>
                <w:szCs w:val="16"/>
              </w:rPr>
              <w:t>Use at least one piece of specific evidence that logically supports the claim.</w:t>
            </w:r>
          </w:p>
        </w:tc>
        <w:tc>
          <w:tcPr>
            <w:tcW w:w="2592" w:type="dxa"/>
            <w:tcBorders>
              <w:top w:val="single" w:sz="4" w:space="0" w:color="auto"/>
              <w:left w:val="single" w:sz="4" w:space="0" w:color="auto"/>
              <w:bottom w:val="nil"/>
              <w:right w:val="single" w:sz="4" w:space="0" w:color="auto"/>
            </w:tcBorders>
          </w:tcPr>
          <w:p w14:paraId="36BB8568" w14:textId="77777777" w:rsidR="007B0F7F" w:rsidRPr="00BB5412" w:rsidRDefault="00D67E8E" w:rsidP="00D67E8E">
            <w:pPr>
              <w:pStyle w:val="TableText"/>
              <w:rPr>
                <w:sz w:val="16"/>
                <w:szCs w:val="16"/>
              </w:rPr>
            </w:pPr>
            <w:r w:rsidRPr="00BB5412">
              <w:rPr>
                <w:sz w:val="16"/>
                <w:szCs w:val="16"/>
              </w:rPr>
              <w:t xml:space="preserve">Use specific evidence to support a claim, but the evidence is not logical OR use logical evidence but does not cite </w:t>
            </w:r>
            <w:r w:rsidR="00AA3043" w:rsidRPr="00BB5412">
              <w:rPr>
                <w:sz w:val="16"/>
                <w:szCs w:val="16"/>
              </w:rPr>
              <w:t>specific text passages.</w:t>
            </w:r>
          </w:p>
        </w:tc>
      </w:tr>
      <w:tr w:rsidR="007B0F7F" w:rsidRPr="00BB5412" w14:paraId="72A71981" w14:textId="77777777">
        <w:trPr>
          <w:trHeight w:val="240"/>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14225" w14:textId="77777777" w:rsidR="007B0F7F" w:rsidRPr="00BB5412" w:rsidRDefault="00C413D1" w:rsidP="007B0F7F">
            <w:pPr>
              <w:pStyle w:val="TableText"/>
              <w:rPr>
                <w:b/>
                <w:sz w:val="16"/>
                <w:szCs w:val="16"/>
              </w:rPr>
            </w:pPr>
            <w:r w:rsidRPr="00BB5412">
              <w:rPr>
                <w:b/>
                <w:sz w:val="16"/>
                <w:szCs w:val="16"/>
              </w:rPr>
              <w:t>Concise Presentation</w:t>
            </w:r>
          </w:p>
          <w:p w14:paraId="0FB358FD" w14:textId="2451FC5D" w:rsidR="007B0F7F" w:rsidRPr="00BB5412" w:rsidRDefault="007B0F7F" w:rsidP="007B0F7F">
            <w:pPr>
              <w:pStyle w:val="TableText"/>
              <w:rPr>
                <w:sz w:val="16"/>
                <w:szCs w:val="16"/>
              </w:rPr>
            </w:pPr>
            <w:r w:rsidRPr="00BB5412">
              <w:rPr>
                <w:sz w:val="16"/>
                <w:szCs w:val="16"/>
              </w:rPr>
              <w:t xml:space="preserve">The extent to </w:t>
            </w:r>
            <w:r w:rsidR="00AA3043" w:rsidRPr="00BB5412">
              <w:rPr>
                <w:sz w:val="16"/>
                <w:szCs w:val="16"/>
              </w:rPr>
              <w:t>which the presentation is able to fit within the given time constraints (less than 5 minutes)</w:t>
            </w:r>
            <w:r w:rsidR="00C07EAD" w:rsidRPr="00BB5412">
              <w:rPr>
                <w:sz w:val="16"/>
                <w:szCs w:val="16"/>
              </w:rPr>
              <w:t>.</w:t>
            </w:r>
          </w:p>
          <w:p w14:paraId="6E69A9B0" w14:textId="77777777" w:rsidR="007B0F7F" w:rsidRPr="00BB5412" w:rsidRDefault="00AA3043" w:rsidP="007B0F7F">
            <w:pPr>
              <w:pStyle w:val="TableText"/>
              <w:rPr>
                <w:sz w:val="16"/>
                <w:szCs w:val="16"/>
              </w:rPr>
            </w:pPr>
            <w:r w:rsidRPr="00BB5412">
              <w:rPr>
                <w:sz w:val="16"/>
                <w:szCs w:val="16"/>
              </w:rPr>
              <w:t>CCSS.SL.9-10.4</w:t>
            </w:r>
          </w:p>
        </w:tc>
        <w:tc>
          <w:tcPr>
            <w:tcW w:w="2592" w:type="dxa"/>
            <w:tcBorders>
              <w:top w:val="single" w:sz="4" w:space="0" w:color="auto"/>
              <w:left w:val="single" w:sz="4" w:space="0" w:color="auto"/>
              <w:bottom w:val="single" w:sz="4" w:space="0" w:color="auto"/>
              <w:right w:val="single" w:sz="4" w:space="0" w:color="auto"/>
            </w:tcBorders>
          </w:tcPr>
          <w:p w14:paraId="669FC596" w14:textId="77777777" w:rsidR="007B0F7F" w:rsidRPr="00BB5412" w:rsidRDefault="00AA3043" w:rsidP="007B0F7F">
            <w:pPr>
              <w:pStyle w:val="TableText"/>
              <w:rPr>
                <w:color w:val="000000" w:themeColor="text1"/>
                <w:sz w:val="16"/>
                <w:szCs w:val="16"/>
              </w:rPr>
            </w:pPr>
            <w:r w:rsidRPr="00BB5412">
              <w:rPr>
                <w:color w:val="000000" w:themeColor="text1"/>
                <w:sz w:val="16"/>
                <w:szCs w:val="16"/>
              </w:rPr>
              <w:t>Easily present all significant points within the time limit</w:t>
            </w:r>
            <w:r w:rsidR="007B0F7F" w:rsidRPr="00BB5412">
              <w:rPr>
                <w:color w:val="000000" w:themeColor="text1"/>
                <w:sz w:val="16"/>
                <w:szCs w:val="16"/>
              </w:rPr>
              <w:t>.</w:t>
            </w:r>
          </w:p>
        </w:tc>
        <w:tc>
          <w:tcPr>
            <w:tcW w:w="2592" w:type="dxa"/>
            <w:tcBorders>
              <w:top w:val="single" w:sz="4" w:space="0" w:color="auto"/>
              <w:left w:val="single" w:sz="4" w:space="0" w:color="auto"/>
              <w:bottom w:val="single" w:sz="4" w:space="0" w:color="auto"/>
              <w:right w:val="single" w:sz="4" w:space="0" w:color="auto"/>
            </w:tcBorders>
          </w:tcPr>
          <w:p w14:paraId="1A6C070D" w14:textId="77777777" w:rsidR="007B0F7F" w:rsidRPr="00BB5412" w:rsidRDefault="00AA3043" w:rsidP="007B0F7F">
            <w:pPr>
              <w:pStyle w:val="TableText"/>
              <w:rPr>
                <w:color w:val="000000" w:themeColor="text1"/>
                <w:sz w:val="16"/>
                <w:szCs w:val="16"/>
              </w:rPr>
            </w:pPr>
            <w:r w:rsidRPr="00BB5412">
              <w:rPr>
                <w:color w:val="000000" w:themeColor="text1"/>
                <w:sz w:val="16"/>
                <w:szCs w:val="16"/>
              </w:rPr>
              <w:t>Present all significant points within the time limit</w:t>
            </w:r>
            <w:r w:rsidR="007B0F7F" w:rsidRPr="00BB5412">
              <w:rPr>
                <w:color w:val="000000" w:themeColor="text1"/>
                <w:sz w:val="16"/>
                <w:szCs w:val="16"/>
              </w:rPr>
              <w:t>.</w:t>
            </w:r>
          </w:p>
        </w:tc>
        <w:tc>
          <w:tcPr>
            <w:tcW w:w="2592" w:type="dxa"/>
            <w:tcBorders>
              <w:top w:val="single" w:sz="4" w:space="0" w:color="auto"/>
              <w:left w:val="single" w:sz="4" w:space="0" w:color="auto"/>
              <w:bottom w:val="single" w:sz="4" w:space="0" w:color="auto"/>
              <w:right w:val="single" w:sz="4" w:space="0" w:color="auto"/>
            </w:tcBorders>
          </w:tcPr>
          <w:p w14:paraId="3D57455B" w14:textId="77777777" w:rsidR="007B0F7F" w:rsidRPr="00BB5412" w:rsidRDefault="00AA3043" w:rsidP="00AA3043">
            <w:pPr>
              <w:pStyle w:val="TableText"/>
              <w:rPr>
                <w:color w:val="000000" w:themeColor="text1"/>
                <w:sz w:val="16"/>
                <w:szCs w:val="16"/>
              </w:rPr>
            </w:pPr>
            <w:r w:rsidRPr="00BB5412">
              <w:rPr>
                <w:color w:val="000000" w:themeColor="text1"/>
                <w:sz w:val="16"/>
                <w:szCs w:val="16"/>
              </w:rPr>
              <w:t>Present most significant points within the time limit</w:t>
            </w:r>
            <w:r w:rsidR="007B0F7F" w:rsidRPr="00BB5412">
              <w:rPr>
                <w:color w:val="000000" w:themeColor="text1"/>
                <w:sz w:val="16"/>
                <w:szCs w:val="16"/>
              </w:rPr>
              <w:t>.</w:t>
            </w:r>
          </w:p>
        </w:tc>
        <w:tc>
          <w:tcPr>
            <w:tcW w:w="2592" w:type="dxa"/>
            <w:tcBorders>
              <w:top w:val="single" w:sz="4" w:space="0" w:color="auto"/>
              <w:left w:val="single" w:sz="4" w:space="0" w:color="auto"/>
              <w:bottom w:val="single" w:sz="4" w:space="0" w:color="auto"/>
              <w:right w:val="single" w:sz="4" w:space="0" w:color="auto"/>
            </w:tcBorders>
          </w:tcPr>
          <w:p w14:paraId="580C8069" w14:textId="77777777" w:rsidR="007B0F7F" w:rsidRPr="00BB5412" w:rsidRDefault="00AA3043" w:rsidP="00AA3043">
            <w:pPr>
              <w:pStyle w:val="TableText"/>
              <w:rPr>
                <w:sz w:val="16"/>
                <w:szCs w:val="16"/>
              </w:rPr>
            </w:pPr>
            <w:r w:rsidRPr="00BB5412">
              <w:rPr>
                <w:sz w:val="16"/>
                <w:szCs w:val="16"/>
              </w:rPr>
              <w:t>Present a few significant points within the time limit</w:t>
            </w:r>
            <w:r w:rsidR="007B0F7F" w:rsidRPr="00BB5412">
              <w:rPr>
                <w:sz w:val="16"/>
                <w:szCs w:val="16"/>
              </w:rPr>
              <w:t>.</w:t>
            </w:r>
          </w:p>
        </w:tc>
      </w:tr>
      <w:tr w:rsidR="007B0F7F" w:rsidRPr="00BB5412" w14:paraId="7CFADC49" w14:textId="77777777">
        <w:trPr>
          <w:trHeight w:val="240"/>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A5025" w14:textId="77777777" w:rsidR="007B0F7F" w:rsidRPr="00BB5412" w:rsidRDefault="00C413D1" w:rsidP="007B0F7F">
            <w:pPr>
              <w:pStyle w:val="TableText"/>
              <w:rPr>
                <w:b/>
                <w:sz w:val="16"/>
                <w:szCs w:val="16"/>
              </w:rPr>
            </w:pPr>
            <w:r w:rsidRPr="00BB5412">
              <w:rPr>
                <w:b/>
                <w:sz w:val="16"/>
                <w:szCs w:val="16"/>
              </w:rPr>
              <w:t>Coherence and Organization</w:t>
            </w:r>
          </w:p>
          <w:p w14:paraId="48314CAB" w14:textId="77777777" w:rsidR="00AA3043" w:rsidRPr="00BB5412" w:rsidRDefault="00AA3043" w:rsidP="00AA3043">
            <w:pPr>
              <w:pStyle w:val="TableText"/>
              <w:rPr>
                <w:sz w:val="16"/>
                <w:szCs w:val="16"/>
              </w:rPr>
            </w:pPr>
            <w:r w:rsidRPr="00BB5412">
              <w:rPr>
                <w:sz w:val="16"/>
                <w:szCs w:val="16"/>
              </w:rPr>
              <w:t xml:space="preserve">The extent to which listeners can follow the line of reasoning. </w:t>
            </w:r>
          </w:p>
          <w:p w14:paraId="265722ED" w14:textId="77777777" w:rsidR="007B0F7F" w:rsidRPr="00BB5412" w:rsidRDefault="00AA3043" w:rsidP="00AA3043">
            <w:pPr>
              <w:pStyle w:val="TableText"/>
              <w:rPr>
                <w:sz w:val="16"/>
                <w:szCs w:val="16"/>
              </w:rPr>
            </w:pPr>
            <w:r w:rsidRPr="00BB5412">
              <w:rPr>
                <w:sz w:val="16"/>
                <w:szCs w:val="16"/>
              </w:rPr>
              <w:t>CCSS.SL.9-10.4</w:t>
            </w:r>
          </w:p>
        </w:tc>
        <w:tc>
          <w:tcPr>
            <w:tcW w:w="2592" w:type="dxa"/>
            <w:tcBorders>
              <w:top w:val="single" w:sz="4" w:space="0" w:color="auto"/>
              <w:left w:val="single" w:sz="4" w:space="0" w:color="auto"/>
              <w:bottom w:val="single" w:sz="4" w:space="0" w:color="auto"/>
              <w:right w:val="single" w:sz="4" w:space="0" w:color="auto"/>
            </w:tcBorders>
          </w:tcPr>
          <w:p w14:paraId="77E399AA" w14:textId="77777777" w:rsidR="007B0F7F" w:rsidRPr="00BB5412" w:rsidRDefault="00AA3043" w:rsidP="007B0F7F">
            <w:pPr>
              <w:pStyle w:val="TableText"/>
              <w:rPr>
                <w:sz w:val="16"/>
                <w:szCs w:val="16"/>
              </w:rPr>
            </w:pPr>
            <w:r w:rsidRPr="00BB5412">
              <w:rPr>
                <w:sz w:val="16"/>
                <w:szCs w:val="16"/>
              </w:rPr>
              <w:t>Skillfully present ideas so listeners can easily follow the line of reasoning.</w:t>
            </w:r>
          </w:p>
        </w:tc>
        <w:tc>
          <w:tcPr>
            <w:tcW w:w="2592" w:type="dxa"/>
            <w:tcBorders>
              <w:top w:val="single" w:sz="4" w:space="0" w:color="auto"/>
              <w:left w:val="single" w:sz="4" w:space="0" w:color="auto"/>
              <w:bottom w:val="single" w:sz="4" w:space="0" w:color="auto"/>
              <w:right w:val="single" w:sz="4" w:space="0" w:color="auto"/>
            </w:tcBorders>
          </w:tcPr>
          <w:p w14:paraId="718AF81B" w14:textId="77777777" w:rsidR="007B0F7F" w:rsidRPr="00BB5412" w:rsidRDefault="00AA3043" w:rsidP="007B0F7F">
            <w:pPr>
              <w:pStyle w:val="TableText"/>
              <w:rPr>
                <w:sz w:val="16"/>
                <w:szCs w:val="16"/>
              </w:rPr>
            </w:pPr>
            <w:r w:rsidRPr="00BB5412">
              <w:rPr>
                <w:sz w:val="16"/>
                <w:szCs w:val="16"/>
              </w:rPr>
              <w:t>Present ideas so listeners can follow the line of reasoning.</w:t>
            </w:r>
          </w:p>
        </w:tc>
        <w:tc>
          <w:tcPr>
            <w:tcW w:w="2592" w:type="dxa"/>
            <w:tcBorders>
              <w:top w:val="single" w:sz="4" w:space="0" w:color="auto"/>
              <w:left w:val="single" w:sz="4" w:space="0" w:color="auto"/>
              <w:bottom w:val="single" w:sz="4" w:space="0" w:color="auto"/>
              <w:right w:val="single" w:sz="4" w:space="0" w:color="auto"/>
            </w:tcBorders>
          </w:tcPr>
          <w:p w14:paraId="7B5D0CA1" w14:textId="77777777" w:rsidR="007B0F7F" w:rsidRPr="00BB5412" w:rsidRDefault="00AA3043" w:rsidP="007B0F7F">
            <w:pPr>
              <w:pStyle w:val="TableText"/>
              <w:rPr>
                <w:sz w:val="16"/>
                <w:szCs w:val="16"/>
              </w:rPr>
            </w:pPr>
            <w:r w:rsidRPr="00BB5412">
              <w:rPr>
                <w:sz w:val="16"/>
                <w:szCs w:val="16"/>
              </w:rPr>
              <w:t>Present ideas so listeners can follow the line of reasoning with some effort.</w:t>
            </w:r>
          </w:p>
        </w:tc>
        <w:tc>
          <w:tcPr>
            <w:tcW w:w="2592" w:type="dxa"/>
            <w:tcBorders>
              <w:top w:val="single" w:sz="4" w:space="0" w:color="auto"/>
              <w:left w:val="single" w:sz="4" w:space="0" w:color="auto"/>
              <w:bottom w:val="single" w:sz="4" w:space="0" w:color="auto"/>
              <w:right w:val="single" w:sz="4" w:space="0" w:color="auto"/>
            </w:tcBorders>
          </w:tcPr>
          <w:p w14:paraId="3BBA8130" w14:textId="77777777" w:rsidR="007B0F7F" w:rsidRPr="00BB5412" w:rsidRDefault="00AA3043" w:rsidP="007B0F7F">
            <w:pPr>
              <w:pStyle w:val="TableText"/>
              <w:rPr>
                <w:sz w:val="16"/>
                <w:szCs w:val="16"/>
              </w:rPr>
            </w:pPr>
            <w:r w:rsidRPr="00BB5412">
              <w:rPr>
                <w:sz w:val="16"/>
                <w:szCs w:val="16"/>
              </w:rPr>
              <w:t>Attempt to present ideas so listeners can follow the line of reasoning, but listeners have great difficulty.</w:t>
            </w:r>
          </w:p>
        </w:tc>
      </w:tr>
      <w:tr w:rsidR="007B0F7F" w:rsidRPr="00BB5412" w14:paraId="3CF5567C" w14:textId="77777777">
        <w:trPr>
          <w:trHeight w:val="325"/>
        </w:trPr>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1D228" w14:textId="77777777" w:rsidR="007B0F7F" w:rsidRPr="00BB5412" w:rsidRDefault="00C413D1" w:rsidP="007B0F7F">
            <w:pPr>
              <w:pStyle w:val="TableText"/>
              <w:rPr>
                <w:b/>
                <w:sz w:val="16"/>
                <w:szCs w:val="16"/>
              </w:rPr>
            </w:pPr>
            <w:r w:rsidRPr="00BB5412">
              <w:rPr>
                <w:b/>
                <w:sz w:val="16"/>
                <w:szCs w:val="16"/>
              </w:rPr>
              <w:t>Style</w:t>
            </w:r>
          </w:p>
          <w:p w14:paraId="78482943" w14:textId="77777777" w:rsidR="007B0F7F" w:rsidRPr="00BB5412" w:rsidRDefault="00C413D1" w:rsidP="007B0F7F">
            <w:pPr>
              <w:pStyle w:val="TableText"/>
              <w:rPr>
                <w:sz w:val="16"/>
                <w:szCs w:val="16"/>
              </w:rPr>
            </w:pPr>
            <w:r w:rsidRPr="00BB5412">
              <w:rPr>
                <w:sz w:val="16"/>
                <w:szCs w:val="16"/>
              </w:rPr>
              <w:t>The extent to which presentation is appropriate to the purpose, audience, and task.</w:t>
            </w:r>
          </w:p>
          <w:p w14:paraId="0363DC4A" w14:textId="77777777" w:rsidR="00C413D1" w:rsidRPr="00BB5412" w:rsidRDefault="00C413D1" w:rsidP="007B0F7F">
            <w:pPr>
              <w:pStyle w:val="TableText"/>
              <w:rPr>
                <w:sz w:val="16"/>
                <w:szCs w:val="16"/>
              </w:rPr>
            </w:pPr>
            <w:r w:rsidRPr="00BB5412">
              <w:rPr>
                <w:sz w:val="16"/>
                <w:szCs w:val="16"/>
              </w:rPr>
              <w:t>CCSS.SL.9-10.4</w:t>
            </w:r>
          </w:p>
        </w:tc>
        <w:tc>
          <w:tcPr>
            <w:tcW w:w="2592" w:type="dxa"/>
            <w:tcBorders>
              <w:top w:val="single" w:sz="4" w:space="0" w:color="auto"/>
              <w:left w:val="single" w:sz="4" w:space="0" w:color="auto"/>
              <w:bottom w:val="single" w:sz="4" w:space="0" w:color="auto"/>
              <w:right w:val="single" w:sz="4" w:space="0" w:color="auto"/>
            </w:tcBorders>
          </w:tcPr>
          <w:p w14:paraId="2906BA8E" w14:textId="77777777" w:rsidR="007B0F7F" w:rsidRPr="00BB5412" w:rsidRDefault="00AA3043" w:rsidP="007B0F7F">
            <w:pPr>
              <w:pStyle w:val="TableText"/>
              <w:rPr>
                <w:color w:val="000000" w:themeColor="text1"/>
                <w:sz w:val="16"/>
                <w:szCs w:val="16"/>
              </w:rPr>
            </w:pPr>
            <w:r w:rsidRPr="00BB5412">
              <w:rPr>
                <w:color w:val="000000" w:themeColor="text1"/>
                <w:sz w:val="16"/>
                <w:szCs w:val="16"/>
              </w:rPr>
              <w:t>Skillfully establish and maintain a formal style and objective tone appropriate to the norms and conventions of the discipline.</w:t>
            </w:r>
          </w:p>
          <w:p w14:paraId="022FB1DB" w14:textId="77777777" w:rsidR="00C413D1" w:rsidRPr="00BB5412" w:rsidRDefault="00C413D1" w:rsidP="007B0F7F">
            <w:pPr>
              <w:pStyle w:val="TableText"/>
              <w:rPr>
                <w:sz w:val="16"/>
                <w:szCs w:val="16"/>
              </w:rPr>
            </w:pPr>
            <w:r w:rsidRPr="00BB5412">
              <w:rPr>
                <w:color w:val="000000" w:themeColor="text1"/>
                <w:sz w:val="16"/>
                <w:szCs w:val="16"/>
              </w:rPr>
              <w:t>Exhibit excellent command of standard English.</w:t>
            </w:r>
          </w:p>
        </w:tc>
        <w:tc>
          <w:tcPr>
            <w:tcW w:w="2592" w:type="dxa"/>
            <w:tcBorders>
              <w:top w:val="single" w:sz="4" w:space="0" w:color="auto"/>
              <w:left w:val="single" w:sz="4" w:space="0" w:color="auto"/>
              <w:bottom w:val="single" w:sz="4" w:space="0" w:color="auto"/>
              <w:right w:val="single" w:sz="4" w:space="0" w:color="auto"/>
            </w:tcBorders>
          </w:tcPr>
          <w:p w14:paraId="7AC6D0FB" w14:textId="77777777" w:rsidR="007B0F7F" w:rsidRPr="00BB5412" w:rsidRDefault="00AA3043" w:rsidP="007B0F7F">
            <w:pPr>
              <w:pStyle w:val="TableText"/>
              <w:rPr>
                <w:color w:val="000000" w:themeColor="text1"/>
                <w:sz w:val="16"/>
                <w:szCs w:val="16"/>
              </w:rPr>
            </w:pPr>
            <w:r w:rsidRPr="00BB5412">
              <w:rPr>
                <w:color w:val="000000" w:themeColor="text1"/>
                <w:sz w:val="16"/>
                <w:szCs w:val="16"/>
              </w:rPr>
              <w:t>Establish a style and tone appropriate to the discipline; demonstrate inconsistent use of formality and objectivity.</w:t>
            </w:r>
          </w:p>
          <w:p w14:paraId="384C36C1" w14:textId="77777777" w:rsidR="00C413D1" w:rsidRPr="00BB5412" w:rsidRDefault="00C413D1" w:rsidP="007B0F7F">
            <w:pPr>
              <w:pStyle w:val="TableText"/>
              <w:rPr>
                <w:sz w:val="16"/>
                <w:szCs w:val="16"/>
              </w:rPr>
            </w:pPr>
            <w:r w:rsidRPr="00BB5412">
              <w:rPr>
                <w:color w:val="000000" w:themeColor="text1"/>
                <w:sz w:val="16"/>
                <w:szCs w:val="16"/>
              </w:rPr>
              <w:t>Exhibit good control of standard English.</w:t>
            </w:r>
          </w:p>
        </w:tc>
        <w:tc>
          <w:tcPr>
            <w:tcW w:w="2592" w:type="dxa"/>
            <w:tcBorders>
              <w:top w:val="single" w:sz="4" w:space="0" w:color="auto"/>
              <w:left w:val="single" w:sz="4" w:space="0" w:color="auto"/>
              <w:bottom w:val="single" w:sz="4" w:space="0" w:color="auto"/>
              <w:right w:val="single" w:sz="4" w:space="0" w:color="auto"/>
            </w:tcBorders>
          </w:tcPr>
          <w:p w14:paraId="5EDD678C" w14:textId="77777777" w:rsidR="007B0F7F" w:rsidRPr="00BB5412" w:rsidRDefault="00AA3043" w:rsidP="007B0F7F">
            <w:pPr>
              <w:pStyle w:val="TableText"/>
              <w:rPr>
                <w:color w:val="000000" w:themeColor="text1"/>
                <w:sz w:val="16"/>
                <w:szCs w:val="16"/>
              </w:rPr>
            </w:pPr>
            <w:r w:rsidRPr="00BB5412">
              <w:rPr>
                <w:color w:val="000000" w:themeColor="text1"/>
                <w:sz w:val="16"/>
                <w:szCs w:val="16"/>
              </w:rPr>
              <w:t>Use inconsistent style and tone with some attention to formality and objectivity.</w:t>
            </w:r>
          </w:p>
          <w:p w14:paraId="6EDA531A" w14:textId="77777777" w:rsidR="00C413D1" w:rsidRPr="00BB5412" w:rsidRDefault="00C413D1" w:rsidP="007B0F7F">
            <w:pPr>
              <w:pStyle w:val="TableText"/>
              <w:rPr>
                <w:sz w:val="16"/>
                <w:szCs w:val="16"/>
              </w:rPr>
            </w:pPr>
            <w:r w:rsidRPr="00BB5412">
              <w:rPr>
                <w:color w:val="000000" w:themeColor="text1"/>
                <w:sz w:val="16"/>
                <w:szCs w:val="16"/>
              </w:rPr>
              <w:t>Exhibit developing control of standard English.</w:t>
            </w:r>
          </w:p>
        </w:tc>
        <w:tc>
          <w:tcPr>
            <w:tcW w:w="2592" w:type="dxa"/>
            <w:tcBorders>
              <w:top w:val="single" w:sz="4" w:space="0" w:color="auto"/>
              <w:left w:val="single" w:sz="4" w:space="0" w:color="auto"/>
              <w:bottom w:val="single" w:sz="4" w:space="0" w:color="auto"/>
              <w:right w:val="single" w:sz="4" w:space="0" w:color="auto"/>
            </w:tcBorders>
          </w:tcPr>
          <w:p w14:paraId="48B30634" w14:textId="77777777" w:rsidR="007B0F7F" w:rsidRPr="00BB5412" w:rsidRDefault="00AA3043" w:rsidP="007B0F7F">
            <w:pPr>
              <w:pStyle w:val="TableText"/>
              <w:rPr>
                <w:sz w:val="16"/>
                <w:szCs w:val="16"/>
              </w:rPr>
            </w:pPr>
            <w:r w:rsidRPr="00BB5412">
              <w:rPr>
                <w:sz w:val="16"/>
                <w:szCs w:val="16"/>
              </w:rPr>
              <w:t>Lack a formal style, using language that is basic, imprecise, or contextually inappropriate.</w:t>
            </w:r>
          </w:p>
          <w:p w14:paraId="1701D92D" w14:textId="77777777" w:rsidR="00C413D1" w:rsidRPr="00BB5412" w:rsidRDefault="00C413D1" w:rsidP="007B0F7F">
            <w:pPr>
              <w:pStyle w:val="TableText"/>
              <w:rPr>
                <w:sz w:val="16"/>
                <w:szCs w:val="16"/>
              </w:rPr>
            </w:pPr>
            <w:r w:rsidRPr="00BB5412">
              <w:rPr>
                <w:sz w:val="16"/>
                <w:szCs w:val="16"/>
              </w:rPr>
              <w:t>Exhibit little control of standard English.</w:t>
            </w:r>
          </w:p>
        </w:tc>
      </w:tr>
    </w:tbl>
    <w:p w14:paraId="2B03A34C" w14:textId="77777777" w:rsidR="007B0F7F" w:rsidRPr="009B33FE" w:rsidRDefault="007B0F7F" w:rsidP="009B33FE">
      <w:pPr>
        <w:pStyle w:val="BulletedList"/>
        <w:rPr>
          <w:sz w:val="16"/>
          <w:szCs w:val="16"/>
        </w:rPr>
      </w:pPr>
      <w:r w:rsidRPr="009B33FE">
        <w:rPr>
          <w:sz w:val="16"/>
          <w:szCs w:val="16"/>
        </w:rPr>
        <w:t xml:space="preserve">A response that is a personal response and makes little or no reference to the task or text can be scored no higher than a 1. </w:t>
      </w:r>
    </w:p>
    <w:p w14:paraId="459C62B1" w14:textId="77777777" w:rsidR="007B0F7F" w:rsidRPr="009B33FE" w:rsidRDefault="007B0F7F" w:rsidP="009B33FE">
      <w:pPr>
        <w:pStyle w:val="BulletedList"/>
        <w:rPr>
          <w:sz w:val="16"/>
          <w:szCs w:val="16"/>
        </w:rPr>
      </w:pPr>
      <w:r w:rsidRPr="009B33FE">
        <w:rPr>
          <w:sz w:val="16"/>
          <w:szCs w:val="16"/>
        </w:rPr>
        <w:t xml:space="preserve">A response that is totally copied from the text with no original writing must be given a 0. </w:t>
      </w:r>
    </w:p>
    <w:p w14:paraId="1B82F01A" w14:textId="77777777" w:rsidR="007B0F7F" w:rsidRPr="009B33FE" w:rsidRDefault="007B0F7F" w:rsidP="009B33FE">
      <w:pPr>
        <w:pStyle w:val="BulletedList"/>
        <w:rPr>
          <w:sz w:val="16"/>
          <w:szCs w:val="16"/>
        </w:rPr>
      </w:pPr>
      <w:r w:rsidRPr="009B33FE">
        <w:rPr>
          <w:sz w:val="16"/>
          <w:szCs w:val="16"/>
        </w:rPr>
        <w:t>A response that is totally unr</w:t>
      </w:r>
      <w:bookmarkStart w:id="0" w:name="_GoBack"/>
      <w:bookmarkEnd w:id="0"/>
      <w:r w:rsidRPr="009B33FE">
        <w:rPr>
          <w:sz w:val="16"/>
          <w:szCs w:val="16"/>
        </w:rPr>
        <w:t xml:space="preserve">elated to the task, illegible, incoherent, blank, or unrecognizable as English must be scored as a 0. </w:t>
      </w:r>
    </w:p>
    <w:p w14:paraId="0941DA15" w14:textId="77777777" w:rsidR="00466411" w:rsidRPr="00355E34" w:rsidRDefault="00466411" w:rsidP="00790BCC">
      <w:pPr>
        <w:spacing w:after="0" w:line="240" w:lineRule="auto"/>
        <w:rPr>
          <w:sz w:val="16"/>
          <w:szCs w:val="16"/>
        </w:rPr>
        <w:sectPr w:rsidR="00466411" w:rsidRPr="00355E34">
          <w:headerReference w:type="default" r:id="rId11"/>
          <w:footerReference w:type="default" r:id="rId12"/>
          <w:pgSz w:w="15840" w:h="12240" w:orient="landscape"/>
          <w:pgMar w:top="1440" w:right="1440" w:bottom="1440" w:left="1440" w:header="432" w:footer="648" w:gutter="0"/>
          <w:cols w:space="720"/>
          <w:docGrid w:linePitch="299"/>
        </w:sectPr>
      </w:pPr>
      <w:r w:rsidRPr="00355E34">
        <w:rPr>
          <w:sz w:val="16"/>
          <w:szCs w:val="16"/>
        </w:rPr>
        <w:br w:type="page"/>
      </w:r>
    </w:p>
    <w:p w14:paraId="54E24322" w14:textId="52BEB4E4" w:rsidR="00466411" w:rsidRDefault="00EC33E9" w:rsidP="00466411">
      <w:pPr>
        <w:pStyle w:val="ToolHeader"/>
      </w:pPr>
      <w:r>
        <w:lastRenderedPageBreak/>
        <w:t>1</w:t>
      </w:r>
      <w:r w:rsidR="00466411">
        <w:t>0.4.2 End-of-Unit Speaking and Listening Checklist</w:t>
      </w:r>
    </w:p>
    <w:p w14:paraId="073646A6" w14:textId="77777777" w:rsidR="00466411" w:rsidRPr="00620CEB" w:rsidRDefault="00466411" w:rsidP="00466411">
      <w:pPr>
        <w:rPr>
          <w:b/>
        </w:rPr>
      </w:pPr>
      <w:r>
        <w:rPr>
          <w:b/>
        </w:rPr>
        <w:t>Assessed Standard: SL.9-10.4</w:t>
      </w:r>
    </w:p>
    <w:p w14:paraId="4840F2DF" w14:textId="77777777" w:rsidR="00466411" w:rsidRPr="00620CEB" w:rsidRDefault="00466411" w:rsidP="00466411">
      <w:pPr>
        <w:rPr>
          <w:i/>
        </w:rPr>
      </w:pPr>
      <w:r>
        <w:rPr>
          <w:i/>
        </w:rPr>
        <w:t>Presentatio</w:t>
      </w:r>
      <w:r w:rsidRPr="00620CEB">
        <w:rPr>
          <w:i/>
        </w:rPr>
        <w:t>n</w:t>
      </w:r>
      <w:r>
        <w:rPr>
          <w:i/>
        </w:rPr>
        <w:t xml:space="preserve"> of Knowledge and Ideas</w:t>
      </w:r>
    </w:p>
    <w:tbl>
      <w:tblPr>
        <w:tblStyle w:val="TableGrid"/>
        <w:tblW w:w="9524" w:type="dxa"/>
        <w:tblLook w:val="04A0" w:firstRow="1" w:lastRow="0" w:firstColumn="1" w:lastColumn="0" w:noHBand="0" w:noVBand="1"/>
      </w:tblPr>
      <w:tblGrid>
        <w:gridCol w:w="2561"/>
        <w:gridCol w:w="5647"/>
        <w:gridCol w:w="1316"/>
      </w:tblGrid>
      <w:tr w:rsidR="00466411" w:rsidRPr="005D2335" w14:paraId="7B1C9049" w14:textId="77777777">
        <w:trPr>
          <w:trHeight w:val="368"/>
        </w:trPr>
        <w:tc>
          <w:tcPr>
            <w:tcW w:w="2561" w:type="dxa"/>
            <w:tcBorders>
              <w:bottom w:val="single" w:sz="4" w:space="0" w:color="auto"/>
            </w:tcBorders>
            <w:shd w:val="clear" w:color="auto" w:fill="D9D9D9"/>
            <w:vAlign w:val="center"/>
          </w:tcPr>
          <w:p w14:paraId="7EB2210F" w14:textId="77777777" w:rsidR="00466411" w:rsidRPr="005D2335" w:rsidRDefault="00466411" w:rsidP="00544FB5">
            <w:pPr>
              <w:rPr>
                <w:b/>
              </w:rPr>
            </w:pPr>
          </w:p>
        </w:tc>
        <w:tc>
          <w:tcPr>
            <w:tcW w:w="5647" w:type="dxa"/>
            <w:shd w:val="clear" w:color="auto" w:fill="D9D9D9"/>
            <w:vAlign w:val="center"/>
          </w:tcPr>
          <w:p w14:paraId="12AB4AAB" w14:textId="77777777" w:rsidR="00466411" w:rsidRPr="005D2335" w:rsidRDefault="00466411" w:rsidP="00544FB5">
            <w:pPr>
              <w:rPr>
                <w:b/>
              </w:rPr>
            </w:pPr>
            <w:r w:rsidRPr="005D2335">
              <w:rPr>
                <w:b/>
              </w:rPr>
              <w:t>Did I…</w:t>
            </w:r>
          </w:p>
        </w:tc>
        <w:tc>
          <w:tcPr>
            <w:tcW w:w="1316" w:type="dxa"/>
            <w:shd w:val="clear" w:color="auto" w:fill="D9D9D9"/>
            <w:vAlign w:val="center"/>
          </w:tcPr>
          <w:p w14:paraId="505C2C4E" w14:textId="77777777" w:rsidR="00466411" w:rsidRPr="005D2335" w:rsidRDefault="00466411" w:rsidP="00544FB5">
            <w:pPr>
              <w:jc w:val="center"/>
              <w:rPr>
                <w:b/>
                <w:sz w:val="28"/>
                <w:szCs w:val="50"/>
              </w:rPr>
            </w:pPr>
            <w:r w:rsidRPr="005D2335">
              <w:rPr>
                <w:rFonts w:ascii="MS Gothic" w:eastAsia="MS Gothic" w:hAnsi="MS Gothic" w:cs="MS Gothic" w:hint="eastAsia"/>
                <w:b/>
                <w:sz w:val="28"/>
                <w:szCs w:val="50"/>
              </w:rPr>
              <w:t>✔</w:t>
            </w:r>
          </w:p>
        </w:tc>
      </w:tr>
      <w:tr w:rsidR="00466411" w:rsidRPr="005D2335" w14:paraId="1DD1F125" w14:textId="77777777">
        <w:trPr>
          <w:trHeight w:val="305"/>
        </w:trPr>
        <w:tc>
          <w:tcPr>
            <w:tcW w:w="2561" w:type="dxa"/>
            <w:vMerge w:val="restart"/>
            <w:vAlign w:val="center"/>
          </w:tcPr>
          <w:p w14:paraId="11D84C90" w14:textId="77777777" w:rsidR="00466411" w:rsidRPr="005D2335" w:rsidRDefault="00466411" w:rsidP="00544FB5">
            <w:pPr>
              <w:pStyle w:val="ToolTableText"/>
            </w:pPr>
            <w:r>
              <w:rPr>
                <w:b/>
              </w:rPr>
              <w:t>Organization</w:t>
            </w:r>
          </w:p>
        </w:tc>
        <w:tc>
          <w:tcPr>
            <w:tcW w:w="5647" w:type="dxa"/>
          </w:tcPr>
          <w:p w14:paraId="31FDF686" w14:textId="13676EF1" w:rsidR="00466411" w:rsidRPr="005D2335" w:rsidRDefault="00466411" w:rsidP="00DC7BDF">
            <w:pPr>
              <w:pStyle w:val="ToolTableText"/>
            </w:pPr>
            <w:r>
              <w:t>Present my argument concisely</w:t>
            </w:r>
            <w:r w:rsidRPr="002C3703">
              <w:t>?</w:t>
            </w:r>
            <w:r w:rsidR="00F42D11">
              <w:t xml:space="preserve"> </w:t>
            </w:r>
          </w:p>
        </w:tc>
        <w:tc>
          <w:tcPr>
            <w:tcW w:w="1316" w:type="dxa"/>
            <w:vAlign w:val="center"/>
          </w:tcPr>
          <w:p w14:paraId="76E72DB8" w14:textId="77777777" w:rsidR="00466411" w:rsidRPr="005D2335" w:rsidRDefault="00E6236C" w:rsidP="00544FB5">
            <w:pPr>
              <w:jc w:val="center"/>
              <w:rPr>
                <w:rFonts w:cs="Arial"/>
                <w:sz w:val="50"/>
                <w:szCs w:val="50"/>
              </w:rPr>
            </w:pPr>
            <w:r>
              <w:rPr>
                <w:rFonts w:cs="Arial"/>
                <w:noProof/>
                <w:sz w:val="50"/>
                <w:szCs w:val="50"/>
              </w:rPr>
              <mc:AlternateContent>
                <mc:Choice Requires="wps">
                  <w:drawing>
                    <wp:anchor distT="0" distB="0" distL="114300" distR="114300" simplePos="0" relativeHeight="251655680" behindDoc="0" locked="0" layoutInCell="1" allowOverlap="1" wp14:anchorId="1DFF54A4" wp14:editId="04AFC565">
                      <wp:simplePos x="0" y="0"/>
                      <wp:positionH relativeFrom="column">
                        <wp:posOffset>277495</wp:posOffset>
                      </wp:positionH>
                      <wp:positionV relativeFrom="paragraph">
                        <wp:posOffset>192405</wp:posOffset>
                      </wp:positionV>
                      <wp:extent cx="138430" cy="138430"/>
                      <wp:effectExtent l="0" t="0" r="13970" b="139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CBC5" id="Rectangle 18" o:spid="_x0000_s1026" style="position:absolute;margin-left:21.85pt;margin-top:15.15pt;width:10.9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"/>
                  </w:pict>
                </mc:Fallback>
              </mc:AlternateContent>
            </w:r>
          </w:p>
        </w:tc>
      </w:tr>
      <w:tr w:rsidR="00466411" w:rsidRPr="005D2335" w14:paraId="5C345DCA" w14:textId="77777777">
        <w:trPr>
          <w:trHeight w:val="305"/>
        </w:trPr>
        <w:tc>
          <w:tcPr>
            <w:tcW w:w="2561" w:type="dxa"/>
            <w:vMerge/>
          </w:tcPr>
          <w:p w14:paraId="1A1CD151" w14:textId="77777777" w:rsidR="00466411" w:rsidRPr="00F452B6" w:rsidRDefault="00466411" w:rsidP="00544FB5">
            <w:pPr>
              <w:pStyle w:val="ToolTableText"/>
              <w:rPr>
                <w:b/>
              </w:rPr>
            </w:pPr>
          </w:p>
        </w:tc>
        <w:tc>
          <w:tcPr>
            <w:tcW w:w="5647" w:type="dxa"/>
          </w:tcPr>
          <w:p w14:paraId="5E96BEBB" w14:textId="77777777" w:rsidR="00466411" w:rsidRPr="005D2335" w:rsidRDefault="00466411" w:rsidP="00544FB5">
            <w:pPr>
              <w:pStyle w:val="ToolTableText"/>
            </w:pPr>
            <w:r>
              <w:t>Use evidence to support my claims logically</w:t>
            </w:r>
            <w:r w:rsidRPr="002C3703">
              <w:t>?</w:t>
            </w:r>
          </w:p>
        </w:tc>
        <w:tc>
          <w:tcPr>
            <w:tcW w:w="1316" w:type="dxa"/>
            <w:vAlign w:val="center"/>
          </w:tcPr>
          <w:p w14:paraId="581FEF83" w14:textId="77777777" w:rsidR="00466411" w:rsidRPr="005D2335" w:rsidRDefault="00E6236C" w:rsidP="00544FB5">
            <w:pPr>
              <w:jc w:val="center"/>
              <w:rPr>
                <w:rFonts w:cs="Arial"/>
                <w:sz w:val="50"/>
                <w:szCs w:val="50"/>
              </w:rPr>
            </w:pPr>
            <w:r>
              <w:rPr>
                <w:rFonts w:cs="Arial"/>
                <w:noProof/>
                <w:sz w:val="50"/>
                <w:szCs w:val="50"/>
              </w:rPr>
              <mc:AlternateContent>
                <mc:Choice Requires="wps">
                  <w:drawing>
                    <wp:anchor distT="0" distB="0" distL="114300" distR="114300" simplePos="0" relativeHeight="251657728" behindDoc="0" locked="0" layoutInCell="1" allowOverlap="1" wp14:anchorId="3C4CF67D" wp14:editId="6069E1A0">
                      <wp:simplePos x="0" y="0"/>
                      <wp:positionH relativeFrom="column">
                        <wp:posOffset>277495</wp:posOffset>
                      </wp:positionH>
                      <wp:positionV relativeFrom="paragraph">
                        <wp:posOffset>160020</wp:posOffset>
                      </wp:positionV>
                      <wp:extent cx="138430" cy="138430"/>
                      <wp:effectExtent l="0" t="0" r="13970" b="139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1613" id="Rectangle 19" o:spid="_x0000_s1026" style="position:absolute;margin-left:21.85pt;margin-top:12.6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MIHgIAADw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"/>
                  </w:pict>
                </mc:Fallback>
              </mc:AlternateContent>
            </w:r>
          </w:p>
        </w:tc>
      </w:tr>
      <w:tr w:rsidR="00466411" w:rsidRPr="005D2335" w14:paraId="16230F26" w14:textId="77777777">
        <w:trPr>
          <w:trHeight w:val="305"/>
        </w:trPr>
        <w:tc>
          <w:tcPr>
            <w:tcW w:w="2561" w:type="dxa"/>
            <w:vMerge/>
            <w:tcBorders>
              <w:bottom w:val="single" w:sz="4" w:space="0" w:color="auto"/>
            </w:tcBorders>
          </w:tcPr>
          <w:p w14:paraId="5FFEE91F" w14:textId="77777777" w:rsidR="00466411" w:rsidRPr="00F452B6" w:rsidRDefault="00466411" w:rsidP="00544FB5">
            <w:pPr>
              <w:pStyle w:val="ToolTableText"/>
              <w:rPr>
                <w:b/>
              </w:rPr>
            </w:pPr>
          </w:p>
        </w:tc>
        <w:tc>
          <w:tcPr>
            <w:tcW w:w="5647" w:type="dxa"/>
          </w:tcPr>
          <w:p w14:paraId="514222D4" w14:textId="77777777" w:rsidR="00466411" w:rsidRPr="004445BD" w:rsidRDefault="00466411" w:rsidP="00544FB5">
            <w:pPr>
              <w:pStyle w:val="ToolTableText"/>
            </w:pPr>
            <w:r w:rsidRPr="004445BD">
              <w:t>Organize and develop my argument clearly?</w:t>
            </w:r>
          </w:p>
        </w:tc>
        <w:tc>
          <w:tcPr>
            <w:tcW w:w="1316" w:type="dxa"/>
            <w:vAlign w:val="center"/>
          </w:tcPr>
          <w:p w14:paraId="713EED50" w14:textId="5EBCF31C" w:rsidR="00466411" w:rsidRDefault="004445BD" w:rsidP="00544FB5">
            <w:pPr>
              <w:jc w:val="center"/>
              <w:rPr>
                <w:rFonts w:cs="Arial"/>
                <w:noProof/>
                <w:sz w:val="50"/>
                <w:szCs w:val="50"/>
              </w:rPr>
            </w:pPr>
            <w:r w:rsidRPr="00EB0772">
              <w:rPr>
                <w:rFonts w:cs="Arial"/>
                <w:noProof/>
                <w:sz w:val="50"/>
                <w:szCs w:val="50"/>
              </w:rPr>
              <mc:AlternateContent>
                <mc:Choice Requires="wps">
                  <w:drawing>
                    <wp:anchor distT="0" distB="0" distL="114300" distR="114300" simplePos="0" relativeHeight="251660800" behindDoc="0" locked="0" layoutInCell="1" allowOverlap="1" wp14:anchorId="11C758DC" wp14:editId="36E2A9FE">
                      <wp:simplePos x="0" y="0"/>
                      <wp:positionH relativeFrom="column">
                        <wp:posOffset>277495</wp:posOffset>
                      </wp:positionH>
                      <wp:positionV relativeFrom="paragraph">
                        <wp:posOffset>127000</wp:posOffset>
                      </wp:positionV>
                      <wp:extent cx="138430" cy="138430"/>
                      <wp:effectExtent l="0" t="0" r="13970" b="1397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F234" id="Rectangle 18" o:spid="_x0000_s1026" style="position:absolute;margin-left:21.85pt;margin-top:10pt;width:10.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"/>
                  </w:pict>
                </mc:Fallback>
              </mc:AlternateContent>
            </w:r>
          </w:p>
        </w:tc>
      </w:tr>
      <w:tr w:rsidR="00466411" w:rsidRPr="005D2335" w14:paraId="25BEEC29" w14:textId="77777777">
        <w:trPr>
          <w:trHeight w:val="305"/>
        </w:trPr>
        <w:tc>
          <w:tcPr>
            <w:tcW w:w="2561" w:type="dxa"/>
            <w:tcBorders>
              <w:bottom w:val="nil"/>
            </w:tcBorders>
          </w:tcPr>
          <w:p w14:paraId="5A08ECA9" w14:textId="77777777" w:rsidR="00466411" w:rsidRPr="00F452B6" w:rsidRDefault="00466411" w:rsidP="00544FB5">
            <w:pPr>
              <w:pStyle w:val="ToolTableText"/>
              <w:rPr>
                <w:b/>
              </w:rPr>
            </w:pPr>
          </w:p>
        </w:tc>
        <w:tc>
          <w:tcPr>
            <w:tcW w:w="5647" w:type="dxa"/>
            <w:vMerge w:val="restart"/>
          </w:tcPr>
          <w:p w14:paraId="236BF0A7" w14:textId="0217D185" w:rsidR="00466411" w:rsidRPr="00DC7BDF" w:rsidRDefault="00DC7BDF" w:rsidP="00544FB5">
            <w:pPr>
              <w:pStyle w:val="ToolTableText"/>
            </w:pPr>
            <w:r w:rsidRPr="00DC7BDF">
              <w:t>Use a style of speaking appropriate to the purpose, audience, and task?</w:t>
            </w:r>
          </w:p>
        </w:tc>
        <w:tc>
          <w:tcPr>
            <w:tcW w:w="1316" w:type="dxa"/>
            <w:vMerge w:val="restart"/>
            <w:vAlign w:val="center"/>
          </w:tcPr>
          <w:p w14:paraId="7EFC07A9" w14:textId="77777777" w:rsidR="00466411" w:rsidRPr="005D2335" w:rsidRDefault="00E6236C" w:rsidP="00544FB5">
            <w:pPr>
              <w:jc w:val="center"/>
              <w:rPr>
                <w:rFonts w:cs="Arial"/>
                <w:sz w:val="50"/>
                <w:szCs w:val="50"/>
              </w:rPr>
            </w:pPr>
            <w:r>
              <w:rPr>
                <w:rFonts w:cs="Arial"/>
                <w:noProof/>
                <w:sz w:val="50"/>
                <w:szCs w:val="50"/>
              </w:rPr>
              <mc:AlternateContent>
                <mc:Choice Requires="wps">
                  <w:drawing>
                    <wp:anchor distT="0" distB="0" distL="114300" distR="114300" simplePos="0" relativeHeight="251658752" behindDoc="0" locked="0" layoutInCell="1" allowOverlap="1" wp14:anchorId="599ED116" wp14:editId="2F734CBE">
                      <wp:simplePos x="0" y="0"/>
                      <wp:positionH relativeFrom="column">
                        <wp:posOffset>277495</wp:posOffset>
                      </wp:positionH>
                      <wp:positionV relativeFrom="paragraph">
                        <wp:posOffset>116205</wp:posOffset>
                      </wp:positionV>
                      <wp:extent cx="138430" cy="138430"/>
                      <wp:effectExtent l="0" t="0" r="13970" b="139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FBF6" id="Rectangle 16" o:spid="_x0000_s1026" style="position:absolute;margin-left:21.85pt;margin-top:9.15pt;width:10.9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CLHgIAADwEAAAOAAAAZHJzL2Uyb0RvYy54bWysU9tu2zAMfR+wfxD0vjjOpUuN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"/>
                  </w:pict>
                </mc:Fallback>
              </mc:AlternateContent>
            </w:r>
          </w:p>
        </w:tc>
      </w:tr>
      <w:tr w:rsidR="00466411" w:rsidRPr="005D2335" w14:paraId="640FDE78" w14:textId="77777777">
        <w:trPr>
          <w:trHeight w:val="305"/>
        </w:trPr>
        <w:tc>
          <w:tcPr>
            <w:tcW w:w="2561" w:type="dxa"/>
            <w:tcBorders>
              <w:top w:val="nil"/>
              <w:bottom w:val="nil"/>
            </w:tcBorders>
          </w:tcPr>
          <w:p w14:paraId="2876ADD9" w14:textId="77777777" w:rsidR="00466411" w:rsidRPr="00F452B6" w:rsidRDefault="00466411" w:rsidP="00544FB5">
            <w:pPr>
              <w:pStyle w:val="ToolTableText"/>
              <w:rPr>
                <w:b/>
              </w:rPr>
            </w:pPr>
            <w:r>
              <w:rPr>
                <w:b/>
              </w:rPr>
              <w:t>Style</w:t>
            </w:r>
          </w:p>
        </w:tc>
        <w:tc>
          <w:tcPr>
            <w:tcW w:w="5647" w:type="dxa"/>
            <w:vMerge/>
          </w:tcPr>
          <w:p w14:paraId="6BF82636" w14:textId="77777777" w:rsidR="00466411" w:rsidRPr="005D2335" w:rsidRDefault="00466411" w:rsidP="00544FB5">
            <w:pPr>
              <w:pStyle w:val="ToolTableText"/>
            </w:pPr>
          </w:p>
        </w:tc>
        <w:tc>
          <w:tcPr>
            <w:tcW w:w="1316" w:type="dxa"/>
            <w:vMerge/>
            <w:vAlign w:val="center"/>
          </w:tcPr>
          <w:p w14:paraId="29DED14A" w14:textId="77777777" w:rsidR="00466411" w:rsidRPr="005D2335" w:rsidRDefault="00466411" w:rsidP="00544FB5">
            <w:pPr>
              <w:jc w:val="center"/>
              <w:rPr>
                <w:rFonts w:cs="Arial"/>
                <w:sz w:val="50"/>
                <w:szCs w:val="50"/>
              </w:rPr>
            </w:pPr>
          </w:p>
        </w:tc>
      </w:tr>
      <w:tr w:rsidR="00466411" w:rsidRPr="005D2335" w14:paraId="61662B92" w14:textId="77777777">
        <w:trPr>
          <w:trHeight w:val="305"/>
        </w:trPr>
        <w:tc>
          <w:tcPr>
            <w:tcW w:w="2561" w:type="dxa"/>
            <w:tcBorders>
              <w:top w:val="nil"/>
              <w:bottom w:val="single" w:sz="4" w:space="0" w:color="auto"/>
            </w:tcBorders>
          </w:tcPr>
          <w:p w14:paraId="4FD69296" w14:textId="77777777" w:rsidR="00466411" w:rsidRPr="00F452B6" w:rsidRDefault="00466411" w:rsidP="00544FB5">
            <w:pPr>
              <w:pStyle w:val="ToolTableText"/>
              <w:rPr>
                <w:b/>
              </w:rPr>
            </w:pPr>
          </w:p>
        </w:tc>
        <w:tc>
          <w:tcPr>
            <w:tcW w:w="5647" w:type="dxa"/>
            <w:vMerge/>
          </w:tcPr>
          <w:p w14:paraId="75C25B08" w14:textId="77777777" w:rsidR="00466411" w:rsidRPr="005D2335" w:rsidRDefault="00466411" w:rsidP="00544FB5">
            <w:pPr>
              <w:pStyle w:val="ToolTableText"/>
            </w:pPr>
          </w:p>
        </w:tc>
        <w:tc>
          <w:tcPr>
            <w:tcW w:w="1316" w:type="dxa"/>
            <w:vMerge/>
            <w:vAlign w:val="center"/>
          </w:tcPr>
          <w:p w14:paraId="3C2B3A3E" w14:textId="77777777" w:rsidR="00466411" w:rsidRPr="005D2335" w:rsidRDefault="00466411" w:rsidP="00544FB5">
            <w:pPr>
              <w:jc w:val="center"/>
              <w:rPr>
                <w:rFonts w:cs="Arial"/>
                <w:sz w:val="50"/>
                <w:szCs w:val="50"/>
              </w:rPr>
            </w:pPr>
          </w:p>
        </w:tc>
      </w:tr>
    </w:tbl>
    <w:p w14:paraId="27A27215" w14:textId="77777777" w:rsidR="007B0F7F" w:rsidRDefault="007B0F7F" w:rsidP="00790BCC">
      <w:pPr>
        <w:spacing w:after="0" w:line="240" w:lineRule="auto"/>
      </w:pPr>
    </w:p>
    <w:sectPr w:rsidR="007B0F7F" w:rsidSect="00C07EAD">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7634" w14:textId="77777777" w:rsidR="00F818E5" w:rsidRDefault="00F818E5">
      <w:pPr>
        <w:spacing w:before="0" w:after="0" w:line="240" w:lineRule="auto"/>
      </w:pPr>
      <w:r>
        <w:separator/>
      </w:r>
    </w:p>
  </w:endnote>
  <w:endnote w:type="continuationSeparator" w:id="0">
    <w:p w14:paraId="2E0612D4" w14:textId="77777777" w:rsidR="00F818E5" w:rsidRDefault="00F818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E832" w14:textId="77777777" w:rsidR="00C8001D" w:rsidRDefault="00C8001D" w:rsidP="00403B9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FA6A6D2" w14:textId="77777777" w:rsidR="00C8001D" w:rsidRDefault="00C8001D" w:rsidP="00403B9B">
    <w:pPr>
      <w:pStyle w:val="Footer"/>
    </w:pPr>
  </w:p>
  <w:p w14:paraId="475AAC44" w14:textId="77777777" w:rsidR="00C8001D" w:rsidRDefault="00C8001D" w:rsidP="00403B9B"/>
  <w:p w14:paraId="7C8F8EB5" w14:textId="77777777" w:rsidR="00C8001D" w:rsidRDefault="00C8001D" w:rsidP="00403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E52B" w14:textId="77777777" w:rsidR="00C8001D" w:rsidRPr="00563CB8" w:rsidRDefault="00C8001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8001D" w14:paraId="6AF44B4A" w14:textId="77777777">
      <w:trPr>
        <w:trHeight w:val="705"/>
      </w:trPr>
      <w:tc>
        <w:tcPr>
          <w:tcW w:w="4609" w:type="dxa"/>
          <w:shd w:val="clear" w:color="auto" w:fill="auto"/>
          <w:vAlign w:val="center"/>
        </w:tcPr>
        <w:p w14:paraId="36297A4A" w14:textId="69CF72C0" w:rsidR="00C8001D" w:rsidRPr="002E4C92" w:rsidRDefault="00C8001D" w:rsidP="007017EB">
          <w:pPr>
            <w:pStyle w:val="FooterText"/>
          </w:pPr>
          <w:r w:rsidRPr="002E4C92">
            <w:t>File:</w:t>
          </w:r>
          <w:r w:rsidRPr="0039525B">
            <w:rPr>
              <w:b w:val="0"/>
            </w:rPr>
            <w:t xml:space="preserve"> </w:t>
          </w:r>
          <w:r>
            <w:rPr>
              <w:b w:val="0"/>
            </w:rPr>
            <w:t>10</w:t>
          </w:r>
          <w:r w:rsidRPr="0039525B">
            <w:rPr>
              <w:b w:val="0"/>
            </w:rPr>
            <w:t>.</w:t>
          </w:r>
          <w:r>
            <w:rPr>
              <w:b w:val="0"/>
            </w:rPr>
            <w:t>4.2</w:t>
          </w:r>
          <w:r w:rsidRPr="0039525B">
            <w:rPr>
              <w:b w:val="0"/>
            </w:rPr>
            <w:t xml:space="preserve"> Lesson </w:t>
          </w:r>
          <w:r>
            <w:rPr>
              <w:b w:val="0"/>
            </w:rPr>
            <w:t>22</w:t>
          </w:r>
          <w:r w:rsidRPr="002E4C92">
            <w:t xml:space="preserve"> Date:</w:t>
          </w:r>
          <w:r w:rsidRPr="0039525B">
            <w:rPr>
              <w:b w:val="0"/>
            </w:rPr>
            <w:t xml:space="preserve"> </w:t>
          </w:r>
          <w:r w:rsidR="00BB5412">
            <w:rPr>
              <w:b w:val="0"/>
            </w:rPr>
            <w:t>6/2</w:t>
          </w:r>
          <w:r w:rsidR="00355E34">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0453049" w14:textId="77777777" w:rsidR="00C8001D" w:rsidRPr="0039525B" w:rsidRDefault="00C8001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95A64B2" w14:textId="77777777" w:rsidR="00C8001D" w:rsidRPr="0039525B" w:rsidRDefault="00C8001D" w:rsidP="007017EB">
          <w:pPr>
            <w:pStyle w:val="FooterText"/>
            <w:rPr>
              <w:b w:val="0"/>
              <w:i/>
            </w:rPr>
          </w:pPr>
          <w:r w:rsidRPr="0039525B">
            <w:rPr>
              <w:b w:val="0"/>
              <w:i/>
              <w:sz w:val="12"/>
            </w:rPr>
            <w:t>Creative Commons Attribution-NonCommercial-ShareAlike 3.0 Unported License</w:t>
          </w:r>
        </w:p>
        <w:p w14:paraId="0BD5C407" w14:textId="77777777" w:rsidR="00C8001D" w:rsidRPr="002E4C92" w:rsidRDefault="00F818E5" w:rsidP="007017EB">
          <w:pPr>
            <w:pStyle w:val="FooterText"/>
          </w:pPr>
          <w:hyperlink r:id="rId1" w:history="1">
            <w:r w:rsidR="00C8001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2CDFF56" w14:textId="77777777" w:rsidR="00C8001D" w:rsidRPr="002E4C92" w:rsidRDefault="00C8001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33F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3C941F6" w14:textId="77777777" w:rsidR="00C8001D" w:rsidRPr="002E4C92" w:rsidRDefault="00C8001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6D5FB0E" wp14:editId="7A0D1A6E">
                <wp:extent cx="1697355" cy="636270"/>
                <wp:effectExtent l="19050" t="0" r="0" b="0"/>
                <wp:docPr id="18"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8F93651" w14:textId="77777777" w:rsidR="00C8001D" w:rsidRPr="007017EB" w:rsidRDefault="00C8001D"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6461" w14:textId="77777777" w:rsidR="00C8001D" w:rsidRPr="00563CB8" w:rsidRDefault="00C8001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C8001D" w14:paraId="63B4541C" w14:textId="77777777">
      <w:trPr>
        <w:trHeight w:val="705"/>
      </w:trPr>
      <w:tc>
        <w:tcPr>
          <w:tcW w:w="4609" w:type="dxa"/>
          <w:shd w:val="clear" w:color="auto" w:fill="auto"/>
          <w:vAlign w:val="center"/>
        </w:tcPr>
        <w:p w14:paraId="52B6ACD0" w14:textId="724AFBFA" w:rsidR="00C8001D" w:rsidRPr="002E4C92" w:rsidRDefault="00C8001D"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22</w:t>
          </w:r>
          <w:r w:rsidRPr="002E4C92">
            <w:t xml:space="preserve"> Date:</w:t>
          </w:r>
          <w:r w:rsidRPr="0039525B">
            <w:rPr>
              <w:b w:val="0"/>
            </w:rPr>
            <w:t xml:space="preserve"> </w:t>
          </w:r>
          <w:r>
            <w:rPr>
              <w:b w:val="0"/>
            </w:rPr>
            <w:t>6</w:t>
          </w:r>
          <w:r w:rsidRPr="0039525B">
            <w:rPr>
              <w:b w:val="0"/>
            </w:rPr>
            <w:t>/</w:t>
          </w:r>
          <w:r w:rsidR="00BB5412">
            <w:rPr>
              <w:b w:val="0"/>
            </w:rPr>
            <w:t>2</w:t>
          </w:r>
          <w:r w:rsidR="00355E34">
            <w:rPr>
              <w:b w:val="0"/>
            </w:rPr>
            <w:t>5</w:t>
          </w:r>
          <w:r w:rsidR="00C07EAD">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5107DA8" w14:textId="77777777" w:rsidR="00C8001D" w:rsidRPr="0039525B" w:rsidRDefault="00C8001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4B1648F" w14:textId="77777777" w:rsidR="00C8001D" w:rsidRPr="0039525B" w:rsidRDefault="00C8001D" w:rsidP="007017EB">
          <w:pPr>
            <w:pStyle w:val="FooterText"/>
            <w:rPr>
              <w:b w:val="0"/>
              <w:i/>
            </w:rPr>
          </w:pPr>
          <w:r w:rsidRPr="0039525B">
            <w:rPr>
              <w:b w:val="0"/>
              <w:i/>
              <w:sz w:val="12"/>
            </w:rPr>
            <w:t>Creative Commons Attribution-NonCommercial-ShareAlike 3.0 Unported License</w:t>
          </w:r>
        </w:p>
        <w:p w14:paraId="446B8336" w14:textId="77777777" w:rsidR="00C8001D" w:rsidRPr="002E4C92" w:rsidRDefault="00F818E5" w:rsidP="007017EB">
          <w:pPr>
            <w:pStyle w:val="FooterText"/>
          </w:pPr>
          <w:hyperlink r:id="rId1" w:history="1">
            <w:r w:rsidR="00C8001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B959079" w14:textId="77777777" w:rsidR="00C8001D" w:rsidRPr="002E4C92" w:rsidRDefault="00C8001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33FE">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63D45456" w14:textId="77777777" w:rsidR="00C8001D" w:rsidRPr="002E4C92" w:rsidRDefault="00C8001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3BBDFB3" wp14:editId="3981CC0A">
                <wp:extent cx="1697355" cy="636270"/>
                <wp:effectExtent l="19050" t="0" r="0" b="0"/>
                <wp:docPr id="23" name="Picture 23"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80BB374" w14:textId="77777777" w:rsidR="00C8001D" w:rsidRPr="007017EB" w:rsidRDefault="00C8001D"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63B5" w14:textId="77777777" w:rsidR="00C8001D" w:rsidRPr="00563CB8" w:rsidRDefault="00C8001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8001D" w14:paraId="2D16D566" w14:textId="77777777">
      <w:trPr>
        <w:trHeight w:val="705"/>
      </w:trPr>
      <w:tc>
        <w:tcPr>
          <w:tcW w:w="4609" w:type="dxa"/>
          <w:shd w:val="clear" w:color="auto" w:fill="auto"/>
          <w:vAlign w:val="center"/>
        </w:tcPr>
        <w:p w14:paraId="5DE3F28A" w14:textId="57D91EE3" w:rsidR="00C8001D" w:rsidRPr="002E4C92" w:rsidRDefault="00C8001D"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w:t>
          </w:r>
          <w:r w:rsidR="00BB5412">
            <w:rPr>
              <w:b w:val="0"/>
            </w:rPr>
            <w:t>3</w:t>
          </w:r>
          <w:r w:rsidRPr="002E4C92">
            <w:t xml:space="preserve"> Date:</w:t>
          </w:r>
          <w:r w:rsidRPr="0039525B">
            <w:rPr>
              <w:b w:val="0"/>
            </w:rPr>
            <w:t xml:space="preserve"> </w:t>
          </w:r>
          <w:r w:rsidR="00CC2877">
            <w:rPr>
              <w:b w:val="0"/>
            </w:rPr>
            <w:t>6/2</w:t>
          </w:r>
          <w:r w:rsidR="00355E34">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CDC8588" w14:textId="77777777" w:rsidR="00C8001D" w:rsidRPr="0039525B" w:rsidRDefault="00C8001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2FB6D61" w14:textId="77777777" w:rsidR="00C8001D" w:rsidRPr="0039525B" w:rsidRDefault="00C8001D" w:rsidP="007017EB">
          <w:pPr>
            <w:pStyle w:val="FooterText"/>
            <w:rPr>
              <w:b w:val="0"/>
              <w:i/>
            </w:rPr>
          </w:pPr>
          <w:r w:rsidRPr="0039525B">
            <w:rPr>
              <w:b w:val="0"/>
              <w:i/>
              <w:sz w:val="12"/>
            </w:rPr>
            <w:t>Creative Commons Attribution-NonCommercial-ShareAlike 3.0 Unported License</w:t>
          </w:r>
        </w:p>
        <w:p w14:paraId="029FD3D8" w14:textId="77777777" w:rsidR="00C8001D" w:rsidRPr="002E4C92" w:rsidRDefault="00F818E5" w:rsidP="007017EB">
          <w:pPr>
            <w:pStyle w:val="FooterText"/>
          </w:pPr>
          <w:hyperlink r:id="rId1" w:history="1">
            <w:r w:rsidR="00C8001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88EC263" w14:textId="77777777" w:rsidR="00C8001D" w:rsidRPr="002E4C92" w:rsidRDefault="00C8001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B33FE">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27C4344A" w14:textId="77777777" w:rsidR="00C8001D" w:rsidRPr="002E4C92" w:rsidRDefault="00C8001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37D78B2" wp14:editId="3F8C0F11">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056DB7" w14:textId="77777777" w:rsidR="00C8001D" w:rsidRPr="007017EB" w:rsidRDefault="00C8001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3999" w14:textId="77777777" w:rsidR="00F818E5" w:rsidRDefault="00F818E5">
      <w:pPr>
        <w:spacing w:before="0" w:after="0" w:line="240" w:lineRule="auto"/>
      </w:pPr>
      <w:r>
        <w:separator/>
      </w:r>
    </w:p>
  </w:footnote>
  <w:footnote w:type="continuationSeparator" w:id="0">
    <w:p w14:paraId="28DDEDC2" w14:textId="77777777" w:rsidR="00F818E5" w:rsidRDefault="00F818E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8001D" w:rsidRPr="00563CB8" w14:paraId="56316C75" w14:textId="77777777">
      <w:tc>
        <w:tcPr>
          <w:tcW w:w="3708" w:type="dxa"/>
          <w:shd w:val="clear" w:color="auto" w:fill="auto"/>
        </w:tcPr>
        <w:p w14:paraId="43947161" w14:textId="77777777" w:rsidR="00C8001D" w:rsidRPr="00563CB8" w:rsidRDefault="00C8001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0CE7DDE" w14:textId="77777777" w:rsidR="00C8001D" w:rsidRPr="00563CB8" w:rsidRDefault="00C8001D" w:rsidP="007017EB">
          <w:pPr>
            <w:jc w:val="center"/>
          </w:pPr>
          <w:r w:rsidRPr="00563CB8">
            <w:t>D R A F T</w:t>
          </w:r>
        </w:p>
      </w:tc>
      <w:tc>
        <w:tcPr>
          <w:tcW w:w="3438" w:type="dxa"/>
          <w:shd w:val="clear" w:color="auto" w:fill="auto"/>
        </w:tcPr>
        <w:p w14:paraId="7CBF6923" w14:textId="77777777" w:rsidR="00C8001D" w:rsidRPr="00E946A0" w:rsidRDefault="00C8001D" w:rsidP="007017EB">
          <w:pPr>
            <w:pStyle w:val="PageHeader"/>
            <w:jc w:val="right"/>
            <w:rPr>
              <w:b w:val="0"/>
            </w:rPr>
          </w:pPr>
          <w:r>
            <w:rPr>
              <w:b w:val="0"/>
            </w:rPr>
            <w:t>Grade 10 • Module 4 • Unit 2 • Lesson 22</w:t>
          </w:r>
        </w:p>
      </w:tc>
    </w:tr>
  </w:tbl>
  <w:p w14:paraId="411AB160" w14:textId="77777777" w:rsidR="00C8001D" w:rsidRPr="007017EB" w:rsidRDefault="00C8001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C8001D" w:rsidRPr="00563CB8" w14:paraId="454B88ED" w14:textId="77777777">
      <w:tc>
        <w:tcPr>
          <w:tcW w:w="3708" w:type="dxa"/>
          <w:shd w:val="clear" w:color="auto" w:fill="auto"/>
        </w:tcPr>
        <w:p w14:paraId="019451D1" w14:textId="77777777" w:rsidR="00C8001D" w:rsidRPr="00563CB8" w:rsidRDefault="00C8001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213601F" w14:textId="77777777" w:rsidR="00C8001D" w:rsidRPr="00563CB8" w:rsidRDefault="00C8001D" w:rsidP="007017EB">
          <w:pPr>
            <w:jc w:val="center"/>
          </w:pPr>
          <w:r w:rsidRPr="00563CB8">
            <w:t>D R A F T</w:t>
          </w:r>
        </w:p>
      </w:tc>
      <w:tc>
        <w:tcPr>
          <w:tcW w:w="3438" w:type="dxa"/>
          <w:shd w:val="clear" w:color="auto" w:fill="auto"/>
        </w:tcPr>
        <w:p w14:paraId="2C5B4AA6" w14:textId="77777777" w:rsidR="00C8001D" w:rsidRPr="00E946A0" w:rsidRDefault="00C8001D" w:rsidP="007017EB">
          <w:pPr>
            <w:pStyle w:val="PageHeader"/>
            <w:jc w:val="right"/>
            <w:rPr>
              <w:b w:val="0"/>
            </w:rPr>
          </w:pPr>
          <w:r>
            <w:rPr>
              <w:b w:val="0"/>
            </w:rPr>
            <w:t>Grade 10 • Module 4 • Unit 2 • Lesson 22</w:t>
          </w:r>
        </w:p>
      </w:tc>
    </w:tr>
  </w:tbl>
  <w:p w14:paraId="7DD0BA48" w14:textId="77777777" w:rsidR="00C8001D" w:rsidRPr="007017EB" w:rsidRDefault="00C8001D"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8001D" w:rsidRPr="00563CB8" w14:paraId="07CE25FF" w14:textId="77777777">
      <w:tc>
        <w:tcPr>
          <w:tcW w:w="3708" w:type="dxa"/>
          <w:shd w:val="clear" w:color="auto" w:fill="auto"/>
        </w:tcPr>
        <w:p w14:paraId="01917C84" w14:textId="77777777" w:rsidR="00C8001D" w:rsidRPr="00563CB8" w:rsidRDefault="00C8001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5629391" w14:textId="77777777" w:rsidR="00C8001D" w:rsidRPr="00563CB8" w:rsidRDefault="00C8001D" w:rsidP="007017EB">
          <w:pPr>
            <w:jc w:val="center"/>
          </w:pPr>
          <w:r w:rsidRPr="00563CB8">
            <w:t>D R A F T</w:t>
          </w:r>
        </w:p>
      </w:tc>
      <w:tc>
        <w:tcPr>
          <w:tcW w:w="3438" w:type="dxa"/>
          <w:shd w:val="clear" w:color="auto" w:fill="auto"/>
        </w:tcPr>
        <w:p w14:paraId="71C403AE" w14:textId="77777777" w:rsidR="00C8001D" w:rsidRPr="00E946A0" w:rsidRDefault="00C8001D" w:rsidP="007017EB">
          <w:pPr>
            <w:pStyle w:val="PageHeader"/>
            <w:jc w:val="right"/>
            <w:rPr>
              <w:b w:val="0"/>
            </w:rPr>
          </w:pPr>
          <w:r>
            <w:rPr>
              <w:b w:val="0"/>
            </w:rPr>
            <w:t>Grade 10 • Module 4 • Unit 2 • Lesson 22</w:t>
          </w:r>
        </w:p>
      </w:tc>
    </w:tr>
  </w:tbl>
  <w:p w14:paraId="0A945DD0" w14:textId="77777777" w:rsidR="00C8001D" w:rsidRPr="007017EB" w:rsidRDefault="00C8001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656"/>
    <w:multiLevelType w:val="hybridMultilevel"/>
    <w:tmpl w:val="1096B0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182A"/>
    <w:multiLevelType w:val="hybridMultilevel"/>
    <w:tmpl w:val="567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A1C72"/>
    <w:multiLevelType w:val="multilevel"/>
    <w:tmpl w:val="56705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F39752C"/>
    <w:multiLevelType w:val="multilevel"/>
    <w:tmpl w:val="0952F4D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A6F14"/>
    <w:multiLevelType w:val="hybridMultilevel"/>
    <w:tmpl w:val="285E1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B4F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055084"/>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6E00D3D"/>
    <w:multiLevelType w:val="hybridMultilevel"/>
    <w:tmpl w:val="D71C09D6"/>
    <w:lvl w:ilvl="0" w:tplc="6562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DB26C84A"/>
    <w:lvl w:ilvl="0" w:tplc="17127AA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626ACA"/>
    <w:multiLevelType w:val="multilevel"/>
    <w:tmpl w:val="285E15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6"/>
  </w:num>
  <w:num w:numId="5">
    <w:abstractNumId w:val="2"/>
  </w:num>
  <w:num w:numId="6">
    <w:abstractNumId w:val="18"/>
  </w:num>
  <w:num w:numId="7">
    <w:abstractNumId w:val="10"/>
    <w:lvlOverride w:ilvl="0">
      <w:startOverride w:val="1"/>
    </w:lvlOverride>
  </w:num>
  <w:num w:numId="8">
    <w:abstractNumId w:val="20"/>
  </w:num>
  <w:num w:numId="9">
    <w:abstractNumId w:val="3"/>
  </w:num>
  <w:num w:numId="10">
    <w:abstractNumId w:val="17"/>
  </w:num>
  <w:num w:numId="11">
    <w:abstractNumId w:val="21"/>
  </w:num>
  <w:num w:numId="12">
    <w:abstractNumId w:val="10"/>
  </w:num>
  <w:num w:numId="13">
    <w:abstractNumId w:val="10"/>
    <w:lvlOverride w:ilvl="0">
      <w:startOverride w:val="1"/>
    </w:lvlOverride>
  </w:num>
  <w:num w:numId="14">
    <w:abstractNumId w:val="8"/>
    <w:lvlOverride w:ilvl="0">
      <w:startOverride w:val="1"/>
    </w:lvlOverride>
  </w:num>
  <w:num w:numId="15">
    <w:abstractNumId w:val="20"/>
  </w:num>
  <w:num w:numId="16">
    <w:abstractNumId w:val="5"/>
  </w:num>
  <w:num w:numId="17">
    <w:abstractNumId w:val="1"/>
  </w:num>
  <w:num w:numId="18">
    <w:abstractNumId w:val="4"/>
  </w:num>
  <w:num w:numId="19">
    <w:abstractNumId w:val="19"/>
  </w:num>
  <w:num w:numId="20">
    <w:abstractNumId w:val="21"/>
    <w:lvlOverride w:ilvl="0">
      <w:startOverride w:val="1"/>
    </w:lvlOverride>
  </w:num>
  <w:num w:numId="21">
    <w:abstractNumId w:val="15"/>
  </w:num>
  <w:num w:numId="22">
    <w:abstractNumId w:val="12"/>
  </w:num>
  <w:num w:numId="23">
    <w:abstractNumId w:val="21"/>
    <w:lvlOverride w:ilvl="0">
      <w:startOverride w:val="1"/>
    </w:lvlOverride>
  </w:num>
  <w:num w:numId="24">
    <w:abstractNumId w:val="9"/>
  </w:num>
  <w:num w:numId="25">
    <w:abstractNumId w:val="21"/>
    <w:lvlOverride w:ilvl="0">
      <w:startOverride w:val="1"/>
    </w:lvlOverride>
  </w:num>
  <w:num w:numId="26">
    <w:abstractNumId w:val="14"/>
  </w:num>
  <w:num w:numId="27">
    <w:abstractNumId w:val="11"/>
  </w:num>
  <w:num w:numId="28">
    <w:abstractNumId w:val="22"/>
  </w:num>
  <w:num w:numId="29">
    <w:abstractNumId w:val="6"/>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288"/>
    <w:rsid w:val="00001B88"/>
    <w:rsid w:val="00035595"/>
    <w:rsid w:val="00041C3D"/>
    <w:rsid w:val="0004648B"/>
    <w:rsid w:val="0005058D"/>
    <w:rsid w:val="00052A88"/>
    <w:rsid w:val="000B1975"/>
    <w:rsid w:val="000B3273"/>
    <w:rsid w:val="000B3A6F"/>
    <w:rsid w:val="000B5DC8"/>
    <w:rsid w:val="000C2D65"/>
    <w:rsid w:val="000C57A5"/>
    <w:rsid w:val="000C57AD"/>
    <w:rsid w:val="000E6B9F"/>
    <w:rsid w:val="000E7CE5"/>
    <w:rsid w:val="001001F0"/>
    <w:rsid w:val="001016DC"/>
    <w:rsid w:val="00103EBA"/>
    <w:rsid w:val="00104A6E"/>
    <w:rsid w:val="0012500B"/>
    <w:rsid w:val="00131FB6"/>
    <w:rsid w:val="00133F21"/>
    <w:rsid w:val="0013650F"/>
    <w:rsid w:val="00140848"/>
    <w:rsid w:val="00144B97"/>
    <w:rsid w:val="001461B9"/>
    <w:rsid w:val="001543FA"/>
    <w:rsid w:val="00157227"/>
    <w:rsid w:val="00163707"/>
    <w:rsid w:val="001735F1"/>
    <w:rsid w:val="00180C86"/>
    <w:rsid w:val="001848A3"/>
    <w:rsid w:val="001952B4"/>
    <w:rsid w:val="00195C17"/>
    <w:rsid w:val="001A5FE3"/>
    <w:rsid w:val="001C56E6"/>
    <w:rsid w:val="001D00C7"/>
    <w:rsid w:val="001D4FD2"/>
    <w:rsid w:val="001D560A"/>
    <w:rsid w:val="001E1FDE"/>
    <w:rsid w:val="001E7707"/>
    <w:rsid w:val="001F3F19"/>
    <w:rsid w:val="001F6904"/>
    <w:rsid w:val="002035EF"/>
    <w:rsid w:val="0020503F"/>
    <w:rsid w:val="00216B5F"/>
    <w:rsid w:val="00217336"/>
    <w:rsid w:val="00220006"/>
    <w:rsid w:val="002312B4"/>
    <w:rsid w:val="00234CE0"/>
    <w:rsid w:val="00240B47"/>
    <w:rsid w:val="002472C8"/>
    <w:rsid w:val="00251D70"/>
    <w:rsid w:val="00256412"/>
    <w:rsid w:val="002626F1"/>
    <w:rsid w:val="002836E4"/>
    <w:rsid w:val="002A13A3"/>
    <w:rsid w:val="002A6FF3"/>
    <w:rsid w:val="002B21B5"/>
    <w:rsid w:val="002B4D2A"/>
    <w:rsid w:val="002C3C30"/>
    <w:rsid w:val="002F156B"/>
    <w:rsid w:val="002F6213"/>
    <w:rsid w:val="00317535"/>
    <w:rsid w:val="00323D09"/>
    <w:rsid w:val="00341F48"/>
    <w:rsid w:val="00355E34"/>
    <w:rsid w:val="00364B1E"/>
    <w:rsid w:val="00382AA2"/>
    <w:rsid w:val="003A0405"/>
    <w:rsid w:val="003E67CB"/>
    <w:rsid w:val="003F7891"/>
    <w:rsid w:val="00403B9B"/>
    <w:rsid w:val="00417C24"/>
    <w:rsid w:val="00423FA8"/>
    <w:rsid w:val="00434625"/>
    <w:rsid w:val="004445BD"/>
    <w:rsid w:val="00445D39"/>
    <w:rsid w:val="00446C68"/>
    <w:rsid w:val="00466411"/>
    <w:rsid w:val="00467654"/>
    <w:rsid w:val="00480C7E"/>
    <w:rsid w:val="004A5E2D"/>
    <w:rsid w:val="004B33E6"/>
    <w:rsid w:val="004C10F8"/>
    <w:rsid w:val="004C2E1C"/>
    <w:rsid w:val="004C592E"/>
    <w:rsid w:val="004C7FD1"/>
    <w:rsid w:val="004D300C"/>
    <w:rsid w:val="004D6D75"/>
    <w:rsid w:val="0051112E"/>
    <w:rsid w:val="0051452E"/>
    <w:rsid w:val="005214D1"/>
    <w:rsid w:val="00536178"/>
    <w:rsid w:val="0054346C"/>
    <w:rsid w:val="00544FB5"/>
    <w:rsid w:val="00551A76"/>
    <w:rsid w:val="00571C09"/>
    <w:rsid w:val="00574C6D"/>
    <w:rsid w:val="00585598"/>
    <w:rsid w:val="005A0556"/>
    <w:rsid w:val="005A4088"/>
    <w:rsid w:val="005B1697"/>
    <w:rsid w:val="005B2E56"/>
    <w:rsid w:val="005E1875"/>
    <w:rsid w:val="005E5FDB"/>
    <w:rsid w:val="005F1884"/>
    <w:rsid w:val="006005AE"/>
    <w:rsid w:val="006152E1"/>
    <w:rsid w:val="00617856"/>
    <w:rsid w:val="00620DE7"/>
    <w:rsid w:val="00640AFA"/>
    <w:rsid w:val="006532F8"/>
    <w:rsid w:val="00656583"/>
    <w:rsid w:val="006620B5"/>
    <w:rsid w:val="006651ED"/>
    <w:rsid w:val="006A3AF6"/>
    <w:rsid w:val="006A453B"/>
    <w:rsid w:val="006B61FE"/>
    <w:rsid w:val="006C5005"/>
    <w:rsid w:val="006C6DFF"/>
    <w:rsid w:val="006E56F2"/>
    <w:rsid w:val="006F0BCF"/>
    <w:rsid w:val="007017EB"/>
    <w:rsid w:val="0070497C"/>
    <w:rsid w:val="0071650E"/>
    <w:rsid w:val="00723251"/>
    <w:rsid w:val="00724ECA"/>
    <w:rsid w:val="0072583A"/>
    <w:rsid w:val="0073046A"/>
    <w:rsid w:val="00733622"/>
    <w:rsid w:val="00744853"/>
    <w:rsid w:val="007635A1"/>
    <w:rsid w:val="00772B2B"/>
    <w:rsid w:val="00772BEF"/>
    <w:rsid w:val="0078670C"/>
    <w:rsid w:val="00790BCC"/>
    <w:rsid w:val="007A563C"/>
    <w:rsid w:val="007B088F"/>
    <w:rsid w:val="007B0F7F"/>
    <w:rsid w:val="007B53CD"/>
    <w:rsid w:val="007B7659"/>
    <w:rsid w:val="007D2598"/>
    <w:rsid w:val="007E484F"/>
    <w:rsid w:val="007F2A1A"/>
    <w:rsid w:val="00806C4B"/>
    <w:rsid w:val="00814619"/>
    <w:rsid w:val="00822FC1"/>
    <w:rsid w:val="008303CC"/>
    <w:rsid w:val="00840A73"/>
    <w:rsid w:val="00844314"/>
    <w:rsid w:val="00845BDD"/>
    <w:rsid w:val="00850BFB"/>
    <w:rsid w:val="00871E6E"/>
    <w:rsid w:val="0088014A"/>
    <w:rsid w:val="00883963"/>
    <w:rsid w:val="00892C66"/>
    <w:rsid w:val="00892F0D"/>
    <w:rsid w:val="00897B7E"/>
    <w:rsid w:val="008B6399"/>
    <w:rsid w:val="008C0331"/>
    <w:rsid w:val="008C1319"/>
    <w:rsid w:val="008D0ABB"/>
    <w:rsid w:val="008E0122"/>
    <w:rsid w:val="008E613B"/>
    <w:rsid w:val="008F3943"/>
    <w:rsid w:val="00902CF8"/>
    <w:rsid w:val="0090373D"/>
    <w:rsid w:val="009047CA"/>
    <w:rsid w:val="00904DDE"/>
    <w:rsid w:val="0091797F"/>
    <w:rsid w:val="00921416"/>
    <w:rsid w:val="00936B8E"/>
    <w:rsid w:val="00937174"/>
    <w:rsid w:val="0093733B"/>
    <w:rsid w:val="009450B7"/>
    <w:rsid w:val="009450F1"/>
    <w:rsid w:val="00947105"/>
    <w:rsid w:val="009570D2"/>
    <w:rsid w:val="009626EF"/>
    <w:rsid w:val="00970F40"/>
    <w:rsid w:val="00971F7D"/>
    <w:rsid w:val="00974208"/>
    <w:rsid w:val="00974335"/>
    <w:rsid w:val="00983A85"/>
    <w:rsid w:val="009B1E60"/>
    <w:rsid w:val="009B33FE"/>
    <w:rsid w:val="009D375C"/>
    <w:rsid w:val="009D5D74"/>
    <w:rsid w:val="009D6C26"/>
    <w:rsid w:val="00A06B1D"/>
    <w:rsid w:val="00A14E71"/>
    <w:rsid w:val="00A16A01"/>
    <w:rsid w:val="00A16B96"/>
    <w:rsid w:val="00A22A68"/>
    <w:rsid w:val="00A24556"/>
    <w:rsid w:val="00A27259"/>
    <w:rsid w:val="00A304CC"/>
    <w:rsid w:val="00A478E7"/>
    <w:rsid w:val="00A5747E"/>
    <w:rsid w:val="00A81E58"/>
    <w:rsid w:val="00A90888"/>
    <w:rsid w:val="00A9533F"/>
    <w:rsid w:val="00AA3043"/>
    <w:rsid w:val="00AA5F11"/>
    <w:rsid w:val="00AB1FBE"/>
    <w:rsid w:val="00AB435E"/>
    <w:rsid w:val="00AB758D"/>
    <w:rsid w:val="00AC09A2"/>
    <w:rsid w:val="00AC5989"/>
    <w:rsid w:val="00AE730F"/>
    <w:rsid w:val="00AF3A9C"/>
    <w:rsid w:val="00B135BB"/>
    <w:rsid w:val="00B14911"/>
    <w:rsid w:val="00B32A2A"/>
    <w:rsid w:val="00B55FED"/>
    <w:rsid w:val="00B62764"/>
    <w:rsid w:val="00B66822"/>
    <w:rsid w:val="00B676E2"/>
    <w:rsid w:val="00B771B1"/>
    <w:rsid w:val="00B80885"/>
    <w:rsid w:val="00B82045"/>
    <w:rsid w:val="00B9565E"/>
    <w:rsid w:val="00BA2A9C"/>
    <w:rsid w:val="00BB4164"/>
    <w:rsid w:val="00BB5412"/>
    <w:rsid w:val="00BB5FB1"/>
    <w:rsid w:val="00BC3287"/>
    <w:rsid w:val="00BC4A89"/>
    <w:rsid w:val="00BD46CB"/>
    <w:rsid w:val="00BD588D"/>
    <w:rsid w:val="00BF77FE"/>
    <w:rsid w:val="00C07EAD"/>
    <w:rsid w:val="00C12949"/>
    <w:rsid w:val="00C17958"/>
    <w:rsid w:val="00C23F72"/>
    <w:rsid w:val="00C32595"/>
    <w:rsid w:val="00C36C86"/>
    <w:rsid w:val="00C377ED"/>
    <w:rsid w:val="00C413D1"/>
    <w:rsid w:val="00C445E7"/>
    <w:rsid w:val="00C5268D"/>
    <w:rsid w:val="00C5614E"/>
    <w:rsid w:val="00C6764C"/>
    <w:rsid w:val="00C71AEB"/>
    <w:rsid w:val="00C72224"/>
    <w:rsid w:val="00C8001D"/>
    <w:rsid w:val="00C818A8"/>
    <w:rsid w:val="00C858EE"/>
    <w:rsid w:val="00C93529"/>
    <w:rsid w:val="00C95E6E"/>
    <w:rsid w:val="00CC16E2"/>
    <w:rsid w:val="00CC2877"/>
    <w:rsid w:val="00CC3A67"/>
    <w:rsid w:val="00CC7475"/>
    <w:rsid w:val="00CD7FBB"/>
    <w:rsid w:val="00CE12E4"/>
    <w:rsid w:val="00CF766D"/>
    <w:rsid w:val="00CF7BAC"/>
    <w:rsid w:val="00CF7EEB"/>
    <w:rsid w:val="00D02E0D"/>
    <w:rsid w:val="00D07DDC"/>
    <w:rsid w:val="00D11D22"/>
    <w:rsid w:val="00D1458D"/>
    <w:rsid w:val="00D14A2C"/>
    <w:rsid w:val="00D2270B"/>
    <w:rsid w:val="00D31F4D"/>
    <w:rsid w:val="00D43571"/>
    <w:rsid w:val="00D653B3"/>
    <w:rsid w:val="00D67E8E"/>
    <w:rsid w:val="00D74AC7"/>
    <w:rsid w:val="00D818DA"/>
    <w:rsid w:val="00D8338E"/>
    <w:rsid w:val="00DA4094"/>
    <w:rsid w:val="00DA5B3C"/>
    <w:rsid w:val="00DA65D1"/>
    <w:rsid w:val="00DB3350"/>
    <w:rsid w:val="00DC7BDF"/>
    <w:rsid w:val="00DD2207"/>
    <w:rsid w:val="00DD2E65"/>
    <w:rsid w:val="00DE1EAB"/>
    <w:rsid w:val="00DE602B"/>
    <w:rsid w:val="00DF515A"/>
    <w:rsid w:val="00E27593"/>
    <w:rsid w:val="00E53003"/>
    <w:rsid w:val="00E60B1D"/>
    <w:rsid w:val="00E6236C"/>
    <w:rsid w:val="00E64B0F"/>
    <w:rsid w:val="00E85DBE"/>
    <w:rsid w:val="00E879B6"/>
    <w:rsid w:val="00E92122"/>
    <w:rsid w:val="00E94CB8"/>
    <w:rsid w:val="00EA5069"/>
    <w:rsid w:val="00EA7696"/>
    <w:rsid w:val="00EB0772"/>
    <w:rsid w:val="00EC23DC"/>
    <w:rsid w:val="00EC33E9"/>
    <w:rsid w:val="00EC67A2"/>
    <w:rsid w:val="00ED008F"/>
    <w:rsid w:val="00EE3681"/>
    <w:rsid w:val="00EE3998"/>
    <w:rsid w:val="00F21C67"/>
    <w:rsid w:val="00F3477E"/>
    <w:rsid w:val="00F34E0C"/>
    <w:rsid w:val="00F42D11"/>
    <w:rsid w:val="00F442BA"/>
    <w:rsid w:val="00F47E7D"/>
    <w:rsid w:val="00F55B0E"/>
    <w:rsid w:val="00F62B4D"/>
    <w:rsid w:val="00F80461"/>
    <w:rsid w:val="00F80E71"/>
    <w:rsid w:val="00F818E5"/>
    <w:rsid w:val="00F83E15"/>
    <w:rsid w:val="00FB54F0"/>
    <w:rsid w:val="00FC141B"/>
    <w:rsid w:val="00FD4EFA"/>
    <w:rsid w:val="00FD6C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387AF"/>
  <w15:docId w15:val="{1FD90A85-6B2C-479E-A728-8990E0B4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Default">
    <w:name w:val="Default"/>
    <w:rsid w:val="00DD2E65"/>
    <w:pPr>
      <w:autoSpaceDE w:val="0"/>
      <w:autoSpaceDN w:val="0"/>
      <w:adjustRightInd w:val="0"/>
      <w:spacing w:after="0" w:line="240" w:lineRule="auto"/>
    </w:pPr>
    <w:rPr>
      <w:rFonts w:ascii="Calibri" w:eastAsia="Calibri" w:hAnsi="Calibri" w:cs="Calibri"/>
      <w:color w:val="000000"/>
      <w:sz w:val="24"/>
      <w:szCs w:val="24"/>
    </w:rPr>
  </w:style>
  <w:style w:type="character" w:customStyle="1" w:styleId="ToolHeaderChar">
    <w:name w:val="*ToolHeader Char"/>
    <w:basedOn w:val="DefaultParagraphFont"/>
    <w:link w:val="ToolHeader"/>
    <w:rsid w:val="00C377ED"/>
    <w:rPr>
      <w:rFonts w:eastAsia="Calibri" w:cs="Times New Roman"/>
      <w:b/>
      <w:bCs/>
      <w:color w:val="365F91"/>
      <w:sz w:val="32"/>
      <w:szCs w:val="28"/>
    </w:rPr>
  </w:style>
  <w:style w:type="paragraph" w:styleId="Revision">
    <w:name w:val="Revision"/>
    <w:hidden/>
    <w:uiPriority w:val="99"/>
    <w:semiHidden/>
    <w:rsid w:val="00382A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4</cp:revision>
  <cp:lastPrinted>2014-06-18T13:04:00Z</cp:lastPrinted>
  <dcterms:created xsi:type="dcterms:W3CDTF">2014-06-25T15:18:00Z</dcterms:created>
  <dcterms:modified xsi:type="dcterms:W3CDTF">2014-06-25T17:33:00Z</dcterms:modified>
</cp:coreProperties>
</file>