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rsidTr="007540E1">
        <w:trPr>
          <w:trHeight w:val="1008"/>
        </w:trPr>
        <w:tc>
          <w:tcPr>
            <w:tcW w:w="1980" w:type="dxa"/>
            <w:shd w:val="clear" w:color="auto" w:fill="385623"/>
            <w:vAlign w:val="center"/>
          </w:tcPr>
          <w:p w:rsidR="00790BCC" w:rsidRPr="00D31F4D" w:rsidRDefault="00AE46B1"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rsidR="00790BCC" w:rsidRPr="00D31F4D" w:rsidRDefault="00AE46B1" w:rsidP="00D31F4D">
            <w:pPr>
              <w:pStyle w:val="Header2banner"/>
              <w:rPr>
                <w:rFonts w:asciiTheme="minorHAnsi" w:hAnsiTheme="minorHAnsi"/>
              </w:rPr>
            </w:pPr>
            <w:r>
              <w:rPr>
                <w:rFonts w:asciiTheme="minorHAnsi" w:hAnsiTheme="minorHAnsi"/>
              </w:rPr>
              <w:t>Lesson 20</w:t>
            </w:r>
          </w:p>
        </w:tc>
      </w:tr>
    </w:tbl>
    <w:p w:rsidR="00790BCC" w:rsidRPr="00790BCC" w:rsidRDefault="00790BCC" w:rsidP="00D31F4D">
      <w:pPr>
        <w:pStyle w:val="Heading1"/>
      </w:pPr>
      <w:r w:rsidRPr="00790BCC">
        <w:t>Introduction</w:t>
      </w:r>
    </w:p>
    <w:p w:rsidR="00DB0AB0" w:rsidRDefault="00AE46B1" w:rsidP="00D31F4D">
      <w:r>
        <w:t xml:space="preserve">In this lesson, students </w:t>
      </w:r>
      <w:r w:rsidR="00680156">
        <w:t xml:space="preserve">use </w:t>
      </w:r>
      <w:r w:rsidR="00FC0ABB">
        <w:t>interpretive dramatic</w:t>
      </w:r>
      <w:r w:rsidR="00680156">
        <w:t xml:space="preserve"> reading techniques to interpret </w:t>
      </w:r>
      <w:r w:rsidR="00576BBD">
        <w:t xml:space="preserve">self-selected scenes from </w:t>
      </w:r>
      <w:r w:rsidR="00AB5E85">
        <w:t xml:space="preserve">William </w:t>
      </w:r>
      <w:r w:rsidR="00680156">
        <w:t>Shakespeare</w:t>
      </w:r>
      <w:r w:rsidR="00576BBD">
        <w:t xml:space="preserve">’s </w:t>
      </w:r>
      <w:r w:rsidR="00576BBD">
        <w:rPr>
          <w:i/>
        </w:rPr>
        <w:t>Macbeth</w:t>
      </w:r>
      <w:r w:rsidR="007E3CA9">
        <w:t xml:space="preserve">. After meeting in </w:t>
      </w:r>
      <w:r w:rsidR="0040258C">
        <w:t xml:space="preserve">their small </w:t>
      </w:r>
      <w:r w:rsidR="007E3CA9">
        <w:t>groups f</w:t>
      </w:r>
      <w:r w:rsidR="00680156">
        <w:t>o</w:t>
      </w:r>
      <w:r w:rsidR="007E3CA9">
        <w:t>r a final rehearsal</w:t>
      </w:r>
      <w:r w:rsidR="00680156">
        <w:t xml:space="preserve">, students present their </w:t>
      </w:r>
      <w:r w:rsidR="00FC0ABB">
        <w:t>interpretive dramatic</w:t>
      </w:r>
      <w:r w:rsidR="00680156">
        <w:t xml:space="preserve"> reading performances</w:t>
      </w:r>
      <w:r w:rsidR="00914618">
        <w:t>, either</w:t>
      </w:r>
      <w:r w:rsidR="00680156">
        <w:t xml:space="preserve"> to a group of peers</w:t>
      </w:r>
      <w:r w:rsidR="00914618">
        <w:t xml:space="preserve"> or to the whole class</w:t>
      </w:r>
      <w:r w:rsidR="00680156">
        <w:t xml:space="preserve">, who </w:t>
      </w:r>
      <w:r w:rsidR="004A75D4">
        <w:t xml:space="preserve">evaluate </w:t>
      </w:r>
      <w:r w:rsidR="00576BBD">
        <w:t>the performances and</w:t>
      </w:r>
      <w:r w:rsidR="00F043DA">
        <w:t>/or</w:t>
      </w:r>
      <w:r w:rsidR="00576BBD">
        <w:t xml:space="preserve"> </w:t>
      </w:r>
      <w:r w:rsidR="00680156">
        <w:t xml:space="preserve">digitally record for future teacher review. </w:t>
      </w:r>
    </w:p>
    <w:p w:rsidR="00790BCC" w:rsidRPr="00790BCC" w:rsidRDefault="00AE46B1" w:rsidP="00D31F4D">
      <w:r>
        <w:t xml:space="preserve">For homework, </w:t>
      </w:r>
      <w:r w:rsidR="00C210EA">
        <w:t xml:space="preserve">students </w:t>
      </w:r>
      <w:r w:rsidR="00E231D6">
        <w:t>complete self-assessments</w:t>
      </w:r>
      <w:r w:rsidR="00E51B9E">
        <w:t xml:space="preserve"> of their </w:t>
      </w:r>
      <w:r w:rsidR="00FC0ABB">
        <w:t>interpretive dramatic</w:t>
      </w:r>
      <w:r w:rsidR="00E51B9E">
        <w:t xml:space="preserve"> readings</w:t>
      </w:r>
      <w:r w:rsidR="00E231D6">
        <w:t xml:space="preserve">. Also, students </w:t>
      </w:r>
      <w:r w:rsidR="00C210EA">
        <w:t xml:space="preserve">select the character they believe bears primary responsibility for the tragedy </w:t>
      </w:r>
      <w:r w:rsidR="00C210EA" w:rsidRPr="00C210EA">
        <w:t xml:space="preserve">of </w:t>
      </w:r>
      <w:r w:rsidR="00C210EA" w:rsidRPr="00C538A6">
        <w:rPr>
          <w:i/>
        </w:rPr>
        <w:t>Macbeth</w:t>
      </w:r>
      <w:r w:rsidR="00C210EA">
        <w:rPr>
          <w:i/>
        </w:rPr>
        <w:t xml:space="preserve"> </w:t>
      </w:r>
      <w:r w:rsidR="00C210EA">
        <w:t>and use a tool to</w:t>
      </w:r>
      <w:r w:rsidR="00576BBD">
        <w:t xml:space="preserve"> </w:t>
      </w:r>
      <w:r>
        <w:t xml:space="preserve">gather evidence </w:t>
      </w:r>
      <w:r w:rsidR="00C210EA">
        <w:t xml:space="preserve">and </w:t>
      </w:r>
      <w:r w:rsidR="007E3CA9">
        <w:t xml:space="preserve">begin preparing for the </w:t>
      </w:r>
      <w:r w:rsidR="006B726C">
        <w:t xml:space="preserve">10.4.2 </w:t>
      </w:r>
      <w:r w:rsidR="007E3CA9">
        <w:t>End-of-Unit Assessment</w:t>
      </w:r>
      <w:r>
        <w:t>.</w:t>
      </w:r>
    </w:p>
    <w:p w:rsidR="00790BCC" w:rsidRPr="00790BCC" w:rsidRDefault="00790BCC" w:rsidP="00D31F4D">
      <w:pPr>
        <w:pStyle w:val="Heading1"/>
      </w:pPr>
      <w:r w:rsidRPr="00790BCC">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7540E1">
        <w:tc>
          <w:tcPr>
            <w:tcW w:w="9360" w:type="dxa"/>
            <w:gridSpan w:val="2"/>
            <w:shd w:val="clear" w:color="auto" w:fill="76923C"/>
          </w:tcPr>
          <w:p w:rsidR="00790BCC" w:rsidRPr="00790BCC" w:rsidRDefault="00790BCC" w:rsidP="007017EB">
            <w:pPr>
              <w:pStyle w:val="TableHeaders"/>
            </w:pPr>
            <w:r w:rsidRPr="00790BCC">
              <w:t>Assessed Standard(s)</w:t>
            </w:r>
          </w:p>
        </w:tc>
      </w:tr>
      <w:tr w:rsidR="001A3D9C" w:rsidRPr="00790BCC" w:rsidTr="007540E1">
        <w:tc>
          <w:tcPr>
            <w:tcW w:w="1329" w:type="dxa"/>
          </w:tcPr>
          <w:p w:rsidR="001A3D9C" w:rsidRDefault="001A3D9C" w:rsidP="00D31F4D">
            <w:pPr>
              <w:pStyle w:val="TableText"/>
            </w:pPr>
            <w:r>
              <w:t>RL.9-10.4</w:t>
            </w:r>
          </w:p>
        </w:tc>
        <w:tc>
          <w:tcPr>
            <w:tcW w:w="8031" w:type="dxa"/>
          </w:tcPr>
          <w:p w:rsidR="001A3D9C" w:rsidRDefault="001A3D9C" w:rsidP="00AE46B1">
            <w:pPr>
              <w:pStyle w:val="TableText"/>
            </w:pPr>
            <w: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790BCC" w:rsidRPr="00790BCC" w:rsidTr="007540E1">
        <w:tc>
          <w:tcPr>
            <w:tcW w:w="1329" w:type="dxa"/>
          </w:tcPr>
          <w:p w:rsidR="00790BCC" w:rsidRPr="00790BCC" w:rsidRDefault="00AE46B1" w:rsidP="00D31F4D">
            <w:pPr>
              <w:pStyle w:val="TableText"/>
            </w:pPr>
            <w:r>
              <w:t>SL.9-10.1.b</w:t>
            </w:r>
          </w:p>
        </w:tc>
        <w:tc>
          <w:tcPr>
            <w:tcW w:w="8031" w:type="dxa"/>
          </w:tcPr>
          <w:p w:rsidR="00790BCC" w:rsidRPr="00790BCC" w:rsidRDefault="00AE46B1" w:rsidP="00AE46B1">
            <w:pPr>
              <w:pStyle w:val="TableText"/>
            </w:pPr>
            <w:r>
              <w:t xml:space="preserve">Initiate and participate effectively in a range of collaborative discussions (one-on-one, in groups, and teacher-led) with diverse partners </w:t>
            </w:r>
            <w:r w:rsidRPr="00202EA3">
              <w:t>on</w:t>
            </w:r>
            <w:r w:rsidRPr="00D66BF4">
              <w:rPr>
                <w:i/>
              </w:rPr>
              <w:t xml:space="preserve"> grades 9–10 topics, texts, and issues,</w:t>
            </w:r>
            <w:r>
              <w:t xml:space="preserve"> building on others’ ideas and expressing their own clearly and persuasively.</w:t>
            </w:r>
          </w:p>
          <w:p w:rsidR="00807DAC" w:rsidRDefault="00AE46B1">
            <w:pPr>
              <w:pStyle w:val="SubStandard"/>
            </w:pPr>
            <w:r w:rsidRPr="002836A9">
              <w:t>Work with peers to set rules for collegial discussions and decision-making (e.g.</w:t>
            </w:r>
            <w:r w:rsidR="002836A9">
              <w:t xml:space="preserve">, informal </w:t>
            </w:r>
            <w:r w:rsidRPr="002836A9">
              <w:t xml:space="preserve">consensus, taking votes on key issues, </w:t>
            </w:r>
            <w:proofErr w:type="gramStart"/>
            <w:r w:rsidRPr="002836A9">
              <w:t>presenta</w:t>
            </w:r>
            <w:r w:rsidR="00F63598" w:rsidRPr="002836A9">
              <w:t>tion</w:t>
            </w:r>
            <w:proofErr w:type="gramEnd"/>
            <w:r w:rsidR="00F63598" w:rsidRPr="002836A9">
              <w:t xml:space="preserve"> of alternate views), </w:t>
            </w:r>
            <w:r w:rsidR="002836A9">
              <w:t xml:space="preserve">clear </w:t>
            </w:r>
            <w:r w:rsidRPr="002836A9">
              <w:t>goals and deadlines, and individual roles as needed.</w:t>
            </w:r>
          </w:p>
        </w:tc>
      </w:tr>
      <w:tr w:rsidR="00790BCC" w:rsidRPr="00790BCC" w:rsidTr="007540E1">
        <w:tc>
          <w:tcPr>
            <w:tcW w:w="9360" w:type="dxa"/>
            <w:gridSpan w:val="2"/>
            <w:shd w:val="clear" w:color="auto" w:fill="76923C"/>
          </w:tcPr>
          <w:p w:rsidR="00790BCC" w:rsidRPr="00790BCC" w:rsidRDefault="00790BCC" w:rsidP="007017EB">
            <w:pPr>
              <w:pStyle w:val="TableHeaders"/>
            </w:pPr>
            <w:r w:rsidRPr="00790BCC">
              <w:t>Addressed Standard(s)</w:t>
            </w:r>
          </w:p>
        </w:tc>
      </w:tr>
      <w:tr w:rsidR="00AE46B1" w:rsidRPr="00790BCC" w:rsidTr="007540E1">
        <w:tc>
          <w:tcPr>
            <w:tcW w:w="1329" w:type="dxa"/>
          </w:tcPr>
          <w:p w:rsidR="00AE46B1" w:rsidRDefault="00AE46B1" w:rsidP="00AB3455">
            <w:pPr>
              <w:pStyle w:val="TableText"/>
            </w:pPr>
            <w:r>
              <w:t>L.9-10.5</w:t>
            </w:r>
            <w:r w:rsidR="009C1D9F">
              <w:t>.a</w:t>
            </w:r>
            <w:r w:rsidR="00AB3455">
              <w:t xml:space="preserve">, </w:t>
            </w:r>
            <w:r w:rsidR="00600C37">
              <w:t>b</w:t>
            </w:r>
          </w:p>
        </w:tc>
        <w:tc>
          <w:tcPr>
            <w:tcW w:w="8031" w:type="dxa"/>
          </w:tcPr>
          <w:p w:rsidR="00AE46B1" w:rsidRDefault="00AE46B1" w:rsidP="00AE46B1">
            <w:pPr>
              <w:pStyle w:val="TableText"/>
            </w:pPr>
            <w:r>
              <w:t xml:space="preserve">Demonstrate understanding of figurative language, word relationships, and nuances in word meanings. </w:t>
            </w:r>
          </w:p>
          <w:p w:rsidR="00600C37" w:rsidRDefault="00AE46B1" w:rsidP="009C1D9F">
            <w:pPr>
              <w:pStyle w:val="SubStandard"/>
              <w:numPr>
                <w:ilvl w:val="0"/>
                <w:numId w:val="20"/>
              </w:numPr>
            </w:pPr>
            <w:r>
              <w:t>Interpret figures of speech (e.g., euphemism, oxymoron) in context and analyze their role in the text.</w:t>
            </w:r>
            <w:r w:rsidR="004F7635">
              <w:t xml:space="preserve"> </w:t>
            </w:r>
          </w:p>
          <w:p w:rsidR="00AE46B1" w:rsidRPr="00790BCC" w:rsidRDefault="00600C37" w:rsidP="009C1D9F">
            <w:pPr>
              <w:pStyle w:val="SubStandard"/>
              <w:numPr>
                <w:ilvl w:val="0"/>
                <w:numId w:val="20"/>
              </w:numPr>
            </w:pPr>
            <w:r w:rsidRPr="00600C37">
              <w:t>Analyze nuances in the meaning of words with similar denotations.</w:t>
            </w:r>
          </w:p>
        </w:tc>
      </w:tr>
    </w:tbl>
    <w:p w:rsidR="00790BCC" w:rsidRPr="00790BCC" w:rsidRDefault="00790BCC" w:rsidP="00D31F4D">
      <w:pPr>
        <w:pStyle w:val="Heading1"/>
      </w:pPr>
      <w:r w:rsidRPr="00790BCC">
        <w:lastRenderedPageBreak/>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7540E1">
        <w:tc>
          <w:tcPr>
            <w:tcW w:w="9360" w:type="dxa"/>
            <w:shd w:val="clear" w:color="auto" w:fill="76923C"/>
          </w:tcPr>
          <w:p w:rsidR="00790BCC" w:rsidRPr="00790BCC" w:rsidRDefault="00790BCC" w:rsidP="007017EB">
            <w:pPr>
              <w:pStyle w:val="TableHeaders"/>
            </w:pPr>
            <w:r w:rsidRPr="00790BCC">
              <w:t>Assessment(s)</w:t>
            </w:r>
          </w:p>
        </w:tc>
      </w:tr>
      <w:tr w:rsidR="00790BCC" w:rsidRPr="00790BCC" w:rsidTr="007540E1">
        <w:tc>
          <w:tcPr>
            <w:tcW w:w="9360" w:type="dxa"/>
            <w:tcBorders>
              <w:top w:val="single" w:sz="4" w:space="0" w:color="auto"/>
              <w:left w:val="single" w:sz="4" w:space="0" w:color="auto"/>
              <w:bottom w:val="single" w:sz="4" w:space="0" w:color="auto"/>
              <w:right w:val="single" w:sz="4" w:space="0" w:color="auto"/>
            </w:tcBorders>
          </w:tcPr>
          <w:p w:rsidR="00790BCC" w:rsidRPr="00790BCC" w:rsidRDefault="00F63598" w:rsidP="00D31F4D">
            <w:pPr>
              <w:pStyle w:val="TableText"/>
            </w:pPr>
            <w:r>
              <w:t>Student</w:t>
            </w:r>
            <w:r w:rsidR="00321D5C">
              <w:t xml:space="preserve"> learning </w:t>
            </w:r>
            <w:r w:rsidR="00CD6054">
              <w:t xml:space="preserve">in this lesson </w:t>
            </w:r>
            <w:r w:rsidR="00C726ED">
              <w:t>is</w:t>
            </w:r>
            <w:r w:rsidR="00321D5C">
              <w:t xml:space="preserve"> </w:t>
            </w:r>
            <w:r w:rsidR="00CD6054">
              <w:t xml:space="preserve">assessed </w:t>
            </w:r>
            <w:r w:rsidR="00321D5C">
              <w:t>via student participation in the following task</w:t>
            </w:r>
            <w:r>
              <w:t>:</w:t>
            </w:r>
          </w:p>
          <w:p w:rsidR="00790BCC" w:rsidRDefault="00AE46B1" w:rsidP="00DB0AB0">
            <w:pPr>
              <w:pStyle w:val="BulletedList"/>
            </w:pPr>
            <w:r>
              <w:t xml:space="preserve">Choose an excerpt from </w:t>
            </w:r>
            <w:r>
              <w:rPr>
                <w:i/>
              </w:rPr>
              <w:t>Macbeth</w:t>
            </w:r>
            <w:r>
              <w:t>. Deliver the excerpt demonstrating your understanding of the cumulative impact of Shakespeare’s specific word choices on meaning and tone.</w:t>
            </w:r>
          </w:p>
          <w:p w:rsidR="00807DAC" w:rsidRDefault="00321D5C" w:rsidP="00C726ED">
            <w:pPr>
              <w:pStyle w:val="IN"/>
            </w:pPr>
            <w:r>
              <w:t>Student performances, recorded digitally for teacher viewing</w:t>
            </w:r>
            <w:r w:rsidR="000113A2">
              <w:t xml:space="preserve"> and assessment</w:t>
            </w:r>
            <w:r>
              <w:t xml:space="preserve">, </w:t>
            </w:r>
            <w:r w:rsidR="00C726ED">
              <w:t>are</w:t>
            </w:r>
            <w:r>
              <w:t xml:space="preserve"> assessed using the </w:t>
            </w:r>
            <w:r w:rsidR="00FC0ABB">
              <w:t>Interpretive Dramatic</w:t>
            </w:r>
            <w:r>
              <w:t xml:space="preserve"> Reading </w:t>
            </w:r>
            <w:r w:rsidR="005F32E5">
              <w:t>Performance and Self-Assessment Checklists</w:t>
            </w:r>
            <w:r>
              <w:t>.</w:t>
            </w:r>
          </w:p>
        </w:tc>
      </w:tr>
      <w:tr w:rsidR="00790BCC" w:rsidRPr="00790BCC" w:rsidTr="007540E1">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rsidTr="007540E1">
        <w:tc>
          <w:tcPr>
            <w:tcW w:w="9360" w:type="dxa"/>
          </w:tcPr>
          <w:p w:rsidR="00790BCC" w:rsidRPr="00790BCC" w:rsidRDefault="00790BCC" w:rsidP="00D31F4D">
            <w:pPr>
              <w:pStyle w:val="TableText"/>
            </w:pPr>
            <w:r w:rsidRPr="00790BCC">
              <w:t>A High Performance Response should:</w:t>
            </w:r>
          </w:p>
          <w:p w:rsidR="00790BCC" w:rsidRDefault="00680156" w:rsidP="00DB0AB0">
            <w:pPr>
              <w:pStyle w:val="BulletedList"/>
            </w:pPr>
            <w:r>
              <w:t>Demonstrate fluency through appropriate reading rates</w:t>
            </w:r>
            <w:r w:rsidR="00E51B9E">
              <w:t xml:space="preserve">, </w:t>
            </w:r>
            <w:r>
              <w:t>volume</w:t>
            </w:r>
            <w:r w:rsidR="00267DBA">
              <w:t>,</w:t>
            </w:r>
            <w:r w:rsidR="00E51B9E">
              <w:t xml:space="preserve"> and expression</w:t>
            </w:r>
            <w:r w:rsidR="002836A9">
              <w:t>.</w:t>
            </w:r>
          </w:p>
          <w:p w:rsidR="00680156" w:rsidRPr="00790BCC" w:rsidRDefault="00680156" w:rsidP="00DB0AB0">
            <w:pPr>
              <w:pStyle w:val="BulletedList"/>
            </w:pPr>
            <w:r>
              <w:t xml:space="preserve">Demonstrate understanding </w:t>
            </w:r>
            <w:r w:rsidR="006517C0">
              <w:t xml:space="preserve">of the cumulative impact of words on meaning and tone </w:t>
            </w:r>
            <w:r>
              <w:t>through expressive reading</w:t>
            </w:r>
            <w:r w:rsidR="002836A9">
              <w:t>.</w:t>
            </w:r>
          </w:p>
        </w:tc>
      </w:tr>
    </w:tbl>
    <w:p w:rsidR="00790BCC" w:rsidRPr="00790BCC" w:rsidRDefault="00790BCC" w:rsidP="00D31F4D">
      <w:pPr>
        <w:pStyle w:val="Heading1"/>
      </w:pPr>
      <w:r w:rsidRPr="00341F48">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7540E1">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rsidTr="007540E1">
        <w:tc>
          <w:tcPr>
            <w:tcW w:w="9360" w:type="dxa"/>
          </w:tcPr>
          <w:p w:rsidR="00CA7015" w:rsidRDefault="00321D5C" w:rsidP="00DB0AB0">
            <w:pPr>
              <w:pStyle w:val="BulletedList"/>
            </w:pPr>
            <w:r w:rsidRPr="002836A9">
              <w:t>None*</w:t>
            </w:r>
          </w:p>
        </w:tc>
      </w:tr>
      <w:tr w:rsidR="00790BCC" w:rsidRPr="00790BCC" w:rsidTr="007540E1">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rsidTr="007540E1">
        <w:tc>
          <w:tcPr>
            <w:tcW w:w="9360" w:type="dxa"/>
          </w:tcPr>
          <w:p w:rsidR="00CA7015" w:rsidRDefault="00321D5C" w:rsidP="00DB0AB0">
            <w:pPr>
              <w:pStyle w:val="BulletedList"/>
            </w:pPr>
            <w:r w:rsidRPr="002836A9">
              <w:t>None*</w:t>
            </w:r>
          </w:p>
        </w:tc>
      </w:tr>
      <w:tr w:rsidR="00790BCC" w:rsidRPr="00790BCC" w:rsidTr="007540E1">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rsidTr="007540E1">
        <w:trPr>
          <w:trHeight w:val="296"/>
        </w:trPr>
        <w:tc>
          <w:tcPr>
            <w:tcW w:w="9360" w:type="dxa"/>
            <w:tcBorders>
              <w:top w:val="single" w:sz="4" w:space="0" w:color="auto"/>
              <w:left w:val="single" w:sz="4" w:space="0" w:color="auto"/>
              <w:bottom w:val="single" w:sz="4" w:space="0" w:color="auto"/>
              <w:right w:val="single" w:sz="4" w:space="0" w:color="auto"/>
            </w:tcBorders>
          </w:tcPr>
          <w:p w:rsidR="00CA7015" w:rsidRDefault="00321D5C" w:rsidP="00DB0AB0">
            <w:pPr>
              <w:pStyle w:val="BulletedList"/>
            </w:pPr>
            <w:r w:rsidRPr="002836A9">
              <w:t>None *</w:t>
            </w:r>
          </w:p>
        </w:tc>
      </w:tr>
    </w:tbl>
    <w:p w:rsidR="00321D5C" w:rsidRPr="005E44B2" w:rsidRDefault="00321D5C" w:rsidP="00321D5C">
      <w:pPr>
        <w:rPr>
          <w:sz w:val="18"/>
        </w:rPr>
      </w:pPr>
      <w:r w:rsidRPr="005E44B2">
        <w:rPr>
          <w:sz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B64244">
        <w:rPr>
          <w:sz w:val="18"/>
        </w:rPr>
        <w:t>scribed in 1e</w:t>
      </w:r>
      <w:r w:rsidRPr="005E44B2">
        <w:rPr>
          <w:sz w:val="18"/>
        </w:rPr>
        <w:t xml:space="preserve"> of this document </w:t>
      </w:r>
      <w:hyperlink r:id="rId8" w:history="1">
        <w:r w:rsidRPr="008C128E">
          <w:rPr>
            <w:rStyle w:val="Hyperlink"/>
            <w:sz w:val="18"/>
            <w:szCs w:val="18"/>
          </w:rPr>
          <w:t>http://www.engageny.org/sites/default/files/resource/attachments/9-12_ela_prefatory_material.pdf</w:t>
        </w:r>
      </w:hyperlink>
      <w:r w:rsidR="00774203" w:rsidRPr="00AB3455">
        <w:rPr>
          <w:rStyle w:val="Hyperlink"/>
          <w:sz w:val="18"/>
          <w:szCs w:val="18"/>
        </w:rPr>
        <w:t>.</w:t>
      </w:r>
    </w:p>
    <w:p w:rsidR="00774203" w:rsidRDefault="00774203" w:rsidP="00D31F4D">
      <w:pPr>
        <w:pStyle w:val="Heading1"/>
      </w:pPr>
      <w:r>
        <w:br w:type="page"/>
      </w:r>
    </w:p>
    <w:p w:rsidR="00790BCC" w:rsidRPr="00790BCC" w:rsidRDefault="00790BCC" w:rsidP="00D31F4D">
      <w:pPr>
        <w:pStyle w:val="Heading1"/>
      </w:pPr>
      <w:r w:rsidRPr="00790BCC">
        <w:lastRenderedPageBreak/>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E3CA9" w:rsidP="00DB0AB0">
            <w:pPr>
              <w:pStyle w:val="BulletedList"/>
            </w:pPr>
            <w:r>
              <w:t>Standards: RL.9-10.4</w:t>
            </w:r>
            <w:r w:rsidR="00CE4397">
              <w:t xml:space="preserve">, </w:t>
            </w:r>
            <w:r w:rsidR="001A3D9C">
              <w:t xml:space="preserve">SL.9-10.1.b, </w:t>
            </w:r>
            <w:r w:rsidR="009C1D9F">
              <w:t>L.9-10.5.a</w:t>
            </w:r>
            <w:r w:rsidR="00AB3455">
              <w:t xml:space="preserve">, </w:t>
            </w:r>
            <w:r w:rsidR="0014120B">
              <w:t>b</w:t>
            </w:r>
          </w:p>
          <w:p w:rsidR="00790BCC" w:rsidRPr="00790BCC" w:rsidRDefault="00954BFB" w:rsidP="00DB0AB0">
            <w:pPr>
              <w:pStyle w:val="BulletedList"/>
            </w:pPr>
            <w:r>
              <w:t xml:space="preserve">Text: </w:t>
            </w:r>
            <w:r>
              <w:rPr>
                <w:i/>
              </w:rPr>
              <w:t>Macbeth</w:t>
            </w:r>
            <w:r w:rsidR="00C538A6">
              <w:rPr>
                <w:i/>
              </w:rPr>
              <w:t xml:space="preserve">, by </w:t>
            </w:r>
            <w:r w:rsidR="00C538A6" w:rsidRPr="00C538A6">
              <w:t>William Shakespeare</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1644F1" w:rsidP="00D31F4D">
            <w:pPr>
              <w:pStyle w:val="NumberedList"/>
            </w:pPr>
            <w:r>
              <w:t>Group Rehear</w:t>
            </w:r>
            <w:r w:rsidR="00680156">
              <w:t>sals</w:t>
            </w:r>
          </w:p>
          <w:p w:rsidR="00790BCC" w:rsidRPr="00790BCC" w:rsidRDefault="00FC0ABB" w:rsidP="00D31F4D">
            <w:pPr>
              <w:pStyle w:val="NumberedList"/>
            </w:pPr>
            <w:r>
              <w:t>Interpretive Dramatic</w:t>
            </w:r>
            <w:r w:rsidR="00680156">
              <w:t xml:space="preserve"> Reading </w:t>
            </w:r>
            <w:r w:rsidR="00C538A6">
              <w:t>Performances</w:t>
            </w:r>
          </w:p>
          <w:p w:rsidR="00790BCC" w:rsidRPr="00790BCC" w:rsidRDefault="00114959" w:rsidP="00D31F4D">
            <w:pPr>
              <w:pStyle w:val="NumberedList"/>
            </w:pPr>
            <w:r>
              <w:t>Performance Evaluations</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531B83" w:rsidP="00D31F4D">
            <w:pPr>
              <w:pStyle w:val="NumberedList"/>
              <w:numPr>
                <w:ilvl w:val="0"/>
                <w:numId w:val="13"/>
              </w:numPr>
            </w:pPr>
            <w:r>
              <w:t>20</w:t>
            </w:r>
            <w:r w:rsidR="00790BCC" w:rsidRPr="00790BCC">
              <w:t>%</w:t>
            </w:r>
          </w:p>
          <w:p w:rsidR="00790BCC" w:rsidRPr="00790BCC" w:rsidRDefault="00ED08FF" w:rsidP="00ED08FF">
            <w:pPr>
              <w:pStyle w:val="NumberedList"/>
              <w:numPr>
                <w:ilvl w:val="0"/>
                <w:numId w:val="13"/>
              </w:numPr>
            </w:pPr>
            <w:r>
              <w:t>15</w:t>
            </w:r>
            <w:r w:rsidR="00790BCC" w:rsidRPr="00790BCC">
              <w:t>%</w:t>
            </w:r>
          </w:p>
          <w:p w:rsidR="00790BCC" w:rsidRPr="00790BCC" w:rsidRDefault="00531B83" w:rsidP="00D31F4D">
            <w:pPr>
              <w:pStyle w:val="NumberedList"/>
              <w:numPr>
                <w:ilvl w:val="0"/>
                <w:numId w:val="13"/>
              </w:numPr>
            </w:pPr>
            <w:r>
              <w:t>40</w:t>
            </w:r>
            <w:r w:rsidR="00790BCC" w:rsidRPr="00790BCC">
              <w:t>%</w:t>
            </w:r>
          </w:p>
          <w:p w:rsidR="00790BCC" w:rsidRPr="00790BCC" w:rsidRDefault="00F10C17" w:rsidP="00D31F4D">
            <w:pPr>
              <w:pStyle w:val="NumberedList"/>
              <w:numPr>
                <w:ilvl w:val="0"/>
                <w:numId w:val="13"/>
              </w:numPr>
            </w:pPr>
            <w:r>
              <w:t>10</w:t>
            </w:r>
            <w:r w:rsidR="00790BCC" w:rsidRPr="00790BCC">
              <w:t>%</w:t>
            </w:r>
          </w:p>
          <w:p w:rsidR="00790BCC" w:rsidRPr="00790BCC" w:rsidRDefault="0097245D" w:rsidP="00D31F4D">
            <w:pPr>
              <w:pStyle w:val="NumberedList"/>
              <w:numPr>
                <w:ilvl w:val="0"/>
                <w:numId w:val="13"/>
              </w:numPr>
            </w:pPr>
            <w:r>
              <w:t>10</w:t>
            </w:r>
            <w:r w:rsidR="00790BCC" w:rsidRPr="00790BCC">
              <w:t>%</w:t>
            </w:r>
          </w:p>
        </w:tc>
      </w:tr>
    </w:tbl>
    <w:p w:rsidR="00790BCC" w:rsidRPr="00790BCC" w:rsidRDefault="00790BCC" w:rsidP="00D31F4D">
      <w:pPr>
        <w:pStyle w:val="Heading1"/>
      </w:pPr>
      <w:r w:rsidRPr="00790BCC">
        <w:t>Materials</w:t>
      </w:r>
    </w:p>
    <w:p w:rsidR="00FD19B6" w:rsidRPr="00DB0AB0" w:rsidRDefault="00FD19B6" w:rsidP="00DB0AB0">
      <w:pPr>
        <w:pStyle w:val="BulletedList"/>
      </w:pPr>
      <w:r w:rsidRPr="00DB0AB0">
        <w:t xml:space="preserve">Student copies of the </w:t>
      </w:r>
      <w:r w:rsidR="00FC0ABB">
        <w:t>Interpretive Dramatic</w:t>
      </w:r>
      <w:r w:rsidRPr="00DB0AB0">
        <w:t xml:space="preserve"> Readi</w:t>
      </w:r>
      <w:r w:rsidR="00203B3B" w:rsidRPr="00DB0AB0">
        <w:t>ng Performance Checklist</w:t>
      </w:r>
      <w:r w:rsidR="005F32E5" w:rsidRPr="00DB0AB0">
        <w:t xml:space="preserve"> (refer to 10.4.2 Lesson 16)</w:t>
      </w:r>
      <w:r w:rsidR="00793172" w:rsidRPr="00DB0AB0">
        <w:t>—students need several copies to evaluate each group’s performance</w:t>
      </w:r>
    </w:p>
    <w:p w:rsidR="00C120C4" w:rsidRPr="00DB0AB0" w:rsidRDefault="001965B2" w:rsidP="00DB0AB0">
      <w:pPr>
        <w:pStyle w:val="BulletedList"/>
      </w:pPr>
      <w:r w:rsidRPr="00DB0AB0">
        <w:t>Digital cameras or other recording devices for groups</w:t>
      </w:r>
      <w:r w:rsidR="002C4BF1" w:rsidRPr="00DB0AB0">
        <w:t xml:space="preserve"> if necessary</w:t>
      </w:r>
    </w:p>
    <w:p w:rsidR="00FD19B6" w:rsidRPr="00DB0AB0" w:rsidRDefault="00FD19B6" w:rsidP="00DB0AB0">
      <w:pPr>
        <w:pStyle w:val="BulletedList"/>
      </w:pPr>
      <w:r w:rsidRPr="00DB0AB0">
        <w:t xml:space="preserve">Student copies of the </w:t>
      </w:r>
      <w:r w:rsidR="00FC0ABB">
        <w:t>Interpretive Dramatic</w:t>
      </w:r>
      <w:r w:rsidRPr="00DB0AB0">
        <w:t xml:space="preserve"> Reading Self-Assessment </w:t>
      </w:r>
      <w:r w:rsidR="00203B3B" w:rsidRPr="00DB0AB0">
        <w:t>Checklist</w:t>
      </w:r>
      <w:r w:rsidR="005F32E5" w:rsidRPr="00DB0AB0">
        <w:t xml:space="preserve"> (refer to 10.4.2 Lesson 16)</w:t>
      </w:r>
    </w:p>
    <w:p w:rsidR="00954BFB" w:rsidRPr="00DB0AB0" w:rsidRDefault="00B64244" w:rsidP="00DB0AB0">
      <w:pPr>
        <w:pStyle w:val="BulletedList"/>
      </w:pPr>
      <w:r w:rsidRPr="00DB0AB0">
        <w:t>C</w:t>
      </w:r>
      <w:r w:rsidR="00954BFB" w:rsidRPr="00DB0AB0">
        <w:t>opies of Macbeth Character Responsibility Tool</w:t>
      </w:r>
      <w:r w:rsidRPr="00DB0AB0">
        <w:t xml:space="preserve"> for each student</w:t>
      </w:r>
    </w:p>
    <w:p w:rsidR="00C538A6" w:rsidRPr="00DB0AB0" w:rsidRDefault="00C538A6" w:rsidP="00DB0AB0">
      <w:pPr>
        <w:pStyle w:val="BulletedList"/>
      </w:pPr>
      <w:r w:rsidRPr="00DB0AB0">
        <w:t>Copies of the 10.4.2 End-of-Unit Text Analysis Rubric and Checklist</w:t>
      </w:r>
      <w:r w:rsidR="00702A65" w:rsidRPr="00DB0AB0">
        <w:t xml:space="preserve"> for each student</w:t>
      </w:r>
    </w:p>
    <w:p w:rsidR="00790BCC" w:rsidRDefault="00790BCC" w:rsidP="00D31F4D">
      <w:pPr>
        <w:pStyle w:val="Heading1"/>
      </w:pPr>
      <w:r w:rsidRPr="00790BCC">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7540E1">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rsidTr="007540E1">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rsidTr="007540E1">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rsidTr="007540E1">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rsidTr="007540E1">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rsidTr="007540E1">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rsidTr="007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rsidTr="007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rsidTr="007540E1">
        <w:tc>
          <w:tcPr>
            <w:tcW w:w="894" w:type="dxa"/>
            <w:vAlign w:val="bottom"/>
          </w:tcPr>
          <w:p w:rsidR="00D31F4D" w:rsidRPr="00D31F4D" w:rsidRDefault="00D31F4D" w:rsidP="00D31F4D">
            <w:pPr>
              <w:spacing w:after="0" w:line="240" w:lineRule="auto"/>
              <w:jc w:val="center"/>
              <w:rPr>
                <w:color w:val="4F81BD"/>
              </w:rPr>
            </w:pPr>
            <w:r w:rsidRPr="00D31F4D">
              <w:rPr>
                <w:color w:val="4F81BD"/>
              </w:rPr>
              <w:lastRenderedPageBreak/>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FD4EFA" w:rsidRPr="00FD4EFA" w:rsidRDefault="007E3CA9" w:rsidP="00FD4EFA">
      <w:pPr>
        <w:pStyle w:val="TA"/>
      </w:pPr>
      <w:r>
        <w:t xml:space="preserve">Begin by reviewing the </w:t>
      </w:r>
      <w:r w:rsidR="00AB3455">
        <w:t xml:space="preserve">agenda and the </w:t>
      </w:r>
      <w:r>
        <w:t xml:space="preserve">assessed standards for this lesson: </w:t>
      </w:r>
      <w:r w:rsidR="001A3D9C">
        <w:t xml:space="preserve">RL.9-10.4 </w:t>
      </w:r>
      <w:r>
        <w:t xml:space="preserve">and </w:t>
      </w:r>
      <w:r w:rsidR="001A3D9C">
        <w:t>SL.9-10.1.b</w:t>
      </w:r>
      <w:r>
        <w:t>. In this lesson</w:t>
      </w:r>
      <w:r w:rsidR="00C538A6">
        <w:t>,</w:t>
      </w:r>
      <w:r>
        <w:t xml:space="preserve"> students complete a final rehearsal of their </w:t>
      </w:r>
      <w:r w:rsidR="00FC0ABB">
        <w:t>interpretive dramatic</w:t>
      </w:r>
      <w:r>
        <w:t xml:space="preserve"> readings before performing for small groups of peers. </w:t>
      </w:r>
      <w:r w:rsidR="00E51B9E">
        <w:t xml:space="preserve">Students may digitally record performances for later review. </w:t>
      </w:r>
      <w:r>
        <w:t xml:space="preserve">Students </w:t>
      </w:r>
      <w:r w:rsidR="00E51B9E">
        <w:t xml:space="preserve">conclude by </w:t>
      </w:r>
      <w:r w:rsidR="004A75D4">
        <w:t>evaluat</w:t>
      </w:r>
      <w:r w:rsidR="00E51B9E">
        <w:t>ing</w:t>
      </w:r>
      <w:r w:rsidR="004A75D4">
        <w:t xml:space="preserve"> </w:t>
      </w:r>
      <w:r w:rsidR="00576BBD">
        <w:t>their peers</w:t>
      </w:r>
      <w:r w:rsidR="00E51B9E">
        <w:t xml:space="preserve"> </w:t>
      </w:r>
      <w:r>
        <w:t>and complet</w:t>
      </w:r>
      <w:r w:rsidR="00E51B9E">
        <w:t>ing</w:t>
      </w:r>
      <w:r>
        <w:t xml:space="preserve"> self-assessments.</w:t>
      </w:r>
    </w:p>
    <w:p w:rsidR="00FD4EFA" w:rsidRPr="001735F1" w:rsidRDefault="007E3CA9" w:rsidP="007E3CA9">
      <w:pPr>
        <w:pStyle w:val="SA"/>
      </w:pPr>
      <w:r>
        <w:t xml:space="preserve">Students </w:t>
      </w:r>
      <w:r w:rsidR="00EE7D0E">
        <w:t>look at the agenda</w:t>
      </w:r>
      <w:r>
        <w:t>.</w:t>
      </w:r>
    </w:p>
    <w:p w:rsidR="00790BCC" w:rsidRPr="00790BCC" w:rsidRDefault="00790BCC" w:rsidP="007017EB">
      <w:pPr>
        <w:pStyle w:val="LearningSequenceHeader"/>
      </w:pPr>
      <w:r w:rsidRPr="00790BCC">
        <w:t>Activity 2: Homework Accountability</w:t>
      </w:r>
      <w:r w:rsidRPr="00790BCC">
        <w:tab/>
      </w:r>
      <w:r w:rsidR="00531B83">
        <w:t>20</w:t>
      </w:r>
      <w:r w:rsidRPr="00790BCC">
        <w:t>%</w:t>
      </w:r>
    </w:p>
    <w:p w:rsidR="00790BCC" w:rsidRDefault="00F10C17" w:rsidP="007017EB">
      <w:pPr>
        <w:pStyle w:val="TA"/>
        <w:rPr>
          <w:i/>
        </w:rPr>
      </w:pPr>
      <w:r>
        <w:t xml:space="preserve">Instruct students to work in pairs </w:t>
      </w:r>
      <w:r w:rsidR="00D37471">
        <w:t>to discuss their</w:t>
      </w:r>
      <w:r>
        <w:t xml:space="preserve"> Act 5 Synopsis and Analysis Tool, </w:t>
      </w:r>
      <w:r w:rsidR="00D37471">
        <w:t xml:space="preserve">sharing </w:t>
      </w:r>
      <w:r>
        <w:t xml:space="preserve">what </w:t>
      </w:r>
      <w:r w:rsidR="0049707A">
        <w:t xml:space="preserve">they </w:t>
      </w:r>
      <w:r>
        <w:t xml:space="preserve">noticed about character development and central ideas in the final act of </w:t>
      </w:r>
      <w:r>
        <w:rPr>
          <w:i/>
        </w:rPr>
        <w:t>Macbeth.</w:t>
      </w:r>
    </w:p>
    <w:p w:rsidR="00F10C17" w:rsidRDefault="00F10C17" w:rsidP="00F10C17">
      <w:pPr>
        <w:pStyle w:val="SR"/>
      </w:pPr>
      <w:r>
        <w:t xml:space="preserve">See </w:t>
      </w:r>
      <w:r w:rsidR="00171CF3">
        <w:t xml:space="preserve">the </w:t>
      </w:r>
      <w:r>
        <w:t>Model Act 5 S</w:t>
      </w:r>
      <w:r w:rsidR="00576BBD">
        <w:t>yn</w:t>
      </w:r>
      <w:r>
        <w:t xml:space="preserve">opsis </w:t>
      </w:r>
      <w:r w:rsidR="003C22D9">
        <w:t xml:space="preserve">and </w:t>
      </w:r>
      <w:r>
        <w:t xml:space="preserve">Analysis Tool </w:t>
      </w:r>
      <w:r w:rsidR="00171CF3">
        <w:t xml:space="preserve">at the end of this lesson </w:t>
      </w:r>
      <w:r>
        <w:t>for possible student responses.</w:t>
      </w:r>
    </w:p>
    <w:p w:rsidR="00495195" w:rsidRDefault="00ED08FF">
      <w:pPr>
        <w:pStyle w:val="TA"/>
      </w:pPr>
      <w:r>
        <w:t>Lead a brief whole-class share out of student responses.</w:t>
      </w:r>
    </w:p>
    <w:p w:rsidR="00B31347" w:rsidRDefault="00B31347" w:rsidP="00B31347">
      <w:pPr>
        <w:pStyle w:val="BR"/>
      </w:pPr>
    </w:p>
    <w:p w:rsidR="00B31347" w:rsidRDefault="00B31347" w:rsidP="004E6F98">
      <w:pPr>
        <w:pStyle w:val="TA"/>
      </w:pPr>
      <w:r>
        <w:t>Instruct student</w:t>
      </w:r>
      <w:r w:rsidR="00531B83">
        <w:t>s</w:t>
      </w:r>
      <w:r>
        <w:t xml:space="preserve"> to </w:t>
      </w:r>
      <w:r w:rsidR="004633CD">
        <w:t xml:space="preserve">take out </w:t>
      </w:r>
      <w:r>
        <w:t>their responses to 10.4.2 Lesson 19</w:t>
      </w:r>
      <w:r w:rsidR="004633CD">
        <w:t>’s homework assignment</w:t>
      </w:r>
      <w:r>
        <w:t>. (</w:t>
      </w:r>
      <w:r w:rsidRPr="00B31347">
        <w:t>Write a paragraph in response to the following prompt:</w:t>
      </w:r>
      <w:r>
        <w:t xml:space="preserve"> </w:t>
      </w:r>
      <w:r w:rsidRPr="00B31347">
        <w:t>How do White and Shakespeare co</w:t>
      </w:r>
      <w:r w:rsidR="00C538A6">
        <w:t>nstruct a tragedy in “Death of a</w:t>
      </w:r>
      <w:r w:rsidRPr="00B31347">
        <w:t xml:space="preserve"> Pig” and </w:t>
      </w:r>
      <w:r w:rsidRPr="00C538A6">
        <w:rPr>
          <w:i/>
        </w:rPr>
        <w:t>Macbeth</w:t>
      </w:r>
      <w:r w:rsidRPr="00B31347">
        <w:t>, respectively?</w:t>
      </w:r>
      <w:r>
        <w:t>)</w:t>
      </w:r>
      <w:r w:rsidR="004633CD">
        <w:t xml:space="preserve"> Instruct student pairs to discuss their responses.</w:t>
      </w:r>
    </w:p>
    <w:p w:rsidR="009654FD" w:rsidRDefault="009654FD" w:rsidP="004E6F98">
      <w:pPr>
        <w:pStyle w:val="SR"/>
      </w:pPr>
      <w:r>
        <w:t>Student responses may include:</w:t>
      </w:r>
    </w:p>
    <w:p w:rsidR="009654FD" w:rsidRPr="00531B83" w:rsidRDefault="009654FD" w:rsidP="00531B83">
      <w:pPr>
        <w:pStyle w:val="SASRBullet"/>
      </w:pPr>
      <w:r w:rsidRPr="00531B83">
        <w:t xml:space="preserve">Shakespeare constructs his tragedy around Macbeth, a tragically flawed character whose ambition and openness to </w:t>
      </w:r>
      <w:r w:rsidR="00C538A6" w:rsidRPr="00531B83">
        <w:t>outside influences such as the W</w:t>
      </w:r>
      <w:r w:rsidRPr="00531B83">
        <w:t>itches and Lady Macbeth bring about the reversal of his fortune so that from being “noble Macbeth” in Act 1.2, line 7</w:t>
      </w:r>
      <w:r w:rsidR="0074166C" w:rsidRPr="00531B83">
        <w:t>8</w:t>
      </w:r>
      <w:r w:rsidRPr="00531B83">
        <w:t>, he loses honor, love</w:t>
      </w:r>
      <w:r w:rsidR="00C538A6" w:rsidRPr="00531B83">
        <w:t>,</w:t>
      </w:r>
      <w:r w:rsidRPr="00531B83">
        <w:t xml:space="preserve"> and respect and becomes a “bloodier villain / Than terms can give … out” (Act 5.8, lines 9–10). Macbeth’s actions in killing Duncan are “unnatural” (Act 2.4, line 13) and cause a breakdown in the natural order, which can only be restored through Macbeth’s death. </w:t>
      </w:r>
    </w:p>
    <w:p w:rsidR="009654FD" w:rsidRPr="00531B83" w:rsidRDefault="009654FD" w:rsidP="0066659C">
      <w:pPr>
        <w:pStyle w:val="SASRBullet"/>
      </w:pPr>
      <w:r w:rsidRPr="00531B83">
        <w:t>White sets up a situation in which the natural order breaks down due to a conflict: rather than killing the pig, White finds himself “cast suddenly in the role of the p</w:t>
      </w:r>
      <w:r w:rsidR="00550703" w:rsidRPr="00531B83">
        <w:t>ig’s friend and physician” (par</w:t>
      </w:r>
      <w:r w:rsidR="00C538A6" w:rsidRPr="00531B83">
        <w:t>agraph</w:t>
      </w:r>
      <w:r w:rsidRPr="00531B83">
        <w:t xml:space="preserve"> 3). This conflict can only be resolved through the death of the pig, and not without a sense of loss that provokes pity and fear</w:t>
      </w:r>
      <w:r w:rsidR="00B77730">
        <w:t>.</w:t>
      </w:r>
      <w:r w:rsidRPr="00531B83">
        <w:t xml:space="preserve"> White and his dog, Fred, are both “shaken to the </w:t>
      </w:r>
      <w:r w:rsidR="00C538A6" w:rsidRPr="00531B83">
        <w:t>core” as they bury the pig (paragraph</w:t>
      </w:r>
      <w:r w:rsidRPr="00531B83">
        <w:t xml:space="preserve"> 3). </w:t>
      </w:r>
    </w:p>
    <w:p w:rsidR="00B31347" w:rsidRPr="00531B83" w:rsidRDefault="009654FD" w:rsidP="0066659C">
      <w:pPr>
        <w:pStyle w:val="SASRBullet"/>
      </w:pPr>
      <w:r w:rsidRPr="00531B83">
        <w:lastRenderedPageBreak/>
        <w:t>In setting up his tragedy, White highlights how close tragedy is to comedy. He constructs a tragedy in wh</w:t>
      </w:r>
      <w:r w:rsidR="00C538A6" w:rsidRPr="00531B83">
        <w:t xml:space="preserve">ich “something slips (paragraph </w:t>
      </w:r>
      <w:r w:rsidRPr="00531B83">
        <w:t>3) in the classical model: the pig’s illness turns its death from the “antique pattern [of]</w:t>
      </w:r>
      <w:r w:rsidR="00550703" w:rsidRPr="00531B83">
        <w:t xml:space="preserve"> </w:t>
      </w:r>
      <w:r w:rsidRPr="00531B83">
        <w:t xml:space="preserve">… a tragedy enacted on most </w:t>
      </w:r>
      <w:r w:rsidR="00550703" w:rsidRPr="00531B83">
        <w:t>farms</w:t>
      </w:r>
      <w:r w:rsidRPr="00531B83">
        <w:t xml:space="preserve"> with perfect fideli</w:t>
      </w:r>
      <w:r w:rsidR="00A40FB4" w:rsidRPr="00531B83">
        <w:t xml:space="preserve">ty to the original script” (paragraph 2) into “slapstick” (paragraph </w:t>
      </w:r>
      <w:r w:rsidRPr="00531B83">
        <w:t>3) as White becomes “a farcical character with an en</w:t>
      </w:r>
      <w:r w:rsidR="002C6D75" w:rsidRPr="00531B83">
        <w:t>e</w:t>
      </w:r>
      <w:r w:rsidRPr="00531B83">
        <w:t>ma bag f</w:t>
      </w:r>
      <w:r w:rsidR="00550703" w:rsidRPr="00531B83">
        <w:t>or a prop</w:t>
      </w:r>
      <w:r w:rsidR="00A40FB4" w:rsidRPr="00531B83">
        <w:t xml:space="preserve">” (paragraph </w:t>
      </w:r>
      <w:r w:rsidRPr="00531B83">
        <w:t xml:space="preserve">3). In this way, White blurs the line between comedy and tragedy, much as Shakespeare does in the Porter scene in </w:t>
      </w:r>
      <w:r w:rsidRPr="00600E54">
        <w:rPr>
          <w:i/>
        </w:rPr>
        <w:t>Macbeth</w:t>
      </w:r>
      <w:r w:rsidRPr="00531B83">
        <w:t>.</w:t>
      </w:r>
    </w:p>
    <w:p w:rsidR="00790BCC" w:rsidRPr="00790BCC" w:rsidRDefault="00680156" w:rsidP="007017EB">
      <w:pPr>
        <w:pStyle w:val="LearningSequenceHeader"/>
      </w:pPr>
      <w:r>
        <w:t>Activity 3: Group Rehearsals</w:t>
      </w:r>
      <w:r w:rsidR="00F10C17">
        <w:tab/>
      </w:r>
      <w:r w:rsidR="00D928DA">
        <w:t>15</w:t>
      </w:r>
      <w:r w:rsidR="00790BCC" w:rsidRPr="00790BCC">
        <w:t>%</w:t>
      </w:r>
    </w:p>
    <w:p w:rsidR="00211226" w:rsidRDefault="00680156" w:rsidP="00211226">
      <w:pPr>
        <w:pStyle w:val="TA"/>
      </w:pPr>
      <w:r>
        <w:t xml:space="preserve">Instruct students to meet in their small groups with texts and </w:t>
      </w:r>
      <w:r w:rsidR="00D37471">
        <w:t xml:space="preserve">the </w:t>
      </w:r>
      <w:r w:rsidR="00FC0ABB">
        <w:t>Interpretive Dramatic</w:t>
      </w:r>
      <w:r w:rsidR="00D37471">
        <w:t xml:space="preserve"> Reading</w:t>
      </w:r>
      <w:r w:rsidR="00203B3B">
        <w:t xml:space="preserve"> Performance Checklist.</w:t>
      </w:r>
      <w:r w:rsidR="00211226">
        <w:t xml:space="preserve"> </w:t>
      </w:r>
      <w:r w:rsidR="00F10C17">
        <w:t xml:space="preserve">Instruct students to </w:t>
      </w:r>
      <w:r w:rsidR="00211226">
        <w:t xml:space="preserve">review and discuss criteria on the </w:t>
      </w:r>
      <w:r w:rsidR="00203B3B">
        <w:t>checklist</w:t>
      </w:r>
      <w:r w:rsidR="00211226">
        <w:t xml:space="preserve"> before answering the following question:</w:t>
      </w:r>
    </w:p>
    <w:p w:rsidR="00211226" w:rsidRDefault="00211226" w:rsidP="00211226">
      <w:pPr>
        <w:pStyle w:val="Q"/>
      </w:pPr>
      <w:r>
        <w:t>What criteria contribute to a successful performance?</w:t>
      </w:r>
    </w:p>
    <w:p w:rsidR="00211226" w:rsidRDefault="00211226" w:rsidP="00211226">
      <w:pPr>
        <w:pStyle w:val="SR"/>
      </w:pPr>
      <w:r>
        <w:t>Student responses may include:</w:t>
      </w:r>
    </w:p>
    <w:p w:rsidR="00211226" w:rsidRDefault="00211226" w:rsidP="00211226">
      <w:pPr>
        <w:pStyle w:val="SASRBullet"/>
      </w:pPr>
      <w:r>
        <w:t>Groups should demonstrate that they have been working effectively together.</w:t>
      </w:r>
    </w:p>
    <w:p w:rsidR="00211226" w:rsidRDefault="00211226" w:rsidP="00211226">
      <w:pPr>
        <w:pStyle w:val="SASRBullet"/>
      </w:pPr>
      <w:r>
        <w:t xml:space="preserve">All group members should </w:t>
      </w:r>
      <w:r w:rsidR="00CD6054">
        <w:t>control</w:t>
      </w:r>
      <w:r>
        <w:t xml:space="preserve"> their volume and rate.</w:t>
      </w:r>
    </w:p>
    <w:p w:rsidR="00211226" w:rsidRDefault="00211226" w:rsidP="00211226">
      <w:pPr>
        <w:pStyle w:val="SASRBullet"/>
      </w:pPr>
      <w:r>
        <w:t>All group members should understand the text so that they can read with expression.</w:t>
      </w:r>
    </w:p>
    <w:p w:rsidR="00F10C17" w:rsidRDefault="00211226" w:rsidP="00211226">
      <w:pPr>
        <w:pStyle w:val="TA"/>
      </w:pPr>
      <w:r>
        <w:t xml:space="preserve">Instruct students to </w:t>
      </w:r>
      <w:r w:rsidR="00F10C17">
        <w:t xml:space="preserve">rehearse </w:t>
      </w:r>
      <w:r w:rsidR="00FC0ABB">
        <w:t>interpretive dramatic</w:t>
      </w:r>
      <w:r w:rsidR="00F10C17">
        <w:t xml:space="preserve"> readings, adjusting as necessary to meet the criteria on the </w:t>
      </w:r>
      <w:r w:rsidR="00FD19B6">
        <w:t>checklist</w:t>
      </w:r>
      <w:r w:rsidR="00F10C17">
        <w:t>.</w:t>
      </w:r>
    </w:p>
    <w:p w:rsidR="00F10C17" w:rsidRPr="00790BCC" w:rsidRDefault="00F10C17" w:rsidP="007017EB">
      <w:pPr>
        <w:pStyle w:val="SA"/>
      </w:pPr>
      <w:r>
        <w:t xml:space="preserve">Students review </w:t>
      </w:r>
      <w:r w:rsidR="00FD19B6">
        <w:t>checklist</w:t>
      </w:r>
      <w:r>
        <w:t xml:space="preserve"> and rehearse </w:t>
      </w:r>
      <w:r w:rsidR="00FC0ABB">
        <w:t>interpretive dramatic</w:t>
      </w:r>
      <w:r>
        <w:t xml:space="preserve"> readings.</w:t>
      </w:r>
    </w:p>
    <w:p w:rsidR="00790BCC" w:rsidRPr="00790BCC" w:rsidRDefault="00680156" w:rsidP="007017EB">
      <w:pPr>
        <w:pStyle w:val="LearningSequenceHeader"/>
      </w:pPr>
      <w:r>
        <w:t xml:space="preserve">Activity 4: </w:t>
      </w:r>
      <w:r w:rsidR="00FC0ABB">
        <w:t>Interpretive Dramatic</w:t>
      </w:r>
      <w:r>
        <w:t xml:space="preserve"> Reading Performances</w:t>
      </w:r>
      <w:r w:rsidR="00F10C17">
        <w:tab/>
      </w:r>
      <w:r w:rsidR="00531B83">
        <w:t>40</w:t>
      </w:r>
      <w:r w:rsidR="00790BCC" w:rsidRPr="00790BCC">
        <w:t>%</w:t>
      </w:r>
    </w:p>
    <w:p w:rsidR="00790BCC" w:rsidRPr="00114959" w:rsidRDefault="002C4BF1" w:rsidP="007017EB">
      <w:pPr>
        <w:pStyle w:val="TA"/>
      </w:pPr>
      <w:r>
        <w:t>I</w:t>
      </w:r>
      <w:r w:rsidRPr="00114959">
        <w:t>nstruct groups to arrange themselves according to the order in which their scenes appear in the play</w:t>
      </w:r>
      <w:r>
        <w:t>, or, if presenting to other groups, i</w:t>
      </w:r>
      <w:r w:rsidR="001965B2" w:rsidRPr="00114959">
        <w:t xml:space="preserve">nstruct student groups to </w:t>
      </w:r>
      <w:r w:rsidR="00B77730">
        <w:t xml:space="preserve">combine to </w:t>
      </w:r>
      <w:r w:rsidR="001965B2" w:rsidRPr="00114959">
        <w:t xml:space="preserve">create </w:t>
      </w:r>
      <w:r w:rsidR="00B77730">
        <w:t xml:space="preserve">two to four </w:t>
      </w:r>
      <w:r w:rsidR="00D36E26">
        <w:t xml:space="preserve">larger groups </w:t>
      </w:r>
      <w:r w:rsidR="001965B2" w:rsidRPr="00114959">
        <w:t>for performances</w:t>
      </w:r>
      <w:r w:rsidR="00B77730">
        <w:t>.</w:t>
      </w:r>
      <w:r w:rsidR="00914618" w:rsidRPr="00114959">
        <w:t xml:space="preserve"> </w:t>
      </w:r>
    </w:p>
    <w:p w:rsidR="00680156" w:rsidRPr="00114959" w:rsidRDefault="001965B2" w:rsidP="008A457A">
      <w:pPr>
        <w:pStyle w:val="SA"/>
      </w:pPr>
      <w:r w:rsidRPr="00114959">
        <w:t xml:space="preserve">Student </w:t>
      </w:r>
      <w:r w:rsidR="002C4BF1">
        <w:t xml:space="preserve">groups </w:t>
      </w:r>
      <w:r w:rsidR="002C4BF1" w:rsidRPr="00114959">
        <w:t xml:space="preserve">arrange themselves for whole-class presentations </w:t>
      </w:r>
      <w:r w:rsidR="002C4BF1">
        <w:t>or</w:t>
      </w:r>
      <w:r w:rsidR="002C4BF1" w:rsidRPr="00114959">
        <w:t xml:space="preserve"> </w:t>
      </w:r>
      <w:r w:rsidRPr="00114959">
        <w:t>larger group</w:t>
      </w:r>
      <w:r w:rsidR="00640DDD">
        <w:t xml:space="preserve"> presentation</w:t>
      </w:r>
      <w:r w:rsidRPr="00114959">
        <w:t>s</w:t>
      </w:r>
      <w:r w:rsidR="009A11F5">
        <w:t>.</w:t>
      </w:r>
      <w:r w:rsidR="00914618" w:rsidRPr="00114959">
        <w:t xml:space="preserve"> </w:t>
      </w:r>
    </w:p>
    <w:p w:rsidR="002C4BF1" w:rsidRDefault="002C4BF1" w:rsidP="002C4BF1">
      <w:pPr>
        <w:pStyle w:val="IN"/>
      </w:pPr>
      <w:r>
        <w:t>If students are presenting to the whole class</w:t>
      </w:r>
      <w:r w:rsidR="00A40FB4">
        <w:t>,</w:t>
      </w:r>
      <w:r w:rsidR="00F043DA">
        <w:t xml:space="preserve"> it is not necessary to film the groups. However, students may want a visual record of their work. If so</w:t>
      </w:r>
      <w:r>
        <w:t>, instruct each group to choose one student to film the next group. The first group should be filmed by a student from the group scheduled to perform last.</w:t>
      </w:r>
    </w:p>
    <w:p w:rsidR="00495195" w:rsidRDefault="00914618">
      <w:pPr>
        <w:pStyle w:val="IN"/>
      </w:pPr>
      <w:r>
        <w:t xml:space="preserve">If students are presenting in small groups, </w:t>
      </w:r>
      <w:r w:rsidR="00F043DA">
        <w:t>it is important to film the groups, so the teacher can evaluate them after class. I</w:t>
      </w:r>
      <w:r>
        <w:t xml:space="preserve">nstruct students to </w:t>
      </w:r>
      <w:r w:rsidR="00680156" w:rsidRPr="00914618">
        <w:t xml:space="preserve">choose one member of each group to record the </w:t>
      </w:r>
      <w:r w:rsidR="00680156" w:rsidRPr="00914618">
        <w:lastRenderedPageBreak/>
        <w:t>performance of the other group(s). Remind students to record the whole group, not individual students.</w:t>
      </w:r>
      <w:r w:rsidR="004F7635" w:rsidRPr="00914618">
        <w:t xml:space="preserve"> </w:t>
      </w:r>
      <w:r w:rsidR="00680156" w:rsidRPr="00914618">
        <w:t xml:space="preserve">If needed, give students time to review </w:t>
      </w:r>
      <w:r w:rsidR="001644F1" w:rsidRPr="00914618">
        <w:t>the necessary technology for the digital recordings.</w:t>
      </w:r>
    </w:p>
    <w:p w:rsidR="00576BBD" w:rsidRPr="00114959" w:rsidRDefault="001965B2" w:rsidP="00576BBD">
      <w:pPr>
        <w:pStyle w:val="SA"/>
      </w:pPr>
      <w:r w:rsidRPr="00114959">
        <w:t>Students select one member of each group to record performances and review technology, as needed.</w:t>
      </w:r>
    </w:p>
    <w:p w:rsidR="00576BBD" w:rsidRDefault="00576BBD" w:rsidP="00576BBD">
      <w:pPr>
        <w:pStyle w:val="TA"/>
      </w:pPr>
      <w:r>
        <w:t>Instruct student</w:t>
      </w:r>
      <w:r w:rsidR="002C4BF1">
        <w:t xml:space="preserve"> </w:t>
      </w:r>
      <w:r w:rsidR="004F5EA2">
        <w:t>groups to</w:t>
      </w:r>
      <w:r>
        <w:t xml:space="preserve"> take turns performing their </w:t>
      </w:r>
      <w:r w:rsidR="00FC0ABB">
        <w:t>interpretive dramatic</w:t>
      </w:r>
      <w:r>
        <w:t xml:space="preserve"> readings, using </w:t>
      </w:r>
      <w:r w:rsidR="00DB7002">
        <w:t xml:space="preserve">the </w:t>
      </w:r>
      <w:r w:rsidR="00FC0ABB">
        <w:t>Interpretive Dramatic</w:t>
      </w:r>
      <w:r w:rsidR="00DB7002">
        <w:t xml:space="preserve"> Reading </w:t>
      </w:r>
      <w:r w:rsidR="00FD19B6">
        <w:t xml:space="preserve">Performance </w:t>
      </w:r>
      <w:r w:rsidR="00DB7002">
        <w:t>Checklist</w:t>
      </w:r>
      <w:r>
        <w:t xml:space="preserve"> to </w:t>
      </w:r>
      <w:r w:rsidR="00DB7002">
        <w:t>evaluate</w:t>
      </w:r>
      <w:r>
        <w:t xml:space="preserve"> </w:t>
      </w:r>
      <w:r w:rsidR="00DB7002">
        <w:t>the other groups’</w:t>
      </w:r>
      <w:r>
        <w:t xml:space="preserve"> performance</w:t>
      </w:r>
      <w:r w:rsidR="00DB7002">
        <w:t>s</w:t>
      </w:r>
      <w:r>
        <w:t>.</w:t>
      </w:r>
    </w:p>
    <w:p w:rsidR="00576BBD" w:rsidRDefault="00576BBD" w:rsidP="00576BBD">
      <w:pPr>
        <w:pStyle w:val="SA"/>
      </w:pPr>
      <w:r>
        <w:t xml:space="preserve">Students perform and </w:t>
      </w:r>
      <w:r w:rsidR="00DB7002">
        <w:t xml:space="preserve">evaluate </w:t>
      </w:r>
      <w:r w:rsidR="00FC0ABB">
        <w:t>interpretive dramatic</w:t>
      </w:r>
      <w:r>
        <w:t xml:space="preserve"> readings.</w:t>
      </w:r>
    </w:p>
    <w:p w:rsidR="00790BCC" w:rsidRPr="00790BCC" w:rsidRDefault="004355F7" w:rsidP="007017EB">
      <w:pPr>
        <w:pStyle w:val="LearningSequenceHeader"/>
      </w:pPr>
      <w:r>
        <w:t>Activity 5:</w:t>
      </w:r>
      <w:r w:rsidR="00192C58">
        <w:t xml:space="preserve"> Performance </w:t>
      </w:r>
      <w:r w:rsidR="00970522">
        <w:t>Evaluations</w:t>
      </w:r>
      <w:r w:rsidR="00F10C17">
        <w:tab/>
        <w:t>10</w:t>
      </w:r>
      <w:r w:rsidR="00790BCC" w:rsidRPr="00790BCC">
        <w:t>%</w:t>
      </w:r>
    </w:p>
    <w:p w:rsidR="00192C58" w:rsidRDefault="004355F7" w:rsidP="007017EB">
      <w:pPr>
        <w:pStyle w:val="TA"/>
      </w:pPr>
      <w:r>
        <w:t xml:space="preserve">Instruct students to </w:t>
      </w:r>
      <w:r w:rsidR="00192C58">
        <w:t xml:space="preserve">remain in their performance groups and to exchange </w:t>
      </w:r>
      <w:r w:rsidR="00FC0ABB">
        <w:t>Interpretive Dramatic</w:t>
      </w:r>
      <w:r w:rsidR="00203B3B">
        <w:t xml:space="preserve"> Reading </w:t>
      </w:r>
      <w:r w:rsidR="00ED1290">
        <w:t>Performance</w:t>
      </w:r>
      <w:r w:rsidR="00203B3B">
        <w:t xml:space="preserve"> Checklists</w:t>
      </w:r>
      <w:r w:rsidR="00192C58">
        <w:t>. Instruct each</w:t>
      </w:r>
      <w:r>
        <w:t xml:space="preserve"> </w:t>
      </w:r>
      <w:r w:rsidR="00E27113">
        <w:t xml:space="preserve">original </w:t>
      </w:r>
      <w:r>
        <w:t>small g</w:t>
      </w:r>
      <w:r w:rsidR="00E16A1F">
        <w:t>r</w:t>
      </w:r>
      <w:r>
        <w:t>oup</w:t>
      </w:r>
      <w:r w:rsidR="00192C58">
        <w:t xml:space="preserve"> to review and discuss the peer feedback it received before answering the following question:</w:t>
      </w:r>
    </w:p>
    <w:p w:rsidR="00807DAC" w:rsidRDefault="00192C58" w:rsidP="00807DAC">
      <w:pPr>
        <w:pStyle w:val="Q"/>
      </w:pPr>
      <w:r>
        <w:t>What was best about your own performance?</w:t>
      </w:r>
    </w:p>
    <w:p w:rsidR="00807DAC" w:rsidRDefault="00192C58" w:rsidP="00807DAC">
      <w:pPr>
        <w:pStyle w:val="SR"/>
      </w:pPr>
      <w:r>
        <w:t>Student responses may include:</w:t>
      </w:r>
    </w:p>
    <w:p w:rsidR="00807DAC" w:rsidRDefault="00192C58" w:rsidP="00807DAC">
      <w:pPr>
        <w:pStyle w:val="SASRBullet"/>
      </w:pPr>
      <w:r>
        <w:t>We worked well as a group.</w:t>
      </w:r>
    </w:p>
    <w:p w:rsidR="00807DAC" w:rsidRDefault="00192C58" w:rsidP="00807DAC">
      <w:pPr>
        <w:pStyle w:val="SASRBullet"/>
      </w:pPr>
      <w:r>
        <w:t>We provided a creative interpretation of the text.</w:t>
      </w:r>
    </w:p>
    <w:p w:rsidR="00807DAC" w:rsidRDefault="00192C58" w:rsidP="00807DAC">
      <w:pPr>
        <w:pStyle w:val="SASRBullet"/>
      </w:pPr>
      <w:r>
        <w:t>We controlled our volume and pacing well.</w:t>
      </w:r>
    </w:p>
    <w:p w:rsidR="00807DAC" w:rsidRDefault="00192C58" w:rsidP="00807DAC">
      <w:pPr>
        <w:pStyle w:val="SASRBullet"/>
      </w:pPr>
      <w:r>
        <w:t>We read with expression well.</w:t>
      </w:r>
    </w:p>
    <w:p w:rsidR="00807DAC" w:rsidRDefault="00192C58" w:rsidP="00807DAC">
      <w:pPr>
        <w:pStyle w:val="Q"/>
      </w:pPr>
      <w:r>
        <w:t>What would you change about your own performance?</w:t>
      </w:r>
    </w:p>
    <w:p w:rsidR="00807DAC" w:rsidRDefault="00192C58" w:rsidP="00807DAC">
      <w:pPr>
        <w:pStyle w:val="SR"/>
      </w:pPr>
      <w:r>
        <w:t>Student responses vary.</w:t>
      </w:r>
    </w:p>
    <w:p w:rsidR="00807DAC" w:rsidRDefault="00192C58" w:rsidP="00807DAC">
      <w:pPr>
        <w:pStyle w:val="Q"/>
      </w:pPr>
      <w:r>
        <w:t>What was best about another group’s performance?</w:t>
      </w:r>
    </w:p>
    <w:p w:rsidR="00807DAC" w:rsidRDefault="00192C58" w:rsidP="00807DAC">
      <w:pPr>
        <w:pStyle w:val="SR"/>
      </w:pPr>
      <w:r>
        <w:t>Student responses may include:</w:t>
      </w:r>
    </w:p>
    <w:p w:rsidR="00807DAC" w:rsidRDefault="00192C58" w:rsidP="00807DAC">
      <w:pPr>
        <w:pStyle w:val="SASRBullet"/>
      </w:pPr>
      <w:r>
        <w:t>The group knew its cues and performed well together.</w:t>
      </w:r>
    </w:p>
    <w:p w:rsidR="00807DAC" w:rsidRDefault="00192C58" w:rsidP="00807DAC">
      <w:pPr>
        <w:pStyle w:val="SASRBullet"/>
      </w:pPr>
      <w:r>
        <w:t>The group gave a creative interpretation of the text.</w:t>
      </w:r>
    </w:p>
    <w:p w:rsidR="00807DAC" w:rsidRDefault="00192C58" w:rsidP="00807DAC">
      <w:pPr>
        <w:pStyle w:val="SASRBullet"/>
      </w:pPr>
      <w:r>
        <w:t>The group’s volume and pacing made them easy to understand.</w:t>
      </w:r>
    </w:p>
    <w:p w:rsidR="00807DAC" w:rsidRDefault="00192C58" w:rsidP="00807DAC">
      <w:pPr>
        <w:pStyle w:val="SASRBullet"/>
      </w:pPr>
      <w:r>
        <w:t>The group used expression while reading.</w:t>
      </w:r>
    </w:p>
    <w:p w:rsidR="00807DAC" w:rsidRDefault="00192C58" w:rsidP="00807DAC">
      <w:pPr>
        <w:pStyle w:val="Q"/>
      </w:pPr>
      <w:r>
        <w:t>What did you learn by participating in a</w:t>
      </w:r>
      <w:r w:rsidR="00FC0ABB">
        <w:t>n</w:t>
      </w:r>
      <w:r>
        <w:t xml:space="preserve"> </w:t>
      </w:r>
      <w:r w:rsidR="00FC0ABB">
        <w:t>interpretive dramatic</w:t>
      </w:r>
      <w:r>
        <w:t xml:space="preserve"> reading of </w:t>
      </w:r>
      <w:r w:rsidRPr="00192C58">
        <w:rPr>
          <w:i/>
        </w:rPr>
        <w:t>Macbeth</w:t>
      </w:r>
      <w:r>
        <w:t>?</w:t>
      </w:r>
      <w:r w:rsidDel="00192C58">
        <w:t xml:space="preserve"> </w:t>
      </w:r>
    </w:p>
    <w:p w:rsidR="00807DAC" w:rsidRDefault="00192C58" w:rsidP="00807DAC">
      <w:pPr>
        <w:pStyle w:val="SR"/>
      </w:pPr>
      <w:r>
        <w:t>Student responses vary.</w:t>
      </w:r>
    </w:p>
    <w:p w:rsidR="00807DAC" w:rsidRDefault="00192C58" w:rsidP="00807DAC">
      <w:pPr>
        <w:pStyle w:val="TA"/>
      </w:pPr>
      <w:r>
        <w:lastRenderedPageBreak/>
        <w:t>Lead a brief whole-class discussion based on student responses.</w:t>
      </w:r>
      <w:r w:rsidDel="00192C58">
        <w:t xml:space="preserve"> </w:t>
      </w:r>
    </w:p>
    <w:p w:rsidR="00807DAC" w:rsidRDefault="00790BCC" w:rsidP="00B64244">
      <w:pPr>
        <w:pStyle w:val="LearningSequenceHeader"/>
        <w:keepNext/>
      </w:pPr>
      <w:r w:rsidRPr="00790BCC">
        <w:t>Activity 6: Closing</w:t>
      </w:r>
      <w:r w:rsidRPr="00790BCC">
        <w:tab/>
      </w:r>
      <w:r w:rsidR="0097245D">
        <w:t>10</w:t>
      </w:r>
      <w:r w:rsidRPr="00790BCC">
        <w:t>%</w:t>
      </w:r>
    </w:p>
    <w:p w:rsidR="00DF0298" w:rsidRDefault="00A115F1" w:rsidP="007017EB">
      <w:pPr>
        <w:pStyle w:val="TA"/>
      </w:pPr>
      <w:r>
        <w:t xml:space="preserve">Display and distribute the homework assignment. For homework, instruct students to reflect on their </w:t>
      </w:r>
      <w:r w:rsidR="00FC0ABB">
        <w:t>interpretive dramatic</w:t>
      </w:r>
      <w:r>
        <w:t xml:space="preserve"> reading performances and complete </w:t>
      </w:r>
      <w:r w:rsidR="00A40FB4">
        <w:t xml:space="preserve">the </w:t>
      </w:r>
      <w:r w:rsidR="00FC0ABB">
        <w:t>Interpretive Dramatic</w:t>
      </w:r>
      <w:r>
        <w:t xml:space="preserve"> Reading Self-Assessment</w:t>
      </w:r>
      <w:r w:rsidR="00203B3B">
        <w:t xml:space="preserve"> Checklist</w:t>
      </w:r>
      <w:r>
        <w:t xml:space="preserve">. </w:t>
      </w:r>
    </w:p>
    <w:p w:rsidR="00790BCC" w:rsidRDefault="00A115F1" w:rsidP="007017EB">
      <w:pPr>
        <w:pStyle w:val="TA"/>
      </w:pPr>
      <w:r>
        <w:t xml:space="preserve">Also </w:t>
      </w:r>
      <w:r w:rsidR="00DF0298">
        <w:t xml:space="preserve">for homework, </w:t>
      </w:r>
      <w:r>
        <w:t xml:space="preserve">instruct students to review </w:t>
      </w:r>
      <w:r>
        <w:rPr>
          <w:i/>
        </w:rPr>
        <w:t>Macbeth</w:t>
      </w:r>
      <w:r>
        <w:t xml:space="preserve">, along with all notes and annotations, to gather evidence to support an argument about which character is primarily responsible for the tragedy of </w:t>
      </w:r>
      <w:r>
        <w:rPr>
          <w:i/>
        </w:rPr>
        <w:t>Macbeth</w:t>
      </w:r>
      <w:r w:rsidR="00CA01CB">
        <w:rPr>
          <w:i/>
        </w:rPr>
        <w:t xml:space="preserve">, </w:t>
      </w:r>
      <w:r w:rsidR="00CA01CB">
        <w:t xml:space="preserve">using the </w:t>
      </w:r>
      <w:r w:rsidR="00CA01CB">
        <w:rPr>
          <w:i/>
        </w:rPr>
        <w:t>Macbeth</w:t>
      </w:r>
      <w:r w:rsidR="00CA01CB">
        <w:t xml:space="preserve"> Character Responsibility Tool.</w:t>
      </w:r>
      <w:r w:rsidR="00321D5C">
        <w:t xml:space="preserve"> Inform students that the evidence they gather will support their responses to the End-of-Unit Assessment prompt: </w:t>
      </w:r>
    </w:p>
    <w:p w:rsidR="00321D5C" w:rsidRDefault="00321D5C" w:rsidP="00321D5C">
      <w:pPr>
        <w:pStyle w:val="Q"/>
      </w:pPr>
      <w:r>
        <w:t xml:space="preserve">Select a central character from </w:t>
      </w:r>
      <w:r>
        <w:rPr>
          <w:i/>
        </w:rPr>
        <w:t>Macbeth</w:t>
      </w:r>
      <w:r>
        <w:t>. Write an argument about how this character is primarily responsible for the tragedy. Support your claims using evidence that draws on character development, interactions, plot</w:t>
      </w:r>
      <w:r w:rsidR="003423D7">
        <w:t>,</w:t>
      </w:r>
      <w:r>
        <w:t xml:space="preserve"> and/or central ideas.</w:t>
      </w:r>
    </w:p>
    <w:p w:rsidR="00321D5C" w:rsidRDefault="00321D5C" w:rsidP="00321D5C">
      <w:pPr>
        <w:pStyle w:val="IN"/>
      </w:pPr>
      <w:r>
        <w:rPr>
          <w:b/>
        </w:rPr>
        <w:t>Differentiation</w:t>
      </w:r>
      <w:r w:rsidR="00774203">
        <w:rPr>
          <w:b/>
        </w:rPr>
        <w:t xml:space="preserve"> Consideration</w:t>
      </w:r>
      <w:r>
        <w:rPr>
          <w:b/>
        </w:rPr>
        <w:t xml:space="preserve">: </w:t>
      </w:r>
      <w:r>
        <w:t xml:space="preserve">Consider simplifying the language by posing the following </w:t>
      </w:r>
      <w:r w:rsidR="00DF0298">
        <w:t>prompt</w:t>
      </w:r>
      <w:r>
        <w:t>:</w:t>
      </w:r>
    </w:p>
    <w:p w:rsidR="00CA7015" w:rsidRDefault="00321D5C" w:rsidP="00CA7015">
      <w:pPr>
        <w:pStyle w:val="DCwithQ"/>
      </w:pPr>
      <w:r>
        <w:t>Which character</w:t>
      </w:r>
      <w:r w:rsidR="007D2464">
        <w:t xml:space="preserve"> causes</w:t>
      </w:r>
      <w:r>
        <w:t xml:space="preserve"> the tragedy in </w:t>
      </w:r>
      <w:r>
        <w:rPr>
          <w:i/>
        </w:rPr>
        <w:t>Macbeth</w:t>
      </w:r>
      <w:r>
        <w:t>?</w:t>
      </w:r>
    </w:p>
    <w:p w:rsidR="00807DAC" w:rsidRDefault="007D2464" w:rsidP="00807DAC">
      <w:pPr>
        <w:pStyle w:val="TA"/>
      </w:pPr>
      <w:r>
        <w:t>Instruct students to review the 10.4.2 End-of-Unit Text Analysis Rubric and Checklist to prepare for the in-class assessment.</w:t>
      </w:r>
    </w:p>
    <w:p w:rsidR="00CA7015" w:rsidRDefault="0097245D" w:rsidP="00CA7015">
      <w:pPr>
        <w:pStyle w:val="SA"/>
      </w:pPr>
      <w:r>
        <w:t>Students follow along.</w:t>
      </w:r>
    </w:p>
    <w:p w:rsidR="0097245D" w:rsidRDefault="0097245D">
      <w:pPr>
        <w:pStyle w:val="TA"/>
      </w:pPr>
      <w:r>
        <w:t xml:space="preserve">Review the </w:t>
      </w:r>
      <w:r>
        <w:rPr>
          <w:i/>
        </w:rPr>
        <w:t>Macbeth</w:t>
      </w:r>
      <w:r>
        <w:t xml:space="preserve"> Character Responsibility Tool briefly and instruct students to work in pairs to answer the following question:</w:t>
      </w:r>
    </w:p>
    <w:p w:rsidR="00CA7015" w:rsidRDefault="0097245D" w:rsidP="00CA7015">
      <w:pPr>
        <w:pStyle w:val="Q"/>
      </w:pPr>
      <w:r>
        <w:t>Which character do you think you will choose and why?</w:t>
      </w:r>
    </w:p>
    <w:p w:rsidR="00CA7015" w:rsidRDefault="0097245D" w:rsidP="00CA7015">
      <w:pPr>
        <w:pStyle w:val="SA"/>
      </w:pPr>
      <w:r>
        <w:t>Students work in pairs to discuss the responsibility of the central characters.</w:t>
      </w:r>
    </w:p>
    <w:p w:rsidR="00790BCC" w:rsidRPr="00790BCC" w:rsidRDefault="00790BCC" w:rsidP="007017EB">
      <w:pPr>
        <w:pStyle w:val="Heading1"/>
      </w:pPr>
      <w:r w:rsidRPr="00790BCC">
        <w:t>Homework</w:t>
      </w:r>
    </w:p>
    <w:p w:rsidR="00DF0298" w:rsidRDefault="00A115F1" w:rsidP="007017EB">
      <w:r>
        <w:t xml:space="preserve">Reflect on your </w:t>
      </w:r>
      <w:r w:rsidR="00FC0ABB">
        <w:t>interpretive dramatic</w:t>
      </w:r>
      <w:r>
        <w:t xml:space="preserve"> reading performance</w:t>
      </w:r>
      <w:r w:rsidR="00F10C17">
        <w:t xml:space="preserve"> and complete</w:t>
      </w:r>
      <w:r>
        <w:t xml:space="preserve"> the</w:t>
      </w:r>
      <w:r w:rsidR="00211226">
        <w:t xml:space="preserve"> </w:t>
      </w:r>
      <w:r w:rsidR="00FC0ABB">
        <w:t>Interpretive Dramatic</w:t>
      </w:r>
      <w:r w:rsidR="00F10C17">
        <w:t xml:space="preserve"> Reading </w:t>
      </w:r>
      <w:r w:rsidR="00A40FB4">
        <w:t>S</w:t>
      </w:r>
      <w:r w:rsidR="00F10C17">
        <w:t>elf-Assessm</w:t>
      </w:r>
      <w:r>
        <w:t>ent</w:t>
      </w:r>
      <w:r w:rsidR="00211226">
        <w:t xml:space="preserve"> </w:t>
      </w:r>
      <w:r w:rsidR="00203B3B">
        <w:t>Checklist.</w:t>
      </w:r>
      <w:r>
        <w:t xml:space="preserve"> </w:t>
      </w:r>
    </w:p>
    <w:p w:rsidR="00321D5C" w:rsidRDefault="00A115F1" w:rsidP="007017EB">
      <w:r>
        <w:t xml:space="preserve">Also, </w:t>
      </w:r>
      <w:r w:rsidR="00F10C17">
        <w:t xml:space="preserve">review </w:t>
      </w:r>
      <w:r w:rsidR="00F10C17">
        <w:rPr>
          <w:i/>
        </w:rPr>
        <w:t>Macbeth</w:t>
      </w:r>
      <w:r w:rsidR="00F10C17">
        <w:t xml:space="preserve">, along with all notes and annotations, to gather evidence to support an argument about which character is primarily responsible for the tragedy of </w:t>
      </w:r>
      <w:r w:rsidR="00F10C17">
        <w:rPr>
          <w:i/>
        </w:rPr>
        <w:t>Macbeth.</w:t>
      </w:r>
      <w:r w:rsidR="00CA01CB">
        <w:t xml:space="preserve"> Use the </w:t>
      </w:r>
      <w:r w:rsidR="00CA01CB">
        <w:rPr>
          <w:i/>
        </w:rPr>
        <w:t>Macbeth</w:t>
      </w:r>
      <w:r w:rsidR="00CA01CB">
        <w:t xml:space="preserve"> Character Responsibility Tool</w:t>
      </w:r>
      <w:r w:rsidR="00321D5C">
        <w:t xml:space="preserve"> to begin gathering evidence to respond to the End-of-Unit Assessment prompt:</w:t>
      </w:r>
    </w:p>
    <w:p w:rsidR="00462F54" w:rsidRPr="00E17904" w:rsidRDefault="00321D5C" w:rsidP="00E17904">
      <w:pPr>
        <w:pStyle w:val="Q"/>
        <w:sectPr w:rsidR="00462F54" w:rsidRPr="00E17904">
          <w:headerReference w:type="default" r:id="rId9"/>
          <w:footerReference w:type="even" r:id="rId10"/>
          <w:footerReference w:type="default" r:id="rId11"/>
          <w:pgSz w:w="12240" w:h="15840"/>
          <w:pgMar w:top="1440" w:right="1440" w:bottom="1440" w:left="1440" w:header="432" w:footer="648" w:gutter="0"/>
          <w:cols w:space="720"/>
          <w:docGrid w:linePitch="299"/>
        </w:sectPr>
      </w:pPr>
      <w:r>
        <w:lastRenderedPageBreak/>
        <w:t xml:space="preserve">Select a central character from </w:t>
      </w:r>
      <w:r>
        <w:rPr>
          <w:i/>
        </w:rPr>
        <w:t>Macbeth</w:t>
      </w:r>
      <w:r>
        <w:t>. Write an argument about how this character is primarily responsible for the tragedy.</w:t>
      </w:r>
      <w:r w:rsidR="004F7635">
        <w:t xml:space="preserve"> </w:t>
      </w:r>
      <w:r>
        <w:t>Support your claims using evidence that draws on character development, interactions, plot</w:t>
      </w:r>
      <w:r w:rsidR="00C726ED">
        <w:t>,</w:t>
      </w:r>
      <w:r>
        <w:t xml:space="preserve"> and/or central ideas.</w:t>
      </w:r>
      <w:r w:rsidR="00E17904">
        <w:t xml:space="preserve"> </w:t>
      </w:r>
    </w:p>
    <w:p w:rsidR="00191CD8" w:rsidRPr="00F77B56" w:rsidRDefault="00191CD8" w:rsidP="007540E1">
      <w:pPr>
        <w:pStyle w:val="ToolHeader"/>
        <w:ind w:left="90"/>
      </w:pPr>
      <w:r w:rsidRPr="00F77B56">
        <w:lastRenderedPageBreak/>
        <w:t xml:space="preserve">Model Act Synopsis and Analysis Tool </w:t>
      </w:r>
    </w:p>
    <w:p w:rsidR="00191CD8" w:rsidRPr="00790BCC" w:rsidRDefault="00191CD8" w:rsidP="007540E1">
      <w:pPr>
        <w:pStyle w:val="IN"/>
        <w:ind w:left="450"/>
      </w:pPr>
      <w:r>
        <w:t>This is not an exhaustive list of all the traits, ideas, or evidence. Students are not expected to list all of the examples provided and may come up with additional items to include on this tool, as long as they rely on appropriate text evidence.</w:t>
      </w:r>
    </w:p>
    <w:tbl>
      <w:tblPr>
        <w:tblStyle w:val="TableGrid"/>
        <w:tblW w:w="0" w:type="auto"/>
        <w:tblInd w:w="85" w:type="dxa"/>
        <w:tblLook w:val="04A0" w:firstRow="1" w:lastRow="0" w:firstColumn="1" w:lastColumn="0" w:noHBand="0" w:noVBand="1"/>
      </w:tblPr>
      <w:tblGrid>
        <w:gridCol w:w="1183"/>
        <w:gridCol w:w="1881"/>
        <w:gridCol w:w="3356"/>
        <w:gridCol w:w="1605"/>
        <w:gridCol w:w="4727"/>
      </w:tblGrid>
      <w:tr w:rsidR="00191CD8" w:rsidRPr="000B3273" w:rsidTr="007540E1">
        <w:trPr>
          <w:trHeight w:val="403"/>
        </w:trPr>
        <w:tc>
          <w:tcPr>
            <w:tcW w:w="12752" w:type="dxa"/>
            <w:gridSpan w:val="5"/>
            <w:shd w:val="clear" w:color="auto" w:fill="D9D9D9"/>
          </w:tcPr>
          <w:p w:rsidR="00495195" w:rsidRDefault="00191CD8" w:rsidP="00E402DE">
            <w:pPr>
              <w:pStyle w:val="ToolTableText"/>
              <w:rPr>
                <w:sz w:val="22"/>
                <w:szCs w:val="22"/>
              </w:rPr>
            </w:pPr>
            <w:r w:rsidRPr="00D67280">
              <w:rPr>
                <w:b/>
              </w:rPr>
              <w:t>Act</w:t>
            </w:r>
            <w:r>
              <w:t>: __</w:t>
            </w:r>
            <w:r w:rsidRPr="00600E54">
              <w:rPr>
                <w:u w:val="single"/>
              </w:rPr>
              <w:t>5</w:t>
            </w:r>
            <w:r>
              <w:t xml:space="preserve">__ </w:t>
            </w:r>
            <w:r w:rsidRPr="00D67280">
              <w:rPr>
                <w:b/>
              </w:rPr>
              <w:t>Summary</w:t>
            </w:r>
            <w:r>
              <w:t xml:space="preserve">: In Act 5.1, the Doctor and a Waiting-Gentlewoman watch as Lady Macbeth sleepwalks and talks to herself and an imaginary Macbeth about the murders they have committed. In the following scene, the thanes meet to discuss the situation and decide to desert Macbeth. Having learned of this, in Act 5.3, Macbeth says that he will fight to the death and receives an update from the Doctor on Lady Macbeth’s condition. Act 5.4 sees the thanes preparing for battle near </w:t>
            </w:r>
            <w:proofErr w:type="spellStart"/>
            <w:r>
              <w:t>Birnam</w:t>
            </w:r>
            <w:proofErr w:type="spellEnd"/>
            <w:r>
              <w:t xml:space="preserve"> Wood. Malcolm tells each soldier to cut down a branch and carry it before him in order to hide their numbers. In Act 5.5, Macbeth learns that Lady Macbeth has died and reflects on the meaninglessness of life before a messenger brings news that </w:t>
            </w:r>
            <w:proofErr w:type="spellStart"/>
            <w:r>
              <w:t>Birnam</w:t>
            </w:r>
            <w:proofErr w:type="spellEnd"/>
            <w:r>
              <w:t xml:space="preserve"> Wood is moving against </w:t>
            </w:r>
            <w:proofErr w:type="spellStart"/>
            <w:r>
              <w:t>Dunsinane</w:t>
            </w:r>
            <w:proofErr w:type="spellEnd"/>
            <w:r>
              <w:t xml:space="preserve">. </w:t>
            </w:r>
            <w:r w:rsidR="00E402DE">
              <w:t>I</w:t>
            </w:r>
            <w:r>
              <w:t xml:space="preserve">n Act 5.6 the battle begins. In Act 5.7, Macbeth kills young </w:t>
            </w:r>
            <w:proofErr w:type="spellStart"/>
            <w:r>
              <w:t>Siward</w:t>
            </w:r>
            <w:proofErr w:type="spellEnd"/>
            <w:r>
              <w:t xml:space="preserve"> as Macduff seeks Macbeth out for revenge. Finally, in Act 5.8 Shakespeare unfolds the climax of the play: Macduff and Macbeth meet and the former kills the latter and brings his head to Malcolm who is proclaimed King, announces that Lady Macbeth has committed suicide</w:t>
            </w:r>
            <w:r w:rsidR="00E402DE">
              <w:t>,</w:t>
            </w:r>
            <w:r>
              <w:t xml:space="preserve"> and restores order. </w:t>
            </w:r>
          </w:p>
        </w:tc>
      </w:tr>
      <w:tr w:rsidR="00191CD8" w:rsidRPr="000B3273" w:rsidTr="007540E1">
        <w:trPr>
          <w:trHeight w:val="403"/>
        </w:trPr>
        <w:tc>
          <w:tcPr>
            <w:tcW w:w="6420" w:type="dxa"/>
            <w:gridSpan w:val="3"/>
            <w:shd w:val="clear" w:color="auto" w:fill="D9D9D9"/>
          </w:tcPr>
          <w:p w:rsidR="00191CD8" w:rsidRDefault="00191CD8" w:rsidP="00191CD8">
            <w:pPr>
              <w:pStyle w:val="ToolTableText"/>
              <w:rPr>
                <w:b/>
              </w:rPr>
            </w:pPr>
            <w:r>
              <w:rPr>
                <w:b/>
              </w:rPr>
              <w:t>Character Development</w:t>
            </w:r>
          </w:p>
        </w:tc>
        <w:tc>
          <w:tcPr>
            <w:tcW w:w="6332" w:type="dxa"/>
            <w:gridSpan w:val="2"/>
            <w:shd w:val="clear" w:color="auto" w:fill="D9D9D9"/>
          </w:tcPr>
          <w:p w:rsidR="00191CD8" w:rsidRDefault="00191CD8" w:rsidP="00191CD8">
            <w:pPr>
              <w:pStyle w:val="ToolTableText"/>
              <w:rPr>
                <w:b/>
              </w:rPr>
            </w:pPr>
            <w:r>
              <w:rPr>
                <w:b/>
              </w:rPr>
              <w:t>Central Ideas</w:t>
            </w:r>
          </w:p>
        </w:tc>
      </w:tr>
      <w:tr w:rsidR="00191CD8" w:rsidRPr="000B3273" w:rsidTr="007540E1">
        <w:trPr>
          <w:trHeight w:val="402"/>
        </w:trPr>
        <w:tc>
          <w:tcPr>
            <w:tcW w:w="1183" w:type="dxa"/>
            <w:shd w:val="clear" w:color="auto" w:fill="D9D9D9"/>
          </w:tcPr>
          <w:p w:rsidR="00191CD8" w:rsidRDefault="00191CD8" w:rsidP="00191CD8">
            <w:pPr>
              <w:pStyle w:val="ToolTableText"/>
              <w:rPr>
                <w:b/>
              </w:rPr>
            </w:pPr>
            <w:r>
              <w:rPr>
                <w:b/>
              </w:rPr>
              <w:t>Character</w:t>
            </w:r>
          </w:p>
        </w:tc>
        <w:tc>
          <w:tcPr>
            <w:tcW w:w="1881" w:type="dxa"/>
            <w:shd w:val="clear" w:color="auto" w:fill="D9D9D9"/>
          </w:tcPr>
          <w:p w:rsidR="00191CD8" w:rsidRDefault="00191CD8" w:rsidP="00191CD8">
            <w:pPr>
              <w:pStyle w:val="ToolTableText"/>
              <w:rPr>
                <w:b/>
              </w:rPr>
            </w:pPr>
            <w:r>
              <w:rPr>
                <w:b/>
              </w:rPr>
              <w:t>Trait</w:t>
            </w:r>
          </w:p>
        </w:tc>
        <w:tc>
          <w:tcPr>
            <w:tcW w:w="3356" w:type="dxa"/>
            <w:shd w:val="clear" w:color="auto" w:fill="D9D9D9"/>
          </w:tcPr>
          <w:p w:rsidR="00191CD8" w:rsidRDefault="00191CD8">
            <w:pPr>
              <w:pStyle w:val="ToolTableText"/>
              <w:rPr>
                <w:b/>
                <w:sz w:val="22"/>
                <w:szCs w:val="22"/>
              </w:rPr>
            </w:pPr>
            <w:r>
              <w:rPr>
                <w:b/>
              </w:rPr>
              <w:t>Evidence</w:t>
            </w:r>
          </w:p>
        </w:tc>
        <w:tc>
          <w:tcPr>
            <w:tcW w:w="1605" w:type="dxa"/>
            <w:shd w:val="clear" w:color="auto" w:fill="D9D9D9"/>
          </w:tcPr>
          <w:p w:rsidR="00191CD8" w:rsidRDefault="00191CD8">
            <w:pPr>
              <w:pStyle w:val="ToolTableText"/>
              <w:rPr>
                <w:b/>
                <w:sz w:val="22"/>
                <w:szCs w:val="22"/>
              </w:rPr>
            </w:pPr>
            <w:r>
              <w:rPr>
                <w:b/>
              </w:rPr>
              <w:t>Idea</w:t>
            </w:r>
          </w:p>
        </w:tc>
        <w:tc>
          <w:tcPr>
            <w:tcW w:w="4727" w:type="dxa"/>
            <w:shd w:val="clear" w:color="auto" w:fill="D9D9D9"/>
          </w:tcPr>
          <w:p w:rsidR="00191CD8" w:rsidRDefault="00191CD8">
            <w:pPr>
              <w:pStyle w:val="ToolTableText"/>
              <w:rPr>
                <w:b/>
                <w:sz w:val="22"/>
                <w:szCs w:val="22"/>
              </w:rPr>
            </w:pPr>
            <w:r>
              <w:rPr>
                <w:b/>
              </w:rPr>
              <w:t>Evidence</w:t>
            </w:r>
          </w:p>
        </w:tc>
      </w:tr>
      <w:tr w:rsidR="00191CD8" w:rsidRPr="00790BCC" w:rsidTr="007540E1">
        <w:trPr>
          <w:trHeight w:val="3477"/>
        </w:trPr>
        <w:tc>
          <w:tcPr>
            <w:tcW w:w="1183" w:type="dxa"/>
          </w:tcPr>
          <w:p w:rsidR="00191CD8" w:rsidRDefault="00191CD8" w:rsidP="00B64244">
            <w:pPr>
              <w:pStyle w:val="ToolTableText"/>
              <w:spacing w:before="120"/>
            </w:pPr>
            <w:r>
              <w:t>Lady Macbeth</w:t>
            </w:r>
          </w:p>
          <w:p w:rsidR="00191CD8" w:rsidRDefault="00191CD8" w:rsidP="00191CD8">
            <w:pPr>
              <w:pStyle w:val="ToolTableText"/>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Pr="00790BCC" w:rsidRDefault="00191CD8">
            <w:pPr>
              <w:pStyle w:val="ToolTableText"/>
              <w:rPr>
                <w:sz w:val="22"/>
                <w:szCs w:val="22"/>
              </w:rPr>
            </w:pPr>
          </w:p>
        </w:tc>
        <w:tc>
          <w:tcPr>
            <w:tcW w:w="1881" w:type="dxa"/>
          </w:tcPr>
          <w:p w:rsidR="00191CD8" w:rsidRDefault="00191CD8" w:rsidP="00B64244">
            <w:pPr>
              <w:pStyle w:val="ToolTableText"/>
              <w:spacing w:before="120"/>
              <w:rPr>
                <w:sz w:val="22"/>
                <w:szCs w:val="22"/>
              </w:rPr>
            </w:pPr>
            <w:r>
              <w:t>Guilt/anxiety leading to madness and sleepwalking as consequence of Duncan’s murder</w:t>
            </w: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Pr="00790BCC" w:rsidRDefault="00191CD8">
            <w:pPr>
              <w:pStyle w:val="ToolTableText"/>
              <w:rPr>
                <w:sz w:val="22"/>
                <w:szCs w:val="22"/>
              </w:rPr>
            </w:pPr>
          </w:p>
        </w:tc>
        <w:tc>
          <w:tcPr>
            <w:tcW w:w="3356" w:type="dxa"/>
          </w:tcPr>
          <w:p w:rsidR="00191CD8" w:rsidRDefault="00191CD8" w:rsidP="00B64244">
            <w:pPr>
              <w:pStyle w:val="ToolTableText"/>
              <w:spacing w:before="120"/>
              <w:rPr>
                <w:sz w:val="22"/>
                <w:szCs w:val="22"/>
              </w:rPr>
            </w:pPr>
            <w:r>
              <w:t xml:space="preserve">“Out, damned spot, out I say! One. Two. / Why then, </w:t>
            </w:r>
            <w:r w:rsidR="00C726ED">
              <w:t>’</w:t>
            </w:r>
            <w:r>
              <w:t>tis time to do</w:t>
            </w:r>
            <w:r w:rsidR="00C726ED">
              <w:t xml:space="preserve"> </w:t>
            </w:r>
            <w:r>
              <w:t>’t. Hell is murky. Fie, my /</w:t>
            </w:r>
            <w:r w:rsidR="005E1176">
              <w:t xml:space="preserve"> </w:t>
            </w:r>
            <w:r>
              <w:t>lord, fie, a soldier and afeard? What need we fear / who knows it, when none can call our power to / account? Yet who would have thought the old man / to have had so much blood in him?” (Act 5.1, lines 37</w:t>
            </w:r>
            <w:r w:rsidR="005E1176">
              <w:t>–</w:t>
            </w:r>
            <w:r>
              <w:t>42)</w:t>
            </w:r>
          </w:p>
          <w:p w:rsidR="00191CD8" w:rsidRPr="00790BCC" w:rsidRDefault="00191CD8" w:rsidP="00232C77">
            <w:pPr>
              <w:pStyle w:val="ToolTableText"/>
              <w:rPr>
                <w:sz w:val="22"/>
                <w:szCs w:val="22"/>
              </w:rPr>
            </w:pPr>
          </w:p>
        </w:tc>
        <w:tc>
          <w:tcPr>
            <w:tcW w:w="1605" w:type="dxa"/>
          </w:tcPr>
          <w:p w:rsidR="00191CD8" w:rsidRDefault="00191CD8" w:rsidP="00B64244">
            <w:pPr>
              <w:pStyle w:val="ToolTableText"/>
              <w:spacing w:before="120"/>
              <w:rPr>
                <w:sz w:val="22"/>
                <w:szCs w:val="22"/>
              </w:rPr>
            </w:pPr>
            <w:r>
              <w:t xml:space="preserve">Mortality </w:t>
            </w: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p>
          <w:p w:rsidR="00191CD8" w:rsidRDefault="00191CD8">
            <w:pPr>
              <w:pStyle w:val="ToolTableText"/>
              <w:rPr>
                <w:sz w:val="22"/>
                <w:szCs w:val="22"/>
              </w:rPr>
            </w:pPr>
            <w:r>
              <w:t>Breakdown of natural order</w:t>
            </w:r>
          </w:p>
          <w:p w:rsidR="00191CD8" w:rsidRPr="00790BCC" w:rsidRDefault="00191CD8">
            <w:pPr>
              <w:pStyle w:val="ToolTableText"/>
              <w:rPr>
                <w:sz w:val="22"/>
                <w:szCs w:val="22"/>
              </w:rPr>
            </w:pPr>
          </w:p>
        </w:tc>
        <w:tc>
          <w:tcPr>
            <w:tcW w:w="4727" w:type="dxa"/>
          </w:tcPr>
          <w:p w:rsidR="00191CD8" w:rsidRDefault="00191CD8" w:rsidP="00B64244">
            <w:pPr>
              <w:pStyle w:val="ToolTableText"/>
              <w:spacing w:before="120"/>
              <w:rPr>
                <w:sz w:val="22"/>
                <w:szCs w:val="22"/>
              </w:rPr>
            </w:pPr>
            <w:r>
              <w:t>“Tomorrow and tomorrow and tomorrow / Creeps in this petty pace from day to day / To the last syllable of recorded time</w:t>
            </w:r>
            <w:r w:rsidR="0074166C">
              <w:t>,</w:t>
            </w:r>
            <w:r>
              <w:t xml:space="preserve"> / And all our yesterdays have lighted fools / The way to dusty death. Out, out, brief candle</w:t>
            </w:r>
            <w:r w:rsidR="002A52EB">
              <w:t>.</w:t>
            </w:r>
            <w:r>
              <w:t>” (Act 5.5</w:t>
            </w:r>
            <w:r w:rsidR="005E1176">
              <w:t>,</w:t>
            </w:r>
            <w:r>
              <w:t xml:space="preserve"> lines 22</w:t>
            </w:r>
            <w:r w:rsidR="005E1176">
              <w:t>–</w:t>
            </w:r>
            <w:r>
              <w:t>26)</w:t>
            </w:r>
          </w:p>
          <w:p w:rsidR="00191CD8" w:rsidRDefault="00191CD8" w:rsidP="00943F62">
            <w:pPr>
              <w:pStyle w:val="ToolTableText"/>
              <w:spacing w:after="280"/>
              <w:rPr>
                <w:sz w:val="22"/>
                <w:szCs w:val="22"/>
              </w:rPr>
            </w:pPr>
          </w:p>
          <w:p w:rsidR="00191CD8" w:rsidRPr="00790BCC" w:rsidRDefault="00191CD8" w:rsidP="00B64244">
            <w:pPr>
              <w:pStyle w:val="ToolTableText"/>
              <w:rPr>
                <w:sz w:val="22"/>
                <w:szCs w:val="22"/>
              </w:rPr>
            </w:pPr>
            <w:r>
              <w:t xml:space="preserve">“Unnatural deeds </w:t>
            </w:r>
            <w:r w:rsidR="0074166C">
              <w:t>/ D</w:t>
            </w:r>
            <w:r>
              <w:t>o breed unnatural troubles</w:t>
            </w:r>
            <w:r w:rsidR="002A52EB">
              <w:t>.</w:t>
            </w:r>
            <w:r>
              <w:t>” (Act 5.1, lines 75</w:t>
            </w:r>
            <w:r w:rsidR="005C0AD2">
              <w:t>–</w:t>
            </w:r>
            <w:r>
              <w:t>76)</w:t>
            </w:r>
          </w:p>
        </w:tc>
      </w:tr>
      <w:tr w:rsidR="00B64244" w:rsidRPr="00790BCC" w:rsidTr="007540E1">
        <w:trPr>
          <w:trHeight w:val="7631"/>
        </w:trPr>
        <w:tc>
          <w:tcPr>
            <w:tcW w:w="1183" w:type="dxa"/>
          </w:tcPr>
          <w:p w:rsidR="00B64244" w:rsidRDefault="00B64244" w:rsidP="00B64244">
            <w:pPr>
              <w:pStyle w:val="ToolTableText"/>
              <w:rPr>
                <w:sz w:val="22"/>
                <w:szCs w:val="22"/>
              </w:rPr>
            </w:pPr>
          </w:p>
          <w:p w:rsidR="00B64244" w:rsidRDefault="00B64244" w:rsidP="00B64244">
            <w:pPr>
              <w:pStyle w:val="ToolTableText"/>
              <w:rPr>
                <w:sz w:val="22"/>
                <w:szCs w:val="22"/>
              </w:rPr>
            </w:pPr>
            <w:r>
              <w:t>Macbeth</w:t>
            </w: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pPr>
            <w:r>
              <w:t xml:space="preserve">Macduff </w:t>
            </w:r>
          </w:p>
        </w:tc>
        <w:tc>
          <w:tcPr>
            <w:tcW w:w="1881" w:type="dxa"/>
          </w:tcPr>
          <w:p w:rsidR="00B64244" w:rsidRDefault="00B64244" w:rsidP="00B64244">
            <w:pPr>
              <w:pStyle w:val="ToolTableText"/>
              <w:rPr>
                <w:sz w:val="22"/>
                <w:szCs w:val="22"/>
              </w:rPr>
            </w:pPr>
          </w:p>
          <w:p w:rsidR="00B64244" w:rsidRDefault="00B64244" w:rsidP="00B64244">
            <w:pPr>
              <w:pStyle w:val="ToolTableText"/>
              <w:rPr>
                <w:sz w:val="22"/>
                <w:szCs w:val="22"/>
              </w:rPr>
            </w:pPr>
            <w:r>
              <w:t>Manic confidence in Witches’ prophecy/refusal to give in</w:t>
            </w: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spacing w:before="360"/>
              <w:rPr>
                <w:sz w:val="22"/>
                <w:szCs w:val="22"/>
              </w:rPr>
            </w:pPr>
            <w:r>
              <w:rPr>
                <w:sz w:val="22"/>
                <w:szCs w:val="22"/>
              </w:rPr>
              <w:t>V</w:t>
            </w:r>
            <w:r>
              <w:t xml:space="preserve">iolence and cruelty </w:t>
            </w: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spacing w:after="0"/>
              <w:rPr>
                <w:sz w:val="22"/>
                <w:szCs w:val="22"/>
              </w:rPr>
            </w:pPr>
          </w:p>
          <w:p w:rsidR="00B64244" w:rsidRDefault="00B64244" w:rsidP="00B64244">
            <w:pPr>
              <w:pStyle w:val="ToolTableText"/>
              <w:rPr>
                <w:sz w:val="22"/>
                <w:szCs w:val="22"/>
              </w:rPr>
            </w:pPr>
            <w:r>
              <w:t>Guilt/self-loathing/regret</w:t>
            </w: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r>
              <w:t xml:space="preserve">Weariness of life </w:t>
            </w: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p>
          <w:p w:rsidR="00B64244" w:rsidRDefault="00B64244" w:rsidP="00B64244">
            <w:pPr>
              <w:pStyle w:val="ToolTableText"/>
              <w:rPr>
                <w:sz w:val="22"/>
                <w:szCs w:val="22"/>
              </w:rPr>
            </w:pPr>
            <w:r>
              <w:t xml:space="preserve">Courage </w:t>
            </w:r>
          </w:p>
          <w:p w:rsidR="00B64244" w:rsidRDefault="00B64244" w:rsidP="00B64244">
            <w:pPr>
              <w:pStyle w:val="ToolTableText"/>
              <w:rPr>
                <w:sz w:val="22"/>
                <w:szCs w:val="22"/>
              </w:rPr>
            </w:pPr>
          </w:p>
          <w:p w:rsidR="00B64244" w:rsidRDefault="00B64244" w:rsidP="00B64244">
            <w:pPr>
              <w:pStyle w:val="ToolTableText"/>
              <w:spacing w:after="0"/>
              <w:rPr>
                <w:sz w:val="22"/>
                <w:szCs w:val="22"/>
              </w:rPr>
            </w:pPr>
          </w:p>
          <w:p w:rsidR="00B64244" w:rsidRDefault="00B64244" w:rsidP="00B64244">
            <w:pPr>
              <w:pStyle w:val="ToolTableText"/>
              <w:rPr>
                <w:sz w:val="22"/>
                <w:szCs w:val="22"/>
              </w:rPr>
            </w:pPr>
            <w:r>
              <w:t>Tenderness</w:t>
            </w:r>
          </w:p>
          <w:p w:rsidR="00B64244" w:rsidRDefault="00B64244" w:rsidP="00B64244">
            <w:pPr>
              <w:pStyle w:val="ToolTableText"/>
              <w:rPr>
                <w:sz w:val="22"/>
                <w:szCs w:val="22"/>
              </w:rPr>
            </w:pPr>
          </w:p>
          <w:p w:rsidR="00B64244" w:rsidRDefault="00B64244" w:rsidP="00B64244">
            <w:pPr>
              <w:pStyle w:val="ToolTableText"/>
              <w:rPr>
                <w:sz w:val="22"/>
                <w:szCs w:val="22"/>
              </w:rPr>
            </w:pPr>
            <w:r>
              <w:t>Mercy</w:t>
            </w:r>
          </w:p>
          <w:p w:rsidR="00B64244" w:rsidRDefault="00B64244" w:rsidP="00B64244">
            <w:pPr>
              <w:pStyle w:val="ToolTableText"/>
            </w:pPr>
          </w:p>
        </w:tc>
        <w:tc>
          <w:tcPr>
            <w:tcW w:w="3356" w:type="dxa"/>
          </w:tcPr>
          <w:p w:rsidR="00B64244" w:rsidRDefault="00B64244" w:rsidP="00B64244">
            <w:pPr>
              <w:pStyle w:val="ToolTableText"/>
              <w:rPr>
                <w:sz w:val="22"/>
                <w:szCs w:val="22"/>
              </w:rPr>
            </w:pPr>
          </w:p>
          <w:p w:rsidR="00B64244" w:rsidRDefault="00B64244" w:rsidP="00B64244">
            <w:pPr>
              <w:pStyle w:val="ToolTableText"/>
              <w:rPr>
                <w:sz w:val="22"/>
                <w:szCs w:val="22"/>
              </w:rPr>
            </w:pPr>
            <w:r>
              <w:t>“Some say he’s mad; others that lesser hate him / Do call it valiant fury.” (Act 5.2, lines 15–16)</w:t>
            </w:r>
          </w:p>
          <w:p w:rsidR="00B64244" w:rsidRDefault="00B64244" w:rsidP="00B64244">
            <w:pPr>
              <w:pStyle w:val="ToolTableText"/>
              <w:rPr>
                <w:sz w:val="22"/>
                <w:szCs w:val="22"/>
              </w:rPr>
            </w:pPr>
            <w:r>
              <w:t xml:space="preserve">“Till </w:t>
            </w:r>
            <w:proofErr w:type="spellStart"/>
            <w:r>
              <w:t>Birnam</w:t>
            </w:r>
            <w:proofErr w:type="spellEnd"/>
            <w:r>
              <w:t xml:space="preserve"> Wood remove to </w:t>
            </w:r>
            <w:proofErr w:type="spellStart"/>
            <w:r>
              <w:t>Dunsinane</w:t>
            </w:r>
            <w:proofErr w:type="spellEnd"/>
            <w:r>
              <w:t xml:space="preserve"> / I cannot taint with fear. What’s the boy Malcolm? / Was he not born of woman? The spirits that know / All mortal consequences have pronounced me thus: / ‘Fear not, Macbeth. No man that’s born of woman / Shall </w:t>
            </w:r>
            <w:proofErr w:type="spellStart"/>
            <w:r>
              <w:t>e’er</w:t>
            </w:r>
            <w:proofErr w:type="spellEnd"/>
            <w:r>
              <w:t xml:space="preserve"> have power upon thee.” (Act 5.3, lines 2–7)</w:t>
            </w:r>
          </w:p>
          <w:p w:rsidR="00B64244" w:rsidRDefault="00B64244" w:rsidP="00B64244">
            <w:pPr>
              <w:pStyle w:val="ToolTableText"/>
              <w:rPr>
                <w:sz w:val="22"/>
                <w:szCs w:val="22"/>
              </w:rPr>
            </w:pPr>
            <w:r>
              <w:t>“I’ll fight till from my bones my flesh be hacked.” (Act 5.3, line 38)</w:t>
            </w:r>
          </w:p>
          <w:p w:rsidR="00B64244" w:rsidRDefault="00B64244" w:rsidP="00B64244">
            <w:pPr>
              <w:pStyle w:val="ToolTableText"/>
              <w:rPr>
                <w:sz w:val="22"/>
                <w:szCs w:val="22"/>
              </w:rPr>
            </w:pPr>
            <w:r>
              <w:t>“Blow wind, come wrack / At least we’ll die with harness on our back.” (Act 5.5, lines 58–59)</w:t>
            </w:r>
          </w:p>
          <w:p w:rsidR="00B64244" w:rsidRDefault="00B64244" w:rsidP="00B64244">
            <w:pPr>
              <w:pStyle w:val="ToolTableText"/>
              <w:rPr>
                <w:sz w:val="22"/>
                <w:szCs w:val="22"/>
              </w:rPr>
            </w:pPr>
            <w:r>
              <w:t>“I will not yield / To kiss the ground before young Malcolm’s feet / And to be baited with the rabble’s curse.” (Act 5.8, lines 32–34)</w:t>
            </w:r>
          </w:p>
          <w:p w:rsidR="00B64244" w:rsidRDefault="00B64244" w:rsidP="00B64244">
            <w:pPr>
              <w:pStyle w:val="ToolTableText"/>
              <w:rPr>
                <w:sz w:val="22"/>
                <w:szCs w:val="22"/>
              </w:rPr>
            </w:pPr>
          </w:p>
          <w:p w:rsidR="00B64244" w:rsidRDefault="00B64244" w:rsidP="00B64244">
            <w:pPr>
              <w:pStyle w:val="ToolTableText"/>
              <w:rPr>
                <w:sz w:val="22"/>
                <w:szCs w:val="22"/>
              </w:rPr>
            </w:pPr>
            <w:r>
              <w:t>“</w:t>
            </w:r>
            <w:proofErr w:type="spellStart"/>
            <w:r>
              <w:t>Skirr</w:t>
            </w:r>
            <w:proofErr w:type="spellEnd"/>
            <w:r>
              <w:t xml:space="preserve"> the country round. / Hang those that talk of fear.” (Act 5.3, lines 42–43)</w:t>
            </w:r>
          </w:p>
          <w:p w:rsidR="00B64244" w:rsidRDefault="00B64244" w:rsidP="00B64244">
            <w:pPr>
              <w:pStyle w:val="ToolTableText"/>
              <w:rPr>
                <w:sz w:val="22"/>
                <w:szCs w:val="22"/>
              </w:rPr>
            </w:pPr>
            <w:r>
              <w:t>“Whiles I see lives, the gashes / Do better upon them.” (Act 5.8, lines 2–3)</w:t>
            </w:r>
          </w:p>
          <w:p w:rsidR="00B64244" w:rsidRDefault="00B64244" w:rsidP="00B64244">
            <w:pPr>
              <w:pStyle w:val="ToolTableText"/>
              <w:rPr>
                <w:sz w:val="22"/>
                <w:szCs w:val="22"/>
              </w:rPr>
            </w:pPr>
          </w:p>
          <w:p w:rsidR="00B64244" w:rsidRDefault="00B64244" w:rsidP="00B64244">
            <w:pPr>
              <w:pStyle w:val="ToolTableText"/>
              <w:rPr>
                <w:sz w:val="22"/>
                <w:szCs w:val="22"/>
              </w:rPr>
            </w:pPr>
            <w:r>
              <w:t xml:space="preserve">“My way of life / Is </w:t>
            </w:r>
            <w:proofErr w:type="spellStart"/>
            <w:r>
              <w:t>fall’n</w:t>
            </w:r>
            <w:proofErr w:type="spellEnd"/>
            <w:r>
              <w:t xml:space="preserve"> into the sere, the yellow leaf.” (Act 5.3. lines 26–27)</w:t>
            </w:r>
          </w:p>
          <w:p w:rsidR="00B64244" w:rsidRDefault="00B64244" w:rsidP="00B64244">
            <w:pPr>
              <w:pStyle w:val="ToolTableText"/>
              <w:rPr>
                <w:sz w:val="22"/>
                <w:szCs w:val="22"/>
              </w:rPr>
            </w:pPr>
          </w:p>
          <w:p w:rsidR="00B64244" w:rsidRDefault="00B64244" w:rsidP="00B64244">
            <w:pPr>
              <w:pStyle w:val="ToolTableText"/>
              <w:rPr>
                <w:sz w:val="22"/>
                <w:szCs w:val="22"/>
              </w:rPr>
            </w:pPr>
            <w:r>
              <w:t xml:space="preserve">“Direness, familiar to my </w:t>
            </w:r>
            <w:proofErr w:type="spellStart"/>
            <w:r>
              <w:t>slaughterous</w:t>
            </w:r>
            <w:proofErr w:type="spellEnd"/>
            <w:r>
              <w:t xml:space="preserve"> thoughts, / Cannot once start me.” (Act 5.5, lines 16–17)</w:t>
            </w:r>
          </w:p>
          <w:p w:rsidR="00B64244" w:rsidRDefault="00B64244" w:rsidP="00B64244">
            <w:pPr>
              <w:pStyle w:val="ToolTableText"/>
            </w:pPr>
          </w:p>
          <w:p w:rsidR="00B64244" w:rsidRDefault="00B64244" w:rsidP="00B64244">
            <w:pPr>
              <w:pStyle w:val="ToolTableText"/>
              <w:rPr>
                <w:sz w:val="22"/>
                <w:szCs w:val="22"/>
              </w:rPr>
            </w:pPr>
            <w:r>
              <w:t>“Life’s but a walking shadow, a poor player / That struts and frets his hour upon the stage / And then is heard no more.” (Act 5.5, lines 27–28)</w:t>
            </w:r>
          </w:p>
          <w:p w:rsidR="00B64244" w:rsidRDefault="00B64244" w:rsidP="00B64244">
            <w:pPr>
              <w:pStyle w:val="ToolTableText"/>
              <w:rPr>
                <w:sz w:val="22"/>
                <w:szCs w:val="22"/>
              </w:rPr>
            </w:pPr>
            <w:r>
              <w:t xml:space="preserve">“I ’gin to be </w:t>
            </w:r>
            <w:proofErr w:type="spellStart"/>
            <w:r>
              <w:t>aweary</w:t>
            </w:r>
            <w:proofErr w:type="spellEnd"/>
            <w:r>
              <w:t xml:space="preserve"> of the sun / And wish </w:t>
            </w:r>
            <w:proofErr w:type="spellStart"/>
            <w:r>
              <w:t>th</w:t>
            </w:r>
            <w:proofErr w:type="spellEnd"/>
            <w:r>
              <w:t xml:space="preserve">’ estate o’ </w:t>
            </w:r>
            <w:proofErr w:type="spellStart"/>
            <w:r>
              <w:t>th</w:t>
            </w:r>
            <w:proofErr w:type="spellEnd"/>
            <w:r>
              <w:t>’ world were now / undone.” (Act 5.5, lines 55–56)</w:t>
            </w:r>
          </w:p>
          <w:p w:rsidR="00B64244" w:rsidRDefault="00B64244" w:rsidP="00B64244">
            <w:pPr>
              <w:pStyle w:val="ToolTableText"/>
              <w:rPr>
                <w:sz w:val="22"/>
                <w:szCs w:val="22"/>
              </w:rPr>
            </w:pPr>
          </w:p>
          <w:p w:rsidR="00B64244" w:rsidRDefault="00B64244" w:rsidP="00B64244">
            <w:pPr>
              <w:pStyle w:val="ToolTableText"/>
              <w:rPr>
                <w:sz w:val="22"/>
                <w:szCs w:val="22"/>
              </w:rPr>
            </w:pPr>
            <w:r>
              <w:t>Seeks out the heat of battle to get to Macbeth: “That way the noise is.” (Act 5.7, line 19)</w:t>
            </w:r>
          </w:p>
          <w:p w:rsidR="00B64244" w:rsidRDefault="00B64244" w:rsidP="00B64244">
            <w:pPr>
              <w:pStyle w:val="ToolTableText"/>
              <w:rPr>
                <w:sz w:val="22"/>
                <w:szCs w:val="22"/>
              </w:rPr>
            </w:pPr>
            <w:r>
              <w:t xml:space="preserve">“If thou </w:t>
            </w:r>
            <w:proofErr w:type="spellStart"/>
            <w:r>
              <w:t>beest</w:t>
            </w:r>
            <w:proofErr w:type="spellEnd"/>
            <w:r>
              <w:t xml:space="preserve"> slain, and with no stroke of mine, / My wife and children’s ghosts will haunt me still.” (Act 5.7, lines 20–21)</w:t>
            </w:r>
          </w:p>
          <w:p w:rsidR="00B64244" w:rsidRDefault="00B64244" w:rsidP="00B64244">
            <w:pPr>
              <w:pStyle w:val="ToolTableText"/>
            </w:pPr>
            <w:r>
              <w:t>“I cannot strike at wretched kerns, whose arms / Are hired to bear their staves.” (Act 5.7, 22–23)</w:t>
            </w:r>
          </w:p>
        </w:tc>
        <w:tc>
          <w:tcPr>
            <w:tcW w:w="1605" w:type="dxa"/>
          </w:tcPr>
          <w:p w:rsidR="00B64244" w:rsidRDefault="00B64244" w:rsidP="00B64244">
            <w:pPr>
              <w:pStyle w:val="ToolTableText"/>
            </w:pPr>
          </w:p>
          <w:p w:rsidR="00B64244" w:rsidRDefault="00B64244" w:rsidP="00B64244">
            <w:pPr>
              <w:pStyle w:val="ToolTableText"/>
            </w:pPr>
            <w:r>
              <w:t>Truth versus deception</w:t>
            </w:r>
          </w:p>
        </w:tc>
        <w:tc>
          <w:tcPr>
            <w:tcW w:w="4727" w:type="dxa"/>
          </w:tcPr>
          <w:p w:rsidR="00B64244" w:rsidRDefault="00B64244" w:rsidP="00B64244">
            <w:pPr>
              <w:pStyle w:val="ToolTableText"/>
              <w:spacing w:after="0"/>
              <w:rPr>
                <w:sz w:val="22"/>
                <w:szCs w:val="22"/>
              </w:rPr>
            </w:pPr>
          </w:p>
          <w:p w:rsidR="00B64244" w:rsidRDefault="00B64244" w:rsidP="00B64244">
            <w:pPr>
              <w:pStyle w:val="ToolTableText"/>
              <w:rPr>
                <w:sz w:val="22"/>
                <w:szCs w:val="22"/>
              </w:rPr>
            </w:pPr>
            <w:r>
              <w:t>“And be these juggling fiends no more believed / That palter with us in a double sense, / That keep the word of promise to our ear / And break it to our hope.” (Act 5.8, lines 23–26)</w:t>
            </w:r>
          </w:p>
          <w:p w:rsidR="00B64244" w:rsidRDefault="00B64244" w:rsidP="00B64244">
            <w:pPr>
              <w:pStyle w:val="ToolTableText"/>
            </w:pPr>
          </w:p>
        </w:tc>
      </w:tr>
    </w:tbl>
    <w:p w:rsidR="003E4E60" w:rsidRDefault="003E4E60" w:rsidP="00CA01CB">
      <w:pPr>
        <w:pStyle w:val="ToolHeader"/>
        <w:rPr>
          <w:i/>
        </w:rPr>
        <w:sectPr w:rsidR="003E4E60" w:rsidSect="00B64244">
          <w:headerReference w:type="default" r:id="rId12"/>
          <w:footerReference w:type="even" r:id="rId13"/>
          <w:footerReference w:type="default" r:id="rId14"/>
          <w:pgSz w:w="15840" w:h="12240" w:orient="landscape"/>
          <w:pgMar w:top="1440" w:right="1440" w:bottom="1440" w:left="1440" w:header="432" w:footer="648" w:gutter="0"/>
          <w:cols w:space="720"/>
          <w:docGrid w:linePitch="299"/>
        </w:sectPr>
      </w:pPr>
    </w:p>
    <w:p w:rsidR="00CA01CB" w:rsidRPr="00790BCC" w:rsidRDefault="00CA01CB" w:rsidP="00CA01CB">
      <w:pPr>
        <w:pStyle w:val="ToolHeader"/>
      </w:pPr>
      <w:r w:rsidRPr="00281C4C">
        <w:rPr>
          <w:i/>
        </w:rPr>
        <w:lastRenderedPageBreak/>
        <w:t>Macbeth</w:t>
      </w:r>
      <w:r>
        <w:rPr>
          <w:i/>
        </w:rPr>
        <w:t xml:space="preserve"> </w:t>
      </w:r>
      <w:r>
        <w:t xml:space="preserve">Character Responsibility </w:t>
      </w:r>
      <w:r w:rsidRPr="00281C4C">
        <w:t>Tool</w:t>
      </w:r>
      <w:r w:rsidRPr="00790BCC">
        <w:t xml:space="preserve"> </w:t>
      </w:r>
    </w:p>
    <w:tbl>
      <w:tblPr>
        <w:tblStyle w:val="TableGrid"/>
        <w:tblW w:w="0" w:type="auto"/>
        <w:tblLook w:val="04A0" w:firstRow="1" w:lastRow="0" w:firstColumn="1" w:lastColumn="0" w:noHBand="0" w:noVBand="1"/>
      </w:tblPr>
      <w:tblGrid>
        <w:gridCol w:w="815"/>
        <w:gridCol w:w="3110"/>
        <w:gridCol w:w="719"/>
        <w:gridCol w:w="2634"/>
        <w:gridCol w:w="719"/>
        <w:gridCol w:w="1353"/>
      </w:tblGrid>
      <w:tr w:rsidR="00CA01CB" w:rsidRPr="000B3273" w:rsidTr="00D67280">
        <w:trPr>
          <w:trHeight w:val="557"/>
        </w:trPr>
        <w:tc>
          <w:tcPr>
            <w:tcW w:w="816" w:type="dxa"/>
            <w:shd w:val="clear" w:color="auto" w:fill="D9D9D9"/>
            <w:vAlign w:val="center"/>
          </w:tcPr>
          <w:p w:rsidR="00CA01CB" w:rsidRPr="000B3273" w:rsidRDefault="00CA01CB" w:rsidP="00321D5C">
            <w:pPr>
              <w:pStyle w:val="TableText"/>
              <w:rPr>
                <w:b/>
              </w:rPr>
            </w:pPr>
            <w:r w:rsidRPr="000B3273">
              <w:rPr>
                <w:b/>
              </w:rPr>
              <w:t>Name:</w:t>
            </w:r>
          </w:p>
        </w:tc>
        <w:tc>
          <w:tcPr>
            <w:tcW w:w="3162" w:type="dxa"/>
            <w:vAlign w:val="center"/>
          </w:tcPr>
          <w:p w:rsidR="00CA01CB" w:rsidRPr="000B3273" w:rsidRDefault="00CA01CB" w:rsidP="00321D5C">
            <w:pPr>
              <w:pStyle w:val="TableText"/>
              <w:rPr>
                <w:b/>
              </w:rPr>
            </w:pPr>
          </w:p>
        </w:tc>
        <w:tc>
          <w:tcPr>
            <w:tcW w:w="720" w:type="dxa"/>
            <w:shd w:val="clear" w:color="auto" w:fill="D9D9D9"/>
            <w:vAlign w:val="center"/>
          </w:tcPr>
          <w:p w:rsidR="00CA01CB" w:rsidRPr="000B3273" w:rsidRDefault="00CA01CB" w:rsidP="00321D5C">
            <w:pPr>
              <w:pStyle w:val="TableText"/>
              <w:rPr>
                <w:b/>
              </w:rPr>
            </w:pPr>
            <w:r w:rsidRPr="000B3273">
              <w:rPr>
                <w:b/>
              </w:rPr>
              <w:t>Class:</w:t>
            </w:r>
          </w:p>
        </w:tc>
        <w:tc>
          <w:tcPr>
            <w:tcW w:w="2677" w:type="dxa"/>
            <w:vAlign w:val="center"/>
          </w:tcPr>
          <w:p w:rsidR="00CA01CB" w:rsidRPr="000B3273" w:rsidRDefault="00CA01CB" w:rsidP="00321D5C">
            <w:pPr>
              <w:pStyle w:val="TableText"/>
              <w:rPr>
                <w:b/>
              </w:rPr>
            </w:pPr>
          </w:p>
        </w:tc>
        <w:tc>
          <w:tcPr>
            <w:tcW w:w="720" w:type="dxa"/>
            <w:shd w:val="clear" w:color="auto" w:fill="D9D9D9"/>
            <w:vAlign w:val="center"/>
          </w:tcPr>
          <w:p w:rsidR="00CA01CB" w:rsidRPr="000B3273" w:rsidRDefault="00CA01CB" w:rsidP="00321D5C">
            <w:pPr>
              <w:pStyle w:val="TableText"/>
              <w:rPr>
                <w:b/>
              </w:rPr>
            </w:pPr>
            <w:r w:rsidRPr="000B3273">
              <w:rPr>
                <w:b/>
              </w:rPr>
              <w:t>Date:</w:t>
            </w:r>
          </w:p>
        </w:tc>
        <w:tc>
          <w:tcPr>
            <w:tcW w:w="1373" w:type="dxa"/>
            <w:vAlign w:val="center"/>
          </w:tcPr>
          <w:p w:rsidR="00CA01CB" w:rsidRPr="000B3273" w:rsidRDefault="00CA01CB" w:rsidP="00321D5C">
            <w:pPr>
              <w:pStyle w:val="TableText"/>
              <w:rPr>
                <w:b/>
              </w:rPr>
            </w:pPr>
          </w:p>
        </w:tc>
      </w:tr>
    </w:tbl>
    <w:p w:rsidR="00CA01CB" w:rsidRPr="00790BCC" w:rsidRDefault="00CA01CB" w:rsidP="00CA01CB">
      <w:pPr>
        <w:spacing w:after="0"/>
        <w:rPr>
          <w:sz w:val="10"/>
        </w:rPr>
      </w:pPr>
    </w:p>
    <w:tbl>
      <w:tblPr>
        <w:tblStyle w:val="TableGrid"/>
        <w:tblW w:w="0" w:type="auto"/>
        <w:tblLook w:val="04A0" w:firstRow="1" w:lastRow="0" w:firstColumn="1" w:lastColumn="0" w:noHBand="0" w:noVBand="1"/>
      </w:tblPr>
      <w:tblGrid>
        <w:gridCol w:w="4150"/>
        <w:gridCol w:w="5200"/>
      </w:tblGrid>
      <w:tr w:rsidR="00CA01CB" w:rsidRPr="000B3273">
        <w:tc>
          <w:tcPr>
            <w:tcW w:w="9576" w:type="dxa"/>
            <w:gridSpan w:val="2"/>
            <w:shd w:val="clear" w:color="auto" w:fill="D9D9D9"/>
          </w:tcPr>
          <w:p w:rsidR="00CA01CB" w:rsidRPr="00281C4C" w:rsidRDefault="00CA01CB" w:rsidP="00321D5C">
            <w:pPr>
              <w:pStyle w:val="ToolTableText"/>
            </w:pPr>
            <w:r>
              <w:rPr>
                <w:b/>
              </w:rPr>
              <w:t xml:space="preserve">Directions: </w:t>
            </w:r>
            <w:r>
              <w:t xml:space="preserve">Choose a character from </w:t>
            </w:r>
            <w:r>
              <w:rPr>
                <w:i/>
              </w:rPr>
              <w:t>Macbeth</w:t>
            </w:r>
            <w:r>
              <w:t xml:space="preserve"> </w:t>
            </w:r>
            <w:r w:rsidR="00E87AAD">
              <w:t xml:space="preserve">(Macbeth, Lady Macbeth, or the Witches) </w:t>
            </w:r>
            <w:r>
              <w:t>whom you believe is responsible for the tragedy in the drama. Answer the questions below to support your choice. Use text evidence to support your responses.</w:t>
            </w:r>
          </w:p>
        </w:tc>
      </w:tr>
      <w:tr w:rsidR="00CA01CB" w:rsidRPr="000B3273">
        <w:tc>
          <w:tcPr>
            <w:tcW w:w="9576" w:type="dxa"/>
            <w:gridSpan w:val="2"/>
            <w:shd w:val="clear" w:color="auto" w:fill="D9D9D9"/>
          </w:tcPr>
          <w:p w:rsidR="00CA01CB" w:rsidRDefault="00CA01CB" w:rsidP="00321D5C">
            <w:pPr>
              <w:pStyle w:val="ToolTableText"/>
              <w:rPr>
                <w:b/>
              </w:rPr>
            </w:pPr>
          </w:p>
          <w:p w:rsidR="00CA01CB" w:rsidRPr="000B3273" w:rsidRDefault="00CA01CB" w:rsidP="00321D5C">
            <w:pPr>
              <w:pStyle w:val="ToolTableText"/>
              <w:rPr>
                <w:b/>
              </w:rPr>
            </w:pPr>
            <w:r>
              <w:rPr>
                <w:b/>
              </w:rPr>
              <w:t xml:space="preserve">________________________________________ is the character most responsible for the tragedy in </w:t>
            </w:r>
            <w:r>
              <w:rPr>
                <w:b/>
                <w:i/>
              </w:rPr>
              <w:t>Macbeth.</w:t>
            </w:r>
          </w:p>
        </w:tc>
      </w:tr>
      <w:tr w:rsidR="00CA01CB" w:rsidRPr="000B3273">
        <w:tc>
          <w:tcPr>
            <w:tcW w:w="4201" w:type="dxa"/>
            <w:shd w:val="clear" w:color="auto" w:fill="auto"/>
          </w:tcPr>
          <w:p w:rsidR="00CA01CB" w:rsidRDefault="00CA01CB" w:rsidP="005C0AD2">
            <w:pPr>
              <w:pStyle w:val="Q"/>
              <w:spacing w:before="40" w:after="120"/>
            </w:pPr>
          </w:p>
          <w:p w:rsidR="005C0AD2" w:rsidRDefault="00DE2904" w:rsidP="005C0AD2">
            <w:pPr>
              <w:pStyle w:val="Q"/>
              <w:spacing w:before="40" w:after="120"/>
            </w:pPr>
            <w:r>
              <w:t>What is the earliest evidence that this character is responsible for the tragedy</w:t>
            </w:r>
            <w:r w:rsidR="00CA01CB" w:rsidRPr="006B4491">
              <w:t>?</w:t>
            </w:r>
          </w:p>
          <w:p w:rsidR="005C0AD2" w:rsidDel="005C0AD2" w:rsidRDefault="005C0AD2" w:rsidP="005C0AD2">
            <w:pPr>
              <w:pStyle w:val="Q"/>
              <w:spacing w:before="40" w:after="120"/>
            </w:pPr>
          </w:p>
          <w:p w:rsidR="00CA01CB" w:rsidRPr="006B4491" w:rsidRDefault="00CA01CB" w:rsidP="005C0AD2">
            <w:pPr>
              <w:pStyle w:val="Q"/>
              <w:spacing w:before="40" w:after="120"/>
            </w:pPr>
          </w:p>
        </w:tc>
        <w:tc>
          <w:tcPr>
            <w:tcW w:w="5375" w:type="dxa"/>
            <w:shd w:val="clear" w:color="auto" w:fill="auto"/>
          </w:tcPr>
          <w:p w:rsidR="00CA01CB" w:rsidRDefault="00CA01CB" w:rsidP="00321D5C">
            <w:pPr>
              <w:pStyle w:val="ToolTableText"/>
            </w:pPr>
          </w:p>
          <w:p w:rsidR="00D67280" w:rsidRDefault="00D67280" w:rsidP="00321D5C">
            <w:pPr>
              <w:pStyle w:val="ToolTableText"/>
            </w:pPr>
          </w:p>
          <w:p w:rsidR="00D67280" w:rsidRDefault="00D67280" w:rsidP="00321D5C">
            <w:pPr>
              <w:pStyle w:val="ToolTableText"/>
            </w:pPr>
          </w:p>
          <w:p w:rsidR="00D67280" w:rsidRDefault="00D67280" w:rsidP="00321D5C">
            <w:pPr>
              <w:pStyle w:val="ToolTableText"/>
            </w:pPr>
          </w:p>
          <w:p w:rsidR="00D67280" w:rsidRDefault="00D67280" w:rsidP="00321D5C">
            <w:pPr>
              <w:pStyle w:val="ToolTableText"/>
            </w:pPr>
          </w:p>
          <w:p w:rsidR="00D67280" w:rsidRPr="006B4491" w:rsidRDefault="00D67280" w:rsidP="00321D5C">
            <w:pPr>
              <w:pStyle w:val="ToolTableText"/>
            </w:pPr>
          </w:p>
        </w:tc>
      </w:tr>
      <w:tr w:rsidR="00CA01CB" w:rsidRPr="000B3273">
        <w:tc>
          <w:tcPr>
            <w:tcW w:w="4201" w:type="dxa"/>
            <w:shd w:val="clear" w:color="auto" w:fill="auto"/>
          </w:tcPr>
          <w:p w:rsidR="00CA01CB" w:rsidRDefault="00CA01CB" w:rsidP="00321D5C">
            <w:pPr>
              <w:pStyle w:val="ToolTableText"/>
              <w:rPr>
                <w:b/>
              </w:rPr>
            </w:pPr>
          </w:p>
          <w:p w:rsidR="00CA01CB" w:rsidRDefault="00CA01CB" w:rsidP="00321D5C">
            <w:pPr>
              <w:pStyle w:val="ToolTableText"/>
              <w:rPr>
                <w:b/>
              </w:rPr>
            </w:pPr>
            <w:r>
              <w:rPr>
                <w:b/>
              </w:rPr>
              <w:t>What character trait</w:t>
            </w:r>
            <w:r w:rsidR="00E51B9E">
              <w:rPr>
                <w:b/>
              </w:rPr>
              <w:t>s</w:t>
            </w:r>
            <w:r>
              <w:rPr>
                <w:b/>
              </w:rPr>
              <w:t xml:space="preserve"> </w:t>
            </w:r>
            <w:r w:rsidR="00E51B9E">
              <w:rPr>
                <w:b/>
              </w:rPr>
              <w:t>explain</w:t>
            </w:r>
            <w:r w:rsidRPr="006B4491">
              <w:rPr>
                <w:b/>
              </w:rPr>
              <w:t xml:space="preserve"> the character</w:t>
            </w:r>
            <w:r w:rsidR="00E51B9E">
              <w:rPr>
                <w:b/>
              </w:rPr>
              <w:t>’s motivation</w:t>
            </w:r>
            <w:r w:rsidR="003731BC">
              <w:rPr>
                <w:b/>
              </w:rPr>
              <w:t>?</w:t>
            </w:r>
            <w:r>
              <w:rPr>
                <w:b/>
              </w:rPr>
              <w:t xml:space="preserve"> Provide text evidence to support your response.</w:t>
            </w:r>
          </w:p>
          <w:p w:rsidR="00CA01CB" w:rsidRDefault="00CA01CB" w:rsidP="00321D5C">
            <w:pPr>
              <w:pStyle w:val="ToolTableText"/>
              <w:rPr>
                <w:b/>
              </w:rPr>
            </w:pPr>
          </w:p>
          <w:p w:rsidR="00CA01CB" w:rsidRPr="006B4491" w:rsidRDefault="00CA01CB" w:rsidP="00321D5C">
            <w:pPr>
              <w:pStyle w:val="ToolTableText"/>
              <w:rPr>
                <w:b/>
              </w:rPr>
            </w:pPr>
          </w:p>
        </w:tc>
        <w:tc>
          <w:tcPr>
            <w:tcW w:w="5375" w:type="dxa"/>
            <w:shd w:val="clear" w:color="auto" w:fill="auto"/>
          </w:tcPr>
          <w:p w:rsidR="00CA01CB" w:rsidRDefault="00CA01CB" w:rsidP="00CA01CB">
            <w:pPr>
              <w:pStyle w:val="ToolTableText"/>
            </w:pPr>
          </w:p>
          <w:p w:rsidR="00D67280" w:rsidRDefault="00D67280" w:rsidP="00CA01CB">
            <w:pPr>
              <w:pStyle w:val="ToolTableText"/>
            </w:pPr>
          </w:p>
          <w:p w:rsidR="00D67280" w:rsidRDefault="00D67280" w:rsidP="00CA01CB">
            <w:pPr>
              <w:pStyle w:val="ToolTableText"/>
            </w:pPr>
          </w:p>
          <w:p w:rsidR="00D67280" w:rsidRDefault="00D67280" w:rsidP="00CA01CB">
            <w:pPr>
              <w:pStyle w:val="ToolTableText"/>
            </w:pPr>
          </w:p>
          <w:p w:rsidR="00D67280" w:rsidRDefault="00D67280" w:rsidP="00CA01CB">
            <w:pPr>
              <w:pStyle w:val="ToolTableText"/>
            </w:pPr>
          </w:p>
          <w:p w:rsidR="00D67280" w:rsidRPr="006B4491" w:rsidRDefault="00D67280" w:rsidP="00CA01CB">
            <w:pPr>
              <w:pStyle w:val="ToolTableText"/>
            </w:pPr>
          </w:p>
        </w:tc>
      </w:tr>
      <w:tr w:rsidR="00CA01CB" w:rsidRPr="000B3273">
        <w:tc>
          <w:tcPr>
            <w:tcW w:w="4201" w:type="dxa"/>
            <w:shd w:val="clear" w:color="auto" w:fill="auto"/>
          </w:tcPr>
          <w:p w:rsidR="00CA01CB" w:rsidRDefault="00CA01CB" w:rsidP="00321D5C">
            <w:pPr>
              <w:pStyle w:val="ToolTableText"/>
              <w:rPr>
                <w:b/>
              </w:rPr>
            </w:pPr>
          </w:p>
          <w:p w:rsidR="00CA01CB" w:rsidRDefault="00CA01CB" w:rsidP="00321D5C">
            <w:pPr>
              <w:pStyle w:val="ToolTableText"/>
              <w:rPr>
                <w:b/>
              </w:rPr>
            </w:pPr>
            <w:r w:rsidRPr="006B4491">
              <w:rPr>
                <w:b/>
              </w:rPr>
              <w:t>How does this character’s responsibility for the tragedy support a central idea of the play?</w:t>
            </w:r>
          </w:p>
          <w:p w:rsidR="00CA01CB" w:rsidRDefault="00CA01CB" w:rsidP="00321D5C">
            <w:pPr>
              <w:pStyle w:val="ToolTableText"/>
              <w:rPr>
                <w:b/>
              </w:rPr>
            </w:pPr>
          </w:p>
          <w:p w:rsidR="00CA01CB" w:rsidRPr="006B4491" w:rsidRDefault="00CA01CB" w:rsidP="00321D5C">
            <w:pPr>
              <w:pStyle w:val="ToolTableText"/>
              <w:rPr>
                <w:b/>
              </w:rPr>
            </w:pPr>
          </w:p>
        </w:tc>
        <w:tc>
          <w:tcPr>
            <w:tcW w:w="5375" w:type="dxa"/>
            <w:shd w:val="clear" w:color="auto" w:fill="auto"/>
          </w:tcPr>
          <w:p w:rsidR="00CA01CB" w:rsidRDefault="00CA01CB" w:rsidP="00321D5C">
            <w:pPr>
              <w:pStyle w:val="ToolTableText"/>
            </w:pPr>
          </w:p>
          <w:p w:rsidR="00D67280" w:rsidRDefault="00D67280" w:rsidP="00321D5C">
            <w:pPr>
              <w:pStyle w:val="ToolTableText"/>
            </w:pPr>
          </w:p>
          <w:p w:rsidR="00D67280" w:rsidRDefault="00D67280" w:rsidP="00321D5C">
            <w:pPr>
              <w:pStyle w:val="ToolTableText"/>
            </w:pPr>
          </w:p>
          <w:p w:rsidR="00D67280" w:rsidRDefault="00D67280" w:rsidP="00321D5C">
            <w:pPr>
              <w:pStyle w:val="ToolTableText"/>
            </w:pPr>
          </w:p>
          <w:p w:rsidR="00D67280" w:rsidRDefault="00D67280" w:rsidP="00321D5C">
            <w:pPr>
              <w:pStyle w:val="ToolTableText"/>
            </w:pPr>
          </w:p>
          <w:p w:rsidR="00D67280" w:rsidRPr="006B4491" w:rsidRDefault="00D67280" w:rsidP="00321D5C">
            <w:pPr>
              <w:pStyle w:val="ToolTableText"/>
            </w:pPr>
          </w:p>
        </w:tc>
      </w:tr>
      <w:tr w:rsidR="00CA01CB" w:rsidRPr="00790BCC">
        <w:tc>
          <w:tcPr>
            <w:tcW w:w="4201" w:type="dxa"/>
          </w:tcPr>
          <w:p w:rsidR="00CA01CB" w:rsidRDefault="00CA01CB" w:rsidP="005C0AD2">
            <w:pPr>
              <w:pStyle w:val="Q"/>
              <w:spacing w:before="40" w:after="120"/>
            </w:pPr>
          </w:p>
          <w:p w:rsidR="00CA01CB" w:rsidRDefault="00CA01CB" w:rsidP="005C0AD2">
            <w:pPr>
              <w:pStyle w:val="Q"/>
              <w:spacing w:before="40" w:after="120"/>
            </w:pPr>
            <w:r w:rsidRPr="006B4491">
              <w:t>How does Shakespeare</w:t>
            </w:r>
            <w:r w:rsidR="00DE2904">
              <w:t xml:space="preserve"> develop </w:t>
            </w:r>
            <w:r w:rsidRPr="006B4491">
              <w:t>the idea that this character is responsible for the tragedy?</w:t>
            </w:r>
          </w:p>
          <w:p w:rsidR="00CA01CB" w:rsidRPr="006B4491" w:rsidRDefault="00CA01CB" w:rsidP="005C0AD2">
            <w:pPr>
              <w:pStyle w:val="Q"/>
              <w:spacing w:before="40" w:after="120"/>
            </w:pPr>
          </w:p>
        </w:tc>
        <w:tc>
          <w:tcPr>
            <w:tcW w:w="5375" w:type="dxa"/>
          </w:tcPr>
          <w:p w:rsidR="00CA01CB" w:rsidRDefault="00CA01CB" w:rsidP="00321D5C">
            <w:pPr>
              <w:pStyle w:val="ToolTableText"/>
            </w:pPr>
          </w:p>
          <w:p w:rsidR="00D67280" w:rsidRDefault="00D67280" w:rsidP="00321D5C">
            <w:pPr>
              <w:pStyle w:val="ToolTableText"/>
            </w:pPr>
          </w:p>
          <w:p w:rsidR="00D67280" w:rsidRDefault="00D67280" w:rsidP="00321D5C">
            <w:pPr>
              <w:pStyle w:val="ToolTableText"/>
            </w:pPr>
          </w:p>
          <w:p w:rsidR="00D67280" w:rsidRDefault="00D67280" w:rsidP="00321D5C">
            <w:pPr>
              <w:pStyle w:val="ToolTableText"/>
            </w:pPr>
          </w:p>
          <w:p w:rsidR="00D67280" w:rsidRPr="006B4491" w:rsidRDefault="00D67280" w:rsidP="00321D5C">
            <w:pPr>
              <w:pStyle w:val="ToolTableText"/>
            </w:pPr>
          </w:p>
        </w:tc>
      </w:tr>
    </w:tbl>
    <w:p w:rsidR="0015526A" w:rsidRDefault="0015526A" w:rsidP="0015526A">
      <w:pPr>
        <w:sectPr w:rsidR="0015526A" w:rsidSect="003E4E60">
          <w:headerReference w:type="default" r:id="rId15"/>
          <w:footerReference w:type="default" r:id="rId16"/>
          <w:pgSz w:w="12240" w:h="15840"/>
          <w:pgMar w:top="1440" w:right="1440" w:bottom="1440" w:left="1440" w:header="432" w:footer="648" w:gutter="0"/>
          <w:cols w:space="720"/>
          <w:docGrid w:linePitch="299"/>
        </w:sectPr>
      </w:pPr>
    </w:p>
    <w:p w:rsidR="0015526A" w:rsidRPr="00384CE9" w:rsidRDefault="0015526A" w:rsidP="00384CE9">
      <w:pPr>
        <w:pStyle w:val="ToolHeader"/>
        <w:spacing w:after="60"/>
      </w:pPr>
      <w:r>
        <w:lastRenderedPageBreak/>
        <w:t>10.4.2</w:t>
      </w:r>
      <w:r w:rsidRPr="00D51AE5">
        <w:t xml:space="preserve"> </w:t>
      </w:r>
      <w:r>
        <w:t xml:space="preserve">End-of-Unit </w:t>
      </w:r>
      <w:r w:rsidR="008A7621">
        <w:t>Text Analysis Rubric</w:t>
      </w:r>
      <w:r w:rsidR="008A7621">
        <w:tab/>
      </w:r>
      <w:r w:rsidR="008A7621">
        <w:tab/>
      </w:r>
      <w:r w:rsidR="00384CE9">
        <w:tab/>
      </w:r>
      <w:r w:rsidR="00384CE9">
        <w:tab/>
      </w:r>
      <w:r w:rsidR="00111808">
        <w:tab/>
      </w:r>
      <w:r w:rsidR="00384CE9">
        <w:tab/>
      </w:r>
      <w:r w:rsidR="00384CE9">
        <w:tab/>
      </w:r>
      <w:r w:rsidR="008A7621">
        <w:tab/>
      </w:r>
      <w:r w:rsidRPr="00D51AE5">
        <w:tab/>
      </w:r>
      <w:r w:rsidRPr="00384CE9">
        <w:tab/>
      </w:r>
      <w:r>
        <w:t>/</w:t>
      </w:r>
      <w:r w:rsidRPr="00384CE9">
        <w:t>16</w:t>
      </w:r>
    </w:p>
    <w:tbl>
      <w:tblPr>
        <w:tblW w:w="14184" w:type="dxa"/>
        <w:tblBorders>
          <w:top w:val="nil"/>
          <w:left w:val="nil"/>
          <w:bottom w:val="nil"/>
          <w:right w:val="nil"/>
        </w:tblBorders>
        <w:tblLayout w:type="fixed"/>
        <w:tblCellMar>
          <w:top w:w="29" w:type="dxa"/>
          <w:left w:w="58" w:type="dxa"/>
          <w:bottom w:w="29" w:type="dxa"/>
          <w:right w:w="58" w:type="dxa"/>
        </w:tblCellMar>
        <w:tblLook w:val="0000" w:firstRow="0" w:lastRow="0" w:firstColumn="0" w:lastColumn="0" w:noHBand="0" w:noVBand="0"/>
      </w:tblPr>
      <w:tblGrid>
        <w:gridCol w:w="3420"/>
        <w:gridCol w:w="2709"/>
        <w:gridCol w:w="2709"/>
        <w:gridCol w:w="2637"/>
        <w:gridCol w:w="2709"/>
      </w:tblGrid>
      <w:tr w:rsidR="0015526A" w:rsidRPr="00384CE9" w:rsidTr="00111808">
        <w:trPr>
          <w:trHeight w:val="183"/>
          <w:tblHeader/>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26A" w:rsidRPr="00384CE9" w:rsidRDefault="0015526A" w:rsidP="00384CE9">
            <w:pPr>
              <w:pStyle w:val="TableText"/>
              <w:spacing w:before="0" w:after="0" w:line="240" w:lineRule="auto"/>
              <w:rPr>
                <w:b/>
                <w:spacing w:val="-2"/>
                <w:sz w:val="16"/>
                <w:szCs w:val="13"/>
              </w:rPr>
            </w:pPr>
            <w:r w:rsidRPr="00384CE9">
              <w:rPr>
                <w:b/>
                <w:spacing w:val="-2"/>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26A" w:rsidRPr="00384CE9" w:rsidRDefault="0015526A" w:rsidP="00384CE9">
            <w:pPr>
              <w:pStyle w:val="TableText"/>
              <w:spacing w:before="0" w:after="0" w:line="240" w:lineRule="auto"/>
              <w:rPr>
                <w:b/>
                <w:sz w:val="16"/>
                <w:szCs w:val="13"/>
              </w:rPr>
            </w:pPr>
            <w:r w:rsidRPr="00384CE9">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26A" w:rsidRPr="00384CE9" w:rsidRDefault="0015526A" w:rsidP="00384CE9">
            <w:pPr>
              <w:pStyle w:val="TableText"/>
              <w:spacing w:before="0" w:after="0" w:line="240" w:lineRule="auto"/>
              <w:rPr>
                <w:b/>
                <w:sz w:val="16"/>
                <w:szCs w:val="13"/>
              </w:rPr>
            </w:pPr>
            <w:r w:rsidRPr="00384CE9">
              <w:rPr>
                <w:b/>
                <w:sz w:val="16"/>
                <w:szCs w:val="13"/>
              </w:rPr>
              <w:t>3 – Responses at this Level:</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26A" w:rsidRPr="00384CE9" w:rsidRDefault="0015526A" w:rsidP="00384CE9">
            <w:pPr>
              <w:pStyle w:val="TableText"/>
              <w:spacing w:before="0" w:after="0" w:line="240" w:lineRule="auto"/>
              <w:rPr>
                <w:b/>
                <w:sz w:val="16"/>
                <w:szCs w:val="13"/>
              </w:rPr>
            </w:pPr>
            <w:r w:rsidRPr="00384CE9">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26A" w:rsidRPr="00384CE9" w:rsidRDefault="0015526A" w:rsidP="00384CE9">
            <w:pPr>
              <w:pStyle w:val="TableText"/>
              <w:spacing w:before="0" w:after="0" w:line="240" w:lineRule="auto"/>
              <w:rPr>
                <w:b/>
                <w:sz w:val="16"/>
                <w:szCs w:val="13"/>
              </w:rPr>
            </w:pPr>
            <w:r w:rsidRPr="00384CE9">
              <w:rPr>
                <w:b/>
                <w:sz w:val="16"/>
                <w:szCs w:val="13"/>
              </w:rPr>
              <w:t>1 – Responses at this Level:</w:t>
            </w:r>
          </w:p>
        </w:tc>
      </w:tr>
      <w:tr w:rsidR="0015526A" w:rsidRPr="00384CE9" w:rsidTr="00111808">
        <w:trPr>
          <w:trHeight w:val="655"/>
        </w:trPr>
        <w:tc>
          <w:tcPr>
            <w:tcW w:w="3456" w:type="dxa"/>
            <w:tcBorders>
              <w:top w:val="single" w:sz="4" w:space="0" w:color="auto"/>
              <w:left w:val="single" w:sz="4" w:space="0" w:color="auto"/>
              <w:right w:val="single" w:sz="4" w:space="0" w:color="auto"/>
            </w:tcBorders>
            <w:shd w:val="clear" w:color="auto" w:fill="D9D9D9" w:themeFill="background1" w:themeFillShade="D9"/>
          </w:tcPr>
          <w:p w:rsidR="0015526A" w:rsidRPr="00111808" w:rsidRDefault="0015526A" w:rsidP="00384CE9">
            <w:pPr>
              <w:pStyle w:val="TableText"/>
              <w:spacing w:before="0" w:line="240" w:lineRule="auto"/>
              <w:rPr>
                <w:b/>
                <w:spacing w:val="-2"/>
                <w:sz w:val="16"/>
                <w:szCs w:val="13"/>
              </w:rPr>
            </w:pPr>
            <w:r w:rsidRPr="00111808">
              <w:rPr>
                <w:b/>
                <w:spacing w:val="-2"/>
                <w:sz w:val="16"/>
                <w:szCs w:val="13"/>
              </w:rPr>
              <w:t>Content and Analysis</w:t>
            </w:r>
          </w:p>
          <w:p w:rsidR="0015526A" w:rsidRPr="00384CE9" w:rsidRDefault="0015526A" w:rsidP="00384CE9">
            <w:pPr>
              <w:pStyle w:val="TableText"/>
              <w:spacing w:before="0" w:line="240" w:lineRule="auto"/>
              <w:rPr>
                <w:spacing w:val="-2"/>
                <w:sz w:val="16"/>
                <w:szCs w:val="13"/>
              </w:rPr>
            </w:pPr>
            <w:r w:rsidRPr="00384CE9">
              <w:rPr>
                <w:spacing w:val="-2"/>
                <w:sz w:val="16"/>
                <w:szCs w:val="13"/>
              </w:rPr>
              <w:t>The extent to which the response analyzes a complex character clearly and accurately in order to respond to the task and support an analysis of the text.</w:t>
            </w:r>
          </w:p>
          <w:p w:rsidR="0015526A" w:rsidRPr="00111808" w:rsidRDefault="0015526A" w:rsidP="00384CE9">
            <w:pPr>
              <w:pStyle w:val="TableText"/>
              <w:spacing w:before="0" w:line="240" w:lineRule="auto"/>
              <w:rPr>
                <w:b/>
                <w:spacing w:val="-2"/>
                <w:sz w:val="16"/>
                <w:szCs w:val="13"/>
              </w:rPr>
            </w:pPr>
            <w:r w:rsidRPr="00111808">
              <w:rPr>
                <w:b/>
                <w:spacing w:val="-2"/>
                <w:sz w:val="16"/>
                <w:szCs w:val="13"/>
              </w:rPr>
              <w:t>CCSS.ELA-Literacy.RL.9-10.3</w:t>
            </w:r>
          </w:p>
          <w:p w:rsidR="0015526A" w:rsidRPr="00384CE9" w:rsidRDefault="0015526A" w:rsidP="00384CE9">
            <w:pPr>
              <w:pStyle w:val="TableText"/>
              <w:spacing w:before="0" w:line="240" w:lineRule="auto"/>
              <w:rPr>
                <w:spacing w:val="-2"/>
                <w:sz w:val="16"/>
                <w:szCs w:val="13"/>
              </w:rPr>
            </w:pPr>
            <w:r w:rsidRPr="00384CE9">
              <w:rPr>
                <w:spacing w:val="-2"/>
                <w:sz w:val="16"/>
                <w:szCs w:val="13"/>
              </w:rPr>
              <w:t>Analyze how complex characters (e.g., those with multiple or conflicting motivations) develop over the course of a text, interact with other characters, and advance the plot or develop the theme.</w:t>
            </w:r>
          </w:p>
        </w:tc>
        <w:tc>
          <w:tcPr>
            <w:tcW w:w="2736" w:type="dxa"/>
            <w:tcBorders>
              <w:top w:val="single" w:sz="4" w:space="0" w:color="auto"/>
              <w:left w:val="single" w:sz="4" w:space="0" w:color="auto"/>
              <w:bottom w:val="nil"/>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 xml:space="preserve">Analyze a complex character over the course of the text by providing many specific details about the character’s interactions with other characters and by providing several significant examples of how the character advances the plot or develops the theme. </w:t>
            </w:r>
          </w:p>
          <w:p w:rsidR="0015526A" w:rsidRPr="00384CE9" w:rsidRDefault="0015526A" w:rsidP="00384CE9">
            <w:pPr>
              <w:pStyle w:val="TableText"/>
              <w:spacing w:before="0" w:line="240" w:lineRule="auto"/>
              <w:rPr>
                <w:sz w:val="16"/>
                <w:szCs w:val="13"/>
              </w:rPr>
            </w:pPr>
          </w:p>
        </w:tc>
        <w:tc>
          <w:tcPr>
            <w:tcW w:w="2736" w:type="dxa"/>
            <w:tcBorders>
              <w:top w:val="single" w:sz="4" w:space="0" w:color="auto"/>
              <w:left w:val="single" w:sz="4" w:space="0" w:color="auto"/>
              <w:bottom w:val="nil"/>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 xml:space="preserve">Analyze a complex character over the course of the text by providing specific details about the character’s interactions with other characters and by providing a significant example of how the character advances the plot or develops the theme. </w:t>
            </w:r>
          </w:p>
          <w:p w:rsidR="0015526A" w:rsidRPr="00384CE9" w:rsidRDefault="0015526A" w:rsidP="00384CE9">
            <w:pPr>
              <w:pStyle w:val="TableText"/>
              <w:spacing w:before="0" w:line="240" w:lineRule="auto"/>
              <w:rPr>
                <w:sz w:val="16"/>
                <w:szCs w:val="13"/>
              </w:rPr>
            </w:pPr>
          </w:p>
        </w:tc>
        <w:tc>
          <w:tcPr>
            <w:tcW w:w="2664" w:type="dxa"/>
            <w:tcBorders>
              <w:top w:val="single" w:sz="4" w:space="0" w:color="auto"/>
              <w:left w:val="single" w:sz="4" w:space="0" w:color="auto"/>
              <w:bottom w:val="nil"/>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Analyze a complex character but provide few specific details about the character’s interactions with other characters and/or fail to explain how the character significantly advances the plot or develops the theme.</w:t>
            </w:r>
          </w:p>
        </w:tc>
        <w:tc>
          <w:tcPr>
            <w:tcW w:w="2736" w:type="dxa"/>
            <w:tcBorders>
              <w:top w:val="single" w:sz="4" w:space="0" w:color="auto"/>
              <w:left w:val="single" w:sz="4" w:space="0" w:color="auto"/>
              <w:bottom w:val="nil"/>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 xml:space="preserve">Fail to identify and/or analyze a complex character from the text. </w:t>
            </w:r>
          </w:p>
          <w:p w:rsidR="0015526A" w:rsidRPr="00384CE9" w:rsidRDefault="0015526A" w:rsidP="00384CE9">
            <w:pPr>
              <w:pStyle w:val="TableText"/>
              <w:spacing w:before="0" w:line="240" w:lineRule="auto"/>
              <w:rPr>
                <w:sz w:val="16"/>
                <w:szCs w:val="13"/>
              </w:rPr>
            </w:pPr>
            <w:r w:rsidRPr="00384CE9">
              <w:rPr>
                <w:sz w:val="16"/>
                <w:szCs w:val="13"/>
              </w:rPr>
              <w:t>Provide no examples or irrelevant and insufficient examples of the central idea’s emergence and refinement.</w:t>
            </w:r>
          </w:p>
          <w:p w:rsidR="0015526A" w:rsidRPr="00384CE9" w:rsidRDefault="0015526A" w:rsidP="00384CE9">
            <w:pPr>
              <w:pStyle w:val="TableText"/>
              <w:spacing w:before="0" w:line="240" w:lineRule="auto"/>
              <w:rPr>
                <w:sz w:val="16"/>
                <w:szCs w:val="13"/>
              </w:rPr>
            </w:pPr>
          </w:p>
        </w:tc>
      </w:tr>
      <w:tr w:rsidR="0015526A" w:rsidRPr="00384CE9" w:rsidTr="00111808">
        <w:trPr>
          <w:trHeight w:val="240"/>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6A" w:rsidRPr="00111808" w:rsidRDefault="0015526A" w:rsidP="00384CE9">
            <w:pPr>
              <w:pStyle w:val="TableText"/>
              <w:spacing w:before="0" w:line="240" w:lineRule="auto"/>
              <w:rPr>
                <w:b/>
                <w:spacing w:val="-2"/>
                <w:sz w:val="16"/>
                <w:szCs w:val="13"/>
              </w:rPr>
            </w:pPr>
            <w:r w:rsidRPr="00111808">
              <w:rPr>
                <w:b/>
                <w:spacing w:val="-2"/>
                <w:sz w:val="16"/>
                <w:szCs w:val="13"/>
              </w:rPr>
              <w:t>Command of Evidence and Reasoning</w:t>
            </w:r>
          </w:p>
          <w:p w:rsidR="0015526A" w:rsidRPr="00384CE9" w:rsidRDefault="0015526A" w:rsidP="00384CE9">
            <w:pPr>
              <w:pStyle w:val="TableText"/>
              <w:spacing w:before="0" w:line="240" w:lineRule="auto"/>
              <w:rPr>
                <w:spacing w:val="-2"/>
                <w:sz w:val="16"/>
                <w:szCs w:val="13"/>
              </w:rPr>
            </w:pPr>
            <w:r w:rsidRPr="00384CE9">
              <w:rPr>
                <w:spacing w:val="-2"/>
                <w:sz w:val="16"/>
                <w:szCs w:val="13"/>
              </w:rPr>
              <w:t>The extent to which the response develops an argument using claims, evidence and reasoning.</w:t>
            </w:r>
          </w:p>
          <w:p w:rsidR="0015526A" w:rsidRPr="00111808" w:rsidRDefault="0015526A" w:rsidP="00384CE9">
            <w:pPr>
              <w:pStyle w:val="TableText"/>
              <w:spacing w:before="0" w:line="240" w:lineRule="auto"/>
              <w:rPr>
                <w:b/>
                <w:spacing w:val="-2"/>
                <w:sz w:val="16"/>
                <w:szCs w:val="13"/>
              </w:rPr>
            </w:pPr>
            <w:r w:rsidRPr="00111808">
              <w:rPr>
                <w:b/>
                <w:spacing w:val="-2"/>
                <w:sz w:val="16"/>
                <w:szCs w:val="13"/>
              </w:rPr>
              <w:t>CCSS.ELA-Literacy.W.9-10.1.</w:t>
            </w:r>
            <w:r w:rsidR="00940CB5" w:rsidRPr="00111808">
              <w:rPr>
                <w:b/>
                <w:spacing w:val="-2"/>
                <w:sz w:val="16"/>
                <w:szCs w:val="13"/>
              </w:rPr>
              <w:t>a-c</w:t>
            </w:r>
          </w:p>
          <w:p w:rsidR="00940CB5" w:rsidRPr="00384CE9" w:rsidRDefault="00940CB5" w:rsidP="00384CE9">
            <w:pPr>
              <w:pStyle w:val="TableText"/>
              <w:spacing w:before="0" w:line="240" w:lineRule="auto"/>
              <w:rPr>
                <w:spacing w:val="-2"/>
                <w:sz w:val="16"/>
                <w:szCs w:val="13"/>
              </w:rPr>
            </w:pPr>
            <w:r w:rsidRPr="00384CE9">
              <w:rPr>
                <w:spacing w:val="-2"/>
                <w:sz w:val="16"/>
                <w:szCs w:val="13"/>
              </w:rPr>
              <w:t>Introduce and develop claim(s) and counterclaims fairly, supplying evidence for each while pointing out the strengths and limitations of both in a manner that anticipates the audience’s knowledge level and concerns.</w:t>
            </w:r>
          </w:p>
          <w:p w:rsidR="00612D76" w:rsidRPr="00384CE9" w:rsidRDefault="00612D76" w:rsidP="00384CE9">
            <w:pPr>
              <w:pStyle w:val="TableText"/>
              <w:spacing w:before="0" w:line="240" w:lineRule="auto"/>
              <w:rPr>
                <w:spacing w:val="-2"/>
                <w:sz w:val="16"/>
                <w:szCs w:val="13"/>
              </w:rPr>
            </w:pPr>
            <w:r w:rsidRPr="00384CE9">
              <w:rPr>
                <w:spacing w:val="-2"/>
                <w:sz w:val="16"/>
                <w:szCs w:val="13"/>
              </w:rPr>
              <w:t>Use words, phrases, and clauses to link the major sections of the text, create cohesion, and clarify the relationships between claims and reasons, between reasons and evidence, and between claims and counterclaims.</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color w:val="000000" w:themeColor="text1"/>
                <w:sz w:val="16"/>
                <w:szCs w:val="13"/>
              </w:rPr>
            </w:pPr>
            <w:r w:rsidRPr="00384CE9">
              <w:rPr>
                <w:color w:val="000000" w:themeColor="text1"/>
                <w:sz w:val="16"/>
                <w:szCs w:val="13"/>
              </w:rPr>
              <w:t>Develop a strong argument by supporting a central claim with several supporting claims based on multiple pieces of relevant evidence and valid reasoning.</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color w:val="000000" w:themeColor="text1"/>
                <w:sz w:val="16"/>
                <w:szCs w:val="13"/>
              </w:rPr>
            </w:pPr>
            <w:r w:rsidRPr="00384CE9">
              <w:rPr>
                <w:color w:val="000000" w:themeColor="text1"/>
                <w:sz w:val="16"/>
                <w:szCs w:val="13"/>
              </w:rPr>
              <w:t>Develop an argument by supporting a central claim w</w:t>
            </w:r>
            <w:r w:rsidR="003E4E60" w:rsidRPr="00384CE9">
              <w:rPr>
                <w:color w:val="000000" w:themeColor="text1"/>
                <w:sz w:val="16"/>
                <w:szCs w:val="13"/>
              </w:rPr>
              <w:t xml:space="preserve">ith supporting claims based on </w:t>
            </w:r>
            <w:r w:rsidRPr="00384CE9">
              <w:rPr>
                <w:color w:val="000000" w:themeColor="text1"/>
                <w:sz w:val="16"/>
                <w:szCs w:val="13"/>
              </w:rPr>
              <w:t>relevant evidence and valid reasoning.</w:t>
            </w:r>
          </w:p>
        </w:tc>
        <w:tc>
          <w:tcPr>
            <w:tcW w:w="2664"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color w:val="000000" w:themeColor="text1"/>
                <w:sz w:val="16"/>
                <w:szCs w:val="13"/>
              </w:rPr>
            </w:pPr>
            <w:r w:rsidRPr="00384CE9">
              <w:rPr>
                <w:color w:val="000000" w:themeColor="text1"/>
                <w:sz w:val="16"/>
                <w:szCs w:val="13"/>
              </w:rPr>
              <w:t>Present an argument by supporting a central claim with supporting claims based on weak evidence and/or invalid reasoning.</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Fail to develop an argument because a central claim is not stated or because the argument has no supporting claims, evidence and/or reasoning.</w:t>
            </w:r>
          </w:p>
        </w:tc>
      </w:tr>
      <w:tr w:rsidR="0015526A" w:rsidRPr="00384CE9" w:rsidTr="00111808">
        <w:trPr>
          <w:trHeight w:val="240"/>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6A" w:rsidRPr="00111808" w:rsidRDefault="0015526A" w:rsidP="00384CE9">
            <w:pPr>
              <w:pStyle w:val="TableText"/>
              <w:spacing w:before="0" w:line="240" w:lineRule="auto"/>
              <w:rPr>
                <w:b/>
                <w:spacing w:val="-2"/>
                <w:sz w:val="16"/>
                <w:szCs w:val="13"/>
              </w:rPr>
            </w:pPr>
            <w:r w:rsidRPr="00111808">
              <w:rPr>
                <w:b/>
                <w:spacing w:val="-2"/>
                <w:sz w:val="16"/>
                <w:szCs w:val="13"/>
              </w:rPr>
              <w:t>Coherence, Organization, and Style</w:t>
            </w:r>
          </w:p>
          <w:p w:rsidR="0015526A" w:rsidRPr="00384CE9" w:rsidRDefault="0015526A" w:rsidP="00384CE9">
            <w:pPr>
              <w:pStyle w:val="TableText"/>
              <w:spacing w:before="0" w:line="240" w:lineRule="auto"/>
              <w:rPr>
                <w:spacing w:val="-2"/>
                <w:sz w:val="16"/>
                <w:szCs w:val="13"/>
              </w:rPr>
            </w:pPr>
            <w:r w:rsidRPr="00384CE9">
              <w:rPr>
                <w:spacing w:val="-2"/>
                <w:sz w:val="16"/>
                <w:szCs w:val="13"/>
              </w:rPr>
              <w:t>The extent to which the response properly uses formal style and objective tone as well as adheres to the writing conventions of the discipline.</w:t>
            </w:r>
          </w:p>
          <w:p w:rsidR="0092697D" w:rsidRPr="00111808" w:rsidRDefault="0015526A" w:rsidP="00384CE9">
            <w:pPr>
              <w:pStyle w:val="TableText"/>
              <w:spacing w:before="0" w:line="240" w:lineRule="auto"/>
              <w:rPr>
                <w:b/>
                <w:spacing w:val="-2"/>
                <w:sz w:val="16"/>
                <w:szCs w:val="13"/>
              </w:rPr>
            </w:pPr>
            <w:r w:rsidRPr="00111808">
              <w:rPr>
                <w:b/>
                <w:spacing w:val="-2"/>
                <w:sz w:val="16"/>
                <w:szCs w:val="13"/>
              </w:rPr>
              <w:t>CCSS.ELA-Literacy.W.9-10.1.</w:t>
            </w:r>
            <w:r w:rsidR="00940CB5" w:rsidRPr="00111808">
              <w:rPr>
                <w:b/>
                <w:spacing w:val="-2"/>
                <w:sz w:val="16"/>
                <w:szCs w:val="13"/>
              </w:rPr>
              <w:t xml:space="preserve"> </w:t>
            </w:r>
            <w:r w:rsidRPr="00111808">
              <w:rPr>
                <w:b/>
                <w:spacing w:val="-2"/>
                <w:sz w:val="16"/>
                <w:szCs w:val="13"/>
              </w:rPr>
              <w:t>d</w:t>
            </w:r>
            <w:r w:rsidR="00612D76" w:rsidRPr="00111808">
              <w:rPr>
                <w:b/>
                <w:spacing w:val="-2"/>
                <w:sz w:val="16"/>
                <w:szCs w:val="13"/>
              </w:rPr>
              <w:t>-</w:t>
            </w:r>
            <w:r w:rsidRPr="00111808">
              <w:rPr>
                <w:b/>
                <w:spacing w:val="-2"/>
                <w:sz w:val="16"/>
                <w:szCs w:val="13"/>
              </w:rPr>
              <w:t xml:space="preserve">e. </w:t>
            </w:r>
          </w:p>
          <w:p w:rsidR="00940CB5" w:rsidRPr="00384CE9" w:rsidRDefault="0015526A" w:rsidP="00384CE9">
            <w:pPr>
              <w:pStyle w:val="TableText"/>
              <w:spacing w:before="0" w:line="240" w:lineRule="auto"/>
              <w:rPr>
                <w:spacing w:val="-2"/>
                <w:sz w:val="16"/>
                <w:szCs w:val="13"/>
              </w:rPr>
            </w:pPr>
            <w:r w:rsidRPr="00384CE9">
              <w:rPr>
                <w:spacing w:val="-2"/>
                <w:sz w:val="16"/>
                <w:szCs w:val="13"/>
              </w:rPr>
              <w:t>Establish and maintain a formal style and objective tone while attending to the norms and conventions of the discipline in which they are writing.</w:t>
            </w:r>
          </w:p>
          <w:p w:rsidR="0015526A" w:rsidRPr="00384CE9" w:rsidRDefault="00940CB5" w:rsidP="00384CE9">
            <w:pPr>
              <w:pStyle w:val="TableText"/>
              <w:spacing w:before="0" w:line="240" w:lineRule="auto"/>
              <w:rPr>
                <w:spacing w:val="-2"/>
                <w:sz w:val="16"/>
                <w:szCs w:val="13"/>
              </w:rPr>
            </w:pPr>
            <w:r w:rsidRPr="00384CE9">
              <w:rPr>
                <w:spacing w:val="-2"/>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color w:val="000000" w:themeColor="text1"/>
                <w:sz w:val="16"/>
                <w:szCs w:val="13"/>
              </w:rPr>
              <w:t>Skillfully establish and maintain a formal style and objective tone appropriate to the norms and conventions of the discipline.</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color w:val="000000" w:themeColor="text1"/>
                <w:sz w:val="16"/>
                <w:szCs w:val="13"/>
              </w:rPr>
              <w:t>Establish a style and tone appropriate to the discipline; demonstrate inconsistent use of formality and objectivity.</w:t>
            </w:r>
          </w:p>
        </w:tc>
        <w:tc>
          <w:tcPr>
            <w:tcW w:w="2664"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color w:val="000000" w:themeColor="text1"/>
                <w:sz w:val="16"/>
                <w:szCs w:val="13"/>
              </w:rPr>
              <w:t>Use inconsistent style and tone with some attention to formality and objectivity.</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Lack a formal style, using language that is basic, imprecise, or contextually inappropriate.</w:t>
            </w:r>
          </w:p>
        </w:tc>
      </w:tr>
      <w:tr w:rsidR="0015526A" w:rsidRPr="00384CE9" w:rsidTr="00111808">
        <w:trPr>
          <w:trHeight w:val="325"/>
        </w:trPr>
        <w:tc>
          <w:tcPr>
            <w:tcW w:w="3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6A" w:rsidRPr="00111808" w:rsidRDefault="0015526A" w:rsidP="00384CE9">
            <w:pPr>
              <w:pStyle w:val="TableText"/>
              <w:spacing w:before="0" w:line="240" w:lineRule="auto"/>
              <w:rPr>
                <w:b/>
                <w:spacing w:val="-2"/>
                <w:sz w:val="16"/>
                <w:szCs w:val="13"/>
              </w:rPr>
            </w:pPr>
            <w:r w:rsidRPr="00111808">
              <w:rPr>
                <w:b/>
                <w:spacing w:val="-2"/>
                <w:sz w:val="16"/>
                <w:szCs w:val="13"/>
              </w:rPr>
              <w:lastRenderedPageBreak/>
              <w:t>Control of Conventions</w:t>
            </w:r>
          </w:p>
          <w:p w:rsidR="0015526A" w:rsidRPr="00384CE9" w:rsidRDefault="0015526A" w:rsidP="00384CE9">
            <w:pPr>
              <w:pStyle w:val="TableText"/>
              <w:spacing w:before="0" w:line="240" w:lineRule="auto"/>
              <w:rPr>
                <w:spacing w:val="-2"/>
                <w:sz w:val="16"/>
                <w:szCs w:val="13"/>
              </w:rPr>
            </w:pPr>
            <w:r w:rsidRPr="00384CE9">
              <w:rPr>
                <w:spacing w:val="-2"/>
                <w:sz w:val="16"/>
                <w:szCs w:val="13"/>
              </w:rPr>
              <w:t>The extent to which the response demonstrates command of conventions of standard English grammar, usage, capitalization, punctuation, and spelling.</w:t>
            </w:r>
          </w:p>
          <w:p w:rsidR="0092697D" w:rsidRPr="00111808" w:rsidRDefault="0015526A" w:rsidP="00384CE9">
            <w:pPr>
              <w:pStyle w:val="TableText"/>
              <w:spacing w:before="0" w:line="240" w:lineRule="auto"/>
              <w:rPr>
                <w:b/>
                <w:spacing w:val="-2"/>
                <w:sz w:val="16"/>
                <w:szCs w:val="13"/>
              </w:rPr>
            </w:pPr>
            <w:r w:rsidRPr="00111808">
              <w:rPr>
                <w:b/>
                <w:spacing w:val="-2"/>
                <w:sz w:val="16"/>
                <w:szCs w:val="13"/>
              </w:rPr>
              <w:t>CCSS.ELA-Literacy.L.9-10.1.a-b</w:t>
            </w:r>
          </w:p>
          <w:p w:rsidR="0015526A" w:rsidRPr="00384CE9" w:rsidRDefault="0015526A" w:rsidP="00384CE9">
            <w:pPr>
              <w:pStyle w:val="TableText"/>
              <w:spacing w:before="0" w:line="240" w:lineRule="auto"/>
              <w:rPr>
                <w:spacing w:val="-2"/>
                <w:sz w:val="16"/>
                <w:szCs w:val="13"/>
              </w:rPr>
            </w:pPr>
            <w:r w:rsidRPr="00384CE9">
              <w:rPr>
                <w:spacing w:val="-2"/>
                <w:sz w:val="16"/>
                <w:szCs w:val="13"/>
              </w:rPr>
              <w:t>Demonstrate command of the conventions of standard English grammar and usage when writing or speaking.</w:t>
            </w:r>
          </w:p>
          <w:p w:rsidR="0015526A" w:rsidRPr="00111808" w:rsidRDefault="0015526A" w:rsidP="00384CE9">
            <w:pPr>
              <w:pStyle w:val="TableText"/>
              <w:spacing w:before="0" w:line="240" w:lineRule="auto"/>
              <w:rPr>
                <w:b/>
                <w:spacing w:val="-2"/>
                <w:sz w:val="16"/>
                <w:szCs w:val="13"/>
              </w:rPr>
            </w:pPr>
            <w:r w:rsidRPr="00111808">
              <w:rPr>
                <w:b/>
                <w:spacing w:val="-2"/>
                <w:sz w:val="16"/>
                <w:szCs w:val="13"/>
              </w:rPr>
              <w:t>CCSS.ELA-Literacy.L.9-10.2.a-c</w:t>
            </w:r>
          </w:p>
          <w:p w:rsidR="0015526A" w:rsidRPr="00384CE9" w:rsidRDefault="0015526A" w:rsidP="00384CE9">
            <w:pPr>
              <w:pStyle w:val="TableText"/>
              <w:spacing w:before="0" w:line="240" w:lineRule="auto"/>
              <w:rPr>
                <w:spacing w:val="-2"/>
                <w:sz w:val="16"/>
                <w:szCs w:val="13"/>
              </w:rPr>
            </w:pPr>
            <w:r w:rsidRPr="00384CE9">
              <w:rPr>
                <w:spacing w:val="-2"/>
                <w:sz w:val="16"/>
                <w:szCs w:val="13"/>
              </w:rPr>
              <w:t>Demonstrate command of the conventions of standard English capitalization, punctuation, and spelling when writing.</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 xml:space="preserve">Demonstrate control of conventions with essentially no errors, even with sophisticated language. </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Demonstrate basic control of conventions with occasional errors that do not hinder comprehension.</w:t>
            </w:r>
          </w:p>
        </w:tc>
        <w:tc>
          <w:tcPr>
            <w:tcW w:w="2664"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Demonstrate partial control of conventions with some errors that hinder comprehension.</w:t>
            </w:r>
          </w:p>
        </w:tc>
        <w:tc>
          <w:tcPr>
            <w:tcW w:w="2736" w:type="dxa"/>
            <w:tcBorders>
              <w:top w:val="single" w:sz="4" w:space="0" w:color="auto"/>
              <w:left w:val="single" w:sz="4" w:space="0" w:color="auto"/>
              <w:bottom w:val="single" w:sz="4" w:space="0" w:color="auto"/>
              <w:right w:val="single" w:sz="4" w:space="0" w:color="auto"/>
            </w:tcBorders>
          </w:tcPr>
          <w:p w:rsidR="0015526A" w:rsidRPr="00384CE9" w:rsidRDefault="0015526A" w:rsidP="00384CE9">
            <w:pPr>
              <w:pStyle w:val="TableText"/>
              <w:spacing w:before="0" w:line="240" w:lineRule="auto"/>
              <w:rPr>
                <w:sz w:val="16"/>
                <w:szCs w:val="13"/>
              </w:rPr>
            </w:pPr>
            <w:r w:rsidRPr="00384CE9">
              <w:rPr>
                <w:sz w:val="16"/>
                <w:szCs w:val="13"/>
              </w:rPr>
              <w:t>Demonstrate little control of conventions with frequent errors that make comprehension difficult.</w:t>
            </w:r>
          </w:p>
        </w:tc>
      </w:tr>
    </w:tbl>
    <w:p w:rsidR="0015526A" w:rsidRPr="00111808" w:rsidRDefault="0015526A" w:rsidP="00DB0AB0">
      <w:pPr>
        <w:pStyle w:val="BulletedList"/>
        <w:numPr>
          <w:ilvl w:val="0"/>
          <w:numId w:val="4"/>
        </w:numPr>
      </w:pPr>
      <w:r w:rsidRPr="00111808">
        <w:t xml:space="preserve">A response that is a personal response and makes little or no reference to the task or text can be scored no higher than a 1. </w:t>
      </w:r>
    </w:p>
    <w:p w:rsidR="0015526A" w:rsidRPr="00111808" w:rsidRDefault="0015526A" w:rsidP="00DB0AB0">
      <w:pPr>
        <w:pStyle w:val="BulletedList"/>
        <w:numPr>
          <w:ilvl w:val="0"/>
          <w:numId w:val="4"/>
        </w:numPr>
      </w:pPr>
      <w:r w:rsidRPr="00111808">
        <w:t xml:space="preserve">A response that is totally copied from the text with no original writing must be given a 0. </w:t>
      </w:r>
    </w:p>
    <w:p w:rsidR="0015526A" w:rsidRPr="00111808" w:rsidRDefault="0015526A" w:rsidP="00DB0AB0">
      <w:pPr>
        <w:pStyle w:val="BulletedList"/>
        <w:numPr>
          <w:ilvl w:val="0"/>
          <w:numId w:val="4"/>
        </w:numPr>
      </w:pPr>
      <w:r w:rsidRPr="00111808">
        <w:t xml:space="preserve">A response that is totally unrelated to the task, illegible, incoherent, blank, or unrecognizable as English must be scored as a 0. </w:t>
      </w:r>
    </w:p>
    <w:p w:rsidR="005A177C" w:rsidRDefault="005A177C" w:rsidP="00943F62">
      <w:pPr>
        <w:sectPr w:rsidR="005A177C" w:rsidSect="00111808">
          <w:headerReference w:type="default" r:id="rId17"/>
          <w:footerReference w:type="default" r:id="rId18"/>
          <w:pgSz w:w="15840" w:h="12240" w:orient="landscape" w:code="1"/>
          <w:pgMar w:top="432" w:right="864" w:bottom="432" w:left="864" w:header="720" w:footer="720" w:gutter="0"/>
          <w:cols w:space="720"/>
          <w:docGrid w:linePitch="299"/>
        </w:sectPr>
      </w:pPr>
    </w:p>
    <w:p w:rsidR="005A177C" w:rsidRPr="009C5040" w:rsidRDefault="005A177C" w:rsidP="005A177C">
      <w:pPr>
        <w:spacing w:before="0" w:after="120" w:line="240" w:lineRule="auto"/>
        <w:rPr>
          <w:rFonts w:cs="Calibri"/>
          <w:b/>
          <w:bCs/>
          <w:color w:val="365F91"/>
          <w:sz w:val="32"/>
          <w:szCs w:val="32"/>
        </w:rPr>
      </w:pPr>
      <w:r>
        <w:rPr>
          <w:rFonts w:cs="Calibri"/>
          <w:b/>
          <w:bCs/>
          <w:color w:val="365F91"/>
          <w:sz w:val="32"/>
          <w:szCs w:val="32"/>
        </w:rPr>
        <w:lastRenderedPageBreak/>
        <w:t>10.4.2</w:t>
      </w:r>
      <w:r w:rsidRPr="009C5040">
        <w:rPr>
          <w:rFonts w:cs="Calibri"/>
          <w:b/>
          <w:bCs/>
          <w:color w:val="365F91"/>
          <w:sz w:val="32"/>
          <w:szCs w:val="32"/>
        </w:rPr>
        <w:t xml:space="preserve"> </w:t>
      </w:r>
      <w:r>
        <w:rPr>
          <w:rFonts w:cs="Calibri"/>
          <w:b/>
          <w:bCs/>
          <w:color w:val="365F91"/>
          <w:sz w:val="32"/>
          <w:szCs w:val="32"/>
        </w:rPr>
        <w:t xml:space="preserve">End-of-Unit Text Analysis </w:t>
      </w:r>
      <w:r w:rsidRPr="009C5040">
        <w:rPr>
          <w:rFonts w:cs="Calibri"/>
          <w:b/>
          <w:bCs/>
          <w:color w:val="365F91"/>
          <w:sz w:val="32"/>
          <w:szCs w:val="32"/>
        </w:rPr>
        <w:t>Checklist</w:t>
      </w:r>
    </w:p>
    <w:p w:rsidR="005A177C" w:rsidRPr="009C5040" w:rsidRDefault="005A177C" w:rsidP="005A177C">
      <w:pPr>
        <w:tabs>
          <w:tab w:val="left" w:pos="8640"/>
        </w:tabs>
        <w:spacing w:before="40" w:after="120" w:line="240" w:lineRule="auto"/>
        <w:rPr>
          <w:rFonts w:cs="Calibri"/>
          <w:b/>
          <w:bCs/>
          <w:u w:val="single"/>
        </w:rPr>
      </w:pPr>
      <w:r w:rsidRPr="009C5040">
        <w:rPr>
          <w:rFonts w:cs="Calibri"/>
          <w:b/>
          <w:bCs/>
        </w:rPr>
        <w:t xml:space="preserve">Assessed Standards: </w:t>
      </w:r>
      <w:r w:rsidRPr="009C5040">
        <w:rPr>
          <w:rFonts w:cs="Calibri"/>
          <w:b/>
          <w:bCs/>
          <w:u w:val="single"/>
        </w:rPr>
        <w:tab/>
      </w:r>
    </w:p>
    <w:p w:rsidR="005A177C" w:rsidRPr="009C5040" w:rsidRDefault="005A177C" w:rsidP="005A177C">
      <w:pPr>
        <w:spacing w:after="60"/>
        <w:rPr>
          <w:rFonts w:cs="Calibri"/>
          <w:sz w:val="18"/>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5647"/>
        <w:gridCol w:w="1129"/>
      </w:tblGrid>
      <w:tr w:rsidR="005A177C" w:rsidRPr="009C5040" w:rsidTr="005A177C">
        <w:trPr>
          <w:trHeight w:val="368"/>
        </w:trPr>
        <w:tc>
          <w:tcPr>
            <w:tcW w:w="2651" w:type="dxa"/>
            <w:shd w:val="clear" w:color="auto" w:fill="D9D9D9"/>
            <w:vAlign w:val="center"/>
          </w:tcPr>
          <w:p w:rsidR="005A177C" w:rsidRPr="009C5040" w:rsidRDefault="005A177C" w:rsidP="003A3EF2">
            <w:pPr>
              <w:spacing w:before="40" w:after="120" w:line="240" w:lineRule="auto"/>
              <w:jc w:val="center"/>
              <w:rPr>
                <w:rFonts w:cs="Calibri"/>
                <w:b/>
                <w:bCs/>
              </w:rPr>
            </w:pPr>
          </w:p>
        </w:tc>
        <w:tc>
          <w:tcPr>
            <w:tcW w:w="5647" w:type="dxa"/>
            <w:shd w:val="clear" w:color="auto" w:fill="D9D9D9"/>
            <w:vAlign w:val="center"/>
          </w:tcPr>
          <w:p w:rsidR="005A177C" w:rsidRPr="009C5040" w:rsidRDefault="005A177C" w:rsidP="003A3EF2">
            <w:pPr>
              <w:spacing w:before="40" w:after="120" w:line="240" w:lineRule="auto"/>
              <w:jc w:val="center"/>
              <w:rPr>
                <w:rFonts w:cs="Calibri"/>
                <w:b/>
                <w:bCs/>
              </w:rPr>
            </w:pPr>
            <w:r w:rsidRPr="009C5040">
              <w:rPr>
                <w:rFonts w:cs="Calibri"/>
                <w:b/>
                <w:bCs/>
              </w:rPr>
              <w:t>Does my writing…</w:t>
            </w:r>
          </w:p>
        </w:tc>
        <w:tc>
          <w:tcPr>
            <w:tcW w:w="1129" w:type="dxa"/>
            <w:shd w:val="clear" w:color="auto" w:fill="D9D9D9"/>
            <w:vAlign w:val="center"/>
          </w:tcPr>
          <w:p w:rsidR="005A177C" w:rsidRPr="009C5040" w:rsidRDefault="005A177C" w:rsidP="003A3EF2">
            <w:pPr>
              <w:spacing w:before="40" w:after="120" w:line="240" w:lineRule="auto"/>
              <w:jc w:val="center"/>
              <w:rPr>
                <w:rFonts w:cs="Calibri"/>
                <w:b/>
                <w:bCs/>
              </w:rPr>
            </w:pPr>
            <w:r w:rsidRPr="009C5040">
              <w:rPr>
                <w:rFonts w:ascii="MS Mincho" w:eastAsia="MS Mincho" w:hAnsi="MS Mincho" w:cs="MS Mincho" w:hint="eastAsia"/>
                <w:b/>
                <w:bCs/>
              </w:rPr>
              <w:t>✔</w:t>
            </w:r>
          </w:p>
        </w:tc>
      </w:tr>
      <w:tr w:rsidR="005A177C" w:rsidRPr="009C5040" w:rsidTr="005A177C">
        <w:trPr>
          <w:trHeight w:val="305"/>
        </w:trPr>
        <w:tc>
          <w:tcPr>
            <w:tcW w:w="2651" w:type="dxa"/>
            <w:vMerge w:val="restart"/>
          </w:tcPr>
          <w:p w:rsidR="005A177C" w:rsidRPr="009C5040" w:rsidRDefault="005A177C" w:rsidP="003A3EF2">
            <w:pPr>
              <w:spacing w:before="40" w:after="120" w:line="240" w:lineRule="auto"/>
              <w:rPr>
                <w:rFonts w:cs="Calibri"/>
                <w:b/>
                <w:bCs/>
              </w:rPr>
            </w:pPr>
            <w:r w:rsidRPr="009C5040">
              <w:rPr>
                <w:rFonts w:cs="Calibri"/>
                <w:b/>
                <w:bCs/>
              </w:rPr>
              <w:t xml:space="preserve">Content and Analysis </w:t>
            </w:r>
          </w:p>
        </w:tc>
        <w:tc>
          <w:tcPr>
            <w:tcW w:w="5647" w:type="dxa"/>
          </w:tcPr>
          <w:p w:rsidR="005A177C" w:rsidRPr="009C5040" w:rsidRDefault="005A177C" w:rsidP="003A3EF2">
            <w:pPr>
              <w:spacing w:before="40" w:after="120" w:line="240" w:lineRule="auto"/>
              <w:rPr>
                <w:rFonts w:cs="Calibri"/>
              </w:rPr>
            </w:pPr>
            <w:r w:rsidRPr="009C5040">
              <w:rPr>
                <w:rFonts w:cs="Calibri"/>
              </w:rPr>
              <w:t xml:space="preserve">Introduce precise claims and distinguish the claims from alternate or opposing claims? </w:t>
            </w:r>
            <w:r w:rsidRPr="009C5040">
              <w:rPr>
                <w:rFonts w:cs="Calibri"/>
                <w:b/>
              </w:rPr>
              <w:t>(W.9-10.1.a)</w:t>
            </w:r>
          </w:p>
        </w:tc>
        <w:tc>
          <w:tcPr>
            <w:tcW w:w="1129" w:type="dxa"/>
            <w:vAlign w:val="center"/>
          </w:tcPr>
          <w:p w:rsidR="005A177C" w:rsidRPr="009C5040" w:rsidRDefault="005A177C" w:rsidP="003A3EF2">
            <w:pPr>
              <w:spacing w:before="0" w:after="0" w:line="240" w:lineRule="auto"/>
              <w:jc w:val="center"/>
              <w:rPr>
                <w:rFonts w:cs="Calibri"/>
              </w:rPr>
            </w:pPr>
            <w:r>
              <w:rPr>
                <w:noProof/>
              </w:rPr>
              <mc:AlternateContent>
                <mc:Choice Requires="wps">
                  <w:drawing>
                    <wp:inline distT="0" distB="0" distL="0" distR="0" wp14:anchorId="00C27AF0" wp14:editId="3FF2F2C6">
                      <wp:extent cx="138430" cy="138430"/>
                      <wp:effectExtent l="0" t="0" r="13970" b="13970"/>
                      <wp:docPr id="2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3FC6F" id="Rectangle 111"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UbHgIAAD4EAAAOAAAAZHJzL2Uyb0RvYy54bWysU1GP0zAMfkfiP0R5Z113G+y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gl+lGx4CAAA+BAAADgAAAAAAAAAAAAAAAAAuAgAAZHJzL2Uyb0RvYy54bWxQSwECLQAUAAYA&#10;CAAAACEAlsxLP9cAAAADAQAADwAAAAAAAAAAAAAAAAB4BAAAZHJzL2Rvd25yZXYueG1sUEsFBgAA&#10;AAAEAAQA8wAAAHwFA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rPr>
            </w:pPr>
            <w:r w:rsidRPr="009C5040">
              <w:rPr>
                <w:rFonts w:cs="Calibri"/>
              </w:rPr>
              <w:t>Supply evidence to develop claims and counterclaims?</w:t>
            </w:r>
            <w:r>
              <w:rPr>
                <w:rFonts w:cs="Calibri"/>
              </w:rPr>
              <w:t xml:space="preserve"> </w:t>
            </w:r>
            <w:r w:rsidRPr="009C5040">
              <w:rPr>
                <w:rFonts w:cs="Calibri"/>
                <w:b/>
              </w:rPr>
              <w:t>(W.9-10.1.b)</w:t>
            </w:r>
          </w:p>
        </w:tc>
        <w:tc>
          <w:tcPr>
            <w:tcW w:w="1129" w:type="dxa"/>
            <w:vAlign w:val="center"/>
          </w:tcPr>
          <w:p w:rsidR="005A177C" w:rsidRPr="009C5040" w:rsidRDefault="005A177C" w:rsidP="003A3EF2">
            <w:pPr>
              <w:spacing w:before="0" w:after="0" w:line="240" w:lineRule="auto"/>
              <w:jc w:val="center"/>
              <w:rPr>
                <w:rFonts w:cs="Calibri"/>
                <w:noProof/>
              </w:rPr>
            </w:pPr>
            <w:r>
              <w:rPr>
                <w:noProof/>
              </w:rPr>
              <mc:AlternateContent>
                <mc:Choice Requires="wps">
                  <w:drawing>
                    <wp:inline distT="0" distB="0" distL="0" distR="0" wp14:anchorId="66586880" wp14:editId="68ADE23F">
                      <wp:extent cx="138430" cy="138430"/>
                      <wp:effectExtent l="0" t="0" r="13970" b="13970"/>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03C20" id="Rectangle 112"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1fHwIAAD4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Pg+7V8fAgAAPgQAAA4AAAAAAAAAAAAAAAAALgIAAGRycy9lMm9Eb2MueG1sUEsBAi0AFAAG&#10;AAgAAAAhAJbMSz/XAAAAAwEAAA8AAAAAAAAAAAAAAAAAeQQAAGRycy9kb3ducmV2LnhtbFBLBQYA&#10;AAAABAAEAPMAAAB9BQ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rPr>
            </w:pPr>
            <w:r w:rsidRPr="009C5040">
              <w:rPr>
                <w:rFonts w:cs="Calibri"/>
              </w:rPr>
              <w:t xml:space="preserve">Address the strengths and limitations of the claims and counterclaims? </w:t>
            </w:r>
            <w:r w:rsidRPr="009C5040">
              <w:rPr>
                <w:rFonts w:cs="Calibri"/>
                <w:b/>
              </w:rPr>
              <w:t>(W.9-10.1.b)</w:t>
            </w:r>
          </w:p>
        </w:tc>
        <w:tc>
          <w:tcPr>
            <w:tcW w:w="1129" w:type="dxa"/>
            <w:vAlign w:val="center"/>
          </w:tcPr>
          <w:p w:rsidR="005A177C" w:rsidRPr="009C5040" w:rsidRDefault="005A177C" w:rsidP="003A3EF2">
            <w:pPr>
              <w:spacing w:before="0" w:after="0" w:line="240" w:lineRule="auto"/>
              <w:jc w:val="center"/>
              <w:rPr>
                <w:rFonts w:cs="Calibri"/>
                <w:noProof/>
              </w:rPr>
            </w:pPr>
            <w:r>
              <w:rPr>
                <w:noProof/>
              </w:rPr>
              <mc:AlternateContent>
                <mc:Choice Requires="wps">
                  <w:drawing>
                    <wp:inline distT="0" distB="0" distL="0" distR="0" wp14:anchorId="71CD6C5E" wp14:editId="70C3380C">
                      <wp:extent cx="138430" cy="138430"/>
                      <wp:effectExtent l="0" t="0" r="13970" b="13970"/>
                      <wp:docPr id="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9808FB" id="Rectangle 112"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Fu3IuAfAgAAPgQAAA4AAAAAAAAAAAAAAAAALgIAAGRycy9lMm9Eb2MueG1sUEsBAi0AFAAG&#10;AAgAAAAhAJbMSz/XAAAAAwEAAA8AAAAAAAAAAAAAAAAAeQQAAGRycy9kb3ducmV2LnhtbFBLBQYA&#10;AAAABAAEAPMAAAB9BQAAAAA=&#10;">
                      <w10:anchorlock/>
                    </v:rect>
                  </w:pict>
                </mc:Fallback>
              </mc:AlternateContent>
            </w:r>
          </w:p>
        </w:tc>
      </w:tr>
      <w:tr w:rsidR="005A177C" w:rsidRPr="009C5040" w:rsidTr="005A177C">
        <w:trPr>
          <w:trHeight w:val="305"/>
        </w:trPr>
        <w:tc>
          <w:tcPr>
            <w:tcW w:w="2651" w:type="dxa"/>
            <w:vMerge w:val="restart"/>
          </w:tcPr>
          <w:p w:rsidR="005A177C" w:rsidRPr="009C5040" w:rsidRDefault="005A177C" w:rsidP="003A3EF2">
            <w:pPr>
              <w:spacing w:before="40" w:after="120" w:line="240" w:lineRule="auto"/>
              <w:rPr>
                <w:rFonts w:cs="Calibri"/>
                <w:b/>
                <w:bCs/>
              </w:rPr>
            </w:pPr>
            <w:r w:rsidRPr="009C5040">
              <w:rPr>
                <w:rFonts w:cs="Calibri"/>
                <w:b/>
                <w:bCs/>
              </w:rPr>
              <w:t>Command of Evidence and Reasoning</w:t>
            </w:r>
          </w:p>
        </w:tc>
        <w:tc>
          <w:tcPr>
            <w:tcW w:w="5647" w:type="dxa"/>
          </w:tcPr>
          <w:p w:rsidR="005A177C" w:rsidRPr="009C5040" w:rsidRDefault="005A177C" w:rsidP="003A3EF2">
            <w:pPr>
              <w:spacing w:before="40" w:after="120" w:line="240" w:lineRule="auto"/>
              <w:rPr>
                <w:rFonts w:cs="Calibri"/>
              </w:rPr>
            </w:pPr>
            <w:r w:rsidRPr="009C5040">
              <w:rPr>
                <w:rFonts w:cs="Calibri"/>
              </w:rPr>
              <w:t>Support cla</w:t>
            </w:r>
            <w:r>
              <w:rPr>
                <w:rFonts w:cs="Calibri"/>
              </w:rPr>
              <w:t xml:space="preserve">ims by providing a range of </w:t>
            </w:r>
            <w:r w:rsidRPr="009C5040">
              <w:rPr>
                <w:rFonts w:cs="Calibri"/>
              </w:rPr>
              <w:t xml:space="preserve">relevant evidence? </w:t>
            </w:r>
            <w:r w:rsidRPr="009C5040">
              <w:rPr>
                <w:rFonts w:cs="Calibri"/>
                <w:b/>
              </w:rPr>
              <w:t>(W.9-10.1)</w:t>
            </w:r>
          </w:p>
        </w:tc>
        <w:tc>
          <w:tcPr>
            <w:tcW w:w="1129" w:type="dxa"/>
            <w:vAlign w:val="center"/>
          </w:tcPr>
          <w:p w:rsidR="005A177C" w:rsidRPr="009C5040" w:rsidRDefault="005A177C" w:rsidP="003A3EF2">
            <w:pPr>
              <w:spacing w:before="0" w:after="0" w:line="240" w:lineRule="auto"/>
              <w:jc w:val="center"/>
              <w:rPr>
                <w:rFonts w:cs="Calibri"/>
              </w:rPr>
            </w:pPr>
            <w:r>
              <w:rPr>
                <w:noProof/>
              </w:rPr>
              <mc:AlternateContent>
                <mc:Choice Requires="wps">
                  <w:drawing>
                    <wp:inline distT="0" distB="0" distL="0" distR="0" wp14:anchorId="0C4A25C4" wp14:editId="139777FE">
                      <wp:extent cx="138430" cy="138430"/>
                      <wp:effectExtent l="0" t="0" r="13970" b="13970"/>
                      <wp:docPr id="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917414" id="Rectangle 8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lTz+NB4CAAA9BAAADgAAAAAAAAAAAAAAAAAuAgAAZHJzL2Uyb0RvYy54bWxQSwECLQAUAAYA&#10;CAAAACEAlsxLP9cAAAADAQAADwAAAAAAAAAAAAAAAAB4BAAAZHJzL2Rvd25yZXYueG1sUEsFBgAA&#10;AAAEAAQA8wAAAHwFA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rPr>
            </w:pPr>
            <w:r w:rsidRPr="009C5040">
              <w:rPr>
                <w:rFonts w:cs="Calibri"/>
              </w:rPr>
              <w:t xml:space="preserve">Use valid reasoning to demonstrate clear relationships between claims and evidence? </w:t>
            </w:r>
            <w:r w:rsidRPr="009C5040">
              <w:rPr>
                <w:rFonts w:cs="Calibri"/>
                <w:b/>
              </w:rPr>
              <w:t>(W.9-10.1)</w:t>
            </w:r>
          </w:p>
        </w:tc>
        <w:tc>
          <w:tcPr>
            <w:tcW w:w="1129" w:type="dxa"/>
            <w:vAlign w:val="center"/>
          </w:tcPr>
          <w:p w:rsidR="005A177C" w:rsidRPr="009C5040" w:rsidRDefault="005A177C" w:rsidP="003A3EF2">
            <w:pPr>
              <w:spacing w:before="0" w:after="0" w:line="240" w:lineRule="auto"/>
              <w:jc w:val="center"/>
              <w:rPr>
                <w:rFonts w:cs="Calibri"/>
                <w:noProof/>
              </w:rPr>
            </w:pPr>
            <w:r>
              <w:rPr>
                <w:noProof/>
              </w:rPr>
              <mc:AlternateContent>
                <mc:Choice Requires="wps">
                  <w:drawing>
                    <wp:inline distT="0" distB="0" distL="0" distR="0" wp14:anchorId="34E3100F" wp14:editId="05EBDF8D">
                      <wp:extent cx="138430" cy="138430"/>
                      <wp:effectExtent l="0" t="0" r="13970" b="13970"/>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10D76" id="Rectangle 8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DDdlax4CAAA9BAAADgAAAAAAAAAAAAAAAAAuAgAAZHJzL2Uyb0RvYy54bWxQSwECLQAUAAYA&#10;CAAAACEAlsxLP9cAAAADAQAADwAAAAAAAAAAAAAAAAB4BAAAZHJzL2Rvd25yZXYueG1sUEsFBgAA&#10;AAAEAAQA8wAAAHwFAAAAAA==&#10;">
                      <w10:anchorlock/>
                    </v:rect>
                  </w:pict>
                </mc:Fallback>
              </mc:AlternateContent>
            </w:r>
          </w:p>
        </w:tc>
      </w:tr>
      <w:tr w:rsidR="005A177C" w:rsidRPr="009C5040" w:rsidTr="005A177C">
        <w:trPr>
          <w:trHeight w:val="305"/>
        </w:trPr>
        <w:tc>
          <w:tcPr>
            <w:tcW w:w="2651" w:type="dxa"/>
            <w:vMerge w:val="restart"/>
          </w:tcPr>
          <w:p w:rsidR="005A177C" w:rsidRPr="009C5040" w:rsidRDefault="005A177C" w:rsidP="003A3EF2">
            <w:pPr>
              <w:spacing w:before="40" w:after="120" w:line="240" w:lineRule="auto"/>
              <w:rPr>
                <w:rFonts w:cs="Calibri"/>
                <w:b/>
                <w:bCs/>
              </w:rPr>
            </w:pPr>
            <w:r w:rsidRPr="009C5040">
              <w:rPr>
                <w:rFonts w:cs="Calibri"/>
                <w:b/>
                <w:bCs/>
              </w:rPr>
              <w:t>Coherence, Organization, and Style</w:t>
            </w:r>
          </w:p>
        </w:tc>
        <w:tc>
          <w:tcPr>
            <w:tcW w:w="5647" w:type="dxa"/>
          </w:tcPr>
          <w:p w:rsidR="005A177C" w:rsidRPr="009C5040" w:rsidRDefault="005A177C" w:rsidP="003A3EF2">
            <w:pPr>
              <w:spacing w:before="40" w:after="120" w:line="240" w:lineRule="auto"/>
              <w:rPr>
                <w:rFonts w:cs="Calibri"/>
              </w:rPr>
            </w:pPr>
            <w:r w:rsidRPr="009C5040">
              <w:rPr>
                <w:rFonts w:cs="Calibri"/>
              </w:rPr>
              <w:t xml:space="preserve">Organize claims, counterclaims, evidence, and reasoning to establish clear relationships among all the components of the argument? </w:t>
            </w:r>
            <w:r w:rsidRPr="009C5040">
              <w:rPr>
                <w:rFonts w:cs="Calibri"/>
                <w:b/>
              </w:rPr>
              <w:t>(W.9-10.1.a)</w:t>
            </w:r>
          </w:p>
        </w:tc>
        <w:tc>
          <w:tcPr>
            <w:tcW w:w="1129" w:type="dxa"/>
            <w:vAlign w:val="center"/>
          </w:tcPr>
          <w:p w:rsidR="005A177C" w:rsidRPr="009C5040" w:rsidRDefault="005A177C" w:rsidP="003A3EF2">
            <w:pPr>
              <w:spacing w:before="0" w:after="0" w:line="240" w:lineRule="auto"/>
              <w:jc w:val="center"/>
              <w:rPr>
                <w:rFonts w:cs="Calibri"/>
              </w:rPr>
            </w:pPr>
            <w:r>
              <w:rPr>
                <w:noProof/>
              </w:rPr>
              <mc:AlternateContent>
                <mc:Choice Requires="wps">
                  <w:drawing>
                    <wp:inline distT="0" distB="0" distL="0" distR="0" wp14:anchorId="44EBDE5E" wp14:editId="27BE9431">
                      <wp:extent cx="138430" cy="138430"/>
                      <wp:effectExtent l="0" t="0" r="13970" b="13970"/>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5353A5" id="Rectangle 11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IiFUBUfAgAAPgQAAA4AAAAAAAAAAAAAAAAALgIAAGRycy9lMm9Eb2MueG1sUEsBAi0AFAAG&#10;AAgAAAAhAJbMSz/XAAAAAwEAAA8AAAAAAAAAAAAAAAAAeQQAAGRycy9kb3ducmV2LnhtbFBLBQYA&#10;AAAABAAEAPMAAAB9BQ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rPr>
            </w:pPr>
            <w:r w:rsidRPr="009C5040">
              <w:rPr>
                <w:rFonts w:cs="Calibri"/>
              </w:rPr>
              <w:t xml:space="preserve">Use words, phrases, and clauses effectively to create clear relationships among components of the argument? </w:t>
            </w:r>
            <w:r w:rsidRPr="009C5040">
              <w:rPr>
                <w:rFonts w:cs="Calibri"/>
                <w:b/>
              </w:rPr>
              <w:t>(W.9-10.1.c)</w:t>
            </w:r>
          </w:p>
        </w:tc>
        <w:tc>
          <w:tcPr>
            <w:tcW w:w="1129" w:type="dxa"/>
            <w:vAlign w:val="center"/>
          </w:tcPr>
          <w:p w:rsidR="005A177C" w:rsidRPr="009C5040" w:rsidRDefault="005A177C" w:rsidP="003A3EF2">
            <w:pPr>
              <w:spacing w:before="0" w:after="0" w:line="240" w:lineRule="auto"/>
              <w:jc w:val="center"/>
              <w:rPr>
                <w:rFonts w:cs="Calibri"/>
                <w:noProof/>
              </w:rPr>
            </w:pPr>
            <w:r>
              <w:rPr>
                <w:noProof/>
              </w:rPr>
              <mc:AlternateContent>
                <mc:Choice Requires="wps">
                  <w:drawing>
                    <wp:inline distT="0" distB="0" distL="0" distR="0" wp14:anchorId="5547DFAF" wp14:editId="415D2C25">
                      <wp:extent cx="138430" cy="138430"/>
                      <wp:effectExtent l="0" t="0" r="13970" b="13970"/>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10A0DE" id="Rectangle 11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b/>
              </w:rPr>
            </w:pPr>
            <w:r w:rsidRPr="009C5040">
              <w:rPr>
                <w:rFonts w:cs="Calibri"/>
              </w:rPr>
              <w:t xml:space="preserve">Establish and maintain a formal style, using precise language and sound structure? </w:t>
            </w:r>
            <w:r w:rsidRPr="009C5040">
              <w:rPr>
                <w:rFonts w:cs="Calibri"/>
                <w:b/>
              </w:rPr>
              <w:t>(W.9-10.1.d)</w:t>
            </w:r>
          </w:p>
        </w:tc>
        <w:tc>
          <w:tcPr>
            <w:tcW w:w="1129" w:type="dxa"/>
            <w:vAlign w:val="center"/>
          </w:tcPr>
          <w:p w:rsidR="005A177C" w:rsidRPr="009C5040" w:rsidRDefault="005A177C" w:rsidP="003A3EF2">
            <w:pPr>
              <w:spacing w:before="0" w:after="0" w:line="240" w:lineRule="auto"/>
              <w:jc w:val="center"/>
              <w:rPr>
                <w:rFonts w:cs="Calibri"/>
                <w:noProof/>
              </w:rPr>
            </w:pPr>
            <w:r>
              <w:rPr>
                <w:noProof/>
              </w:rPr>
              <mc:AlternateContent>
                <mc:Choice Requires="wps">
                  <w:drawing>
                    <wp:inline distT="0" distB="0" distL="0" distR="0" wp14:anchorId="2E734CAD" wp14:editId="18515C65">
                      <wp:extent cx="138430" cy="138430"/>
                      <wp:effectExtent l="0" t="0" r="13970" b="13970"/>
                      <wp:docPr id="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76A7A5" id="Rectangle 11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6xHgIAAD4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j5C+sR4CAAA+BAAADgAAAAAAAAAAAAAAAAAuAgAAZHJzL2Uyb0RvYy54bWxQSwECLQAUAAYA&#10;CAAAACEAlsxLP9cAAAADAQAADwAAAAAAAAAAAAAAAAB4BAAAZHJzL2Rvd25yZXYueG1sUEsFBgAA&#10;AAAEAAQA8wAAAHwFA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b/>
              </w:rPr>
            </w:pPr>
            <w:r w:rsidRPr="009C5040">
              <w:rPr>
                <w:rFonts w:cs="Calibri"/>
              </w:rPr>
              <w:t xml:space="preserve">Provide a conclusion that supports the argument and offers a new way of thinking about the issue? </w:t>
            </w:r>
            <w:r w:rsidRPr="009C5040">
              <w:rPr>
                <w:rFonts w:cs="Calibri"/>
                <w:b/>
              </w:rPr>
              <w:t>(W.9-10.1.e)</w:t>
            </w:r>
          </w:p>
        </w:tc>
        <w:tc>
          <w:tcPr>
            <w:tcW w:w="1129" w:type="dxa"/>
            <w:vAlign w:val="center"/>
          </w:tcPr>
          <w:p w:rsidR="005A177C" w:rsidRPr="009C5040" w:rsidRDefault="005A177C" w:rsidP="003A3EF2">
            <w:pPr>
              <w:spacing w:before="0" w:after="0" w:line="240" w:lineRule="auto"/>
              <w:jc w:val="center"/>
              <w:rPr>
                <w:rFonts w:cs="Calibri"/>
              </w:rPr>
            </w:pPr>
            <w:r>
              <w:rPr>
                <w:noProof/>
              </w:rPr>
              <mc:AlternateContent>
                <mc:Choice Requires="wps">
                  <w:drawing>
                    <wp:inline distT="0" distB="0" distL="0" distR="0" wp14:anchorId="0452567A" wp14:editId="65CC3A3E">
                      <wp:extent cx="138430" cy="138430"/>
                      <wp:effectExtent l="0" t="0" r="13970" b="13970"/>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B1A5ED" id="Rectangle 113"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IAIAAD4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">
                      <w10:anchorlock/>
                    </v:rect>
                  </w:pict>
                </mc:Fallback>
              </mc:AlternateContent>
            </w:r>
          </w:p>
        </w:tc>
      </w:tr>
      <w:tr w:rsidR="005A177C" w:rsidRPr="009C5040" w:rsidTr="005A177C">
        <w:trPr>
          <w:trHeight w:val="305"/>
        </w:trPr>
        <w:tc>
          <w:tcPr>
            <w:tcW w:w="2651" w:type="dxa"/>
            <w:vMerge/>
          </w:tcPr>
          <w:p w:rsidR="005A177C" w:rsidRPr="009C5040" w:rsidRDefault="005A177C" w:rsidP="003A3EF2">
            <w:pPr>
              <w:spacing w:before="40" w:after="120" w:line="240" w:lineRule="auto"/>
              <w:rPr>
                <w:rFonts w:cs="Calibri"/>
                <w:b/>
                <w:bCs/>
              </w:rPr>
            </w:pPr>
          </w:p>
        </w:tc>
        <w:tc>
          <w:tcPr>
            <w:tcW w:w="5647" w:type="dxa"/>
          </w:tcPr>
          <w:p w:rsidR="005A177C" w:rsidRPr="009C5040" w:rsidRDefault="005A177C" w:rsidP="003A3EF2">
            <w:pPr>
              <w:spacing w:before="40" w:after="120" w:line="240" w:lineRule="auto"/>
              <w:rPr>
                <w:rFonts w:cs="Calibri"/>
              </w:rPr>
            </w:pPr>
            <w:r w:rsidRPr="009C5040">
              <w:rPr>
                <w:rFonts w:cs="Calibri"/>
              </w:rPr>
              <w:t xml:space="preserve">Demonstrate accurate and effective use of general academic and domain-specific words and phrases acquired through the research process? </w:t>
            </w:r>
            <w:r w:rsidRPr="009C5040">
              <w:rPr>
                <w:rFonts w:cs="Calibri"/>
                <w:b/>
              </w:rPr>
              <w:t>(L.9-10.6)</w:t>
            </w:r>
          </w:p>
        </w:tc>
        <w:tc>
          <w:tcPr>
            <w:tcW w:w="1129" w:type="dxa"/>
            <w:vAlign w:val="center"/>
          </w:tcPr>
          <w:p w:rsidR="005A177C" w:rsidRPr="009C5040" w:rsidRDefault="005A177C" w:rsidP="003A3EF2">
            <w:pPr>
              <w:spacing w:before="0" w:after="0" w:line="240" w:lineRule="auto"/>
              <w:jc w:val="center"/>
              <w:rPr>
                <w:rFonts w:cs="Calibri"/>
                <w:noProof/>
              </w:rPr>
            </w:pPr>
            <w:r>
              <w:rPr>
                <w:noProof/>
              </w:rPr>
              <mc:AlternateContent>
                <mc:Choice Requires="wps">
                  <w:drawing>
                    <wp:inline distT="0" distB="0" distL="0" distR="0" wp14:anchorId="66E35801" wp14:editId="3AB40564">
                      <wp:extent cx="138430" cy="138430"/>
                      <wp:effectExtent l="0" t="0" r="13970" b="13970"/>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675771" id="Rectangle 8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V8oOEB4CAAA9BAAADgAAAAAAAAAAAAAAAAAuAgAAZHJzL2Uyb0RvYy54bWxQSwECLQAUAAYA&#10;CAAAACEAlsxLP9cAAAADAQAADwAAAAAAAAAAAAAAAAB4BAAAZHJzL2Rvd25yZXYueG1sUEsFBgAA&#10;AAAEAAQA8wAAAHwFAAAAAA==&#10;">
                      <w10:anchorlock/>
                    </v:rect>
                  </w:pict>
                </mc:Fallback>
              </mc:AlternateContent>
            </w:r>
          </w:p>
        </w:tc>
      </w:tr>
      <w:tr w:rsidR="005A177C" w:rsidRPr="009C5040" w:rsidTr="005A177C">
        <w:trPr>
          <w:trHeight w:val="305"/>
        </w:trPr>
        <w:tc>
          <w:tcPr>
            <w:tcW w:w="2651" w:type="dxa"/>
          </w:tcPr>
          <w:p w:rsidR="005A177C" w:rsidRPr="009C5040" w:rsidRDefault="005A177C" w:rsidP="003A3EF2">
            <w:pPr>
              <w:spacing w:before="40" w:after="120" w:line="240" w:lineRule="auto"/>
              <w:rPr>
                <w:rFonts w:cs="Calibri"/>
                <w:b/>
                <w:bCs/>
              </w:rPr>
            </w:pPr>
            <w:r w:rsidRPr="009C5040">
              <w:rPr>
                <w:rFonts w:cs="Calibri"/>
                <w:b/>
                <w:bCs/>
              </w:rPr>
              <w:t>Control of Conventions</w:t>
            </w:r>
          </w:p>
        </w:tc>
        <w:tc>
          <w:tcPr>
            <w:tcW w:w="5647" w:type="dxa"/>
          </w:tcPr>
          <w:p w:rsidR="005A177C" w:rsidRPr="009C5040" w:rsidRDefault="005A177C" w:rsidP="003A3EF2">
            <w:pPr>
              <w:spacing w:before="40" w:after="120" w:line="240" w:lineRule="auto"/>
              <w:rPr>
                <w:rFonts w:cs="Calibri"/>
                <w:b/>
              </w:rPr>
            </w:pPr>
            <w:r w:rsidRPr="009C5040">
              <w:rPr>
                <w:rFonts w:cs="Calibri"/>
              </w:rPr>
              <w:t xml:space="preserve">Demonstrate control of standard English grammar conventions, with infrequent errors? </w:t>
            </w:r>
            <w:r w:rsidRPr="009C5040">
              <w:rPr>
                <w:rFonts w:cs="Calibri"/>
                <w:b/>
              </w:rPr>
              <w:t>(L.9-10.1, L.9-10.2)</w:t>
            </w:r>
          </w:p>
        </w:tc>
        <w:tc>
          <w:tcPr>
            <w:tcW w:w="1129" w:type="dxa"/>
            <w:vAlign w:val="center"/>
          </w:tcPr>
          <w:p w:rsidR="005A177C" w:rsidRPr="009C5040" w:rsidRDefault="005A177C" w:rsidP="003A3EF2">
            <w:pPr>
              <w:spacing w:before="0" w:after="0" w:line="240" w:lineRule="auto"/>
              <w:jc w:val="center"/>
              <w:rPr>
                <w:rFonts w:cs="Calibri"/>
              </w:rPr>
            </w:pPr>
            <w:r>
              <w:rPr>
                <w:noProof/>
              </w:rPr>
              <mc:AlternateContent>
                <mc:Choice Requires="wps">
                  <w:drawing>
                    <wp:inline distT="0" distB="0" distL="0" distR="0" wp14:anchorId="273F9DCE" wp14:editId="4E959E75">
                      <wp:extent cx="138430" cy="138430"/>
                      <wp:effectExtent l="0" t="0" r="13970" b="13970"/>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5D1959" id="Rectangle 10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N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">
                      <w10:anchorlock/>
                    </v:rect>
                  </w:pict>
                </mc:Fallback>
              </mc:AlternateContent>
            </w:r>
          </w:p>
        </w:tc>
        <w:bookmarkStart w:id="0" w:name="_GoBack"/>
        <w:bookmarkEnd w:id="0"/>
      </w:tr>
    </w:tbl>
    <w:p w:rsidR="00F84EEB" w:rsidRPr="00943F62" w:rsidRDefault="00F84EEB" w:rsidP="00943F62"/>
    <w:sectPr w:rsidR="00F84EEB" w:rsidRPr="00943F62" w:rsidSect="005A177C">
      <w:headerReference w:type="default" r:id="rId19"/>
      <w:footerReference w:type="default" r:id="rId20"/>
      <w:pgSz w:w="12240" w:h="15840" w:code="1"/>
      <w:pgMar w:top="1440" w:right="126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881" w:rsidRDefault="00B65881">
      <w:pPr>
        <w:spacing w:before="0" w:after="0" w:line="240" w:lineRule="auto"/>
      </w:pPr>
      <w:r>
        <w:separator/>
      </w:r>
    </w:p>
  </w:endnote>
  <w:endnote w:type="continuationSeparator" w:id="0">
    <w:p w:rsidR="00B65881" w:rsidRDefault="00B658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04" w:rsidRDefault="00DF134D" w:rsidP="00AE46B1">
    <w:pPr>
      <w:pStyle w:val="Footer"/>
      <w:rPr>
        <w:rStyle w:val="PageNumber"/>
        <w:rFonts w:ascii="Calibri" w:hAnsi="Calibri"/>
        <w:sz w:val="22"/>
      </w:rPr>
    </w:pPr>
    <w:r>
      <w:rPr>
        <w:rStyle w:val="PageNumber"/>
      </w:rPr>
      <w:fldChar w:fldCharType="begin"/>
    </w:r>
    <w:r w:rsidR="00DE2904">
      <w:rPr>
        <w:rStyle w:val="PageNumber"/>
      </w:rPr>
      <w:instrText xml:space="preserve">PAGE  </w:instrText>
    </w:r>
    <w:r>
      <w:rPr>
        <w:rStyle w:val="PageNumber"/>
      </w:rPr>
      <w:fldChar w:fldCharType="end"/>
    </w:r>
  </w:p>
  <w:p w:rsidR="00DE2904" w:rsidRDefault="00DE2904" w:rsidP="00AE46B1">
    <w:pPr>
      <w:pStyle w:val="Footer"/>
    </w:pPr>
  </w:p>
  <w:p w:rsidR="00DE2904" w:rsidRDefault="00DE2904" w:rsidP="00AE46B1"/>
  <w:p w:rsidR="00DE2904" w:rsidRDefault="00DE2904" w:rsidP="00AE46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04" w:rsidRPr="00563CB8" w:rsidRDefault="00DE290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DE2904">
      <w:trPr>
        <w:trHeight w:val="705"/>
      </w:trPr>
      <w:tc>
        <w:tcPr>
          <w:tcW w:w="4609" w:type="dxa"/>
          <w:shd w:val="clear" w:color="auto" w:fill="auto"/>
          <w:vAlign w:val="center"/>
        </w:tcPr>
        <w:p w:rsidR="00DE2904" w:rsidRPr="002E4C92" w:rsidRDefault="00DE2904"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20</w:t>
          </w:r>
          <w:r w:rsidRPr="002E4C92">
            <w:t xml:space="preserve"> Date:</w:t>
          </w:r>
          <w:r w:rsidRPr="0039525B">
            <w:rPr>
              <w:b w:val="0"/>
            </w:rPr>
            <w:t xml:space="preserve"> </w:t>
          </w:r>
          <w:r w:rsidR="00FF1237">
            <w:rPr>
              <w:b w:val="0"/>
            </w:rPr>
            <w:t>6/2</w:t>
          </w:r>
          <w:r w:rsidR="006B726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DE2904" w:rsidRPr="0039525B" w:rsidRDefault="00DE290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E2904" w:rsidRPr="0039525B" w:rsidRDefault="00DE2904"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DE2904" w:rsidRPr="002E4C92" w:rsidRDefault="00B65881" w:rsidP="007017EB">
          <w:pPr>
            <w:pStyle w:val="FooterText"/>
          </w:pPr>
          <w:hyperlink r:id="rId1" w:history="1">
            <w:r w:rsidR="00DE290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E2904" w:rsidRPr="002E4C92" w:rsidRDefault="00DF134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E290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177C">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DE2904" w:rsidRPr="002E4C92" w:rsidRDefault="00DE290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E2904" w:rsidRPr="007017EB" w:rsidRDefault="00DE2904"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04" w:rsidRDefault="00DF134D" w:rsidP="00E51B9E">
    <w:pPr>
      <w:pStyle w:val="Footer"/>
      <w:rPr>
        <w:rStyle w:val="PageNumber"/>
        <w:rFonts w:ascii="Calibri" w:hAnsi="Calibri"/>
        <w:sz w:val="22"/>
      </w:rPr>
    </w:pPr>
    <w:r>
      <w:rPr>
        <w:rStyle w:val="PageNumber"/>
      </w:rPr>
      <w:fldChar w:fldCharType="begin"/>
    </w:r>
    <w:r w:rsidR="00DE2904">
      <w:rPr>
        <w:rStyle w:val="PageNumber"/>
      </w:rPr>
      <w:instrText xml:space="preserve">PAGE  </w:instrText>
    </w:r>
    <w:r>
      <w:rPr>
        <w:rStyle w:val="PageNumber"/>
      </w:rPr>
      <w:fldChar w:fldCharType="end"/>
    </w:r>
  </w:p>
  <w:p w:rsidR="00DE2904" w:rsidRDefault="00DE2904" w:rsidP="00E51B9E">
    <w:pPr>
      <w:pStyle w:val="Footer"/>
    </w:pPr>
  </w:p>
  <w:p w:rsidR="00DE2904" w:rsidRDefault="00DE2904" w:rsidP="00E51B9E"/>
  <w:p w:rsidR="00DE2904" w:rsidRDefault="00DE2904" w:rsidP="00E51B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04" w:rsidRPr="00563CB8" w:rsidRDefault="00DE290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238"/>
      <w:gridCol w:w="846"/>
      <w:gridCol w:w="5853"/>
    </w:tblGrid>
    <w:tr w:rsidR="00DE2904">
      <w:trPr>
        <w:trHeight w:val="705"/>
      </w:trPr>
      <w:tc>
        <w:tcPr>
          <w:tcW w:w="4609" w:type="dxa"/>
          <w:shd w:val="clear" w:color="auto" w:fill="auto"/>
          <w:vAlign w:val="center"/>
        </w:tcPr>
        <w:p w:rsidR="00DE2904" w:rsidRPr="002E4C92" w:rsidRDefault="00DE2904"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sidR="00D67280">
            <w:rPr>
              <w:b w:val="0"/>
            </w:rPr>
            <w:t>20</w:t>
          </w:r>
          <w:r w:rsidRPr="002E4C92">
            <w:t xml:space="preserve"> Date:</w:t>
          </w:r>
          <w:r w:rsidRPr="0039525B">
            <w:rPr>
              <w:b w:val="0"/>
            </w:rPr>
            <w:t xml:space="preserve"> </w:t>
          </w:r>
          <w:r w:rsidR="00FF1237">
            <w:rPr>
              <w:b w:val="0"/>
            </w:rPr>
            <w:t>6/2</w:t>
          </w:r>
          <w:r w:rsidR="006B726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DE2904" w:rsidRPr="0039525B" w:rsidRDefault="00DE290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E2904" w:rsidRPr="0039525B" w:rsidRDefault="00DE2904"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DE2904" w:rsidRPr="002E4C92" w:rsidRDefault="00B65881" w:rsidP="007017EB">
          <w:pPr>
            <w:pStyle w:val="FooterText"/>
          </w:pPr>
          <w:hyperlink r:id="rId1" w:history="1">
            <w:r w:rsidR="00DE290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E2904" w:rsidRPr="002E4C92" w:rsidRDefault="00DF134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E290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177C">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DE2904" w:rsidRPr="002E4C92" w:rsidRDefault="00DE290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E2904" w:rsidRPr="007017EB" w:rsidRDefault="00DE2904" w:rsidP="00701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60" w:rsidRPr="00563CB8" w:rsidRDefault="003E4E6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79"/>
      <w:gridCol w:w="618"/>
      <w:gridCol w:w="4246"/>
    </w:tblGrid>
    <w:tr w:rsidR="003E4E60">
      <w:trPr>
        <w:trHeight w:val="705"/>
      </w:trPr>
      <w:tc>
        <w:tcPr>
          <w:tcW w:w="4609" w:type="dxa"/>
          <w:shd w:val="clear" w:color="auto" w:fill="auto"/>
          <w:vAlign w:val="center"/>
        </w:tcPr>
        <w:p w:rsidR="003E4E60" w:rsidRPr="002E4C92" w:rsidRDefault="003E4E60"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sidR="00D67280">
            <w:rPr>
              <w:b w:val="0"/>
            </w:rPr>
            <w:t>20</w:t>
          </w:r>
          <w:r w:rsidRPr="002E4C92">
            <w:t xml:space="preserve"> Date:</w:t>
          </w:r>
          <w:r w:rsidRPr="0039525B">
            <w:rPr>
              <w:b w:val="0"/>
            </w:rPr>
            <w:t xml:space="preserve"> </w:t>
          </w:r>
          <w:r w:rsidR="00FF1237">
            <w:rPr>
              <w:b w:val="0"/>
            </w:rPr>
            <w:t>6/2</w:t>
          </w:r>
          <w:r w:rsidR="006B726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3E4E60" w:rsidRPr="0039525B" w:rsidRDefault="003E4E6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E4E60" w:rsidRPr="0039525B" w:rsidRDefault="003E4E60"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E4E60" w:rsidRPr="002E4C92" w:rsidRDefault="00B65881" w:rsidP="007017EB">
          <w:pPr>
            <w:pStyle w:val="FooterText"/>
          </w:pPr>
          <w:hyperlink r:id="rId1" w:history="1">
            <w:r w:rsidR="003E4E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E4E60" w:rsidRPr="002E4C92" w:rsidRDefault="003E4E6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177C">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3E4E60" w:rsidRPr="002E4C92" w:rsidRDefault="003E4E6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4F0E34D" wp14:editId="584D025F">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E4E60" w:rsidRPr="007017EB" w:rsidRDefault="003E4E60" w:rsidP="007017E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60" w:rsidRPr="00563CB8" w:rsidRDefault="003E4E6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792"/>
      <w:gridCol w:w="921"/>
      <w:gridCol w:w="6374"/>
    </w:tblGrid>
    <w:tr w:rsidR="003E4E60">
      <w:trPr>
        <w:trHeight w:val="705"/>
      </w:trPr>
      <w:tc>
        <w:tcPr>
          <w:tcW w:w="4609" w:type="dxa"/>
          <w:shd w:val="clear" w:color="auto" w:fill="auto"/>
          <w:vAlign w:val="center"/>
        </w:tcPr>
        <w:p w:rsidR="003E4E60" w:rsidRPr="002E4C92" w:rsidRDefault="003E4E60"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sidR="00D67280">
            <w:rPr>
              <w:b w:val="0"/>
            </w:rPr>
            <w:t>20</w:t>
          </w:r>
          <w:r w:rsidRPr="002E4C92">
            <w:t xml:space="preserve"> Date:</w:t>
          </w:r>
          <w:r w:rsidRPr="0039525B">
            <w:rPr>
              <w:b w:val="0"/>
            </w:rPr>
            <w:t xml:space="preserve"> </w:t>
          </w:r>
          <w:r w:rsidR="00FF1237">
            <w:rPr>
              <w:b w:val="0"/>
            </w:rPr>
            <w:t>6/2</w:t>
          </w:r>
          <w:r w:rsidR="006B726C">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3E4E60" w:rsidRPr="0039525B" w:rsidRDefault="003E4E6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E4E60" w:rsidRPr="0039525B" w:rsidRDefault="003E4E60"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E4E60" w:rsidRPr="002E4C92" w:rsidRDefault="00B65881" w:rsidP="007017EB">
          <w:pPr>
            <w:pStyle w:val="FooterText"/>
          </w:pPr>
          <w:hyperlink r:id="rId1" w:history="1">
            <w:r w:rsidR="003E4E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E4E60" w:rsidRPr="002E4C92" w:rsidRDefault="003E4E6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177C">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3E4E60" w:rsidRPr="002E4C92" w:rsidRDefault="003E4E6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6430E56" wp14:editId="3589F686">
                <wp:extent cx="1697355" cy="636270"/>
                <wp:effectExtent l="19050" t="0" r="0" b="0"/>
                <wp:docPr id="8"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E4E60" w:rsidRPr="007017EB" w:rsidRDefault="003E4E60" w:rsidP="00384CE9">
    <w:pPr>
      <w:pStyle w:val="Footer"/>
      <w:spacing w:before="0" w:after="0" w:line="240"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7C" w:rsidRPr="00563CB8" w:rsidRDefault="005A177C" w:rsidP="007017EB">
    <w:pPr>
      <w:spacing w:before="0" w:after="0" w:line="240" w:lineRule="auto"/>
      <w:rPr>
        <w:sz w:val="14"/>
      </w:rPr>
    </w:pPr>
  </w:p>
  <w:tbl>
    <w:tblPr>
      <w:tblW w:w="4953" w:type="pct"/>
      <w:tblBorders>
        <w:top w:val="single" w:sz="8" w:space="0" w:color="244061"/>
      </w:tblBorders>
      <w:tblLook w:val="04A0" w:firstRow="1" w:lastRow="0" w:firstColumn="1" w:lastColumn="0" w:noHBand="0" w:noVBand="1"/>
    </w:tblPr>
    <w:tblGrid>
      <w:gridCol w:w="4429"/>
      <w:gridCol w:w="615"/>
      <w:gridCol w:w="4406"/>
    </w:tblGrid>
    <w:tr w:rsidR="005A177C" w:rsidTr="005A177C">
      <w:trPr>
        <w:trHeight w:val="705"/>
      </w:trPr>
      <w:tc>
        <w:tcPr>
          <w:tcW w:w="4429" w:type="dxa"/>
          <w:shd w:val="clear" w:color="auto" w:fill="auto"/>
          <w:vAlign w:val="center"/>
        </w:tcPr>
        <w:p w:rsidR="005A177C" w:rsidRPr="002E4C92" w:rsidRDefault="005A177C"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20</w:t>
          </w:r>
          <w:r w:rsidRPr="002E4C92">
            <w:t xml:space="preserve"> Date:</w:t>
          </w:r>
          <w:r w:rsidRPr="0039525B">
            <w:rPr>
              <w:b w:val="0"/>
            </w:rPr>
            <w:t xml:space="preserve"> </w:t>
          </w:r>
          <w:r>
            <w:rPr>
              <w:b w:val="0"/>
            </w:rPr>
            <w:t>6/25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5A177C" w:rsidRPr="0039525B" w:rsidRDefault="005A177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A177C" w:rsidRPr="0039525B" w:rsidRDefault="005A177C"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A177C" w:rsidRPr="002E4C92" w:rsidRDefault="005A177C" w:rsidP="007017EB">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15" w:type="dxa"/>
          <w:shd w:val="clear" w:color="auto" w:fill="auto"/>
          <w:vAlign w:val="center"/>
        </w:tcPr>
        <w:p w:rsidR="005A177C" w:rsidRPr="002E4C92" w:rsidRDefault="005A177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Pr>
              <w:rFonts w:ascii="Calibri" w:hAnsi="Calibri" w:cs="Calibri"/>
              <w:b/>
              <w:noProof/>
              <w:color w:val="1F4E79"/>
              <w:sz w:val="28"/>
            </w:rPr>
            <w:t>15</w:t>
          </w:r>
          <w:r w:rsidRPr="002E4C92">
            <w:rPr>
              <w:rFonts w:ascii="Calibri" w:hAnsi="Calibri" w:cs="Calibri"/>
              <w:b/>
              <w:color w:val="1F4E79"/>
              <w:sz w:val="28"/>
            </w:rPr>
            <w:fldChar w:fldCharType="end"/>
          </w:r>
        </w:p>
      </w:tc>
      <w:tc>
        <w:tcPr>
          <w:tcW w:w="4406" w:type="dxa"/>
          <w:shd w:val="clear" w:color="auto" w:fill="auto"/>
          <w:vAlign w:val="bottom"/>
        </w:tcPr>
        <w:p w:rsidR="005A177C" w:rsidRPr="002E4C92" w:rsidRDefault="005A177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53E5377" wp14:editId="2314E68E">
                <wp:extent cx="1697355" cy="636270"/>
                <wp:effectExtent l="19050" t="0" r="0" b="0"/>
                <wp:docPr id="1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A177C" w:rsidRPr="007017EB" w:rsidRDefault="005A177C" w:rsidP="00384CE9">
    <w:pPr>
      <w:pStyle w:val="Foote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881" w:rsidRDefault="00B65881">
      <w:pPr>
        <w:spacing w:before="0" w:after="0" w:line="240" w:lineRule="auto"/>
      </w:pPr>
      <w:r>
        <w:separator/>
      </w:r>
    </w:p>
  </w:footnote>
  <w:footnote w:type="continuationSeparator" w:id="0">
    <w:p w:rsidR="00B65881" w:rsidRDefault="00B6588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DE2904" w:rsidRPr="00563CB8">
      <w:tc>
        <w:tcPr>
          <w:tcW w:w="3708" w:type="dxa"/>
          <w:shd w:val="clear" w:color="auto" w:fill="auto"/>
        </w:tcPr>
        <w:p w:rsidR="00DE2904" w:rsidRPr="00563CB8" w:rsidRDefault="00DE290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E2904" w:rsidRPr="00563CB8" w:rsidRDefault="00DE2904" w:rsidP="007017EB">
          <w:pPr>
            <w:jc w:val="center"/>
          </w:pPr>
          <w:r w:rsidRPr="00563CB8">
            <w:t>D R A F T</w:t>
          </w:r>
        </w:p>
      </w:tc>
      <w:tc>
        <w:tcPr>
          <w:tcW w:w="3438" w:type="dxa"/>
          <w:shd w:val="clear" w:color="auto" w:fill="auto"/>
        </w:tcPr>
        <w:p w:rsidR="00DE2904" w:rsidRPr="00E946A0" w:rsidRDefault="00DE2904" w:rsidP="007017EB">
          <w:pPr>
            <w:pStyle w:val="PageHeader"/>
            <w:jc w:val="right"/>
            <w:rPr>
              <w:b w:val="0"/>
            </w:rPr>
          </w:pPr>
          <w:r>
            <w:rPr>
              <w:b w:val="0"/>
            </w:rPr>
            <w:t>Grade 10 • Module 4 • Unit 2 • Lesson 20</w:t>
          </w:r>
        </w:p>
      </w:tc>
    </w:tr>
  </w:tbl>
  <w:p w:rsidR="00DE2904" w:rsidRPr="007017EB" w:rsidRDefault="00DE2904"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018"/>
      <w:gridCol w:w="3289"/>
      <w:gridCol w:w="4653"/>
    </w:tblGrid>
    <w:tr w:rsidR="00DE2904" w:rsidRPr="00563CB8">
      <w:tc>
        <w:tcPr>
          <w:tcW w:w="3708" w:type="dxa"/>
          <w:shd w:val="clear" w:color="auto" w:fill="auto"/>
        </w:tcPr>
        <w:p w:rsidR="00DE2904" w:rsidRPr="00563CB8" w:rsidRDefault="00DE290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E2904" w:rsidRPr="00563CB8" w:rsidRDefault="00DE2904" w:rsidP="007017EB">
          <w:pPr>
            <w:jc w:val="center"/>
          </w:pPr>
          <w:r w:rsidRPr="00563CB8">
            <w:t>D R A F T</w:t>
          </w:r>
        </w:p>
      </w:tc>
      <w:tc>
        <w:tcPr>
          <w:tcW w:w="3438" w:type="dxa"/>
          <w:shd w:val="clear" w:color="auto" w:fill="auto"/>
        </w:tcPr>
        <w:p w:rsidR="00DE2904" w:rsidRPr="00E946A0" w:rsidRDefault="00DE2904" w:rsidP="007017EB">
          <w:pPr>
            <w:pStyle w:val="PageHeader"/>
            <w:jc w:val="right"/>
            <w:rPr>
              <w:b w:val="0"/>
            </w:rPr>
          </w:pPr>
          <w:r>
            <w:rPr>
              <w:b w:val="0"/>
            </w:rPr>
            <w:t xml:space="preserve">Grade 10 • Module 4 • Unit 2 </w:t>
          </w:r>
          <w:r w:rsidR="00D67280">
            <w:rPr>
              <w:b w:val="0"/>
            </w:rPr>
            <w:t>• Lesson 20</w:t>
          </w:r>
        </w:p>
      </w:tc>
    </w:tr>
  </w:tbl>
  <w:p w:rsidR="00DE2904" w:rsidRPr="007017EB" w:rsidRDefault="00DE2904"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3E4E60" w:rsidRPr="00563CB8">
      <w:tc>
        <w:tcPr>
          <w:tcW w:w="3708" w:type="dxa"/>
          <w:shd w:val="clear" w:color="auto" w:fill="auto"/>
        </w:tcPr>
        <w:p w:rsidR="003E4E60" w:rsidRPr="00563CB8" w:rsidRDefault="003E4E6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E4E60" w:rsidRPr="00563CB8" w:rsidRDefault="003E4E60" w:rsidP="007017EB">
          <w:pPr>
            <w:jc w:val="center"/>
          </w:pPr>
          <w:r w:rsidRPr="00563CB8">
            <w:t>D R A F T</w:t>
          </w:r>
        </w:p>
      </w:tc>
      <w:tc>
        <w:tcPr>
          <w:tcW w:w="3438" w:type="dxa"/>
          <w:shd w:val="clear" w:color="auto" w:fill="auto"/>
        </w:tcPr>
        <w:p w:rsidR="003E4E60" w:rsidRPr="00E946A0" w:rsidRDefault="003E4E60" w:rsidP="007017EB">
          <w:pPr>
            <w:pStyle w:val="PageHeader"/>
            <w:jc w:val="right"/>
            <w:rPr>
              <w:b w:val="0"/>
            </w:rPr>
          </w:pPr>
          <w:r>
            <w:rPr>
              <w:b w:val="0"/>
            </w:rPr>
            <w:t xml:space="preserve">Grade 10 • Module 4 • Unit 2 </w:t>
          </w:r>
          <w:r w:rsidR="00D67280">
            <w:rPr>
              <w:b w:val="0"/>
            </w:rPr>
            <w:t>• Lesson 20</w:t>
          </w:r>
        </w:p>
      </w:tc>
    </w:tr>
  </w:tbl>
  <w:p w:rsidR="003E4E60" w:rsidRPr="007017EB" w:rsidRDefault="003E4E60" w:rsidP="007017EB">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84" w:type="dxa"/>
      <w:tblLook w:val="04A0" w:firstRow="1" w:lastRow="0" w:firstColumn="1" w:lastColumn="0" w:noHBand="0" w:noVBand="1"/>
    </w:tblPr>
    <w:tblGrid>
      <w:gridCol w:w="5493"/>
      <w:gridCol w:w="3599"/>
      <w:gridCol w:w="5092"/>
    </w:tblGrid>
    <w:tr w:rsidR="003E4E60" w:rsidRPr="00563CB8" w:rsidTr="00111808">
      <w:tc>
        <w:tcPr>
          <w:tcW w:w="3708" w:type="dxa"/>
          <w:shd w:val="clear" w:color="auto" w:fill="auto"/>
        </w:tcPr>
        <w:p w:rsidR="003E4E60" w:rsidRPr="00563CB8" w:rsidRDefault="003E4E6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E4E60" w:rsidRPr="00563CB8" w:rsidRDefault="003E4E60" w:rsidP="007017EB">
          <w:pPr>
            <w:jc w:val="center"/>
          </w:pPr>
          <w:r w:rsidRPr="00563CB8">
            <w:t>D R A F T</w:t>
          </w:r>
        </w:p>
      </w:tc>
      <w:tc>
        <w:tcPr>
          <w:tcW w:w="3438" w:type="dxa"/>
          <w:shd w:val="clear" w:color="auto" w:fill="auto"/>
        </w:tcPr>
        <w:p w:rsidR="003E4E60" w:rsidRPr="00E946A0" w:rsidRDefault="003E4E60" w:rsidP="007017EB">
          <w:pPr>
            <w:pStyle w:val="PageHeader"/>
            <w:jc w:val="right"/>
            <w:rPr>
              <w:b w:val="0"/>
            </w:rPr>
          </w:pPr>
          <w:r>
            <w:rPr>
              <w:b w:val="0"/>
            </w:rPr>
            <w:t xml:space="preserve">Grade 10 • Module 4 • Unit 2 </w:t>
          </w:r>
          <w:r w:rsidR="00D67280">
            <w:rPr>
              <w:b w:val="0"/>
            </w:rPr>
            <w:t>• Lesson 20</w:t>
          </w:r>
        </w:p>
      </w:tc>
    </w:tr>
  </w:tbl>
  <w:p w:rsidR="003E4E60" w:rsidRPr="007017EB" w:rsidRDefault="003E4E60" w:rsidP="00384CE9">
    <w:pPr>
      <w:pStyle w:val="Header"/>
      <w:spacing w:before="0" w:after="0" w:line="240" w:lineRule="auto"/>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Look w:val="04A0" w:firstRow="1" w:lastRow="0" w:firstColumn="1" w:lastColumn="0" w:noHBand="0" w:noVBand="1"/>
    </w:tblPr>
    <w:tblGrid>
      <w:gridCol w:w="3630"/>
      <w:gridCol w:w="2369"/>
      <w:gridCol w:w="3541"/>
    </w:tblGrid>
    <w:tr w:rsidR="005A177C" w:rsidRPr="00563CB8" w:rsidTr="005A177C">
      <w:tc>
        <w:tcPr>
          <w:tcW w:w="3630" w:type="dxa"/>
          <w:shd w:val="clear" w:color="auto" w:fill="auto"/>
        </w:tcPr>
        <w:p w:rsidR="005A177C" w:rsidRPr="00563CB8" w:rsidRDefault="005A177C" w:rsidP="005A177C">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5A177C" w:rsidRPr="00563CB8" w:rsidRDefault="005A177C" w:rsidP="005A177C">
          <w:pPr>
            <w:jc w:val="center"/>
          </w:pPr>
          <w:r w:rsidRPr="00563CB8">
            <w:t>D R A F T</w:t>
          </w:r>
        </w:p>
      </w:tc>
      <w:tc>
        <w:tcPr>
          <w:tcW w:w="3541" w:type="dxa"/>
          <w:shd w:val="clear" w:color="auto" w:fill="auto"/>
        </w:tcPr>
        <w:p w:rsidR="005A177C" w:rsidRPr="00E946A0" w:rsidRDefault="005A177C" w:rsidP="005A177C">
          <w:pPr>
            <w:pStyle w:val="PageHeader"/>
            <w:jc w:val="right"/>
            <w:rPr>
              <w:b w:val="0"/>
            </w:rPr>
          </w:pPr>
          <w:r>
            <w:rPr>
              <w:b w:val="0"/>
            </w:rPr>
            <w:t>Grade 10 • Module 4 • Unit 2 • Lesson 20</w:t>
          </w:r>
        </w:p>
      </w:tc>
    </w:tr>
  </w:tbl>
  <w:p w:rsidR="005A177C" w:rsidRPr="005A177C" w:rsidRDefault="005A177C" w:rsidP="005A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A0D798"/>
    <w:lvl w:ilvl="0">
      <w:start w:val="1"/>
      <w:numFmt w:val="decimal"/>
      <w:lvlText w:val="%1."/>
      <w:lvlJc w:val="left"/>
      <w:pPr>
        <w:tabs>
          <w:tab w:val="num" w:pos="1800"/>
        </w:tabs>
        <w:ind w:left="1800" w:hanging="360"/>
      </w:pPr>
    </w:lvl>
  </w:abstractNum>
  <w:abstractNum w:abstractNumId="1">
    <w:nsid w:val="FFFFFF7F"/>
    <w:multiLevelType w:val="singleLevel"/>
    <w:tmpl w:val="962CA4B6"/>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404883"/>
    <w:multiLevelType w:val="hybridMultilevel"/>
    <w:tmpl w:val="77FA2C28"/>
    <w:lvl w:ilvl="0" w:tplc="5EE4DBA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220873A"/>
    <w:lvl w:ilvl="0" w:tplc="45FC43D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8578E59A"/>
    <w:lvl w:ilvl="0" w:tplc="FFCA879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1"/>
  </w:num>
  <w:num w:numId="5">
    <w:abstractNumId w:val="3"/>
  </w:num>
  <w:num w:numId="6">
    <w:abstractNumId w:val="13"/>
  </w:num>
  <w:num w:numId="7">
    <w:abstractNumId w:val="9"/>
    <w:lvlOverride w:ilvl="0">
      <w:startOverride w:val="1"/>
    </w:lvlOverride>
  </w:num>
  <w:num w:numId="8">
    <w:abstractNumId w:val="16"/>
  </w:num>
  <w:num w:numId="9">
    <w:abstractNumId w:val="4"/>
  </w:num>
  <w:num w:numId="10">
    <w:abstractNumId w:val="12"/>
  </w:num>
  <w:num w:numId="11">
    <w:abstractNumId w:val="17"/>
  </w:num>
  <w:num w:numId="12">
    <w:abstractNumId w:val="9"/>
  </w:num>
  <w:num w:numId="13">
    <w:abstractNumId w:val="9"/>
    <w:lvlOverride w:ilvl="0">
      <w:startOverride w:val="1"/>
    </w:lvlOverride>
  </w:num>
  <w:num w:numId="14">
    <w:abstractNumId w:val="7"/>
    <w:lvlOverride w:ilvl="0">
      <w:startOverride w:val="1"/>
    </w:lvlOverride>
  </w:num>
  <w:num w:numId="15">
    <w:abstractNumId w:val="16"/>
  </w:num>
  <w:num w:numId="16">
    <w:abstractNumId w:val="6"/>
  </w:num>
  <w:num w:numId="17">
    <w:abstractNumId w:val="2"/>
  </w:num>
  <w:num w:numId="18">
    <w:abstractNumId w:val="5"/>
  </w:num>
  <w:num w:numId="19">
    <w:abstractNumId w:val="15"/>
  </w:num>
  <w:num w:numId="20">
    <w:abstractNumId w:val="8"/>
  </w:num>
  <w:num w:numId="21">
    <w:abstractNumId w:val="18"/>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113A2"/>
    <w:rsid w:val="000420B8"/>
    <w:rsid w:val="000718D3"/>
    <w:rsid w:val="0007609B"/>
    <w:rsid w:val="000A42A0"/>
    <w:rsid w:val="000A6FFF"/>
    <w:rsid w:val="000B3273"/>
    <w:rsid w:val="000B3A6F"/>
    <w:rsid w:val="000D2AB1"/>
    <w:rsid w:val="000D32E3"/>
    <w:rsid w:val="00111808"/>
    <w:rsid w:val="00114959"/>
    <w:rsid w:val="00116E3F"/>
    <w:rsid w:val="0011763E"/>
    <w:rsid w:val="00120FAF"/>
    <w:rsid w:val="00133966"/>
    <w:rsid w:val="0014120B"/>
    <w:rsid w:val="00144B97"/>
    <w:rsid w:val="0015526A"/>
    <w:rsid w:val="001644F1"/>
    <w:rsid w:val="00171CF3"/>
    <w:rsid w:val="001735F1"/>
    <w:rsid w:val="00191CD8"/>
    <w:rsid w:val="00192C58"/>
    <w:rsid w:val="001932D7"/>
    <w:rsid w:val="001965B2"/>
    <w:rsid w:val="001A3D9C"/>
    <w:rsid w:val="00202EA3"/>
    <w:rsid w:val="00203B3B"/>
    <w:rsid w:val="00205085"/>
    <w:rsid w:val="00211226"/>
    <w:rsid w:val="0022137E"/>
    <w:rsid w:val="00232C77"/>
    <w:rsid w:val="00252CF4"/>
    <w:rsid w:val="00267DBA"/>
    <w:rsid w:val="0028185A"/>
    <w:rsid w:val="002836A9"/>
    <w:rsid w:val="00287A3E"/>
    <w:rsid w:val="002A52EB"/>
    <w:rsid w:val="002B2493"/>
    <w:rsid w:val="002C1416"/>
    <w:rsid w:val="002C4BF1"/>
    <w:rsid w:val="002C6D75"/>
    <w:rsid w:val="002F2393"/>
    <w:rsid w:val="002F4EEE"/>
    <w:rsid w:val="003029E7"/>
    <w:rsid w:val="00305C07"/>
    <w:rsid w:val="00320862"/>
    <w:rsid w:val="00321D5C"/>
    <w:rsid w:val="00341F48"/>
    <w:rsid w:val="003423D7"/>
    <w:rsid w:val="00345890"/>
    <w:rsid w:val="00351449"/>
    <w:rsid w:val="00357377"/>
    <w:rsid w:val="003731BC"/>
    <w:rsid w:val="00374C7A"/>
    <w:rsid w:val="00384CE9"/>
    <w:rsid w:val="00392837"/>
    <w:rsid w:val="00394D46"/>
    <w:rsid w:val="00395496"/>
    <w:rsid w:val="003B42EF"/>
    <w:rsid w:val="003C1C2A"/>
    <w:rsid w:val="003C22D9"/>
    <w:rsid w:val="003C7438"/>
    <w:rsid w:val="003D022E"/>
    <w:rsid w:val="003D6159"/>
    <w:rsid w:val="003E02D5"/>
    <w:rsid w:val="003E09A4"/>
    <w:rsid w:val="003E4E60"/>
    <w:rsid w:val="0040258C"/>
    <w:rsid w:val="004355F7"/>
    <w:rsid w:val="004456A9"/>
    <w:rsid w:val="00457E9D"/>
    <w:rsid w:val="00462F54"/>
    <w:rsid w:val="004633CD"/>
    <w:rsid w:val="00463F58"/>
    <w:rsid w:val="00473C94"/>
    <w:rsid w:val="00492968"/>
    <w:rsid w:val="00495195"/>
    <w:rsid w:val="0049707A"/>
    <w:rsid w:val="004A75D4"/>
    <w:rsid w:val="004E6F98"/>
    <w:rsid w:val="004F5EA2"/>
    <w:rsid w:val="004F7635"/>
    <w:rsid w:val="00500B9F"/>
    <w:rsid w:val="00531B83"/>
    <w:rsid w:val="00550703"/>
    <w:rsid w:val="00576BBD"/>
    <w:rsid w:val="00585EAF"/>
    <w:rsid w:val="00596DD6"/>
    <w:rsid w:val="005A177C"/>
    <w:rsid w:val="005B1DE0"/>
    <w:rsid w:val="005C0AD2"/>
    <w:rsid w:val="005D69ED"/>
    <w:rsid w:val="005E1176"/>
    <w:rsid w:val="005E44B2"/>
    <w:rsid w:val="005F32E5"/>
    <w:rsid w:val="005F433E"/>
    <w:rsid w:val="00600626"/>
    <w:rsid w:val="00600C37"/>
    <w:rsid w:val="00600E54"/>
    <w:rsid w:val="00612D76"/>
    <w:rsid w:val="0062351A"/>
    <w:rsid w:val="00640DDD"/>
    <w:rsid w:val="00641A22"/>
    <w:rsid w:val="006517C0"/>
    <w:rsid w:val="0066659C"/>
    <w:rsid w:val="00680156"/>
    <w:rsid w:val="006B25A3"/>
    <w:rsid w:val="006B726C"/>
    <w:rsid w:val="006D16A9"/>
    <w:rsid w:val="006E69FE"/>
    <w:rsid w:val="006E6B11"/>
    <w:rsid w:val="006F280A"/>
    <w:rsid w:val="006F6611"/>
    <w:rsid w:val="007017EB"/>
    <w:rsid w:val="00702A65"/>
    <w:rsid w:val="0071350E"/>
    <w:rsid w:val="00713EBF"/>
    <w:rsid w:val="00725BEA"/>
    <w:rsid w:val="00735968"/>
    <w:rsid w:val="0074166C"/>
    <w:rsid w:val="007535F8"/>
    <w:rsid w:val="007540E1"/>
    <w:rsid w:val="00766972"/>
    <w:rsid w:val="00773F30"/>
    <w:rsid w:val="00774203"/>
    <w:rsid w:val="007858A7"/>
    <w:rsid w:val="00790BCC"/>
    <w:rsid w:val="00793172"/>
    <w:rsid w:val="007A0DF0"/>
    <w:rsid w:val="007D2464"/>
    <w:rsid w:val="007D2598"/>
    <w:rsid w:val="007E38DD"/>
    <w:rsid w:val="007E3CA9"/>
    <w:rsid w:val="007E484F"/>
    <w:rsid w:val="007F2C72"/>
    <w:rsid w:val="007F69B5"/>
    <w:rsid w:val="008037BE"/>
    <w:rsid w:val="00807DAC"/>
    <w:rsid w:val="00816D09"/>
    <w:rsid w:val="00834A5A"/>
    <w:rsid w:val="0087160C"/>
    <w:rsid w:val="00871E6E"/>
    <w:rsid w:val="0089625B"/>
    <w:rsid w:val="008A457A"/>
    <w:rsid w:val="008A7621"/>
    <w:rsid w:val="008C128E"/>
    <w:rsid w:val="008E0122"/>
    <w:rsid w:val="00902C9A"/>
    <w:rsid w:val="00902CF8"/>
    <w:rsid w:val="00906453"/>
    <w:rsid w:val="00910C27"/>
    <w:rsid w:val="00914618"/>
    <w:rsid w:val="00917EC4"/>
    <w:rsid w:val="0092697D"/>
    <w:rsid w:val="0093052E"/>
    <w:rsid w:val="009360DC"/>
    <w:rsid w:val="00940CB5"/>
    <w:rsid w:val="00943F62"/>
    <w:rsid w:val="009450B7"/>
    <w:rsid w:val="009450F1"/>
    <w:rsid w:val="00954053"/>
    <w:rsid w:val="00954BFB"/>
    <w:rsid w:val="009654FD"/>
    <w:rsid w:val="00970522"/>
    <w:rsid w:val="00970926"/>
    <w:rsid w:val="0097245D"/>
    <w:rsid w:val="009767E4"/>
    <w:rsid w:val="00976A07"/>
    <w:rsid w:val="0098752D"/>
    <w:rsid w:val="009A11F5"/>
    <w:rsid w:val="009C0761"/>
    <w:rsid w:val="009C1D9F"/>
    <w:rsid w:val="009E2B74"/>
    <w:rsid w:val="009E2D6F"/>
    <w:rsid w:val="009F04B8"/>
    <w:rsid w:val="00A02E95"/>
    <w:rsid w:val="00A05F73"/>
    <w:rsid w:val="00A115F1"/>
    <w:rsid w:val="00A23D2B"/>
    <w:rsid w:val="00A347DA"/>
    <w:rsid w:val="00A37774"/>
    <w:rsid w:val="00A40FB4"/>
    <w:rsid w:val="00A57B24"/>
    <w:rsid w:val="00AA4059"/>
    <w:rsid w:val="00AB3455"/>
    <w:rsid w:val="00AB5E85"/>
    <w:rsid w:val="00AB758D"/>
    <w:rsid w:val="00AE46B1"/>
    <w:rsid w:val="00AF1FF1"/>
    <w:rsid w:val="00B01E96"/>
    <w:rsid w:val="00B145B0"/>
    <w:rsid w:val="00B31347"/>
    <w:rsid w:val="00B60B8B"/>
    <w:rsid w:val="00B64244"/>
    <w:rsid w:val="00B65881"/>
    <w:rsid w:val="00B77730"/>
    <w:rsid w:val="00B7788A"/>
    <w:rsid w:val="00BF42B3"/>
    <w:rsid w:val="00C07DEF"/>
    <w:rsid w:val="00C120C4"/>
    <w:rsid w:val="00C1390E"/>
    <w:rsid w:val="00C210EA"/>
    <w:rsid w:val="00C25254"/>
    <w:rsid w:val="00C42EF5"/>
    <w:rsid w:val="00C5268D"/>
    <w:rsid w:val="00C538A6"/>
    <w:rsid w:val="00C6468A"/>
    <w:rsid w:val="00C66DCB"/>
    <w:rsid w:val="00C726ED"/>
    <w:rsid w:val="00C73438"/>
    <w:rsid w:val="00CA01CB"/>
    <w:rsid w:val="00CA7015"/>
    <w:rsid w:val="00CD6054"/>
    <w:rsid w:val="00CD7FBB"/>
    <w:rsid w:val="00CE4397"/>
    <w:rsid w:val="00CF171E"/>
    <w:rsid w:val="00CF1FE4"/>
    <w:rsid w:val="00CF6FEE"/>
    <w:rsid w:val="00D17E91"/>
    <w:rsid w:val="00D31F4D"/>
    <w:rsid w:val="00D36E26"/>
    <w:rsid w:val="00D37471"/>
    <w:rsid w:val="00D41EAB"/>
    <w:rsid w:val="00D43571"/>
    <w:rsid w:val="00D669B2"/>
    <w:rsid w:val="00D66BF4"/>
    <w:rsid w:val="00D67280"/>
    <w:rsid w:val="00D928DA"/>
    <w:rsid w:val="00D9464C"/>
    <w:rsid w:val="00D94FB3"/>
    <w:rsid w:val="00DB0AB0"/>
    <w:rsid w:val="00DB7002"/>
    <w:rsid w:val="00DE2904"/>
    <w:rsid w:val="00DE785F"/>
    <w:rsid w:val="00DF0298"/>
    <w:rsid w:val="00DF134D"/>
    <w:rsid w:val="00DF67DB"/>
    <w:rsid w:val="00DF69D3"/>
    <w:rsid w:val="00E125EA"/>
    <w:rsid w:val="00E16A1F"/>
    <w:rsid w:val="00E17904"/>
    <w:rsid w:val="00E17CC1"/>
    <w:rsid w:val="00E231D6"/>
    <w:rsid w:val="00E27113"/>
    <w:rsid w:val="00E402DE"/>
    <w:rsid w:val="00E4162F"/>
    <w:rsid w:val="00E51B9E"/>
    <w:rsid w:val="00E5738D"/>
    <w:rsid w:val="00E66F7C"/>
    <w:rsid w:val="00E674E2"/>
    <w:rsid w:val="00E87AAD"/>
    <w:rsid w:val="00E910DC"/>
    <w:rsid w:val="00E916FA"/>
    <w:rsid w:val="00E95E7E"/>
    <w:rsid w:val="00EA5069"/>
    <w:rsid w:val="00EB1F92"/>
    <w:rsid w:val="00ED08FF"/>
    <w:rsid w:val="00ED1290"/>
    <w:rsid w:val="00EE7D0E"/>
    <w:rsid w:val="00F043DA"/>
    <w:rsid w:val="00F10C17"/>
    <w:rsid w:val="00F4270F"/>
    <w:rsid w:val="00F537AD"/>
    <w:rsid w:val="00F549FF"/>
    <w:rsid w:val="00F63598"/>
    <w:rsid w:val="00F7534F"/>
    <w:rsid w:val="00F84489"/>
    <w:rsid w:val="00F84EEB"/>
    <w:rsid w:val="00F97567"/>
    <w:rsid w:val="00FB3B35"/>
    <w:rsid w:val="00FC0ABB"/>
    <w:rsid w:val="00FD19B6"/>
    <w:rsid w:val="00FD3A96"/>
    <w:rsid w:val="00FD4EFA"/>
    <w:rsid w:val="00FF1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26C59-C9E9-4A97-933C-B1AFEE54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heading 2" w:uiPriority="9"/>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B0AB0"/>
    <w:pPr>
      <w:numPr>
        <w:numId w:val="2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B0AB0"/>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rsid w:val="00F84EEB"/>
    <w:rPr>
      <w:rFonts w:eastAsia="Calibri" w:cs="Times New Roman"/>
      <w:b/>
      <w:bCs/>
      <w:color w:val="365F91"/>
      <w:sz w:val="32"/>
      <w:szCs w:val="28"/>
    </w:rPr>
  </w:style>
  <w:style w:type="paragraph" w:styleId="Revision">
    <w:name w:val="Revision"/>
    <w:hidden/>
    <w:uiPriority w:val="99"/>
    <w:semiHidden/>
    <w:rsid w:val="00155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86AF-4228-4A22-8CB1-E07B3440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D'Amico, Caitlin</cp:lastModifiedBy>
  <cp:revision>5</cp:revision>
  <cp:lastPrinted>2014-06-13T22:01:00Z</cp:lastPrinted>
  <dcterms:created xsi:type="dcterms:W3CDTF">2014-06-25T15:11:00Z</dcterms:created>
  <dcterms:modified xsi:type="dcterms:W3CDTF">2014-06-25T20:29:00Z</dcterms:modified>
</cp:coreProperties>
</file>