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945E59E" w14:textId="77777777" w:rsidTr="00F8189A">
        <w:trPr>
          <w:trHeight w:val="1008"/>
        </w:trPr>
        <w:tc>
          <w:tcPr>
            <w:tcW w:w="1980" w:type="dxa"/>
            <w:shd w:val="clear" w:color="auto" w:fill="385623"/>
            <w:vAlign w:val="center"/>
          </w:tcPr>
          <w:p w14:paraId="0692DB37" w14:textId="77777777" w:rsidR="00790BCC" w:rsidRPr="00D31F4D" w:rsidRDefault="00E85DF3" w:rsidP="00D31F4D">
            <w:pPr>
              <w:pStyle w:val="Header-banner"/>
              <w:rPr>
                <w:rFonts w:asciiTheme="minorHAnsi" w:hAnsiTheme="minorHAnsi"/>
              </w:rPr>
            </w:pPr>
            <w:r>
              <w:rPr>
                <w:rFonts w:asciiTheme="minorHAnsi" w:hAnsiTheme="minorHAnsi"/>
              </w:rPr>
              <w:t>10.4.2</w:t>
            </w:r>
          </w:p>
        </w:tc>
        <w:tc>
          <w:tcPr>
            <w:tcW w:w="7380" w:type="dxa"/>
            <w:shd w:val="clear" w:color="auto" w:fill="76923C"/>
            <w:vAlign w:val="center"/>
          </w:tcPr>
          <w:p w14:paraId="4AF08C5F"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E85DF3">
              <w:rPr>
                <w:rFonts w:asciiTheme="minorHAnsi" w:hAnsiTheme="minorHAnsi"/>
              </w:rPr>
              <w:t>16</w:t>
            </w:r>
          </w:p>
        </w:tc>
      </w:tr>
    </w:tbl>
    <w:p w14:paraId="59868E5A" w14:textId="77777777" w:rsidR="00790BCC" w:rsidRPr="00790BCC" w:rsidRDefault="00790BCC" w:rsidP="00D31F4D">
      <w:pPr>
        <w:pStyle w:val="Heading1"/>
      </w:pPr>
      <w:r w:rsidRPr="00790BCC">
        <w:t>Introduction</w:t>
      </w:r>
    </w:p>
    <w:p w14:paraId="1A0FF621" w14:textId="496302F2" w:rsidR="00790BCC" w:rsidRDefault="00135C50" w:rsidP="00D31F4D">
      <w:r>
        <w:t>In this lesson, students read Act 5</w:t>
      </w:r>
      <w:r w:rsidR="006E48F4">
        <w:t>.1</w:t>
      </w:r>
      <w:r>
        <w:t xml:space="preserve"> of </w:t>
      </w:r>
      <w:r>
        <w:rPr>
          <w:i/>
        </w:rPr>
        <w:t>Macbeth</w:t>
      </w:r>
      <w:r>
        <w:t xml:space="preserve"> (from “I have two nights watched with you” to “</w:t>
      </w:r>
      <w:r w:rsidR="00FF1DC6">
        <w:t xml:space="preserve">I think but dare not speak. / </w:t>
      </w:r>
      <w:r>
        <w:t xml:space="preserve">Good night, good doctor”) where a Gentlewoman and </w:t>
      </w:r>
      <w:r w:rsidR="0096443E">
        <w:t>the Macbeths</w:t>
      </w:r>
      <w:r w:rsidR="002A224B">
        <w:t>’</w:t>
      </w:r>
      <w:r w:rsidR="0096443E">
        <w:t xml:space="preserve"> </w:t>
      </w:r>
      <w:r>
        <w:t xml:space="preserve">Doctor watch Lady Macbeth sleepwalk and lament over the various murders she and Macbeth have committed. </w:t>
      </w:r>
      <w:r w:rsidR="00EE2A04">
        <w:t xml:space="preserve">Students analyze how Shakespeare advances a central idea </w:t>
      </w:r>
      <w:r w:rsidR="00FB0FF5">
        <w:t>by showing Lady Macbeth’s descent into madness</w:t>
      </w:r>
      <w:r w:rsidR="00EE2A04">
        <w:t>.</w:t>
      </w:r>
      <w:r w:rsidR="0037711E">
        <w:t xml:space="preserve"> </w:t>
      </w:r>
      <w:r w:rsidR="000D4C92" w:rsidRPr="000D4C92">
        <w:t>Student learning is assessed via a Quick Write at the end of the lesson</w:t>
      </w:r>
      <w:r w:rsidR="0037711E">
        <w:t xml:space="preserve">: Analyze how Shakespeare </w:t>
      </w:r>
      <w:r w:rsidR="001426AD">
        <w:t xml:space="preserve">refines </w:t>
      </w:r>
      <w:r w:rsidR="0037711E">
        <w:t xml:space="preserve">a central idea through his development of </w:t>
      </w:r>
      <w:r w:rsidR="005F5A23">
        <w:t xml:space="preserve">the character of </w:t>
      </w:r>
      <w:r w:rsidR="0037711E">
        <w:t>Lady Macbeth in this scene.</w:t>
      </w:r>
    </w:p>
    <w:p w14:paraId="716204E3" w14:textId="05B56F63" w:rsidR="00EE2A04" w:rsidRPr="00135C50" w:rsidRDefault="0037711E" w:rsidP="00D31F4D">
      <w:r>
        <w:t xml:space="preserve">For homework, students select an excerpt from </w:t>
      </w:r>
      <w:r>
        <w:rPr>
          <w:i/>
        </w:rPr>
        <w:t>Macbeth</w:t>
      </w:r>
      <w:r>
        <w:t xml:space="preserve"> to suggest for </w:t>
      </w:r>
      <w:r w:rsidR="00A36E15">
        <w:t xml:space="preserve">interpretive dramatic </w:t>
      </w:r>
      <w:r>
        <w:t xml:space="preserve">reading and review the </w:t>
      </w:r>
      <w:r w:rsidR="00A36E15">
        <w:t xml:space="preserve">Interpretive Dramatic </w:t>
      </w:r>
      <w:r w:rsidR="00B91D10">
        <w:t>Reading Performance C</w:t>
      </w:r>
      <w:r w:rsidR="00D458BA">
        <w:t>hecklist</w:t>
      </w:r>
      <w:r w:rsidR="00B91D10">
        <w:t xml:space="preserve"> and </w:t>
      </w:r>
      <w:r w:rsidR="00A36E15">
        <w:t xml:space="preserve">Interpretive Dramatic </w:t>
      </w:r>
      <w:r w:rsidR="00B91D10">
        <w:t>Reading Self-Assessment Checklist</w:t>
      </w:r>
      <w:r>
        <w:t xml:space="preserve">, which will be used </w:t>
      </w:r>
      <w:r w:rsidR="005F5A23">
        <w:t>to assess</w:t>
      </w:r>
      <w:r>
        <w:t xml:space="preserve"> student performances</w:t>
      </w:r>
      <w:r w:rsidR="0026179C">
        <w:t>.</w:t>
      </w:r>
    </w:p>
    <w:p w14:paraId="58625B72" w14:textId="77777777" w:rsidR="00790BCC" w:rsidRPr="00790BCC" w:rsidRDefault="00790BCC" w:rsidP="00D31F4D">
      <w:pPr>
        <w:pStyle w:val="Heading1"/>
      </w:pPr>
      <w:r w:rsidRPr="00790BCC">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D8E18A6" w14:textId="77777777" w:rsidTr="00F8189A">
        <w:tc>
          <w:tcPr>
            <w:tcW w:w="9360" w:type="dxa"/>
            <w:gridSpan w:val="2"/>
            <w:shd w:val="clear" w:color="auto" w:fill="76923C"/>
          </w:tcPr>
          <w:p w14:paraId="505AFC4E" w14:textId="77777777" w:rsidR="00790BCC" w:rsidRPr="00790BCC" w:rsidRDefault="00790BCC" w:rsidP="007017EB">
            <w:pPr>
              <w:pStyle w:val="TableHeaders"/>
            </w:pPr>
            <w:r w:rsidRPr="00790BCC">
              <w:t>Assessed Standard(s)</w:t>
            </w:r>
          </w:p>
        </w:tc>
      </w:tr>
      <w:tr w:rsidR="00790BCC" w:rsidRPr="00790BCC" w14:paraId="2B34292C" w14:textId="77777777" w:rsidTr="00F8189A">
        <w:tc>
          <w:tcPr>
            <w:tcW w:w="1329" w:type="dxa"/>
          </w:tcPr>
          <w:p w14:paraId="5F5469C0" w14:textId="77777777" w:rsidR="00790BCC" w:rsidRPr="00790BCC" w:rsidRDefault="00E85DF3" w:rsidP="00D31F4D">
            <w:pPr>
              <w:pStyle w:val="TableText"/>
            </w:pPr>
            <w:r>
              <w:t>RL.9-10.3</w:t>
            </w:r>
          </w:p>
        </w:tc>
        <w:tc>
          <w:tcPr>
            <w:tcW w:w="8031" w:type="dxa"/>
          </w:tcPr>
          <w:p w14:paraId="4469D599" w14:textId="77777777" w:rsidR="00790BCC" w:rsidRPr="00790BCC" w:rsidRDefault="00E85DF3" w:rsidP="00E85DF3">
            <w:pPr>
              <w:pStyle w:val="TableText"/>
            </w:pPr>
            <w:r>
              <w:t>Analyze how complex characters (e.g., those with multiple or conflicting motivations) develop over the course of a text, interact with other characters, and advance the plot or develop the theme.</w:t>
            </w:r>
          </w:p>
        </w:tc>
      </w:tr>
      <w:tr w:rsidR="00790BCC" w:rsidRPr="00790BCC" w14:paraId="56F42894" w14:textId="77777777" w:rsidTr="00F8189A">
        <w:tc>
          <w:tcPr>
            <w:tcW w:w="9360" w:type="dxa"/>
            <w:gridSpan w:val="2"/>
            <w:shd w:val="clear" w:color="auto" w:fill="76923C"/>
          </w:tcPr>
          <w:p w14:paraId="0B1C479E" w14:textId="77777777" w:rsidR="00790BCC" w:rsidRPr="00790BCC" w:rsidRDefault="00790BCC" w:rsidP="007017EB">
            <w:pPr>
              <w:pStyle w:val="TableHeaders"/>
            </w:pPr>
            <w:r w:rsidRPr="00790BCC">
              <w:t>Addressed Standard(s)</w:t>
            </w:r>
          </w:p>
        </w:tc>
      </w:tr>
      <w:tr w:rsidR="00790BCC" w:rsidRPr="00790BCC" w14:paraId="23B11C36" w14:textId="77777777" w:rsidTr="00F8189A">
        <w:tc>
          <w:tcPr>
            <w:tcW w:w="1329" w:type="dxa"/>
          </w:tcPr>
          <w:p w14:paraId="6FC587BC" w14:textId="77777777" w:rsidR="00790BCC" w:rsidRPr="00790BCC" w:rsidRDefault="00AA62DA" w:rsidP="007017EB">
            <w:pPr>
              <w:pStyle w:val="TableText"/>
            </w:pPr>
            <w:r>
              <w:t>W.9-10.9.a</w:t>
            </w:r>
          </w:p>
        </w:tc>
        <w:tc>
          <w:tcPr>
            <w:tcW w:w="8031" w:type="dxa"/>
          </w:tcPr>
          <w:p w14:paraId="07F52C90" w14:textId="77777777" w:rsidR="00790BCC" w:rsidRDefault="00AA62DA" w:rsidP="00D31F4D">
            <w:pPr>
              <w:pStyle w:val="TableText"/>
            </w:pPr>
            <w:r>
              <w:t>Draw evidence from literary or informational texts to support analysis, reflection, and research.</w:t>
            </w:r>
          </w:p>
          <w:p w14:paraId="63BB4E20" w14:textId="45EB88F6" w:rsidR="00AA62DA" w:rsidRPr="00790BCC" w:rsidRDefault="00AA62DA" w:rsidP="000D4C92">
            <w:pPr>
              <w:pStyle w:val="SubStandard"/>
            </w:pPr>
            <w:r>
              <w:t xml:space="preserve">Apply </w:t>
            </w:r>
            <w:r>
              <w:rPr>
                <w:i/>
              </w:rPr>
              <w:t>grades 9</w:t>
            </w:r>
            <w:r w:rsidR="000D4C92">
              <w:rPr>
                <w:i/>
              </w:rPr>
              <w:t>–</w:t>
            </w:r>
            <w:r>
              <w:rPr>
                <w:i/>
              </w:rPr>
              <w:t xml:space="preserve">10 Reading standards </w:t>
            </w:r>
            <w:r>
              <w:t>to literature (e.g., “Analyze how an author draws on and transforms source material in a specific work [e.g., how Shakespeare treats a theme or topic from Ovid or the Bible or how a later author draws on a play by Shakespeare]”).</w:t>
            </w:r>
          </w:p>
        </w:tc>
      </w:tr>
      <w:tr w:rsidR="006E0F68" w:rsidRPr="00790BCC" w14:paraId="1BEE201B" w14:textId="77777777" w:rsidTr="00F8189A">
        <w:tc>
          <w:tcPr>
            <w:tcW w:w="1329" w:type="dxa"/>
          </w:tcPr>
          <w:p w14:paraId="5C93FD63" w14:textId="77777777" w:rsidR="006E0F68" w:rsidRDefault="006E0F68" w:rsidP="007017EB">
            <w:pPr>
              <w:pStyle w:val="TableText"/>
            </w:pPr>
            <w:r>
              <w:t>L.9-10.4.c</w:t>
            </w:r>
          </w:p>
        </w:tc>
        <w:tc>
          <w:tcPr>
            <w:tcW w:w="8031" w:type="dxa"/>
          </w:tcPr>
          <w:p w14:paraId="346C9A87" w14:textId="77777777" w:rsidR="006E0F68" w:rsidRPr="00D942DF" w:rsidRDefault="006E0F68" w:rsidP="00D942DF">
            <w:pPr>
              <w:pStyle w:val="TableText"/>
            </w:pPr>
            <w:r w:rsidRPr="00D942DF">
              <w:t xml:space="preserve">Determine or clarify the meaning of unknown and multiple-meaning words and phrases based on </w:t>
            </w:r>
            <w:r w:rsidR="004A605A" w:rsidRPr="004A605A">
              <w:rPr>
                <w:i/>
              </w:rPr>
              <w:t>grades 9</w:t>
            </w:r>
            <w:r w:rsidR="00AB7725">
              <w:rPr>
                <w:i/>
              </w:rPr>
              <w:t>–</w:t>
            </w:r>
            <w:r w:rsidR="004A605A" w:rsidRPr="004A605A">
              <w:rPr>
                <w:i/>
              </w:rPr>
              <w:t>10 reading and content</w:t>
            </w:r>
            <w:r w:rsidRPr="00D942DF">
              <w:t xml:space="preserve">, choosing flexibly from a range of strategies. </w:t>
            </w:r>
          </w:p>
          <w:p w14:paraId="45710589" w14:textId="77777777" w:rsidR="007618D6" w:rsidRDefault="006E0F68">
            <w:pPr>
              <w:pStyle w:val="SubStandard"/>
              <w:numPr>
                <w:ilvl w:val="0"/>
                <w:numId w:val="21"/>
              </w:numPr>
            </w:pPr>
            <w:r w:rsidRPr="0015472D">
              <w:lastRenderedPageBreak/>
              <w:t>Consult general and specialized reference materials (e.g.</w:t>
            </w:r>
            <w:r w:rsidR="006E48F4">
              <w:t>,</w:t>
            </w:r>
            <w:r w:rsidRPr="0015472D">
              <w:t xml:space="preserve"> dictionaries, glossaries, thesauruses), both print and digital, to find the pronunciation of a word or determine or clarify its precise meaning, </w:t>
            </w:r>
            <w:proofErr w:type="spellStart"/>
            <w:r w:rsidRPr="0015472D">
              <w:t>its</w:t>
            </w:r>
            <w:proofErr w:type="spellEnd"/>
            <w:r w:rsidRPr="0015472D">
              <w:t xml:space="preserve"> part of speech or its etymology.</w:t>
            </w:r>
          </w:p>
        </w:tc>
      </w:tr>
    </w:tbl>
    <w:p w14:paraId="19525C4A" w14:textId="77777777" w:rsidR="00790BCC" w:rsidRPr="00790BCC" w:rsidRDefault="00790BCC" w:rsidP="00D31F4D">
      <w:pPr>
        <w:pStyle w:val="Heading1"/>
      </w:pPr>
      <w:r w:rsidRPr="00790BCC">
        <w:lastRenderedPageBreak/>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150B690" w14:textId="77777777" w:rsidTr="00F8189A">
        <w:tc>
          <w:tcPr>
            <w:tcW w:w="9360" w:type="dxa"/>
            <w:shd w:val="clear" w:color="auto" w:fill="76923C"/>
          </w:tcPr>
          <w:p w14:paraId="07AB4A5E" w14:textId="77777777" w:rsidR="00790BCC" w:rsidRPr="00790BCC" w:rsidRDefault="00790BCC" w:rsidP="007017EB">
            <w:pPr>
              <w:pStyle w:val="TableHeaders"/>
            </w:pPr>
            <w:r w:rsidRPr="00790BCC">
              <w:t>Assessment(s)</w:t>
            </w:r>
          </w:p>
        </w:tc>
      </w:tr>
      <w:tr w:rsidR="00790BCC" w:rsidRPr="00790BCC" w14:paraId="493B5354" w14:textId="77777777" w:rsidTr="00F8189A">
        <w:tc>
          <w:tcPr>
            <w:tcW w:w="9360" w:type="dxa"/>
            <w:tcBorders>
              <w:top w:val="single" w:sz="4" w:space="0" w:color="auto"/>
              <w:left w:val="single" w:sz="4" w:space="0" w:color="auto"/>
              <w:bottom w:val="single" w:sz="4" w:space="0" w:color="auto"/>
              <w:right w:val="single" w:sz="4" w:space="0" w:color="auto"/>
            </w:tcBorders>
          </w:tcPr>
          <w:p w14:paraId="207897EB" w14:textId="77777777" w:rsidR="00790BCC" w:rsidRPr="00790BCC" w:rsidRDefault="00E85DF3" w:rsidP="00D31F4D">
            <w:pPr>
              <w:pStyle w:val="TableText"/>
            </w:pPr>
            <w:r>
              <w:t xml:space="preserve">Student learning is assessed via a Quick Write at the end of the lesson. Students </w:t>
            </w:r>
            <w:r w:rsidR="003940F4">
              <w:t xml:space="preserve">respond to </w:t>
            </w:r>
            <w:r>
              <w:t>the following prompt, citing textual evidence to support analysis and inferences drawn from the text.</w:t>
            </w:r>
          </w:p>
          <w:p w14:paraId="4D68D189" w14:textId="77777777" w:rsidR="00790BCC" w:rsidRPr="00790BCC" w:rsidRDefault="00E85DF3" w:rsidP="001426AD">
            <w:pPr>
              <w:pStyle w:val="BulletedList"/>
            </w:pPr>
            <w:r>
              <w:t xml:space="preserve">Analyze how Shakespeare </w:t>
            </w:r>
            <w:r w:rsidR="001426AD">
              <w:t xml:space="preserve">refines </w:t>
            </w:r>
            <w:r>
              <w:t xml:space="preserve">a central idea through his development of </w:t>
            </w:r>
            <w:r w:rsidR="005F5A23">
              <w:t xml:space="preserve">the character of </w:t>
            </w:r>
            <w:r>
              <w:t xml:space="preserve">Lady Macbeth in this scene. </w:t>
            </w:r>
          </w:p>
        </w:tc>
      </w:tr>
      <w:tr w:rsidR="00790BCC" w:rsidRPr="00790BCC" w14:paraId="74268078" w14:textId="77777777" w:rsidTr="00F8189A">
        <w:tc>
          <w:tcPr>
            <w:tcW w:w="9360" w:type="dxa"/>
            <w:shd w:val="clear" w:color="auto" w:fill="76923C"/>
          </w:tcPr>
          <w:p w14:paraId="03F8A033" w14:textId="77777777" w:rsidR="00790BCC" w:rsidRPr="00790BCC" w:rsidRDefault="00790BCC" w:rsidP="007017EB">
            <w:pPr>
              <w:pStyle w:val="TableHeaders"/>
            </w:pPr>
            <w:r w:rsidRPr="00790BCC">
              <w:t>High Performance Response(s)</w:t>
            </w:r>
          </w:p>
        </w:tc>
      </w:tr>
      <w:tr w:rsidR="00790BCC" w:rsidRPr="00790BCC" w14:paraId="61EA291A" w14:textId="77777777" w:rsidTr="00F8189A">
        <w:tc>
          <w:tcPr>
            <w:tcW w:w="9360" w:type="dxa"/>
          </w:tcPr>
          <w:p w14:paraId="041B616D" w14:textId="77777777" w:rsidR="00790BCC" w:rsidRPr="00790BCC" w:rsidRDefault="00790BCC" w:rsidP="00D31F4D">
            <w:pPr>
              <w:pStyle w:val="TableText"/>
            </w:pPr>
            <w:r w:rsidRPr="00790BCC">
              <w:t>A High Performance Response should:</w:t>
            </w:r>
          </w:p>
          <w:p w14:paraId="29754061" w14:textId="77777777" w:rsidR="00790BCC" w:rsidRDefault="00E85DF3" w:rsidP="00A03F41">
            <w:pPr>
              <w:pStyle w:val="BulletedList"/>
            </w:pPr>
            <w:r>
              <w:t>Describe Lady Macbeth’s character development</w:t>
            </w:r>
            <w:r w:rsidR="00A03F41">
              <w:t xml:space="preserve"> (e.g., Lady Macbeth has come unhinged because she writes, talks, and pretends to wash her hands “while in a most fast</w:t>
            </w:r>
            <w:r w:rsidR="0026179C">
              <w:t xml:space="preserve"> </w:t>
            </w:r>
            <w:r w:rsidR="00A03F41">
              <w:t>/</w:t>
            </w:r>
            <w:r w:rsidR="0026179C">
              <w:t xml:space="preserve"> </w:t>
            </w:r>
            <w:r w:rsidR="00A03F41">
              <w:t>sleep” (lines 9</w:t>
            </w:r>
            <w:r w:rsidR="0026179C">
              <w:t>–</w:t>
            </w:r>
            <w:r w:rsidR="00A03F41">
              <w:t>10)</w:t>
            </w:r>
            <w:r w:rsidR="008B0AB3">
              <w:t>. Her speech is also unmetered as compare</w:t>
            </w:r>
            <w:r w:rsidR="000F4AB9">
              <w:t>d</w:t>
            </w:r>
            <w:r w:rsidR="008B0AB3">
              <w:t xml:space="preserve"> to her speech in other scenes, showing her mental breakdown.</w:t>
            </w:r>
            <w:r w:rsidR="00A03F41">
              <w:t>)</w:t>
            </w:r>
            <w:r w:rsidR="00544917">
              <w:t>.</w:t>
            </w:r>
          </w:p>
          <w:p w14:paraId="1233A268" w14:textId="77777777" w:rsidR="00E85DF3" w:rsidRPr="00790BCC" w:rsidRDefault="00E85DF3" w:rsidP="00FD1A21">
            <w:pPr>
              <w:pStyle w:val="BulletedList"/>
            </w:pPr>
            <w:r>
              <w:t xml:space="preserve">Analyze how her character development advances a central idea </w:t>
            </w:r>
            <w:r w:rsidR="00FF1DC6">
              <w:t>(e.g., Lady Macbeth i</w:t>
            </w:r>
            <w:r w:rsidR="00A03F41">
              <w:t xml:space="preserve">s losing her mind from guilt </w:t>
            </w:r>
            <w:r w:rsidR="0026179C">
              <w:t xml:space="preserve">which </w:t>
            </w:r>
            <w:r w:rsidR="00A03F41">
              <w:t xml:space="preserve">develops the central idea of </w:t>
            </w:r>
            <w:r w:rsidR="00D47322">
              <w:t>disorder</w:t>
            </w:r>
            <w:r w:rsidR="008B0AB3">
              <w:t xml:space="preserve"> </w:t>
            </w:r>
            <w:r w:rsidR="0026179C">
              <w:t>showing</w:t>
            </w:r>
            <w:r w:rsidR="008B0AB3">
              <w:t xml:space="preserve"> how her “unnatural deeds” (line 75) have given her “unnatural troubles” (line 76)</w:t>
            </w:r>
            <w:r w:rsidR="0026179C">
              <w:t>. Also</w:t>
            </w:r>
            <w:r w:rsidR="00A639A8">
              <w:t>,</w:t>
            </w:r>
            <w:r w:rsidR="008B0AB3">
              <w:t xml:space="preserve"> her u</w:t>
            </w:r>
            <w:r w:rsidR="0026179C">
              <w:t>n</w:t>
            </w:r>
            <w:r w:rsidR="008B0AB3">
              <w:t>metered speech</w:t>
            </w:r>
            <w:r w:rsidR="00D942DF">
              <w:t>—</w:t>
            </w:r>
            <w:r w:rsidR="0026179C">
              <w:t>“Out, damned spot, out, I say! One. Two.” (line 37)</w:t>
            </w:r>
            <w:r w:rsidR="00D942DF">
              <w:t>—</w:t>
            </w:r>
            <w:r w:rsidR="008B0AB3">
              <w:t xml:space="preserve">displays a </w:t>
            </w:r>
            <w:r w:rsidR="00FD1A21">
              <w:t>disorder in</w:t>
            </w:r>
            <w:r w:rsidR="008B0AB3">
              <w:t xml:space="preserve"> </w:t>
            </w:r>
            <w:r w:rsidR="00FD1A21">
              <w:t xml:space="preserve">her </w:t>
            </w:r>
            <w:r w:rsidR="008B0AB3">
              <w:t xml:space="preserve">dialogue </w:t>
            </w:r>
            <w:r w:rsidR="00D942DF">
              <w:t>as compared to</w:t>
            </w:r>
            <w:r w:rsidR="008B0AB3">
              <w:t xml:space="preserve"> the rest of the play.</w:t>
            </w:r>
            <w:r w:rsidR="00A03F41">
              <w:t>)</w:t>
            </w:r>
            <w:r w:rsidR="00544917">
              <w:t>.</w:t>
            </w:r>
          </w:p>
        </w:tc>
      </w:tr>
    </w:tbl>
    <w:p w14:paraId="6F37A28F" w14:textId="77777777" w:rsidR="00790BCC" w:rsidRPr="00790BCC" w:rsidRDefault="00790BCC" w:rsidP="00D31F4D">
      <w:pPr>
        <w:pStyle w:val="Heading1"/>
      </w:pPr>
      <w:r w:rsidRPr="00341F48">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3F1EBC7" w14:textId="77777777" w:rsidTr="00F8189A">
        <w:tc>
          <w:tcPr>
            <w:tcW w:w="9360" w:type="dxa"/>
            <w:shd w:val="clear" w:color="auto" w:fill="76923C"/>
          </w:tcPr>
          <w:p w14:paraId="4464392A" w14:textId="77777777" w:rsidR="00790BCC" w:rsidRPr="00790BCC" w:rsidRDefault="00790BCC" w:rsidP="00D31F4D">
            <w:pPr>
              <w:pStyle w:val="TableHeaders"/>
            </w:pPr>
            <w:r w:rsidRPr="00790BCC">
              <w:t>Vocabulary to provide directly (will not include extended instruction)</w:t>
            </w:r>
          </w:p>
        </w:tc>
      </w:tr>
      <w:tr w:rsidR="00790BCC" w:rsidRPr="00790BCC" w14:paraId="653EF5F1" w14:textId="77777777" w:rsidTr="00F8189A">
        <w:tc>
          <w:tcPr>
            <w:tcW w:w="9360" w:type="dxa"/>
          </w:tcPr>
          <w:p w14:paraId="02EF243D" w14:textId="77777777" w:rsidR="00C10459" w:rsidRDefault="00C10459" w:rsidP="00D31F4D">
            <w:pPr>
              <w:pStyle w:val="BulletedList"/>
            </w:pPr>
            <w:r>
              <w:t xml:space="preserve">agitation (n.) – state of </w:t>
            </w:r>
            <w:r w:rsidR="00AB7725">
              <w:t>being disturbed or excited emotionally</w:t>
            </w:r>
          </w:p>
          <w:p w14:paraId="2B4DDDB3" w14:textId="77777777" w:rsidR="007230DD" w:rsidRPr="00790BCC" w:rsidRDefault="007230DD" w:rsidP="00C10459">
            <w:pPr>
              <w:pStyle w:val="BulletedList"/>
            </w:pPr>
            <w:r>
              <w:t>perturbation</w:t>
            </w:r>
            <w:r w:rsidR="00790BCC" w:rsidRPr="00790BCC">
              <w:t xml:space="preserve"> (n.) – </w:t>
            </w:r>
            <w:r w:rsidR="00C10459">
              <w:t>mental disturbance</w:t>
            </w:r>
          </w:p>
        </w:tc>
      </w:tr>
      <w:tr w:rsidR="00790BCC" w:rsidRPr="00790BCC" w14:paraId="0823605F" w14:textId="77777777" w:rsidTr="00F8189A">
        <w:tc>
          <w:tcPr>
            <w:tcW w:w="9360" w:type="dxa"/>
            <w:shd w:val="clear" w:color="auto" w:fill="76923C"/>
          </w:tcPr>
          <w:p w14:paraId="3B6E0E32" w14:textId="77777777" w:rsidR="00790BCC" w:rsidRPr="00790BCC" w:rsidRDefault="00790BCC" w:rsidP="00D31F4D">
            <w:pPr>
              <w:pStyle w:val="TableHeaders"/>
            </w:pPr>
            <w:r w:rsidRPr="00790BCC">
              <w:t>Vocabulary to teach (may include direct word work and/or questions)</w:t>
            </w:r>
          </w:p>
        </w:tc>
      </w:tr>
      <w:tr w:rsidR="00790BCC" w:rsidRPr="00790BCC" w14:paraId="28CA675C" w14:textId="77777777" w:rsidTr="00F8189A">
        <w:tc>
          <w:tcPr>
            <w:tcW w:w="9360" w:type="dxa"/>
          </w:tcPr>
          <w:p w14:paraId="5034C592" w14:textId="77777777" w:rsidR="00790BCC" w:rsidRDefault="0026179C" w:rsidP="00D31F4D">
            <w:pPr>
              <w:pStyle w:val="BulletedList"/>
            </w:pPr>
            <w:r>
              <w:t>accustomed</w:t>
            </w:r>
            <w:r w:rsidR="00D942DF">
              <w:t xml:space="preserve"> (adj.)</w:t>
            </w:r>
            <w:r w:rsidR="003D1F39">
              <w:t xml:space="preserve"> – customary, usual</w:t>
            </w:r>
          </w:p>
          <w:p w14:paraId="138C6090" w14:textId="77777777" w:rsidR="0026179C" w:rsidRDefault="0026179C" w:rsidP="00D31F4D">
            <w:pPr>
              <w:pStyle w:val="BulletedList"/>
            </w:pPr>
            <w:r>
              <w:t>mark</w:t>
            </w:r>
            <w:r w:rsidR="003D1F39">
              <w:t xml:space="preserve"> (v.) – hear, notice</w:t>
            </w:r>
          </w:p>
          <w:p w14:paraId="0B6124B8" w14:textId="77777777" w:rsidR="007618D6" w:rsidRDefault="0026179C">
            <w:pPr>
              <w:pStyle w:val="BulletedList"/>
            </w:pPr>
            <w:r>
              <w:t>dignity</w:t>
            </w:r>
            <w:r w:rsidR="003D1F39">
              <w:t xml:space="preserve"> (n.) – worth</w:t>
            </w:r>
          </w:p>
        </w:tc>
      </w:tr>
    </w:tbl>
    <w:p w14:paraId="77EBF6F5" w14:textId="77777777" w:rsidR="004733FB" w:rsidRDefault="004733FB">
      <w:r>
        <w:rPr>
          <w:b/>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025928F"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326DFA3C" w14:textId="77777777" w:rsidR="00790BCC" w:rsidRPr="00790BCC" w:rsidRDefault="00790BCC" w:rsidP="00D31F4D">
            <w:pPr>
              <w:pStyle w:val="TableHeaders"/>
            </w:pPr>
            <w:r w:rsidRPr="00790BCC">
              <w:lastRenderedPageBreak/>
              <w:t>Additional vocabulary to support English Language Learners (to provide directly)</w:t>
            </w:r>
          </w:p>
        </w:tc>
      </w:tr>
      <w:tr w:rsidR="00790BCC" w:rsidRPr="00790BCC" w14:paraId="7D593567" w14:textId="77777777">
        <w:tc>
          <w:tcPr>
            <w:tcW w:w="9360" w:type="dxa"/>
            <w:tcBorders>
              <w:top w:val="single" w:sz="4" w:space="0" w:color="auto"/>
              <w:left w:val="single" w:sz="4" w:space="0" w:color="auto"/>
              <w:bottom w:val="single" w:sz="4" w:space="0" w:color="auto"/>
              <w:right w:val="single" w:sz="4" w:space="0" w:color="auto"/>
            </w:tcBorders>
          </w:tcPr>
          <w:p w14:paraId="7C744BB7" w14:textId="77777777" w:rsidR="00790BCC" w:rsidRDefault="00CB3FB5" w:rsidP="00D31F4D">
            <w:pPr>
              <w:pStyle w:val="BulletedList"/>
            </w:pPr>
            <w:r>
              <w:t>doctor</w:t>
            </w:r>
            <w:r w:rsidR="00C10459">
              <w:t xml:space="preserve"> (n.) – a person </w:t>
            </w:r>
            <w:r w:rsidR="00773857">
              <w:t>who is trained and licensed to treat sick and injured people</w:t>
            </w:r>
            <w:r w:rsidR="00C54ED4">
              <w:t>*</w:t>
            </w:r>
          </w:p>
          <w:p w14:paraId="1489AE88" w14:textId="77777777" w:rsidR="00CB3FB5" w:rsidRDefault="00CB3FB5" w:rsidP="00D31F4D">
            <w:pPr>
              <w:pStyle w:val="BulletedList"/>
            </w:pPr>
            <w:r>
              <w:t>gentlewoman (n.) –</w:t>
            </w:r>
            <w:r w:rsidR="00773857">
              <w:t xml:space="preserve"> a woman of high social status</w:t>
            </w:r>
          </w:p>
          <w:p w14:paraId="00F96569" w14:textId="77777777" w:rsidR="00C10459" w:rsidRDefault="00C10459" w:rsidP="00D31F4D">
            <w:pPr>
              <w:pStyle w:val="BulletedList"/>
            </w:pPr>
            <w:r>
              <w:t xml:space="preserve">nightgown (n.) </w:t>
            </w:r>
            <w:r w:rsidR="00773857">
              <w:t>–</w:t>
            </w:r>
            <w:r>
              <w:t xml:space="preserve"> </w:t>
            </w:r>
            <w:r w:rsidR="00773857">
              <w:t>a loose dress that is worn in bed especially by women and girls</w:t>
            </w:r>
            <w:r w:rsidR="00C54ED4">
              <w:t>*</w:t>
            </w:r>
          </w:p>
          <w:p w14:paraId="7AB423FD" w14:textId="77777777" w:rsidR="00CB3FB5" w:rsidRDefault="007230DD" w:rsidP="00D31F4D">
            <w:pPr>
              <w:pStyle w:val="BulletedList"/>
            </w:pPr>
            <w:r>
              <w:t xml:space="preserve">perfume (n.) </w:t>
            </w:r>
            <w:r w:rsidR="00E51862">
              <w:t>–</w:t>
            </w:r>
            <w:r>
              <w:t xml:space="preserve"> </w:t>
            </w:r>
            <w:r w:rsidR="00E51862">
              <w:t>a liquid substance that you put on your body in small amounts in order to smell pleasant</w:t>
            </w:r>
            <w:r w:rsidR="00C54ED4">
              <w:t>*</w:t>
            </w:r>
          </w:p>
          <w:p w14:paraId="6BD59F9D" w14:textId="77777777" w:rsidR="007618D6" w:rsidRDefault="00DF066A" w:rsidP="008B1AED">
            <w:pPr>
              <w:pStyle w:val="IN"/>
            </w:pPr>
            <w:r>
              <w:t xml:space="preserve">*Consider providing students with visual aids to support understanding of </w:t>
            </w:r>
            <w:r w:rsidR="008B1AED">
              <w:t>these</w:t>
            </w:r>
            <w:r>
              <w:t xml:space="preserve"> definition</w:t>
            </w:r>
            <w:r w:rsidR="008B1AED">
              <w:t>s</w:t>
            </w:r>
            <w:r>
              <w:t>.</w:t>
            </w:r>
          </w:p>
        </w:tc>
      </w:tr>
    </w:tbl>
    <w:p w14:paraId="6262BBDC" w14:textId="77777777" w:rsidR="00790BCC" w:rsidRPr="00790BCC" w:rsidRDefault="00790BCC" w:rsidP="00D31F4D">
      <w:pPr>
        <w:pStyle w:val="Heading1"/>
      </w:pPr>
      <w:r w:rsidRPr="00790BCC">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790BCC" w:rsidRPr="00790BCC" w14:paraId="40214F03" w14:textId="77777777" w:rsidTr="00F8189A">
        <w:tc>
          <w:tcPr>
            <w:tcW w:w="7550" w:type="dxa"/>
            <w:tcBorders>
              <w:bottom w:val="single" w:sz="4" w:space="0" w:color="auto"/>
            </w:tcBorders>
            <w:shd w:val="clear" w:color="auto" w:fill="76923C"/>
          </w:tcPr>
          <w:p w14:paraId="00CDC21D" w14:textId="77777777" w:rsidR="00790BCC" w:rsidRPr="00790BCC" w:rsidRDefault="00790BCC" w:rsidP="00D31F4D">
            <w:pPr>
              <w:pStyle w:val="TableHeaders"/>
            </w:pPr>
            <w:r w:rsidRPr="00790BCC">
              <w:t>Student-Facing Agenda</w:t>
            </w:r>
          </w:p>
        </w:tc>
        <w:tc>
          <w:tcPr>
            <w:tcW w:w="1692" w:type="dxa"/>
            <w:tcBorders>
              <w:bottom w:val="single" w:sz="4" w:space="0" w:color="auto"/>
            </w:tcBorders>
            <w:shd w:val="clear" w:color="auto" w:fill="76923C"/>
          </w:tcPr>
          <w:p w14:paraId="709C882E" w14:textId="77777777" w:rsidR="00790BCC" w:rsidRPr="00790BCC" w:rsidRDefault="00790BCC" w:rsidP="00D31F4D">
            <w:pPr>
              <w:pStyle w:val="TableHeaders"/>
            </w:pPr>
            <w:r w:rsidRPr="00790BCC">
              <w:t>% of Lesson</w:t>
            </w:r>
          </w:p>
        </w:tc>
      </w:tr>
      <w:tr w:rsidR="00790BCC" w:rsidRPr="00790BCC" w14:paraId="375331EC" w14:textId="77777777" w:rsidTr="00F8189A">
        <w:trPr>
          <w:trHeight w:val="1313"/>
        </w:trPr>
        <w:tc>
          <w:tcPr>
            <w:tcW w:w="7550" w:type="dxa"/>
            <w:tcBorders>
              <w:bottom w:val="nil"/>
            </w:tcBorders>
          </w:tcPr>
          <w:p w14:paraId="58E106AC" w14:textId="77777777" w:rsidR="00790BCC" w:rsidRPr="00D31F4D" w:rsidRDefault="00790BCC" w:rsidP="00D31F4D">
            <w:pPr>
              <w:pStyle w:val="TableText"/>
              <w:rPr>
                <w:b/>
              </w:rPr>
            </w:pPr>
            <w:r w:rsidRPr="00D31F4D">
              <w:rPr>
                <w:b/>
              </w:rPr>
              <w:t>Standards &amp; Text:</w:t>
            </w:r>
          </w:p>
          <w:p w14:paraId="4BC9D37E" w14:textId="77777777" w:rsidR="00790BCC" w:rsidRPr="00790BCC" w:rsidRDefault="00E85DF3" w:rsidP="00D31F4D">
            <w:pPr>
              <w:pStyle w:val="BulletedList"/>
            </w:pPr>
            <w:r>
              <w:t xml:space="preserve">Standards: </w:t>
            </w:r>
            <w:r w:rsidR="00FF1DC6">
              <w:t>RL.9-10.3, W.9-10.9.a</w:t>
            </w:r>
            <w:r w:rsidR="00F833A0">
              <w:t>, L.9-10.4.c</w:t>
            </w:r>
          </w:p>
          <w:p w14:paraId="18C36EE7" w14:textId="77777777" w:rsidR="00790BCC" w:rsidRPr="00790BCC" w:rsidRDefault="00E85DF3" w:rsidP="00516913">
            <w:pPr>
              <w:pStyle w:val="BulletedList"/>
            </w:pPr>
            <w:r>
              <w:t xml:space="preserve">Text: </w:t>
            </w:r>
            <w:r w:rsidR="00842ADC">
              <w:rPr>
                <w:i/>
              </w:rPr>
              <w:t xml:space="preserve">Macbeth </w:t>
            </w:r>
            <w:r w:rsidR="00842ADC">
              <w:t>by William Shakespeare</w:t>
            </w:r>
            <w:r w:rsidR="00516913">
              <w:t>, Act 5.1</w:t>
            </w:r>
          </w:p>
        </w:tc>
        <w:tc>
          <w:tcPr>
            <w:tcW w:w="1692" w:type="dxa"/>
            <w:tcBorders>
              <w:bottom w:val="nil"/>
            </w:tcBorders>
          </w:tcPr>
          <w:p w14:paraId="1C825D80" w14:textId="77777777" w:rsidR="00790BCC" w:rsidRPr="00790BCC" w:rsidRDefault="00790BCC" w:rsidP="00790BCC"/>
          <w:p w14:paraId="5049B936" w14:textId="77777777" w:rsidR="00790BCC" w:rsidRPr="00790BCC" w:rsidRDefault="00790BCC" w:rsidP="00790BCC">
            <w:pPr>
              <w:spacing w:after="60" w:line="240" w:lineRule="auto"/>
            </w:pPr>
          </w:p>
        </w:tc>
      </w:tr>
      <w:tr w:rsidR="00790BCC" w:rsidRPr="00790BCC" w14:paraId="14624527" w14:textId="77777777" w:rsidTr="00F8189A">
        <w:tc>
          <w:tcPr>
            <w:tcW w:w="7550" w:type="dxa"/>
            <w:tcBorders>
              <w:top w:val="nil"/>
            </w:tcBorders>
          </w:tcPr>
          <w:p w14:paraId="0DAEF464" w14:textId="77777777" w:rsidR="00790BCC" w:rsidRPr="00D31F4D" w:rsidRDefault="00790BCC" w:rsidP="00D31F4D">
            <w:pPr>
              <w:pStyle w:val="TableText"/>
              <w:rPr>
                <w:b/>
              </w:rPr>
            </w:pPr>
            <w:r w:rsidRPr="00D31F4D">
              <w:rPr>
                <w:b/>
              </w:rPr>
              <w:t>Learning Sequence:</w:t>
            </w:r>
          </w:p>
          <w:p w14:paraId="0BE26903" w14:textId="77777777" w:rsidR="00790BCC" w:rsidRPr="00790BCC" w:rsidRDefault="00790BCC" w:rsidP="00D31F4D">
            <w:pPr>
              <w:pStyle w:val="NumberedList"/>
            </w:pPr>
            <w:r w:rsidRPr="00790BCC">
              <w:t>Introduction of Lesson Agenda</w:t>
            </w:r>
          </w:p>
          <w:p w14:paraId="07E352EA" w14:textId="77777777" w:rsidR="00790BCC" w:rsidRDefault="00790BCC" w:rsidP="00D31F4D">
            <w:pPr>
              <w:pStyle w:val="NumberedList"/>
            </w:pPr>
            <w:r w:rsidRPr="00790BCC">
              <w:t>Homework Accountability</w:t>
            </w:r>
          </w:p>
          <w:p w14:paraId="36F07EAD" w14:textId="77777777" w:rsidR="00790BCC" w:rsidRPr="00790BCC" w:rsidRDefault="00817363" w:rsidP="00D31F4D">
            <w:pPr>
              <w:pStyle w:val="NumberedList"/>
            </w:pPr>
            <w:r>
              <w:t>Masterful Reading</w:t>
            </w:r>
          </w:p>
          <w:p w14:paraId="43387802" w14:textId="77777777" w:rsidR="00790BCC" w:rsidRPr="00790BCC" w:rsidRDefault="00817363" w:rsidP="00D31F4D">
            <w:pPr>
              <w:pStyle w:val="NumberedList"/>
            </w:pPr>
            <w:r>
              <w:t>Reading and Discussion</w:t>
            </w:r>
          </w:p>
          <w:p w14:paraId="6860B14D" w14:textId="77777777" w:rsidR="00790BCC" w:rsidRDefault="00817363" w:rsidP="00D31F4D">
            <w:pPr>
              <w:pStyle w:val="NumberedList"/>
            </w:pPr>
            <w:r>
              <w:t>Quick Write</w:t>
            </w:r>
          </w:p>
          <w:p w14:paraId="607EC93D" w14:textId="1C7EE7C2" w:rsidR="003D1F39" w:rsidRPr="00790BCC" w:rsidRDefault="003D1F39" w:rsidP="003D1F39">
            <w:pPr>
              <w:pStyle w:val="NumberedList"/>
            </w:pPr>
            <w:r>
              <w:t xml:space="preserve">Introduction to </w:t>
            </w:r>
            <w:r w:rsidR="00391A35">
              <w:t xml:space="preserve">Interpretive Dramatic </w:t>
            </w:r>
            <w:r>
              <w:t>Reading</w:t>
            </w:r>
          </w:p>
          <w:p w14:paraId="7AFB0312" w14:textId="77777777" w:rsidR="00790BCC" w:rsidRPr="00790BCC" w:rsidRDefault="00790BCC" w:rsidP="00D31F4D">
            <w:pPr>
              <w:pStyle w:val="NumberedList"/>
            </w:pPr>
            <w:r w:rsidRPr="00790BCC">
              <w:t>Closing</w:t>
            </w:r>
          </w:p>
        </w:tc>
        <w:tc>
          <w:tcPr>
            <w:tcW w:w="1692" w:type="dxa"/>
            <w:tcBorders>
              <w:top w:val="nil"/>
            </w:tcBorders>
          </w:tcPr>
          <w:p w14:paraId="0AB1C88C" w14:textId="77777777" w:rsidR="00790BCC" w:rsidRPr="00790BCC" w:rsidRDefault="00790BCC" w:rsidP="00790BCC">
            <w:pPr>
              <w:spacing w:before="40" w:after="40"/>
            </w:pPr>
          </w:p>
          <w:p w14:paraId="616751D6" w14:textId="77777777" w:rsidR="00790BCC" w:rsidRPr="00790BCC" w:rsidRDefault="00790BCC" w:rsidP="00D31F4D">
            <w:pPr>
              <w:pStyle w:val="NumberedList"/>
              <w:numPr>
                <w:ilvl w:val="0"/>
                <w:numId w:val="13"/>
              </w:numPr>
            </w:pPr>
            <w:r w:rsidRPr="00790BCC">
              <w:t>5%</w:t>
            </w:r>
          </w:p>
          <w:p w14:paraId="53BB7AAC" w14:textId="77777777" w:rsidR="00790BCC" w:rsidRDefault="00790BCC" w:rsidP="00D31F4D">
            <w:pPr>
              <w:pStyle w:val="NumberedList"/>
              <w:numPr>
                <w:ilvl w:val="0"/>
                <w:numId w:val="13"/>
              </w:numPr>
            </w:pPr>
            <w:r w:rsidRPr="00790BCC">
              <w:t>10%</w:t>
            </w:r>
          </w:p>
          <w:p w14:paraId="5A5E02F5" w14:textId="77777777" w:rsidR="00842ADC" w:rsidRPr="00790BCC" w:rsidRDefault="00842ADC" w:rsidP="00D31F4D">
            <w:pPr>
              <w:pStyle w:val="NumberedList"/>
              <w:numPr>
                <w:ilvl w:val="0"/>
                <w:numId w:val="13"/>
              </w:numPr>
            </w:pPr>
            <w:r>
              <w:t>15</w:t>
            </w:r>
            <w:r w:rsidR="00690BA8">
              <w:t>%</w:t>
            </w:r>
          </w:p>
          <w:p w14:paraId="63A44F1D" w14:textId="77777777" w:rsidR="00790BCC" w:rsidRPr="00790BCC" w:rsidRDefault="003D1F39" w:rsidP="00D31F4D">
            <w:pPr>
              <w:pStyle w:val="NumberedList"/>
              <w:numPr>
                <w:ilvl w:val="0"/>
                <w:numId w:val="13"/>
              </w:numPr>
            </w:pPr>
            <w:r>
              <w:t>35</w:t>
            </w:r>
            <w:r w:rsidR="00790BCC" w:rsidRPr="00790BCC">
              <w:t>%</w:t>
            </w:r>
          </w:p>
          <w:p w14:paraId="317BEAC5" w14:textId="77777777" w:rsidR="00790BCC" w:rsidRPr="00790BCC" w:rsidRDefault="003D1F39" w:rsidP="00D31F4D">
            <w:pPr>
              <w:pStyle w:val="NumberedList"/>
              <w:numPr>
                <w:ilvl w:val="0"/>
                <w:numId w:val="13"/>
              </w:numPr>
            </w:pPr>
            <w:r>
              <w:t>15</w:t>
            </w:r>
            <w:r w:rsidR="00790BCC" w:rsidRPr="00790BCC">
              <w:t>%</w:t>
            </w:r>
          </w:p>
          <w:p w14:paraId="79EA5C3B" w14:textId="77777777" w:rsidR="00790BCC" w:rsidRPr="00790BCC" w:rsidRDefault="00817363" w:rsidP="00D31F4D">
            <w:pPr>
              <w:pStyle w:val="NumberedList"/>
              <w:numPr>
                <w:ilvl w:val="0"/>
                <w:numId w:val="13"/>
              </w:numPr>
            </w:pPr>
            <w:r>
              <w:t>15</w:t>
            </w:r>
            <w:r w:rsidR="00790BCC" w:rsidRPr="00790BCC">
              <w:t>%</w:t>
            </w:r>
          </w:p>
          <w:p w14:paraId="2EE14D61" w14:textId="77777777" w:rsidR="00790BCC" w:rsidRPr="00790BCC" w:rsidRDefault="00790BCC" w:rsidP="00D31F4D">
            <w:pPr>
              <w:pStyle w:val="NumberedList"/>
              <w:numPr>
                <w:ilvl w:val="0"/>
                <w:numId w:val="13"/>
              </w:numPr>
            </w:pPr>
            <w:r w:rsidRPr="00790BCC">
              <w:t>5%</w:t>
            </w:r>
          </w:p>
        </w:tc>
      </w:tr>
    </w:tbl>
    <w:p w14:paraId="1903A484" w14:textId="77777777" w:rsidR="00790BCC" w:rsidRPr="00790BCC" w:rsidRDefault="00790BCC" w:rsidP="00D31F4D">
      <w:pPr>
        <w:pStyle w:val="Heading1"/>
      </w:pPr>
      <w:r w:rsidRPr="00790BCC">
        <w:t>Materials</w:t>
      </w:r>
    </w:p>
    <w:p w14:paraId="3BCB0A09" w14:textId="77777777" w:rsidR="00394183" w:rsidRDefault="00516913" w:rsidP="00D31F4D">
      <w:pPr>
        <w:pStyle w:val="BulletedList"/>
      </w:pPr>
      <w:r>
        <w:t>Optional film c</w:t>
      </w:r>
      <w:r w:rsidR="00394183">
        <w:t xml:space="preserve">lip for </w:t>
      </w:r>
      <w:r w:rsidR="00382FDA">
        <w:t>m</w:t>
      </w:r>
      <w:r w:rsidR="00394183">
        <w:t xml:space="preserve">asterful </w:t>
      </w:r>
      <w:r w:rsidR="00382FDA">
        <w:t>r</w:t>
      </w:r>
      <w:r w:rsidR="00394183">
        <w:t xml:space="preserve">eading: </w:t>
      </w:r>
      <w:hyperlink r:id="rId7" w:history="1">
        <w:r w:rsidR="00117478" w:rsidRPr="00255126">
          <w:rPr>
            <w:rStyle w:val="Hyperlink"/>
          </w:rPr>
          <w:t>http://www.britishcouncil.org/arts</w:t>
        </w:r>
      </w:hyperlink>
      <w:r w:rsidR="00117478">
        <w:t xml:space="preserve"> </w:t>
      </w:r>
      <w:r w:rsidR="00394183">
        <w:t>(8:33 to 15:35)</w:t>
      </w:r>
    </w:p>
    <w:p w14:paraId="774CC9F1" w14:textId="77777777" w:rsidR="00790BCC" w:rsidRDefault="00E85DF3" w:rsidP="00D31F4D">
      <w:pPr>
        <w:pStyle w:val="BulletedList"/>
      </w:pPr>
      <w:r>
        <w:t xml:space="preserve">Student copies of the Short Response </w:t>
      </w:r>
      <w:r w:rsidR="007268A4">
        <w:t>Rubric</w:t>
      </w:r>
      <w:r w:rsidR="00516913">
        <w:t xml:space="preserve"> and Checklist</w:t>
      </w:r>
      <w:r w:rsidR="00D10855">
        <w:t xml:space="preserve"> (</w:t>
      </w:r>
      <w:r w:rsidR="00516913">
        <w:t xml:space="preserve">refer to </w:t>
      </w:r>
      <w:r w:rsidR="00D10855">
        <w:t>10.4.1 Lesson 1)</w:t>
      </w:r>
    </w:p>
    <w:p w14:paraId="57EC181D" w14:textId="4B8DB932" w:rsidR="005F1F89" w:rsidRDefault="005F1F89" w:rsidP="00D31F4D">
      <w:pPr>
        <w:pStyle w:val="BulletedList"/>
      </w:pPr>
      <w:r>
        <w:t xml:space="preserve">Copies of the </w:t>
      </w:r>
      <w:r w:rsidR="00A36E15">
        <w:t xml:space="preserve">Interpretive Dramatic </w:t>
      </w:r>
      <w:r>
        <w:t xml:space="preserve">Reading </w:t>
      </w:r>
      <w:r w:rsidR="00AB7725">
        <w:t xml:space="preserve">Performance </w:t>
      </w:r>
      <w:r>
        <w:t>Checklist for each student</w:t>
      </w:r>
    </w:p>
    <w:p w14:paraId="1765EA3A" w14:textId="17068417" w:rsidR="00B91D10" w:rsidRPr="00790BCC" w:rsidRDefault="00B91D10" w:rsidP="00B91D10">
      <w:pPr>
        <w:pStyle w:val="BulletedList"/>
      </w:pPr>
      <w:r>
        <w:t xml:space="preserve">Copies of the </w:t>
      </w:r>
      <w:r w:rsidR="00A36E15">
        <w:t xml:space="preserve">Interpretive Dramatic </w:t>
      </w:r>
      <w:r>
        <w:t>Reading Self-Assessment Checklist for each student</w:t>
      </w:r>
    </w:p>
    <w:p w14:paraId="3BD776CE" w14:textId="77777777" w:rsidR="00790BCC" w:rsidRDefault="00790BCC" w:rsidP="00D31F4D">
      <w:pPr>
        <w:pStyle w:val="Heading1"/>
      </w:pPr>
      <w:r w:rsidRPr="00790BCC">
        <w:lastRenderedPageBreak/>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0CD2F13" w14:textId="77777777" w:rsidTr="00F8189A">
        <w:tc>
          <w:tcPr>
            <w:tcW w:w="9360" w:type="dxa"/>
            <w:gridSpan w:val="2"/>
            <w:shd w:val="clear" w:color="auto" w:fill="76923C"/>
          </w:tcPr>
          <w:p w14:paraId="53F59E77" w14:textId="77777777" w:rsidR="00D31F4D" w:rsidRPr="00D31F4D" w:rsidRDefault="00D31F4D" w:rsidP="009450B7">
            <w:pPr>
              <w:pStyle w:val="TableHeaders"/>
            </w:pPr>
            <w:r w:rsidRPr="009450B7">
              <w:rPr>
                <w:sz w:val="22"/>
              </w:rPr>
              <w:t>How to Use the Learning Sequence</w:t>
            </w:r>
          </w:p>
        </w:tc>
      </w:tr>
      <w:tr w:rsidR="00D31F4D" w:rsidRPr="00D31F4D" w14:paraId="10EB6B51" w14:textId="77777777" w:rsidTr="00F8189A">
        <w:tc>
          <w:tcPr>
            <w:tcW w:w="894" w:type="dxa"/>
            <w:shd w:val="clear" w:color="auto" w:fill="76923C"/>
          </w:tcPr>
          <w:p w14:paraId="2A939856"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7B47EA10"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EB9967D" w14:textId="77777777" w:rsidTr="00F8189A">
        <w:tc>
          <w:tcPr>
            <w:tcW w:w="894" w:type="dxa"/>
          </w:tcPr>
          <w:p w14:paraId="3280AD83"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D8D3F14"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15EBA57" w14:textId="77777777" w:rsidTr="00F8189A">
        <w:tc>
          <w:tcPr>
            <w:tcW w:w="894" w:type="dxa"/>
            <w:vMerge w:val="restart"/>
            <w:vAlign w:val="center"/>
          </w:tcPr>
          <w:p w14:paraId="30CF2A67"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169A87F7" w14:textId="77777777" w:rsidR="00D31F4D" w:rsidRPr="00D31F4D" w:rsidRDefault="00D31F4D" w:rsidP="00D31F4D">
            <w:pPr>
              <w:spacing w:before="20" w:after="20" w:line="240" w:lineRule="auto"/>
            </w:pPr>
            <w:r w:rsidRPr="00D31F4D">
              <w:t>Plain text indicates teacher action.</w:t>
            </w:r>
          </w:p>
        </w:tc>
      </w:tr>
      <w:tr w:rsidR="00D31F4D" w:rsidRPr="00D31F4D" w14:paraId="58228958" w14:textId="77777777" w:rsidTr="00F8189A">
        <w:tc>
          <w:tcPr>
            <w:tcW w:w="894" w:type="dxa"/>
            <w:vMerge/>
          </w:tcPr>
          <w:p w14:paraId="6A1F6A81" w14:textId="77777777" w:rsidR="00D31F4D" w:rsidRPr="00D31F4D" w:rsidRDefault="00D31F4D" w:rsidP="00D31F4D">
            <w:pPr>
              <w:spacing w:before="20" w:after="20" w:line="240" w:lineRule="auto"/>
              <w:jc w:val="center"/>
              <w:rPr>
                <w:b/>
                <w:color w:val="000000"/>
              </w:rPr>
            </w:pPr>
          </w:p>
        </w:tc>
        <w:tc>
          <w:tcPr>
            <w:tcW w:w="8466" w:type="dxa"/>
          </w:tcPr>
          <w:p w14:paraId="5245BAF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1E53F34" w14:textId="77777777" w:rsidTr="00F8189A">
        <w:tc>
          <w:tcPr>
            <w:tcW w:w="894" w:type="dxa"/>
            <w:vMerge/>
          </w:tcPr>
          <w:p w14:paraId="3FFBD939" w14:textId="77777777" w:rsidR="00D31F4D" w:rsidRPr="00D31F4D" w:rsidRDefault="00D31F4D" w:rsidP="00D31F4D">
            <w:pPr>
              <w:spacing w:before="20" w:after="20" w:line="240" w:lineRule="auto"/>
              <w:jc w:val="center"/>
              <w:rPr>
                <w:b/>
                <w:color w:val="000000"/>
              </w:rPr>
            </w:pPr>
          </w:p>
        </w:tc>
        <w:tc>
          <w:tcPr>
            <w:tcW w:w="8466" w:type="dxa"/>
          </w:tcPr>
          <w:p w14:paraId="3BC93AE5"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492C2A2" w14:textId="77777777" w:rsidTr="00F81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2B689D4" w14:textId="77777777" w:rsidR="00D31F4D" w:rsidRPr="00D31F4D" w:rsidRDefault="00D31F4D" w:rsidP="00D31F4D">
            <w:pPr>
              <w:spacing w:before="40" w:after="0" w:line="240" w:lineRule="auto"/>
              <w:jc w:val="center"/>
            </w:pPr>
            <w:r w:rsidRPr="00D31F4D">
              <w:sym w:font="Webdings" w:char="F034"/>
            </w:r>
          </w:p>
        </w:tc>
        <w:tc>
          <w:tcPr>
            <w:tcW w:w="8466" w:type="dxa"/>
          </w:tcPr>
          <w:p w14:paraId="6FD25EFB" w14:textId="77777777" w:rsidR="00D31F4D" w:rsidRPr="00D31F4D" w:rsidRDefault="00D31F4D" w:rsidP="00D31F4D">
            <w:pPr>
              <w:spacing w:before="20" w:after="20" w:line="240" w:lineRule="auto"/>
            </w:pPr>
            <w:r w:rsidRPr="00D31F4D">
              <w:t>Indicates student action(s).</w:t>
            </w:r>
          </w:p>
        </w:tc>
      </w:tr>
      <w:tr w:rsidR="00D31F4D" w:rsidRPr="00D31F4D" w14:paraId="41978C45" w14:textId="77777777" w:rsidTr="00F81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D41C001" w14:textId="77777777" w:rsidR="00D31F4D" w:rsidRPr="00D31F4D" w:rsidRDefault="00D31F4D" w:rsidP="00D31F4D">
            <w:pPr>
              <w:spacing w:before="80" w:after="0" w:line="240" w:lineRule="auto"/>
              <w:jc w:val="center"/>
            </w:pPr>
            <w:r w:rsidRPr="00D31F4D">
              <w:sym w:font="Webdings" w:char="F028"/>
            </w:r>
          </w:p>
        </w:tc>
        <w:tc>
          <w:tcPr>
            <w:tcW w:w="8466" w:type="dxa"/>
          </w:tcPr>
          <w:p w14:paraId="1E6FC9A5"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338F25CC" w14:textId="77777777" w:rsidTr="00F8189A">
        <w:tc>
          <w:tcPr>
            <w:tcW w:w="894" w:type="dxa"/>
            <w:vAlign w:val="bottom"/>
          </w:tcPr>
          <w:p w14:paraId="6DECF7E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6F0162A"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5A9C31A"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2CAE7491" w14:textId="77777777" w:rsidR="003A403A" w:rsidRDefault="003A403A" w:rsidP="003A403A">
      <w:pPr>
        <w:pStyle w:val="TA"/>
      </w:pPr>
      <w:r>
        <w:t>Begin by reviewing the agenda and the assess</w:t>
      </w:r>
      <w:r w:rsidR="005F5A23">
        <w:t>ed</w:t>
      </w:r>
      <w:r>
        <w:t xml:space="preserve"> standard for this lesson: </w:t>
      </w:r>
      <w:r w:rsidR="004733FB">
        <w:t>R</w:t>
      </w:r>
      <w:r>
        <w:t xml:space="preserve">L.9-10.3. In this lesson, students analyze how Shakespeare </w:t>
      </w:r>
      <w:r w:rsidR="001426AD">
        <w:t xml:space="preserve">refines </w:t>
      </w:r>
      <w:r w:rsidR="00FF1DC6">
        <w:t xml:space="preserve">a central idea through his development of </w:t>
      </w:r>
      <w:r w:rsidR="005F5A23">
        <w:t xml:space="preserve">the character of </w:t>
      </w:r>
      <w:r w:rsidR="00FF1DC6">
        <w:t>Lady Macbeth</w:t>
      </w:r>
      <w:r>
        <w:t>. Students engage in evidence-based discussion as well as complete a brief writing assignment to close the lesson.</w:t>
      </w:r>
    </w:p>
    <w:p w14:paraId="3BBABA63" w14:textId="77777777" w:rsidR="00817363" w:rsidRDefault="003A403A" w:rsidP="00817363">
      <w:pPr>
        <w:pStyle w:val="SA"/>
        <w:numPr>
          <w:ilvl w:val="0"/>
          <w:numId w:val="8"/>
        </w:numPr>
      </w:pPr>
      <w:r>
        <w:t xml:space="preserve">Students </w:t>
      </w:r>
      <w:r w:rsidR="008F2D8F">
        <w:t>look at the agenda.</w:t>
      </w:r>
    </w:p>
    <w:p w14:paraId="058D4E65" w14:textId="77777777" w:rsidR="00790BCC" w:rsidRPr="00790BCC" w:rsidRDefault="00790BCC" w:rsidP="007017EB">
      <w:pPr>
        <w:pStyle w:val="LearningSequenceHeader"/>
      </w:pPr>
      <w:r w:rsidRPr="00790BCC">
        <w:t>Activity 2: Homework Accountability</w:t>
      </w:r>
      <w:r w:rsidRPr="00790BCC">
        <w:tab/>
        <w:t>10%</w:t>
      </w:r>
    </w:p>
    <w:p w14:paraId="190537C9" w14:textId="77777777" w:rsidR="00672A7F" w:rsidRDefault="00672A7F" w:rsidP="00672A7F">
      <w:pPr>
        <w:pStyle w:val="TA"/>
      </w:pPr>
      <w:r>
        <w:t xml:space="preserve">Instruct students to </w:t>
      </w:r>
      <w:r w:rsidR="00A639A8">
        <w:t xml:space="preserve">take out their responses to 10.4.2 </w:t>
      </w:r>
      <w:r>
        <w:t>Lesson 15</w:t>
      </w:r>
      <w:r w:rsidR="00A639A8">
        <w:t>’s</w:t>
      </w:r>
      <w:r>
        <w:t xml:space="preserve"> homework. (</w:t>
      </w:r>
      <w:r w:rsidRPr="009233AC">
        <w:t>Review all notes and annotati</w:t>
      </w:r>
      <w:r>
        <w:t>ons you made while reading Act 4</w:t>
      </w:r>
      <w:r w:rsidRPr="009233AC">
        <w:t xml:space="preserve"> and then record a summary of the act and analysis of c</w:t>
      </w:r>
      <w:r w:rsidR="007F1332">
        <w:t>haracter</w:t>
      </w:r>
      <w:r w:rsidRPr="009233AC">
        <w:t xml:space="preserve"> </w:t>
      </w:r>
      <w:r w:rsidR="004733FB">
        <w:t xml:space="preserve">and central idea </w:t>
      </w:r>
      <w:r w:rsidRPr="009233AC">
        <w:t>development on the Act Synopsis and Analysis Tool</w:t>
      </w:r>
      <w:r>
        <w:t xml:space="preserve">.) </w:t>
      </w:r>
      <w:r w:rsidR="00A639A8">
        <w:t>Instruct students to Turn-and-Talk in pairs about the</w:t>
      </w:r>
      <w:r w:rsidR="0091282B">
        <w:t>ir Act Synopsis and Analysis Tools.</w:t>
      </w:r>
    </w:p>
    <w:p w14:paraId="7839CB3F" w14:textId="77777777" w:rsidR="00790BCC" w:rsidRDefault="00FF1DC6" w:rsidP="007017EB">
      <w:pPr>
        <w:pStyle w:val="SR"/>
      </w:pPr>
      <w:r>
        <w:t>S</w:t>
      </w:r>
      <w:r w:rsidR="00672A7F">
        <w:t xml:space="preserve">ee the Model </w:t>
      </w:r>
      <w:r w:rsidR="00672A7F" w:rsidRPr="009233AC">
        <w:t>Act Synopsis and Analysis Tool</w:t>
      </w:r>
      <w:r w:rsidR="00672A7F">
        <w:t xml:space="preserve"> at the end of this lesson</w:t>
      </w:r>
      <w:r>
        <w:t xml:space="preserve"> for sample student responses</w:t>
      </w:r>
      <w:r w:rsidR="00672A7F">
        <w:t>.</w:t>
      </w:r>
    </w:p>
    <w:p w14:paraId="5C3716B0" w14:textId="77777777" w:rsidR="0051467B" w:rsidRDefault="0049300D">
      <w:pPr>
        <w:pStyle w:val="TA"/>
      </w:pPr>
      <w:r>
        <w:t xml:space="preserve">Lead a brief whole-class discussion of student responses. </w:t>
      </w:r>
    </w:p>
    <w:p w14:paraId="486E3FDE" w14:textId="77777777" w:rsidR="00790BCC" w:rsidRPr="00790BCC" w:rsidRDefault="00842ADC" w:rsidP="007017EB">
      <w:pPr>
        <w:pStyle w:val="LearningSequenceHeader"/>
      </w:pPr>
      <w:r>
        <w:t xml:space="preserve">Activity </w:t>
      </w:r>
      <w:r w:rsidR="001C20FC">
        <w:t>3</w:t>
      </w:r>
      <w:r w:rsidR="003C58A4">
        <w:t>: Masterful Reading</w:t>
      </w:r>
      <w:r w:rsidR="005B3AAB">
        <w:tab/>
        <w:t>15</w:t>
      </w:r>
      <w:r w:rsidR="00790BCC" w:rsidRPr="00790BCC">
        <w:t>%</w:t>
      </w:r>
    </w:p>
    <w:p w14:paraId="489510FF" w14:textId="77777777" w:rsidR="003C58A4" w:rsidRDefault="00516913" w:rsidP="003C58A4">
      <w:pPr>
        <w:pStyle w:val="TA"/>
      </w:pPr>
      <w:r>
        <w:t xml:space="preserve">Have students listen to a </w:t>
      </w:r>
      <w:r w:rsidR="00BB0270">
        <w:t xml:space="preserve">masterful reading </w:t>
      </w:r>
      <w:r w:rsidR="003C58A4">
        <w:t xml:space="preserve">of Act </w:t>
      </w:r>
      <w:r w:rsidR="009D6406">
        <w:t>5.1</w:t>
      </w:r>
      <w:r w:rsidR="00811FB7">
        <w:t xml:space="preserve">, lines </w:t>
      </w:r>
      <w:r w:rsidR="003C58A4">
        <w:t>1</w:t>
      </w:r>
      <w:r w:rsidR="00811FB7">
        <w:t>–</w:t>
      </w:r>
      <w:r w:rsidR="00AE188B">
        <w:t>84</w:t>
      </w:r>
      <w:r w:rsidR="009D6406">
        <w:t xml:space="preserve"> </w:t>
      </w:r>
      <w:r w:rsidR="003C58A4">
        <w:t xml:space="preserve">of </w:t>
      </w:r>
      <w:r w:rsidR="003C58A4">
        <w:rPr>
          <w:i/>
        </w:rPr>
        <w:t>Macbeth</w:t>
      </w:r>
      <w:r w:rsidR="003C58A4">
        <w:t xml:space="preserve"> (from </w:t>
      </w:r>
      <w:r w:rsidR="009D6406">
        <w:t>“I have two nights watched with you” to “Good night, good doctor”</w:t>
      </w:r>
      <w:r w:rsidR="003C58A4">
        <w:t xml:space="preserve">). Instruct students to follow along and pay attention to how </w:t>
      </w:r>
      <w:r w:rsidR="00FF1DC6">
        <w:t xml:space="preserve">Shakespeare </w:t>
      </w:r>
      <w:r w:rsidR="003C58A4">
        <w:t>develop</w:t>
      </w:r>
      <w:r w:rsidR="00FF1DC6">
        <w:t>s</w:t>
      </w:r>
      <w:r w:rsidR="003C58A4">
        <w:t xml:space="preserve"> </w:t>
      </w:r>
      <w:r w:rsidR="005F5A23">
        <w:t xml:space="preserve">the character of </w:t>
      </w:r>
      <w:r w:rsidR="00FF1DC6">
        <w:t>Lady Macbeth</w:t>
      </w:r>
      <w:r w:rsidR="003C58A4">
        <w:t xml:space="preserve"> in this scene.</w:t>
      </w:r>
    </w:p>
    <w:p w14:paraId="19B9EF50" w14:textId="77777777" w:rsidR="009928F3" w:rsidRDefault="00516913">
      <w:pPr>
        <w:pStyle w:val="IN"/>
      </w:pPr>
      <w:r>
        <w:lastRenderedPageBreak/>
        <w:t xml:space="preserve">For the </w:t>
      </w:r>
      <w:r w:rsidR="00382FDA">
        <w:t>m</w:t>
      </w:r>
      <w:r>
        <w:t xml:space="preserve">asterful </w:t>
      </w:r>
      <w:r w:rsidR="00382FDA">
        <w:t>r</w:t>
      </w:r>
      <w:r w:rsidR="00394183">
        <w:t xml:space="preserve">eading, consider showing a classical staging of this scene at: </w:t>
      </w:r>
      <w:hyperlink r:id="rId8" w:history="1">
        <w:r w:rsidR="00117478" w:rsidRPr="00255126">
          <w:rPr>
            <w:rStyle w:val="Hyperlink"/>
          </w:rPr>
          <w:t>http://www.britishcouncil.org/arts</w:t>
        </w:r>
      </w:hyperlink>
      <w:r w:rsidR="00117478">
        <w:t xml:space="preserve"> </w:t>
      </w:r>
      <w:r w:rsidR="00394183">
        <w:t>(8:33 to 15:35).</w:t>
      </w:r>
    </w:p>
    <w:p w14:paraId="0D1EA064" w14:textId="77777777" w:rsidR="00790BCC" w:rsidRDefault="003C58A4" w:rsidP="007017EB">
      <w:pPr>
        <w:pStyle w:val="SA"/>
        <w:numPr>
          <w:ilvl w:val="0"/>
          <w:numId w:val="8"/>
        </w:numPr>
      </w:pPr>
      <w:r>
        <w:t xml:space="preserve">Students follow along, reading </w:t>
      </w:r>
      <w:r w:rsidR="00394183">
        <w:t xml:space="preserve">or viewing </w:t>
      </w:r>
      <w:r>
        <w:t>silently</w:t>
      </w:r>
      <w:r w:rsidR="00811FB7">
        <w:t>.</w:t>
      </w:r>
    </w:p>
    <w:p w14:paraId="6AFBC503" w14:textId="77777777" w:rsidR="007C0CA2" w:rsidRDefault="008165F2" w:rsidP="007C0CA2">
      <w:pPr>
        <w:pStyle w:val="IN"/>
      </w:pPr>
      <w:r w:rsidRPr="008165F2">
        <w:rPr>
          <w:b/>
        </w:rPr>
        <w:t>Differentiation Consideration</w:t>
      </w:r>
      <w:r w:rsidR="007C0CA2" w:rsidRPr="008165F2">
        <w:rPr>
          <w:b/>
        </w:rPr>
        <w:t>:</w:t>
      </w:r>
      <w:r w:rsidR="007C0CA2">
        <w:t xml:space="preserve"> Consider posting or projecting the following guiding question to support students in their reading</w:t>
      </w:r>
      <w:r w:rsidR="00920367">
        <w:t xml:space="preserve"> throughout this lesson</w:t>
      </w:r>
      <w:r w:rsidR="007C0CA2">
        <w:t>:</w:t>
      </w:r>
    </w:p>
    <w:p w14:paraId="57C1F621" w14:textId="77777777" w:rsidR="007C0CA2" w:rsidRDefault="007C0CA2" w:rsidP="007C0CA2">
      <w:pPr>
        <w:pStyle w:val="DCwithQ"/>
      </w:pPr>
      <w:r>
        <w:t>How has Lady Macbeth changed in this scene?</w:t>
      </w:r>
    </w:p>
    <w:p w14:paraId="019F0749" w14:textId="77777777" w:rsidR="000D4C92" w:rsidRDefault="000D4C92" w:rsidP="000D4C92">
      <w:pPr>
        <w:pStyle w:val="IN"/>
      </w:pPr>
      <w:r w:rsidRPr="00ED7766">
        <w:t>Consider facilitating a brief whole-class discussion of student observations.</w:t>
      </w:r>
    </w:p>
    <w:p w14:paraId="3B53DD2B" w14:textId="77777777" w:rsidR="00790BCC" w:rsidRPr="00790BCC" w:rsidRDefault="00842ADC" w:rsidP="007017EB">
      <w:pPr>
        <w:pStyle w:val="LearningSequenceHeader"/>
      </w:pPr>
      <w:r>
        <w:t xml:space="preserve">Activity </w:t>
      </w:r>
      <w:r w:rsidR="001C20FC">
        <w:t>4</w:t>
      </w:r>
      <w:r w:rsidR="003C58A4">
        <w:t>: Reading and Discussion</w:t>
      </w:r>
      <w:r w:rsidR="00276B2B">
        <w:tab/>
        <w:t>35</w:t>
      </w:r>
      <w:r w:rsidR="00790BCC" w:rsidRPr="00790BCC">
        <w:t>%</w:t>
      </w:r>
    </w:p>
    <w:p w14:paraId="1B588687" w14:textId="77777777" w:rsidR="009517D5" w:rsidRDefault="009517D5" w:rsidP="009517D5">
      <w:pPr>
        <w:pStyle w:val="TA"/>
      </w:pPr>
      <w:r>
        <w:t xml:space="preserve">Instruct students to form the </w:t>
      </w:r>
      <w:r w:rsidR="009D6406">
        <w:t xml:space="preserve">small </w:t>
      </w:r>
      <w:r>
        <w:t>groups established in 10.4.2 Lesson 1</w:t>
      </w:r>
      <w:r w:rsidR="0091282B">
        <w:t>.</w:t>
      </w:r>
      <w:r>
        <w:t xml:space="preserve"> </w:t>
      </w:r>
      <w:r w:rsidR="00E94374">
        <w:t>Post or project each set of questions below for students to discuss.</w:t>
      </w:r>
    </w:p>
    <w:p w14:paraId="2E2D9C98" w14:textId="77777777" w:rsidR="0091282B" w:rsidRDefault="0091282B" w:rsidP="009517D5">
      <w:pPr>
        <w:pStyle w:val="TA"/>
      </w:pPr>
      <w:r>
        <w:t>Instruct student groups to read Act 5.1, lines 1–84 (from “I have two nights watched with you” to “Good night, good doctor”) and answer the following questions before sharing out with the class.</w:t>
      </w:r>
    </w:p>
    <w:p w14:paraId="26DD4BDC" w14:textId="77777777" w:rsidR="00677E4F" w:rsidRDefault="00677E4F" w:rsidP="00677E4F">
      <w:pPr>
        <w:pStyle w:val="TA"/>
      </w:pPr>
      <w:r>
        <w:t xml:space="preserve">Provide students with the following definitions: </w:t>
      </w:r>
      <w:r>
        <w:rPr>
          <w:i/>
        </w:rPr>
        <w:t xml:space="preserve">agitation </w:t>
      </w:r>
      <w:r>
        <w:t>means “</w:t>
      </w:r>
      <w:r w:rsidR="00AB7725">
        <w:t>s</w:t>
      </w:r>
      <w:r>
        <w:t xml:space="preserve">tate of </w:t>
      </w:r>
      <w:r w:rsidR="00AB7725">
        <w:t>being disturbed or excited emotionally</w:t>
      </w:r>
      <w:r>
        <w:t>”</w:t>
      </w:r>
      <w:r w:rsidR="005B7C1C">
        <w:t xml:space="preserve"> and</w:t>
      </w:r>
      <w:r>
        <w:t xml:space="preserve"> </w:t>
      </w:r>
      <w:r>
        <w:rPr>
          <w:i/>
        </w:rPr>
        <w:t xml:space="preserve">perturbation </w:t>
      </w:r>
      <w:r>
        <w:t>means “mental disturbance.”</w:t>
      </w:r>
    </w:p>
    <w:p w14:paraId="12B40C32" w14:textId="77777777" w:rsidR="009928F3" w:rsidRDefault="005B7C1C">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20448267" w14:textId="77777777" w:rsidR="00677E4F" w:rsidRDefault="00677E4F" w:rsidP="00677E4F">
      <w:pPr>
        <w:pStyle w:val="SA"/>
      </w:pPr>
      <w:r>
        <w:t xml:space="preserve">Students write the definitions of </w:t>
      </w:r>
      <w:r>
        <w:rPr>
          <w:i/>
        </w:rPr>
        <w:t xml:space="preserve">agitation </w:t>
      </w:r>
      <w:r w:rsidRPr="0037158E">
        <w:t>and</w:t>
      </w:r>
      <w:r>
        <w:rPr>
          <w:i/>
        </w:rPr>
        <w:t xml:space="preserve"> perturbation</w:t>
      </w:r>
      <w:r>
        <w:t xml:space="preserve"> in their copy of the text </w:t>
      </w:r>
      <w:r w:rsidR="0091282B">
        <w:t xml:space="preserve">or </w:t>
      </w:r>
      <w:r>
        <w:t xml:space="preserve">in a vocabulary journal. </w:t>
      </w:r>
    </w:p>
    <w:p w14:paraId="7F4B71A5" w14:textId="77777777" w:rsidR="00A63A47" w:rsidRDefault="00A63A47" w:rsidP="00A63A47">
      <w:pPr>
        <w:pStyle w:val="TA"/>
      </w:pPr>
      <w:r>
        <w:t xml:space="preserve">Direct students to the explanatory notes for definitions of the following words: </w:t>
      </w:r>
      <w:r>
        <w:rPr>
          <w:i/>
        </w:rPr>
        <w:t>accustomed, mark,</w:t>
      </w:r>
      <w:r>
        <w:t xml:space="preserve"> and </w:t>
      </w:r>
      <w:r>
        <w:rPr>
          <w:i/>
        </w:rPr>
        <w:t>dignity</w:t>
      </w:r>
      <w:r>
        <w:t>.</w:t>
      </w:r>
    </w:p>
    <w:p w14:paraId="0C53CB0B" w14:textId="77777777" w:rsidR="009557FE" w:rsidRPr="00690BA8" w:rsidRDefault="009557FE" w:rsidP="009557FE">
      <w:pPr>
        <w:pStyle w:val="IN"/>
        <w:rPr>
          <w:b/>
        </w:rPr>
      </w:pPr>
      <w:r w:rsidRPr="004B0271">
        <w:t>Consider drawing students’ attention to the</w:t>
      </w:r>
      <w:r w:rsidR="00053BCB">
        <w:t>ir</w:t>
      </w:r>
      <w:r w:rsidRPr="004B0271">
        <w:t xml:space="preserve"> application of standard L.9-10.4.c through the process </w:t>
      </w:r>
      <w:r w:rsidRPr="00690BA8">
        <w:t>of determining word meaning by using explanatory notes.</w:t>
      </w:r>
      <w:r w:rsidR="004A605A" w:rsidRPr="004A605A">
        <w:rPr>
          <w:b/>
        </w:rPr>
        <w:t xml:space="preserve"> </w:t>
      </w:r>
    </w:p>
    <w:p w14:paraId="05A12178" w14:textId="2B71ADE6" w:rsidR="00677E4F" w:rsidRPr="00677E4F" w:rsidRDefault="00690BA8" w:rsidP="00677E4F">
      <w:pPr>
        <w:pStyle w:val="IN"/>
      </w:pPr>
      <w:r>
        <w:rPr>
          <w:b/>
        </w:rPr>
        <w:t>Differentiation Consideration</w:t>
      </w:r>
      <w:r w:rsidR="004A605A" w:rsidRPr="004A605A">
        <w:rPr>
          <w:b/>
        </w:rPr>
        <w:t>:</w:t>
      </w:r>
      <w:r w:rsidR="00677E4F">
        <w:t xml:space="preserve"> </w:t>
      </w:r>
      <w:r w:rsidR="00CF5249">
        <w:t>Consider p</w:t>
      </w:r>
      <w:r>
        <w:t>rovid</w:t>
      </w:r>
      <w:r w:rsidR="00CF5249">
        <w:t>ing</w:t>
      </w:r>
      <w:r>
        <w:t xml:space="preserve"> students</w:t>
      </w:r>
      <w:r w:rsidR="00677E4F">
        <w:t xml:space="preserve"> with the following definitions: </w:t>
      </w:r>
      <w:r w:rsidR="00677E4F" w:rsidRPr="00677E4F">
        <w:rPr>
          <w:i/>
        </w:rPr>
        <w:t xml:space="preserve">doctor </w:t>
      </w:r>
      <w:r w:rsidR="00677E4F">
        <w:t>means “a person who is train</w:t>
      </w:r>
      <w:r w:rsidR="004733FB">
        <w:t>ed and licensed to treat sick and</w:t>
      </w:r>
      <w:r w:rsidR="00677E4F">
        <w:t xml:space="preserve"> injured people,” </w:t>
      </w:r>
      <w:r w:rsidR="00905C8C" w:rsidRPr="00905C8C">
        <w:rPr>
          <w:i/>
        </w:rPr>
        <w:t>nightgown</w:t>
      </w:r>
      <w:r w:rsidR="00905C8C">
        <w:t xml:space="preserve"> means “a loose dress that is worn in bed especially by women and girls,” </w:t>
      </w:r>
      <w:r w:rsidR="00677E4F" w:rsidRPr="00677E4F">
        <w:rPr>
          <w:i/>
        </w:rPr>
        <w:t>gentlewoman</w:t>
      </w:r>
      <w:r w:rsidR="00677E4F">
        <w:t xml:space="preserve"> means “a woman of high social status</w:t>
      </w:r>
      <w:r w:rsidR="00004365">
        <w:t>,</w:t>
      </w:r>
      <w:r w:rsidR="00677E4F">
        <w:t xml:space="preserve">” </w:t>
      </w:r>
      <w:r w:rsidR="00004365">
        <w:t xml:space="preserve">and </w:t>
      </w:r>
      <w:r w:rsidR="00004365">
        <w:rPr>
          <w:i/>
        </w:rPr>
        <w:t>perfume</w:t>
      </w:r>
      <w:r w:rsidR="00004365">
        <w:t xml:space="preserve"> means “a liquid substance that you put on your body in small amounts in order to smell pleasant.”</w:t>
      </w:r>
    </w:p>
    <w:p w14:paraId="118D9C1D" w14:textId="77777777" w:rsidR="00C10459" w:rsidRDefault="00677E4F" w:rsidP="009517D5">
      <w:pPr>
        <w:pStyle w:val="DCwithSA"/>
      </w:pPr>
      <w:r>
        <w:t xml:space="preserve">Students write the definitions of </w:t>
      </w:r>
      <w:r>
        <w:rPr>
          <w:i/>
        </w:rPr>
        <w:t>doctor</w:t>
      </w:r>
      <w:r w:rsidR="00905C8C">
        <w:rPr>
          <w:i/>
        </w:rPr>
        <w:t>,</w:t>
      </w:r>
      <w:r>
        <w:rPr>
          <w:i/>
        </w:rPr>
        <w:t xml:space="preserve"> </w:t>
      </w:r>
      <w:r w:rsidR="00905C8C">
        <w:rPr>
          <w:i/>
        </w:rPr>
        <w:t>nightgown,</w:t>
      </w:r>
      <w:r w:rsidR="004733FB" w:rsidRPr="004733FB">
        <w:rPr>
          <w:i/>
        </w:rPr>
        <w:t xml:space="preserve"> </w:t>
      </w:r>
      <w:r w:rsidR="004733FB" w:rsidRPr="00677E4F">
        <w:rPr>
          <w:i/>
        </w:rPr>
        <w:t>gentlewoman</w:t>
      </w:r>
      <w:r w:rsidR="004733FB">
        <w:rPr>
          <w:i/>
        </w:rPr>
        <w:t>,</w:t>
      </w:r>
      <w:r w:rsidR="00905C8C">
        <w:rPr>
          <w:i/>
        </w:rPr>
        <w:t xml:space="preserve"> </w:t>
      </w:r>
      <w:r w:rsidR="00905C8C">
        <w:t>and</w:t>
      </w:r>
      <w:r w:rsidR="00905C8C" w:rsidRPr="00677E4F">
        <w:rPr>
          <w:i/>
        </w:rPr>
        <w:t xml:space="preserve"> </w:t>
      </w:r>
      <w:r w:rsidR="00905C8C">
        <w:rPr>
          <w:i/>
        </w:rPr>
        <w:t>perfume</w:t>
      </w:r>
      <w:r w:rsidR="00FB0FF5">
        <w:rPr>
          <w:i/>
        </w:rPr>
        <w:t xml:space="preserve"> </w:t>
      </w:r>
      <w:r w:rsidR="00FB0FF5">
        <w:t>on their copy of the text or in a vocabulary journal</w:t>
      </w:r>
      <w:r>
        <w:rPr>
          <w:i/>
        </w:rPr>
        <w:t>.</w:t>
      </w:r>
    </w:p>
    <w:p w14:paraId="00AABBC3" w14:textId="77777777" w:rsidR="006C08C8" w:rsidRDefault="00C10459" w:rsidP="00C10459">
      <w:pPr>
        <w:pStyle w:val="IN"/>
      </w:pPr>
      <w:r>
        <w:rPr>
          <w:b/>
        </w:rPr>
        <w:lastRenderedPageBreak/>
        <w:t xml:space="preserve">Differentiation Consideration: </w:t>
      </w:r>
      <w:r>
        <w:t xml:space="preserve">Consider providing students with visual </w:t>
      </w:r>
      <w:r w:rsidR="00076D27">
        <w:t xml:space="preserve">aides </w:t>
      </w:r>
      <w:r>
        <w:t xml:space="preserve">to support their understanding of </w:t>
      </w:r>
      <w:r w:rsidR="00076D27">
        <w:rPr>
          <w:i/>
        </w:rPr>
        <w:t>doctor,</w:t>
      </w:r>
      <w:r>
        <w:t xml:space="preserve"> </w:t>
      </w:r>
      <w:r w:rsidRPr="00076D27">
        <w:rPr>
          <w:i/>
        </w:rPr>
        <w:t>nightgown</w:t>
      </w:r>
      <w:r w:rsidR="00076D27">
        <w:rPr>
          <w:i/>
        </w:rPr>
        <w:t xml:space="preserve">, </w:t>
      </w:r>
      <w:r w:rsidR="00076D27">
        <w:t>and</w:t>
      </w:r>
      <w:r w:rsidR="00076D27">
        <w:rPr>
          <w:i/>
        </w:rPr>
        <w:t xml:space="preserve"> perfume</w:t>
      </w:r>
      <w:r>
        <w:t>.</w:t>
      </w:r>
    </w:p>
    <w:p w14:paraId="30F1D64C" w14:textId="77777777" w:rsidR="00E64777" w:rsidRDefault="00E64777" w:rsidP="006177AB">
      <w:pPr>
        <w:pStyle w:val="TA"/>
      </w:pPr>
      <w:r w:rsidRPr="00430E53">
        <w:t xml:space="preserve">Remind students </w:t>
      </w:r>
      <w:r>
        <w:t xml:space="preserve">to annotate their texts for the central idea </w:t>
      </w:r>
      <w:r w:rsidR="006177AB">
        <w:t xml:space="preserve">and character development </w:t>
      </w:r>
      <w:r>
        <w:t>using the code</w:t>
      </w:r>
      <w:r w:rsidR="006177AB">
        <w:t>s</w:t>
      </w:r>
      <w:r>
        <w:t xml:space="preserve"> CI and CD. Remind students </w:t>
      </w:r>
      <w:r w:rsidRPr="00430E53">
        <w:t>that annotating help</w:t>
      </w:r>
      <w:r>
        <w:t>s</w:t>
      </w:r>
      <w:r w:rsidRPr="00430E53">
        <w:t xml:space="preserve"> them keep track of evidence they </w:t>
      </w:r>
      <w:r>
        <w:t>use</w:t>
      </w:r>
      <w:r w:rsidRPr="00430E53">
        <w:t xml:space="preserve"> later in </w:t>
      </w:r>
      <w:r>
        <w:t>lesson assessments, the End-of-Unit Assessment, and the</w:t>
      </w:r>
      <w:r w:rsidRPr="00430E53">
        <w:t xml:space="preserve"> </w:t>
      </w:r>
      <w:r>
        <w:t>P</w:t>
      </w:r>
      <w:r w:rsidRPr="00430E53">
        <w:t xml:space="preserve">erformance Assessment, which </w:t>
      </w:r>
      <w:r>
        <w:t xml:space="preserve">focus </w:t>
      </w:r>
      <w:r w:rsidRPr="00430E53">
        <w:t>on central ideas</w:t>
      </w:r>
      <w:r>
        <w:t xml:space="preserve"> or character development</w:t>
      </w:r>
      <w:r w:rsidRPr="00430E53">
        <w:t xml:space="preserve">. </w:t>
      </w:r>
    </w:p>
    <w:p w14:paraId="48B6ECC3" w14:textId="77777777" w:rsidR="0037140B" w:rsidRDefault="0037140B" w:rsidP="0037140B">
      <w:pPr>
        <w:pStyle w:val="IN"/>
      </w:pPr>
      <w:r>
        <w:t xml:space="preserve">This focused annotation supports students’ engagement with W.9-10.9.a, which addresses the use of textual evidence in writing. </w:t>
      </w:r>
    </w:p>
    <w:p w14:paraId="2CA5E14D" w14:textId="77777777" w:rsidR="009517D5" w:rsidRDefault="00321293" w:rsidP="009517D5">
      <w:pPr>
        <w:pStyle w:val="Q"/>
      </w:pPr>
      <w:r>
        <w:t xml:space="preserve">What does the Gentlewoman </w:t>
      </w:r>
      <w:r w:rsidR="001148B7">
        <w:t>“</w:t>
      </w:r>
      <w:r>
        <w:t>report</w:t>
      </w:r>
      <w:r w:rsidR="001148B7">
        <w:t>” (line 2)</w:t>
      </w:r>
      <w:r>
        <w:t xml:space="preserve"> to the Doctor</w:t>
      </w:r>
      <w:r w:rsidR="009517D5">
        <w:t>?</w:t>
      </w:r>
    </w:p>
    <w:p w14:paraId="72C10AB4" w14:textId="77777777" w:rsidR="009517D5" w:rsidRDefault="00800C95" w:rsidP="009517D5">
      <w:pPr>
        <w:pStyle w:val="SR"/>
      </w:pPr>
      <w:r>
        <w:t xml:space="preserve">She has seen </w:t>
      </w:r>
      <w:r w:rsidR="00321293">
        <w:t>a woman sleepwalking and</w:t>
      </w:r>
      <w:r>
        <w:t xml:space="preserve"> writing letters to herself in her sleep</w:t>
      </w:r>
      <w:r w:rsidR="00321293">
        <w:t xml:space="preserve">: “I / have seen her rise from her bed … take forth paper, / fold it, write upon </w:t>
      </w:r>
      <w:r w:rsidR="00B4302D">
        <w:t>’</w:t>
      </w:r>
      <w:r w:rsidR="00321293">
        <w:t>t, read it, afterwards seal it, … yet all th</w:t>
      </w:r>
      <w:r w:rsidR="001148B7">
        <w:t>is while in a most fast / sleep</w:t>
      </w:r>
      <w:r w:rsidR="0037140B">
        <w:t>”</w:t>
      </w:r>
      <w:r w:rsidR="001148B7">
        <w:t xml:space="preserve"> (lines 4</w:t>
      </w:r>
      <w:r w:rsidR="006378B9">
        <w:t>–</w:t>
      </w:r>
      <w:r w:rsidR="001148B7">
        <w:t>9)</w:t>
      </w:r>
      <w:r w:rsidR="006378B9">
        <w:t>.</w:t>
      </w:r>
    </w:p>
    <w:p w14:paraId="72C4A362" w14:textId="77777777" w:rsidR="006D1DCE" w:rsidRDefault="007F1332" w:rsidP="007946A6">
      <w:pPr>
        <w:pStyle w:val="IN"/>
      </w:pPr>
      <w:r>
        <w:rPr>
          <w:b/>
        </w:rPr>
        <w:t xml:space="preserve">Differentiation Consideration: </w:t>
      </w:r>
      <w:r w:rsidR="006D1DCE">
        <w:t>If student</w:t>
      </w:r>
      <w:r w:rsidR="0091282B">
        <w:t>s</w:t>
      </w:r>
      <w:r w:rsidR="006D1DCE">
        <w:t xml:space="preserve"> struggle, consider asking the following question:</w:t>
      </w:r>
    </w:p>
    <w:p w14:paraId="7CBCDA83" w14:textId="77777777" w:rsidR="009517D5" w:rsidRPr="00557A17" w:rsidRDefault="001148B7" w:rsidP="00C75357">
      <w:pPr>
        <w:pStyle w:val="DCwithQ"/>
      </w:pPr>
      <w:r w:rsidRPr="00557A17">
        <w:t>About whom are the Gentlewoman and Doctor talking</w:t>
      </w:r>
      <w:r w:rsidR="009517D5" w:rsidRPr="00557A17">
        <w:t>?</w:t>
      </w:r>
    </w:p>
    <w:p w14:paraId="7417D3CA" w14:textId="77777777" w:rsidR="001148B7" w:rsidRPr="00557A17" w:rsidRDefault="001148B7" w:rsidP="00557A17">
      <w:pPr>
        <w:pStyle w:val="DCwithSR"/>
      </w:pPr>
      <w:r w:rsidRPr="00C009A8">
        <w:t xml:space="preserve">They are talking about Lady </w:t>
      </w:r>
      <w:r w:rsidRPr="00484924">
        <w:t>Macbeth</w:t>
      </w:r>
      <w:r w:rsidRPr="00557A17">
        <w:t xml:space="preserve">. </w:t>
      </w:r>
    </w:p>
    <w:p w14:paraId="5124E47E" w14:textId="77777777" w:rsidR="001148B7" w:rsidRDefault="008801A3">
      <w:pPr>
        <w:pStyle w:val="Q"/>
      </w:pPr>
      <w:r>
        <w:t>How</w:t>
      </w:r>
      <w:r w:rsidR="001148B7">
        <w:t xml:space="preserve"> does the Doctor </w:t>
      </w:r>
      <w:r>
        <w:t>describe</w:t>
      </w:r>
      <w:r w:rsidR="001148B7">
        <w:t xml:space="preserve"> Lady Macbeth’s </w:t>
      </w:r>
      <w:r>
        <w:t>actions</w:t>
      </w:r>
      <w:r w:rsidR="001148B7">
        <w:t xml:space="preserve">? </w:t>
      </w:r>
      <w:r>
        <w:t>What mood do his descriptions establish? (lines 10</w:t>
      </w:r>
      <w:r w:rsidR="00557A17">
        <w:t>–</w:t>
      </w:r>
      <w:r>
        <w:t>14)</w:t>
      </w:r>
    </w:p>
    <w:p w14:paraId="0F5E9636" w14:textId="77777777" w:rsidR="008801A3" w:rsidRDefault="008801A3" w:rsidP="00557A17">
      <w:pPr>
        <w:pStyle w:val="SR"/>
      </w:pPr>
      <w:r>
        <w:t xml:space="preserve">Student responses may include: </w:t>
      </w:r>
    </w:p>
    <w:p w14:paraId="3AB54054" w14:textId="77777777" w:rsidR="008801A3" w:rsidRDefault="008801A3" w:rsidP="00557A17">
      <w:pPr>
        <w:pStyle w:val="SASRBullet"/>
      </w:pPr>
      <w:r>
        <w:t>The Doctor calls her sleepwalking “a great perturbation in nature”</w:t>
      </w:r>
      <w:r w:rsidR="0037140B">
        <w:t xml:space="preserve"> (line 10)</w:t>
      </w:r>
      <w:r>
        <w:t xml:space="preserve"> meaning that it is unnatural or out of the ordinary. </w:t>
      </w:r>
    </w:p>
    <w:p w14:paraId="56719E85" w14:textId="77777777" w:rsidR="008801A3" w:rsidRDefault="008801A3" w:rsidP="00557A17">
      <w:pPr>
        <w:pStyle w:val="SASRBullet"/>
      </w:pPr>
      <w:r>
        <w:t>The Doctor refers to Lady Macbeth’s actions as a “</w:t>
      </w:r>
      <w:proofErr w:type="spellStart"/>
      <w:r>
        <w:t>slumb’ry</w:t>
      </w:r>
      <w:proofErr w:type="spellEnd"/>
      <w:r>
        <w:t xml:space="preserve"> agitation”</w:t>
      </w:r>
      <w:r w:rsidR="0037140B">
        <w:t xml:space="preserve"> (line 12)</w:t>
      </w:r>
      <w:r>
        <w:t xml:space="preserve"> suggesting that </w:t>
      </w:r>
      <w:r w:rsidR="0037140B">
        <w:t>her actions are strange and done in her sleep.</w:t>
      </w:r>
    </w:p>
    <w:p w14:paraId="5FDB4382" w14:textId="77777777" w:rsidR="006D1DCE" w:rsidRDefault="008801A3" w:rsidP="0037140B">
      <w:pPr>
        <w:pStyle w:val="SASRBullet"/>
      </w:pPr>
      <w:r>
        <w:t>These descriptions of Lady Macbeth’s actions create a creepy or foreboding mood.</w:t>
      </w:r>
    </w:p>
    <w:p w14:paraId="79B9C158" w14:textId="77777777" w:rsidR="00240BD5" w:rsidRDefault="00240BD5" w:rsidP="00240BD5">
      <w:pPr>
        <w:pStyle w:val="TA"/>
      </w:pPr>
      <w:r>
        <w:t>Remind students to annotate their texts for the central idea, using the code CI.</w:t>
      </w:r>
      <w:r w:rsidDel="006D1DCE">
        <w:t xml:space="preserve"> </w:t>
      </w:r>
    </w:p>
    <w:p w14:paraId="663B351E" w14:textId="77777777" w:rsidR="00240BD5" w:rsidRDefault="00240BD5" w:rsidP="00240BD5">
      <w:pPr>
        <w:pStyle w:val="IN"/>
      </w:pPr>
      <w:r>
        <w:t xml:space="preserve">This focused annotation supports students’ engagement with W.9-10.9.a, which addresses the use of textual evidence in writing. </w:t>
      </w:r>
    </w:p>
    <w:p w14:paraId="0871AC53" w14:textId="77777777" w:rsidR="009517D5" w:rsidRDefault="00AC1B9B" w:rsidP="009517D5">
      <w:pPr>
        <w:pStyle w:val="Q"/>
      </w:pPr>
      <w:r>
        <w:t xml:space="preserve">What </w:t>
      </w:r>
      <w:r w:rsidR="008801A3">
        <w:t xml:space="preserve">does Lady Macbeth mean by, “Out, damned spot, out, I say!” (line 37)? </w:t>
      </w:r>
    </w:p>
    <w:p w14:paraId="0BEC9943" w14:textId="77777777" w:rsidR="00D40DE2" w:rsidRDefault="001A5DB6" w:rsidP="00D40DE2">
      <w:pPr>
        <w:pStyle w:val="SR"/>
      </w:pPr>
      <w:r>
        <w:t>Lady Macbeth believes she is washing Duncan’s blood from her hands: “Yet who would have thought the old man / to have had so much blood in him?” (lines 41</w:t>
      </w:r>
      <w:r w:rsidR="00557A17">
        <w:t>–</w:t>
      </w:r>
      <w:r>
        <w:t>42)</w:t>
      </w:r>
      <w:r w:rsidR="004B4C9D">
        <w:t>.</w:t>
      </w:r>
      <w:r w:rsidR="00517421">
        <w:t xml:space="preserve"> </w:t>
      </w:r>
    </w:p>
    <w:p w14:paraId="0EC06028" w14:textId="77777777" w:rsidR="0096443E" w:rsidRDefault="00690BA8">
      <w:pPr>
        <w:pStyle w:val="IN"/>
      </w:pPr>
      <w:r>
        <w:rPr>
          <w:b/>
        </w:rPr>
        <w:t>Differentiation Consideration:</w:t>
      </w:r>
      <w:r>
        <w:t xml:space="preserve"> </w:t>
      </w:r>
      <w:r w:rsidR="00280892">
        <w:t>If students struggle, consider asking the following questions</w:t>
      </w:r>
      <w:r w:rsidR="00AC1B9B">
        <w:t>:</w:t>
      </w:r>
    </w:p>
    <w:p w14:paraId="05359695" w14:textId="77777777" w:rsidR="008801A3" w:rsidRDefault="001A5DB6" w:rsidP="00C75357">
      <w:pPr>
        <w:pStyle w:val="DCwithQ"/>
      </w:pPr>
      <w:r>
        <w:lastRenderedPageBreak/>
        <w:t>W</w:t>
      </w:r>
      <w:r w:rsidR="008801A3">
        <w:t>hat is Lady Macbeth doing in lines 24–32</w:t>
      </w:r>
      <w:r>
        <w:t>?</w:t>
      </w:r>
    </w:p>
    <w:p w14:paraId="73DE8082" w14:textId="77777777" w:rsidR="001A5DB6" w:rsidRDefault="001A5DB6" w:rsidP="001A5DB6">
      <w:pPr>
        <w:pStyle w:val="DCwithSR"/>
      </w:pPr>
      <w:r>
        <w:t>She is imitating washing her hands. The Gentlewoman says, “It is an accustomed action with her to / seem thus washing her hands” (lines 31–32).</w:t>
      </w:r>
    </w:p>
    <w:p w14:paraId="39F4E5C6" w14:textId="77777777" w:rsidR="0096443E" w:rsidRDefault="009517D5">
      <w:pPr>
        <w:pStyle w:val="DCwithQ"/>
      </w:pPr>
      <w:r>
        <w:t>Who is the “old man” Lady Macbeth refers to in this scene?</w:t>
      </w:r>
    </w:p>
    <w:p w14:paraId="031FC229" w14:textId="77777777" w:rsidR="0096443E" w:rsidRDefault="00D40DE2">
      <w:pPr>
        <w:pStyle w:val="DCwithSR"/>
      </w:pPr>
      <w:r>
        <w:t>Duncan</w:t>
      </w:r>
      <w:r w:rsidR="00FB0FF5">
        <w:t xml:space="preserve"> is “the old man”</w:t>
      </w:r>
      <w:r w:rsidR="00B36E8C">
        <w:t xml:space="preserve"> (line 41) because </w:t>
      </w:r>
      <w:r w:rsidR="00AB7725">
        <w:t>his is the only</w:t>
      </w:r>
      <w:r w:rsidR="00AC1B9B">
        <w:t xml:space="preserve"> murder </w:t>
      </w:r>
      <w:r w:rsidR="00AB7725">
        <w:t xml:space="preserve">in which </w:t>
      </w:r>
      <w:r w:rsidR="00AC1B9B">
        <w:t xml:space="preserve">she </w:t>
      </w:r>
      <w:r w:rsidR="00325BF7">
        <w:t xml:space="preserve">has </w:t>
      </w:r>
      <w:r w:rsidR="00AC1B9B">
        <w:t>played a direct part.</w:t>
      </w:r>
      <w:r w:rsidR="00B36E8C">
        <w:t xml:space="preserve"> </w:t>
      </w:r>
    </w:p>
    <w:p w14:paraId="74686194" w14:textId="77777777" w:rsidR="001A5DB6" w:rsidRDefault="001A5DB6" w:rsidP="00C75357">
      <w:pPr>
        <w:pStyle w:val="DCwithQ"/>
      </w:pPr>
      <w:r>
        <w:t xml:space="preserve">What evidence </w:t>
      </w:r>
      <w:r w:rsidR="00EE28F1">
        <w:t>explains</w:t>
      </w:r>
      <w:r w:rsidR="00290674">
        <w:t xml:space="preserve"> what “spot” Lady Macbeth seems to be</w:t>
      </w:r>
      <w:r>
        <w:t xml:space="preserve"> washing from her hands?</w:t>
      </w:r>
    </w:p>
    <w:p w14:paraId="63745DEE" w14:textId="77777777" w:rsidR="00C75357" w:rsidRDefault="001A5DB6" w:rsidP="00C75357">
      <w:pPr>
        <w:pStyle w:val="DCwithSR"/>
      </w:pPr>
      <w:r>
        <w:t xml:space="preserve">The “spot” is blood. Lady Macbeth comments on how much blood is in Duncan: “Yet who would have thought the old man/to have so much blood in him?” (lines 41–42) and then asks, “What, will these hands ne’er be clean?” (lines 44–45). </w:t>
      </w:r>
    </w:p>
    <w:p w14:paraId="02446B46" w14:textId="77777777" w:rsidR="00D40DE2" w:rsidRDefault="00D40DE2" w:rsidP="009517D5">
      <w:pPr>
        <w:pStyle w:val="Q"/>
      </w:pPr>
      <w:r>
        <w:t xml:space="preserve">To whom </w:t>
      </w:r>
      <w:r w:rsidR="001A5DB6">
        <w:t>does</w:t>
      </w:r>
      <w:r>
        <w:t xml:space="preserve"> Lady Macbeth speak in this scene?</w:t>
      </w:r>
    </w:p>
    <w:p w14:paraId="15D420EB" w14:textId="77777777" w:rsidR="007C4EFF" w:rsidRDefault="00043A80" w:rsidP="007C4EFF">
      <w:pPr>
        <w:pStyle w:val="SR"/>
      </w:pPr>
      <w:r>
        <w:t>Student responses may include:</w:t>
      </w:r>
    </w:p>
    <w:p w14:paraId="05FF8B9A" w14:textId="77777777" w:rsidR="001A5DB6" w:rsidRDefault="001A5DB6" w:rsidP="00043A80">
      <w:pPr>
        <w:pStyle w:val="SASRBullet"/>
      </w:pPr>
      <w:r>
        <w:t>Lady Macbeth talks to an imaginary Macbeth when she says, “No /more o’ that, my lord,</w:t>
      </w:r>
      <w:r w:rsidR="00290674">
        <w:t xml:space="preserve"> no more o’ that” (lines 45–46).</w:t>
      </w:r>
    </w:p>
    <w:p w14:paraId="379B4E37" w14:textId="77777777" w:rsidR="00043A80" w:rsidRDefault="00043A80" w:rsidP="00043A80">
      <w:pPr>
        <w:pStyle w:val="SASRBullet"/>
      </w:pPr>
      <w:r>
        <w:t xml:space="preserve">Lady Macbeth </w:t>
      </w:r>
      <w:r w:rsidR="001A5DB6">
        <w:t>talks</w:t>
      </w:r>
      <w:r>
        <w:t xml:space="preserve"> to herself</w:t>
      </w:r>
      <w:r w:rsidR="00B36E8C">
        <w:t xml:space="preserve"> when she says, “All</w:t>
      </w:r>
      <w:r w:rsidR="009E3016">
        <w:t xml:space="preserve"> </w:t>
      </w:r>
      <w:r w:rsidR="00B36E8C">
        <w:t>/</w:t>
      </w:r>
      <w:r w:rsidR="009E3016">
        <w:t xml:space="preserve"> </w:t>
      </w:r>
      <w:r w:rsidR="00B36E8C">
        <w:t xml:space="preserve">the perfumes </w:t>
      </w:r>
      <w:r w:rsidR="00325BF7">
        <w:t>of</w:t>
      </w:r>
      <w:r w:rsidR="00B36E8C">
        <w:t xml:space="preserve"> Arabia will not sweeten this little</w:t>
      </w:r>
      <w:r w:rsidR="009E3016">
        <w:t xml:space="preserve"> </w:t>
      </w:r>
      <w:r w:rsidR="00B36E8C">
        <w:t>/</w:t>
      </w:r>
      <w:r w:rsidR="009E3016">
        <w:t xml:space="preserve"> </w:t>
      </w:r>
      <w:r w:rsidR="00B36E8C">
        <w:t>hand</w:t>
      </w:r>
      <w:r w:rsidR="0037140B">
        <w:t>”</w:t>
      </w:r>
      <w:r w:rsidR="00B36E8C">
        <w:t xml:space="preserve"> (lines 52</w:t>
      </w:r>
      <w:r w:rsidR="009E3016">
        <w:t>–</w:t>
      </w:r>
      <w:r w:rsidR="00B36E8C">
        <w:t>5</w:t>
      </w:r>
      <w:r w:rsidR="00325BF7">
        <w:t>5</w:t>
      </w:r>
      <w:r w:rsidR="00B36E8C">
        <w:t>).</w:t>
      </w:r>
    </w:p>
    <w:p w14:paraId="5C146174" w14:textId="77777777" w:rsidR="005A6186" w:rsidRDefault="00EE28F1" w:rsidP="00EE28F1">
      <w:pPr>
        <w:pStyle w:val="IN"/>
      </w:pPr>
      <w:r>
        <w:t xml:space="preserve">If students struggle to understand that Lady Macbeth speaks only to herself and to her absent husband, consider directing them to the stage directions to review which characters are present in the scene. </w:t>
      </w:r>
    </w:p>
    <w:p w14:paraId="14EB984D" w14:textId="77777777" w:rsidR="001426AD" w:rsidRDefault="001426AD" w:rsidP="001426AD">
      <w:pPr>
        <w:pStyle w:val="Q"/>
      </w:pPr>
      <w:r>
        <w:t>What is the “disease” to which the Doctor refers in line 62? What does he mean by “This disease is beyond my practice”?</w:t>
      </w:r>
    </w:p>
    <w:p w14:paraId="2D3E90CC" w14:textId="77777777" w:rsidR="00290674" w:rsidRDefault="001426AD" w:rsidP="001426AD">
      <w:pPr>
        <w:pStyle w:val="SR"/>
      </w:pPr>
      <w:r>
        <w:t xml:space="preserve">The disease is Lady Macbeth’s madness. The Doctor means that he cannot help Lady Macbeth. He states, “More needs she the divine than the physician” (line 78). </w:t>
      </w:r>
    </w:p>
    <w:p w14:paraId="5445BF3F" w14:textId="77777777" w:rsidR="00240BD5" w:rsidRDefault="00DE6126" w:rsidP="00240BD5">
      <w:pPr>
        <w:pStyle w:val="TA"/>
      </w:pPr>
      <w:r>
        <w:t>Lead a brief whole</w:t>
      </w:r>
      <w:r w:rsidR="0091282B">
        <w:t>-</w:t>
      </w:r>
      <w:r>
        <w:t>class discussion of student responses</w:t>
      </w:r>
      <w:r w:rsidR="00414B7C">
        <w:t>.</w:t>
      </w:r>
      <w:r w:rsidR="00240BD5">
        <w:t xml:space="preserve"> Remind students to annotate their texts for the central idea and character development, using the codes CI and CD.</w:t>
      </w:r>
      <w:r w:rsidR="00240BD5" w:rsidDel="006D1DCE">
        <w:t xml:space="preserve"> </w:t>
      </w:r>
    </w:p>
    <w:p w14:paraId="12C6A543" w14:textId="77777777" w:rsidR="00DE6126" w:rsidRDefault="00240BD5" w:rsidP="006177AB">
      <w:pPr>
        <w:pStyle w:val="IN"/>
      </w:pPr>
      <w:r>
        <w:t xml:space="preserve">This focused annotation supports students’ engagement with W.9-10.9.a, which addresses the use of textual evidence in writing. </w:t>
      </w:r>
    </w:p>
    <w:p w14:paraId="69BEB8DB" w14:textId="77777777" w:rsidR="00DE6126" w:rsidRDefault="00DE6126" w:rsidP="00DE6126">
      <w:pPr>
        <w:pStyle w:val="BR"/>
      </w:pPr>
    </w:p>
    <w:p w14:paraId="54C68844" w14:textId="77777777" w:rsidR="002D2A9B" w:rsidRDefault="00414B7C" w:rsidP="002D2A9B">
      <w:pPr>
        <w:pStyle w:val="TA"/>
      </w:pPr>
      <w:r>
        <w:t xml:space="preserve">Read with the class chorally Lady Macbeth’s </w:t>
      </w:r>
      <w:r w:rsidR="0069555D">
        <w:t>words to Macbeth</w:t>
      </w:r>
      <w:r>
        <w:t xml:space="preserve"> from Act 2.2 lines </w:t>
      </w:r>
      <w:r w:rsidR="00653959">
        <w:t>58</w:t>
      </w:r>
      <w:r w:rsidR="00784C2F">
        <w:t>–</w:t>
      </w:r>
      <w:r w:rsidR="00653959">
        <w:t>64:</w:t>
      </w:r>
    </w:p>
    <w:p w14:paraId="5F668952" w14:textId="77777777" w:rsidR="00653959" w:rsidRDefault="00653959" w:rsidP="00AB7725">
      <w:pPr>
        <w:ind w:left="1440"/>
      </w:pPr>
      <w:r>
        <w:lastRenderedPageBreak/>
        <w:t>Who was it that thus cried? Why, worthy thane,</w:t>
      </w:r>
      <w:r w:rsidR="003D2BE9">
        <w:br/>
      </w:r>
      <w:r>
        <w:t>You do unbend your noble strength to think</w:t>
      </w:r>
      <w:r w:rsidR="003D2BE9">
        <w:br/>
      </w:r>
      <w:r>
        <w:t>So brainsickly of things. Go get some water</w:t>
      </w:r>
      <w:r w:rsidR="003D2BE9">
        <w:br/>
      </w:r>
      <w:r>
        <w:t>And wash this filthy witness from your hand.—</w:t>
      </w:r>
      <w:r w:rsidR="007D7FC2">
        <w:br/>
      </w:r>
      <w:r>
        <w:t>Why did you bring the daggers from th</w:t>
      </w:r>
      <w:r w:rsidR="00325BF7">
        <w:t>e</w:t>
      </w:r>
      <w:r>
        <w:t xml:space="preserve"> place?</w:t>
      </w:r>
      <w:r w:rsidR="007D7FC2">
        <w:br/>
      </w:r>
      <w:r>
        <w:t>They must lie there. Go, carry them and smear</w:t>
      </w:r>
      <w:r w:rsidR="007D7FC2">
        <w:br/>
      </w:r>
      <w:r>
        <w:t xml:space="preserve">The sleepy grooms with blood. </w:t>
      </w:r>
    </w:p>
    <w:p w14:paraId="7BAEE8D9" w14:textId="6E613C20" w:rsidR="00653959" w:rsidRDefault="00653959" w:rsidP="002D2A9B">
      <w:pPr>
        <w:pStyle w:val="TA"/>
      </w:pPr>
      <w:r>
        <w:t xml:space="preserve">Instruct students to </w:t>
      </w:r>
      <w:r w:rsidR="00CF5249">
        <w:t>Turn-and-Talk</w:t>
      </w:r>
      <w:r>
        <w:t xml:space="preserve"> about the following questions:</w:t>
      </w:r>
    </w:p>
    <w:p w14:paraId="0027D9C7" w14:textId="77777777" w:rsidR="006C11E6" w:rsidRDefault="006C11E6" w:rsidP="006C11E6">
      <w:pPr>
        <w:pStyle w:val="Q"/>
      </w:pPr>
      <w:r>
        <w:t xml:space="preserve">Compare Lady Macbeth’s </w:t>
      </w:r>
      <w:r w:rsidR="002D2A9B">
        <w:t>way of speaking</w:t>
      </w:r>
      <w:r>
        <w:t xml:space="preserve"> in Act 5.1 to her </w:t>
      </w:r>
      <w:r w:rsidR="002D2A9B">
        <w:t>way of speaking</w:t>
      </w:r>
      <w:r>
        <w:t xml:space="preserve"> in Act 2.2</w:t>
      </w:r>
      <w:r w:rsidR="002D2A9B">
        <w:t>.</w:t>
      </w:r>
      <w:r>
        <w:t xml:space="preserve"> What do you notice?</w:t>
      </w:r>
    </w:p>
    <w:p w14:paraId="13DA4E09" w14:textId="77777777" w:rsidR="006C11E6" w:rsidRDefault="006C11E6" w:rsidP="006C11E6">
      <w:pPr>
        <w:pStyle w:val="SR"/>
      </w:pPr>
      <w:r>
        <w:t>Student responses may include:</w:t>
      </w:r>
    </w:p>
    <w:p w14:paraId="38F05F3A" w14:textId="77777777" w:rsidR="006C11E6" w:rsidRDefault="006C11E6" w:rsidP="006C11E6">
      <w:pPr>
        <w:pStyle w:val="SASRBullet"/>
      </w:pPr>
      <w:r>
        <w:t>Lady Macbeth speaks in more complicated language in Act 2 than in Act 5</w:t>
      </w:r>
      <w:r w:rsidR="00325BF7">
        <w:t>;</w:t>
      </w:r>
      <w:r>
        <w:t xml:space="preserve"> for example</w:t>
      </w:r>
      <w:r w:rsidR="00325BF7">
        <w:t xml:space="preserve">, she says </w:t>
      </w:r>
      <w:r>
        <w:t>“You do unbend your noble strength to think</w:t>
      </w:r>
      <w:r w:rsidR="002D2A9B">
        <w:t xml:space="preserve"> </w:t>
      </w:r>
      <w:r>
        <w:t>/</w:t>
      </w:r>
      <w:r w:rsidR="002D2A9B">
        <w:t xml:space="preserve"> </w:t>
      </w:r>
      <w:r>
        <w:t>So brainsickly of things” (</w:t>
      </w:r>
      <w:r w:rsidR="002D2A9B">
        <w:t xml:space="preserve">Act 2:2, </w:t>
      </w:r>
      <w:r>
        <w:t>lines 59</w:t>
      </w:r>
      <w:r w:rsidR="002D2A9B">
        <w:t>–</w:t>
      </w:r>
      <w:r>
        <w:t>60)</w:t>
      </w:r>
      <w:r w:rsidR="0051295A">
        <w:t xml:space="preserve">. By comparison, in Act 5.1, the syntax of her speech is short and repetitive, and her meaning is blunt: </w:t>
      </w:r>
      <w:r>
        <w:t>“Come, come, come, come. Give me your</w:t>
      </w:r>
      <w:r w:rsidR="002D2A9B">
        <w:t xml:space="preserve"> </w:t>
      </w:r>
      <w:r>
        <w:t>/</w:t>
      </w:r>
      <w:r w:rsidR="002D2A9B">
        <w:t xml:space="preserve"> </w:t>
      </w:r>
      <w:r>
        <w:t>hand. What’s done cannot be undone. To bed, to</w:t>
      </w:r>
      <w:r w:rsidR="002D2A9B">
        <w:t xml:space="preserve"> </w:t>
      </w:r>
      <w:r>
        <w:t>/</w:t>
      </w:r>
      <w:r w:rsidR="002D2A9B">
        <w:t xml:space="preserve"> </w:t>
      </w:r>
      <w:r>
        <w:t>bed, to bed” (</w:t>
      </w:r>
      <w:r w:rsidR="003D2BE9">
        <w:t>Act 5.</w:t>
      </w:r>
      <w:r w:rsidR="002D2A9B">
        <w:t xml:space="preserve">1, </w:t>
      </w:r>
      <w:r>
        <w:t>lines 70</w:t>
      </w:r>
      <w:r w:rsidR="002D2A9B">
        <w:t>–</w:t>
      </w:r>
      <w:r>
        <w:t>72).</w:t>
      </w:r>
    </w:p>
    <w:p w14:paraId="7881FF80" w14:textId="77777777" w:rsidR="006C11E6" w:rsidRDefault="006C11E6" w:rsidP="006C11E6">
      <w:pPr>
        <w:pStyle w:val="SASRBullet"/>
      </w:pPr>
      <w:r>
        <w:t>Her speech is unmetered in Act 5, whereas in Act 2 Lady Macbeth’s dialogue is metered</w:t>
      </w:r>
      <w:r w:rsidR="007D1AFD">
        <w:t xml:space="preserve"> (has a set number of beats</w:t>
      </w:r>
      <w:r w:rsidR="002D2A9B">
        <w:t>/syllables and stressed and unstressed syllables)</w:t>
      </w:r>
      <w:r>
        <w:t xml:space="preserve">. </w:t>
      </w:r>
    </w:p>
    <w:p w14:paraId="2E33D633" w14:textId="77777777" w:rsidR="006C11E6" w:rsidRDefault="006C11E6" w:rsidP="006C11E6">
      <w:pPr>
        <w:pStyle w:val="IN"/>
      </w:pPr>
      <w:r>
        <w:rPr>
          <w:b/>
        </w:rPr>
        <w:t xml:space="preserve">Differentiation Consideration: </w:t>
      </w:r>
      <w:r>
        <w:t>If students struggle consider reminding them of their work with meter and iambic pentameter in 10.4.2 Lesson 1.</w:t>
      </w:r>
    </w:p>
    <w:p w14:paraId="15AD3061" w14:textId="77777777" w:rsidR="006C11E6" w:rsidRDefault="006C11E6" w:rsidP="006C11E6">
      <w:pPr>
        <w:pStyle w:val="Q"/>
      </w:pPr>
      <w:r>
        <w:t xml:space="preserve">How do Lady Macbeth’s </w:t>
      </w:r>
      <w:r w:rsidR="007874B4">
        <w:t xml:space="preserve">words and actions in Act 5.1 </w:t>
      </w:r>
      <w:r>
        <w:t xml:space="preserve">refine your understanding of her </w:t>
      </w:r>
      <w:r w:rsidR="007874B4">
        <w:t>character</w:t>
      </w:r>
      <w:r>
        <w:t>?</w:t>
      </w:r>
    </w:p>
    <w:p w14:paraId="3025C884" w14:textId="77777777" w:rsidR="0096443E" w:rsidRDefault="006C11E6">
      <w:pPr>
        <w:pStyle w:val="SR"/>
      </w:pPr>
      <w:r>
        <w:t>Lady Macbeth is falling apart from guilt</w:t>
      </w:r>
      <w:r w:rsidR="00325BF7">
        <w:t>,</w:t>
      </w:r>
      <w:r>
        <w:t xml:space="preserve"> sleepwalk</w:t>
      </w:r>
      <w:r w:rsidR="007874B4">
        <w:t>ing and</w:t>
      </w:r>
      <w:r>
        <w:t xml:space="preserve"> </w:t>
      </w:r>
      <w:r w:rsidR="007874B4">
        <w:t>“</w:t>
      </w:r>
      <w:r>
        <w:t xml:space="preserve">washing her hands” (line 31) to try and </w:t>
      </w:r>
      <w:r w:rsidR="007874B4">
        <w:t>remove the blood that only she sees</w:t>
      </w:r>
      <w:r>
        <w:t xml:space="preserve">. Her </w:t>
      </w:r>
      <w:r w:rsidR="00D47322">
        <w:t>suddenly simplified</w:t>
      </w:r>
      <w:r w:rsidR="006D1DCE">
        <w:t xml:space="preserve"> and unmetered</w:t>
      </w:r>
      <w:r>
        <w:t xml:space="preserve"> speech also shows how she is </w:t>
      </w:r>
      <w:r w:rsidR="007874B4">
        <w:t>breaking down</w:t>
      </w:r>
      <w:r w:rsidR="006D1DCE">
        <w:t>, because it is sloppy compared to</w:t>
      </w:r>
      <w:r w:rsidR="00B24604">
        <w:t xml:space="preserve"> her earlier speech patterns.</w:t>
      </w:r>
    </w:p>
    <w:p w14:paraId="348A2A2C" w14:textId="77777777" w:rsidR="00EA2ADC" w:rsidRDefault="00EA2ADC" w:rsidP="00473DD5">
      <w:pPr>
        <w:pStyle w:val="IN"/>
      </w:pPr>
      <w:r>
        <w:rPr>
          <w:b/>
        </w:rPr>
        <w:t xml:space="preserve">Differentiation Consideration: </w:t>
      </w:r>
      <w:r>
        <w:t>If students struggle to understand Lady Macbeth’s madness, consider posing the following question:</w:t>
      </w:r>
    </w:p>
    <w:p w14:paraId="3380B8FF" w14:textId="77777777" w:rsidR="00EA2ADC" w:rsidRDefault="00EA2ADC" w:rsidP="00473DD5">
      <w:pPr>
        <w:pStyle w:val="DCwithQ"/>
      </w:pPr>
      <w:r>
        <w:t xml:space="preserve">What evidence is there for Lady Macbeth’s “disease” (line 62)? </w:t>
      </w:r>
    </w:p>
    <w:p w14:paraId="6C45CE66" w14:textId="77777777" w:rsidR="00EA2ADC" w:rsidRDefault="00EA2ADC" w:rsidP="00473DD5">
      <w:pPr>
        <w:pStyle w:val="DCwithSR"/>
      </w:pPr>
      <w:r>
        <w:t xml:space="preserve">Student responses may include: </w:t>
      </w:r>
    </w:p>
    <w:p w14:paraId="4D0C0EFF" w14:textId="77777777" w:rsidR="00480E3E" w:rsidRDefault="00EA2ADC" w:rsidP="00473DD5">
      <w:pPr>
        <w:pStyle w:val="INBullet"/>
      </w:pPr>
      <w:r>
        <w:t>Lady Macbeth is sleepwalking</w:t>
      </w:r>
      <w:r w:rsidR="00480E3E">
        <w:t>: “Doctor: You see her eyes are open / Gentlewoman: Ay, but their sense are shut” (lines 26–27).</w:t>
      </w:r>
    </w:p>
    <w:p w14:paraId="62A834DC" w14:textId="77777777" w:rsidR="00EA2ADC" w:rsidRDefault="00480E3E" w:rsidP="00480E3E">
      <w:pPr>
        <w:pStyle w:val="INBullet"/>
      </w:pPr>
      <w:r>
        <w:t xml:space="preserve">She </w:t>
      </w:r>
      <w:r w:rsidR="00EA2ADC">
        <w:t>can</w:t>
      </w:r>
      <w:r>
        <w:t>no</w:t>
      </w:r>
      <w:r w:rsidR="00EA2ADC">
        <w:t>t sleep in the dark</w:t>
      </w:r>
      <w:r>
        <w:t>: “She has light by / her continually” (lines 24–25).</w:t>
      </w:r>
    </w:p>
    <w:p w14:paraId="6A00CF29" w14:textId="77777777" w:rsidR="00EA2ADC" w:rsidRDefault="00EA2ADC" w:rsidP="00AC62B2">
      <w:pPr>
        <w:pStyle w:val="INBullet"/>
      </w:pPr>
      <w:r>
        <w:lastRenderedPageBreak/>
        <w:t xml:space="preserve">Lady Macbeth acts like she is washing her hands, trying to remove invisible blood </w:t>
      </w:r>
      <w:r w:rsidR="00AC62B2">
        <w:t xml:space="preserve">(“Out, damned spot, out, I say!” line 37) </w:t>
      </w:r>
      <w:r>
        <w:t>and the smell of blood</w:t>
      </w:r>
      <w:r w:rsidR="00480E3E">
        <w:t>: “Here’s the smell of the blood still” (line 53).</w:t>
      </w:r>
    </w:p>
    <w:p w14:paraId="3C183FAC" w14:textId="77777777" w:rsidR="00EA2ADC" w:rsidRDefault="00AC62B2" w:rsidP="00AC62B2">
      <w:pPr>
        <w:pStyle w:val="INBullet"/>
      </w:pPr>
      <w:r>
        <w:t xml:space="preserve">She speaks haltingly and repetitively, talking </w:t>
      </w:r>
      <w:r w:rsidR="00EA2ADC">
        <w:t>to herself</w:t>
      </w:r>
      <w:r w:rsidR="00473DD5">
        <w:t>:</w:t>
      </w:r>
      <w:r w:rsidR="00EA2ADC">
        <w:t xml:space="preserve"> </w:t>
      </w:r>
      <w:r w:rsidR="00480E3E">
        <w:t xml:space="preserve">“Wash your hands. Put on your night- / gown” </w:t>
      </w:r>
      <w:r w:rsidR="00473DD5">
        <w:t>(</w:t>
      </w:r>
      <w:r w:rsidR="00480E3E">
        <w:t xml:space="preserve">lines 65–66) </w:t>
      </w:r>
      <w:r w:rsidR="00EA2ADC">
        <w:t>and to her husband, who is not in the room</w:t>
      </w:r>
      <w:r w:rsidR="00480E3E">
        <w:t xml:space="preserve">: </w:t>
      </w:r>
      <w:r>
        <w:t>“What’s done cannot be undone. To bed, to / bed, to bed” (lines 71–72).</w:t>
      </w:r>
    </w:p>
    <w:p w14:paraId="094F72EB" w14:textId="77777777" w:rsidR="00EA2ADC" w:rsidRDefault="00EA2ADC" w:rsidP="00375F1E">
      <w:pPr>
        <w:pStyle w:val="INBullet"/>
      </w:pPr>
      <w:r>
        <w:t>She seems unaware of the presence of the Doctor and the Gentlewoman.</w:t>
      </w:r>
      <w:r w:rsidR="00AC62B2">
        <w:t xml:space="preserve"> The Gentlewoman says to the Doctor, “Observe her; stand close” (line 22), but Lady Macbeth never acknowledges their presence.</w:t>
      </w:r>
    </w:p>
    <w:p w14:paraId="47F85525" w14:textId="77777777" w:rsidR="00842ADC" w:rsidRDefault="007236DA" w:rsidP="00842ADC">
      <w:pPr>
        <w:pStyle w:val="TA"/>
      </w:pPr>
      <w:r>
        <w:t>Lead a brief whole-</w:t>
      </w:r>
      <w:r w:rsidR="004478B5">
        <w:t xml:space="preserve">class discussion of student responses. </w:t>
      </w:r>
      <w:r w:rsidR="00842ADC">
        <w:t xml:space="preserve">Remind students to annotate their texts </w:t>
      </w:r>
      <w:r w:rsidR="00741027">
        <w:t>for</w:t>
      </w:r>
      <w:r w:rsidR="00842ADC">
        <w:t xml:space="preserve"> the central idea</w:t>
      </w:r>
      <w:r w:rsidR="00741027">
        <w:t xml:space="preserve"> and character development</w:t>
      </w:r>
      <w:r w:rsidR="00842ADC">
        <w:t>, using the code</w:t>
      </w:r>
      <w:r w:rsidR="00741027">
        <w:t>s</w:t>
      </w:r>
      <w:r w:rsidR="00842ADC">
        <w:t xml:space="preserve"> CI</w:t>
      </w:r>
      <w:r w:rsidR="00741027">
        <w:t xml:space="preserve"> and CD</w:t>
      </w:r>
      <w:r w:rsidR="00842ADC">
        <w:t>.</w:t>
      </w:r>
    </w:p>
    <w:p w14:paraId="1CE759FD" w14:textId="77777777" w:rsidR="00842ADC" w:rsidRDefault="00842ADC" w:rsidP="006D1DCE">
      <w:pPr>
        <w:pStyle w:val="IN"/>
      </w:pPr>
      <w:r>
        <w:t xml:space="preserve">This focused annotation supports students’ engagement with W.9-10.9.a, which addresses the use of textual evidence in writing. </w:t>
      </w:r>
    </w:p>
    <w:p w14:paraId="727407D0" w14:textId="77777777" w:rsidR="00790BCC" w:rsidRPr="00790BCC" w:rsidRDefault="003C58A4" w:rsidP="007017EB">
      <w:pPr>
        <w:pStyle w:val="LearningSequenceHeader"/>
      </w:pPr>
      <w:r>
        <w:t>Activity 5: Quick Write</w:t>
      </w:r>
      <w:r>
        <w:tab/>
        <w:t>15</w:t>
      </w:r>
      <w:r w:rsidR="00790BCC" w:rsidRPr="00790BCC">
        <w:t>%</w:t>
      </w:r>
    </w:p>
    <w:p w14:paraId="685CACA6" w14:textId="77777777" w:rsidR="003C58A4" w:rsidRDefault="003C58A4" w:rsidP="003C58A4">
      <w:pPr>
        <w:pStyle w:val="TA"/>
      </w:pPr>
      <w:r>
        <w:t xml:space="preserve">Instruct students to respond briefly in </w:t>
      </w:r>
      <w:r w:rsidR="00724FA5">
        <w:t>writing to the following prompt</w:t>
      </w:r>
      <w:r>
        <w:t>:</w:t>
      </w:r>
    </w:p>
    <w:p w14:paraId="46584055" w14:textId="77777777" w:rsidR="003C58A4" w:rsidRDefault="003C58A4" w:rsidP="003C58A4">
      <w:pPr>
        <w:pStyle w:val="Q"/>
      </w:pPr>
      <w:r>
        <w:t xml:space="preserve">Analyze how Shakespeare </w:t>
      </w:r>
      <w:r w:rsidR="00A876EB">
        <w:t xml:space="preserve">refines </w:t>
      </w:r>
      <w:r>
        <w:t xml:space="preserve">a central idea through his development of </w:t>
      </w:r>
      <w:r w:rsidR="0051295A">
        <w:t xml:space="preserve">the character of </w:t>
      </w:r>
      <w:r>
        <w:t>Lady Macbeth in this scene.</w:t>
      </w:r>
    </w:p>
    <w:p w14:paraId="42A8E986" w14:textId="77777777" w:rsidR="003C58A4" w:rsidRDefault="003C58A4" w:rsidP="003C58A4">
      <w:pPr>
        <w:pStyle w:val="TA"/>
      </w:pPr>
      <w:r>
        <w:t>Instruct students to look at their annotations to find evidence. Remind students to use the Short Response Rubric</w:t>
      </w:r>
      <w:r w:rsidR="00516913">
        <w:t xml:space="preserve"> and Checklist</w:t>
      </w:r>
      <w:r>
        <w:t xml:space="preserve"> to guide their written </w:t>
      </w:r>
      <w:r w:rsidR="002437EE">
        <w:t>responses</w:t>
      </w:r>
      <w:r>
        <w:t xml:space="preserve">. </w:t>
      </w:r>
    </w:p>
    <w:p w14:paraId="6513A20E" w14:textId="77777777" w:rsidR="003C58A4" w:rsidRDefault="003C58A4" w:rsidP="003C58A4">
      <w:pPr>
        <w:pStyle w:val="SA"/>
        <w:numPr>
          <w:ilvl w:val="0"/>
          <w:numId w:val="8"/>
        </w:numPr>
      </w:pPr>
      <w:r>
        <w:t>Students listen and read the Quick Write prompt.</w:t>
      </w:r>
    </w:p>
    <w:p w14:paraId="3D3CCDE6" w14:textId="77777777" w:rsidR="003C58A4" w:rsidRDefault="003C58A4" w:rsidP="003C58A4">
      <w:pPr>
        <w:pStyle w:val="IN"/>
      </w:pPr>
      <w:r>
        <w:t>Display the prompt for students to see, or provide the prompt in hard copy.</w:t>
      </w:r>
    </w:p>
    <w:p w14:paraId="60B3D016" w14:textId="77777777" w:rsidR="003C58A4" w:rsidRDefault="003C58A4" w:rsidP="003C58A4">
      <w:pPr>
        <w:pStyle w:val="TA"/>
      </w:pPr>
      <w:r>
        <w:t>Transition to the independent Quick Write:</w:t>
      </w:r>
    </w:p>
    <w:p w14:paraId="6D42CC88" w14:textId="77777777" w:rsidR="003C58A4" w:rsidRDefault="003C58A4" w:rsidP="003C58A4">
      <w:pPr>
        <w:pStyle w:val="SA"/>
        <w:numPr>
          <w:ilvl w:val="0"/>
          <w:numId w:val="8"/>
        </w:numPr>
      </w:pPr>
      <w:r>
        <w:t>Students independently answer the prompt, using evidence from the text.</w:t>
      </w:r>
    </w:p>
    <w:p w14:paraId="36AD76DE" w14:textId="77777777" w:rsidR="0051467B" w:rsidRDefault="003C58A4" w:rsidP="009B7453">
      <w:pPr>
        <w:pStyle w:val="SR"/>
      </w:pPr>
      <w:r>
        <w:t>See the High Performance Response at the beginning of this lesson.</w:t>
      </w:r>
    </w:p>
    <w:p w14:paraId="37B5E70F" w14:textId="7006206C" w:rsidR="003D1F39" w:rsidRPr="00790BCC" w:rsidRDefault="003D1F39" w:rsidP="003D1F39">
      <w:pPr>
        <w:pStyle w:val="LearningSequenceHeader"/>
      </w:pPr>
      <w:r>
        <w:t>Activi</w:t>
      </w:r>
      <w:r w:rsidR="007D1678">
        <w:t>t</w:t>
      </w:r>
      <w:r>
        <w:t xml:space="preserve">y </w:t>
      </w:r>
      <w:r w:rsidR="001C20FC">
        <w:t>6</w:t>
      </w:r>
      <w:r>
        <w:t xml:space="preserve">: Introduction of </w:t>
      </w:r>
      <w:r w:rsidR="00391A35">
        <w:t>Interpretive Dramatic</w:t>
      </w:r>
      <w:r>
        <w:t xml:space="preserve"> Reading</w:t>
      </w:r>
      <w:r>
        <w:tab/>
        <w:t>15</w:t>
      </w:r>
      <w:r w:rsidRPr="00790BCC">
        <w:t>%</w:t>
      </w:r>
    </w:p>
    <w:p w14:paraId="586DFE11" w14:textId="77777777" w:rsidR="003D1F39" w:rsidRDefault="003D1F39" w:rsidP="003D1F39">
      <w:pPr>
        <w:pStyle w:val="TA"/>
      </w:pPr>
      <w:r>
        <w:t>Instruct students to meet in the small groups established in 10.4.2 Lesson 1.</w:t>
      </w:r>
    </w:p>
    <w:p w14:paraId="0EB8C74B" w14:textId="334A7659" w:rsidR="003D1F39" w:rsidRDefault="003D1F39" w:rsidP="003D1F39">
      <w:pPr>
        <w:pStyle w:val="TA"/>
      </w:pPr>
      <w:r>
        <w:t xml:space="preserve">Inform students that they will be working in their groups over the next several days to choose an excerpt from </w:t>
      </w:r>
      <w:r>
        <w:rPr>
          <w:i/>
        </w:rPr>
        <w:t>Macbeth</w:t>
      </w:r>
      <w:r>
        <w:t xml:space="preserve"> as a</w:t>
      </w:r>
      <w:r w:rsidR="00D35DC8">
        <w:t xml:space="preserve"> 2</w:t>
      </w:r>
      <w:r w:rsidR="0069555D">
        <w:t>–</w:t>
      </w:r>
      <w:r w:rsidR="00D35DC8">
        <w:t>5 minute</w:t>
      </w:r>
      <w:r>
        <w:t xml:space="preserve"> </w:t>
      </w:r>
      <w:r w:rsidR="00391A35">
        <w:t xml:space="preserve">interpretive dramatic </w:t>
      </w:r>
      <w:r>
        <w:t>reading</w:t>
      </w:r>
      <w:r w:rsidR="00B24A64">
        <w:t>, which they will perform in 10.4.2 Lesson 20.</w:t>
      </w:r>
      <w:r>
        <w:t xml:space="preserve"> </w:t>
      </w:r>
    </w:p>
    <w:p w14:paraId="61C2380C" w14:textId="1B7FEB5F" w:rsidR="003D1F39" w:rsidRDefault="003D1F39" w:rsidP="003D1F39">
      <w:pPr>
        <w:pStyle w:val="TA"/>
      </w:pPr>
      <w:r>
        <w:lastRenderedPageBreak/>
        <w:t xml:space="preserve">Explain that </w:t>
      </w:r>
      <w:r w:rsidR="00391A35">
        <w:t xml:space="preserve">an interpretive </w:t>
      </w:r>
      <w:r>
        <w:t>reading is a type of dramatic performance in which a student or group of students presents a text excerpt without props, lighting, or other dramatic supports. Explain that when preparing a</w:t>
      </w:r>
      <w:r w:rsidR="00391A35">
        <w:t>n interpretive dramatic</w:t>
      </w:r>
      <w:r>
        <w:t xml:space="preserve"> reading, students may choose from several techniques, including (but not limited to):</w:t>
      </w:r>
    </w:p>
    <w:p w14:paraId="72ED2037" w14:textId="5218FDEC" w:rsidR="003D1F39" w:rsidRDefault="00391A35" w:rsidP="003D1F39">
      <w:pPr>
        <w:pStyle w:val="BulletedList"/>
      </w:pPr>
      <w:r>
        <w:t>Choral</w:t>
      </w:r>
      <w:r w:rsidR="003D1F39">
        <w:t xml:space="preserve">: All students read the same text </w:t>
      </w:r>
      <w:r w:rsidR="006E07ED">
        <w:t>in unison</w:t>
      </w:r>
      <w:r w:rsidR="00924BD5">
        <w:t>.</w:t>
      </w:r>
    </w:p>
    <w:p w14:paraId="0DF9C17D" w14:textId="58C3BBB8" w:rsidR="003D1F39" w:rsidRDefault="003D1F39" w:rsidP="003D1F39">
      <w:pPr>
        <w:pStyle w:val="BulletedList"/>
      </w:pPr>
      <w:r>
        <w:t xml:space="preserve">Dialogue: Students divide into groups to assume </w:t>
      </w:r>
      <w:r w:rsidR="00A36E15">
        <w:t xml:space="preserve">individual </w:t>
      </w:r>
      <w:r>
        <w:t>roles in a dialogue</w:t>
      </w:r>
      <w:r w:rsidR="00924BD5">
        <w:t>.</w:t>
      </w:r>
    </w:p>
    <w:p w14:paraId="41809447" w14:textId="77777777" w:rsidR="003D1F39" w:rsidRDefault="003D1F39" w:rsidP="003D1F39">
      <w:pPr>
        <w:pStyle w:val="BulletedList"/>
      </w:pPr>
      <w:r>
        <w:t>Line-by-Line: One student or group of students is assigned to speak each specific line or set of lines in an excerpt</w:t>
      </w:r>
      <w:r w:rsidR="003940F4">
        <w:t>.</w:t>
      </w:r>
    </w:p>
    <w:p w14:paraId="7CC546A6" w14:textId="23D239E7" w:rsidR="003D1F39" w:rsidRDefault="003D1F39" w:rsidP="003D1F39">
      <w:pPr>
        <w:pStyle w:val="BulletedList"/>
      </w:pPr>
      <w:r>
        <w:t>Cumulative: One student (or group of students) recites the first line or set of lines in an excerpt. Then that student or group is joined by a second student or group of students to read the next line or set of lines, followed by a third student or group of students. The pattern continues until all students recite</w:t>
      </w:r>
      <w:r w:rsidR="00A36E15">
        <w:t xml:space="preserve"> chorally</w:t>
      </w:r>
      <w:r>
        <w:t xml:space="preserve"> the final line or group of lines.</w:t>
      </w:r>
    </w:p>
    <w:p w14:paraId="37344CDC" w14:textId="77777777" w:rsidR="003D1F39" w:rsidRDefault="003D1F39" w:rsidP="003D1F39">
      <w:pPr>
        <w:pStyle w:val="TA"/>
      </w:pPr>
      <w:r>
        <w:t>Students may choose to create additional techniques, to use a single technique, or to use multiple techniques in a single performance.</w:t>
      </w:r>
    </w:p>
    <w:p w14:paraId="6C7565D1" w14:textId="53040D5C" w:rsidR="003D1F39" w:rsidRDefault="003D1F39" w:rsidP="003D1F39">
      <w:pPr>
        <w:pStyle w:val="TA"/>
      </w:pPr>
      <w:r>
        <w:t xml:space="preserve">Remind students that for </w:t>
      </w:r>
      <w:r w:rsidR="00A36E15">
        <w:t xml:space="preserve">interpretive dramatic </w:t>
      </w:r>
      <w:r>
        <w:t>reading</w:t>
      </w:r>
      <w:r w:rsidR="00A36E15">
        <w:t>s</w:t>
      </w:r>
      <w:r>
        <w:t xml:space="preserve"> they may use </w:t>
      </w:r>
      <w:r w:rsidR="007C43FC">
        <w:t>the text</w:t>
      </w:r>
      <w:r>
        <w:t>, but the reading should be smooth and expressive, demonstrating a clear understanding of the text.</w:t>
      </w:r>
    </w:p>
    <w:p w14:paraId="6ECFF138" w14:textId="051C6832" w:rsidR="00117478" w:rsidRDefault="003D1F39" w:rsidP="00117478">
      <w:pPr>
        <w:pStyle w:val="IN"/>
      </w:pPr>
      <w:r>
        <w:t xml:space="preserve">Consider showing a video clip of students engaged in </w:t>
      </w:r>
      <w:r w:rsidR="008613B0">
        <w:t xml:space="preserve">variations of interpretive dramatic </w:t>
      </w:r>
      <w:r>
        <w:t>reading</w:t>
      </w:r>
      <w:r w:rsidR="008613B0">
        <w:t>s</w:t>
      </w:r>
      <w:r>
        <w:t xml:space="preserve"> to provide students with</w:t>
      </w:r>
      <w:r w:rsidR="004A2C91">
        <w:t xml:space="preserve"> audiovisual models of possible interpretive dramatic readings.</w:t>
      </w:r>
      <w:r>
        <w:t xml:space="preserve"> </w:t>
      </w:r>
      <w:r w:rsidR="00117478">
        <w:t xml:space="preserve"> </w:t>
      </w:r>
    </w:p>
    <w:p w14:paraId="3A65D992" w14:textId="2DD60255" w:rsidR="0051467B" w:rsidRDefault="003C5989" w:rsidP="00117478">
      <w:pPr>
        <w:pStyle w:val="Q"/>
      </w:pPr>
      <w:r>
        <w:t>What would make good material for a</w:t>
      </w:r>
      <w:r w:rsidR="006F7DBA">
        <w:t xml:space="preserve">n interpretive dramatic </w:t>
      </w:r>
      <w:r>
        <w:t>reading?</w:t>
      </w:r>
    </w:p>
    <w:p w14:paraId="705882FD" w14:textId="77777777" w:rsidR="0051467B" w:rsidRDefault="003C5989">
      <w:pPr>
        <w:pStyle w:val="SR"/>
      </w:pPr>
      <w:r>
        <w:t>Student responses may include:</w:t>
      </w:r>
    </w:p>
    <w:p w14:paraId="0EA612A8" w14:textId="77777777" w:rsidR="003C5989" w:rsidRDefault="003C5989" w:rsidP="00734EA4">
      <w:pPr>
        <w:pStyle w:val="SASRBullet"/>
      </w:pPr>
      <w:r>
        <w:t>An exciting or dramatic part of the play</w:t>
      </w:r>
    </w:p>
    <w:p w14:paraId="14267C7E" w14:textId="77777777" w:rsidR="003C5989" w:rsidRDefault="003C5989" w:rsidP="00734EA4">
      <w:pPr>
        <w:pStyle w:val="SASRBullet"/>
      </w:pPr>
      <w:r>
        <w:t>An important scene</w:t>
      </w:r>
    </w:p>
    <w:p w14:paraId="2382AFDD" w14:textId="77777777" w:rsidR="003C5989" w:rsidRDefault="003C5989" w:rsidP="00734EA4">
      <w:pPr>
        <w:pStyle w:val="SASRBullet"/>
      </w:pPr>
      <w:r>
        <w:t>A part with lots of beautiful language</w:t>
      </w:r>
    </w:p>
    <w:p w14:paraId="67A16CB4" w14:textId="77777777" w:rsidR="0051467B" w:rsidRDefault="003C5989" w:rsidP="00AB7725">
      <w:pPr>
        <w:pStyle w:val="SASRBullet"/>
      </w:pPr>
      <w:r>
        <w:t>A soliloquy or monologue</w:t>
      </w:r>
    </w:p>
    <w:p w14:paraId="36D410CE" w14:textId="39679DF5" w:rsidR="0051467B" w:rsidRDefault="009868CB">
      <w:pPr>
        <w:pStyle w:val="TA"/>
      </w:pPr>
      <w:r>
        <w:t xml:space="preserve">Distribute the </w:t>
      </w:r>
      <w:r w:rsidR="00A36E15">
        <w:t xml:space="preserve">Interpretive Dramatic </w:t>
      </w:r>
      <w:r>
        <w:t xml:space="preserve">Reading Performance </w:t>
      </w:r>
      <w:r w:rsidR="002A3F83">
        <w:t xml:space="preserve">and Self-Assessment </w:t>
      </w:r>
      <w:r>
        <w:t>Checklist</w:t>
      </w:r>
      <w:r w:rsidR="002A3F83">
        <w:t>s</w:t>
      </w:r>
      <w:r>
        <w:t xml:space="preserve">. Lead a brief class discussion on the requirements of the </w:t>
      </w:r>
      <w:r w:rsidR="00D458BA">
        <w:t>checklists</w:t>
      </w:r>
      <w:r>
        <w:t xml:space="preserve"> in light of their understanding of a</w:t>
      </w:r>
      <w:r w:rsidR="006F7DBA">
        <w:t xml:space="preserve">n interpretive dramatic </w:t>
      </w:r>
      <w:r>
        <w:t>reading thus far.</w:t>
      </w:r>
    </w:p>
    <w:p w14:paraId="00957965" w14:textId="77777777" w:rsidR="00790BCC" w:rsidRPr="00790BCC" w:rsidRDefault="00790BCC" w:rsidP="007017EB">
      <w:pPr>
        <w:pStyle w:val="LearningSequenceHeader"/>
      </w:pPr>
      <w:r w:rsidRPr="00790BCC">
        <w:t xml:space="preserve">Activity </w:t>
      </w:r>
      <w:r w:rsidR="001C20FC">
        <w:t>7</w:t>
      </w:r>
      <w:r w:rsidRPr="00790BCC">
        <w:t>: Closing</w:t>
      </w:r>
      <w:r w:rsidRPr="00790BCC">
        <w:tab/>
        <w:t>5%</w:t>
      </w:r>
    </w:p>
    <w:p w14:paraId="015EC0E8" w14:textId="2F2FA4FF" w:rsidR="00842ADC" w:rsidRDefault="00834721" w:rsidP="00842ADC">
      <w:pPr>
        <w:pStyle w:val="TA"/>
      </w:pPr>
      <w:r>
        <w:t xml:space="preserve">Display and distribute the homework assignment. </w:t>
      </w:r>
      <w:r w:rsidR="00842ADC">
        <w:t xml:space="preserve">For homework, instruct students to select an excerpt from </w:t>
      </w:r>
      <w:r w:rsidR="00842ADC">
        <w:rPr>
          <w:i/>
        </w:rPr>
        <w:t>Macbeth</w:t>
      </w:r>
      <w:r w:rsidR="00842ADC">
        <w:t xml:space="preserve"> to sugg</w:t>
      </w:r>
      <w:r w:rsidR="00F76AF3">
        <w:t xml:space="preserve">est for an interpretive dramatic </w:t>
      </w:r>
      <w:r w:rsidR="00842ADC">
        <w:t xml:space="preserve">reading and to review the </w:t>
      </w:r>
      <w:r w:rsidR="00A36E15">
        <w:t xml:space="preserve">Interpretive Dramatic </w:t>
      </w:r>
      <w:r w:rsidR="00030FDF">
        <w:t xml:space="preserve">Reading </w:t>
      </w:r>
      <w:r w:rsidR="00B91D10">
        <w:t xml:space="preserve">Performance </w:t>
      </w:r>
      <w:r w:rsidR="00030FDF">
        <w:t>Checklist</w:t>
      </w:r>
      <w:r w:rsidR="00B91D10">
        <w:t xml:space="preserve"> and </w:t>
      </w:r>
      <w:r w:rsidR="00A36E15">
        <w:t xml:space="preserve">Interpretive Dramatic </w:t>
      </w:r>
      <w:r w:rsidR="00B91D10">
        <w:t>Reading Self-Assessment Checklist</w:t>
      </w:r>
      <w:r w:rsidR="007268A4">
        <w:t>,</w:t>
      </w:r>
      <w:r w:rsidR="00842ADC">
        <w:t xml:space="preserve"> which will be used for assessing student performances.</w:t>
      </w:r>
    </w:p>
    <w:p w14:paraId="2B1B3403" w14:textId="77777777" w:rsidR="00790BCC" w:rsidRPr="00790BCC" w:rsidRDefault="00790BCC" w:rsidP="007017EB">
      <w:pPr>
        <w:pStyle w:val="Heading1"/>
      </w:pPr>
      <w:r w:rsidRPr="00790BCC">
        <w:lastRenderedPageBreak/>
        <w:t>Homework</w:t>
      </w:r>
    </w:p>
    <w:p w14:paraId="4DA7311D" w14:textId="64573F79" w:rsidR="00842ADC" w:rsidRPr="002F3A6F" w:rsidRDefault="00842ADC" w:rsidP="004733FB">
      <w:r>
        <w:t xml:space="preserve">Select an excerpt from </w:t>
      </w:r>
      <w:r>
        <w:rPr>
          <w:i/>
        </w:rPr>
        <w:t>Macbeth</w:t>
      </w:r>
      <w:r>
        <w:t xml:space="preserve"> for</w:t>
      </w:r>
      <w:r w:rsidR="00F76AF3">
        <w:t xml:space="preserve"> an interpretive dramatic</w:t>
      </w:r>
      <w:r>
        <w:t xml:space="preserve"> reading. Review the </w:t>
      </w:r>
      <w:r w:rsidR="00391A35">
        <w:t xml:space="preserve">Interpretive Dramatic </w:t>
      </w:r>
      <w:r w:rsidR="00B91D10">
        <w:t xml:space="preserve">Reading Performance Checklist and </w:t>
      </w:r>
      <w:r w:rsidR="00391A35">
        <w:t xml:space="preserve">Interpretive Dramatic </w:t>
      </w:r>
      <w:r w:rsidR="00B91D10">
        <w:t>Reading Self-Assessment Checklist</w:t>
      </w:r>
      <w:r>
        <w:t>.</w:t>
      </w:r>
    </w:p>
    <w:p w14:paraId="221404CF" w14:textId="77777777" w:rsidR="007D7FC2" w:rsidRDefault="007D7FC2">
      <w:pPr>
        <w:spacing w:before="0" w:after="160" w:line="259" w:lineRule="auto"/>
        <w:sectPr w:rsidR="007D7FC2">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75093E21" w14:textId="77777777" w:rsidR="000A63BA" w:rsidRDefault="000A63BA" w:rsidP="000A63BA">
      <w:pPr>
        <w:pStyle w:val="ToolHeader"/>
      </w:pPr>
      <w:r>
        <w:lastRenderedPageBreak/>
        <w:t xml:space="preserve">Model Act Synopsis and Analysis </w:t>
      </w:r>
      <w:r w:rsidRPr="00790BCC">
        <w:t xml:space="preserve">Tool </w:t>
      </w:r>
    </w:p>
    <w:p w14:paraId="7EA17C62" w14:textId="77777777" w:rsidR="009928F3" w:rsidRDefault="006B54C6">
      <w:pPr>
        <w:pStyle w:val="IN"/>
      </w:pPr>
      <w:r>
        <w:t>This is not an exhaustive list of all the traits, ideas, or evidence. Students are not expected to list all of the examples provided and may come up with additional items to include on this tool, as long as they rely on appropriate text evidence.</w:t>
      </w:r>
    </w:p>
    <w:tbl>
      <w:tblPr>
        <w:tblStyle w:val="TableGrid"/>
        <w:tblW w:w="0" w:type="auto"/>
        <w:tblInd w:w="108" w:type="dxa"/>
        <w:tblLook w:val="04A0" w:firstRow="1" w:lastRow="0" w:firstColumn="1" w:lastColumn="0" w:noHBand="0" w:noVBand="1"/>
      </w:tblPr>
      <w:tblGrid>
        <w:gridCol w:w="815"/>
        <w:gridCol w:w="4682"/>
        <w:gridCol w:w="719"/>
        <w:gridCol w:w="3931"/>
        <w:gridCol w:w="666"/>
        <w:gridCol w:w="2029"/>
      </w:tblGrid>
      <w:tr w:rsidR="005F5855" w:rsidRPr="000B3273" w14:paraId="1FF56913" w14:textId="77777777" w:rsidTr="004733FB">
        <w:trPr>
          <w:trHeight w:val="557"/>
        </w:trPr>
        <w:tc>
          <w:tcPr>
            <w:tcW w:w="816" w:type="dxa"/>
            <w:shd w:val="clear" w:color="auto" w:fill="D9D9D9"/>
            <w:vAlign w:val="center"/>
          </w:tcPr>
          <w:p w14:paraId="142DBA4F" w14:textId="77777777" w:rsidR="005F5855" w:rsidRPr="000B3273" w:rsidRDefault="005F5855" w:rsidP="00820B81">
            <w:pPr>
              <w:pStyle w:val="TableText"/>
              <w:rPr>
                <w:b/>
              </w:rPr>
            </w:pPr>
            <w:r w:rsidRPr="000B3273">
              <w:rPr>
                <w:b/>
              </w:rPr>
              <w:t>Name:</w:t>
            </w:r>
          </w:p>
        </w:tc>
        <w:tc>
          <w:tcPr>
            <w:tcW w:w="4782" w:type="dxa"/>
            <w:vAlign w:val="center"/>
          </w:tcPr>
          <w:p w14:paraId="3951222C" w14:textId="77777777" w:rsidR="005F5855" w:rsidRPr="000B3273" w:rsidRDefault="005F5855" w:rsidP="00820B81">
            <w:pPr>
              <w:pStyle w:val="TableText"/>
              <w:rPr>
                <w:b/>
              </w:rPr>
            </w:pPr>
          </w:p>
        </w:tc>
        <w:tc>
          <w:tcPr>
            <w:tcW w:w="720" w:type="dxa"/>
            <w:shd w:val="clear" w:color="auto" w:fill="D9D9D9"/>
            <w:vAlign w:val="center"/>
          </w:tcPr>
          <w:p w14:paraId="7898B1AC" w14:textId="77777777" w:rsidR="005F5855" w:rsidRPr="000B3273" w:rsidRDefault="005F5855" w:rsidP="00820B81">
            <w:pPr>
              <w:pStyle w:val="TableText"/>
              <w:rPr>
                <w:b/>
              </w:rPr>
            </w:pPr>
            <w:r w:rsidRPr="000B3273">
              <w:rPr>
                <w:b/>
              </w:rPr>
              <w:t>Class:</w:t>
            </w:r>
          </w:p>
        </w:tc>
        <w:tc>
          <w:tcPr>
            <w:tcW w:w="4014" w:type="dxa"/>
            <w:vAlign w:val="center"/>
          </w:tcPr>
          <w:p w14:paraId="14E4FC76" w14:textId="77777777" w:rsidR="005F5855" w:rsidRPr="000B3273" w:rsidRDefault="005F5855" w:rsidP="00820B81">
            <w:pPr>
              <w:pStyle w:val="TableText"/>
              <w:rPr>
                <w:b/>
              </w:rPr>
            </w:pPr>
          </w:p>
        </w:tc>
        <w:tc>
          <w:tcPr>
            <w:tcW w:w="666" w:type="dxa"/>
            <w:shd w:val="clear" w:color="auto" w:fill="D9D9D9"/>
            <w:vAlign w:val="center"/>
          </w:tcPr>
          <w:p w14:paraId="2FB600C7" w14:textId="77777777" w:rsidR="005F5855" w:rsidRPr="000B3273" w:rsidRDefault="005F5855" w:rsidP="00820B81">
            <w:pPr>
              <w:pStyle w:val="TableText"/>
              <w:rPr>
                <w:b/>
              </w:rPr>
            </w:pPr>
            <w:r w:rsidRPr="000B3273">
              <w:rPr>
                <w:b/>
              </w:rPr>
              <w:t>Date:</w:t>
            </w:r>
          </w:p>
        </w:tc>
        <w:tc>
          <w:tcPr>
            <w:tcW w:w="2070" w:type="dxa"/>
            <w:vAlign w:val="center"/>
          </w:tcPr>
          <w:p w14:paraId="744897D3" w14:textId="77777777" w:rsidR="005F5855" w:rsidRPr="000B3273" w:rsidRDefault="005F5855" w:rsidP="00820B81">
            <w:pPr>
              <w:pStyle w:val="TableText"/>
              <w:rPr>
                <w:b/>
              </w:rPr>
            </w:pPr>
          </w:p>
        </w:tc>
      </w:tr>
    </w:tbl>
    <w:p w14:paraId="24CCB547" w14:textId="77777777" w:rsidR="000A63BA" w:rsidRPr="00790BCC" w:rsidRDefault="000A63BA" w:rsidP="004733FB">
      <w:pPr>
        <w:spacing w:before="0" w:after="0"/>
        <w:rPr>
          <w:sz w:val="10"/>
        </w:rPr>
      </w:pPr>
    </w:p>
    <w:tbl>
      <w:tblPr>
        <w:tblStyle w:val="TableGrid"/>
        <w:tblW w:w="0" w:type="auto"/>
        <w:tblInd w:w="108" w:type="dxa"/>
        <w:tblLook w:val="04A0" w:firstRow="1" w:lastRow="0" w:firstColumn="1" w:lastColumn="0" w:noHBand="0" w:noVBand="1"/>
      </w:tblPr>
      <w:tblGrid>
        <w:gridCol w:w="1109"/>
        <w:gridCol w:w="1507"/>
        <w:gridCol w:w="2595"/>
        <w:gridCol w:w="1403"/>
        <w:gridCol w:w="6228"/>
      </w:tblGrid>
      <w:tr w:rsidR="000A63BA" w:rsidRPr="000B3273" w14:paraId="7C2CF158" w14:textId="77777777" w:rsidTr="004733FB">
        <w:trPr>
          <w:trHeight w:val="403"/>
        </w:trPr>
        <w:tc>
          <w:tcPr>
            <w:tcW w:w="13068" w:type="dxa"/>
            <w:gridSpan w:val="5"/>
            <w:shd w:val="clear" w:color="auto" w:fill="D9D9D9"/>
          </w:tcPr>
          <w:p w14:paraId="5C53212F" w14:textId="77777777" w:rsidR="000A63BA" w:rsidRDefault="004733FB" w:rsidP="004733FB">
            <w:pPr>
              <w:pStyle w:val="ToolTableText"/>
              <w:spacing w:after="40"/>
              <w:rPr>
                <w:b/>
              </w:rPr>
            </w:pPr>
            <w:r>
              <w:rPr>
                <w:b/>
              </w:rPr>
              <w:t xml:space="preserve">Act: </w:t>
            </w:r>
            <w:r>
              <w:rPr>
                <w:b/>
                <w:u w:val="single"/>
              </w:rPr>
              <w:t xml:space="preserve">  </w:t>
            </w:r>
            <w:r w:rsidR="000A63BA" w:rsidRPr="004733FB">
              <w:rPr>
                <w:b/>
                <w:u w:val="single"/>
              </w:rPr>
              <w:t>4</w:t>
            </w:r>
            <w:r>
              <w:rPr>
                <w:b/>
                <w:u w:val="single"/>
              </w:rPr>
              <w:t xml:space="preserve">  </w:t>
            </w:r>
            <w:r w:rsidR="000A63BA">
              <w:rPr>
                <w:b/>
              </w:rPr>
              <w:t xml:space="preserve">Summary: </w:t>
            </w:r>
            <w:r w:rsidR="000A63BA">
              <w:rPr>
                <w:rStyle w:val="TableTextChar"/>
              </w:rPr>
              <w:t>In Scene 1</w:t>
            </w:r>
            <w:r w:rsidR="000A63BA" w:rsidRPr="00A072BC">
              <w:rPr>
                <w:rStyle w:val="TableTextChar"/>
              </w:rPr>
              <w:t>,</w:t>
            </w:r>
            <w:r w:rsidR="000A63BA">
              <w:rPr>
                <w:rStyle w:val="TableTextChar"/>
              </w:rPr>
              <w:t xml:space="preserve"> Macbeth consults the Witches to see if he will lose his kingdom. The Witches show him apparitions that outline his fate. Macbeth also learns that Macduff has fled to England. In scene 2,</w:t>
            </w:r>
            <w:r w:rsidR="000A63BA" w:rsidRPr="00A072BC">
              <w:rPr>
                <w:rStyle w:val="TableTextChar"/>
              </w:rPr>
              <w:t xml:space="preserve"> Lady Macduff</w:t>
            </w:r>
            <w:r w:rsidR="000A63BA">
              <w:rPr>
                <w:rStyle w:val="TableTextChar"/>
              </w:rPr>
              <w:t xml:space="preserve"> and her son are slain by Murderers hired by Macbeth. In scene 3, </w:t>
            </w:r>
            <w:r w:rsidR="00311457">
              <w:rPr>
                <w:rStyle w:val="TableTextChar"/>
              </w:rPr>
              <w:t xml:space="preserve">Ross delivers news of Macduff’s family’s demise. </w:t>
            </w:r>
            <w:r w:rsidR="000A63BA">
              <w:rPr>
                <w:rStyle w:val="TableTextChar"/>
              </w:rPr>
              <w:t>Macduff convinces Malcolm to join him in a war against Macbeth.</w:t>
            </w:r>
          </w:p>
        </w:tc>
      </w:tr>
      <w:tr w:rsidR="000A63BA" w:rsidRPr="000B3273" w14:paraId="26D2FEF1" w14:textId="77777777" w:rsidTr="004733FB">
        <w:trPr>
          <w:trHeight w:val="403"/>
        </w:trPr>
        <w:tc>
          <w:tcPr>
            <w:tcW w:w="5260" w:type="dxa"/>
            <w:gridSpan w:val="3"/>
            <w:shd w:val="clear" w:color="auto" w:fill="D9D9D9"/>
          </w:tcPr>
          <w:p w14:paraId="6333C509" w14:textId="77777777" w:rsidR="000A63BA" w:rsidRDefault="000A63BA" w:rsidP="004733FB">
            <w:pPr>
              <w:pStyle w:val="ToolTableText"/>
              <w:spacing w:after="40"/>
              <w:rPr>
                <w:b/>
              </w:rPr>
            </w:pPr>
            <w:r>
              <w:rPr>
                <w:b/>
              </w:rPr>
              <w:t>Character Development</w:t>
            </w:r>
          </w:p>
        </w:tc>
        <w:tc>
          <w:tcPr>
            <w:tcW w:w="7808" w:type="dxa"/>
            <w:gridSpan w:val="2"/>
            <w:shd w:val="clear" w:color="auto" w:fill="D9D9D9"/>
          </w:tcPr>
          <w:p w14:paraId="541AE513" w14:textId="77777777" w:rsidR="000A63BA" w:rsidRDefault="000A63BA" w:rsidP="004733FB">
            <w:pPr>
              <w:pStyle w:val="ToolTableText"/>
              <w:spacing w:after="40"/>
              <w:rPr>
                <w:b/>
              </w:rPr>
            </w:pPr>
            <w:r>
              <w:rPr>
                <w:b/>
              </w:rPr>
              <w:t>Central Ideas</w:t>
            </w:r>
          </w:p>
        </w:tc>
      </w:tr>
      <w:tr w:rsidR="000A63BA" w:rsidRPr="000B3273" w14:paraId="130A962B" w14:textId="77777777" w:rsidTr="004733FB">
        <w:trPr>
          <w:trHeight w:val="402"/>
        </w:trPr>
        <w:tc>
          <w:tcPr>
            <w:tcW w:w="1112" w:type="dxa"/>
            <w:shd w:val="clear" w:color="auto" w:fill="D9D9D9"/>
          </w:tcPr>
          <w:p w14:paraId="078B32C1" w14:textId="77777777" w:rsidR="000A63BA" w:rsidRDefault="000A63BA" w:rsidP="004733FB">
            <w:pPr>
              <w:pStyle w:val="ToolTableText"/>
              <w:spacing w:after="40"/>
              <w:rPr>
                <w:b/>
              </w:rPr>
            </w:pPr>
            <w:r>
              <w:rPr>
                <w:b/>
              </w:rPr>
              <w:t>Character</w:t>
            </w:r>
          </w:p>
        </w:tc>
        <w:tc>
          <w:tcPr>
            <w:tcW w:w="1522" w:type="dxa"/>
            <w:shd w:val="clear" w:color="auto" w:fill="D9D9D9"/>
          </w:tcPr>
          <w:p w14:paraId="0226C95E" w14:textId="77777777" w:rsidR="000A63BA" w:rsidRDefault="000A63BA" w:rsidP="004733FB">
            <w:pPr>
              <w:pStyle w:val="ToolTableText"/>
              <w:spacing w:after="40"/>
              <w:rPr>
                <w:b/>
              </w:rPr>
            </w:pPr>
            <w:r>
              <w:rPr>
                <w:b/>
              </w:rPr>
              <w:t>Trait</w:t>
            </w:r>
          </w:p>
        </w:tc>
        <w:tc>
          <w:tcPr>
            <w:tcW w:w="2626" w:type="dxa"/>
            <w:shd w:val="clear" w:color="auto" w:fill="D9D9D9"/>
          </w:tcPr>
          <w:p w14:paraId="2507D7EB" w14:textId="77777777" w:rsidR="000A63BA" w:rsidRDefault="000A63BA" w:rsidP="004733FB">
            <w:pPr>
              <w:pStyle w:val="ToolTableText"/>
              <w:spacing w:after="40"/>
              <w:rPr>
                <w:b/>
              </w:rPr>
            </w:pPr>
            <w:r>
              <w:rPr>
                <w:b/>
              </w:rPr>
              <w:t>Evidence</w:t>
            </w:r>
          </w:p>
        </w:tc>
        <w:tc>
          <w:tcPr>
            <w:tcW w:w="1411" w:type="dxa"/>
            <w:shd w:val="clear" w:color="auto" w:fill="D9D9D9"/>
          </w:tcPr>
          <w:p w14:paraId="38F311C3" w14:textId="77777777" w:rsidR="000A63BA" w:rsidRDefault="000A63BA" w:rsidP="004733FB">
            <w:pPr>
              <w:pStyle w:val="ToolTableText"/>
              <w:spacing w:after="40"/>
              <w:rPr>
                <w:b/>
              </w:rPr>
            </w:pPr>
            <w:r>
              <w:rPr>
                <w:b/>
              </w:rPr>
              <w:t>Idea</w:t>
            </w:r>
          </w:p>
        </w:tc>
        <w:tc>
          <w:tcPr>
            <w:tcW w:w="6397" w:type="dxa"/>
            <w:shd w:val="clear" w:color="auto" w:fill="D9D9D9"/>
          </w:tcPr>
          <w:p w14:paraId="5FFD49F1" w14:textId="77777777" w:rsidR="000A63BA" w:rsidRDefault="000A63BA" w:rsidP="004733FB">
            <w:pPr>
              <w:pStyle w:val="ToolTableText"/>
              <w:spacing w:after="40"/>
              <w:rPr>
                <w:b/>
              </w:rPr>
            </w:pPr>
            <w:r>
              <w:rPr>
                <w:b/>
              </w:rPr>
              <w:t>Evidence</w:t>
            </w:r>
          </w:p>
        </w:tc>
      </w:tr>
      <w:tr w:rsidR="004733FB" w:rsidRPr="00790BCC" w14:paraId="583309A3" w14:textId="77777777" w:rsidTr="004733FB">
        <w:trPr>
          <w:trHeight w:val="611"/>
        </w:trPr>
        <w:tc>
          <w:tcPr>
            <w:tcW w:w="1112" w:type="dxa"/>
            <w:vMerge w:val="restart"/>
          </w:tcPr>
          <w:p w14:paraId="182FAD84" w14:textId="77777777" w:rsidR="004733FB" w:rsidRPr="00790BCC" w:rsidRDefault="004733FB" w:rsidP="005F5855">
            <w:pPr>
              <w:pStyle w:val="ToolTableText"/>
              <w:spacing w:after="80"/>
            </w:pPr>
            <w:r>
              <w:t>Macbeth</w:t>
            </w:r>
          </w:p>
        </w:tc>
        <w:tc>
          <w:tcPr>
            <w:tcW w:w="1522" w:type="dxa"/>
          </w:tcPr>
          <w:p w14:paraId="782055C6" w14:textId="77777777" w:rsidR="004733FB" w:rsidRPr="00790BCC" w:rsidRDefault="004733FB" w:rsidP="005F5855">
            <w:pPr>
              <w:pStyle w:val="ToolTableText"/>
              <w:spacing w:after="80"/>
            </w:pPr>
            <w:r>
              <w:t>Desperate</w:t>
            </w:r>
          </w:p>
        </w:tc>
        <w:tc>
          <w:tcPr>
            <w:tcW w:w="2626" w:type="dxa"/>
          </w:tcPr>
          <w:p w14:paraId="0B878F4F" w14:textId="77777777" w:rsidR="004733FB" w:rsidRPr="00790BCC" w:rsidRDefault="004733FB" w:rsidP="004733FB">
            <w:pPr>
              <w:pStyle w:val="ToolTableText"/>
              <w:spacing w:after="0"/>
            </w:pPr>
            <w:r>
              <w:t>Macbeth is so desperate to learn of his fate that he consults the Witches. When they do not tell him everything he wants to hear he yells, “Deny me this, / And an eternal curse fall on you! Let me know!” (Act 4.1, lines 119–120).</w:t>
            </w:r>
          </w:p>
        </w:tc>
        <w:tc>
          <w:tcPr>
            <w:tcW w:w="1411" w:type="dxa"/>
          </w:tcPr>
          <w:p w14:paraId="6A917F45" w14:textId="77777777" w:rsidR="004733FB" w:rsidRPr="00790BCC" w:rsidRDefault="004733FB" w:rsidP="005F5855">
            <w:pPr>
              <w:pStyle w:val="ToolTableText"/>
              <w:spacing w:after="80"/>
            </w:pPr>
            <w:r>
              <w:t>Breakdown of natural order</w:t>
            </w:r>
          </w:p>
        </w:tc>
        <w:tc>
          <w:tcPr>
            <w:tcW w:w="6397" w:type="dxa"/>
          </w:tcPr>
          <w:p w14:paraId="6ACC7565" w14:textId="77777777" w:rsidR="004733FB" w:rsidRDefault="004733FB" w:rsidP="005F5855">
            <w:pPr>
              <w:pStyle w:val="ToolTableText"/>
              <w:spacing w:after="80"/>
            </w:pPr>
            <w:r>
              <w:t xml:space="preserve">The apparitions of an “Armed Head” (Act 4.1, line 76 </w:t>
            </w:r>
            <w:proofErr w:type="spellStart"/>
            <w:r>
              <w:t>s.d.</w:t>
            </w:r>
            <w:proofErr w:type="spellEnd"/>
            <w:r>
              <w:t xml:space="preserve">), a “Bloody Child” (Act 4.1, line 87 </w:t>
            </w:r>
            <w:proofErr w:type="spellStart"/>
            <w:r>
              <w:t>s.d.</w:t>
            </w:r>
            <w:proofErr w:type="spellEnd"/>
            <w:r>
              <w:t xml:space="preserve">), and eight kings (Act 4.1, line 126 </w:t>
            </w:r>
            <w:proofErr w:type="spellStart"/>
            <w:r>
              <w:t>s.d.</w:t>
            </w:r>
            <w:proofErr w:type="spellEnd"/>
            <w:r>
              <w:t xml:space="preserve">) are all unnatural things to see. </w:t>
            </w:r>
          </w:p>
          <w:p w14:paraId="40C0A325" w14:textId="77777777" w:rsidR="004733FB" w:rsidRDefault="004733FB" w:rsidP="005F5855">
            <w:pPr>
              <w:pStyle w:val="ToolTableText"/>
              <w:spacing w:after="80"/>
            </w:pPr>
          </w:p>
          <w:p w14:paraId="393F9B3B" w14:textId="77777777" w:rsidR="004733FB" w:rsidRPr="00790BCC" w:rsidRDefault="004733FB" w:rsidP="005F5855">
            <w:pPr>
              <w:pStyle w:val="ToolTableText"/>
              <w:spacing w:after="80"/>
            </w:pPr>
            <w:r>
              <w:t>Lady Macduff describing Macduff as “want[</w:t>
            </w:r>
            <w:proofErr w:type="spellStart"/>
            <w:r>
              <w:t>ing</w:t>
            </w:r>
            <w:proofErr w:type="spellEnd"/>
            <w:r>
              <w:t>] the natural touch” (Act 4.2 line 11) uses the image of the wren, “[t]he most diminutive of birds” (Act 4.2 line 12) to depict Macduff’s failure to defend his family shows a breakdown in the natural order because Macduff is missing the natural instincts to defend his family.</w:t>
            </w:r>
          </w:p>
        </w:tc>
      </w:tr>
      <w:tr w:rsidR="004733FB" w:rsidRPr="00790BCC" w14:paraId="3E86C264" w14:textId="77777777" w:rsidTr="004733FB">
        <w:trPr>
          <w:trHeight w:val="611"/>
        </w:trPr>
        <w:tc>
          <w:tcPr>
            <w:tcW w:w="1112" w:type="dxa"/>
            <w:vMerge/>
          </w:tcPr>
          <w:p w14:paraId="39059EF0" w14:textId="77777777" w:rsidR="004733FB" w:rsidRDefault="004733FB" w:rsidP="005F5855">
            <w:pPr>
              <w:pStyle w:val="ToolTableText"/>
              <w:spacing w:after="80"/>
            </w:pPr>
          </w:p>
        </w:tc>
        <w:tc>
          <w:tcPr>
            <w:tcW w:w="1522" w:type="dxa"/>
          </w:tcPr>
          <w:p w14:paraId="27AF262B" w14:textId="77777777" w:rsidR="004733FB" w:rsidRDefault="004733FB" w:rsidP="005F5855">
            <w:pPr>
              <w:pStyle w:val="ToolTableText"/>
              <w:spacing w:after="80"/>
            </w:pPr>
            <w:r>
              <w:t>Evil</w:t>
            </w:r>
          </w:p>
        </w:tc>
        <w:tc>
          <w:tcPr>
            <w:tcW w:w="2626" w:type="dxa"/>
          </w:tcPr>
          <w:p w14:paraId="05581651" w14:textId="77777777" w:rsidR="004733FB" w:rsidRDefault="004733FB" w:rsidP="005F5855">
            <w:pPr>
              <w:pStyle w:val="ToolTableText"/>
              <w:spacing w:after="80"/>
            </w:pPr>
            <w:r>
              <w:t>Macduff and Malcolm’s interaction further develops Macbeth’s character as evil by describing him negatively as a “devilish” (Act 4.3, line 136) tyrant “whose name blisters [their] tongues” (Act 4.3, line 14).</w:t>
            </w:r>
          </w:p>
        </w:tc>
        <w:tc>
          <w:tcPr>
            <w:tcW w:w="1411" w:type="dxa"/>
          </w:tcPr>
          <w:p w14:paraId="1F5CDAF9" w14:textId="77777777" w:rsidR="004733FB" w:rsidRDefault="004733FB" w:rsidP="005F5855">
            <w:pPr>
              <w:pStyle w:val="ToolTableText"/>
              <w:spacing w:after="80"/>
            </w:pPr>
            <w:r>
              <w:t>Mortality vs. immortality</w:t>
            </w:r>
          </w:p>
        </w:tc>
        <w:tc>
          <w:tcPr>
            <w:tcW w:w="6397" w:type="dxa"/>
          </w:tcPr>
          <w:p w14:paraId="4849491D" w14:textId="77777777" w:rsidR="004733FB" w:rsidRDefault="004733FB" w:rsidP="005F5855">
            <w:pPr>
              <w:pStyle w:val="ToolTableText"/>
              <w:spacing w:after="80"/>
            </w:pPr>
            <w:r>
              <w:t>Macbeth is obsessed with his own mortality, demanding that the Witches tell him if “Banquo’s issue ever / [shall] Reign in this kingdom” (Act 4.1, lines 116–117).</w:t>
            </w:r>
          </w:p>
        </w:tc>
      </w:tr>
      <w:tr w:rsidR="00D02612" w:rsidRPr="00790BCC" w14:paraId="2DC34754" w14:textId="77777777" w:rsidTr="004733FB">
        <w:trPr>
          <w:trHeight w:val="710"/>
        </w:trPr>
        <w:tc>
          <w:tcPr>
            <w:tcW w:w="1112" w:type="dxa"/>
            <w:vMerge w:val="restart"/>
          </w:tcPr>
          <w:p w14:paraId="52DC3C89" w14:textId="77777777" w:rsidR="00D02612" w:rsidRDefault="00D02612" w:rsidP="005F5855">
            <w:pPr>
              <w:pStyle w:val="ToolTableText"/>
              <w:spacing w:after="40"/>
            </w:pPr>
            <w:r>
              <w:lastRenderedPageBreak/>
              <w:t>Malcolm</w:t>
            </w:r>
          </w:p>
        </w:tc>
        <w:tc>
          <w:tcPr>
            <w:tcW w:w="1522" w:type="dxa"/>
          </w:tcPr>
          <w:p w14:paraId="660B352D" w14:textId="77777777" w:rsidR="00D02612" w:rsidRDefault="00D02612" w:rsidP="005F5855">
            <w:pPr>
              <w:pStyle w:val="ToolTableText"/>
              <w:spacing w:after="40"/>
            </w:pPr>
            <w:r>
              <w:t xml:space="preserve">Suspicious </w:t>
            </w:r>
          </w:p>
        </w:tc>
        <w:tc>
          <w:tcPr>
            <w:tcW w:w="2626" w:type="dxa"/>
          </w:tcPr>
          <w:p w14:paraId="5703DE48" w14:textId="77777777" w:rsidR="00D02612" w:rsidRDefault="00D02612" w:rsidP="00B4302D">
            <w:pPr>
              <w:pStyle w:val="ToolTableText"/>
              <w:spacing w:after="40"/>
            </w:pPr>
            <w:r>
              <w:t>Malcolm is suspicious that Macduff’s intentions are to lure him into a trap because Macbeth “was once thought honest. You [Macduff] have loved him well” (Act 4.3, line 15).</w:t>
            </w:r>
          </w:p>
        </w:tc>
        <w:tc>
          <w:tcPr>
            <w:tcW w:w="1411" w:type="dxa"/>
          </w:tcPr>
          <w:p w14:paraId="4A734F51" w14:textId="77777777" w:rsidR="00D02612" w:rsidRPr="00790BCC" w:rsidRDefault="00D02612" w:rsidP="005F5855">
            <w:pPr>
              <w:pStyle w:val="ToolTableText"/>
              <w:spacing w:after="40"/>
            </w:pPr>
          </w:p>
        </w:tc>
        <w:tc>
          <w:tcPr>
            <w:tcW w:w="6397" w:type="dxa"/>
          </w:tcPr>
          <w:p w14:paraId="44B6A420" w14:textId="77777777" w:rsidR="00D02612" w:rsidRPr="00790BCC" w:rsidRDefault="00D02612" w:rsidP="005F5855">
            <w:pPr>
              <w:pStyle w:val="ToolTableText"/>
              <w:spacing w:after="40"/>
            </w:pPr>
          </w:p>
        </w:tc>
      </w:tr>
      <w:tr w:rsidR="00D02612" w:rsidRPr="00790BCC" w14:paraId="63663170" w14:textId="77777777" w:rsidTr="004733FB">
        <w:trPr>
          <w:trHeight w:val="710"/>
        </w:trPr>
        <w:tc>
          <w:tcPr>
            <w:tcW w:w="1112" w:type="dxa"/>
            <w:vMerge/>
          </w:tcPr>
          <w:p w14:paraId="379423FA" w14:textId="77777777" w:rsidR="00D02612" w:rsidRDefault="00D02612" w:rsidP="005F5855">
            <w:pPr>
              <w:pStyle w:val="ToolTableText"/>
              <w:spacing w:after="40"/>
            </w:pPr>
          </w:p>
        </w:tc>
        <w:tc>
          <w:tcPr>
            <w:tcW w:w="1522" w:type="dxa"/>
          </w:tcPr>
          <w:p w14:paraId="49350C14" w14:textId="77777777" w:rsidR="00D02612" w:rsidRDefault="00D02612" w:rsidP="005F5855">
            <w:pPr>
              <w:pStyle w:val="ToolTableText"/>
              <w:spacing w:after="40"/>
            </w:pPr>
            <w:r>
              <w:t>Good</w:t>
            </w:r>
          </w:p>
        </w:tc>
        <w:tc>
          <w:tcPr>
            <w:tcW w:w="2626" w:type="dxa"/>
          </w:tcPr>
          <w:p w14:paraId="131D4870" w14:textId="77777777" w:rsidR="00D02612" w:rsidRDefault="00D02612" w:rsidP="005F5855">
            <w:pPr>
              <w:pStyle w:val="ToolTableText"/>
              <w:spacing w:after="40"/>
            </w:pPr>
            <w:r>
              <w:t>At the end of the scene Malcolm confesses that he has lied about his faults and that he is not lustful, “never was forsworn” (Act 4.3, line 145), and is generally honest and loyal.</w:t>
            </w:r>
          </w:p>
        </w:tc>
        <w:tc>
          <w:tcPr>
            <w:tcW w:w="1411" w:type="dxa"/>
          </w:tcPr>
          <w:p w14:paraId="6570BD1D" w14:textId="77777777" w:rsidR="00D02612" w:rsidRPr="00790BCC" w:rsidRDefault="00D02612" w:rsidP="005F5855">
            <w:pPr>
              <w:pStyle w:val="ToolTableText"/>
              <w:spacing w:after="40"/>
            </w:pPr>
          </w:p>
        </w:tc>
        <w:tc>
          <w:tcPr>
            <w:tcW w:w="6397" w:type="dxa"/>
          </w:tcPr>
          <w:p w14:paraId="3113E5DE" w14:textId="77777777" w:rsidR="00D02612" w:rsidRPr="00790BCC" w:rsidRDefault="00D02612" w:rsidP="005F5855">
            <w:pPr>
              <w:pStyle w:val="ToolTableText"/>
              <w:spacing w:after="40"/>
            </w:pPr>
          </w:p>
        </w:tc>
      </w:tr>
      <w:tr w:rsidR="00D02612" w:rsidRPr="00790BCC" w14:paraId="0C1CC78F" w14:textId="77777777" w:rsidTr="004733FB">
        <w:trPr>
          <w:trHeight w:val="710"/>
        </w:trPr>
        <w:tc>
          <w:tcPr>
            <w:tcW w:w="1112" w:type="dxa"/>
            <w:vMerge w:val="restart"/>
          </w:tcPr>
          <w:p w14:paraId="628393F1" w14:textId="77777777" w:rsidR="00D02612" w:rsidRDefault="00D02612" w:rsidP="005F5855">
            <w:pPr>
              <w:pStyle w:val="ToolTableText"/>
              <w:spacing w:after="40"/>
            </w:pPr>
            <w:r>
              <w:t>Macduff</w:t>
            </w:r>
          </w:p>
        </w:tc>
        <w:tc>
          <w:tcPr>
            <w:tcW w:w="1522" w:type="dxa"/>
          </w:tcPr>
          <w:p w14:paraId="6CCF60DC" w14:textId="77777777" w:rsidR="00D02612" w:rsidRDefault="00D02612" w:rsidP="005F5855">
            <w:pPr>
              <w:pStyle w:val="ToolTableText"/>
              <w:spacing w:after="40"/>
            </w:pPr>
            <w:r>
              <w:t>Desperate</w:t>
            </w:r>
          </w:p>
        </w:tc>
        <w:tc>
          <w:tcPr>
            <w:tcW w:w="2626" w:type="dxa"/>
          </w:tcPr>
          <w:p w14:paraId="6AC3CFBB" w14:textId="77777777" w:rsidR="00D02612" w:rsidRDefault="00D02612" w:rsidP="005F5855">
            <w:pPr>
              <w:pStyle w:val="ToolTableText"/>
              <w:spacing w:after="40"/>
            </w:pPr>
            <w:r>
              <w:t>Macduff is so desperate to replace Macbeth as King of Scotland he is willing to ignore Malcolm’s “voluptuousness” (Act 4.3, line 74) and his “</w:t>
            </w:r>
            <w:proofErr w:type="spellStart"/>
            <w:r>
              <w:t>stanchless</w:t>
            </w:r>
            <w:proofErr w:type="spellEnd"/>
            <w:r>
              <w:t xml:space="preserve"> avarice” (Act 4.3, line 93).</w:t>
            </w:r>
          </w:p>
        </w:tc>
        <w:tc>
          <w:tcPr>
            <w:tcW w:w="1411" w:type="dxa"/>
          </w:tcPr>
          <w:p w14:paraId="750523DA" w14:textId="77777777" w:rsidR="00D02612" w:rsidRPr="00790BCC" w:rsidRDefault="00D02612" w:rsidP="005F5855">
            <w:pPr>
              <w:pStyle w:val="ToolTableText"/>
              <w:spacing w:after="40"/>
            </w:pPr>
          </w:p>
        </w:tc>
        <w:tc>
          <w:tcPr>
            <w:tcW w:w="6397" w:type="dxa"/>
          </w:tcPr>
          <w:p w14:paraId="613D6A1D" w14:textId="77777777" w:rsidR="00D02612" w:rsidRPr="00790BCC" w:rsidRDefault="00D02612" w:rsidP="005F5855">
            <w:pPr>
              <w:pStyle w:val="ToolTableText"/>
              <w:spacing w:after="40"/>
            </w:pPr>
          </w:p>
        </w:tc>
      </w:tr>
      <w:tr w:rsidR="00D02612" w:rsidRPr="00790BCC" w14:paraId="77D1AD1B" w14:textId="77777777" w:rsidTr="004733FB">
        <w:trPr>
          <w:trHeight w:val="710"/>
        </w:trPr>
        <w:tc>
          <w:tcPr>
            <w:tcW w:w="1112" w:type="dxa"/>
            <w:vMerge/>
          </w:tcPr>
          <w:p w14:paraId="47207770" w14:textId="77777777" w:rsidR="00D02612" w:rsidRDefault="00D02612" w:rsidP="005F5855">
            <w:pPr>
              <w:pStyle w:val="ToolTableText"/>
              <w:spacing w:after="40"/>
            </w:pPr>
          </w:p>
        </w:tc>
        <w:tc>
          <w:tcPr>
            <w:tcW w:w="1522" w:type="dxa"/>
          </w:tcPr>
          <w:p w14:paraId="4392F042" w14:textId="77777777" w:rsidR="00D02612" w:rsidRDefault="00D02612" w:rsidP="005F5855">
            <w:pPr>
              <w:pStyle w:val="ToolTableText"/>
              <w:spacing w:after="40"/>
            </w:pPr>
            <w:r>
              <w:t>Sad</w:t>
            </w:r>
          </w:p>
        </w:tc>
        <w:tc>
          <w:tcPr>
            <w:tcW w:w="2626" w:type="dxa"/>
          </w:tcPr>
          <w:p w14:paraId="7717F561" w14:textId="77777777" w:rsidR="00D02612" w:rsidRDefault="00D02612" w:rsidP="005F5855">
            <w:pPr>
              <w:pStyle w:val="ToolTableText"/>
              <w:spacing w:after="40"/>
            </w:pPr>
            <w:r>
              <w:t>Macduff laments over the loss of his family, who were “most precious to [him]” (Act 4.3, line 263).</w:t>
            </w:r>
          </w:p>
        </w:tc>
        <w:tc>
          <w:tcPr>
            <w:tcW w:w="1411" w:type="dxa"/>
          </w:tcPr>
          <w:p w14:paraId="6D2D8F89" w14:textId="77777777" w:rsidR="00D02612" w:rsidRPr="00790BCC" w:rsidRDefault="00D02612" w:rsidP="005F5855">
            <w:pPr>
              <w:pStyle w:val="ToolTableText"/>
              <w:spacing w:after="40"/>
            </w:pPr>
          </w:p>
        </w:tc>
        <w:tc>
          <w:tcPr>
            <w:tcW w:w="6397" w:type="dxa"/>
          </w:tcPr>
          <w:p w14:paraId="07E85A02" w14:textId="77777777" w:rsidR="00D02612" w:rsidRPr="00790BCC" w:rsidRDefault="00D02612" w:rsidP="005F5855">
            <w:pPr>
              <w:pStyle w:val="ToolTableText"/>
              <w:spacing w:after="40"/>
            </w:pPr>
          </w:p>
        </w:tc>
      </w:tr>
      <w:tr w:rsidR="00D02612" w:rsidRPr="00790BCC" w14:paraId="20DD336E" w14:textId="77777777" w:rsidTr="004733FB">
        <w:trPr>
          <w:trHeight w:val="1448"/>
        </w:trPr>
        <w:tc>
          <w:tcPr>
            <w:tcW w:w="1112" w:type="dxa"/>
            <w:vMerge/>
          </w:tcPr>
          <w:p w14:paraId="41EACF5B" w14:textId="77777777" w:rsidR="00D02612" w:rsidRDefault="00D02612" w:rsidP="005F5855">
            <w:pPr>
              <w:pStyle w:val="ToolTableText"/>
              <w:spacing w:after="40"/>
            </w:pPr>
          </w:p>
        </w:tc>
        <w:tc>
          <w:tcPr>
            <w:tcW w:w="1522" w:type="dxa"/>
          </w:tcPr>
          <w:p w14:paraId="6821BB49" w14:textId="77777777" w:rsidR="00D02612" w:rsidRDefault="00D02612" w:rsidP="005F5855">
            <w:pPr>
              <w:pStyle w:val="ToolTableText"/>
              <w:spacing w:after="40"/>
            </w:pPr>
            <w:r>
              <w:t>Vengeful</w:t>
            </w:r>
          </w:p>
        </w:tc>
        <w:tc>
          <w:tcPr>
            <w:tcW w:w="2626" w:type="dxa"/>
          </w:tcPr>
          <w:p w14:paraId="711AC891" w14:textId="77777777" w:rsidR="00D02612" w:rsidRDefault="00D02612" w:rsidP="005F5855">
            <w:pPr>
              <w:pStyle w:val="ToolTableText"/>
              <w:spacing w:after="40"/>
            </w:pPr>
            <w:r>
              <w:t>Once Macduff recovers from the news of his family’s death, he asks the heavens to “[w]</w:t>
            </w:r>
            <w:proofErr w:type="spellStart"/>
            <w:r>
              <w:t>ithin</w:t>
            </w:r>
            <w:proofErr w:type="spellEnd"/>
            <w:r>
              <w:t xml:space="preserve"> his sword’s length set [Macbeth]” (Act 4.3, line 274).</w:t>
            </w:r>
          </w:p>
        </w:tc>
        <w:tc>
          <w:tcPr>
            <w:tcW w:w="1411" w:type="dxa"/>
          </w:tcPr>
          <w:p w14:paraId="2B8D55D8" w14:textId="77777777" w:rsidR="00D02612" w:rsidRPr="00790BCC" w:rsidRDefault="00D02612" w:rsidP="005F5855">
            <w:pPr>
              <w:pStyle w:val="ToolTableText"/>
              <w:spacing w:after="40"/>
            </w:pPr>
          </w:p>
        </w:tc>
        <w:tc>
          <w:tcPr>
            <w:tcW w:w="6397" w:type="dxa"/>
          </w:tcPr>
          <w:p w14:paraId="6822F9FC" w14:textId="77777777" w:rsidR="00D02612" w:rsidRPr="00790BCC" w:rsidRDefault="00D02612" w:rsidP="005F5855">
            <w:pPr>
              <w:pStyle w:val="ToolTableText"/>
              <w:spacing w:after="40"/>
            </w:pPr>
          </w:p>
        </w:tc>
      </w:tr>
    </w:tbl>
    <w:p w14:paraId="610AD89A" w14:textId="77777777" w:rsidR="00D02612" w:rsidRDefault="00D02612" w:rsidP="00421252">
      <w:pPr>
        <w:pStyle w:val="ToolHeader"/>
        <w:sectPr w:rsidR="00D02612" w:rsidSect="00D02612">
          <w:headerReference w:type="default" r:id="rId12"/>
          <w:footerReference w:type="default" r:id="rId13"/>
          <w:pgSz w:w="15840" w:h="12240" w:orient="landscape"/>
          <w:pgMar w:top="1440" w:right="1440" w:bottom="1440" w:left="1440" w:header="432" w:footer="648" w:gutter="0"/>
          <w:cols w:space="720"/>
          <w:docGrid w:linePitch="299"/>
        </w:sectPr>
      </w:pPr>
    </w:p>
    <w:p w14:paraId="78247D62" w14:textId="3DA19EF0" w:rsidR="00421252" w:rsidRPr="00790BCC" w:rsidRDefault="00391A35" w:rsidP="00421252">
      <w:pPr>
        <w:pStyle w:val="ToolHeader"/>
      </w:pPr>
      <w:r>
        <w:lastRenderedPageBreak/>
        <w:t xml:space="preserve">Interpretive Dramatic </w:t>
      </w:r>
      <w:r w:rsidR="00421252">
        <w:t>Reading Performance Checklist</w:t>
      </w:r>
    </w:p>
    <w:tbl>
      <w:tblPr>
        <w:tblStyle w:val="TableGrid"/>
        <w:tblW w:w="0" w:type="auto"/>
        <w:tblInd w:w="-5" w:type="dxa"/>
        <w:tblLook w:val="04A0" w:firstRow="1" w:lastRow="0" w:firstColumn="1" w:lastColumn="0" w:noHBand="0" w:noVBand="1"/>
      </w:tblPr>
      <w:tblGrid>
        <w:gridCol w:w="927"/>
        <w:gridCol w:w="2699"/>
        <w:gridCol w:w="727"/>
        <w:gridCol w:w="2950"/>
        <w:gridCol w:w="718"/>
        <w:gridCol w:w="1334"/>
      </w:tblGrid>
      <w:tr w:rsidR="00421252" w:rsidRPr="000B3273" w14:paraId="18CC0179" w14:textId="77777777" w:rsidTr="00F8189A">
        <w:trPr>
          <w:trHeight w:val="557"/>
        </w:trPr>
        <w:tc>
          <w:tcPr>
            <w:tcW w:w="927" w:type="dxa"/>
            <w:shd w:val="clear" w:color="auto" w:fill="D9D9D9"/>
            <w:vAlign w:val="center"/>
          </w:tcPr>
          <w:p w14:paraId="2AEB18F5" w14:textId="77777777" w:rsidR="00421252" w:rsidRPr="000B3273" w:rsidRDefault="00421252" w:rsidP="00634826">
            <w:pPr>
              <w:pStyle w:val="TableText"/>
              <w:rPr>
                <w:b/>
              </w:rPr>
            </w:pPr>
            <w:r w:rsidRPr="000B3273">
              <w:rPr>
                <w:b/>
              </w:rPr>
              <w:t>Nam</w:t>
            </w:r>
            <w:bookmarkStart w:id="0" w:name="_GoBack"/>
            <w:bookmarkEnd w:id="0"/>
            <w:r w:rsidRPr="000B3273">
              <w:rPr>
                <w:b/>
              </w:rPr>
              <w:t>e:</w:t>
            </w:r>
          </w:p>
        </w:tc>
        <w:tc>
          <w:tcPr>
            <w:tcW w:w="2699" w:type="dxa"/>
            <w:vAlign w:val="center"/>
          </w:tcPr>
          <w:p w14:paraId="18292854" w14:textId="77777777" w:rsidR="00421252" w:rsidRPr="000B3273" w:rsidRDefault="00421252" w:rsidP="00634826">
            <w:pPr>
              <w:pStyle w:val="TableText"/>
              <w:rPr>
                <w:b/>
              </w:rPr>
            </w:pPr>
          </w:p>
        </w:tc>
        <w:tc>
          <w:tcPr>
            <w:tcW w:w="727" w:type="dxa"/>
            <w:shd w:val="clear" w:color="auto" w:fill="D9D9D9"/>
            <w:vAlign w:val="center"/>
          </w:tcPr>
          <w:p w14:paraId="7DFCD044" w14:textId="77777777" w:rsidR="00421252" w:rsidRPr="000B3273" w:rsidRDefault="00421252" w:rsidP="00634826">
            <w:pPr>
              <w:pStyle w:val="TableText"/>
              <w:rPr>
                <w:b/>
              </w:rPr>
            </w:pPr>
            <w:r w:rsidRPr="000B3273">
              <w:rPr>
                <w:b/>
              </w:rPr>
              <w:t>Class:</w:t>
            </w:r>
          </w:p>
        </w:tc>
        <w:tc>
          <w:tcPr>
            <w:tcW w:w="2950" w:type="dxa"/>
            <w:vAlign w:val="center"/>
          </w:tcPr>
          <w:p w14:paraId="66CEB1EB" w14:textId="77777777" w:rsidR="00421252" w:rsidRPr="000B3273" w:rsidRDefault="00421252" w:rsidP="00634826">
            <w:pPr>
              <w:pStyle w:val="TableText"/>
              <w:rPr>
                <w:b/>
              </w:rPr>
            </w:pPr>
          </w:p>
        </w:tc>
        <w:tc>
          <w:tcPr>
            <w:tcW w:w="718" w:type="dxa"/>
            <w:shd w:val="clear" w:color="auto" w:fill="D9D9D9"/>
            <w:vAlign w:val="center"/>
          </w:tcPr>
          <w:p w14:paraId="228C6FE5" w14:textId="77777777" w:rsidR="00421252" w:rsidRPr="000B3273" w:rsidRDefault="00421252" w:rsidP="00634826">
            <w:pPr>
              <w:pStyle w:val="TableText"/>
              <w:rPr>
                <w:b/>
              </w:rPr>
            </w:pPr>
            <w:r w:rsidRPr="000B3273">
              <w:rPr>
                <w:b/>
              </w:rPr>
              <w:t>Date:</w:t>
            </w:r>
          </w:p>
        </w:tc>
        <w:tc>
          <w:tcPr>
            <w:tcW w:w="1334" w:type="dxa"/>
            <w:vAlign w:val="center"/>
          </w:tcPr>
          <w:p w14:paraId="00AD70C6" w14:textId="77777777" w:rsidR="00421252" w:rsidRPr="000B3273" w:rsidRDefault="00421252" w:rsidP="00634826">
            <w:pPr>
              <w:pStyle w:val="TableText"/>
              <w:rPr>
                <w:b/>
              </w:rPr>
            </w:pPr>
          </w:p>
        </w:tc>
      </w:tr>
    </w:tbl>
    <w:p w14:paraId="65613282" w14:textId="77777777" w:rsidR="00421252" w:rsidRPr="00790BCC" w:rsidRDefault="00421252" w:rsidP="00421252">
      <w:pPr>
        <w:spacing w:after="0"/>
        <w:rPr>
          <w:sz w:val="10"/>
        </w:rPr>
      </w:pPr>
    </w:p>
    <w:tbl>
      <w:tblPr>
        <w:tblStyle w:val="TableGrid"/>
        <w:tblW w:w="0" w:type="auto"/>
        <w:tblInd w:w="-5" w:type="dxa"/>
        <w:tblLook w:val="04A0" w:firstRow="1" w:lastRow="0" w:firstColumn="1" w:lastColumn="0" w:noHBand="0" w:noVBand="1"/>
      </w:tblPr>
      <w:tblGrid>
        <w:gridCol w:w="1643"/>
        <w:gridCol w:w="358"/>
        <w:gridCol w:w="4350"/>
        <w:gridCol w:w="3004"/>
      </w:tblGrid>
      <w:tr w:rsidR="00421252" w:rsidRPr="000B3273" w14:paraId="287D2E20" w14:textId="77777777" w:rsidTr="00F8189A">
        <w:trPr>
          <w:trHeight w:val="323"/>
        </w:trPr>
        <w:tc>
          <w:tcPr>
            <w:tcW w:w="9355" w:type="dxa"/>
            <w:gridSpan w:val="4"/>
            <w:shd w:val="clear" w:color="auto" w:fill="D9D9D9"/>
          </w:tcPr>
          <w:p w14:paraId="5CDB895E" w14:textId="77777777" w:rsidR="00421252" w:rsidRDefault="00421252" w:rsidP="00634826">
            <w:pPr>
              <w:pStyle w:val="ToolTableText"/>
              <w:rPr>
                <w:b/>
              </w:rPr>
            </w:pPr>
            <w:r>
              <w:rPr>
                <w:b/>
              </w:rPr>
              <w:t>Group Members:</w:t>
            </w:r>
          </w:p>
          <w:p w14:paraId="6D31BF1A" w14:textId="77777777" w:rsidR="00421252" w:rsidRPr="00E16A1F" w:rsidRDefault="00421252" w:rsidP="005F5855">
            <w:pPr>
              <w:pStyle w:val="ToolTableText"/>
              <w:rPr>
                <w:b/>
              </w:rPr>
            </w:pPr>
            <w:r>
              <w:rPr>
                <w:b/>
              </w:rPr>
              <w:t xml:space="preserve">Text: </w:t>
            </w:r>
            <w:r>
              <w:rPr>
                <w:b/>
                <w:i/>
              </w:rPr>
              <w:t xml:space="preserve">Macbeth, </w:t>
            </w:r>
            <w:r>
              <w:rPr>
                <w:b/>
              </w:rPr>
              <w:t>Act ___</w:t>
            </w:r>
            <w:r w:rsidR="005F5855">
              <w:rPr>
                <w:b/>
              </w:rPr>
              <w:t>:</w:t>
            </w:r>
            <w:r>
              <w:rPr>
                <w:b/>
              </w:rPr>
              <w:t>___, lines ___</w:t>
            </w:r>
            <w:r w:rsidR="003D3A8E" w:rsidRPr="003D3A8E">
              <w:rPr>
                <w:b/>
              </w:rPr>
              <w:t>–</w:t>
            </w:r>
            <w:r>
              <w:rPr>
                <w:b/>
              </w:rPr>
              <w:t>___</w:t>
            </w:r>
          </w:p>
        </w:tc>
      </w:tr>
      <w:tr w:rsidR="00421252" w:rsidRPr="000B3273" w14:paraId="6779E7CC" w14:textId="77777777" w:rsidTr="00F8189A">
        <w:trPr>
          <w:trHeight w:val="323"/>
        </w:trPr>
        <w:tc>
          <w:tcPr>
            <w:tcW w:w="1643" w:type="dxa"/>
            <w:shd w:val="clear" w:color="auto" w:fill="D9D9D9"/>
          </w:tcPr>
          <w:p w14:paraId="655F47D5" w14:textId="77777777" w:rsidR="00421252" w:rsidRPr="000B3273" w:rsidRDefault="00421252" w:rsidP="00634826">
            <w:pPr>
              <w:pStyle w:val="ToolTableText"/>
              <w:rPr>
                <w:b/>
              </w:rPr>
            </w:pPr>
            <w:r>
              <w:rPr>
                <w:b/>
              </w:rPr>
              <w:t>Criterion</w:t>
            </w:r>
          </w:p>
        </w:tc>
        <w:tc>
          <w:tcPr>
            <w:tcW w:w="4708" w:type="dxa"/>
            <w:gridSpan w:val="2"/>
            <w:shd w:val="clear" w:color="auto" w:fill="D9D9D9"/>
          </w:tcPr>
          <w:p w14:paraId="135397CA" w14:textId="77777777" w:rsidR="00421252" w:rsidRPr="000B3273" w:rsidRDefault="00421252" w:rsidP="00634826">
            <w:pPr>
              <w:pStyle w:val="ToolTableText"/>
              <w:rPr>
                <w:b/>
              </w:rPr>
            </w:pPr>
            <w:r>
              <w:rPr>
                <w:b/>
              </w:rPr>
              <w:t>Score</w:t>
            </w:r>
          </w:p>
        </w:tc>
        <w:tc>
          <w:tcPr>
            <w:tcW w:w="3004" w:type="dxa"/>
            <w:shd w:val="clear" w:color="auto" w:fill="D9D9D9"/>
          </w:tcPr>
          <w:p w14:paraId="08F2D8F5" w14:textId="77777777" w:rsidR="00421252" w:rsidRPr="000B3273" w:rsidRDefault="00421252" w:rsidP="00634826">
            <w:pPr>
              <w:pStyle w:val="ToolTableText"/>
              <w:rPr>
                <w:b/>
              </w:rPr>
            </w:pPr>
            <w:r>
              <w:rPr>
                <w:b/>
              </w:rPr>
              <w:t>Comments</w:t>
            </w:r>
          </w:p>
        </w:tc>
      </w:tr>
      <w:tr w:rsidR="00421252" w:rsidRPr="00790BCC" w14:paraId="6A7B8361" w14:textId="77777777" w:rsidTr="00F8189A">
        <w:trPr>
          <w:trHeight w:val="350"/>
        </w:trPr>
        <w:tc>
          <w:tcPr>
            <w:tcW w:w="1643" w:type="dxa"/>
            <w:vMerge w:val="restart"/>
          </w:tcPr>
          <w:p w14:paraId="4ABE712C" w14:textId="7C5B451C" w:rsidR="00421252" w:rsidRPr="00790BCC" w:rsidRDefault="00421252" w:rsidP="006E07ED">
            <w:pPr>
              <w:pStyle w:val="ToolTableText"/>
            </w:pPr>
            <w:r>
              <w:t xml:space="preserve">Group </w:t>
            </w:r>
            <w:r w:rsidR="006E07ED">
              <w:t>Interaction</w:t>
            </w:r>
          </w:p>
        </w:tc>
        <w:tc>
          <w:tcPr>
            <w:tcW w:w="358" w:type="dxa"/>
          </w:tcPr>
          <w:p w14:paraId="07088CB0" w14:textId="77777777" w:rsidR="00421252" w:rsidRPr="00790BCC" w:rsidRDefault="009868CB" w:rsidP="00634826">
            <w:pPr>
              <w:pStyle w:val="ToolTableText"/>
            </w:pPr>
            <w:r>
              <w:t>3</w:t>
            </w:r>
          </w:p>
        </w:tc>
        <w:tc>
          <w:tcPr>
            <w:tcW w:w="4350" w:type="dxa"/>
          </w:tcPr>
          <w:p w14:paraId="6E09FE65" w14:textId="20FB09B8" w:rsidR="00421252" w:rsidRPr="00790BCC" w:rsidRDefault="00734EA4" w:rsidP="006F7DBA">
            <w:pPr>
              <w:pStyle w:val="ToolTableText"/>
            </w:pPr>
            <w:r>
              <w:t xml:space="preserve">The group </w:t>
            </w:r>
            <w:r w:rsidR="006F7DBA">
              <w:t>performs an interpretive dramatic</w:t>
            </w:r>
            <w:r>
              <w:t xml:space="preserve"> reading that </w:t>
            </w:r>
            <w:r w:rsidR="006F7DBA">
              <w:t xml:space="preserve">provides </w:t>
            </w:r>
            <w:r>
              <w:t>an interesting and accurate interpretation of the excerpt</w:t>
            </w:r>
            <w:r w:rsidR="006D55DC">
              <w:t>.</w:t>
            </w:r>
          </w:p>
        </w:tc>
        <w:tc>
          <w:tcPr>
            <w:tcW w:w="3004" w:type="dxa"/>
            <w:vMerge w:val="restart"/>
          </w:tcPr>
          <w:p w14:paraId="10716D51" w14:textId="77777777" w:rsidR="00421252" w:rsidRPr="00790BCC" w:rsidRDefault="00421252" w:rsidP="00634826">
            <w:pPr>
              <w:pStyle w:val="ToolTableText"/>
            </w:pPr>
          </w:p>
        </w:tc>
      </w:tr>
      <w:tr w:rsidR="00421252" w:rsidRPr="00790BCC" w14:paraId="55AE2589" w14:textId="77777777" w:rsidTr="00F8189A">
        <w:trPr>
          <w:trHeight w:val="135"/>
        </w:trPr>
        <w:tc>
          <w:tcPr>
            <w:tcW w:w="1643" w:type="dxa"/>
            <w:vMerge/>
          </w:tcPr>
          <w:p w14:paraId="1F6C20F8" w14:textId="77777777" w:rsidR="00421252" w:rsidRDefault="00421252" w:rsidP="00634826">
            <w:pPr>
              <w:pStyle w:val="ToolTableText"/>
            </w:pPr>
          </w:p>
        </w:tc>
        <w:tc>
          <w:tcPr>
            <w:tcW w:w="358" w:type="dxa"/>
          </w:tcPr>
          <w:p w14:paraId="12397FD2" w14:textId="77777777" w:rsidR="00421252" w:rsidRPr="00790BCC" w:rsidRDefault="00421252" w:rsidP="00634826">
            <w:pPr>
              <w:pStyle w:val="ToolTableText"/>
            </w:pPr>
            <w:r>
              <w:t>2</w:t>
            </w:r>
          </w:p>
        </w:tc>
        <w:tc>
          <w:tcPr>
            <w:tcW w:w="4350" w:type="dxa"/>
          </w:tcPr>
          <w:p w14:paraId="42E957D5" w14:textId="27C0468D" w:rsidR="00421252" w:rsidRPr="00790BCC" w:rsidRDefault="006D55DC" w:rsidP="00CF5249">
            <w:pPr>
              <w:pStyle w:val="ToolTableText"/>
            </w:pPr>
            <w:r>
              <w:t xml:space="preserve">The group </w:t>
            </w:r>
            <w:r w:rsidR="006F7DBA">
              <w:t>performs an interpretive dramatic</w:t>
            </w:r>
            <w:r>
              <w:t xml:space="preserve"> reading </w:t>
            </w:r>
            <w:r w:rsidR="006F7DBA">
              <w:t>that provides</w:t>
            </w:r>
            <w:r>
              <w:t xml:space="preserve"> a</w:t>
            </w:r>
            <w:r w:rsidR="006F7DBA">
              <w:t xml:space="preserve">n </w:t>
            </w:r>
            <w:r>
              <w:t xml:space="preserve">interesting and </w:t>
            </w:r>
            <w:r w:rsidR="006F7DBA">
              <w:t xml:space="preserve">somewhat </w:t>
            </w:r>
            <w:r>
              <w:t>accurate interpretation of the excerpt.</w:t>
            </w:r>
          </w:p>
        </w:tc>
        <w:tc>
          <w:tcPr>
            <w:tcW w:w="3004" w:type="dxa"/>
            <w:vMerge/>
          </w:tcPr>
          <w:p w14:paraId="0CDB573B" w14:textId="77777777" w:rsidR="00421252" w:rsidRPr="00790BCC" w:rsidRDefault="00421252" w:rsidP="00634826">
            <w:pPr>
              <w:pStyle w:val="ToolTableText"/>
            </w:pPr>
          </w:p>
        </w:tc>
      </w:tr>
      <w:tr w:rsidR="00421252" w:rsidRPr="00790BCC" w14:paraId="16CADB2F" w14:textId="77777777" w:rsidTr="00F8189A">
        <w:trPr>
          <w:trHeight w:val="135"/>
        </w:trPr>
        <w:tc>
          <w:tcPr>
            <w:tcW w:w="1643" w:type="dxa"/>
            <w:vMerge/>
          </w:tcPr>
          <w:p w14:paraId="14E2CDF7" w14:textId="77777777" w:rsidR="00421252" w:rsidRDefault="00421252" w:rsidP="00634826">
            <w:pPr>
              <w:pStyle w:val="ToolTableText"/>
            </w:pPr>
          </w:p>
        </w:tc>
        <w:tc>
          <w:tcPr>
            <w:tcW w:w="358" w:type="dxa"/>
          </w:tcPr>
          <w:p w14:paraId="5C04445C" w14:textId="77777777" w:rsidR="00421252" w:rsidRPr="00790BCC" w:rsidRDefault="009868CB" w:rsidP="00634826">
            <w:pPr>
              <w:pStyle w:val="ToolTableText"/>
            </w:pPr>
            <w:r>
              <w:t>1</w:t>
            </w:r>
          </w:p>
        </w:tc>
        <w:tc>
          <w:tcPr>
            <w:tcW w:w="4350" w:type="dxa"/>
          </w:tcPr>
          <w:p w14:paraId="2ABF7024" w14:textId="4E121963" w:rsidR="00421252" w:rsidRPr="00790BCC" w:rsidRDefault="006D55DC" w:rsidP="006F7DBA">
            <w:pPr>
              <w:pStyle w:val="ToolTableText"/>
            </w:pPr>
            <w:r>
              <w:t xml:space="preserve">The group </w:t>
            </w:r>
            <w:r w:rsidR="006F7DBA">
              <w:t>performs an interpretive dramatic</w:t>
            </w:r>
            <w:r>
              <w:t xml:space="preserve"> reading that does not </w:t>
            </w:r>
            <w:r w:rsidR="006F7DBA">
              <w:t xml:space="preserve">provide </w:t>
            </w:r>
            <w:r>
              <w:t>an interesting and accurate interpretation of the excerpt.</w:t>
            </w:r>
          </w:p>
        </w:tc>
        <w:tc>
          <w:tcPr>
            <w:tcW w:w="3004" w:type="dxa"/>
            <w:vMerge/>
          </w:tcPr>
          <w:p w14:paraId="0D3DCC14" w14:textId="77777777" w:rsidR="00421252" w:rsidRPr="00790BCC" w:rsidRDefault="00421252" w:rsidP="00634826">
            <w:pPr>
              <w:pStyle w:val="ToolTableText"/>
            </w:pPr>
          </w:p>
        </w:tc>
      </w:tr>
      <w:tr w:rsidR="00421252" w:rsidRPr="00790BCC" w14:paraId="0AAD8F23" w14:textId="77777777" w:rsidTr="00F8189A">
        <w:trPr>
          <w:trHeight w:val="138"/>
        </w:trPr>
        <w:tc>
          <w:tcPr>
            <w:tcW w:w="1643" w:type="dxa"/>
            <w:vMerge w:val="restart"/>
          </w:tcPr>
          <w:p w14:paraId="7F474B39" w14:textId="77777777" w:rsidR="00421252" w:rsidRPr="00790BCC" w:rsidRDefault="006D55DC" w:rsidP="00634826">
            <w:pPr>
              <w:pStyle w:val="ToolTableText"/>
            </w:pPr>
            <w:r>
              <w:t>Language</w:t>
            </w:r>
          </w:p>
        </w:tc>
        <w:tc>
          <w:tcPr>
            <w:tcW w:w="358" w:type="dxa"/>
          </w:tcPr>
          <w:p w14:paraId="6D1DCFE7" w14:textId="77777777" w:rsidR="00421252" w:rsidRPr="00790BCC" w:rsidRDefault="009868CB" w:rsidP="00634826">
            <w:pPr>
              <w:pStyle w:val="ToolTableText"/>
            </w:pPr>
            <w:r>
              <w:t>3</w:t>
            </w:r>
          </w:p>
        </w:tc>
        <w:tc>
          <w:tcPr>
            <w:tcW w:w="4350" w:type="dxa"/>
          </w:tcPr>
          <w:p w14:paraId="2BBDB70C" w14:textId="2764CA6D" w:rsidR="00421252" w:rsidRPr="00790BCC" w:rsidRDefault="006D55DC" w:rsidP="006F7DBA">
            <w:pPr>
              <w:pStyle w:val="ToolTableText"/>
            </w:pPr>
            <w:r>
              <w:t xml:space="preserve">The group conveys the meaning and </w:t>
            </w:r>
            <w:r w:rsidR="006F7DBA">
              <w:t xml:space="preserve">tone </w:t>
            </w:r>
            <w:r>
              <w:t>of the play’s language.</w:t>
            </w:r>
          </w:p>
        </w:tc>
        <w:tc>
          <w:tcPr>
            <w:tcW w:w="3004" w:type="dxa"/>
            <w:vMerge w:val="restart"/>
          </w:tcPr>
          <w:p w14:paraId="28241104" w14:textId="77777777" w:rsidR="00421252" w:rsidRPr="00790BCC" w:rsidRDefault="00421252" w:rsidP="00634826">
            <w:pPr>
              <w:pStyle w:val="ToolTableText"/>
            </w:pPr>
          </w:p>
        </w:tc>
      </w:tr>
      <w:tr w:rsidR="00421252" w:rsidRPr="00790BCC" w14:paraId="7C5094DC" w14:textId="77777777" w:rsidTr="00F8189A">
        <w:trPr>
          <w:trHeight w:val="135"/>
        </w:trPr>
        <w:tc>
          <w:tcPr>
            <w:tcW w:w="1643" w:type="dxa"/>
            <w:vMerge/>
          </w:tcPr>
          <w:p w14:paraId="3F58EC89" w14:textId="77777777" w:rsidR="00421252" w:rsidRDefault="00421252" w:rsidP="00634826">
            <w:pPr>
              <w:pStyle w:val="ToolTableText"/>
            </w:pPr>
          </w:p>
        </w:tc>
        <w:tc>
          <w:tcPr>
            <w:tcW w:w="358" w:type="dxa"/>
          </w:tcPr>
          <w:p w14:paraId="51770DCC" w14:textId="77777777" w:rsidR="00421252" w:rsidRPr="00790BCC" w:rsidRDefault="00421252" w:rsidP="00634826">
            <w:pPr>
              <w:pStyle w:val="ToolTableText"/>
            </w:pPr>
            <w:r>
              <w:t>2</w:t>
            </w:r>
          </w:p>
        </w:tc>
        <w:tc>
          <w:tcPr>
            <w:tcW w:w="4350" w:type="dxa"/>
          </w:tcPr>
          <w:p w14:paraId="5F5936A1" w14:textId="60B67ACF" w:rsidR="00421252" w:rsidRPr="00790BCC" w:rsidRDefault="006D55DC" w:rsidP="006F7DBA">
            <w:pPr>
              <w:pStyle w:val="ToolTableText"/>
            </w:pPr>
            <w:r>
              <w:t xml:space="preserve">The group somewhat conveys the meaning and </w:t>
            </w:r>
            <w:r w:rsidR="006F7DBA">
              <w:t xml:space="preserve">tone </w:t>
            </w:r>
            <w:r>
              <w:t>of the play’s language.</w:t>
            </w:r>
          </w:p>
        </w:tc>
        <w:tc>
          <w:tcPr>
            <w:tcW w:w="3004" w:type="dxa"/>
            <w:vMerge/>
          </w:tcPr>
          <w:p w14:paraId="7C91B16D" w14:textId="77777777" w:rsidR="00421252" w:rsidRPr="00790BCC" w:rsidRDefault="00421252" w:rsidP="00634826">
            <w:pPr>
              <w:pStyle w:val="ToolTableText"/>
            </w:pPr>
          </w:p>
        </w:tc>
      </w:tr>
      <w:tr w:rsidR="00421252" w:rsidRPr="00790BCC" w14:paraId="4F87C3C3" w14:textId="77777777" w:rsidTr="00F8189A">
        <w:trPr>
          <w:trHeight w:val="135"/>
        </w:trPr>
        <w:tc>
          <w:tcPr>
            <w:tcW w:w="1643" w:type="dxa"/>
            <w:vMerge/>
            <w:tcBorders>
              <w:bottom w:val="single" w:sz="4" w:space="0" w:color="auto"/>
            </w:tcBorders>
          </w:tcPr>
          <w:p w14:paraId="3A6BBC46" w14:textId="77777777" w:rsidR="00421252" w:rsidRDefault="00421252" w:rsidP="00634826">
            <w:pPr>
              <w:pStyle w:val="ToolTableText"/>
            </w:pPr>
          </w:p>
        </w:tc>
        <w:tc>
          <w:tcPr>
            <w:tcW w:w="358" w:type="dxa"/>
          </w:tcPr>
          <w:p w14:paraId="5222A91D" w14:textId="77777777" w:rsidR="00421252" w:rsidRPr="00790BCC" w:rsidRDefault="009868CB" w:rsidP="00634826">
            <w:pPr>
              <w:pStyle w:val="ToolTableText"/>
            </w:pPr>
            <w:r>
              <w:t>1</w:t>
            </w:r>
          </w:p>
        </w:tc>
        <w:tc>
          <w:tcPr>
            <w:tcW w:w="4350" w:type="dxa"/>
          </w:tcPr>
          <w:p w14:paraId="16BE95A7" w14:textId="53922E6A" w:rsidR="00421252" w:rsidRPr="00790BCC" w:rsidRDefault="0069555D" w:rsidP="006F7DBA">
            <w:pPr>
              <w:pStyle w:val="ToolTableText"/>
            </w:pPr>
            <w:r>
              <w:t xml:space="preserve">The group did not convey the meaning and </w:t>
            </w:r>
            <w:r w:rsidR="006F7DBA">
              <w:t xml:space="preserve">tone </w:t>
            </w:r>
            <w:r>
              <w:t>of the play’s language</w:t>
            </w:r>
            <w:r w:rsidR="00421252">
              <w:t>.</w:t>
            </w:r>
          </w:p>
        </w:tc>
        <w:tc>
          <w:tcPr>
            <w:tcW w:w="3004" w:type="dxa"/>
            <w:vMerge/>
          </w:tcPr>
          <w:p w14:paraId="287FF286" w14:textId="77777777" w:rsidR="00421252" w:rsidRPr="00790BCC" w:rsidRDefault="00421252" w:rsidP="00634826">
            <w:pPr>
              <w:pStyle w:val="ToolTableText"/>
            </w:pPr>
          </w:p>
        </w:tc>
      </w:tr>
      <w:tr w:rsidR="004733FB" w:rsidRPr="00790BCC" w14:paraId="59E0AF0C" w14:textId="77777777" w:rsidTr="00F8189A">
        <w:trPr>
          <w:trHeight w:val="138"/>
        </w:trPr>
        <w:tc>
          <w:tcPr>
            <w:tcW w:w="1643" w:type="dxa"/>
            <w:tcBorders>
              <w:top w:val="single" w:sz="4" w:space="0" w:color="auto"/>
              <w:left w:val="single" w:sz="4" w:space="0" w:color="auto"/>
              <w:bottom w:val="nil"/>
              <w:right w:val="single" w:sz="4" w:space="0" w:color="auto"/>
            </w:tcBorders>
          </w:tcPr>
          <w:p w14:paraId="266DFBD0" w14:textId="77777777" w:rsidR="004733FB" w:rsidRDefault="004733FB" w:rsidP="00634826">
            <w:pPr>
              <w:pStyle w:val="ToolTableText"/>
            </w:pPr>
            <w:r>
              <w:t>Staging</w:t>
            </w:r>
          </w:p>
        </w:tc>
        <w:tc>
          <w:tcPr>
            <w:tcW w:w="358" w:type="dxa"/>
            <w:tcBorders>
              <w:left w:val="single" w:sz="4" w:space="0" w:color="auto"/>
            </w:tcBorders>
          </w:tcPr>
          <w:p w14:paraId="64622A96" w14:textId="77777777" w:rsidR="004733FB" w:rsidDel="009868CB" w:rsidRDefault="004733FB" w:rsidP="00634826">
            <w:pPr>
              <w:pStyle w:val="ToolTableText"/>
            </w:pPr>
            <w:r>
              <w:t>3</w:t>
            </w:r>
          </w:p>
        </w:tc>
        <w:tc>
          <w:tcPr>
            <w:tcW w:w="4350" w:type="dxa"/>
          </w:tcPr>
          <w:p w14:paraId="25089609" w14:textId="77777777" w:rsidR="004733FB" w:rsidDel="006D55DC" w:rsidRDefault="004733FB" w:rsidP="00634826">
            <w:pPr>
              <w:pStyle w:val="ToolTableText"/>
            </w:pPr>
            <w:r>
              <w:t>The group choreography is appropriate for the selection presented.</w:t>
            </w:r>
          </w:p>
        </w:tc>
        <w:tc>
          <w:tcPr>
            <w:tcW w:w="3004" w:type="dxa"/>
            <w:vMerge w:val="restart"/>
          </w:tcPr>
          <w:p w14:paraId="55708D11" w14:textId="77777777" w:rsidR="004733FB" w:rsidRPr="00790BCC" w:rsidRDefault="004733FB" w:rsidP="00634826">
            <w:pPr>
              <w:pStyle w:val="ToolTableText"/>
            </w:pPr>
          </w:p>
        </w:tc>
      </w:tr>
      <w:tr w:rsidR="004733FB" w:rsidRPr="00790BCC" w14:paraId="254A09B0" w14:textId="77777777" w:rsidTr="00F8189A">
        <w:trPr>
          <w:trHeight w:val="138"/>
        </w:trPr>
        <w:tc>
          <w:tcPr>
            <w:tcW w:w="1643" w:type="dxa"/>
            <w:tcBorders>
              <w:top w:val="nil"/>
              <w:left w:val="single" w:sz="4" w:space="0" w:color="auto"/>
              <w:bottom w:val="nil"/>
              <w:right w:val="single" w:sz="4" w:space="0" w:color="auto"/>
            </w:tcBorders>
          </w:tcPr>
          <w:p w14:paraId="1BA85274" w14:textId="77777777" w:rsidR="004733FB" w:rsidRDefault="004733FB" w:rsidP="00634826">
            <w:pPr>
              <w:pStyle w:val="ToolTableText"/>
            </w:pPr>
          </w:p>
        </w:tc>
        <w:tc>
          <w:tcPr>
            <w:tcW w:w="358" w:type="dxa"/>
            <w:tcBorders>
              <w:left w:val="single" w:sz="4" w:space="0" w:color="auto"/>
            </w:tcBorders>
          </w:tcPr>
          <w:p w14:paraId="236FDF9E" w14:textId="77777777" w:rsidR="004733FB" w:rsidDel="009868CB" w:rsidRDefault="004733FB" w:rsidP="00634826">
            <w:pPr>
              <w:pStyle w:val="ToolTableText"/>
            </w:pPr>
            <w:r>
              <w:t>2</w:t>
            </w:r>
          </w:p>
        </w:tc>
        <w:tc>
          <w:tcPr>
            <w:tcW w:w="4350" w:type="dxa"/>
          </w:tcPr>
          <w:p w14:paraId="15E28213" w14:textId="77777777" w:rsidR="004733FB" w:rsidDel="006D55DC" w:rsidRDefault="004733FB" w:rsidP="00634826">
            <w:pPr>
              <w:pStyle w:val="ToolTableText"/>
            </w:pPr>
            <w:r>
              <w:t>The group choreography is somewhat appropriate for the selection presented.</w:t>
            </w:r>
          </w:p>
        </w:tc>
        <w:tc>
          <w:tcPr>
            <w:tcW w:w="3004" w:type="dxa"/>
            <w:vMerge/>
          </w:tcPr>
          <w:p w14:paraId="2DA4C5EE" w14:textId="77777777" w:rsidR="004733FB" w:rsidRPr="00790BCC" w:rsidRDefault="004733FB" w:rsidP="00634826">
            <w:pPr>
              <w:pStyle w:val="ToolTableText"/>
            </w:pPr>
          </w:p>
        </w:tc>
      </w:tr>
      <w:tr w:rsidR="004733FB" w:rsidRPr="00790BCC" w14:paraId="7C0496A9" w14:textId="77777777" w:rsidTr="00F8189A">
        <w:trPr>
          <w:trHeight w:val="138"/>
        </w:trPr>
        <w:tc>
          <w:tcPr>
            <w:tcW w:w="1643" w:type="dxa"/>
            <w:tcBorders>
              <w:top w:val="nil"/>
              <w:left w:val="single" w:sz="4" w:space="0" w:color="auto"/>
              <w:bottom w:val="single" w:sz="4" w:space="0" w:color="auto"/>
              <w:right w:val="single" w:sz="4" w:space="0" w:color="auto"/>
            </w:tcBorders>
          </w:tcPr>
          <w:p w14:paraId="246270B1" w14:textId="77777777" w:rsidR="004733FB" w:rsidRDefault="004733FB" w:rsidP="00634826">
            <w:pPr>
              <w:pStyle w:val="ToolTableText"/>
            </w:pPr>
          </w:p>
        </w:tc>
        <w:tc>
          <w:tcPr>
            <w:tcW w:w="358" w:type="dxa"/>
            <w:tcBorders>
              <w:left w:val="single" w:sz="4" w:space="0" w:color="auto"/>
            </w:tcBorders>
          </w:tcPr>
          <w:p w14:paraId="6F8A0247" w14:textId="77777777" w:rsidR="004733FB" w:rsidDel="009868CB" w:rsidRDefault="004733FB" w:rsidP="00634826">
            <w:pPr>
              <w:pStyle w:val="ToolTableText"/>
            </w:pPr>
            <w:r>
              <w:t>1</w:t>
            </w:r>
          </w:p>
        </w:tc>
        <w:tc>
          <w:tcPr>
            <w:tcW w:w="4350" w:type="dxa"/>
          </w:tcPr>
          <w:p w14:paraId="1C863EAE" w14:textId="77777777" w:rsidR="004733FB" w:rsidDel="006D55DC" w:rsidRDefault="004733FB" w:rsidP="00634826">
            <w:pPr>
              <w:pStyle w:val="ToolTableText"/>
            </w:pPr>
            <w:r>
              <w:t>The group choreography is inappropriate for the selection presented.</w:t>
            </w:r>
          </w:p>
        </w:tc>
        <w:tc>
          <w:tcPr>
            <w:tcW w:w="3004" w:type="dxa"/>
            <w:vMerge/>
          </w:tcPr>
          <w:p w14:paraId="651F4771" w14:textId="77777777" w:rsidR="004733FB" w:rsidRPr="00790BCC" w:rsidRDefault="004733FB" w:rsidP="00634826">
            <w:pPr>
              <w:pStyle w:val="ToolTableText"/>
            </w:pPr>
          </w:p>
        </w:tc>
      </w:tr>
      <w:tr w:rsidR="00421252" w:rsidRPr="00790BCC" w14:paraId="6D404AD2" w14:textId="77777777" w:rsidTr="00F8189A">
        <w:trPr>
          <w:trHeight w:val="138"/>
        </w:trPr>
        <w:tc>
          <w:tcPr>
            <w:tcW w:w="1643" w:type="dxa"/>
            <w:vMerge w:val="restart"/>
            <w:tcBorders>
              <w:top w:val="single" w:sz="4" w:space="0" w:color="auto"/>
            </w:tcBorders>
          </w:tcPr>
          <w:p w14:paraId="5714BEB7" w14:textId="77777777" w:rsidR="00421252" w:rsidRPr="00790BCC" w:rsidRDefault="00421252" w:rsidP="00634826">
            <w:pPr>
              <w:pStyle w:val="ToolTableText"/>
            </w:pPr>
            <w:r>
              <w:t>Expression</w:t>
            </w:r>
          </w:p>
        </w:tc>
        <w:tc>
          <w:tcPr>
            <w:tcW w:w="358" w:type="dxa"/>
          </w:tcPr>
          <w:p w14:paraId="51E54CEB" w14:textId="77777777" w:rsidR="00421252" w:rsidRPr="00790BCC" w:rsidRDefault="009868CB" w:rsidP="00634826">
            <w:pPr>
              <w:pStyle w:val="ToolTableText"/>
            </w:pPr>
            <w:r>
              <w:t>3</w:t>
            </w:r>
          </w:p>
        </w:tc>
        <w:tc>
          <w:tcPr>
            <w:tcW w:w="4350" w:type="dxa"/>
          </w:tcPr>
          <w:p w14:paraId="64C4B66D" w14:textId="77777777" w:rsidR="00421252" w:rsidRPr="00790BCC" w:rsidRDefault="006D55DC" w:rsidP="00634826">
            <w:pPr>
              <w:pStyle w:val="ToolTableText"/>
            </w:pPr>
            <w:r>
              <w:t>The readers vocalize the lines in interesting and varied ways.</w:t>
            </w:r>
          </w:p>
        </w:tc>
        <w:tc>
          <w:tcPr>
            <w:tcW w:w="3004" w:type="dxa"/>
            <w:vMerge w:val="restart"/>
          </w:tcPr>
          <w:p w14:paraId="69975261" w14:textId="77777777" w:rsidR="00421252" w:rsidRPr="00790BCC" w:rsidRDefault="00421252" w:rsidP="00634826">
            <w:pPr>
              <w:pStyle w:val="ToolTableText"/>
            </w:pPr>
          </w:p>
        </w:tc>
      </w:tr>
      <w:tr w:rsidR="00421252" w:rsidRPr="00790BCC" w14:paraId="245A7295" w14:textId="77777777" w:rsidTr="00F8189A">
        <w:trPr>
          <w:trHeight w:val="135"/>
        </w:trPr>
        <w:tc>
          <w:tcPr>
            <w:tcW w:w="1643" w:type="dxa"/>
            <w:vMerge/>
          </w:tcPr>
          <w:p w14:paraId="56835698" w14:textId="77777777" w:rsidR="00421252" w:rsidRDefault="00421252" w:rsidP="00634826">
            <w:pPr>
              <w:pStyle w:val="ToolTableText"/>
            </w:pPr>
          </w:p>
        </w:tc>
        <w:tc>
          <w:tcPr>
            <w:tcW w:w="358" w:type="dxa"/>
          </w:tcPr>
          <w:p w14:paraId="079DEC40" w14:textId="77777777" w:rsidR="00421252" w:rsidRPr="00790BCC" w:rsidRDefault="00421252" w:rsidP="00634826">
            <w:pPr>
              <w:pStyle w:val="ToolTableText"/>
            </w:pPr>
            <w:r>
              <w:t>2</w:t>
            </w:r>
          </w:p>
        </w:tc>
        <w:tc>
          <w:tcPr>
            <w:tcW w:w="4350" w:type="dxa"/>
          </w:tcPr>
          <w:p w14:paraId="507CFD5C" w14:textId="2B692759" w:rsidR="00421252" w:rsidRPr="00790BCC" w:rsidRDefault="006D55DC" w:rsidP="00634826">
            <w:pPr>
              <w:pStyle w:val="ToolTableText"/>
            </w:pPr>
            <w:r>
              <w:t>The readers vocalize the lines in somewhat interesting and varied ways.</w:t>
            </w:r>
          </w:p>
        </w:tc>
        <w:tc>
          <w:tcPr>
            <w:tcW w:w="3004" w:type="dxa"/>
            <w:vMerge/>
          </w:tcPr>
          <w:p w14:paraId="66108F68" w14:textId="77777777" w:rsidR="00421252" w:rsidRPr="00790BCC" w:rsidRDefault="00421252" w:rsidP="00634826">
            <w:pPr>
              <w:pStyle w:val="ToolTableText"/>
            </w:pPr>
          </w:p>
        </w:tc>
      </w:tr>
      <w:tr w:rsidR="00421252" w:rsidRPr="00790BCC" w14:paraId="099DB148" w14:textId="77777777" w:rsidTr="00F8189A">
        <w:trPr>
          <w:trHeight w:val="135"/>
        </w:trPr>
        <w:tc>
          <w:tcPr>
            <w:tcW w:w="1643" w:type="dxa"/>
            <w:vMerge/>
          </w:tcPr>
          <w:p w14:paraId="3CEA83E3" w14:textId="77777777" w:rsidR="00421252" w:rsidRDefault="00421252" w:rsidP="00634826">
            <w:pPr>
              <w:pStyle w:val="ToolTableText"/>
            </w:pPr>
          </w:p>
        </w:tc>
        <w:tc>
          <w:tcPr>
            <w:tcW w:w="358" w:type="dxa"/>
          </w:tcPr>
          <w:p w14:paraId="0BD2796E" w14:textId="77777777" w:rsidR="00421252" w:rsidRPr="00790BCC" w:rsidRDefault="009868CB" w:rsidP="00634826">
            <w:pPr>
              <w:pStyle w:val="ToolTableText"/>
            </w:pPr>
            <w:r>
              <w:t>1</w:t>
            </w:r>
          </w:p>
        </w:tc>
        <w:tc>
          <w:tcPr>
            <w:tcW w:w="4350" w:type="dxa"/>
          </w:tcPr>
          <w:p w14:paraId="24891BE6" w14:textId="77777777" w:rsidR="00421252" w:rsidRPr="00790BCC" w:rsidRDefault="00E50E84" w:rsidP="00634826">
            <w:pPr>
              <w:pStyle w:val="ToolTableText"/>
            </w:pPr>
            <w:r>
              <w:t>The readers vocalize the lines in uninteresting and unvaried ways.</w:t>
            </w:r>
          </w:p>
        </w:tc>
        <w:tc>
          <w:tcPr>
            <w:tcW w:w="3004" w:type="dxa"/>
            <w:vMerge/>
          </w:tcPr>
          <w:p w14:paraId="3AFFFD1A" w14:textId="77777777" w:rsidR="00421252" w:rsidRPr="00790BCC" w:rsidRDefault="00421252" w:rsidP="00634826">
            <w:pPr>
              <w:pStyle w:val="ToolTableText"/>
            </w:pPr>
          </w:p>
        </w:tc>
      </w:tr>
    </w:tbl>
    <w:p w14:paraId="01A6BAAD" w14:textId="77777777" w:rsidR="007D7FC2" w:rsidRDefault="007D7FC2">
      <w:pPr>
        <w:spacing w:before="0" w:after="160" w:line="259" w:lineRule="auto"/>
        <w:rPr>
          <w:rFonts w:asciiTheme="minorHAnsi" w:hAnsiTheme="minorHAnsi"/>
          <w:b/>
          <w:bCs/>
          <w:color w:val="365F91"/>
          <w:sz w:val="32"/>
          <w:szCs w:val="28"/>
        </w:rPr>
      </w:pPr>
      <w:r>
        <w:br w:type="page"/>
      </w:r>
    </w:p>
    <w:p w14:paraId="74543611" w14:textId="2A0B82D5" w:rsidR="00421252" w:rsidRPr="00790BCC" w:rsidRDefault="00391A35" w:rsidP="00421252">
      <w:pPr>
        <w:pStyle w:val="ToolHeader"/>
      </w:pPr>
      <w:r>
        <w:lastRenderedPageBreak/>
        <w:t xml:space="preserve">Interpretive Dramatic </w:t>
      </w:r>
      <w:r w:rsidR="00421252">
        <w:t>Reading Self-Assessment Checklist</w:t>
      </w:r>
    </w:p>
    <w:tbl>
      <w:tblPr>
        <w:tblStyle w:val="TableGrid"/>
        <w:tblW w:w="0" w:type="auto"/>
        <w:tblInd w:w="-5" w:type="dxa"/>
        <w:tblLook w:val="04A0" w:firstRow="1" w:lastRow="0" w:firstColumn="1" w:lastColumn="0" w:noHBand="0" w:noVBand="1"/>
      </w:tblPr>
      <w:tblGrid>
        <w:gridCol w:w="927"/>
        <w:gridCol w:w="2699"/>
        <w:gridCol w:w="727"/>
        <w:gridCol w:w="2950"/>
        <w:gridCol w:w="718"/>
        <w:gridCol w:w="1334"/>
      </w:tblGrid>
      <w:tr w:rsidR="00421252" w:rsidRPr="000B3273" w14:paraId="0B73F0F7" w14:textId="77777777" w:rsidTr="00F8189A">
        <w:trPr>
          <w:trHeight w:val="557"/>
        </w:trPr>
        <w:tc>
          <w:tcPr>
            <w:tcW w:w="927" w:type="dxa"/>
            <w:shd w:val="clear" w:color="auto" w:fill="D9D9D9"/>
            <w:vAlign w:val="center"/>
          </w:tcPr>
          <w:p w14:paraId="5DAB255C" w14:textId="77777777" w:rsidR="00421252" w:rsidRPr="000B3273" w:rsidRDefault="00421252" w:rsidP="00634826">
            <w:pPr>
              <w:pStyle w:val="TableText"/>
              <w:rPr>
                <w:b/>
              </w:rPr>
            </w:pPr>
            <w:r w:rsidRPr="000B3273">
              <w:rPr>
                <w:b/>
              </w:rPr>
              <w:t>Name:</w:t>
            </w:r>
          </w:p>
        </w:tc>
        <w:tc>
          <w:tcPr>
            <w:tcW w:w="2699" w:type="dxa"/>
            <w:vAlign w:val="center"/>
          </w:tcPr>
          <w:p w14:paraId="09C5111E" w14:textId="77777777" w:rsidR="00421252" w:rsidRPr="000B3273" w:rsidRDefault="00421252" w:rsidP="00634826">
            <w:pPr>
              <w:pStyle w:val="TableText"/>
              <w:rPr>
                <w:b/>
              </w:rPr>
            </w:pPr>
          </w:p>
        </w:tc>
        <w:tc>
          <w:tcPr>
            <w:tcW w:w="727" w:type="dxa"/>
            <w:shd w:val="clear" w:color="auto" w:fill="D9D9D9"/>
            <w:vAlign w:val="center"/>
          </w:tcPr>
          <w:p w14:paraId="682E6571" w14:textId="77777777" w:rsidR="00421252" w:rsidRPr="000B3273" w:rsidRDefault="00421252" w:rsidP="00634826">
            <w:pPr>
              <w:pStyle w:val="TableText"/>
              <w:rPr>
                <w:b/>
              </w:rPr>
            </w:pPr>
            <w:r w:rsidRPr="000B3273">
              <w:rPr>
                <w:b/>
              </w:rPr>
              <w:t>Class:</w:t>
            </w:r>
          </w:p>
        </w:tc>
        <w:tc>
          <w:tcPr>
            <w:tcW w:w="2950" w:type="dxa"/>
            <w:vAlign w:val="center"/>
          </w:tcPr>
          <w:p w14:paraId="56F68D12" w14:textId="77777777" w:rsidR="00421252" w:rsidRPr="000B3273" w:rsidRDefault="00421252" w:rsidP="00634826">
            <w:pPr>
              <w:pStyle w:val="TableText"/>
              <w:rPr>
                <w:b/>
              </w:rPr>
            </w:pPr>
          </w:p>
        </w:tc>
        <w:tc>
          <w:tcPr>
            <w:tcW w:w="718" w:type="dxa"/>
            <w:shd w:val="clear" w:color="auto" w:fill="D9D9D9"/>
            <w:vAlign w:val="center"/>
          </w:tcPr>
          <w:p w14:paraId="4B8ED064" w14:textId="77777777" w:rsidR="00421252" w:rsidRPr="000B3273" w:rsidRDefault="00421252" w:rsidP="00634826">
            <w:pPr>
              <w:pStyle w:val="TableText"/>
              <w:rPr>
                <w:b/>
              </w:rPr>
            </w:pPr>
            <w:r w:rsidRPr="000B3273">
              <w:rPr>
                <w:b/>
              </w:rPr>
              <w:t>Date:</w:t>
            </w:r>
          </w:p>
        </w:tc>
        <w:tc>
          <w:tcPr>
            <w:tcW w:w="1334" w:type="dxa"/>
            <w:vAlign w:val="center"/>
          </w:tcPr>
          <w:p w14:paraId="40DD78E6" w14:textId="77777777" w:rsidR="00421252" w:rsidRPr="000B3273" w:rsidRDefault="00421252" w:rsidP="00634826">
            <w:pPr>
              <w:pStyle w:val="TableText"/>
              <w:rPr>
                <w:b/>
              </w:rPr>
            </w:pPr>
          </w:p>
        </w:tc>
      </w:tr>
    </w:tbl>
    <w:p w14:paraId="79EFEC4C" w14:textId="77777777" w:rsidR="00421252" w:rsidRPr="00790BCC" w:rsidRDefault="00421252" w:rsidP="00421252">
      <w:pPr>
        <w:spacing w:after="0"/>
        <w:rPr>
          <w:sz w:val="10"/>
        </w:rPr>
      </w:pPr>
    </w:p>
    <w:tbl>
      <w:tblPr>
        <w:tblStyle w:val="TableGrid"/>
        <w:tblW w:w="0" w:type="auto"/>
        <w:tblInd w:w="-5" w:type="dxa"/>
        <w:tblLook w:val="04A0" w:firstRow="1" w:lastRow="0" w:firstColumn="1" w:lastColumn="0" w:noHBand="0" w:noVBand="1"/>
      </w:tblPr>
      <w:tblGrid>
        <w:gridCol w:w="1650"/>
        <w:gridCol w:w="358"/>
        <w:gridCol w:w="4344"/>
        <w:gridCol w:w="3003"/>
      </w:tblGrid>
      <w:tr w:rsidR="00421252" w:rsidRPr="000B3273" w14:paraId="4B9C6CD7" w14:textId="77777777" w:rsidTr="00F8189A">
        <w:trPr>
          <w:trHeight w:val="323"/>
        </w:trPr>
        <w:tc>
          <w:tcPr>
            <w:tcW w:w="1650" w:type="dxa"/>
            <w:shd w:val="clear" w:color="auto" w:fill="D9D9D9"/>
          </w:tcPr>
          <w:p w14:paraId="04492523" w14:textId="77777777" w:rsidR="00421252" w:rsidRPr="000B3273" w:rsidRDefault="00421252" w:rsidP="00634826">
            <w:pPr>
              <w:pStyle w:val="ToolTableText"/>
              <w:rPr>
                <w:b/>
              </w:rPr>
            </w:pPr>
            <w:r>
              <w:rPr>
                <w:b/>
              </w:rPr>
              <w:t>Criterion</w:t>
            </w:r>
          </w:p>
        </w:tc>
        <w:tc>
          <w:tcPr>
            <w:tcW w:w="4702" w:type="dxa"/>
            <w:gridSpan w:val="2"/>
            <w:shd w:val="clear" w:color="auto" w:fill="D9D9D9"/>
          </w:tcPr>
          <w:p w14:paraId="05225735" w14:textId="77777777" w:rsidR="00421252" w:rsidRPr="000B3273" w:rsidRDefault="00421252" w:rsidP="00634826">
            <w:pPr>
              <w:pStyle w:val="ToolTableText"/>
              <w:rPr>
                <w:b/>
              </w:rPr>
            </w:pPr>
            <w:r>
              <w:rPr>
                <w:b/>
              </w:rPr>
              <w:t>Score</w:t>
            </w:r>
          </w:p>
        </w:tc>
        <w:tc>
          <w:tcPr>
            <w:tcW w:w="3003" w:type="dxa"/>
            <w:shd w:val="clear" w:color="auto" w:fill="D9D9D9"/>
          </w:tcPr>
          <w:p w14:paraId="1178352B" w14:textId="77777777" w:rsidR="00421252" w:rsidRPr="000B3273" w:rsidRDefault="00421252" w:rsidP="00634826">
            <w:pPr>
              <w:pStyle w:val="ToolTableText"/>
              <w:rPr>
                <w:b/>
              </w:rPr>
            </w:pPr>
            <w:r>
              <w:rPr>
                <w:b/>
              </w:rPr>
              <w:t>Comments</w:t>
            </w:r>
          </w:p>
        </w:tc>
      </w:tr>
      <w:tr w:rsidR="004733FB" w:rsidRPr="00790BCC" w14:paraId="6A125BCD" w14:textId="77777777" w:rsidTr="00F8189A">
        <w:trPr>
          <w:trHeight w:val="135"/>
        </w:trPr>
        <w:tc>
          <w:tcPr>
            <w:tcW w:w="1650" w:type="dxa"/>
            <w:vMerge w:val="restart"/>
          </w:tcPr>
          <w:p w14:paraId="4B08531D" w14:textId="77777777" w:rsidR="004733FB" w:rsidRDefault="004733FB" w:rsidP="00634826">
            <w:pPr>
              <w:pStyle w:val="ToolTableText"/>
            </w:pPr>
            <w:r>
              <w:t xml:space="preserve">Making Decisions and Setting Goals </w:t>
            </w:r>
          </w:p>
        </w:tc>
        <w:tc>
          <w:tcPr>
            <w:tcW w:w="358" w:type="dxa"/>
          </w:tcPr>
          <w:p w14:paraId="196965AA" w14:textId="77777777" w:rsidR="004733FB" w:rsidRDefault="004733FB" w:rsidP="00634826">
            <w:pPr>
              <w:pStyle w:val="ToolTableText"/>
            </w:pPr>
            <w:r>
              <w:t>3</w:t>
            </w:r>
          </w:p>
        </w:tc>
        <w:tc>
          <w:tcPr>
            <w:tcW w:w="4344" w:type="dxa"/>
          </w:tcPr>
          <w:p w14:paraId="7B6DF456" w14:textId="77777777" w:rsidR="004733FB" w:rsidRDefault="004733FB" w:rsidP="00421252">
            <w:pPr>
              <w:pStyle w:val="ToolTableText"/>
            </w:pPr>
            <w:r>
              <w:t>I actively participated in discussions about setting goals and making decisions. I can explain how my work helped meet the goals.</w:t>
            </w:r>
          </w:p>
        </w:tc>
        <w:tc>
          <w:tcPr>
            <w:tcW w:w="3003" w:type="dxa"/>
            <w:vMerge w:val="restart"/>
          </w:tcPr>
          <w:p w14:paraId="44436F51" w14:textId="77777777" w:rsidR="004733FB" w:rsidRPr="00790BCC" w:rsidRDefault="004733FB" w:rsidP="00634826">
            <w:pPr>
              <w:pStyle w:val="ToolTableText"/>
            </w:pPr>
          </w:p>
        </w:tc>
      </w:tr>
      <w:tr w:rsidR="004733FB" w:rsidRPr="00790BCC" w14:paraId="62FE738C" w14:textId="77777777" w:rsidTr="00F8189A">
        <w:trPr>
          <w:trHeight w:val="135"/>
        </w:trPr>
        <w:tc>
          <w:tcPr>
            <w:tcW w:w="1650" w:type="dxa"/>
            <w:vMerge/>
          </w:tcPr>
          <w:p w14:paraId="5D58BE75" w14:textId="77777777" w:rsidR="004733FB" w:rsidRDefault="004733FB" w:rsidP="00634826">
            <w:pPr>
              <w:pStyle w:val="ToolTableText"/>
            </w:pPr>
          </w:p>
        </w:tc>
        <w:tc>
          <w:tcPr>
            <w:tcW w:w="358" w:type="dxa"/>
          </w:tcPr>
          <w:p w14:paraId="308F796E" w14:textId="77777777" w:rsidR="004733FB" w:rsidRDefault="004733FB" w:rsidP="00634826">
            <w:pPr>
              <w:pStyle w:val="ToolTableText"/>
            </w:pPr>
            <w:r>
              <w:t>2</w:t>
            </w:r>
          </w:p>
        </w:tc>
        <w:tc>
          <w:tcPr>
            <w:tcW w:w="4344" w:type="dxa"/>
          </w:tcPr>
          <w:p w14:paraId="0B322C28" w14:textId="77777777" w:rsidR="004733FB" w:rsidRDefault="004733FB" w:rsidP="00634826">
            <w:pPr>
              <w:pStyle w:val="ToolTableText"/>
            </w:pPr>
            <w:r>
              <w:t>I agreed to the goals and decisions set by the work. I can explain how I tried to meet the goals.</w:t>
            </w:r>
          </w:p>
        </w:tc>
        <w:tc>
          <w:tcPr>
            <w:tcW w:w="3003" w:type="dxa"/>
            <w:vMerge/>
          </w:tcPr>
          <w:p w14:paraId="1ED4C10B" w14:textId="77777777" w:rsidR="004733FB" w:rsidRPr="00790BCC" w:rsidRDefault="004733FB" w:rsidP="00634826">
            <w:pPr>
              <w:pStyle w:val="ToolTableText"/>
            </w:pPr>
          </w:p>
        </w:tc>
      </w:tr>
      <w:tr w:rsidR="004733FB" w:rsidRPr="00790BCC" w14:paraId="199A4DAD" w14:textId="77777777" w:rsidTr="00F8189A">
        <w:trPr>
          <w:trHeight w:val="135"/>
        </w:trPr>
        <w:tc>
          <w:tcPr>
            <w:tcW w:w="1650" w:type="dxa"/>
            <w:vMerge/>
          </w:tcPr>
          <w:p w14:paraId="56A3B6AC" w14:textId="77777777" w:rsidR="004733FB" w:rsidRDefault="004733FB" w:rsidP="00634826">
            <w:pPr>
              <w:pStyle w:val="ToolTableText"/>
            </w:pPr>
          </w:p>
        </w:tc>
        <w:tc>
          <w:tcPr>
            <w:tcW w:w="358" w:type="dxa"/>
          </w:tcPr>
          <w:p w14:paraId="61A3C524" w14:textId="77777777" w:rsidR="004733FB" w:rsidRDefault="004733FB" w:rsidP="00634826">
            <w:pPr>
              <w:pStyle w:val="ToolTableText"/>
            </w:pPr>
            <w:r>
              <w:t>1</w:t>
            </w:r>
          </w:p>
        </w:tc>
        <w:tc>
          <w:tcPr>
            <w:tcW w:w="4344" w:type="dxa"/>
          </w:tcPr>
          <w:p w14:paraId="62CEDC0E" w14:textId="177ACE14" w:rsidR="004733FB" w:rsidRDefault="004733FB" w:rsidP="00CF5249">
            <w:pPr>
              <w:pStyle w:val="ToolTableText"/>
            </w:pPr>
            <w:r>
              <w:t xml:space="preserve">I did not participate in setting goals or making decisions (e.g., choosing an excerpt or </w:t>
            </w:r>
            <w:r w:rsidR="00CF5249">
              <w:t xml:space="preserve">interpretive dramatic </w:t>
            </w:r>
            <w:r>
              <w:t>reading technique) for the group. I frequently ignored goals set by the group and did not work to meet them.</w:t>
            </w:r>
          </w:p>
        </w:tc>
        <w:tc>
          <w:tcPr>
            <w:tcW w:w="3003" w:type="dxa"/>
            <w:vMerge/>
          </w:tcPr>
          <w:p w14:paraId="34DCE718" w14:textId="77777777" w:rsidR="004733FB" w:rsidRPr="00790BCC" w:rsidRDefault="004733FB" w:rsidP="00634826">
            <w:pPr>
              <w:pStyle w:val="ToolTableText"/>
            </w:pPr>
          </w:p>
        </w:tc>
      </w:tr>
      <w:tr w:rsidR="004733FB" w:rsidRPr="00790BCC" w14:paraId="5F7C2E39" w14:textId="77777777" w:rsidTr="00F8189A">
        <w:trPr>
          <w:trHeight w:val="135"/>
        </w:trPr>
        <w:tc>
          <w:tcPr>
            <w:tcW w:w="1650" w:type="dxa"/>
            <w:vMerge w:val="restart"/>
          </w:tcPr>
          <w:p w14:paraId="4FA2A40A" w14:textId="77777777" w:rsidR="004733FB" w:rsidRDefault="004733FB" w:rsidP="00634826">
            <w:pPr>
              <w:pStyle w:val="ToolTableText"/>
            </w:pPr>
            <w:r>
              <w:t>Meeting Deadlines</w:t>
            </w:r>
          </w:p>
        </w:tc>
        <w:tc>
          <w:tcPr>
            <w:tcW w:w="358" w:type="dxa"/>
          </w:tcPr>
          <w:p w14:paraId="2D7BE455" w14:textId="77777777" w:rsidR="004733FB" w:rsidRDefault="004733FB" w:rsidP="00634826">
            <w:pPr>
              <w:pStyle w:val="ToolTableText"/>
            </w:pPr>
            <w:r>
              <w:t>3</w:t>
            </w:r>
          </w:p>
        </w:tc>
        <w:tc>
          <w:tcPr>
            <w:tcW w:w="4344" w:type="dxa"/>
          </w:tcPr>
          <w:p w14:paraId="04F35C69" w14:textId="77777777" w:rsidR="004733FB" w:rsidRDefault="004733FB" w:rsidP="00634826">
            <w:pPr>
              <w:pStyle w:val="ToolTableText"/>
            </w:pPr>
            <w:r>
              <w:t>I met all deadlines and came to all meetings prepared.</w:t>
            </w:r>
          </w:p>
        </w:tc>
        <w:tc>
          <w:tcPr>
            <w:tcW w:w="3003" w:type="dxa"/>
            <w:vMerge w:val="restart"/>
          </w:tcPr>
          <w:p w14:paraId="072CDF38" w14:textId="77777777" w:rsidR="004733FB" w:rsidRPr="00790BCC" w:rsidRDefault="004733FB" w:rsidP="00634826">
            <w:pPr>
              <w:pStyle w:val="ToolTableText"/>
            </w:pPr>
          </w:p>
        </w:tc>
      </w:tr>
      <w:tr w:rsidR="004733FB" w:rsidRPr="00790BCC" w14:paraId="3324B256" w14:textId="77777777" w:rsidTr="00F8189A">
        <w:trPr>
          <w:trHeight w:val="135"/>
        </w:trPr>
        <w:tc>
          <w:tcPr>
            <w:tcW w:w="1650" w:type="dxa"/>
            <w:vMerge/>
          </w:tcPr>
          <w:p w14:paraId="3A063A77" w14:textId="77777777" w:rsidR="004733FB" w:rsidRDefault="004733FB" w:rsidP="00634826">
            <w:pPr>
              <w:pStyle w:val="ToolTableText"/>
            </w:pPr>
          </w:p>
        </w:tc>
        <w:tc>
          <w:tcPr>
            <w:tcW w:w="358" w:type="dxa"/>
          </w:tcPr>
          <w:p w14:paraId="1BFDC771" w14:textId="77777777" w:rsidR="004733FB" w:rsidRDefault="004733FB" w:rsidP="00634826">
            <w:pPr>
              <w:pStyle w:val="ToolTableText"/>
            </w:pPr>
            <w:r>
              <w:t>2</w:t>
            </w:r>
          </w:p>
        </w:tc>
        <w:tc>
          <w:tcPr>
            <w:tcW w:w="4344" w:type="dxa"/>
          </w:tcPr>
          <w:p w14:paraId="71D8F637" w14:textId="77777777" w:rsidR="004733FB" w:rsidRDefault="004733FB" w:rsidP="00634826">
            <w:pPr>
              <w:pStyle w:val="ToolTableText"/>
            </w:pPr>
            <w:r>
              <w:t>I usually met deadlines and usually came to meetings prepared.</w:t>
            </w:r>
          </w:p>
        </w:tc>
        <w:tc>
          <w:tcPr>
            <w:tcW w:w="3003" w:type="dxa"/>
            <w:vMerge/>
          </w:tcPr>
          <w:p w14:paraId="2B6A96B7" w14:textId="77777777" w:rsidR="004733FB" w:rsidRPr="00790BCC" w:rsidRDefault="004733FB" w:rsidP="00634826">
            <w:pPr>
              <w:pStyle w:val="ToolTableText"/>
            </w:pPr>
          </w:p>
        </w:tc>
      </w:tr>
      <w:tr w:rsidR="004733FB" w:rsidRPr="00790BCC" w14:paraId="186F3360" w14:textId="77777777" w:rsidTr="00F8189A">
        <w:trPr>
          <w:trHeight w:val="135"/>
        </w:trPr>
        <w:tc>
          <w:tcPr>
            <w:tcW w:w="1650" w:type="dxa"/>
            <w:vMerge/>
          </w:tcPr>
          <w:p w14:paraId="21DA6E80" w14:textId="77777777" w:rsidR="004733FB" w:rsidRDefault="004733FB" w:rsidP="00634826">
            <w:pPr>
              <w:pStyle w:val="ToolTableText"/>
            </w:pPr>
          </w:p>
        </w:tc>
        <w:tc>
          <w:tcPr>
            <w:tcW w:w="358" w:type="dxa"/>
          </w:tcPr>
          <w:p w14:paraId="53CDF57F" w14:textId="77777777" w:rsidR="004733FB" w:rsidRDefault="004733FB" w:rsidP="00634826">
            <w:pPr>
              <w:pStyle w:val="ToolTableText"/>
            </w:pPr>
            <w:r>
              <w:t>1</w:t>
            </w:r>
          </w:p>
        </w:tc>
        <w:tc>
          <w:tcPr>
            <w:tcW w:w="4344" w:type="dxa"/>
          </w:tcPr>
          <w:p w14:paraId="1F4FF08A" w14:textId="77777777" w:rsidR="004733FB" w:rsidRDefault="004733FB" w:rsidP="00634826">
            <w:pPr>
              <w:pStyle w:val="ToolTableText"/>
            </w:pPr>
            <w:r>
              <w:t>I frequently missed deadlines or came to meetings unprepared.</w:t>
            </w:r>
          </w:p>
        </w:tc>
        <w:tc>
          <w:tcPr>
            <w:tcW w:w="3003" w:type="dxa"/>
            <w:vMerge/>
          </w:tcPr>
          <w:p w14:paraId="58CBAB15" w14:textId="77777777" w:rsidR="004733FB" w:rsidRPr="00790BCC" w:rsidRDefault="004733FB" w:rsidP="00634826">
            <w:pPr>
              <w:pStyle w:val="ToolTableText"/>
            </w:pPr>
          </w:p>
        </w:tc>
      </w:tr>
      <w:tr w:rsidR="00421252" w:rsidRPr="00790BCC" w14:paraId="2B9E3526" w14:textId="77777777" w:rsidTr="00F8189A">
        <w:trPr>
          <w:trHeight w:val="138"/>
        </w:trPr>
        <w:tc>
          <w:tcPr>
            <w:tcW w:w="1650" w:type="dxa"/>
            <w:vMerge w:val="restart"/>
          </w:tcPr>
          <w:p w14:paraId="7D12AF2E" w14:textId="77777777" w:rsidR="00421252" w:rsidRPr="00790BCC" w:rsidRDefault="00421252" w:rsidP="00634826">
            <w:pPr>
              <w:pStyle w:val="ToolTableText"/>
            </w:pPr>
            <w:r>
              <w:t>Collegiality</w:t>
            </w:r>
          </w:p>
        </w:tc>
        <w:tc>
          <w:tcPr>
            <w:tcW w:w="358" w:type="dxa"/>
          </w:tcPr>
          <w:p w14:paraId="50D77896" w14:textId="77777777" w:rsidR="00421252" w:rsidRPr="00790BCC" w:rsidRDefault="00E50E84" w:rsidP="00634826">
            <w:pPr>
              <w:pStyle w:val="ToolTableText"/>
            </w:pPr>
            <w:r>
              <w:t>3</w:t>
            </w:r>
          </w:p>
        </w:tc>
        <w:tc>
          <w:tcPr>
            <w:tcW w:w="4344" w:type="dxa"/>
          </w:tcPr>
          <w:p w14:paraId="7539FC83" w14:textId="77777777" w:rsidR="00E50E84" w:rsidRPr="00790BCC" w:rsidRDefault="00E50E84" w:rsidP="00634826">
            <w:pPr>
              <w:pStyle w:val="ToolTableText"/>
            </w:pPr>
            <w:r>
              <w:t>I consistently showed respect for other group members.</w:t>
            </w:r>
          </w:p>
        </w:tc>
        <w:tc>
          <w:tcPr>
            <w:tcW w:w="3003" w:type="dxa"/>
            <w:vMerge w:val="restart"/>
          </w:tcPr>
          <w:p w14:paraId="4C992E9E" w14:textId="77777777" w:rsidR="00421252" w:rsidRPr="00790BCC" w:rsidRDefault="00421252" w:rsidP="00634826">
            <w:pPr>
              <w:pStyle w:val="ToolTableText"/>
            </w:pPr>
          </w:p>
        </w:tc>
      </w:tr>
      <w:tr w:rsidR="00421252" w:rsidRPr="00790BCC" w14:paraId="736BA278" w14:textId="77777777" w:rsidTr="00F8189A">
        <w:trPr>
          <w:trHeight w:val="135"/>
        </w:trPr>
        <w:tc>
          <w:tcPr>
            <w:tcW w:w="1650" w:type="dxa"/>
            <w:vMerge/>
          </w:tcPr>
          <w:p w14:paraId="6F69ACCC" w14:textId="77777777" w:rsidR="00421252" w:rsidRDefault="00421252" w:rsidP="00634826">
            <w:pPr>
              <w:pStyle w:val="ToolTableText"/>
            </w:pPr>
          </w:p>
        </w:tc>
        <w:tc>
          <w:tcPr>
            <w:tcW w:w="358" w:type="dxa"/>
          </w:tcPr>
          <w:p w14:paraId="4416FE94" w14:textId="77777777" w:rsidR="00421252" w:rsidRPr="00790BCC" w:rsidRDefault="00421252" w:rsidP="00634826">
            <w:pPr>
              <w:pStyle w:val="ToolTableText"/>
            </w:pPr>
            <w:r>
              <w:t>2</w:t>
            </w:r>
          </w:p>
        </w:tc>
        <w:tc>
          <w:tcPr>
            <w:tcW w:w="4344" w:type="dxa"/>
          </w:tcPr>
          <w:p w14:paraId="41313FF8" w14:textId="77777777" w:rsidR="00421252" w:rsidRPr="00790BCC" w:rsidRDefault="00421252" w:rsidP="00634826">
            <w:pPr>
              <w:pStyle w:val="ToolTableText"/>
            </w:pPr>
            <w:r>
              <w:t>I usually showed respect for other group members.</w:t>
            </w:r>
          </w:p>
        </w:tc>
        <w:tc>
          <w:tcPr>
            <w:tcW w:w="3003" w:type="dxa"/>
            <w:vMerge/>
          </w:tcPr>
          <w:p w14:paraId="196FDC85" w14:textId="77777777" w:rsidR="00421252" w:rsidRPr="00790BCC" w:rsidRDefault="00421252" w:rsidP="00634826">
            <w:pPr>
              <w:pStyle w:val="ToolTableText"/>
            </w:pPr>
          </w:p>
        </w:tc>
      </w:tr>
      <w:tr w:rsidR="00421252" w:rsidRPr="00790BCC" w14:paraId="37545AD5" w14:textId="77777777" w:rsidTr="00F8189A">
        <w:trPr>
          <w:trHeight w:val="135"/>
        </w:trPr>
        <w:tc>
          <w:tcPr>
            <w:tcW w:w="1650" w:type="dxa"/>
            <w:vMerge/>
          </w:tcPr>
          <w:p w14:paraId="0344D2BA" w14:textId="77777777" w:rsidR="00421252" w:rsidRDefault="00421252" w:rsidP="00634826">
            <w:pPr>
              <w:pStyle w:val="ToolTableText"/>
            </w:pPr>
          </w:p>
        </w:tc>
        <w:tc>
          <w:tcPr>
            <w:tcW w:w="358" w:type="dxa"/>
          </w:tcPr>
          <w:p w14:paraId="0254EA3D" w14:textId="77777777" w:rsidR="00421252" w:rsidRPr="00790BCC" w:rsidRDefault="00E50E84" w:rsidP="00634826">
            <w:pPr>
              <w:pStyle w:val="ToolTableText"/>
            </w:pPr>
            <w:r>
              <w:t>1</w:t>
            </w:r>
          </w:p>
        </w:tc>
        <w:tc>
          <w:tcPr>
            <w:tcW w:w="4344" w:type="dxa"/>
          </w:tcPr>
          <w:p w14:paraId="0EAAD047" w14:textId="77777777" w:rsidR="00421252" w:rsidRPr="00790BCC" w:rsidRDefault="00E50E84" w:rsidP="00634826">
            <w:pPr>
              <w:pStyle w:val="ToolTableText"/>
            </w:pPr>
            <w:r>
              <w:t>I was frequently disrespectful of other members.</w:t>
            </w:r>
          </w:p>
        </w:tc>
        <w:tc>
          <w:tcPr>
            <w:tcW w:w="3003" w:type="dxa"/>
            <w:vMerge/>
          </w:tcPr>
          <w:p w14:paraId="4A04DB0D" w14:textId="77777777" w:rsidR="00421252" w:rsidRPr="00790BCC" w:rsidRDefault="00421252" w:rsidP="00634826">
            <w:pPr>
              <w:pStyle w:val="ToolTableText"/>
            </w:pPr>
          </w:p>
        </w:tc>
      </w:tr>
      <w:tr w:rsidR="00421252" w:rsidRPr="00790BCC" w14:paraId="12081716" w14:textId="77777777" w:rsidTr="00F8189A">
        <w:trPr>
          <w:trHeight w:val="142"/>
        </w:trPr>
        <w:tc>
          <w:tcPr>
            <w:tcW w:w="1650" w:type="dxa"/>
            <w:vMerge w:val="restart"/>
          </w:tcPr>
          <w:p w14:paraId="3A2D6E3A" w14:textId="77777777" w:rsidR="00421252" w:rsidRDefault="00421252" w:rsidP="00634826">
            <w:pPr>
              <w:pStyle w:val="ToolTableText"/>
            </w:pPr>
            <w:r>
              <w:t>Performance</w:t>
            </w:r>
          </w:p>
        </w:tc>
        <w:tc>
          <w:tcPr>
            <w:tcW w:w="358" w:type="dxa"/>
          </w:tcPr>
          <w:p w14:paraId="7BEA8088" w14:textId="77777777" w:rsidR="00421252" w:rsidRDefault="00E50E84" w:rsidP="00634826">
            <w:pPr>
              <w:pStyle w:val="ToolTableText"/>
            </w:pPr>
            <w:r>
              <w:t>3</w:t>
            </w:r>
          </w:p>
        </w:tc>
        <w:tc>
          <w:tcPr>
            <w:tcW w:w="4344" w:type="dxa"/>
          </w:tcPr>
          <w:p w14:paraId="6E51DCF6" w14:textId="77777777" w:rsidR="00421252" w:rsidRDefault="00E50E84" w:rsidP="00634826">
            <w:pPr>
              <w:pStyle w:val="ToolTableText"/>
            </w:pPr>
            <w:r>
              <w:t>I carefully researched the excerpt to help me understand the text, and I practiced one or more times per day.</w:t>
            </w:r>
          </w:p>
        </w:tc>
        <w:tc>
          <w:tcPr>
            <w:tcW w:w="3003" w:type="dxa"/>
            <w:vMerge w:val="restart"/>
          </w:tcPr>
          <w:p w14:paraId="5596B770" w14:textId="77777777" w:rsidR="00421252" w:rsidRPr="00790BCC" w:rsidRDefault="00421252" w:rsidP="00634826">
            <w:pPr>
              <w:pStyle w:val="ToolTableText"/>
            </w:pPr>
          </w:p>
        </w:tc>
      </w:tr>
      <w:tr w:rsidR="00421252" w:rsidRPr="00790BCC" w14:paraId="0AF5F509" w14:textId="77777777" w:rsidTr="00F8189A">
        <w:trPr>
          <w:trHeight w:val="141"/>
        </w:trPr>
        <w:tc>
          <w:tcPr>
            <w:tcW w:w="1650" w:type="dxa"/>
            <w:vMerge/>
          </w:tcPr>
          <w:p w14:paraId="5B6A60D6" w14:textId="77777777" w:rsidR="00421252" w:rsidRDefault="00421252" w:rsidP="00634826">
            <w:pPr>
              <w:pStyle w:val="ToolTableText"/>
            </w:pPr>
          </w:p>
        </w:tc>
        <w:tc>
          <w:tcPr>
            <w:tcW w:w="358" w:type="dxa"/>
          </w:tcPr>
          <w:p w14:paraId="1B11D447" w14:textId="77777777" w:rsidR="00421252" w:rsidRDefault="00421252" w:rsidP="00634826">
            <w:pPr>
              <w:pStyle w:val="ToolTableText"/>
            </w:pPr>
            <w:r>
              <w:t>2</w:t>
            </w:r>
          </w:p>
        </w:tc>
        <w:tc>
          <w:tcPr>
            <w:tcW w:w="4344" w:type="dxa"/>
          </w:tcPr>
          <w:p w14:paraId="160955CD" w14:textId="77777777" w:rsidR="00421252" w:rsidRDefault="00421252" w:rsidP="0065575D">
            <w:pPr>
              <w:pStyle w:val="ToolTableText"/>
            </w:pPr>
            <w:r>
              <w:t>I did some research to help me underst</w:t>
            </w:r>
            <w:r w:rsidR="0065575D">
              <w:t>an</w:t>
            </w:r>
            <w:r>
              <w:t>d the excerpt</w:t>
            </w:r>
            <w:r w:rsidR="0065575D">
              <w:t>,</w:t>
            </w:r>
            <w:r>
              <w:t xml:space="preserve"> and I practiced at least once a day.</w:t>
            </w:r>
          </w:p>
        </w:tc>
        <w:tc>
          <w:tcPr>
            <w:tcW w:w="3003" w:type="dxa"/>
            <w:vMerge/>
          </w:tcPr>
          <w:p w14:paraId="7F2D612D" w14:textId="77777777" w:rsidR="00421252" w:rsidRPr="00790BCC" w:rsidRDefault="00421252" w:rsidP="00634826">
            <w:pPr>
              <w:pStyle w:val="ToolTableText"/>
            </w:pPr>
          </w:p>
        </w:tc>
      </w:tr>
      <w:tr w:rsidR="00421252" w:rsidRPr="00790BCC" w14:paraId="53E6B12E" w14:textId="77777777" w:rsidTr="00F8189A">
        <w:trPr>
          <w:trHeight w:val="141"/>
        </w:trPr>
        <w:tc>
          <w:tcPr>
            <w:tcW w:w="1650" w:type="dxa"/>
            <w:vMerge/>
          </w:tcPr>
          <w:p w14:paraId="18C60D26" w14:textId="77777777" w:rsidR="00421252" w:rsidRDefault="00421252" w:rsidP="00634826">
            <w:pPr>
              <w:pStyle w:val="ToolTableText"/>
            </w:pPr>
          </w:p>
        </w:tc>
        <w:tc>
          <w:tcPr>
            <w:tcW w:w="358" w:type="dxa"/>
          </w:tcPr>
          <w:p w14:paraId="00F32B19" w14:textId="77777777" w:rsidR="00421252" w:rsidRDefault="00E50E84" w:rsidP="00634826">
            <w:pPr>
              <w:pStyle w:val="ToolTableText"/>
            </w:pPr>
            <w:r>
              <w:t>1</w:t>
            </w:r>
          </w:p>
        </w:tc>
        <w:tc>
          <w:tcPr>
            <w:tcW w:w="4344" w:type="dxa"/>
          </w:tcPr>
          <w:p w14:paraId="0BC90BB8" w14:textId="77777777" w:rsidR="00E50E84" w:rsidRDefault="00E50E84" w:rsidP="00634826">
            <w:pPr>
              <w:pStyle w:val="ToolTableText"/>
            </w:pPr>
            <w:r>
              <w:t>I did not spend enough time researching and practicing the excerpt.</w:t>
            </w:r>
          </w:p>
        </w:tc>
        <w:tc>
          <w:tcPr>
            <w:tcW w:w="3003" w:type="dxa"/>
            <w:vMerge/>
          </w:tcPr>
          <w:p w14:paraId="3AD336B6" w14:textId="77777777" w:rsidR="00421252" w:rsidRPr="00790BCC" w:rsidRDefault="00421252" w:rsidP="00634826">
            <w:pPr>
              <w:pStyle w:val="ToolTableText"/>
            </w:pPr>
          </w:p>
        </w:tc>
      </w:tr>
    </w:tbl>
    <w:p w14:paraId="542817C3" w14:textId="77777777" w:rsidR="00672A7F" w:rsidRDefault="00672A7F" w:rsidP="00421252"/>
    <w:sectPr w:rsidR="00672A7F" w:rsidSect="007D7FC2">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A4F0D" w14:textId="77777777" w:rsidR="00D02129" w:rsidRDefault="00D02129">
      <w:pPr>
        <w:spacing w:before="0" w:after="0" w:line="240" w:lineRule="auto"/>
      </w:pPr>
      <w:r>
        <w:separator/>
      </w:r>
    </w:p>
  </w:endnote>
  <w:endnote w:type="continuationSeparator" w:id="0">
    <w:p w14:paraId="7CC6E950" w14:textId="77777777" w:rsidR="00D02129" w:rsidRDefault="00D021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7F43B" w14:textId="77777777" w:rsidR="006F7DBA" w:rsidRDefault="006F7DBA" w:rsidP="00E85DF3">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0E152E1" w14:textId="77777777" w:rsidR="006F7DBA" w:rsidRDefault="006F7DBA" w:rsidP="00E85DF3">
    <w:pPr>
      <w:pStyle w:val="Footer"/>
    </w:pPr>
  </w:p>
  <w:p w14:paraId="5F35343D" w14:textId="77777777" w:rsidR="006F7DBA" w:rsidRDefault="006F7DBA" w:rsidP="00E85DF3"/>
  <w:p w14:paraId="1721F256" w14:textId="77777777" w:rsidR="006F7DBA" w:rsidRDefault="006F7DBA" w:rsidP="00E85D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F741" w14:textId="77777777" w:rsidR="006F7DBA" w:rsidRPr="00563CB8" w:rsidRDefault="006F7DB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6F7DBA" w14:paraId="2501E18F" w14:textId="77777777">
      <w:trPr>
        <w:trHeight w:val="705"/>
      </w:trPr>
      <w:tc>
        <w:tcPr>
          <w:tcW w:w="4609" w:type="dxa"/>
          <w:shd w:val="clear" w:color="auto" w:fill="auto"/>
          <w:vAlign w:val="center"/>
        </w:tcPr>
        <w:p w14:paraId="3F783B13" w14:textId="6D537FF2" w:rsidR="006F7DBA" w:rsidRPr="002E4C92" w:rsidRDefault="006F7DBA"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16</w:t>
          </w:r>
          <w:r w:rsidRPr="002E4C92">
            <w:t xml:space="preserve"> Date:</w:t>
          </w:r>
          <w:r w:rsidRPr="0039525B">
            <w:rPr>
              <w:b w:val="0"/>
            </w:rPr>
            <w:t xml:space="preserve"> </w:t>
          </w:r>
          <w:r>
            <w:rPr>
              <w:b w:val="0"/>
            </w:rPr>
            <w:t>6/2</w:t>
          </w:r>
          <w:r w:rsidR="00CF5249">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27F262B" w14:textId="77777777" w:rsidR="006F7DBA" w:rsidRPr="0039525B" w:rsidRDefault="006F7DB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2E7E010" w14:textId="77777777" w:rsidR="006F7DBA" w:rsidRPr="0039525B" w:rsidRDefault="006F7DBA"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48BB89A" w14:textId="77777777" w:rsidR="006F7DBA" w:rsidRPr="002E4C92" w:rsidRDefault="00D02129" w:rsidP="007017EB">
          <w:pPr>
            <w:pStyle w:val="FooterText"/>
          </w:pPr>
          <w:hyperlink r:id="rId1" w:history="1">
            <w:r w:rsidR="006F7DB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F35E747" w14:textId="77777777" w:rsidR="006F7DBA" w:rsidRPr="002E4C92" w:rsidRDefault="006F7DB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8189A">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41F66808" w14:textId="77777777" w:rsidR="006F7DBA" w:rsidRPr="002E4C92" w:rsidRDefault="006F7DB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2232A13" wp14:editId="2A11FC03">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436FEF1" w14:textId="77777777" w:rsidR="006F7DBA" w:rsidRPr="007017EB" w:rsidRDefault="006F7DBA"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B5C0" w14:textId="77777777" w:rsidR="006F7DBA" w:rsidRPr="00563CB8" w:rsidRDefault="006F7DB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238"/>
      <w:gridCol w:w="846"/>
      <w:gridCol w:w="5853"/>
    </w:tblGrid>
    <w:tr w:rsidR="006F7DBA" w14:paraId="6CE21A37" w14:textId="77777777">
      <w:trPr>
        <w:trHeight w:val="705"/>
      </w:trPr>
      <w:tc>
        <w:tcPr>
          <w:tcW w:w="4609" w:type="dxa"/>
          <w:shd w:val="clear" w:color="auto" w:fill="auto"/>
          <w:vAlign w:val="center"/>
        </w:tcPr>
        <w:p w14:paraId="686E7471" w14:textId="22E9D22C" w:rsidR="006F7DBA" w:rsidRPr="002E4C92" w:rsidRDefault="006F7DBA"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20</w:t>
          </w:r>
          <w:r w:rsidRPr="002E4C92">
            <w:t xml:space="preserve"> Date:</w:t>
          </w:r>
          <w:r w:rsidRPr="0039525B">
            <w:rPr>
              <w:b w:val="0"/>
            </w:rPr>
            <w:t xml:space="preserve"> </w:t>
          </w:r>
          <w:r>
            <w:rPr>
              <w:b w:val="0"/>
            </w:rPr>
            <w:t>6/2</w:t>
          </w:r>
          <w:r w:rsidR="00CF5249">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0761041" w14:textId="77777777" w:rsidR="006F7DBA" w:rsidRPr="0039525B" w:rsidRDefault="006F7DB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C5A7B74" w14:textId="77777777" w:rsidR="006F7DBA" w:rsidRPr="0039525B" w:rsidRDefault="006F7DBA"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63F1C6F" w14:textId="77777777" w:rsidR="006F7DBA" w:rsidRPr="002E4C92" w:rsidRDefault="00D02129" w:rsidP="007017EB">
          <w:pPr>
            <w:pStyle w:val="FooterText"/>
          </w:pPr>
          <w:hyperlink r:id="rId1" w:history="1">
            <w:r w:rsidR="006F7DB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E329B94" w14:textId="77777777" w:rsidR="006F7DBA" w:rsidRPr="002E4C92" w:rsidRDefault="006F7DB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8189A">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66873AA8" w14:textId="77777777" w:rsidR="006F7DBA" w:rsidRPr="002E4C92" w:rsidRDefault="006F7DB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EFDC227" wp14:editId="380E1B73">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914B25B" w14:textId="77777777" w:rsidR="006F7DBA" w:rsidRPr="007017EB" w:rsidRDefault="006F7DBA"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4231" w14:textId="77777777" w:rsidR="006F7DBA" w:rsidRPr="00563CB8" w:rsidRDefault="006F7DB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79"/>
      <w:gridCol w:w="618"/>
      <w:gridCol w:w="4246"/>
    </w:tblGrid>
    <w:tr w:rsidR="006F7DBA" w14:paraId="73B03117" w14:textId="77777777">
      <w:trPr>
        <w:trHeight w:val="705"/>
      </w:trPr>
      <w:tc>
        <w:tcPr>
          <w:tcW w:w="4609" w:type="dxa"/>
          <w:shd w:val="clear" w:color="auto" w:fill="auto"/>
          <w:vAlign w:val="center"/>
        </w:tcPr>
        <w:p w14:paraId="12024D49" w14:textId="0EADF003" w:rsidR="006F7DBA" w:rsidRPr="002E4C92" w:rsidRDefault="006F7DBA"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16</w:t>
          </w:r>
          <w:r w:rsidRPr="002E4C92">
            <w:t xml:space="preserve"> Date:</w:t>
          </w:r>
          <w:r w:rsidRPr="0039525B">
            <w:rPr>
              <w:b w:val="0"/>
            </w:rPr>
            <w:t xml:space="preserve"> </w:t>
          </w:r>
          <w:r>
            <w:rPr>
              <w:b w:val="0"/>
            </w:rPr>
            <w:t>6/2</w:t>
          </w:r>
          <w:r w:rsidR="00CF5249">
            <w:rPr>
              <w:b w:val="0"/>
            </w:rPr>
            <w:t>5</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D5BAA2E" w14:textId="77777777" w:rsidR="006F7DBA" w:rsidRPr="0039525B" w:rsidRDefault="006F7DB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409C9D8C" w14:textId="77777777" w:rsidR="006F7DBA" w:rsidRPr="0039525B" w:rsidRDefault="006F7DBA"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354E0FF" w14:textId="77777777" w:rsidR="006F7DBA" w:rsidRPr="002E4C92" w:rsidRDefault="00D02129" w:rsidP="007017EB">
          <w:pPr>
            <w:pStyle w:val="FooterText"/>
          </w:pPr>
          <w:hyperlink r:id="rId1" w:history="1">
            <w:r w:rsidR="006F7DB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A486801" w14:textId="77777777" w:rsidR="006F7DBA" w:rsidRPr="002E4C92" w:rsidRDefault="006F7DB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8189A">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46CAF89B" w14:textId="77777777" w:rsidR="006F7DBA" w:rsidRPr="002E4C92" w:rsidRDefault="006F7DB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03FD6FC" wp14:editId="7C272A9B">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95836F1" w14:textId="77777777" w:rsidR="006F7DBA" w:rsidRPr="007017EB" w:rsidRDefault="006F7DB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9F6B" w14:textId="77777777" w:rsidR="00D02129" w:rsidRDefault="00D02129">
      <w:pPr>
        <w:spacing w:before="0" w:after="0" w:line="240" w:lineRule="auto"/>
      </w:pPr>
      <w:r>
        <w:separator/>
      </w:r>
    </w:p>
  </w:footnote>
  <w:footnote w:type="continuationSeparator" w:id="0">
    <w:p w14:paraId="636AC464" w14:textId="77777777" w:rsidR="00D02129" w:rsidRDefault="00D0212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6F7DBA" w:rsidRPr="00563CB8" w14:paraId="76FE0340" w14:textId="77777777">
      <w:tc>
        <w:tcPr>
          <w:tcW w:w="3708" w:type="dxa"/>
          <w:shd w:val="clear" w:color="auto" w:fill="auto"/>
        </w:tcPr>
        <w:p w14:paraId="3BC4413F" w14:textId="77777777" w:rsidR="006F7DBA" w:rsidRPr="00563CB8" w:rsidRDefault="006F7DB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307EB05" w14:textId="77777777" w:rsidR="006F7DBA" w:rsidRPr="00563CB8" w:rsidRDefault="006F7DBA" w:rsidP="007017EB">
          <w:pPr>
            <w:jc w:val="center"/>
          </w:pPr>
          <w:r w:rsidRPr="00563CB8">
            <w:t>D R A F T</w:t>
          </w:r>
        </w:p>
      </w:tc>
      <w:tc>
        <w:tcPr>
          <w:tcW w:w="3438" w:type="dxa"/>
          <w:shd w:val="clear" w:color="auto" w:fill="auto"/>
        </w:tcPr>
        <w:p w14:paraId="11D0168E" w14:textId="77777777" w:rsidR="006F7DBA" w:rsidRPr="00E946A0" w:rsidRDefault="006F7DBA" w:rsidP="007017EB">
          <w:pPr>
            <w:pStyle w:val="PageHeader"/>
            <w:jc w:val="right"/>
            <w:rPr>
              <w:b w:val="0"/>
            </w:rPr>
          </w:pPr>
          <w:r>
            <w:rPr>
              <w:b w:val="0"/>
            </w:rPr>
            <w:t>Grade 10 • Module 4 • Unit 2 • Lesson 16</w:t>
          </w:r>
        </w:p>
      </w:tc>
    </w:tr>
  </w:tbl>
  <w:p w14:paraId="09CF9AE6" w14:textId="77777777" w:rsidR="006F7DBA" w:rsidRPr="007017EB" w:rsidRDefault="006F7DBA"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018"/>
      <w:gridCol w:w="3289"/>
      <w:gridCol w:w="4653"/>
    </w:tblGrid>
    <w:tr w:rsidR="006F7DBA" w:rsidRPr="00563CB8" w14:paraId="37F9190D" w14:textId="77777777">
      <w:tc>
        <w:tcPr>
          <w:tcW w:w="3708" w:type="dxa"/>
          <w:shd w:val="clear" w:color="auto" w:fill="auto"/>
        </w:tcPr>
        <w:p w14:paraId="7ED22E00" w14:textId="77777777" w:rsidR="006F7DBA" w:rsidRPr="00563CB8" w:rsidRDefault="006F7DB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03BB3BA" w14:textId="77777777" w:rsidR="006F7DBA" w:rsidRPr="00563CB8" w:rsidRDefault="006F7DBA" w:rsidP="007017EB">
          <w:pPr>
            <w:jc w:val="center"/>
          </w:pPr>
          <w:r w:rsidRPr="00563CB8">
            <w:t>D R A F T</w:t>
          </w:r>
        </w:p>
      </w:tc>
      <w:tc>
        <w:tcPr>
          <w:tcW w:w="3438" w:type="dxa"/>
          <w:shd w:val="clear" w:color="auto" w:fill="auto"/>
        </w:tcPr>
        <w:p w14:paraId="6D6ADEFA" w14:textId="77777777" w:rsidR="006F7DBA" w:rsidRPr="00E946A0" w:rsidRDefault="006F7DBA" w:rsidP="007017EB">
          <w:pPr>
            <w:pStyle w:val="PageHeader"/>
            <w:jc w:val="right"/>
            <w:rPr>
              <w:b w:val="0"/>
            </w:rPr>
          </w:pPr>
          <w:r>
            <w:rPr>
              <w:b w:val="0"/>
            </w:rPr>
            <w:t>Grade 10 • Module 4 • Unit 2 • Lesson 16</w:t>
          </w:r>
        </w:p>
      </w:tc>
    </w:tr>
  </w:tbl>
  <w:p w14:paraId="6A42E7DA" w14:textId="77777777" w:rsidR="006F7DBA" w:rsidRPr="007017EB" w:rsidRDefault="006F7DBA"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6F7DBA" w:rsidRPr="00563CB8" w14:paraId="496D28CE" w14:textId="77777777">
      <w:tc>
        <w:tcPr>
          <w:tcW w:w="3708" w:type="dxa"/>
          <w:shd w:val="clear" w:color="auto" w:fill="auto"/>
        </w:tcPr>
        <w:p w14:paraId="4930939B" w14:textId="77777777" w:rsidR="006F7DBA" w:rsidRPr="00563CB8" w:rsidRDefault="006F7DB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79B7A65" w14:textId="77777777" w:rsidR="006F7DBA" w:rsidRPr="00563CB8" w:rsidRDefault="006F7DBA" w:rsidP="007017EB">
          <w:pPr>
            <w:jc w:val="center"/>
          </w:pPr>
          <w:r w:rsidRPr="00563CB8">
            <w:t>D R A F T</w:t>
          </w:r>
        </w:p>
      </w:tc>
      <w:tc>
        <w:tcPr>
          <w:tcW w:w="3438" w:type="dxa"/>
          <w:shd w:val="clear" w:color="auto" w:fill="auto"/>
        </w:tcPr>
        <w:p w14:paraId="52B373C5" w14:textId="77777777" w:rsidR="006F7DBA" w:rsidRPr="00E946A0" w:rsidRDefault="006F7DBA" w:rsidP="007017EB">
          <w:pPr>
            <w:pStyle w:val="PageHeader"/>
            <w:jc w:val="right"/>
            <w:rPr>
              <w:b w:val="0"/>
            </w:rPr>
          </w:pPr>
          <w:r>
            <w:rPr>
              <w:b w:val="0"/>
            </w:rPr>
            <w:t>Grade 10 • Module 4 • Unit 2 • Lesson 16</w:t>
          </w:r>
        </w:p>
      </w:tc>
    </w:tr>
  </w:tbl>
  <w:p w14:paraId="7BC33150" w14:textId="77777777" w:rsidR="006F7DBA" w:rsidRPr="007017EB" w:rsidRDefault="006F7DB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2282080"/>
    <w:multiLevelType w:val="hybridMultilevel"/>
    <w:tmpl w:val="6602C0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254ED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5362EF"/>
    <w:multiLevelType w:val="hybridMultilevel"/>
    <w:tmpl w:val="C3F63B0A"/>
    <w:lvl w:ilvl="0" w:tplc="39E20F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B33A60D2"/>
    <w:lvl w:ilvl="0" w:tplc="FE22185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A849AD"/>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0"/>
  </w:num>
  <w:num w:numId="5">
    <w:abstractNumId w:val="1"/>
  </w:num>
  <w:num w:numId="6">
    <w:abstractNumId w:val="12"/>
  </w:num>
  <w:num w:numId="7">
    <w:abstractNumId w:val="7"/>
    <w:lvlOverride w:ilvl="0">
      <w:startOverride w:val="1"/>
    </w:lvlOverride>
  </w:num>
  <w:num w:numId="8">
    <w:abstractNumId w:val="14"/>
  </w:num>
  <w:num w:numId="9">
    <w:abstractNumId w:val="2"/>
  </w:num>
  <w:num w:numId="10">
    <w:abstractNumId w:val="11"/>
  </w:num>
  <w:num w:numId="11">
    <w:abstractNumId w:val="16"/>
  </w:num>
  <w:num w:numId="12">
    <w:abstractNumId w:val="7"/>
  </w:num>
  <w:num w:numId="13">
    <w:abstractNumId w:val="7"/>
    <w:lvlOverride w:ilvl="0">
      <w:startOverride w:val="1"/>
    </w:lvlOverride>
  </w:num>
  <w:num w:numId="14">
    <w:abstractNumId w:val="5"/>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8"/>
  </w:num>
  <w:num w:numId="21">
    <w:abstractNumId w:val="16"/>
    <w:lvlOverride w:ilvl="0">
      <w:startOverride w:val="3"/>
    </w:lvlOverride>
  </w:num>
  <w:num w:numId="22">
    <w:abstractNumId w:val="6"/>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02039"/>
    <w:rsid w:val="00004080"/>
    <w:rsid w:val="00004365"/>
    <w:rsid w:val="00030FDF"/>
    <w:rsid w:val="00043A80"/>
    <w:rsid w:val="00053BCB"/>
    <w:rsid w:val="00073EAA"/>
    <w:rsid w:val="00076D27"/>
    <w:rsid w:val="00082162"/>
    <w:rsid w:val="00096F6C"/>
    <w:rsid w:val="000A63BA"/>
    <w:rsid w:val="000B3273"/>
    <w:rsid w:val="000B3A6F"/>
    <w:rsid w:val="000D4C92"/>
    <w:rsid w:val="000F4AB9"/>
    <w:rsid w:val="000F5245"/>
    <w:rsid w:val="001148B7"/>
    <w:rsid w:val="00117478"/>
    <w:rsid w:val="00135C50"/>
    <w:rsid w:val="001426AD"/>
    <w:rsid w:val="00144B97"/>
    <w:rsid w:val="001735F1"/>
    <w:rsid w:val="0017415C"/>
    <w:rsid w:val="0017616A"/>
    <w:rsid w:val="001A5DB6"/>
    <w:rsid w:val="001B160C"/>
    <w:rsid w:val="001C012E"/>
    <w:rsid w:val="001C20FC"/>
    <w:rsid w:val="001D7A4D"/>
    <w:rsid w:val="00201F1C"/>
    <w:rsid w:val="0020515E"/>
    <w:rsid w:val="00240BD5"/>
    <w:rsid w:val="002437EE"/>
    <w:rsid w:val="002447A0"/>
    <w:rsid w:val="002561B9"/>
    <w:rsid w:val="0026179C"/>
    <w:rsid w:val="00263424"/>
    <w:rsid w:val="00273945"/>
    <w:rsid w:val="00275843"/>
    <w:rsid w:val="00276B2B"/>
    <w:rsid w:val="00280892"/>
    <w:rsid w:val="00290674"/>
    <w:rsid w:val="002A224B"/>
    <w:rsid w:val="002A3F83"/>
    <w:rsid w:val="002C14CE"/>
    <w:rsid w:val="002D2A9B"/>
    <w:rsid w:val="00311457"/>
    <w:rsid w:val="00312BB4"/>
    <w:rsid w:val="00321293"/>
    <w:rsid w:val="00325BF7"/>
    <w:rsid w:val="0033120E"/>
    <w:rsid w:val="00341F48"/>
    <w:rsid w:val="0037140B"/>
    <w:rsid w:val="0037158E"/>
    <w:rsid w:val="00375F1E"/>
    <w:rsid w:val="0037711E"/>
    <w:rsid w:val="00382FDA"/>
    <w:rsid w:val="00383D28"/>
    <w:rsid w:val="00387F9D"/>
    <w:rsid w:val="00391A35"/>
    <w:rsid w:val="003940F4"/>
    <w:rsid w:val="00394183"/>
    <w:rsid w:val="003A403A"/>
    <w:rsid w:val="003A7520"/>
    <w:rsid w:val="003B4ED9"/>
    <w:rsid w:val="003C497E"/>
    <w:rsid w:val="003C58A4"/>
    <w:rsid w:val="003C5989"/>
    <w:rsid w:val="003D1D0C"/>
    <w:rsid w:val="003D1F39"/>
    <w:rsid w:val="003D2BE9"/>
    <w:rsid w:val="003D3A8E"/>
    <w:rsid w:val="003F4315"/>
    <w:rsid w:val="0040231E"/>
    <w:rsid w:val="00414B7C"/>
    <w:rsid w:val="00421252"/>
    <w:rsid w:val="004237BB"/>
    <w:rsid w:val="00426C9E"/>
    <w:rsid w:val="00432F1C"/>
    <w:rsid w:val="00436876"/>
    <w:rsid w:val="004478B5"/>
    <w:rsid w:val="004733FB"/>
    <w:rsid w:val="00473DD5"/>
    <w:rsid w:val="0047434E"/>
    <w:rsid w:val="00480E3E"/>
    <w:rsid w:val="00483C06"/>
    <w:rsid w:val="00484924"/>
    <w:rsid w:val="00492EE0"/>
    <w:rsid w:val="0049300D"/>
    <w:rsid w:val="00495F9B"/>
    <w:rsid w:val="004A2C91"/>
    <w:rsid w:val="004A605A"/>
    <w:rsid w:val="004A6799"/>
    <w:rsid w:val="004B4C9D"/>
    <w:rsid w:val="004C3E48"/>
    <w:rsid w:val="004D181B"/>
    <w:rsid w:val="0051295A"/>
    <w:rsid w:val="0051467B"/>
    <w:rsid w:val="00516913"/>
    <w:rsid w:val="00517421"/>
    <w:rsid w:val="00534ED2"/>
    <w:rsid w:val="00544917"/>
    <w:rsid w:val="005558EF"/>
    <w:rsid w:val="00557A17"/>
    <w:rsid w:val="00593ECA"/>
    <w:rsid w:val="005A6186"/>
    <w:rsid w:val="005B3AAB"/>
    <w:rsid w:val="005B7C1C"/>
    <w:rsid w:val="005D2B42"/>
    <w:rsid w:val="005F1F89"/>
    <w:rsid w:val="005F5855"/>
    <w:rsid w:val="005F5A23"/>
    <w:rsid w:val="006177AB"/>
    <w:rsid w:val="006336F3"/>
    <w:rsid w:val="00634826"/>
    <w:rsid w:val="006378B9"/>
    <w:rsid w:val="006436F8"/>
    <w:rsid w:val="00646567"/>
    <w:rsid w:val="00653959"/>
    <w:rsid w:val="0065575D"/>
    <w:rsid w:val="00660358"/>
    <w:rsid w:val="006613AE"/>
    <w:rsid w:val="00666307"/>
    <w:rsid w:val="0067012A"/>
    <w:rsid w:val="00672A7F"/>
    <w:rsid w:val="00677E4F"/>
    <w:rsid w:val="00690BA8"/>
    <w:rsid w:val="0069555D"/>
    <w:rsid w:val="006B0060"/>
    <w:rsid w:val="006B448D"/>
    <w:rsid w:val="006B54C6"/>
    <w:rsid w:val="006C08C8"/>
    <w:rsid w:val="006C11E6"/>
    <w:rsid w:val="006D1DCE"/>
    <w:rsid w:val="006D55DC"/>
    <w:rsid w:val="006E07ED"/>
    <w:rsid w:val="006E0F68"/>
    <w:rsid w:val="006E48F4"/>
    <w:rsid w:val="006F7DBA"/>
    <w:rsid w:val="007017EB"/>
    <w:rsid w:val="007202C7"/>
    <w:rsid w:val="007230DD"/>
    <w:rsid w:val="007236DA"/>
    <w:rsid w:val="00724FA5"/>
    <w:rsid w:val="007268A4"/>
    <w:rsid w:val="007341BE"/>
    <w:rsid w:val="00734EA4"/>
    <w:rsid w:val="00741027"/>
    <w:rsid w:val="00741880"/>
    <w:rsid w:val="00744A4C"/>
    <w:rsid w:val="007618D6"/>
    <w:rsid w:val="00767BD6"/>
    <w:rsid w:val="00773857"/>
    <w:rsid w:val="00784C2F"/>
    <w:rsid w:val="007874B4"/>
    <w:rsid w:val="00790BCC"/>
    <w:rsid w:val="007946A6"/>
    <w:rsid w:val="007A081B"/>
    <w:rsid w:val="007C0CA2"/>
    <w:rsid w:val="007C43FC"/>
    <w:rsid w:val="007C4EFF"/>
    <w:rsid w:val="007C5DD9"/>
    <w:rsid w:val="007D1678"/>
    <w:rsid w:val="007D1AFD"/>
    <w:rsid w:val="007D2598"/>
    <w:rsid w:val="007D587D"/>
    <w:rsid w:val="007D7FC2"/>
    <w:rsid w:val="007E484F"/>
    <w:rsid w:val="007F1332"/>
    <w:rsid w:val="00800C95"/>
    <w:rsid w:val="00811FB7"/>
    <w:rsid w:val="008165F2"/>
    <w:rsid w:val="00817363"/>
    <w:rsid w:val="00820B81"/>
    <w:rsid w:val="00821B8A"/>
    <w:rsid w:val="00834721"/>
    <w:rsid w:val="00842986"/>
    <w:rsid w:val="00842ADC"/>
    <w:rsid w:val="008613B0"/>
    <w:rsid w:val="008801A3"/>
    <w:rsid w:val="008A53A4"/>
    <w:rsid w:val="008B0AB3"/>
    <w:rsid w:val="008B1AED"/>
    <w:rsid w:val="008E0122"/>
    <w:rsid w:val="008E5C96"/>
    <w:rsid w:val="008F2D8F"/>
    <w:rsid w:val="00902CF8"/>
    <w:rsid w:val="00905C8C"/>
    <w:rsid w:val="0091282B"/>
    <w:rsid w:val="00917B25"/>
    <w:rsid w:val="00920367"/>
    <w:rsid w:val="00924BD5"/>
    <w:rsid w:val="009450B7"/>
    <w:rsid w:val="009450F1"/>
    <w:rsid w:val="009517D5"/>
    <w:rsid w:val="009557FE"/>
    <w:rsid w:val="0096443E"/>
    <w:rsid w:val="0096566C"/>
    <w:rsid w:val="00966B74"/>
    <w:rsid w:val="00970E82"/>
    <w:rsid w:val="009868CB"/>
    <w:rsid w:val="009928F3"/>
    <w:rsid w:val="009B7453"/>
    <w:rsid w:val="009C3FED"/>
    <w:rsid w:val="009D2245"/>
    <w:rsid w:val="009D6406"/>
    <w:rsid w:val="009E3016"/>
    <w:rsid w:val="00A03F41"/>
    <w:rsid w:val="00A13B6A"/>
    <w:rsid w:val="00A31410"/>
    <w:rsid w:val="00A36E15"/>
    <w:rsid w:val="00A52FA2"/>
    <w:rsid w:val="00A57281"/>
    <w:rsid w:val="00A639A8"/>
    <w:rsid w:val="00A63A47"/>
    <w:rsid w:val="00A66869"/>
    <w:rsid w:val="00A8391E"/>
    <w:rsid w:val="00A8707E"/>
    <w:rsid w:val="00A876EB"/>
    <w:rsid w:val="00AA62DA"/>
    <w:rsid w:val="00AB5636"/>
    <w:rsid w:val="00AB758D"/>
    <w:rsid w:val="00AB7725"/>
    <w:rsid w:val="00AC1B9B"/>
    <w:rsid w:val="00AC1E2A"/>
    <w:rsid w:val="00AC62B2"/>
    <w:rsid w:val="00AD3FF0"/>
    <w:rsid w:val="00AE188B"/>
    <w:rsid w:val="00AF13D8"/>
    <w:rsid w:val="00AF2A56"/>
    <w:rsid w:val="00B003D7"/>
    <w:rsid w:val="00B00BA9"/>
    <w:rsid w:val="00B24604"/>
    <w:rsid w:val="00B2462D"/>
    <w:rsid w:val="00B24A64"/>
    <w:rsid w:val="00B30E41"/>
    <w:rsid w:val="00B34445"/>
    <w:rsid w:val="00B36E8C"/>
    <w:rsid w:val="00B41746"/>
    <w:rsid w:val="00B4302D"/>
    <w:rsid w:val="00B63024"/>
    <w:rsid w:val="00B91D10"/>
    <w:rsid w:val="00BB0270"/>
    <w:rsid w:val="00BC3DC6"/>
    <w:rsid w:val="00BD411D"/>
    <w:rsid w:val="00BE33C3"/>
    <w:rsid w:val="00C009A8"/>
    <w:rsid w:val="00C078FC"/>
    <w:rsid w:val="00C10459"/>
    <w:rsid w:val="00C17554"/>
    <w:rsid w:val="00C25EF3"/>
    <w:rsid w:val="00C36A9A"/>
    <w:rsid w:val="00C5268D"/>
    <w:rsid w:val="00C54C66"/>
    <w:rsid w:val="00C54ED4"/>
    <w:rsid w:val="00C57E40"/>
    <w:rsid w:val="00C75357"/>
    <w:rsid w:val="00C951A4"/>
    <w:rsid w:val="00CA4574"/>
    <w:rsid w:val="00CB3FB5"/>
    <w:rsid w:val="00CD7FBB"/>
    <w:rsid w:val="00CF5249"/>
    <w:rsid w:val="00D02129"/>
    <w:rsid w:val="00D02612"/>
    <w:rsid w:val="00D10855"/>
    <w:rsid w:val="00D163D1"/>
    <w:rsid w:val="00D24B17"/>
    <w:rsid w:val="00D31F4D"/>
    <w:rsid w:val="00D35DC8"/>
    <w:rsid w:val="00D40DE2"/>
    <w:rsid w:val="00D43571"/>
    <w:rsid w:val="00D458BA"/>
    <w:rsid w:val="00D47322"/>
    <w:rsid w:val="00D629CB"/>
    <w:rsid w:val="00D6561F"/>
    <w:rsid w:val="00D942DF"/>
    <w:rsid w:val="00D96C89"/>
    <w:rsid w:val="00DC3D03"/>
    <w:rsid w:val="00DE6126"/>
    <w:rsid w:val="00DF066A"/>
    <w:rsid w:val="00DF31F3"/>
    <w:rsid w:val="00E050B7"/>
    <w:rsid w:val="00E132FA"/>
    <w:rsid w:val="00E25C02"/>
    <w:rsid w:val="00E50E84"/>
    <w:rsid w:val="00E51862"/>
    <w:rsid w:val="00E64777"/>
    <w:rsid w:val="00E85DF3"/>
    <w:rsid w:val="00E94374"/>
    <w:rsid w:val="00EA2ADC"/>
    <w:rsid w:val="00EA5069"/>
    <w:rsid w:val="00EC7CDC"/>
    <w:rsid w:val="00ED5620"/>
    <w:rsid w:val="00EE28F1"/>
    <w:rsid w:val="00EE2A04"/>
    <w:rsid w:val="00EE3645"/>
    <w:rsid w:val="00EF799C"/>
    <w:rsid w:val="00F21D47"/>
    <w:rsid w:val="00F506F0"/>
    <w:rsid w:val="00F56622"/>
    <w:rsid w:val="00F63EE0"/>
    <w:rsid w:val="00F66E33"/>
    <w:rsid w:val="00F758C1"/>
    <w:rsid w:val="00F76AF3"/>
    <w:rsid w:val="00F8189A"/>
    <w:rsid w:val="00F833A0"/>
    <w:rsid w:val="00FA0C5E"/>
    <w:rsid w:val="00FB0FF5"/>
    <w:rsid w:val="00FC2EC8"/>
    <w:rsid w:val="00FD1A21"/>
    <w:rsid w:val="00FD4EFA"/>
    <w:rsid w:val="00FF1DC6"/>
    <w:rsid w:val="00FF39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1DDC"/>
  <w15:docId w15:val="{A4943BC8-BB01-479E-82F5-55E890CF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rsid w:val="00421252"/>
    <w:rPr>
      <w:rFonts w:eastAsia="Calibri" w:cs="Times New Roman"/>
      <w:b/>
      <w:bCs/>
      <w:color w:val="365F91"/>
      <w:sz w:val="32"/>
      <w:szCs w:val="28"/>
    </w:rPr>
  </w:style>
  <w:style w:type="paragraph" w:styleId="Revision">
    <w:name w:val="Revision"/>
    <w:hidden/>
    <w:uiPriority w:val="99"/>
    <w:semiHidden/>
    <w:rsid w:val="00734E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council.org/ar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itishcouncil.org/art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D'Amico, Caitlin</cp:lastModifiedBy>
  <cp:revision>4</cp:revision>
  <cp:lastPrinted>2014-06-16T20:08:00Z</cp:lastPrinted>
  <dcterms:created xsi:type="dcterms:W3CDTF">2014-06-25T14:48:00Z</dcterms:created>
  <dcterms:modified xsi:type="dcterms:W3CDTF">2014-06-25T20:19:00Z</dcterms:modified>
</cp:coreProperties>
</file>