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0"/>
        <w:gridCol w:w="7470"/>
      </w:tblGrid>
      <w:tr w:rsidR="004777FE" w:rsidRPr="00CC29E0">
        <w:trPr>
          <w:trHeight w:val="1008"/>
        </w:trPr>
        <w:tc>
          <w:tcPr>
            <w:tcW w:w="1980" w:type="dxa"/>
            <w:tcBorders>
              <w:bottom w:val="single" w:sz="18" w:space="0" w:color="FFFFFF" w:themeColor="background1"/>
            </w:tcBorders>
            <w:shd w:val="clear" w:color="auto" w:fill="403152" w:themeFill="accent4" w:themeFillShade="80"/>
            <w:vAlign w:val="center"/>
          </w:tcPr>
          <w:p w:rsidR="004777FE" w:rsidRPr="009863A7" w:rsidRDefault="00F02C7F" w:rsidP="008F7523">
            <w:pPr>
              <w:pStyle w:val="Header-banner"/>
            </w:pPr>
            <w:bookmarkStart w:id="0" w:name="_GoBack"/>
            <w:bookmarkEnd w:id="0"/>
            <w:r>
              <w:t>10.4</w:t>
            </w:r>
            <w:r w:rsidR="004777FE" w:rsidRPr="009863A7">
              <w:t>.</w:t>
            </w:r>
            <w:r w:rsidR="004777FE">
              <w:t>2</w:t>
            </w:r>
          </w:p>
        </w:tc>
        <w:tc>
          <w:tcPr>
            <w:tcW w:w="7470" w:type="dxa"/>
            <w:tcBorders>
              <w:bottom w:val="single" w:sz="18" w:space="0" w:color="FFFFFF" w:themeColor="background1"/>
            </w:tcBorders>
            <w:shd w:val="clear" w:color="auto" w:fill="5F497A" w:themeFill="accent4" w:themeFillShade="BF"/>
            <w:vAlign w:val="center"/>
          </w:tcPr>
          <w:p w:rsidR="004777FE" w:rsidRPr="00F02C7F" w:rsidRDefault="00F02C7F" w:rsidP="00F02C7F">
            <w:pPr>
              <w:pStyle w:val="Header2banner"/>
              <w:rPr>
                <w:rFonts w:eastAsia="Times New Roman"/>
              </w:rPr>
            </w:pPr>
            <w:r w:rsidRPr="00F02C7F">
              <w:rPr>
                <w:rFonts w:eastAsia="Times New Roman"/>
              </w:rPr>
              <w:t>Unit Overview</w:t>
            </w:r>
          </w:p>
        </w:tc>
      </w:tr>
      <w:tr w:rsidR="004777FE" w:rsidRPr="00CC29E0">
        <w:trPr>
          <w:trHeight w:val="720"/>
        </w:trPr>
        <w:tc>
          <w:tcPr>
            <w:tcW w:w="94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rsidR="004777FE" w:rsidRPr="00F02C7F" w:rsidRDefault="004777FE" w:rsidP="00F02C7F">
            <w:pPr>
              <w:pStyle w:val="Heading1nospace"/>
              <w:keepLines/>
              <w:spacing w:before="60" w:after="0" w:line="240" w:lineRule="auto"/>
              <w:rPr>
                <w:rFonts w:ascii="Calibri" w:eastAsia="Times New Roman" w:hAnsi="Calibri"/>
                <w:color w:val="auto"/>
              </w:rPr>
            </w:pPr>
            <w:r w:rsidRPr="00F02C7F">
              <w:rPr>
                <w:rFonts w:ascii="Calibri" w:eastAsia="Times New Roman" w:hAnsi="Calibri"/>
                <w:color w:val="244061"/>
              </w:rPr>
              <w:t>“There’s no art / To find the mind’s construction in the face”</w:t>
            </w:r>
          </w:p>
        </w:tc>
      </w:tr>
      <w:tr w:rsidR="004777FE" w:rsidRPr="003539A7">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tcPr>
          <w:p w:rsidR="004777FE" w:rsidRPr="009863A7" w:rsidRDefault="004777FE" w:rsidP="00DB07DD">
            <w:pPr>
              <w:rPr>
                <w:rFonts w:asciiTheme="majorHAnsi" w:hAnsiTheme="majorHAnsi"/>
                <w:b/>
                <w:color w:val="244061" w:themeColor="accent1" w:themeShade="80"/>
              </w:rPr>
            </w:pPr>
            <w:r w:rsidRPr="009863A7">
              <w:rPr>
                <w:rFonts w:asciiTheme="majorHAnsi" w:hAnsiTheme="majorHAnsi"/>
                <w:b/>
                <w:color w:val="244061" w:themeColor="accent1" w:themeShade="80"/>
              </w:rPr>
              <w:t>Text</w:t>
            </w:r>
          </w:p>
        </w:tc>
        <w:tc>
          <w:tcPr>
            <w:tcW w:w="7470" w:type="dxa"/>
            <w:tcBorders>
              <w:top w:val="single" w:sz="8" w:space="0" w:color="403152" w:themeColor="accent4" w:themeShade="80"/>
              <w:bottom w:val="single" w:sz="8" w:space="0" w:color="403152" w:themeColor="accent4" w:themeShade="80"/>
            </w:tcBorders>
            <w:shd w:val="solid" w:color="F2F2F2" w:themeColor="background1" w:themeShade="F2" w:fill="auto"/>
          </w:tcPr>
          <w:p w:rsidR="004777FE" w:rsidRPr="00F02C7F" w:rsidRDefault="004777FE" w:rsidP="00F02C7F">
            <w:pPr>
              <w:spacing w:after="180"/>
              <w:rPr>
                <w:rFonts w:eastAsia="Times New Roman"/>
              </w:rPr>
            </w:pPr>
            <w:r w:rsidRPr="00F02C7F">
              <w:rPr>
                <w:i/>
              </w:rPr>
              <w:t>Macbeth</w:t>
            </w:r>
            <w:r w:rsidR="00F02C7F" w:rsidRPr="00F02C7F">
              <w:t xml:space="preserve"> by </w:t>
            </w:r>
            <w:r w:rsidRPr="00F02C7F">
              <w:t>William Shakespeare</w:t>
            </w:r>
          </w:p>
        </w:tc>
      </w:tr>
      <w:tr w:rsidR="004777FE" w:rsidRPr="003539A7">
        <w:trPr>
          <w:trHeight w:val="576"/>
        </w:trPr>
        <w:tc>
          <w:tcPr>
            <w:tcW w:w="1980" w:type="dxa"/>
            <w:tcBorders>
              <w:top w:val="single" w:sz="8" w:space="0" w:color="403152" w:themeColor="accent4" w:themeShade="80"/>
            </w:tcBorders>
            <w:shd w:val="solid" w:color="F2F2F2" w:themeColor="background1" w:themeShade="F2" w:fill="auto"/>
            <w:vAlign w:val="center"/>
          </w:tcPr>
          <w:p w:rsidR="004777FE" w:rsidRPr="009863A7" w:rsidRDefault="004777FE" w:rsidP="00DB07DD">
            <w:pPr>
              <w:rPr>
                <w:rFonts w:asciiTheme="majorHAnsi" w:hAnsiTheme="majorHAnsi"/>
                <w:b/>
                <w:color w:val="244061" w:themeColor="accent1" w:themeShade="80"/>
              </w:rPr>
            </w:pPr>
            <w:r w:rsidRPr="009863A7">
              <w:rPr>
                <w:rFonts w:asciiTheme="majorHAnsi" w:hAnsiTheme="majorHAnsi"/>
                <w:b/>
                <w:color w:val="244061" w:themeColor="accent1" w:themeShade="80"/>
              </w:rPr>
              <w:t>Number of Lessons in Unit</w:t>
            </w:r>
          </w:p>
        </w:tc>
        <w:tc>
          <w:tcPr>
            <w:tcW w:w="7470" w:type="dxa"/>
            <w:tcBorders>
              <w:top w:val="single" w:sz="8" w:space="0" w:color="403152" w:themeColor="accent4" w:themeShade="80"/>
            </w:tcBorders>
            <w:shd w:val="solid" w:color="F2F2F2" w:themeColor="background1" w:themeShade="F2" w:fill="auto"/>
            <w:vAlign w:val="center"/>
          </w:tcPr>
          <w:p w:rsidR="004777FE" w:rsidRPr="00F02C7F" w:rsidRDefault="004777FE" w:rsidP="00F02C7F">
            <w:pPr>
              <w:spacing w:after="180"/>
              <w:rPr>
                <w:rFonts w:eastAsia="Times New Roman"/>
              </w:rPr>
            </w:pPr>
            <w:r w:rsidRPr="00F02C7F">
              <w:t>26</w:t>
            </w:r>
            <w:r w:rsidR="006B055C" w:rsidRPr="00F02C7F">
              <w:t xml:space="preserve"> (27 with optional Lesson 23a)</w:t>
            </w:r>
          </w:p>
        </w:tc>
      </w:tr>
    </w:tbl>
    <w:p w:rsidR="004777FE" w:rsidRPr="00E34F80" w:rsidRDefault="004777FE" w:rsidP="004777FE">
      <w:pPr>
        <w:pStyle w:val="Heading1"/>
        <w:rPr>
          <w:rFonts w:asciiTheme="majorHAnsi" w:hAnsiTheme="majorHAnsi"/>
        </w:rPr>
      </w:pPr>
      <w:r w:rsidRPr="00E34F80">
        <w:rPr>
          <w:rFonts w:asciiTheme="majorHAnsi" w:hAnsiTheme="majorHAnsi"/>
        </w:rPr>
        <w:t>Introduction</w:t>
      </w:r>
    </w:p>
    <w:p w:rsidR="006B055C" w:rsidRDefault="00DB07DD" w:rsidP="006B055C">
      <w:r>
        <w:t>In this unit, students continue to develop</w:t>
      </w:r>
      <w:r w:rsidR="00D31A7F">
        <w:t xml:space="preserve"> the</w:t>
      </w:r>
      <w:r>
        <w:t xml:space="preserve"> skills, practices, and routines that they have been using in the English Language Arts classroom throughout the year: reading closely, annotating text, collaborative discussion, and evidence-based writing. </w:t>
      </w:r>
      <w:r w:rsidR="006B055C">
        <w:t>St</w:t>
      </w:r>
      <w:r w:rsidRPr="00677A89">
        <w:t xml:space="preserve">udents </w:t>
      </w:r>
      <w:r w:rsidR="000B3691">
        <w:t xml:space="preserve">develop </w:t>
      </w:r>
      <w:r w:rsidR="006B055C">
        <w:t>these</w:t>
      </w:r>
      <w:r>
        <w:t xml:space="preserve"> close reading skills as they examine Shakespeare’s </w:t>
      </w:r>
      <w:r>
        <w:rPr>
          <w:i/>
        </w:rPr>
        <w:t>Macbeth.</w:t>
      </w:r>
      <w:r>
        <w:t xml:space="preserve"> </w:t>
      </w:r>
      <w:r w:rsidR="006B055C">
        <w:t xml:space="preserve">They also continue to develop their oral presentation and argument writing skills through a series of activities across the course of the </w:t>
      </w:r>
      <w:r w:rsidR="004A1C77">
        <w:t>unit</w:t>
      </w:r>
      <w:r w:rsidR="006B055C">
        <w:t xml:space="preserve">. </w:t>
      </w:r>
    </w:p>
    <w:p w:rsidR="00EE207F" w:rsidRDefault="00DB07DD" w:rsidP="004777FE">
      <w:r>
        <w:t xml:space="preserve">The tragedy of </w:t>
      </w:r>
      <w:r>
        <w:rPr>
          <w:i/>
        </w:rPr>
        <w:t xml:space="preserve">Macbeth </w:t>
      </w:r>
      <w:r>
        <w:t xml:space="preserve">develops many central ideas, including imbalance and disorder, </w:t>
      </w:r>
      <w:r w:rsidR="009E67B8">
        <w:t xml:space="preserve">contemplating </w:t>
      </w:r>
      <w:r>
        <w:t xml:space="preserve">mortality, the role of fate and agency, and the </w:t>
      </w:r>
      <w:r w:rsidR="00EE207F">
        <w:t xml:space="preserve">relationship </w:t>
      </w:r>
      <w:r>
        <w:t xml:space="preserve">between </w:t>
      </w:r>
      <w:r w:rsidR="00EE207F">
        <w:t xml:space="preserve">appearance </w:t>
      </w:r>
      <w:r>
        <w:t xml:space="preserve">and </w:t>
      </w:r>
      <w:r w:rsidR="00EE207F">
        <w:t>reality</w:t>
      </w:r>
      <w:r w:rsidRPr="00677A89">
        <w:t xml:space="preserve">. </w:t>
      </w:r>
      <w:r>
        <w:t xml:space="preserve">Students analyze the play </w:t>
      </w:r>
      <w:r w:rsidR="00EE207F">
        <w:t>in its entirety</w:t>
      </w:r>
      <w:r>
        <w:t xml:space="preserve"> to determine how Shakespeare’s language and choices about how to structure the play impact character development and central ideas.</w:t>
      </w:r>
      <w:r w:rsidR="00EE207F">
        <w:t xml:space="preserve"> Following the End-of-Unit Assessment, students </w:t>
      </w:r>
      <w:r w:rsidR="00D31A7F">
        <w:t xml:space="preserve">consider representations of </w:t>
      </w:r>
      <w:r w:rsidR="00D31A7F" w:rsidRPr="00D31A7F">
        <w:t>Macbeth</w:t>
      </w:r>
      <w:r w:rsidR="00D31A7F">
        <w:t xml:space="preserve"> in the visual arts, and </w:t>
      </w:r>
      <w:r w:rsidR="00EE207F" w:rsidRPr="00D31A7F">
        <w:t>watch</w:t>
      </w:r>
      <w:r w:rsidR="00EE207F">
        <w:t xml:space="preserve"> </w:t>
      </w:r>
      <w:r w:rsidR="009E67B8">
        <w:t xml:space="preserve">scenes from </w:t>
      </w:r>
      <w:r w:rsidR="00EE207F">
        <w:t xml:space="preserve">two film versions of </w:t>
      </w:r>
      <w:r w:rsidR="00EE207F">
        <w:rPr>
          <w:i/>
        </w:rPr>
        <w:t>Macbeth</w:t>
      </w:r>
      <w:r w:rsidR="000B3691">
        <w:t>,</w:t>
      </w:r>
      <w:r w:rsidR="00EE207F">
        <w:t xml:space="preserve"> Akira Kurosawa’s </w:t>
      </w:r>
      <w:r w:rsidR="00EE207F">
        <w:rPr>
          <w:i/>
        </w:rPr>
        <w:t>Throne of Blood</w:t>
      </w:r>
      <w:r w:rsidR="00EE207F">
        <w:t xml:space="preserve"> and the filmed Royal Shakespeare Company version of </w:t>
      </w:r>
      <w:r w:rsidR="00EE207F">
        <w:rPr>
          <w:i/>
        </w:rPr>
        <w:t>Macbeth</w:t>
      </w:r>
      <w:r w:rsidR="00EE207F">
        <w:t xml:space="preserve">, in order to enrich their understanding of the play and to develop their ability to analyze treatments of a text across different media. </w:t>
      </w:r>
    </w:p>
    <w:p w:rsidR="00917F33" w:rsidRPr="00917F33" w:rsidRDefault="000679B0" w:rsidP="00917F33">
      <w:r w:rsidRPr="00D8077C">
        <w:t xml:space="preserve">There </w:t>
      </w:r>
      <w:r>
        <w:t>are two formal assessments in this unit.</w:t>
      </w:r>
      <w:r w:rsidRPr="00D8077C">
        <w:t xml:space="preserve"> </w:t>
      </w:r>
      <w:r>
        <w:t xml:space="preserve">The </w:t>
      </w:r>
      <w:r>
        <w:rPr>
          <w:color w:val="000000"/>
        </w:rPr>
        <w:t>Mid-Unit Assessment asks students to consider how Shakespeare’s structural choices create an effect of mystery, tension</w:t>
      </w:r>
      <w:r w:rsidR="009E67B8">
        <w:rPr>
          <w:color w:val="000000"/>
        </w:rPr>
        <w:t>,</w:t>
      </w:r>
      <w:r>
        <w:rPr>
          <w:color w:val="000000"/>
        </w:rPr>
        <w:t xml:space="preserve"> or surprise in the first two acts of the play</w:t>
      </w:r>
      <w:r>
        <w:t xml:space="preserve">. For the End-of-Unit Assessment, </w:t>
      </w:r>
      <w:r>
        <w:rPr>
          <w:color w:val="000000"/>
          <w:sz w:val="23"/>
          <w:szCs w:val="23"/>
        </w:rPr>
        <w:t xml:space="preserve">students </w:t>
      </w:r>
      <w:r>
        <w:rPr>
          <w:color w:val="000000"/>
        </w:rPr>
        <w:t xml:space="preserve">select a central character from </w:t>
      </w:r>
      <w:r>
        <w:rPr>
          <w:i/>
          <w:color w:val="000000"/>
        </w:rPr>
        <w:t xml:space="preserve">Macbeth </w:t>
      </w:r>
      <w:r>
        <w:rPr>
          <w:color w:val="000000"/>
        </w:rPr>
        <w:t>and write an argument showing how this character is primarily responsible for the tragedy</w:t>
      </w:r>
      <w:r>
        <w:rPr>
          <w:color w:val="000000"/>
          <w:sz w:val="23"/>
          <w:szCs w:val="23"/>
        </w:rPr>
        <w:t>.</w:t>
      </w:r>
      <w:r w:rsidR="00917F33">
        <w:rPr>
          <w:color w:val="000000"/>
          <w:sz w:val="23"/>
          <w:szCs w:val="23"/>
        </w:rPr>
        <w:t xml:space="preserve"> </w:t>
      </w:r>
      <w:r w:rsidR="00917F33" w:rsidRPr="00917F33">
        <w:rPr>
          <w:color w:val="000000"/>
        </w:rPr>
        <w:t xml:space="preserve">To scaffold to this End-of-Unit Assessment, students complete an Act Synopsis and Analysis Tool, on which they record important events, character development and central ideas, at the end of each act. </w:t>
      </w:r>
      <w:r w:rsidR="00D44E60">
        <w:rPr>
          <w:color w:val="000000"/>
        </w:rPr>
        <w:t xml:space="preserve">Students who require more support may use this tool to record notes throughout the reading of each act. </w:t>
      </w:r>
    </w:p>
    <w:p w:rsidR="00DB07DD" w:rsidRPr="00917F33" w:rsidRDefault="00DB07DD" w:rsidP="004777FE"/>
    <w:p w:rsidR="004777FE" w:rsidRPr="00FC3907" w:rsidRDefault="004777FE" w:rsidP="004777FE">
      <w:pPr>
        <w:pStyle w:val="Heading1"/>
        <w:rPr>
          <w:rFonts w:asciiTheme="majorHAnsi" w:hAnsiTheme="majorHAnsi"/>
        </w:rPr>
      </w:pPr>
      <w:r w:rsidRPr="00FC3907">
        <w:rPr>
          <w:rFonts w:asciiTheme="majorHAnsi" w:hAnsiTheme="majorHAnsi"/>
        </w:rPr>
        <w:lastRenderedPageBreak/>
        <w:t>Literacy Skills &amp; Habits</w:t>
      </w:r>
    </w:p>
    <w:p w:rsidR="004777FE" w:rsidRPr="003539A7" w:rsidRDefault="004777FE" w:rsidP="004777FE">
      <w:pPr>
        <w:pStyle w:val="BulletedList"/>
        <w:ind w:left="360"/>
      </w:pPr>
      <w:r w:rsidRPr="003539A7">
        <w:t>Read closely for textual details</w:t>
      </w:r>
    </w:p>
    <w:p w:rsidR="004777FE" w:rsidRPr="003539A7" w:rsidRDefault="004777FE" w:rsidP="004777FE">
      <w:pPr>
        <w:pStyle w:val="BulletedList"/>
        <w:ind w:left="360"/>
      </w:pPr>
      <w:r w:rsidRPr="003539A7">
        <w:t>Annotate texts to support comprehension and analysis</w:t>
      </w:r>
    </w:p>
    <w:p w:rsidR="004777FE" w:rsidRDefault="004777FE" w:rsidP="004777FE">
      <w:pPr>
        <w:pStyle w:val="BulletedList"/>
        <w:ind w:left="360"/>
      </w:pPr>
      <w:r w:rsidRPr="003539A7">
        <w:t>Engage in productive evidence-base</w:t>
      </w:r>
      <w:r>
        <w:t>d conversations about text</w:t>
      </w:r>
    </w:p>
    <w:p w:rsidR="004777FE" w:rsidRDefault="004777FE" w:rsidP="004777FE">
      <w:pPr>
        <w:pStyle w:val="BulletedList"/>
        <w:ind w:left="360"/>
      </w:pPr>
      <w:r w:rsidRPr="003539A7">
        <w:t>Determine meaning of unknown vocabulary</w:t>
      </w:r>
    </w:p>
    <w:p w:rsidR="004777FE" w:rsidRDefault="004777FE" w:rsidP="004777FE">
      <w:pPr>
        <w:pStyle w:val="BulletedList"/>
        <w:ind w:left="360"/>
      </w:pPr>
      <w:r>
        <w:t>Independently preview text in preparation for supported analysis</w:t>
      </w:r>
    </w:p>
    <w:p w:rsidR="004777FE" w:rsidRPr="003539A7" w:rsidRDefault="004777FE" w:rsidP="004777FE">
      <w:pPr>
        <w:pStyle w:val="BulletedList"/>
        <w:ind w:left="360"/>
      </w:pPr>
      <w:r w:rsidRPr="003539A7">
        <w:t>Provide an objective summary of the text</w:t>
      </w:r>
    </w:p>
    <w:p w:rsidR="004777FE" w:rsidRPr="003539A7" w:rsidRDefault="004777FE" w:rsidP="004777FE">
      <w:pPr>
        <w:pStyle w:val="BulletedList"/>
        <w:ind w:left="360"/>
      </w:pPr>
      <w:r w:rsidRPr="003539A7">
        <w:t>Paraphrase and quote relevant evidence from a text</w:t>
      </w:r>
    </w:p>
    <w:p w:rsidR="004777FE" w:rsidRDefault="000679B0" w:rsidP="004777FE">
      <w:pPr>
        <w:pStyle w:val="BulletedList"/>
        <w:ind w:left="360"/>
      </w:pPr>
      <w:r>
        <w:t>Construct</w:t>
      </w:r>
      <w:r w:rsidR="004777FE">
        <w:t xml:space="preserve"> an argument </w:t>
      </w:r>
    </w:p>
    <w:p w:rsidR="000679B0" w:rsidRPr="003539A7" w:rsidRDefault="000679B0" w:rsidP="004777FE">
      <w:pPr>
        <w:pStyle w:val="BulletedList"/>
        <w:ind w:left="360"/>
      </w:pPr>
      <w:r>
        <w:t>Analyze various treatments of a text across different media</w:t>
      </w:r>
    </w:p>
    <w:p w:rsidR="004777FE" w:rsidRPr="003539A7" w:rsidRDefault="004777FE" w:rsidP="004777FE">
      <w:pPr>
        <w:pStyle w:val="BulletedList"/>
        <w:ind w:left="360"/>
      </w:pPr>
      <w:r w:rsidRPr="003539A7">
        <w:t>Write original evidence-based claims</w:t>
      </w:r>
    </w:p>
    <w:p w:rsidR="004777FE" w:rsidRPr="003539A7" w:rsidRDefault="004777FE" w:rsidP="004777FE">
      <w:pPr>
        <w:pStyle w:val="BulletedList"/>
        <w:ind w:left="360"/>
      </w:pPr>
      <w:r w:rsidRPr="003539A7">
        <w:t>Generate and respond to questions in scholarly discourse</w:t>
      </w:r>
    </w:p>
    <w:p w:rsidR="004777FE" w:rsidRPr="005B6EE5" w:rsidRDefault="004777FE" w:rsidP="004777FE">
      <w:pPr>
        <w:pStyle w:val="Heading1"/>
        <w:rPr>
          <w:rFonts w:asciiTheme="majorHAnsi" w:hAnsiTheme="majorHAnsi"/>
        </w:rPr>
      </w:pPr>
      <w:r w:rsidRPr="005B6EE5">
        <w:rPr>
          <w:rFonts w:asciiTheme="majorHAnsi" w:hAnsiTheme="majorHAnsi"/>
        </w:rPr>
        <w:t>Standards for This Unit</w:t>
      </w:r>
    </w:p>
    <w:tbl>
      <w:tblPr>
        <w:tblW w:w="9325"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74"/>
        <w:gridCol w:w="7851"/>
      </w:tblGrid>
      <w:tr w:rsidR="002E42D4" w:rsidRPr="00714725" w:rsidTr="009300F7">
        <w:tc>
          <w:tcPr>
            <w:tcW w:w="9325" w:type="dxa"/>
            <w:gridSpan w:val="2"/>
            <w:shd w:val="clear" w:color="auto" w:fill="5F497A"/>
          </w:tcPr>
          <w:p w:rsidR="002E42D4" w:rsidRPr="00714725" w:rsidRDefault="002E42D4" w:rsidP="00CB2F70">
            <w:pPr>
              <w:pStyle w:val="TableHeaders"/>
            </w:pPr>
            <w:r w:rsidRPr="00E75803">
              <w:t>College and Career Readiness Anchor Standards for Reading</w:t>
            </w:r>
          </w:p>
        </w:tc>
      </w:tr>
      <w:tr w:rsidR="002E42D4" w:rsidRPr="007567BF" w:rsidTr="009300F7">
        <w:trPr>
          <w:trHeight w:val="707"/>
        </w:trPr>
        <w:tc>
          <w:tcPr>
            <w:tcW w:w="9325" w:type="dxa"/>
            <w:gridSpan w:val="2"/>
            <w:shd w:val="clear" w:color="auto" w:fill="auto"/>
          </w:tcPr>
          <w:p w:rsidR="002E42D4" w:rsidRPr="007567BF" w:rsidRDefault="002E42D4" w:rsidP="00CB2F70">
            <w:pPr>
              <w:pStyle w:val="TableText"/>
            </w:pPr>
            <w:r w:rsidRPr="007567BF">
              <w:t>None</w:t>
            </w:r>
            <w:r>
              <w:t>.</w:t>
            </w:r>
          </w:p>
        </w:tc>
      </w:tr>
      <w:tr w:rsidR="002E42D4" w:rsidRPr="00401E53" w:rsidTr="009300F7">
        <w:tc>
          <w:tcPr>
            <w:tcW w:w="9325" w:type="dxa"/>
            <w:gridSpan w:val="2"/>
            <w:shd w:val="clear" w:color="auto" w:fill="5F497A"/>
          </w:tcPr>
          <w:p w:rsidR="002E42D4" w:rsidRPr="00714725" w:rsidRDefault="002E42D4" w:rsidP="00CB2F70">
            <w:pPr>
              <w:pStyle w:val="TableHeaders"/>
            </w:pPr>
            <w:r>
              <w:t xml:space="preserve">CCS Standards: Reading — Literature </w:t>
            </w:r>
          </w:p>
        </w:tc>
      </w:tr>
      <w:tr w:rsidR="004777FE" w:rsidRPr="003539A7" w:rsidTr="00930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PrEx>
        <w:tc>
          <w:tcPr>
            <w:tcW w:w="1474" w:type="dxa"/>
            <w:tcMar>
              <w:top w:w="100" w:type="dxa"/>
              <w:left w:w="108" w:type="dxa"/>
              <w:bottom w:w="100" w:type="dxa"/>
              <w:right w:w="108" w:type="dxa"/>
            </w:tcMar>
          </w:tcPr>
          <w:p w:rsidR="004777FE" w:rsidRPr="0074030E" w:rsidRDefault="004777FE" w:rsidP="00DB07DD">
            <w:pPr>
              <w:pStyle w:val="Normal3"/>
              <w:rPr>
                <w:rFonts w:ascii="Calibri" w:eastAsia="Calibri" w:hAnsi="Calibri" w:cs="Calibri"/>
                <w:b/>
                <w:sz w:val="22"/>
              </w:rPr>
            </w:pPr>
            <w:r>
              <w:rPr>
                <w:rFonts w:ascii="Calibri" w:eastAsia="Calibri" w:hAnsi="Calibri" w:cs="Calibri"/>
                <w:b/>
                <w:sz w:val="22"/>
              </w:rPr>
              <w:t>RL.9-10.2</w:t>
            </w:r>
          </w:p>
        </w:tc>
        <w:tc>
          <w:tcPr>
            <w:tcW w:w="7851" w:type="dxa"/>
            <w:tcMar>
              <w:top w:w="100" w:type="dxa"/>
              <w:left w:w="108" w:type="dxa"/>
              <w:bottom w:w="100" w:type="dxa"/>
              <w:right w:w="108" w:type="dxa"/>
            </w:tcMar>
          </w:tcPr>
          <w:p w:rsidR="004777FE" w:rsidRDefault="004777FE" w:rsidP="00DB07DD">
            <w:pPr>
              <w:rPr>
                <w:b/>
                <w:lang w:eastAsia="ja-JP"/>
              </w:rPr>
            </w:pPr>
            <w:r>
              <w:rPr>
                <w:b/>
                <w:lang w:eastAsia="ja-JP"/>
              </w:rPr>
              <w:t xml:space="preserve">Determine a theme or central idea of a text and analyze in detail its development over the course of the text, including how it emerges and is shaped and refined by specific details; provide an objective summary of the text. </w:t>
            </w:r>
          </w:p>
        </w:tc>
      </w:tr>
      <w:tr w:rsidR="004777FE" w:rsidRPr="003539A7" w:rsidTr="00930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PrEx>
        <w:tc>
          <w:tcPr>
            <w:tcW w:w="1474" w:type="dxa"/>
            <w:tcMar>
              <w:top w:w="100" w:type="dxa"/>
              <w:left w:w="108" w:type="dxa"/>
              <w:bottom w:w="100" w:type="dxa"/>
              <w:right w:w="108" w:type="dxa"/>
            </w:tcMar>
          </w:tcPr>
          <w:p w:rsidR="004777FE" w:rsidRPr="0074030E" w:rsidRDefault="004777FE" w:rsidP="00DB07DD">
            <w:pPr>
              <w:pStyle w:val="Normal3"/>
              <w:rPr>
                <w:rFonts w:ascii="Calibri" w:eastAsia="Calibri" w:hAnsi="Calibri" w:cs="Calibri"/>
                <w:b/>
                <w:sz w:val="22"/>
              </w:rPr>
            </w:pPr>
            <w:r>
              <w:rPr>
                <w:rFonts w:ascii="Calibri" w:eastAsia="Calibri" w:hAnsi="Calibri" w:cs="Calibri"/>
                <w:b/>
                <w:sz w:val="22"/>
              </w:rPr>
              <w:t>RL.9-10.</w:t>
            </w:r>
            <w:r w:rsidR="000679B0">
              <w:rPr>
                <w:rFonts w:ascii="Calibri" w:eastAsia="Calibri" w:hAnsi="Calibri" w:cs="Calibri"/>
                <w:b/>
                <w:sz w:val="22"/>
              </w:rPr>
              <w:t>3</w:t>
            </w:r>
          </w:p>
        </w:tc>
        <w:tc>
          <w:tcPr>
            <w:tcW w:w="7851" w:type="dxa"/>
            <w:tcMar>
              <w:top w:w="100" w:type="dxa"/>
              <w:left w:w="108" w:type="dxa"/>
              <w:bottom w:w="100" w:type="dxa"/>
              <w:right w:w="108" w:type="dxa"/>
            </w:tcMar>
          </w:tcPr>
          <w:p w:rsidR="004777FE" w:rsidRPr="000679B0" w:rsidRDefault="000679B0" w:rsidP="00DB07DD">
            <w:pPr>
              <w:rPr>
                <w:b/>
                <w:lang w:eastAsia="ja-JP"/>
              </w:rPr>
            </w:pPr>
            <w:r w:rsidRPr="000679B0">
              <w:rPr>
                <w:b/>
              </w:rPr>
              <w:t>Analyze how complex characters (e.g.</w:t>
            </w:r>
            <w:r w:rsidR="009E67B8">
              <w:rPr>
                <w:b/>
              </w:rPr>
              <w:t>,</w:t>
            </w:r>
            <w:r w:rsidRPr="000679B0">
              <w:rPr>
                <w:b/>
              </w:rPr>
              <w:t xml:space="preserve"> those with multiple or conflicting motivations) develop over the course of a text, interact with other characters, and advance the plot or develop the theme.</w:t>
            </w:r>
          </w:p>
        </w:tc>
      </w:tr>
      <w:tr w:rsidR="000679B0" w:rsidRPr="003539A7" w:rsidTr="00930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PrEx>
        <w:tc>
          <w:tcPr>
            <w:tcW w:w="1474" w:type="dxa"/>
            <w:tcMar>
              <w:top w:w="100" w:type="dxa"/>
              <w:left w:w="108" w:type="dxa"/>
              <w:bottom w:w="100" w:type="dxa"/>
              <w:right w:w="108" w:type="dxa"/>
            </w:tcMar>
          </w:tcPr>
          <w:p w:rsidR="000679B0" w:rsidRPr="0074030E" w:rsidRDefault="000679B0" w:rsidP="000679B0">
            <w:pPr>
              <w:pStyle w:val="Normal3"/>
              <w:rPr>
                <w:rFonts w:ascii="Calibri" w:eastAsia="Calibri" w:hAnsi="Calibri" w:cs="Calibri"/>
                <w:b/>
                <w:sz w:val="22"/>
              </w:rPr>
            </w:pPr>
            <w:r>
              <w:rPr>
                <w:rFonts w:ascii="Calibri" w:eastAsia="Calibri" w:hAnsi="Calibri" w:cs="Calibri"/>
                <w:b/>
                <w:sz w:val="22"/>
              </w:rPr>
              <w:t>RL.9-10.4</w:t>
            </w:r>
          </w:p>
        </w:tc>
        <w:tc>
          <w:tcPr>
            <w:tcW w:w="7851" w:type="dxa"/>
            <w:tcMar>
              <w:top w:w="100" w:type="dxa"/>
              <w:left w:w="108" w:type="dxa"/>
              <w:bottom w:w="100" w:type="dxa"/>
              <w:right w:w="108" w:type="dxa"/>
            </w:tcMar>
          </w:tcPr>
          <w:p w:rsidR="000679B0" w:rsidRPr="00D54013" w:rsidRDefault="000679B0" w:rsidP="00DB07DD">
            <w:pPr>
              <w:rPr>
                <w:lang w:eastAsia="ja-JP"/>
              </w:rPr>
            </w:pPr>
            <w:r>
              <w:rPr>
                <w:b/>
                <w:lang w:eastAsia="ja-JP"/>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0679B0" w:rsidRPr="003539A7" w:rsidTr="00930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PrEx>
        <w:tc>
          <w:tcPr>
            <w:tcW w:w="1474" w:type="dxa"/>
            <w:tcMar>
              <w:top w:w="100" w:type="dxa"/>
              <w:left w:w="108" w:type="dxa"/>
              <w:bottom w:w="100" w:type="dxa"/>
              <w:right w:w="108" w:type="dxa"/>
            </w:tcMar>
          </w:tcPr>
          <w:p w:rsidR="000679B0" w:rsidRPr="0074030E" w:rsidRDefault="000679B0" w:rsidP="00DB07DD">
            <w:pPr>
              <w:pStyle w:val="Normal3"/>
              <w:rPr>
                <w:b/>
              </w:rPr>
            </w:pPr>
            <w:r>
              <w:rPr>
                <w:rFonts w:ascii="Calibri" w:eastAsia="Calibri" w:hAnsi="Calibri" w:cs="Calibri"/>
                <w:b/>
                <w:sz w:val="22"/>
              </w:rPr>
              <w:lastRenderedPageBreak/>
              <w:t>RL</w:t>
            </w:r>
            <w:r w:rsidRPr="0074030E">
              <w:rPr>
                <w:rFonts w:ascii="Calibri" w:eastAsia="Calibri" w:hAnsi="Calibri" w:cs="Calibri"/>
                <w:b/>
                <w:sz w:val="22"/>
              </w:rPr>
              <w:t>.9-10.</w:t>
            </w:r>
            <w:r>
              <w:rPr>
                <w:rFonts w:ascii="Calibri" w:eastAsia="Calibri" w:hAnsi="Calibri" w:cs="Calibri"/>
                <w:b/>
                <w:sz w:val="22"/>
              </w:rPr>
              <w:t>5</w:t>
            </w:r>
          </w:p>
          <w:p w:rsidR="000679B0" w:rsidRPr="005B6EE5" w:rsidRDefault="000679B0" w:rsidP="00DB07DD"/>
        </w:tc>
        <w:tc>
          <w:tcPr>
            <w:tcW w:w="7851" w:type="dxa"/>
            <w:tcMar>
              <w:top w:w="100" w:type="dxa"/>
              <w:left w:w="108" w:type="dxa"/>
              <w:bottom w:w="100" w:type="dxa"/>
              <w:right w:w="108" w:type="dxa"/>
            </w:tcMar>
          </w:tcPr>
          <w:p w:rsidR="000679B0" w:rsidRPr="000679B0" w:rsidRDefault="000679B0" w:rsidP="000B3691">
            <w:pPr>
              <w:rPr>
                <w:b/>
                <w:lang w:eastAsia="ja-JP"/>
              </w:rPr>
            </w:pPr>
            <w:r w:rsidRPr="000679B0">
              <w:rPr>
                <w:b/>
              </w:rPr>
              <w:t xml:space="preserve">Analyze how </w:t>
            </w:r>
            <w:r w:rsidR="000B3691">
              <w:rPr>
                <w:b/>
              </w:rPr>
              <w:t>an author’s choices concerning how to structure a text, order events within it (e.g., parallel plots), and manipulate time (e.g., pacing, flashbacks) create such effects as mystery, tension, or surprise.</w:t>
            </w:r>
          </w:p>
        </w:tc>
      </w:tr>
      <w:tr w:rsidR="000679B0" w:rsidRPr="003539A7" w:rsidTr="00930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PrEx>
        <w:tc>
          <w:tcPr>
            <w:tcW w:w="1474" w:type="dxa"/>
            <w:tcMar>
              <w:top w:w="100" w:type="dxa"/>
              <w:left w:w="108" w:type="dxa"/>
              <w:bottom w:w="100" w:type="dxa"/>
              <w:right w:w="108" w:type="dxa"/>
            </w:tcMar>
          </w:tcPr>
          <w:p w:rsidR="000679B0" w:rsidRPr="0074030E" w:rsidRDefault="000679B0" w:rsidP="00DB07DD">
            <w:pPr>
              <w:pStyle w:val="Normal3"/>
              <w:rPr>
                <w:rFonts w:ascii="Calibri" w:eastAsia="Calibri" w:hAnsi="Calibri" w:cs="Calibri"/>
                <w:b/>
                <w:sz w:val="22"/>
              </w:rPr>
            </w:pPr>
            <w:r>
              <w:rPr>
                <w:rFonts w:ascii="Calibri" w:eastAsia="Calibri" w:hAnsi="Calibri" w:cs="Calibri"/>
                <w:b/>
                <w:sz w:val="22"/>
              </w:rPr>
              <w:t>RL.9-10.7</w:t>
            </w:r>
            <w:r w:rsidR="009E67B8">
              <w:rPr>
                <w:rFonts w:ascii="Calibri" w:eastAsia="Calibri" w:hAnsi="Calibri" w:cs="Calibri"/>
                <w:b/>
                <w:sz w:val="22"/>
              </w:rPr>
              <w:t>.a</w:t>
            </w:r>
          </w:p>
        </w:tc>
        <w:tc>
          <w:tcPr>
            <w:tcW w:w="7851" w:type="dxa"/>
            <w:tcMar>
              <w:top w:w="100" w:type="dxa"/>
              <w:left w:w="108" w:type="dxa"/>
              <w:bottom w:w="100" w:type="dxa"/>
              <w:right w:w="108" w:type="dxa"/>
            </w:tcMar>
          </w:tcPr>
          <w:p w:rsidR="000679B0" w:rsidRDefault="000679B0" w:rsidP="00DB07DD">
            <w:pPr>
              <w:rPr>
                <w:b/>
              </w:rPr>
            </w:pPr>
            <w:r w:rsidRPr="000679B0">
              <w:rPr>
                <w:b/>
              </w:rPr>
              <w:t>Analyze the representation of a subject or a key scene in two different artistic mediums, including what is emphasized or absent in each treatment</w:t>
            </w:r>
            <w:r w:rsidR="000B3691">
              <w:rPr>
                <w:b/>
              </w:rPr>
              <w:t xml:space="preserve"> (e.g., Auden’s “Musée des Beaux Arts” and Breughel’s </w:t>
            </w:r>
            <w:r w:rsidR="000B3691">
              <w:rPr>
                <w:b/>
                <w:i/>
              </w:rPr>
              <w:t>Landscape with the Fall of Icarus</w:t>
            </w:r>
            <w:r w:rsidR="000B3691">
              <w:rPr>
                <w:b/>
              </w:rPr>
              <w:t>)</w:t>
            </w:r>
            <w:r w:rsidRPr="000679B0">
              <w:rPr>
                <w:b/>
              </w:rPr>
              <w:t>.</w:t>
            </w:r>
          </w:p>
          <w:p w:rsidR="006879D8" w:rsidRPr="006879D8" w:rsidRDefault="006879D8" w:rsidP="006879D8">
            <w:pPr>
              <w:pStyle w:val="SubStandard"/>
              <w:rPr>
                <w:b/>
                <w:lang w:eastAsia="ja-JP"/>
              </w:rPr>
            </w:pPr>
            <w:r w:rsidRPr="006879D8">
              <w:rPr>
                <w:b/>
                <w:lang w:eastAsia="ja-JP"/>
              </w:rPr>
              <w:t>Analyze works by authors or artists who represent diverse world cultures</w:t>
            </w:r>
            <w:r w:rsidR="000B3691">
              <w:rPr>
                <w:b/>
                <w:lang w:eastAsia="ja-JP"/>
              </w:rPr>
              <w:t>.</w:t>
            </w:r>
          </w:p>
        </w:tc>
      </w:tr>
      <w:tr w:rsidR="000679B0" w:rsidRPr="003539A7" w:rsidTr="00930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PrEx>
        <w:tc>
          <w:tcPr>
            <w:tcW w:w="1474" w:type="dxa"/>
            <w:tcMar>
              <w:top w:w="100" w:type="dxa"/>
              <w:left w:w="108" w:type="dxa"/>
              <w:bottom w:w="100" w:type="dxa"/>
              <w:right w:w="108" w:type="dxa"/>
            </w:tcMar>
          </w:tcPr>
          <w:p w:rsidR="000679B0" w:rsidRPr="0074030E" w:rsidRDefault="000679B0" w:rsidP="000679B0">
            <w:pPr>
              <w:pStyle w:val="Normal3"/>
              <w:rPr>
                <w:rFonts w:ascii="Calibri" w:eastAsia="Calibri" w:hAnsi="Calibri" w:cs="Calibri"/>
                <w:b/>
                <w:sz w:val="22"/>
              </w:rPr>
            </w:pPr>
            <w:r>
              <w:rPr>
                <w:rFonts w:ascii="Calibri" w:eastAsia="Calibri" w:hAnsi="Calibri" w:cs="Calibri"/>
                <w:b/>
                <w:sz w:val="22"/>
              </w:rPr>
              <w:t>RL</w:t>
            </w:r>
            <w:r w:rsidRPr="0074030E">
              <w:rPr>
                <w:rFonts w:ascii="Calibri" w:eastAsia="Calibri" w:hAnsi="Calibri" w:cs="Calibri"/>
                <w:b/>
                <w:sz w:val="22"/>
              </w:rPr>
              <w:t>.9-10.</w:t>
            </w:r>
            <w:r>
              <w:rPr>
                <w:rFonts w:ascii="Calibri" w:eastAsia="Calibri" w:hAnsi="Calibri" w:cs="Calibri"/>
                <w:b/>
                <w:sz w:val="22"/>
              </w:rPr>
              <w:t>9</w:t>
            </w:r>
          </w:p>
        </w:tc>
        <w:tc>
          <w:tcPr>
            <w:tcW w:w="7851" w:type="dxa"/>
            <w:tcMar>
              <w:top w:w="100" w:type="dxa"/>
              <w:left w:w="108" w:type="dxa"/>
              <w:bottom w:w="100" w:type="dxa"/>
              <w:right w:w="108" w:type="dxa"/>
            </w:tcMar>
          </w:tcPr>
          <w:p w:rsidR="000679B0" w:rsidRPr="000679B0" w:rsidRDefault="000679B0" w:rsidP="00DB07DD">
            <w:pPr>
              <w:rPr>
                <w:b/>
                <w:lang w:eastAsia="ja-JP"/>
              </w:rPr>
            </w:pPr>
            <w:r w:rsidRPr="000679B0">
              <w:rPr>
                <w:b/>
              </w:rPr>
              <w:t>Analyze how an author draws on and transforms source material in a specific work (e.g., how Shakespeare treats a theme or topic from Ovid or the Bible or how a later author draws on a play by Shakespeare).</w:t>
            </w:r>
          </w:p>
        </w:tc>
      </w:tr>
      <w:tr w:rsidR="002E42D4" w:rsidRPr="00714725" w:rsidTr="009300F7">
        <w:tc>
          <w:tcPr>
            <w:tcW w:w="9325" w:type="dxa"/>
            <w:gridSpan w:val="2"/>
            <w:shd w:val="clear" w:color="auto" w:fill="5F497A"/>
          </w:tcPr>
          <w:p w:rsidR="002E42D4" w:rsidRPr="00714725" w:rsidRDefault="002E42D4" w:rsidP="00CB2F70">
            <w:pPr>
              <w:pStyle w:val="TableHeaders"/>
            </w:pPr>
            <w:r w:rsidRPr="00714725">
              <w:t>CCS</w:t>
            </w:r>
            <w:r>
              <w:t xml:space="preserve"> Standards: Reading — Informational Text</w:t>
            </w:r>
          </w:p>
        </w:tc>
      </w:tr>
      <w:tr w:rsidR="002E42D4" w:rsidRPr="00E75803" w:rsidTr="009300F7">
        <w:trPr>
          <w:trHeight w:val="707"/>
        </w:trPr>
        <w:tc>
          <w:tcPr>
            <w:tcW w:w="9325" w:type="dxa"/>
            <w:gridSpan w:val="2"/>
            <w:shd w:val="clear" w:color="auto" w:fill="auto"/>
          </w:tcPr>
          <w:p w:rsidR="002E42D4" w:rsidRPr="007567BF" w:rsidRDefault="002E42D4" w:rsidP="00CB2F70">
            <w:pPr>
              <w:pStyle w:val="TableText"/>
            </w:pPr>
            <w:r w:rsidRPr="007567BF">
              <w:t>None</w:t>
            </w:r>
            <w:r>
              <w:t>.</w:t>
            </w:r>
          </w:p>
        </w:tc>
      </w:tr>
      <w:tr w:rsidR="002E42D4" w:rsidRPr="00401E53" w:rsidTr="009300F7">
        <w:trPr>
          <w:trHeight w:val="120"/>
        </w:trPr>
        <w:tc>
          <w:tcPr>
            <w:tcW w:w="9325" w:type="dxa"/>
            <w:gridSpan w:val="2"/>
            <w:shd w:val="clear" w:color="auto" w:fill="5F497A"/>
          </w:tcPr>
          <w:p w:rsidR="002E42D4" w:rsidRPr="00714725" w:rsidRDefault="002E42D4" w:rsidP="00CB2F70">
            <w:pPr>
              <w:pStyle w:val="TableHeaders"/>
            </w:pPr>
            <w:r w:rsidRPr="00714725">
              <w:br w:type="page"/>
              <w:t>CCS Standards: Writing</w:t>
            </w:r>
          </w:p>
        </w:tc>
      </w:tr>
      <w:tr w:rsidR="00381223" w:rsidRPr="00A836EB" w:rsidTr="009300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PrEx>
        <w:tc>
          <w:tcPr>
            <w:tcW w:w="1474" w:type="dxa"/>
            <w:tcMar>
              <w:top w:w="100" w:type="dxa"/>
              <w:left w:w="108" w:type="dxa"/>
              <w:bottom w:w="100" w:type="dxa"/>
              <w:right w:w="108" w:type="dxa"/>
            </w:tcMar>
          </w:tcPr>
          <w:p w:rsidR="00381223" w:rsidRPr="00381223" w:rsidRDefault="00381223" w:rsidP="00DB07DD">
            <w:pPr>
              <w:rPr>
                <w:rFonts w:cs="Calibri"/>
              </w:rPr>
            </w:pPr>
            <w:r>
              <w:rPr>
                <w:rFonts w:cs="Calibri"/>
                <w:b/>
              </w:rPr>
              <w:t>W.9-10.1.a</w:t>
            </w:r>
            <w:r w:rsidRPr="00381223">
              <w:rPr>
                <w:rFonts w:cs="Calibri"/>
                <w:b/>
              </w:rPr>
              <w:t>-e</w:t>
            </w:r>
          </w:p>
        </w:tc>
        <w:tc>
          <w:tcPr>
            <w:tcW w:w="7851" w:type="dxa"/>
            <w:tcMar>
              <w:top w:w="100" w:type="dxa"/>
              <w:left w:w="108" w:type="dxa"/>
              <w:bottom w:w="100" w:type="dxa"/>
              <w:right w:w="108" w:type="dxa"/>
            </w:tcMar>
          </w:tcPr>
          <w:p w:rsidR="00381223" w:rsidRPr="009E67B8" w:rsidRDefault="00381223" w:rsidP="00381223">
            <w:pPr>
              <w:pStyle w:val="TableText"/>
              <w:rPr>
                <w:b/>
              </w:rPr>
            </w:pPr>
            <w:r w:rsidRPr="009E67B8">
              <w:rPr>
                <w:b/>
              </w:rPr>
              <w:t xml:space="preserve">Write arguments to support claims in an analysis of substantive topics or texts, using valid reasoning and relevant and sufficient evidence. Explore and inquire into areas of interest to formulate an argument. </w:t>
            </w:r>
          </w:p>
          <w:p w:rsidR="000E3C72" w:rsidRDefault="00381223" w:rsidP="007B53CD">
            <w:pPr>
              <w:pStyle w:val="SubStandard"/>
              <w:numPr>
                <w:ilvl w:val="0"/>
                <w:numId w:val="25"/>
              </w:numPr>
              <w:rPr>
                <w:b/>
              </w:rPr>
            </w:pPr>
            <w:r w:rsidRPr="009E67B8">
              <w:rPr>
                <w:b/>
              </w:rPr>
              <w:t>Introduce precise claim(s), distinguish the claim(s) from alternate or opposing claims, and create an organization that establishes clear relationships among claim(s), counterclaims, reasons, and evidence.</w:t>
            </w:r>
          </w:p>
          <w:p w:rsidR="00381223" w:rsidRPr="009E67B8" w:rsidRDefault="00381223" w:rsidP="00381223">
            <w:pPr>
              <w:pStyle w:val="SubStandard"/>
              <w:rPr>
                <w:b/>
              </w:rPr>
            </w:pPr>
            <w:r w:rsidRPr="009E67B8">
              <w:rPr>
                <w:b/>
              </w:rPr>
              <w:t xml:space="preserve">Develop claim(s) and counterclaims fairly, supplying evidence for each while pointing out the strengths and limitations of both in a manner that anticipates the audience’s knowledge level and concerns. </w:t>
            </w:r>
          </w:p>
          <w:p w:rsidR="00381223" w:rsidRPr="009E67B8" w:rsidRDefault="00381223" w:rsidP="00381223">
            <w:pPr>
              <w:pStyle w:val="SubStandard"/>
              <w:rPr>
                <w:b/>
              </w:rPr>
            </w:pPr>
            <w:r w:rsidRPr="009E67B8">
              <w:rPr>
                <w:b/>
              </w:rPr>
              <w:t xml:space="preserve">Use words, phrases, and clauses to link the major sections of the text, create cohesion, and clarify the relationships between claim(s) and reasons, between reasons and evidence, and between claim(s) and counterclaims. </w:t>
            </w:r>
          </w:p>
          <w:p w:rsidR="00381223" w:rsidRPr="009E67B8" w:rsidRDefault="00381223" w:rsidP="00381223">
            <w:pPr>
              <w:pStyle w:val="SubStandard"/>
              <w:rPr>
                <w:b/>
              </w:rPr>
            </w:pPr>
            <w:r w:rsidRPr="009E67B8">
              <w:rPr>
                <w:b/>
              </w:rPr>
              <w:t xml:space="preserve">Establish and maintain a formal style and objective tone while attending to the norms and conventions of the discipline in which they are writing. </w:t>
            </w:r>
          </w:p>
          <w:p w:rsidR="00381223" w:rsidRPr="007B53CD" w:rsidRDefault="00381223" w:rsidP="00381223">
            <w:pPr>
              <w:pStyle w:val="SubStandard"/>
              <w:rPr>
                <w:b/>
              </w:rPr>
            </w:pPr>
            <w:r w:rsidRPr="009E67B8">
              <w:rPr>
                <w:b/>
              </w:rPr>
              <w:t>Provide a concluding statement or section that follows from and supports the argument presented.</w:t>
            </w:r>
          </w:p>
        </w:tc>
      </w:tr>
    </w:tbl>
    <w:p w:rsidR="002E42D4" w:rsidRDefault="002E42D4">
      <w:r>
        <w:br w:type="page"/>
      </w:r>
    </w:p>
    <w:tbl>
      <w:tblPr>
        <w:tblW w:w="9346" w:type="dxa"/>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
        <w:gridCol w:w="1488"/>
        <w:gridCol w:w="7837"/>
      </w:tblGrid>
      <w:tr w:rsidR="000679B0" w:rsidRPr="00A836EB" w:rsidTr="009300F7">
        <w:trPr>
          <w:gridBefore w:val="1"/>
          <w:wBefore w:w="21" w:type="dxa"/>
        </w:trPr>
        <w:tc>
          <w:tcPr>
            <w:tcW w:w="1488" w:type="dxa"/>
            <w:tcMar>
              <w:top w:w="100" w:type="dxa"/>
              <w:left w:w="108" w:type="dxa"/>
              <w:bottom w:w="100" w:type="dxa"/>
              <w:right w:w="108" w:type="dxa"/>
            </w:tcMar>
          </w:tcPr>
          <w:p w:rsidR="000679B0" w:rsidRPr="009300F7" w:rsidRDefault="000679B0" w:rsidP="00DB07DD">
            <w:pPr>
              <w:rPr>
                <w:b/>
              </w:rPr>
            </w:pPr>
            <w:r w:rsidRPr="009300F7">
              <w:rPr>
                <w:rFonts w:cs="Calibri"/>
                <w:b/>
              </w:rPr>
              <w:lastRenderedPageBreak/>
              <w:t>W.9-10.2.a-f</w:t>
            </w:r>
          </w:p>
        </w:tc>
        <w:tc>
          <w:tcPr>
            <w:tcW w:w="7837" w:type="dxa"/>
            <w:tcMar>
              <w:top w:w="100" w:type="dxa"/>
              <w:left w:w="108" w:type="dxa"/>
              <w:bottom w:w="100" w:type="dxa"/>
              <w:right w:w="108" w:type="dxa"/>
            </w:tcMar>
          </w:tcPr>
          <w:p w:rsidR="000679B0" w:rsidRPr="009300F7" w:rsidRDefault="000E3C72" w:rsidP="00DB07DD">
            <w:pPr>
              <w:rPr>
                <w:b/>
                <w:lang w:eastAsia="ja-JP"/>
              </w:rPr>
            </w:pPr>
            <w:r w:rsidRPr="009300F7">
              <w:rPr>
                <w:b/>
                <w:lang w:eastAsia="ja-JP"/>
              </w:rPr>
              <w:t>Write informative/explanatory texts to examine and convey compl</w:t>
            </w:r>
            <w:r w:rsidR="00483BDD" w:rsidRPr="009300F7">
              <w:rPr>
                <w:b/>
                <w:lang w:eastAsia="ja-JP"/>
              </w:rPr>
              <w:t>e</w:t>
            </w:r>
            <w:r w:rsidR="000679B0" w:rsidRPr="009300F7">
              <w:rPr>
                <w:b/>
                <w:lang w:eastAsia="ja-JP"/>
              </w:rPr>
              <w:t xml:space="preserve">x ideas, concepts, and information clearly and accurately through the effective selection, organization, and analysis of content. </w:t>
            </w:r>
          </w:p>
          <w:p w:rsidR="00A63742" w:rsidRPr="009300F7" w:rsidRDefault="000E3C72" w:rsidP="007B53CD">
            <w:pPr>
              <w:pStyle w:val="SubStandard"/>
              <w:numPr>
                <w:ilvl w:val="0"/>
                <w:numId w:val="30"/>
              </w:numPr>
              <w:rPr>
                <w:b/>
                <w:lang w:eastAsia="ja-JP"/>
              </w:rPr>
            </w:pPr>
            <w:r w:rsidRPr="009300F7">
              <w:rPr>
                <w:b/>
                <w:lang w:eastAsia="ja-JP"/>
              </w:rPr>
              <w:t xml:space="preserve">Introduce a topic; organize complex ideas, concepts and information to make important connections and distinctions; included formatting (e.g., headings), graphics (e.g., figures, tables), and multimedia when useful to aiding comprehension. </w:t>
            </w:r>
          </w:p>
          <w:p w:rsidR="00483BDD" w:rsidRPr="009300F7" w:rsidRDefault="000E3C72" w:rsidP="00483BDD">
            <w:pPr>
              <w:pStyle w:val="SubStandard"/>
              <w:numPr>
                <w:ilvl w:val="0"/>
                <w:numId w:val="30"/>
              </w:numPr>
              <w:rPr>
                <w:b/>
                <w:lang w:eastAsia="ja-JP"/>
              </w:rPr>
            </w:pPr>
            <w:r w:rsidRPr="009300F7">
              <w:rPr>
                <w:b/>
                <w:lang w:eastAsia="ja-JP"/>
              </w:rPr>
              <w:t>Develop the topic with well-chosen, relevant and sufficient facts, extended definitions, concrete details, quotations, or other relevant information and examples appropriate to the audience’s knowledge of the topic.</w:t>
            </w:r>
          </w:p>
          <w:p w:rsidR="000E3C72" w:rsidRPr="009300F7" w:rsidRDefault="000E3C72" w:rsidP="007B53CD">
            <w:pPr>
              <w:pStyle w:val="SubStandard"/>
              <w:numPr>
                <w:ilvl w:val="0"/>
                <w:numId w:val="30"/>
              </w:numPr>
              <w:rPr>
                <w:b/>
                <w:lang w:eastAsia="ja-JP"/>
              </w:rPr>
            </w:pPr>
            <w:r w:rsidRPr="009300F7">
              <w:rPr>
                <w:b/>
                <w:lang w:eastAsia="ja-JP"/>
              </w:rPr>
              <w:t xml:space="preserve">Use appropriate and varied transitions to link the major sections of the text, create cohesion, and clarify the relationships among complex ideas and concepts. </w:t>
            </w:r>
          </w:p>
          <w:p w:rsidR="000E3C72" w:rsidRPr="009300F7" w:rsidRDefault="000E3C72" w:rsidP="007B53CD">
            <w:pPr>
              <w:pStyle w:val="SubStandard"/>
              <w:rPr>
                <w:b/>
                <w:lang w:eastAsia="ja-JP"/>
              </w:rPr>
            </w:pPr>
            <w:r w:rsidRPr="009300F7">
              <w:rPr>
                <w:b/>
                <w:lang w:eastAsia="ja-JP"/>
              </w:rPr>
              <w:t xml:space="preserve">Use precise language and domain specific vocabulary to manage the complexity of the topic. </w:t>
            </w:r>
          </w:p>
          <w:p w:rsidR="000E3C72" w:rsidRPr="009300F7" w:rsidRDefault="000E3C72" w:rsidP="007B53CD">
            <w:pPr>
              <w:pStyle w:val="SubStandard"/>
              <w:rPr>
                <w:b/>
                <w:lang w:eastAsia="ja-JP"/>
              </w:rPr>
            </w:pPr>
            <w:r w:rsidRPr="009300F7">
              <w:rPr>
                <w:b/>
                <w:lang w:eastAsia="ja-JP"/>
              </w:rPr>
              <w:t xml:space="preserve">Establish and maintain a formal style and objective tone while attending to the norms and conventions of the discipline in which they are writing. </w:t>
            </w:r>
          </w:p>
          <w:p w:rsidR="000E3C72" w:rsidRPr="009300F7" w:rsidRDefault="000E3C72" w:rsidP="007B53CD">
            <w:pPr>
              <w:pStyle w:val="SubStandard"/>
              <w:rPr>
                <w:b/>
                <w:lang w:eastAsia="ja-JP"/>
              </w:rPr>
            </w:pPr>
            <w:r w:rsidRPr="009300F7">
              <w:rPr>
                <w:b/>
                <w:lang w:eastAsia="ja-JP"/>
              </w:rPr>
              <w:t xml:space="preserve">Provide a concluding statement or section that follows from and supports the information or explanation presented (e.g., articulating implications or the significance of the topic). </w:t>
            </w:r>
          </w:p>
        </w:tc>
      </w:tr>
      <w:tr w:rsidR="000679B0" w:rsidRPr="00A836EB" w:rsidTr="009300F7">
        <w:trPr>
          <w:gridBefore w:val="1"/>
          <w:wBefore w:w="21" w:type="dxa"/>
        </w:trPr>
        <w:tc>
          <w:tcPr>
            <w:tcW w:w="1488" w:type="dxa"/>
            <w:tcMar>
              <w:top w:w="100" w:type="dxa"/>
              <w:left w:w="108" w:type="dxa"/>
              <w:bottom w:w="100" w:type="dxa"/>
              <w:right w:w="108" w:type="dxa"/>
            </w:tcMar>
          </w:tcPr>
          <w:p w:rsidR="000679B0" w:rsidRPr="00650F3B" w:rsidRDefault="000679B0" w:rsidP="00DB07DD">
            <w:r w:rsidRPr="00650F3B">
              <w:t>W.9-10.9.</w:t>
            </w:r>
            <w:r w:rsidR="00CC78C0" w:rsidRPr="00650F3B">
              <w:t>a</w:t>
            </w:r>
          </w:p>
        </w:tc>
        <w:tc>
          <w:tcPr>
            <w:tcW w:w="7837" w:type="dxa"/>
            <w:tcMar>
              <w:top w:w="100" w:type="dxa"/>
              <w:left w:w="108" w:type="dxa"/>
              <w:bottom w:w="100" w:type="dxa"/>
              <w:right w:w="108" w:type="dxa"/>
            </w:tcMar>
          </w:tcPr>
          <w:p w:rsidR="000679B0" w:rsidRPr="00650F3B" w:rsidRDefault="000E3C72" w:rsidP="00DB07DD">
            <w:pPr>
              <w:rPr>
                <w:lang w:eastAsia="ja-JP"/>
              </w:rPr>
            </w:pPr>
            <w:r w:rsidRPr="00650F3B">
              <w:rPr>
                <w:lang w:eastAsia="ja-JP"/>
              </w:rPr>
              <w:t>Draw evidence from literary or informational texts to support analysis, reflection, and research.</w:t>
            </w:r>
          </w:p>
          <w:p w:rsidR="000E3C72" w:rsidRPr="00650F3B" w:rsidRDefault="000E3C72" w:rsidP="00DF1F96">
            <w:pPr>
              <w:pStyle w:val="SubStandard"/>
              <w:numPr>
                <w:ilvl w:val="0"/>
                <w:numId w:val="32"/>
              </w:numPr>
              <w:rPr>
                <w:lang w:eastAsia="ja-JP"/>
              </w:rPr>
            </w:pPr>
            <w:r w:rsidRPr="00650F3B">
              <w:rPr>
                <w:lang w:eastAsia="ja-JP"/>
              </w:rPr>
              <w:t xml:space="preserve">Apply </w:t>
            </w:r>
            <w:r w:rsidRPr="00650F3B">
              <w:rPr>
                <w:i/>
                <w:lang w:eastAsia="ja-JP"/>
              </w:rPr>
              <w:t>grades 9</w:t>
            </w:r>
            <w:r w:rsidR="00DF1F96">
              <w:rPr>
                <w:i/>
                <w:lang w:eastAsia="ja-JP"/>
              </w:rPr>
              <w:t>–</w:t>
            </w:r>
            <w:r w:rsidRPr="00650F3B">
              <w:rPr>
                <w:i/>
                <w:lang w:eastAsia="ja-JP"/>
              </w:rPr>
              <w:t xml:space="preserve">10 Reading standards </w:t>
            </w:r>
            <w:r w:rsidRPr="00650F3B">
              <w:rPr>
                <w:lang w:eastAsia="ja-JP"/>
              </w:rPr>
              <w:t>to literature (e.g., Analyze how an author draws on and transforms source material in a specific work</w:t>
            </w:r>
            <w:r w:rsidR="00483BDD" w:rsidRPr="00650F3B">
              <w:rPr>
                <w:lang w:eastAsia="ja-JP"/>
              </w:rPr>
              <w:t xml:space="preserve"> </w:t>
            </w:r>
            <w:r w:rsidR="000679B0" w:rsidRPr="00650F3B">
              <w:rPr>
                <w:lang w:eastAsia="ja-JP"/>
              </w:rPr>
              <w:t xml:space="preserve">[e.g., how Shakespeare treats a theme or topic from Ovid or the Bible or how a later author draws on a play by Shakespeare]). </w:t>
            </w:r>
          </w:p>
        </w:tc>
      </w:tr>
      <w:tr w:rsidR="002E42D4" w:rsidRPr="00401E53" w:rsidTr="002E4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gridBefore w:val="1"/>
          <w:wBefore w:w="21" w:type="dxa"/>
        </w:trPr>
        <w:tc>
          <w:tcPr>
            <w:tcW w:w="9325" w:type="dxa"/>
            <w:gridSpan w:val="2"/>
            <w:shd w:val="clear" w:color="auto" w:fill="5F497A"/>
          </w:tcPr>
          <w:p w:rsidR="002E42D4" w:rsidRPr="00714725" w:rsidRDefault="002E42D4" w:rsidP="00CB2F70">
            <w:pPr>
              <w:pStyle w:val="TableHeaders"/>
            </w:pPr>
            <w:r w:rsidRPr="00714725">
              <w:t>CCS Standards: Speaking &amp; Listening</w:t>
            </w:r>
          </w:p>
        </w:tc>
      </w:tr>
      <w:tr w:rsidR="000679B0" w:rsidRPr="00A836EB" w:rsidTr="009300F7">
        <w:trPr>
          <w:gridBefore w:val="1"/>
          <w:wBefore w:w="21" w:type="dxa"/>
        </w:trPr>
        <w:tc>
          <w:tcPr>
            <w:tcW w:w="1488" w:type="dxa"/>
            <w:tcMar>
              <w:top w:w="100" w:type="dxa"/>
              <w:left w:w="108" w:type="dxa"/>
              <w:bottom w:w="100" w:type="dxa"/>
              <w:right w:w="108" w:type="dxa"/>
            </w:tcMar>
          </w:tcPr>
          <w:p w:rsidR="000679B0" w:rsidRPr="005B6EE5" w:rsidRDefault="000679B0" w:rsidP="00DB07DD">
            <w:r w:rsidRPr="00381223">
              <w:rPr>
                <w:rFonts w:cs="Calibri"/>
                <w:b/>
              </w:rPr>
              <w:t>SL.9-10.1.</w:t>
            </w:r>
            <w:r w:rsidRPr="005B6EE5">
              <w:rPr>
                <w:rFonts w:cs="Calibri"/>
              </w:rPr>
              <w:t>a-e</w:t>
            </w:r>
          </w:p>
          <w:p w:rsidR="000679B0" w:rsidRPr="00C87B73" w:rsidRDefault="000679B0" w:rsidP="00DB07DD">
            <w:pPr>
              <w:rPr>
                <w:b/>
              </w:rPr>
            </w:pPr>
          </w:p>
        </w:tc>
        <w:tc>
          <w:tcPr>
            <w:tcW w:w="7837" w:type="dxa"/>
            <w:tcMar>
              <w:top w:w="100" w:type="dxa"/>
              <w:left w:w="108" w:type="dxa"/>
              <w:bottom w:w="100" w:type="dxa"/>
              <w:right w:w="108" w:type="dxa"/>
            </w:tcMar>
          </w:tcPr>
          <w:p w:rsidR="000679B0" w:rsidRPr="007B53CD" w:rsidRDefault="000E3C72" w:rsidP="00DB07DD">
            <w:pPr>
              <w:rPr>
                <w:b/>
              </w:rPr>
            </w:pPr>
            <w:r w:rsidRPr="007B53CD">
              <w:rPr>
                <w:b/>
              </w:rPr>
              <w:t xml:space="preserve">Initiate and participate effectively in a range of collaborative discussions (one-on-one, in groups, and teacher-led) with diverse partners on </w:t>
            </w:r>
            <w:r w:rsidRPr="007B53CD">
              <w:rPr>
                <w:b/>
                <w:i/>
              </w:rPr>
              <w:t>grades 9</w:t>
            </w:r>
            <w:r w:rsidR="00483BDD">
              <w:rPr>
                <w:b/>
                <w:i/>
              </w:rPr>
              <w:t>–</w:t>
            </w:r>
            <w:r w:rsidRPr="007B53CD">
              <w:rPr>
                <w:b/>
                <w:i/>
              </w:rPr>
              <w:t>10 topics, texts and issues</w:t>
            </w:r>
            <w:r w:rsidRPr="007B53CD">
              <w:rPr>
                <w:b/>
              </w:rPr>
              <w:t xml:space="preserve">, building on others’ ideas and expressing their own clearly and persuasively. </w:t>
            </w:r>
          </w:p>
          <w:p w:rsidR="000E3C72" w:rsidRDefault="000679B0" w:rsidP="007B53CD">
            <w:pPr>
              <w:pStyle w:val="SubStandard"/>
              <w:numPr>
                <w:ilvl w:val="0"/>
                <w:numId w:val="34"/>
              </w:numPr>
            </w:pPr>
            <w:r>
              <w:t>Come to discussions prepared, having read and researched material under</w:t>
            </w:r>
            <w:r w:rsidR="00ED6F8B">
              <w:t xml:space="preserve"> </w:t>
            </w:r>
            <w:r>
              <w:t xml:space="preserve">study; explicitly draw on that preparation by referring to evidence from texts and other </w:t>
            </w:r>
            <w:r>
              <w:lastRenderedPageBreak/>
              <w:t>research on the topic or issue to stimulate a thoughtful, well-reasoned exchange of ideas.</w:t>
            </w:r>
          </w:p>
          <w:p w:rsidR="000E3C72" w:rsidRPr="00650F3B" w:rsidRDefault="000E3C72" w:rsidP="007B53CD">
            <w:pPr>
              <w:pStyle w:val="SubStandard"/>
              <w:rPr>
                <w:b/>
              </w:rPr>
            </w:pPr>
            <w:r w:rsidRPr="00650F3B">
              <w:rPr>
                <w:b/>
              </w:rPr>
              <w:t xml:space="preserve">Work with peers to set rules for collegial discussions and decision-making (e.g., informal consensus, taking votes on key issues, presentation of alternate views), clear goals and deadlines, and individual roles as needed. </w:t>
            </w:r>
          </w:p>
          <w:p w:rsidR="000E3C72" w:rsidRDefault="000679B0" w:rsidP="007B53CD">
            <w:pPr>
              <w:pStyle w:val="SubStandard"/>
            </w:pPr>
            <w:r>
              <w:t xml:space="preserve">Propel conversations by posing and responding to questions that relate the current discussion to broader themes or larger ideas; actively incorporate others into the discussion; and clarify, verify or challenge ideas and conclusions. </w:t>
            </w:r>
          </w:p>
          <w:p w:rsidR="000E3C72" w:rsidRDefault="000679B0" w:rsidP="007B53CD">
            <w:pPr>
              <w:pStyle w:val="SubStandard"/>
            </w:pPr>
            <w:r>
              <w:t>Respond thoughtfully to diverse perspectives, summarize points of agreement and disagreement, and, when warranted, qualify or justify their own views and unde</w:t>
            </w:r>
            <w:r w:rsidR="00483BDD">
              <w:t>r</w:t>
            </w:r>
            <w:r>
              <w:t>standing and make new connections in light of the evidence and reasoning presented.</w:t>
            </w:r>
          </w:p>
          <w:p w:rsidR="000E3C72" w:rsidRDefault="000679B0" w:rsidP="007B53CD">
            <w:pPr>
              <w:pStyle w:val="SubStandard"/>
            </w:pPr>
            <w:r>
              <w:t xml:space="preserve">Seek to understand other perspectives and cultures and communicate effectively with audiences or individuals from varied backgrounds. </w:t>
            </w:r>
          </w:p>
        </w:tc>
      </w:tr>
      <w:tr w:rsidR="00381223" w:rsidRPr="00A836EB" w:rsidTr="009300F7">
        <w:trPr>
          <w:gridBefore w:val="1"/>
          <w:wBefore w:w="21" w:type="dxa"/>
        </w:trPr>
        <w:tc>
          <w:tcPr>
            <w:tcW w:w="1488" w:type="dxa"/>
            <w:tcMar>
              <w:top w:w="100" w:type="dxa"/>
              <w:left w:w="108" w:type="dxa"/>
              <w:bottom w:w="100" w:type="dxa"/>
              <w:right w:w="108" w:type="dxa"/>
            </w:tcMar>
          </w:tcPr>
          <w:p w:rsidR="00381223" w:rsidRPr="009300F7" w:rsidRDefault="00381223" w:rsidP="00DB07DD">
            <w:pPr>
              <w:rPr>
                <w:rFonts w:cs="Calibri"/>
                <w:b/>
              </w:rPr>
            </w:pPr>
            <w:r w:rsidRPr="009300F7">
              <w:rPr>
                <w:rFonts w:cs="Calibri"/>
                <w:b/>
              </w:rPr>
              <w:lastRenderedPageBreak/>
              <w:t>SL.9-10.4</w:t>
            </w:r>
          </w:p>
        </w:tc>
        <w:tc>
          <w:tcPr>
            <w:tcW w:w="7837" w:type="dxa"/>
            <w:tcMar>
              <w:top w:w="100" w:type="dxa"/>
              <w:left w:w="108" w:type="dxa"/>
              <w:bottom w:w="100" w:type="dxa"/>
              <w:right w:w="108" w:type="dxa"/>
            </w:tcMar>
          </w:tcPr>
          <w:p w:rsidR="00381223" w:rsidRPr="009300F7" w:rsidRDefault="00381223" w:rsidP="00DB07DD">
            <w:pPr>
              <w:rPr>
                <w:b/>
              </w:rPr>
            </w:pPr>
            <w:r w:rsidRPr="009300F7">
              <w:rPr>
                <w:b/>
              </w:rPr>
              <w:t>Present information, findings, and supporting evidence clearly, concisely, and logically such that listeners can follow the line of reasoning and the organization, development, substance, and style are appropriate to purpose, audience, and task.</w:t>
            </w:r>
          </w:p>
        </w:tc>
      </w:tr>
      <w:tr w:rsidR="00381223" w:rsidRPr="00A836EB" w:rsidTr="009300F7">
        <w:trPr>
          <w:gridBefore w:val="1"/>
          <w:wBefore w:w="21" w:type="dxa"/>
        </w:trPr>
        <w:tc>
          <w:tcPr>
            <w:tcW w:w="1488" w:type="dxa"/>
            <w:tcMar>
              <w:top w:w="100" w:type="dxa"/>
              <w:left w:w="108" w:type="dxa"/>
              <w:bottom w:w="100" w:type="dxa"/>
              <w:right w:w="108" w:type="dxa"/>
            </w:tcMar>
          </w:tcPr>
          <w:p w:rsidR="00381223" w:rsidRPr="00381223" w:rsidRDefault="00381223" w:rsidP="00DB07DD">
            <w:pPr>
              <w:rPr>
                <w:rFonts w:cs="Calibri"/>
              </w:rPr>
            </w:pPr>
            <w:r>
              <w:rPr>
                <w:rFonts w:cs="Calibri"/>
              </w:rPr>
              <w:t>SL.9-10.6</w:t>
            </w:r>
          </w:p>
        </w:tc>
        <w:tc>
          <w:tcPr>
            <w:tcW w:w="7837" w:type="dxa"/>
            <w:tcMar>
              <w:top w:w="100" w:type="dxa"/>
              <w:left w:w="108" w:type="dxa"/>
              <w:bottom w:w="100" w:type="dxa"/>
              <w:right w:w="108" w:type="dxa"/>
            </w:tcMar>
          </w:tcPr>
          <w:p w:rsidR="00381223" w:rsidRPr="00381223" w:rsidRDefault="00381223" w:rsidP="00DB07DD">
            <w:pPr>
              <w:rPr>
                <w:b/>
              </w:rPr>
            </w:pPr>
            <w:r>
              <w:t>Adapt speech to a variety of contexts and tasks, demonstrating command of formal English when indicated or appropriate.</w:t>
            </w:r>
          </w:p>
        </w:tc>
      </w:tr>
      <w:tr w:rsidR="002E42D4" w:rsidRPr="007A12D1" w:rsidTr="002E42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9346" w:type="dxa"/>
            <w:gridSpan w:val="3"/>
            <w:shd w:val="clear" w:color="auto" w:fill="5F497A"/>
          </w:tcPr>
          <w:p w:rsidR="002E42D4" w:rsidRPr="00714725" w:rsidRDefault="002E42D4" w:rsidP="00CB2F70">
            <w:pPr>
              <w:pStyle w:val="TableHeaders"/>
            </w:pPr>
            <w:r w:rsidRPr="00714725">
              <w:t>CCS Standards: Language</w:t>
            </w:r>
          </w:p>
        </w:tc>
      </w:tr>
      <w:tr w:rsidR="000679B0" w:rsidRPr="003539A7" w:rsidTr="009300F7">
        <w:trPr>
          <w:gridBefore w:val="1"/>
          <w:wBefore w:w="21" w:type="dxa"/>
        </w:trPr>
        <w:tc>
          <w:tcPr>
            <w:tcW w:w="1488" w:type="dxa"/>
            <w:tcMar>
              <w:top w:w="100" w:type="dxa"/>
              <w:left w:w="108" w:type="dxa"/>
              <w:bottom w:w="100" w:type="dxa"/>
              <w:right w:w="108" w:type="dxa"/>
            </w:tcMar>
          </w:tcPr>
          <w:p w:rsidR="000679B0" w:rsidRPr="0074030E" w:rsidRDefault="000679B0" w:rsidP="004C4D9F">
            <w:pPr>
              <w:rPr>
                <w:rFonts w:cs="Calibri"/>
                <w:b/>
              </w:rPr>
            </w:pPr>
            <w:r w:rsidRPr="0074030E">
              <w:rPr>
                <w:rFonts w:cs="Calibri"/>
                <w:b/>
              </w:rPr>
              <w:t>L.9-10.1</w:t>
            </w:r>
            <w:r w:rsidR="00BE1E61">
              <w:rPr>
                <w:rFonts w:cs="Calibri"/>
                <w:b/>
              </w:rPr>
              <w:t>.a</w:t>
            </w:r>
            <w:r w:rsidR="004C4D9F">
              <w:rPr>
                <w:rFonts w:cs="Calibri"/>
                <w:b/>
              </w:rPr>
              <w:t>,</w:t>
            </w:r>
            <w:r w:rsidR="00BE1E61">
              <w:rPr>
                <w:rFonts w:cs="Calibri"/>
                <w:b/>
              </w:rPr>
              <w:t>b</w:t>
            </w:r>
          </w:p>
        </w:tc>
        <w:tc>
          <w:tcPr>
            <w:tcW w:w="7837" w:type="dxa"/>
            <w:tcMar>
              <w:top w:w="100" w:type="dxa"/>
              <w:left w:w="108" w:type="dxa"/>
              <w:bottom w:w="100" w:type="dxa"/>
              <w:right w:w="108" w:type="dxa"/>
            </w:tcMar>
          </w:tcPr>
          <w:p w:rsidR="000679B0" w:rsidRDefault="000679B0" w:rsidP="00DB07DD">
            <w:pPr>
              <w:rPr>
                <w:b/>
                <w:lang w:eastAsia="ja-JP"/>
              </w:rPr>
            </w:pPr>
            <w:r w:rsidRPr="0074030E">
              <w:rPr>
                <w:b/>
                <w:lang w:eastAsia="ja-JP"/>
              </w:rPr>
              <w:t>Demonstrate command of the conventions of standard English grammar and usage when writing or speaking.</w:t>
            </w:r>
          </w:p>
          <w:p w:rsidR="00BE1E61" w:rsidRPr="00BE1E61" w:rsidRDefault="00BE1E61" w:rsidP="00BE1E61">
            <w:pPr>
              <w:pStyle w:val="SubStandard"/>
              <w:numPr>
                <w:ilvl w:val="0"/>
                <w:numId w:val="23"/>
              </w:numPr>
              <w:rPr>
                <w:b/>
              </w:rPr>
            </w:pPr>
            <w:r w:rsidRPr="00BE1E61">
              <w:rPr>
                <w:b/>
              </w:rPr>
              <w:t>Use parallel structure.</w:t>
            </w:r>
          </w:p>
          <w:p w:rsidR="00BE1E61" w:rsidRPr="0074030E" w:rsidRDefault="00BE1E61" w:rsidP="00BE1E61">
            <w:pPr>
              <w:pStyle w:val="SubStandard"/>
              <w:rPr>
                <w:b/>
                <w:lang w:eastAsia="ja-JP"/>
              </w:rPr>
            </w:pPr>
            <w:r w:rsidRPr="00BE1E61">
              <w:rPr>
                <w:b/>
              </w:rPr>
              <w:t>Use various types of phrases (noun, verb, adjectival, adverbial, participial, prepositional, absolute) and clauses (independent, dependent; noun, relative, adverbial) to convey specific meanings and add variety and interest to writing or presentations.</w:t>
            </w:r>
          </w:p>
        </w:tc>
      </w:tr>
      <w:tr w:rsidR="000679B0" w:rsidRPr="003539A7" w:rsidTr="009300F7">
        <w:trPr>
          <w:gridBefore w:val="1"/>
          <w:wBefore w:w="21" w:type="dxa"/>
        </w:trPr>
        <w:tc>
          <w:tcPr>
            <w:tcW w:w="1488" w:type="dxa"/>
            <w:tcMar>
              <w:top w:w="100" w:type="dxa"/>
              <w:left w:w="108" w:type="dxa"/>
              <w:bottom w:w="100" w:type="dxa"/>
              <w:right w:w="108" w:type="dxa"/>
            </w:tcMar>
          </w:tcPr>
          <w:p w:rsidR="000679B0" w:rsidRPr="0074030E" w:rsidRDefault="000679B0" w:rsidP="00DB07DD">
            <w:pPr>
              <w:rPr>
                <w:rFonts w:cs="Calibri"/>
                <w:b/>
              </w:rPr>
            </w:pPr>
            <w:r w:rsidRPr="0074030E">
              <w:rPr>
                <w:rFonts w:cs="Calibri"/>
                <w:b/>
              </w:rPr>
              <w:t>L.9-10.2</w:t>
            </w:r>
            <w:r w:rsidR="00BE1E61">
              <w:rPr>
                <w:rFonts w:cs="Calibri"/>
                <w:b/>
              </w:rPr>
              <w:t>.a-c</w:t>
            </w:r>
          </w:p>
        </w:tc>
        <w:tc>
          <w:tcPr>
            <w:tcW w:w="7837" w:type="dxa"/>
            <w:tcMar>
              <w:top w:w="100" w:type="dxa"/>
              <w:left w:w="108" w:type="dxa"/>
              <w:bottom w:w="100" w:type="dxa"/>
              <w:right w:w="108" w:type="dxa"/>
            </w:tcMar>
          </w:tcPr>
          <w:p w:rsidR="000679B0" w:rsidRPr="00483BDD" w:rsidRDefault="000E3C72" w:rsidP="00DB07DD">
            <w:pPr>
              <w:rPr>
                <w:b/>
                <w:lang w:eastAsia="ja-JP"/>
              </w:rPr>
            </w:pPr>
            <w:r>
              <w:rPr>
                <w:b/>
                <w:lang w:eastAsia="ja-JP"/>
              </w:rPr>
              <w:t>Demonstrate command of the conventions of standard English capitalization, punctuation, and spelling when writing.</w:t>
            </w:r>
          </w:p>
          <w:p w:rsidR="00BE1E61" w:rsidRPr="00483BDD" w:rsidRDefault="000E3C72" w:rsidP="00BE1E61">
            <w:pPr>
              <w:pStyle w:val="SubStandard"/>
              <w:numPr>
                <w:ilvl w:val="0"/>
                <w:numId w:val="17"/>
              </w:numPr>
              <w:rPr>
                <w:b/>
              </w:rPr>
            </w:pPr>
            <w:r>
              <w:rPr>
                <w:b/>
              </w:rPr>
              <w:t>Use a semicolon (and perhaps a conjunctive adverb) to link two or more closely related independent clauses.</w:t>
            </w:r>
          </w:p>
          <w:p w:rsidR="00BE1E61" w:rsidRPr="00483BDD" w:rsidRDefault="000E3C72" w:rsidP="00BE1E61">
            <w:pPr>
              <w:pStyle w:val="SubStandard"/>
              <w:rPr>
                <w:b/>
              </w:rPr>
            </w:pPr>
            <w:r>
              <w:rPr>
                <w:b/>
              </w:rPr>
              <w:lastRenderedPageBreak/>
              <w:t>Use a colon to introduce a list or quotation.</w:t>
            </w:r>
          </w:p>
          <w:p w:rsidR="00BE1E61" w:rsidRPr="007B53CD" w:rsidRDefault="000E3C72" w:rsidP="00BE1E61">
            <w:pPr>
              <w:pStyle w:val="SubStandard"/>
              <w:rPr>
                <w:b/>
              </w:rPr>
            </w:pPr>
            <w:r>
              <w:rPr>
                <w:b/>
              </w:rPr>
              <w:t>Spell correctly.</w:t>
            </w:r>
          </w:p>
        </w:tc>
      </w:tr>
      <w:tr w:rsidR="000679B0" w:rsidRPr="003539A7" w:rsidTr="009300F7">
        <w:trPr>
          <w:gridBefore w:val="1"/>
          <w:wBefore w:w="21" w:type="dxa"/>
        </w:trPr>
        <w:tc>
          <w:tcPr>
            <w:tcW w:w="1488" w:type="dxa"/>
            <w:tcMar>
              <w:top w:w="100" w:type="dxa"/>
              <w:left w:w="108" w:type="dxa"/>
              <w:bottom w:w="100" w:type="dxa"/>
              <w:right w:w="108" w:type="dxa"/>
            </w:tcMar>
          </w:tcPr>
          <w:p w:rsidR="000679B0" w:rsidRDefault="000679B0" w:rsidP="00ED6F8B">
            <w:pPr>
              <w:rPr>
                <w:rFonts w:cs="Calibri"/>
              </w:rPr>
            </w:pPr>
            <w:r>
              <w:rPr>
                <w:rFonts w:cs="Calibri"/>
              </w:rPr>
              <w:lastRenderedPageBreak/>
              <w:t>L.9-10.4.</w:t>
            </w:r>
            <w:r w:rsidR="00CC78C0">
              <w:rPr>
                <w:rFonts w:cs="Calibri"/>
              </w:rPr>
              <w:t>a</w:t>
            </w:r>
            <w:r w:rsidR="00ED6F8B">
              <w:rPr>
                <w:rFonts w:cs="Calibri"/>
              </w:rPr>
              <w:t>-</w:t>
            </w:r>
            <w:r w:rsidR="00CC78C0">
              <w:rPr>
                <w:rFonts w:cs="Calibri"/>
              </w:rPr>
              <w:t xml:space="preserve"> c</w:t>
            </w:r>
          </w:p>
        </w:tc>
        <w:tc>
          <w:tcPr>
            <w:tcW w:w="7837" w:type="dxa"/>
            <w:tcMar>
              <w:top w:w="100" w:type="dxa"/>
              <w:left w:w="108" w:type="dxa"/>
              <w:bottom w:w="100" w:type="dxa"/>
              <w:right w:w="108" w:type="dxa"/>
            </w:tcMar>
          </w:tcPr>
          <w:p w:rsidR="000679B0" w:rsidRDefault="000679B0" w:rsidP="00DB07DD">
            <w:pPr>
              <w:pStyle w:val="TableText"/>
            </w:pPr>
            <w:r>
              <w:t xml:space="preserve">Determine or clarify the meaning of unknown and multiple-meaning words and phrases based on </w:t>
            </w:r>
            <w:r>
              <w:rPr>
                <w:i/>
              </w:rPr>
              <w:t>grades 9</w:t>
            </w:r>
            <w:r w:rsidR="00483BDD">
              <w:rPr>
                <w:i/>
              </w:rPr>
              <w:t>–</w:t>
            </w:r>
            <w:r>
              <w:rPr>
                <w:i/>
              </w:rPr>
              <w:t>10 reading and content</w:t>
            </w:r>
            <w:r>
              <w:t>, choosing flexibly from a range of strategies.</w:t>
            </w:r>
          </w:p>
          <w:p w:rsidR="00CC78C0" w:rsidRDefault="00CC78C0" w:rsidP="00BE1E61">
            <w:pPr>
              <w:pStyle w:val="SubStandard"/>
              <w:numPr>
                <w:ilvl w:val="0"/>
                <w:numId w:val="19"/>
              </w:numPr>
            </w:pPr>
            <w:r>
              <w:t>Use context (e.g., the overall meaning of a sentence, paragraph, or text; a word’s position or function in a sentence) as a clue to the meaning of a word or phrase.</w:t>
            </w:r>
          </w:p>
          <w:p w:rsidR="00BE1E61" w:rsidRDefault="00BE1E61" w:rsidP="00BE1E61">
            <w:pPr>
              <w:pStyle w:val="SubStandard"/>
              <w:numPr>
                <w:ilvl w:val="0"/>
                <w:numId w:val="19"/>
              </w:numPr>
            </w:pPr>
            <w:r w:rsidRPr="00DC18F7">
              <w:t>Identify and correctly use patterns of word changes that indicate different meanings or parts of speech (e.g., analyze, analysis, analytical; advocate, advocacy).</w:t>
            </w:r>
          </w:p>
          <w:p w:rsidR="000679B0" w:rsidRPr="005600B7" w:rsidRDefault="00CC78C0" w:rsidP="00BE1E61">
            <w:pPr>
              <w:pStyle w:val="TableText"/>
              <w:numPr>
                <w:ilvl w:val="0"/>
                <w:numId w:val="19"/>
              </w:numPr>
            </w:pPr>
            <w:r w:rsidRPr="002A1CB6">
              <w:rPr>
                <w:lang w:eastAsia="fr-FR"/>
              </w:rPr>
              <w:t>Consult general and specialized reference materials (e.g., dictionaries, glossaries, thesauruses), both print and digital, to find the pronunciation of a word or determine or clarify its precise meaning, its part of speech, or its etymology.</w:t>
            </w:r>
            <w:r w:rsidR="000679B0">
              <w:t xml:space="preserve"> </w:t>
            </w:r>
          </w:p>
        </w:tc>
      </w:tr>
      <w:tr w:rsidR="000679B0" w:rsidRPr="003539A7" w:rsidTr="009300F7">
        <w:trPr>
          <w:gridBefore w:val="1"/>
          <w:wBefore w:w="21" w:type="dxa"/>
        </w:trPr>
        <w:tc>
          <w:tcPr>
            <w:tcW w:w="1488" w:type="dxa"/>
            <w:tcMar>
              <w:top w:w="100" w:type="dxa"/>
              <w:left w:w="108" w:type="dxa"/>
              <w:bottom w:w="100" w:type="dxa"/>
              <w:right w:w="108" w:type="dxa"/>
            </w:tcMar>
          </w:tcPr>
          <w:p w:rsidR="000679B0" w:rsidRPr="003B299D" w:rsidRDefault="000679B0" w:rsidP="00DB07DD">
            <w:pPr>
              <w:pStyle w:val="Normal3"/>
            </w:pPr>
            <w:r w:rsidRPr="00850EFB">
              <w:rPr>
                <w:rFonts w:ascii="Calibri" w:eastAsia="Calibri" w:hAnsi="Calibri" w:cs="Calibri"/>
                <w:sz w:val="22"/>
              </w:rPr>
              <w:t>L.9-10.5</w:t>
            </w:r>
            <w:r w:rsidRPr="003B299D">
              <w:rPr>
                <w:rFonts w:ascii="Calibri" w:eastAsia="Calibri" w:hAnsi="Calibri" w:cs="Calibri"/>
                <w:sz w:val="22"/>
              </w:rPr>
              <w:t>.a</w:t>
            </w:r>
            <w:r w:rsidR="004C4D9F">
              <w:rPr>
                <w:rFonts w:ascii="Calibri" w:eastAsia="Calibri" w:hAnsi="Calibri" w:cs="Calibri"/>
                <w:sz w:val="22"/>
              </w:rPr>
              <w:t>,b</w:t>
            </w:r>
          </w:p>
          <w:p w:rsidR="000679B0" w:rsidRPr="007A6A94" w:rsidRDefault="000679B0" w:rsidP="00DB07DD">
            <w:pPr>
              <w:rPr>
                <w:b/>
              </w:rPr>
            </w:pPr>
          </w:p>
        </w:tc>
        <w:tc>
          <w:tcPr>
            <w:tcW w:w="7837" w:type="dxa"/>
            <w:tcMar>
              <w:top w:w="100" w:type="dxa"/>
              <w:left w:w="108" w:type="dxa"/>
              <w:bottom w:w="100" w:type="dxa"/>
              <w:right w:w="108" w:type="dxa"/>
            </w:tcMar>
          </w:tcPr>
          <w:p w:rsidR="000679B0" w:rsidRPr="00850EFB" w:rsidRDefault="000679B0" w:rsidP="00DB07DD">
            <w:pPr>
              <w:rPr>
                <w:lang w:eastAsia="ja-JP"/>
              </w:rPr>
            </w:pPr>
            <w:r w:rsidRPr="00850EFB">
              <w:rPr>
                <w:lang w:eastAsia="ja-JP"/>
              </w:rPr>
              <w:t>Demonstrate understanding</w:t>
            </w:r>
            <w:r w:rsidRPr="005D709E">
              <w:rPr>
                <w:b/>
                <w:lang w:eastAsia="ja-JP"/>
              </w:rPr>
              <w:t xml:space="preserve"> </w:t>
            </w:r>
            <w:r w:rsidRPr="00850EFB">
              <w:rPr>
                <w:lang w:eastAsia="ja-JP"/>
              </w:rPr>
              <w:t>of figurative language, word relationships, and nuances in word meanings.</w:t>
            </w:r>
          </w:p>
          <w:p w:rsidR="000679B0" w:rsidRDefault="000679B0" w:rsidP="00BE1E61">
            <w:pPr>
              <w:pStyle w:val="ListParagraph"/>
              <w:numPr>
                <w:ilvl w:val="0"/>
                <w:numId w:val="14"/>
              </w:numPr>
              <w:rPr>
                <w:lang w:eastAsia="ja-JP"/>
              </w:rPr>
            </w:pPr>
            <w:r>
              <w:rPr>
                <w:lang w:eastAsia="ja-JP"/>
              </w:rPr>
              <w:t>Interp</w:t>
            </w:r>
            <w:r w:rsidR="00483BDD">
              <w:rPr>
                <w:lang w:eastAsia="ja-JP"/>
              </w:rPr>
              <w:t>r</w:t>
            </w:r>
            <w:r>
              <w:rPr>
                <w:lang w:eastAsia="ja-JP"/>
              </w:rPr>
              <w:t>et figures of speech (e.g., euphemism, oxymoron) in context and analyze their role in the text.</w:t>
            </w:r>
          </w:p>
          <w:p w:rsidR="00F46A55" w:rsidRPr="003B299D" w:rsidRDefault="00F46A55" w:rsidP="00BE1E61">
            <w:pPr>
              <w:pStyle w:val="ListParagraph"/>
              <w:numPr>
                <w:ilvl w:val="0"/>
                <w:numId w:val="14"/>
              </w:numPr>
              <w:rPr>
                <w:lang w:eastAsia="ja-JP"/>
              </w:rPr>
            </w:pPr>
            <w:r>
              <w:rPr>
                <w:lang w:eastAsia="ja-JP"/>
              </w:rPr>
              <w:t>Analyze nuances in the meaning of words with similar denotations.</w:t>
            </w:r>
          </w:p>
        </w:tc>
      </w:tr>
    </w:tbl>
    <w:p w:rsidR="004777FE" w:rsidRPr="003539A7" w:rsidRDefault="004777FE" w:rsidP="004777FE">
      <w:r w:rsidRPr="00A836EB">
        <w:rPr>
          <w:b/>
        </w:rPr>
        <w:t>Note:</w:t>
      </w:r>
      <w:r w:rsidRPr="003539A7">
        <w:t xml:space="preserve"> Bold text indicates targeted standards that will be assessed in the unit.</w:t>
      </w:r>
    </w:p>
    <w:p w:rsidR="004777FE" w:rsidRPr="005B6EE5" w:rsidRDefault="004777FE" w:rsidP="004777FE">
      <w:pPr>
        <w:pStyle w:val="Heading1"/>
        <w:rPr>
          <w:rFonts w:asciiTheme="majorHAnsi" w:hAnsiTheme="majorHAnsi"/>
        </w:rPr>
      </w:pPr>
      <w:r w:rsidRPr="005B6EE5">
        <w:rPr>
          <w:rFonts w:asciiTheme="majorHAnsi" w:hAnsiTheme="majorHAnsi"/>
        </w:rPr>
        <w:t>Unit Assessments</w:t>
      </w:r>
    </w:p>
    <w:tbl>
      <w:tblPr>
        <w:tblW w:w="944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
        <w:gridCol w:w="1700"/>
        <w:gridCol w:w="7736"/>
      </w:tblGrid>
      <w:tr w:rsidR="002E42D4" w:rsidRPr="00DF7D60" w:rsidTr="002E42D4">
        <w:trPr>
          <w:gridBefore w:val="1"/>
          <w:wBefore w:w="10" w:type="dxa"/>
        </w:trPr>
        <w:tc>
          <w:tcPr>
            <w:tcW w:w="9436" w:type="dxa"/>
            <w:gridSpan w:val="2"/>
            <w:shd w:val="clear" w:color="auto" w:fill="5F497A"/>
          </w:tcPr>
          <w:p w:rsidR="002E42D4" w:rsidRPr="00714725" w:rsidRDefault="002E42D4" w:rsidP="00CB2F70">
            <w:pPr>
              <w:pStyle w:val="TableHeaders"/>
            </w:pPr>
            <w:r w:rsidRPr="00714725">
              <w:t>Ongoing Assessment</w:t>
            </w:r>
          </w:p>
        </w:tc>
      </w:tr>
      <w:tr w:rsidR="004777FE" w:rsidRPr="003539A7" w:rsidTr="002E42D4">
        <w:tblPrEx>
          <w:tblCellMar>
            <w:left w:w="10" w:type="dxa"/>
            <w:right w:w="10" w:type="dxa"/>
          </w:tblCellMar>
        </w:tblPrEx>
        <w:tc>
          <w:tcPr>
            <w:tcW w:w="1710" w:type="dxa"/>
            <w:gridSpan w:val="2"/>
            <w:tcMar>
              <w:top w:w="100" w:type="dxa"/>
              <w:left w:w="108" w:type="dxa"/>
              <w:bottom w:w="100" w:type="dxa"/>
              <w:right w:w="108" w:type="dxa"/>
            </w:tcMar>
          </w:tcPr>
          <w:p w:rsidR="004777FE" w:rsidRPr="00A836EB" w:rsidRDefault="004777FE" w:rsidP="00DB07DD">
            <w:pPr>
              <w:rPr>
                <w:b/>
              </w:rPr>
            </w:pPr>
            <w:r w:rsidRPr="00A836EB">
              <w:rPr>
                <w:b/>
              </w:rPr>
              <w:t>Standards Assessed</w:t>
            </w:r>
          </w:p>
        </w:tc>
        <w:tc>
          <w:tcPr>
            <w:tcW w:w="7736" w:type="dxa"/>
            <w:tcMar>
              <w:top w:w="100" w:type="dxa"/>
              <w:left w:w="108" w:type="dxa"/>
              <w:bottom w:w="100" w:type="dxa"/>
              <w:right w:w="108" w:type="dxa"/>
            </w:tcMar>
          </w:tcPr>
          <w:p w:rsidR="004777FE" w:rsidRPr="00A836EB" w:rsidRDefault="004777FE" w:rsidP="00ED6F8B">
            <w:pPr>
              <w:pStyle w:val="Normal3"/>
              <w:spacing w:after="200" w:line="264" w:lineRule="auto"/>
            </w:pPr>
            <w:r>
              <w:rPr>
                <w:rFonts w:ascii="Calibri" w:eastAsia="Calibri" w:hAnsi="Calibri" w:cs="Calibri"/>
                <w:sz w:val="22"/>
              </w:rPr>
              <w:t xml:space="preserve">RL.9-10.2, </w:t>
            </w:r>
            <w:r w:rsidR="00850EFB">
              <w:rPr>
                <w:rFonts w:ascii="Calibri" w:eastAsia="Calibri" w:hAnsi="Calibri" w:cs="Calibri"/>
                <w:sz w:val="22"/>
              </w:rPr>
              <w:t xml:space="preserve">RL. 9-10.3, </w:t>
            </w:r>
            <w:r>
              <w:rPr>
                <w:rFonts w:ascii="Calibri" w:eastAsia="Calibri" w:hAnsi="Calibri" w:cs="Calibri"/>
                <w:sz w:val="22"/>
              </w:rPr>
              <w:t>RL.9-10.4, R</w:t>
            </w:r>
            <w:r w:rsidR="00850EFB">
              <w:rPr>
                <w:rFonts w:ascii="Calibri" w:eastAsia="Calibri" w:hAnsi="Calibri" w:cs="Calibri"/>
                <w:sz w:val="22"/>
              </w:rPr>
              <w:t>L</w:t>
            </w:r>
            <w:r>
              <w:rPr>
                <w:rFonts w:ascii="Calibri" w:eastAsia="Calibri" w:hAnsi="Calibri" w:cs="Calibri"/>
                <w:sz w:val="22"/>
              </w:rPr>
              <w:t>.9-10.</w:t>
            </w:r>
            <w:r w:rsidR="00850EFB">
              <w:rPr>
                <w:rFonts w:ascii="Calibri" w:eastAsia="Calibri" w:hAnsi="Calibri" w:cs="Calibri"/>
                <w:sz w:val="22"/>
              </w:rPr>
              <w:t>5</w:t>
            </w:r>
            <w:r>
              <w:rPr>
                <w:rFonts w:ascii="Calibri" w:eastAsia="Calibri" w:hAnsi="Calibri" w:cs="Calibri"/>
                <w:sz w:val="22"/>
              </w:rPr>
              <w:t>,</w:t>
            </w:r>
            <w:r w:rsidRPr="006C6DFC">
              <w:rPr>
                <w:rFonts w:ascii="Calibri" w:eastAsia="Calibri" w:hAnsi="Calibri" w:cs="Calibri"/>
                <w:sz w:val="22"/>
              </w:rPr>
              <w:t xml:space="preserve"> </w:t>
            </w:r>
            <w:r>
              <w:rPr>
                <w:rFonts w:ascii="Calibri" w:eastAsia="Calibri" w:hAnsi="Calibri" w:cs="Calibri"/>
                <w:sz w:val="22"/>
              </w:rPr>
              <w:t>R</w:t>
            </w:r>
            <w:r w:rsidR="00850EFB">
              <w:rPr>
                <w:rFonts w:ascii="Calibri" w:eastAsia="Calibri" w:hAnsi="Calibri" w:cs="Calibri"/>
                <w:sz w:val="22"/>
              </w:rPr>
              <w:t>L</w:t>
            </w:r>
            <w:r>
              <w:rPr>
                <w:rFonts w:ascii="Calibri" w:eastAsia="Calibri" w:hAnsi="Calibri" w:cs="Calibri"/>
                <w:sz w:val="22"/>
              </w:rPr>
              <w:t>.9-10.</w:t>
            </w:r>
            <w:r w:rsidR="00850EFB">
              <w:rPr>
                <w:rFonts w:ascii="Calibri" w:eastAsia="Calibri" w:hAnsi="Calibri" w:cs="Calibri"/>
                <w:sz w:val="22"/>
              </w:rPr>
              <w:t>7.a</w:t>
            </w:r>
            <w:r>
              <w:rPr>
                <w:rFonts w:ascii="Calibri" w:eastAsia="Calibri" w:hAnsi="Calibri" w:cs="Calibri"/>
                <w:sz w:val="22"/>
              </w:rPr>
              <w:t xml:space="preserve">, </w:t>
            </w:r>
            <w:r w:rsidRPr="006C6DFC">
              <w:rPr>
                <w:rFonts w:ascii="Calibri" w:eastAsia="Calibri" w:hAnsi="Calibri" w:cs="Calibri"/>
                <w:sz w:val="22"/>
              </w:rPr>
              <w:t>R</w:t>
            </w:r>
            <w:r w:rsidR="00850EFB">
              <w:rPr>
                <w:rFonts w:ascii="Calibri" w:eastAsia="Calibri" w:hAnsi="Calibri" w:cs="Calibri"/>
                <w:sz w:val="22"/>
              </w:rPr>
              <w:t>L</w:t>
            </w:r>
            <w:r w:rsidRPr="006C6DFC">
              <w:rPr>
                <w:rFonts w:ascii="Calibri" w:eastAsia="Calibri" w:hAnsi="Calibri" w:cs="Calibri"/>
                <w:sz w:val="22"/>
              </w:rPr>
              <w:t>.</w:t>
            </w:r>
            <w:r>
              <w:rPr>
                <w:rFonts w:ascii="Calibri" w:eastAsia="Calibri" w:hAnsi="Calibri" w:cs="Calibri"/>
                <w:sz w:val="22"/>
              </w:rPr>
              <w:t>9-10</w:t>
            </w:r>
            <w:r w:rsidRPr="006C6DFC">
              <w:rPr>
                <w:rFonts w:ascii="Calibri" w:eastAsia="Calibri" w:hAnsi="Calibri" w:cs="Calibri"/>
                <w:sz w:val="22"/>
              </w:rPr>
              <w:t>.</w:t>
            </w:r>
            <w:r w:rsidR="00850EFB">
              <w:rPr>
                <w:rFonts w:ascii="Calibri" w:eastAsia="Calibri" w:hAnsi="Calibri" w:cs="Calibri"/>
                <w:sz w:val="22"/>
              </w:rPr>
              <w:t>9</w:t>
            </w:r>
            <w:r>
              <w:rPr>
                <w:rFonts w:ascii="Calibri" w:eastAsia="Calibri" w:hAnsi="Calibri" w:cs="Calibri"/>
                <w:sz w:val="22"/>
              </w:rPr>
              <w:t xml:space="preserve">, </w:t>
            </w:r>
            <w:r w:rsidR="009300F7">
              <w:rPr>
                <w:rFonts w:ascii="Calibri" w:eastAsia="Calibri" w:hAnsi="Calibri" w:cs="Calibri"/>
                <w:sz w:val="22"/>
              </w:rPr>
              <w:t xml:space="preserve">W.9-10.1.a, </w:t>
            </w:r>
            <w:r w:rsidR="00850EFB">
              <w:rPr>
                <w:rFonts w:ascii="Calibri" w:eastAsia="Calibri" w:hAnsi="Calibri" w:cs="Calibri"/>
                <w:sz w:val="22"/>
              </w:rPr>
              <w:t>W.9-10.2.c</w:t>
            </w:r>
            <w:r w:rsidR="009300F7">
              <w:rPr>
                <w:rFonts w:ascii="Calibri" w:eastAsia="Calibri" w:hAnsi="Calibri" w:cs="Calibri"/>
                <w:sz w:val="22"/>
              </w:rPr>
              <w:t xml:space="preserve">, d, </w:t>
            </w:r>
            <w:r w:rsidR="00850EFB">
              <w:rPr>
                <w:rFonts w:ascii="Calibri" w:eastAsia="Calibri" w:hAnsi="Calibri" w:cs="Calibri"/>
                <w:sz w:val="22"/>
              </w:rPr>
              <w:t>e, SL.9-10.</w:t>
            </w:r>
            <w:r w:rsidR="00ED6F8B">
              <w:rPr>
                <w:rFonts w:ascii="Calibri" w:eastAsia="Calibri" w:hAnsi="Calibri" w:cs="Calibri"/>
                <w:sz w:val="22"/>
              </w:rPr>
              <w:t>1.</w:t>
            </w:r>
            <w:r w:rsidR="00850EFB">
              <w:rPr>
                <w:rFonts w:ascii="Calibri" w:eastAsia="Calibri" w:hAnsi="Calibri" w:cs="Calibri"/>
                <w:sz w:val="22"/>
              </w:rPr>
              <w:t xml:space="preserve">b, </w:t>
            </w:r>
            <w:r w:rsidR="00173471">
              <w:rPr>
                <w:rFonts w:ascii="Calibri" w:eastAsia="Calibri" w:hAnsi="Calibri" w:cs="Calibri"/>
                <w:sz w:val="22"/>
              </w:rPr>
              <w:t>SL.9-10.4</w:t>
            </w:r>
          </w:p>
        </w:tc>
      </w:tr>
      <w:tr w:rsidR="004777FE" w:rsidRPr="003539A7" w:rsidTr="002E42D4">
        <w:tblPrEx>
          <w:tblCellMar>
            <w:left w:w="10" w:type="dxa"/>
            <w:right w:w="10" w:type="dxa"/>
          </w:tblCellMar>
        </w:tblPrEx>
        <w:tc>
          <w:tcPr>
            <w:tcW w:w="1710" w:type="dxa"/>
            <w:gridSpan w:val="2"/>
            <w:tcMar>
              <w:top w:w="100" w:type="dxa"/>
              <w:left w:w="108" w:type="dxa"/>
              <w:bottom w:w="100" w:type="dxa"/>
              <w:right w:w="108" w:type="dxa"/>
            </w:tcMar>
          </w:tcPr>
          <w:p w:rsidR="004777FE" w:rsidRPr="00A836EB" w:rsidRDefault="004777FE" w:rsidP="00DB07DD">
            <w:pPr>
              <w:rPr>
                <w:b/>
              </w:rPr>
            </w:pPr>
            <w:r w:rsidRPr="00A836EB">
              <w:rPr>
                <w:b/>
              </w:rPr>
              <w:t>Description of Assessment</w:t>
            </w:r>
          </w:p>
        </w:tc>
        <w:tc>
          <w:tcPr>
            <w:tcW w:w="7736" w:type="dxa"/>
            <w:tcMar>
              <w:top w:w="100" w:type="dxa"/>
              <w:left w:w="108" w:type="dxa"/>
              <w:bottom w:w="100" w:type="dxa"/>
              <w:right w:w="108" w:type="dxa"/>
            </w:tcMar>
          </w:tcPr>
          <w:p w:rsidR="004777FE" w:rsidRPr="00A836EB" w:rsidRDefault="00D76413" w:rsidP="00D76413">
            <w:r>
              <w:t>Write informally in response to</w:t>
            </w:r>
            <w:r w:rsidR="004777FE" w:rsidRPr="00A836EB">
              <w:t xml:space="preserve"> text-dependent questions</w:t>
            </w:r>
            <w:r>
              <w:t xml:space="preserve"> and prompts</w:t>
            </w:r>
            <w:r w:rsidR="004777FE" w:rsidRPr="00A836EB">
              <w:t>. Present information in an organized and logical manner</w:t>
            </w:r>
            <w:r w:rsidR="00173471">
              <w:t xml:space="preserve"> both orally and in writing</w:t>
            </w:r>
            <w:r w:rsidR="004777FE" w:rsidRPr="00A836EB">
              <w:t xml:space="preserve">. </w:t>
            </w:r>
          </w:p>
        </w:tc>
      </w:tr>
    </w:tbl>
    <w:p w:rsidR="009300F7" w:rsidRDefault="009300F7">
      <w:pPr>
        <w:spacing w:before="0" w:after="200" w:line="240" w:lineRule="auto"/>
        <w:rPr>
          <w:rFonts w:cs="Calibri"/>
          <w:color w:val="000000"/>
          <w:szCs w:val="24"/>
          <w:lang w:eastAsia="ja-JP"/>
        </w:rPr>
      </w:pPr>
      <w:r>
        <w:br w:type="page"/>
      </w:r>
    </w:p>
    <w:p w:rsidR="004777FE" w:rsidRPr="003539A7" w:rsidRDefault="004777FE" w:rsidP="004777FE">
      <w:pPr>
        <w:pStyle w:val="Normal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
        <w:gridCol w:w="1700"/>
        <w:gridCol w:w="7750"/>
        <w:gridCol w:w="10"/>
      </w:tblGrid>
      <w:tr w:rsidR="009300F7" w:rsidRPr="00DF7D60" w:rsidTr="009300F7">
        <w:trPr>
          <w:gridBefore w:val="1"/>
          <w:wBefore w:w="10" w:type="dxa"/>
        </w:trPr>
        <w:tc>
          <w:tcPr>
            <w:tcW w:w="9460" w:type="dxa"/>
            <w:gridSpan w:val="3"/>
            <w:shd w:val="clear" w:color="auto" w:fill="5F497A"/>
          </w:tcPr>
          <w:p w:rsidR="009300F7" w:rsidRPr="00714725" w:rsidRDefault="009300F7" w:rsidP="00CB2F70">
            <w:pPr>
              <w:pStyle w:val="TableHeaders"/>
            </w:pPr>
            <w:r>
              <w:t>Mid</w:t>
            </w:r>
            <w:r w:rsidRPr="00714725">
              <w:t>-Unit Assessment</w:t>
            </w:r>
          </w:p>
        </w:tc>
      </w:tr>
      <w:tr w:rsidR="004777FE" w:rsidRPr="003539A7" w:rsidTr="009300F7">
        <w:tblPrEx>
          <w:tblCellMar>
            <w:left w:w="10" w:type="dxa"/>
            <w:right w:w="10" w:type="dxa"/>
          </w:tblCellMar>
        </w:tblPrEx>
        <w:trPr>
          <w:gridAfter w:val="1"/>
          <w:wAfter w:w="10" w:type="dxa"/>
        </w:trPr>
        <w:tc>
          <w:tcPr>
            <w:tcW w:w="1710" w:type="dxa"/>
            <w:gridSpan w:val="2"/>
            <w:tcMar>
              <w:top w:w="100" w:type="dxa"/>
              <w:left w:w="108" w:type="dxa"/>
              <w:bottom w:w="100" w:type="dxa"/>
              <w:right w:w="108" w:type="dxa"/>
            </w:tcMar>
          </w:tcPr>
          <w:p w:rsidR="004777FE" w:rsidRPr="00A836EB" w:rsidRDefault="004777FE" w:rsidP="00DB07DD">
            <w:pPr>
              <w:rPr>
                <w:b/>
              </w:rPr>
            </w:pPr>
            <w:r w:rsidRPr="00A836EB">
              <w:rPr>
                <w:b/>
              </w:rPr>
              <w:t>Standards Assessed</w:t>
            </w:r>
          </w:p>
        </w:tc>
        <w:tc>
          <w:tcPr>
            <w:tcW w:w="7750" w:type="dxa"/>
            <w:tcMar>
              <w:top w:w="100" w:type="dxa"/>
              <w:left w:w="108" w:type="dxa"/>
              <w:bottom w:w="100" w:type="dxa"/>
              <w:right w:w="108" w:type="dxa"/>
            </w:tcMar>
          </w:tcPr>
          <w:p w:rsidR="004777FE" w:rsidRPr="00A836EB" w:rsidRDefault="00173471" w:rsidP="00173471">
            <w:pPr>
              <w:pStyle w:val="Normal3"/>
            </w:pPr>
            <w:r>
              <w:rPr>
                <w:rFonts w:ascii="Calibri" w:eastAsia="Calibri" w:hAnsi="Calibri" w:cs="Calibri"/>
                <w:sz w:val="22"/>
              </w:rPr>
              <w:t>RL.9-10.5</w:t>
            </w:r>
            <w:r w:rsidR="004777FE">
              <w:rPr>
                <w:rFonts w:ascii="Calibri" w:eastAsia="Calibri" w:hAnsi="Calibri" w:cs="Calibri"/>
                <w:sz w:val="22"/>
              </w:rPr>
              <w:t>, W.9-10.2.a-f</w:t>
            </w:r>
            <w:r w:rsidR="00CD0131">
              <w:rPr>
                <w:rFonts w:ascii="Calibri" w:eastAsia="Calibri" w:hAnsi="Calibri" w:cs="Calibri"/>
                <w:sz w:val="22"/>
              </w:rPr>
              <w:t>, W.9-10.9.a, L.9-10.1.a,</w:t>
            </w:r>
            <w:r>
              <w:rPr>
                <w:rFonts w:ascii="Calibri" w:eastAsia="Calibri" w:hAnsi="Calibri" w:cs="Calibri"/>
                <w:sz w:val="22"/>
              </w:rPr>
              <w:t>b, L.9-10</w:t>
            </w:r>
            <w:r w:rsidR="00CD0131">
              <w:rPr>
                <w:rFonts w:ascii="Calibri" w:eastAsia="Calibri" w:hAnsi="Calibri" w:cs="Calibri"/>
                <w:sz w:val="22"/>
              </w:rPr>
              <w:t>.2</w:t>
            </w:r>
            <w:r>
              <w:rPr>
                <w:rFonts w:ascii="Calibri" w:eastAsia="Calibri" w:hAnsi="Calibri" w:cs="Calibri"/>
                <w:sz w:val="22"/>
              </w:rPr>
              <w:t>.a-c</w:t>
            </w:r>
          </w:p>
        </w:tc>
      </w:tr>
      <w:tr w:rsidR="004777FE" w:rsidRPr="003539A7" w:rsidTr="009300F7">
        <w:tblPrEx>
          <w:tblCellMar>
            <w:left w:w="10" w:type="dxa"/>
            <w:right w:w="10" w:type="dxa"/>
          </w:tblCellMar>
        </w:tblPrEx>
        <w:trPr>
          <w:gridAfter w:val="1"/>
          <w:wAfter w:w="10" w:type="dxa"/>
        </w:trPr>
        <w:tc>
          <w:tcPr>
            <w:tcW w:w="1710" w:type="dxa"/>
            <w:gridSpan w:val="2"/>
            <w:tcMar>
              <w:top w:w="100" w:type="dxa"/>
              <w:left w:w="108" w:type="dxa"/>
              <w:bottom w:w="100" w:type="dxa"/>
              <w:right w:w="108" w:type="dxa"/>
            </w:tcMar>
          </w:tcPr>
          <w:p w:rsidR="004777FE" w:rsidRPr="00A836EB" w:rsidRDefault="004777FE" w:rsidP="00DB07DD">
            <w:pPr>
              <w:rPr>
                <w:b/>
              </w:rPr>
            </w:pPr>
            <w:r w:rsidRPr="00A836EB">
              <w:rPr>
                <w:b/>
              </w:rPr>
              <w:t>Description of Assessment</w:t>
            </w:r>
          </w:p>
        </w:tc>
        <w:tc>
          <w:tcPr>
            <w:tcW w:w="7750" w:type="dxa"/>
            <w:tcMar>
              <w:top w:w="100" w:type="dxa"/>
              <w:left w:w="108" w:type="dxa"/>
              <w:bottom w:w="100" w:type="dxa"/>
              <w:right w:w="108" w:type="dxa"/>
            </w:tcMar>
          </w:tcPr>
          <w:p w:rsidR="004777FE" w:rsidRDefault="004777FE" w:rsidP="00DB07DD">
            <w:pPr>
              <w:pStyle w:val="TableText"/>
            </w:pPr>
            <w:r>
              <w:t xml:space="preserve">Students write a multi-paragraph response to the following prompt: </w:t>
            </w:r>
          </w:p>
          <w:p w:rsidR="004777FE" w:rsidRPr="00A836EB" w:rsidRDefault="00173471" w:rsidP="00173471">
            <w:r>
              <w:t>How do Shakespeare’s structural choices create an effect of mystery, tension, or surprise in the first two acts of the play?</w:t>
            </w:r>
          </w:p>
        </w:tc>
      </w:tr>
    </w:tbl>
    <w:p w:rsidR="004777FE" w:rsidRPr="003539A7" w:rsidRDefault="004777FE" w:rsidP="004777FE">
      <w:pPr>
        <w:pStyle w:val="Normal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
        <w:gridCol w:w="1700"/>
        <w:gridCol w:w="7750"/>
        <w:gridCol w:w="10"/>
      </w:tblGrid>
      <w:tr w:rsidR="009300F7" w:rsidRPr="00DF7D60" w:rsidTr="009300F7">
        <w:trPr>
          <w:gridBefore w:val="1"/>
          <w:wBefore w:w="10" w:type="dxa"/>
        </w:trPr>
        <w:tc>
          <w:tcPr>
            <w:tcW w:w="9460" w:type="dxa"/>
            <w:gridSpan w:val="3"/>
            <w:shd w:val="clear" w:color="auto" w:fill="5F497A"/>
          </w:tcPr>
          <w:p w:rsidR="009300F7" w:rsidRPr="00714725" w:rsidRDefault="009300F7" w:rsidP="00CB2F70">
            <w:pPr>
              <w:pStyle w:val="TableHeaders"/>
            </w:pPr>
            <w:r w:rsidRPr="00714725">
              <w:t>End-of-Unit Assessment</w:t>
            </w:r>
          </w:p>
        </w:tc>
      </w:tr>
      <w:tr w:rsidR="004777FE" w:rsidRPr="003539A7" w:rsidTr="009300F7">
        <w:tblPrEx>
          <w:tblCellMar>
            <w:left w:w="10" w:type="dxa"/>
            <w:right w:w="10" w:type="dxa"/>
          </w:tblCellMar>
        </w:tblPrEx>
        <w:trPr>
          <w:gridAfter w:val="1"/>
          <w:wAfter w:w="10" w:type="dxa"/>
        </w:trPr>
        <w:tc>
          <w:tcPr>
            <w:tcW w:w="1710" w:type="dxa"/>
            <w:gridSpan w:val="2"/>
            <w:tcMar>
              <w:top w:w="100" w:type="dxa"/>
              <w:left w:w="108" w:type="dxa"/>
              <w:bottom w:w="100" w:type="dxa"/>
              <w:right w:w="108" w:type="dxa"/>
            </w:tcMar>
          </w:tcPr>
          <w:p w:rsidR="004777FE" w:rsidRPr="00A836EB" w:rsidRDefault="004777FE" w:rsidP="00DB07DD">
            <w:pPr>
              <w:rPr>
                <w:b/>
              </w:rPr>
            </w:pPr>
            <w:r w:rsidRPr="00A836EB">
              <w:rPr>
                <w:b/>
              </w:rPr>
              <w:t>Standards Assessed</w:t>
            </w:r>
          </w:p>
        </w:tc>
        <w:tc>
          <w:tcPr>
            <w:tcW w:w="7750" w:type="dxa"/>
            <w:tcMar>
              <w:top w:w="100" w:type="dxa"/>
              <w:left w:w="108" w:type="dxa"/>
              <w:bottom w:w="100" w:type="dxa"/>
              <w:right w:w="108" w:type="dxa"/>
            </w:tcMar>
          </w:tcPr>
          <w:p w:rsidR="004777FE" w:rsidRPr="00A836EB" w:rsidRDefault="00173471" w:rsidP="00173471">
            <w:pPr>
              <w:pStyle w:val="Normal3"/>
            </w:pPr>
            <w:r>
              <w:rPr>
                <w:rFonts w:ascii="Calibri" w:eastAsia="Calibri" w:hAnsi="Calibri" w:cs="Calibri"/>
                <w:sz w:val="22"/>
              </w:rPr>
              <w:t>RL.9-10.3</w:t>
            </w:r>
            <w:r w:rsidR="004777FE">
              <w:rPr>
                <w:rFonts w:ascii="Calibri" w:eastAsia="Calibri" w:hAnsi="Calibri" w:cs="Calibri"/>
                <w:sz w:val="22"/>
              </w:rPr>
              <w:t>, W.9-10.</w:t>
            </w:r>
            <w:r>
              <w:rPr>
                <w:rFonts w:ascii="Calibri" w:eastAsia="Calibri" w:hAnsi="Calibri" w:cs="Calibri"/>
                <w:sz w:val="22"/>
              </w:rPr>
              <w:t>1</w:t>
            </w:r>
            <w:r w:rsidR="004777FE">
              <w:rPr>
                <w:rFonts w:ascii="Calibri" w:eastAsia="Calibri" w:hAnsi="Calibri" w:cs="Calibri"/>
                <w:sz w:val="22"/>
              </w:rPr>
              <w:t>.a-</w:t>
            </w:r>
            <w:r>
              <w:rPr>
                <w:rFonts w:ascii="Calibri" w:eastAsia="Calibri" w:hAnsi="Calibri" w:cs="Calibri"/>
                <w:sz w:val="22"/>
              </w:rPr>
              <w:t>e</w:t>
            </w:r>
            <w:r w:rsidR="004777FE">
              <w:rPr>
                <w:rFonts w:ascii="Calibri" w:eastAsia="Calibri" w:hAnsi="Calibri" w:cs="Calibri"/>
                <w:sz w:val="22"/>
              </w:rPr>
              <w:t>, L.9-10.1</w:t>
            </w:r>
            <w:r w:rsidR="009300F7">
              <w:rPr>
                <w:rFonts w:ascii="Calibri" w:eastAsia="Calibri" w:hAnsi="Calibri" w:cs="Calibri"/>
                <w:sz w:val="22"/>
              </w:rPr>
              <w:t xml:space="preserve">.a, </w:t>
            </w:r>
            <w:r>
              <w:rPr>
                <w:rFonts w:ascii="Calibri" w:eastAsia="Calibri" w:hAnsi="Calibri" w:cs="Calibri"/>
                <w:sz w:val="22"/>
              </w:rPr>
              <w:t>b</w:t>
            </w:r>
            <w:r w:rsidR="004777FE">
              <w:rPr>
                <w:rFonts w:ascii="Calibri" w:eastAsia="Calibri" w:hAnsi="Calibri" w:cs="Calibri"/>
                <w:sz w:val="22"/>
              </w:rPr>
              <w:t>, L.9-10.2</w:t>
            </w:r>
            <w:r>
              <w:rPr>
                <w:rFonts w:ascii="Calibri" w:eastAsia="Calibri" w:hAnsi="Calibri" w:cs="Calibri"/>
                <w:sz w:val="22"/>
              </w:rPr>
              <w:t>.a-c</w:t>
            </w:r>
          </w:p>
        </w:tc>
      </w:tr>
      <w:tr w:rsidR="004777FE" w:rsidRPr="003539A7" w:rsidTr="009300F7">
        <w:tblPrEx>
          <w:tblCellMar>
            <w:left w:w="10" w:type="dxa"/>
            <w:right w:w="10" w:type="dxa"/>
          </w:tblCellMar>
        </w:tblPrEx>
        <w:trPr>
          <w:gridAfter w:val="1"/>
          <w:wAfter w:w="10" w:type="dxa"/>
          <w:trHeight w:val="740"/>
        </w:trPr>
        <w:tc>
          <w:tcPr>
            <w:tcW w:w="1710" w:type="dxa"/>
            <w:gridSpan w:val="2"/>
            <w:tcMar>
              <w:top w:w="100" w:type="dxa"/>
              <w:left w:w="108" w:type="dxa"/>
              <w:bottom w:w="100" w:type="dxa"/>
              <w:right w:w="108" w:type="dxa"/>
            </w:tcMar>
          </w:tcPr>
          <w:p w:rsidR="004777FE" w:rsidRPr="00A836EB" w:rsidRDefault="004777FE" w:rsidP="00DB07DD">
            <w:pPr>
              <w:rPr>
                <w:b/>
              </w:rPr>
            </w:pPr>
            <w:r w:rsidRPr="00A836EB">
              <w:rPr>
                <w:b/>
              </w:rPr>
              <w:t>Description of Assessment</w:t>
            </w:r>
          </w:p>
        </w:tc>
        <w:tc>
          <w:tcPr>
            <w:tcW w:w="7750" w:type="dxa"/>
            <w:tcMar>
              <w:top w:w="100" w:type="dxa"/>
              <w:left w:w="108" w:type="dxa"/>
              <w:bottom w:w="100" w:type="dxa"/>
              <w:right w:w="108" w:type="dxa"/>
            </w:tcMar>
          </w:tcPr>
          <w:p w:rsidR="004777FE" w:rsidRDefault="004777FE" w:rsidP="00DB07DD">
            <w:r>
              <w:t>Students will answer the following prompt based on their work in this unit:</w:t>
            </w:r>
          </w:p>
          <w:p w:rsidR="004777FE" w:rsidRPr="00173471" w:rsidRDefault="00173471" w:rsidP="00173471">
            <w:pPr>
              <w:rPr>
                <w:rFonts w:ascii="Times" w:hAnsi="Times"/>
                <w:sz w:val="20"/>
                <w:szCs w:val="20"/>
              </w:rPr>
            </w:pPr>
            <w:r w:rsidRPr="00C858EE">
              <w:t xml:space="preserve">Select a central character from </w:t>
            </w:r>
            <w:r w:rsidRPr="00C858EE">
              <w:rPr>
                <w:i/>
                <w:iCs/>
              </w:rPr>
              <w:t>Macbeth</w:t>
            </w:r>
            <w:r w:rsidRPr="00C858EE">
              <w:t xml:space="preserve">. Write an argument about how this character is primarily responsible for the </w:t>
            </w:r>
            <w:r w:rsidRPr="00173471">
              <w:t>tragedy</w:t>
            </w:r>
            <w:r w:rsidRPr="00C858EE">
              <w:t>. Support your claims using evidence that draws on character development, interactions, plot and/or central ideas.</w:t>
            </w:r>
          </w:p>
        </w:tc>
      </w:tr>
    </w:tbl>
    <w:p w:rsidR="004777FE" w:rsidRPr="00A01D73" w:rsidRDefault="004777FE" w:rsidP="006F4FD7">
      <w:pPr>
        <w:pStyle w:val="Heading1"/>
        <w:spacing w:before="360"/>
        <w:rPr>
          <w:rFonts w:asciiTheme="majorHAnsi" w:hAnsiTheme="majorHAnsi"/>
        </w:rPr>
      </w:pPr>
      <w:r w:rsidRPr="00A01D73">
        <w:rPr>
          <w:rFonts w:asciiTheme="majorHAnsi" w:hAnsiTheme="majorHAnsi"/>
        </w:rPr>
        <w:t>Unit-at-a-Glance Calendar</w:t>
      </w:r>
    </w:p>
    <w:tbl>
      <w:tblPr>
        <w:tblpPr w:leftFromText="180" w:rightFromText="180" w:vertAnchor="text" w:tblpY="1"/>
        <w:tblOverlap w:val="neve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10"/>
        <w:gridCol w:w="1800"/>
        <w:gridCol w:w="7083"/>
      </w:tblGrid>
      <w:tr w:rsidR="004777FE">
        <w:trPr>
          <w:trHeight w:val="460"/>
        </w:trPr>
        <w:tc>
          <w:tcPr>
            <w:tcW w:w="910" w:type="dxa"/>
            <w:shd w:val="clear" w:color="auto" w:fill="5F497A"/>
            <w:tcMar>
              <w:top w:w="100" w:type="dxa"/>
              <w:left w:w="108" w:type="dxa"/>
              <w:bottom w:w="100" w:type="dxa"/>
              <w:right w:w="108" w:type="dxa"/>
            </w:tcMar>
          </w:tcPr>
          <w:p w:rsidR="004777FE" w:rsidRDefault="004777FE" w:rsidP="0038536A">
            <w:pPr>
              <w:pStyle w:val="Normal2"/>
              <w:contextualSpacing w:val="0"/>
              <w:jc w:val="center"/>
            </w:pPr>
            <w:r>
              <w:rPr>
                <w:b/>
                <w:color w:val="FFFFFF"/>
              </w:rPr>
              <w:t>Lesson</w:t>
            </w:r>
          </w:p>
        </w:tc>
        <w:tc>
          <w:tcPr>
            <w:tcW w:w="1800" w:type="dxa"/>
            <w:shd w:val="clear" w:color="auto" w:fill="5F497A"/>
            <w:tcMar>
              <w:top w:w="100" w:type="dxa"/>
              <w:left w:w="108" w:type="dxa"/>
              <w:bottom w:w="100" w:type="dxa"/>
              <w:right w:w="108" w:type="dxa"/>
            </w:tcMar>
          </w:tcPr>
          <w:p w:rsidR="004777FE" w:rsidRDefault="009300F7" w:rsidP="0038536A">
            <w:pPr>
              <w:pStyle w:val="Normal2"/>
              <w:contextualSpacing w:val="0"/>
            </w:pPr>
            <w:r>
              <w:rPr>
                <w:b/>
                <w:color w:val="FFFFFF"/>
              </w:rPr>
              <w:t xml:space="preserve">Text </w:t>
            </w:r>
          </w:p>
        </w:tc>
        <w:tc>
          <w:tcPr>
            <w:tcW w:w="7083" w:type="dxa"/>
            <w:shd w:val="clear" w:color="auto" w:fill="5F497A"/>
            <w:tcMar>
              <w:top w:w="100" w:type="dxa"/>
              <w:left w:w="108" w:type="dxa"/>
              <w:bottom w:w="100" w:type="dxa"/>
              <w:right w:w="108" w:type="dxa"/>
            </w:tcMar>
          </w:tcPr>
          <w:p w:rsidR="004777FE" w:rsidRDefault="004777FE" w:rsidP="0038536A">
            <w:pPr>
              <w:pStyle w:val="Normal2"/>
              <w:contextualSpacing w:val="0"/>
            </w:pPr>
            <w:r>
              <w:rPr>
                <w:b/>
                <w:color w:val="FFFFFF"/>
              </w:rPr>
              <w:t>Learning Outcomes/Goals</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rsidRPr="00FC7E03">
              <w:t>1</w:t>
            </w:r>
          </w:p>
        </w:tc>
        <w:tc>
          <w:tcPr>
            <w:tcW w:w="1800" w:type="dxa"/>
            <w:tcMar>
              <w:top w:w="100" w:type="dxa"/>
              <w:left w:w="108" w:type="dxa"/>
              <w:bottom w:w="100" w:type="dxa"/>
              <w:right w:w="108" w:type="dxa"/>
            </w:tcMar>
          </w:tcPr>
          <w:p w:rsidR="004777FE" w:rsidRPr="001D756A" w:rsidRDefault="00173471" w:rsidP="0038536A">
            <w:r>
              <w:rPr>
                <w:i/>
              </w:rPr>
              <w:t>Macbeth</w:t>
            </w:r>
            <w:r w:rsidR="001D756A">
              <w:t>, Act 1.1 and 1.2</w:t>
            </w:r>
          </w:p>
        </w:tc>
        <w:tc>
          <w:tcPr>
            <w:tcW w:w="7083" w:type="dxa"/>
            <w:tcMar>
              <w:top w:w="100" w:type="dxa"/>
              <w:left w:w="108" w:type="dxa"/>
              <w:bottom w:w="100" w:type="dxa"/>
              <w:right w:w="108" w:type="dxa"/>
            </w:tcMar>
          </w:tcPr>
          <w:p w:rsidR="004777FE" w:rsidRPr="00FC7E03" w:rsidRDefault="001D756A" w:rsidP="00D76413">
            <w:r>
              <w:t xml:space="preserve">In this first lesson of the unit, students begin their study of </w:t>
            </w:r>
            <w:r>
              <w:rPr>
                <w:i/>
              </w:rPr>
              <w:t>Macbeth</w:t>
            </w:r>
            <w:r>
              <w:t xml:space="preserve"> by reading Act 1.1 and 1.2, in which the three Witches discuss Macbeth, and King Duncan learns of his bravery in battle. Students explore Shakespeare’s development of Macbeth’s character in these opening scenes. Working in pairs, students also begin to analyze the language and implications of these first scenes. </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rsidRPr="00FC7E03">
              <w:t>2</w:t>
            </w:r>
          </w:p>
        </w:tc>
        <w:tc>
          <w:tcPr>
            <w:tcW w:w="1800" w:type="dxa"/>
            <w:tcMar>
              <w:top w:w="100" w:type="dxa"/>
              <w:left w:w="108" w:type="dxa"/>
              <w:bottom w:w="100" w:type="dxa"/>
              <w:right w:w="108" w:type="dxa"/>
            </w:tcMar>
          </w:tcPr>
          <w:p w:rsidR="004777FE" w:rsidRPr="001D756A" w:rsidRDefault="00173471" w:rsidP="0038536A">
            <w:r>
              <w:rPr>
                <w:i/>
              </w:rPr>
              <w:t>Macbeth</w:t>
            </w:r>
            <w:r w:rsidR="001D756A">
              <w:t>, Act 1.3</w:t>
            </w:r>
          </w:p>
        </w:tc>
        <w:tc>
          <w:tcPr>
            <w:tcW w:w="7083" w:type="dxa"/>
            <w:tcMar>
              <w:top w:w="100" w:type="dxa"/>
              <w:left w:w="108" w:type="dxa"/>
              <w:bottom w:w="100" w:type="dxa"/>
              <w:right w:w="108" w:type="dxa"/>
            </w:tcMar>
          </w:tcPr>
          <w:p w:rsidR="004777FE" w:rsidRPr="001D756A" w:rsidRDefault="001D756A" w:rsidP="00D74C9A">
            <w:pPr>
              <w:widowControl w:val="0"/>
              <w:autoSpaceDE w:val="0"/>
              <w:autoSpaceDN w:val="0"/>
              <w:adjustRightInd w:val="0"/>
              <w:spacing w:before="0" w:after="0" w:line="240" w:lineRule="auto"/>
              <w:rPr>
                <w:rFonts w:asciiTheme="majorHAnsi" w:eastAsiaTheme="minorEastAsia" w:hAnsiTheme="majorHAnsi" w:cs="Helvetica"/>
                <w:lang w:eastAsia="ja-JP"/>
              </w:rPr>
            </w:pPr>
            <w:r>
              <w:t xml:space="preserve">In this lesson, students continue their work with </w:t>
            </w:r>
            <w:r>
              <w:rPr>
                <w:i/>
              </w:rPr>
              <w:t>Macbeth</w:t>
            </w:r>
            <w:r>
              <w:t xml:space="preserve"> by reading Act 1.3. Students focus on the emergence of central ideas</w:t>
            </w:r>
            <w:r w:rsidR="00371842">
              <w:t xml:space="preserve"> </w:t>
            </w:r>
            <w:r w:rsidR="00C01A0C">
              <w:t>in this scene (</w:t>
            </w:r>
            <w:r w:rsidR="00371842">
              <w:t xml:space="preserve">such as fate versus agency </w:t>
            </w:r>
            <w:r w:rsidR="00D74C9A">
              <w:t>or</w:t>
            </w:r>
            <w:r w:rsidR="00371842">
              <w:t xml:space="preserve"> appearance versus reality</w:t>
            </w:r>
            <w:r w:rsidR="00C01A0C">
              <w:t>)</w:t>
            </w:r>
            <w:r>
              <w:t xml:space="preserve">. </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rsidRPr="00FC7E03">
              <w:lastRenderedPageBreak/>
              <w:t>3</w:t>
            </w:r>
          </w:p>
        </w:tc>
        <w:tc>
          <w:tcPr>
            <w:tcW w:w="1800" w:type="dxa"/>
            <w:tcMar>
              <w:top w:w="100" w:type="dxa"/>
              <w:left w:w="108" w:type="dxa"/>
              <w:bottom w:w="100" w:type="dxa"/>
              <w:right w:w="108" w:type="dxa"/>
            </w:tcMar>
          </w:tcPr>
          <w:p w:rsidR="004777FE" w:rsidRPr="001D756A" w:rsidRDefault="00173471" w:rsidP="0038536A">
            <w:r>
              <w:rPr>
                <w:i/>
              </w:rPr>
              <w:t>Macbeth</w:t>
            </w:r>
            <w:r w:rsidR="001D756A">
              <w:t>, Act 1.5</w:t>
            </w:r>
          </w:p>
        </w:tc>
        <w:tc>
          <w:tcPr>
            <w:tcW w:w="7083" w:type="dxa"/>
            <w:tcMar>
              <w:top w:w="100" w:type="dxa"/>
              <w:left w:w="108" w:type="dxa"/>
              <w:bottom w:w="100" w:type="dxa"/>
              <w:right w:w="108" w:type="dxa"/>
            </w:tcMar>
          </w:tcPr>
          <w:p w:rsidR="004777FE" w:rsidRPr="00FC7E03" w:rsidRDefault="008D17FD" w:rsidP="00650F3B">
            <w:r>
              <w:t xml:space="preserve">In this lesson, students read and analyze </w:t>
            </w:r>
            <w:r>
              <w:rPr>
                <w:i/>
              </w:rPr>
              <w:t>Macbeth</w:t>
            </w:r>
            <w:r>
              <w:t xml:space="preserve"> Act 1.5, in which Lady Macbeth begins to consider murdering Duncan after receiving a letter from her husband about his encounter with the Witches. Students pay particular attention to Shakespeare’s choice to use a letter and soliloquies in this scene to develop the character of Lady Macbeth. As students contemplate Lady Macbeth’s character, they note her ambition and her active role in the events of the play. </w:t>
            </w:r>
            <w:r w:rsidR="00D76413">
              <w:t>Students participate</w:t>
            </w:r>
            <w:r w:rsidR="00650F3B">
              <w:t xml:space="preserve"> in j</w:t>
            </w:r>
            <w:r w:rsidR="00D76413">
              <w:t>igsaw and discussion activities.</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rsidRPr="00FC7E03">
              <w:t>4</w:t>
            </w:r>
          </w:p>
        </w:tc>
        <w:tc>
          <w:tcPr>
            <w:tcW w:w="1800" w:type="dxa"/>
            <w:tcMar>
              <w:top w:w="100" w:type="dxa"/>
              <w:left w:w="108" w:type="dxa"/>
              <w:bottom w:w="100" w:type="dxa"/>
              <w:right w:w="108" w:type="dxa"/>
            </w:tcMar>
          </w:tcPr>
          <w:p w:rsidR="004777FE" w:rsidRPr="008D17FD" w:rsidRDefault="00173471" w:rsidP="0038536A">
            <w:r>
              <w:rPr>
                <w:i/>
              </w:rPr>
              <w:t>Macbeth</w:t>
            </w:r>
            <w:r w:rsidR="008D17FD">
              <w:t xml:space="preserve">, Act </w:t>
            </w:r>
            <w:r w:rsidR="009300F7">
              <w:t xml:space="preserve">1.6 and </w:t>
            </w:r>
            <w:r w:rsidR="008D17FD">
              <w:t>1.7</w:t>
            </w:r>
          </w:p>
        </w:tc>
        <w:tc>
          <w:tcPr>
            <w:tcW w:w="7083" w:type="dxa"/>
            <w:tcMar>
              <w:top w:w="100" w:type="dxa"/>
              <w:left w:w="108" w:type="dxa"/>
              <w:bottom w:w="100" w:type="dxa"/>
              <w:right w:w="108" w:type="dxa"/>
            </w:tcMar>
          </w:tcPr>
          <w:p w:rsidR="004777FE" w:rsidRPr="00FC7E03" w:rsidRDefault="008D17FD" w:rsidP="00D76413">
            <w:r>
              <w:t xml:space="preserve">In this lesson, students read and analyze Act </w:t>
            </w:r>
            <w:r w:rsidR="009300F7">
              <w:t xml:space="preserve">1.6 and </w:t>
            </w:r>
            <w:r>
              <w:t xml:space="preserve">1.7. </w:t>
            </w:r>
            <w:r w:rsidR="00AA37FB">
              <w:t>S</w:t>
            </w:r>
            <w:r>
              <w:t>tudents begin this lesson by focusing on the title character</w:t>
            </w:r>
            <w:r w:rsidR="00D76413">
              <w:t xml:space="preserve"> </w:t>
            </w:r>
            <w:r w:rsidR="00AA37FB">
              <w:t>Macbeth</w:t>
            </w:r>
            <w:r>
              <w:t xml:space="preserve">, examining both his soliloquy and his interactions with his wife. As the scene unfolds, students work in pairs to analyze the complexity of the characters, both as individuals and as partners in a relationship. </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rsidRPr="00FC7E03">
              <w:t>5</w:t>
            </w:r>
          </w:p>
        </w:tc>
        <w:tc>
          <w:tcPr>
            <w:tcW w:w="1800" w:type="dxa"/>
            <w:tcMar>
              <w:top w:w="100" w:type="dxa"/>
              <w:left w:w="108" w:type="dxa"/>
              <w:bottom w:w="100" w:type="dxa"/>
              <w:right w:w="108" w:type="dxa"/>
            </w:tcMar>
          </w:tcPr>
          <w:p w:rsidR="004777FE" w:rsidRPr="008D17FD" w:rsidRDefault="00173471" w:rsidP="0038536A">
            <w:r>
              <w:rPr>
                <w:i/>
              </w:rPr>
              <w:t>Macbeth</w:t>
            </w:r>
            <w:r w:rsidR="008D17FD">
              <w:t>, Act 2.1</w:t>
            </w:r>
          </w:p>
        </w:tc>
        <w:tc>
          <w:tcPr>
            <w:tcW w:w="7083" w:type="dxa"/>
            <w:tcMar>
              <w:top w:w="100" w:type="dxa"/>
              <w:left w:w="108" w:type="dxa"/>
              <w:bottom w:w="100" w:type="dxa"/>
              <w:right w:w="108" w:type="dxa"/>
            </w:tcMar>
          </w:tcPr>
          <w:p w:rsidR="004777FE" w:rsidRPr="00FC7E03" w:rsidRDefault="008D17FD" w:rsidP="00650F3B">
            <w:pPr>
              <w:spacing w:before="0" w:after="0"/>
            </w:pPr>
            <w:r>
              <w:rPr>
                <w:rFonts w:asciiTheme="majorHAnsi" w:hAnsiTheme="majorHAnsi"/>
              </w:rPr>
              <w:t xml:space="preserve">In this lesson, students read and analyze </w:t>
            </w:r>
            <w:r>
              <w:rPr>
                <w:rFonts w:asciiTheme="majorHAnsi" w:hAnsiTheme="majorHAnsi"/>
                <w:i/>
              </w:rPr>
              <w:t>Macbeth</w:t>
            </w:r>
            <w:r>
              <w:rPr>
                <w:rFonts w:asciiTheme="majorHAnsi" w:hAnsiTheme="majorHAnsi"/>
              </w:rPr>
              <w:t xml:space="preserve"> Act 2.1, in which Macbeth and Banquo agree to discuss their encounter with the </w:t>
            </w:r>
            <w:r w:rsidR="00650F3B">
              <w:rPr>
                <w:rFonts w:asciiTheme="majorHAnsi" w:hAnsiTheme="majorHAnsi"/>
              </w:rPr>
              <w:t>w</w:t>
            </w:r>
            <w:r>
              <w:rPr>
                <w:rFonts w:asciiTheme="majorHAnsi" w:hAnsiTheme="majorHAnsi"/>
              </w:rPr>
              <w:t xml:space="preserve">itches at a later date and Macbeth prepares to kill Duncan. Students </w:t>
            </w:r>
            <w:r w:rsidR="00650F3B">
              <w:rPr>
                <w:rFonts w:asciiTheme="majorHAnsi" w:hAnsiTheme="majorHAnsi"/>
              </w:rPr>
              <w:t>participate in a j</w:t>
            </w:r>
            <w:r w:rsidR="00D76413">
              <w:rPr>
                <w:rFonts w:asciiTheme="majorHAnsi" w:hAnsiTheme="majorHAnsi"/>
              </w:rPr>
              <w:t xml:space="preserve">igsaw discussion and </w:t>
            </w:r>
            <w:r>
              <w:rPr>
                <w:rFonts w:asciiTheme="majorHAnsi" w:hAnsiTheme="majorHAnsi"/>
              </w:rPr>
              <w:t xml:space="preserve">explore how Shakespeare establishes mood in this scene. </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rsidRPr="00FC7E03">
              <w:t>6</w:t>
            </w:r>
          </w:p>
        </w:tc>
        <w:tc>
          <w:tcPr>
            <w:tcW w:w="1800" w:type="dxa"/>
            <w:tcMar>
              <w:top w:w="100" w:type="dxa"/>
              <w:left w:w="108" w:type="dxa"/>
              <w:bottom w:w="100" w:type="dxa"/>
              <w:right w:w="108" w:type="dxa"/>
            </w:tcMar>
          </w:tcPr>
          <w:p w:rsidR="004777FE" w:rsidRPr="008D17FD" w:rsidRDefault="004777FE" w:rsidP="0038536A">
            <w:r>
              <w:t xml:space="preserve"> </w:t>
            </w:r>
            <w:r w:rsidR="001D756A">
              <w:rPr>
                <w:i/>
              </w:rPr>
              <w:t>Macbeth</w:t>
            </w:r>
            <w:r w:rsidR="008D17FD">
              <w:t xml:space="preserve">, </w:t>
            </w:r>
            <w:r w:rsidR="00650F3B">
              <w:t xml:space="preserve">Act </w:t>
            </w:r>
            <w:r w:rsidR="008D17FD">
              <w:t>2.2</w:t>
            </w:r>
          </w:p>
        </w:tc>
        <w:tc>
          <w:tcPr>
            <w:tcW w:w="7083" w:type="dxa"/>
            <w:tcMar>
              <w:top w:w="100" w:type="dxa"/>
              <w:left w:w="108" w:type="dxa"/>
              <w:bottom w:w="100" w:type="dxa"/>
              <w:right w:w="108" w:type="dxa"/>
            </w:tcMar>
          </w:tcPr>
          <w:p w:rsidR="004777FE" w:rsidRPr="001F4743" w:rsidRDefault="008D17FD" w:rsidP="00D76413">
            <w:pPr>
              <w:spacing w:before="0" w:after="0" w:line="240" w:lineRule="auto"/>
              <w:rPr>
                <w:color w:val="000000"/>
                <w:sz w:val="23"/>
                <w:szCs w:val="23"/>
              </w:rPr>
            </w:pPr>
            <w:r>
              <w:rPr>
                <w:rFonts w:asciiTheme="majorHAnsi" w:hAnsiTheme="majorHAnsi"/>
              </w:rPr>
              <w:t xml:space="preserve">In this lesson, students read and analyze </w:t>
            </w:r>
            <w:r>
              <w:rPr>
                <w:rFonts w:asciiTheme="majorHAnsi" w:hAnsiTheme="majorHAnsi"/>
                <w:i/>
              </w:rPr>
              <w:t>Macbeth</w:t>
            </w:r>
            <w:r>
              <w:rPr>
                <w:rFonts w:asciiTheme="majorHAnsi" w:hAnsiTheme="majorHAnsi"/>
              </w:rPr>
              <w:t xml:space="preserve"> Act 2.2, in which Lady Macbeth anxiously awaits Macbeth, who returns from killing Duncan, horrified by what he has done. Students explore the impact of structural choices (such as the staging of the murder offstage) on mood and character development. </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rsidRPr="00FC7E03">
              <w:t>7</w:t>
            </w:r>
          </w:p>
        </w:tc>
        <w:tc>
          <w:tcPr>
            <w:tcW w:w="1800" w:type="dxa"/>
            <w:tcMar>
              <w:top w:w="100" w:type="dxa"/>
              <w:left w:w="108" w:type="dxa"/>
              <w:bottom w:w="100" w:type="dxa"/>
              <w:right w:w="108" w:type="dxa"/>
            </w:tcMar>
          </w:tcPr>
          <w:p w:rsidR="004777FE" w:rsidRPr="008D17FD" w:rsidRDefault="008D17FD" w:rsidP="0038536A">
            <w:r>
              <w:rPr>
                <w:i/>
              </w:rPr>
              <w:t>Macbeth</w:t>
            </w:r>
            <w:r>
              <w:t>, Act 2</w:t>
            </w:r>
            <w:r w:rsidR="00650F3B">
              <w:t>.</w:t>
            </w:r>
            <w:r>
              <w:t>3</w:t>
            </w:r>
          </w:p>
        </w:tc>
        <w:tc>
          <w:tcPr>
            <w:tcW w:w="7083" w:type="dxa"/>
            <w:tcMar>
              <w:top w:w="100" w:type="dxa"/>
              <w:left w:w="108" w:type="dxa"/>
              <w:bottom w:w="100" w:type="dxa"/>
              <w:right w:w="108" w:type="dxa"/>
            </w:tcMar>
          </w:tcPr>
          <w:p w:rsidR="004777FE" w:rsidRPr="00FC7E03" w:rsidRDefault="008D17FD" w:rsidP="00D76413">
            <w:r w:rsidRPr="00125242">
              <w:t xml:space="preserve">In this lesson, students read and analyze </w:t>
            </w:r>
            <w:r w:rsidRPr="00CD5A95">
              <w:rPr>
                <w:i/>
              </w:rPr>
              <w:t>Macbeth</w:t>
            </w:r>
            <w:r>
              <w:t xml:space="preserve"> Act 2</w:t>
            </w:r>
            <w:r w:rsidR="009B6DC7">
              <w:t>.3</w:t>
            </w:r>
            <w:r w:rsidRPr="00125242">
              <w:t xml:space="preserve">, in which a drunken </w:t>
            </w:r>
            <w:r w:rsidR="009B6DC7">
              <w:t>P</w:t>
            </w:r>
            <w:r w:rsidR="009B6DC7" w:rsidRPr="00125242">
              <w:t xml:space="preserve">orter </w:t>
            </w:r>
            <w:r w:rsidRPr="00125242">
              <w:t xml:space="preserve">opens the gates of the castle to Lennox and Macduff, prompting the discovery of Duncan’s murder and the flight of his sons Malcolm and Donalbain. Students explore the development of central ideas such as </w:t>
            </w:r>
            <w:r>
              <w:t>appearance</w:t>
            </w:r>
            <w:r w:rsidRPr="00125242">
              <w:t xml:space="preserve"> vs</w:t>
            </w:r>
            <w:r>
              <w:t>.</w:t>
            </w:r>
            <w:r w:rsidRPr="00125242">
              <w:t xml:space="preserve"> </w:t>
            </w:r>
            <w:r>
              <w:t>reality</w:t>
            </w:r>
            <w:r w:rsidRPr="00125242">
              <w:t xml:space="preserve"> and </w:t>
            </w:r>
            <w:r>
              <w:t>disorder and imbalance</w:t>
            </w:r>
            <w:r w:rsidRPr="00125242">
              <w:t xml:space="preserve"> in this scene by participating in a jigsaw discussion that enables them to develop their speaking and listening skills. </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rsidRPr="00FC7E03">
              <w:t>8</w:t>
            </w:r>
          </w:p>
        </w:tc>
        <w:tc>
          <w:tcPr>
            <w:tcW w:w="1800" w:type="dxa"/>
            <w:tcMar>
              <w:top w:w="100" w:type="dxa"/>
              <w:left w:w="108" w:type="dxa"/>
              <w:bottom w:w="100" w:type="dxa"/>
              <w:right w:w="108" w:type="dxa"/>
            </w:tcMar>
          </w:tcPr>
          <w:p w:rsidR="004777FE" w:rsidRPr="008D17FD" w:rsidRDefault="008D17FD" w:rsidP="0038536A">
            <w:r>
              <w:rPr>
                <w:i/>
              </w:rPr>
              <w:t>Macbeth</w:t>
            </w:r>
            <w:r w:rsidR="00322EF6">
              <w:t>, Acts 1 and 2</w:t>
            </w:r>
          </w:p>
        </w:tc>
        <w:tc>
          <w:tcPr>
            <w:tcW w:w="7083" w:type="dxa"/>
            <w:tcMar>
              <w:top w:w="100" w:type="dxa"/>
              <w:left w:w="108" w:type="dxa"/>
              <w:bottom w:w="100" w:type="dxa"/>
              <w:right w:w="108" w:type="dxa"/>
            </w:tcMar>
          </w:tcPr>
          <w:p w:rsidR="00322EF6" w:rsidRDefault="00322EF6" w:rsidP="0038536A">
            <w:r>
              <w:t xml:space="preserve">In this Mid-Unit Assessment, students use textual evidence from Acts 1–2 of Shakespeare’s </w:t>
            </w:r>
            <w:r>
              <w:rPr>
                <w:i/>
              </w:rPr>
              <w:t>Macbeth</w:t>
            </w:r>
            <w:r>
              <w:t xml:space="preserve"> to craft a formal, multi-paragraph essay in response to the following prompt: How do Shakespeare’s structural choices create an effect of mystery, tension, or surprise in the first two acts of the play?</w:t>
            </w:r>
          </w:p>
          <w:p w:rsidR="004777FE" w:rsidRPr="00FC7E03" w:rsidRDefault="00322EF6" w:rsidP="0038536A">
            <w:r>
              <w:t xml:space="preserve">Students review their annotated text, lesson Quick Writes, discussion notes, </w:t>
            </w:r>
            <w:r>
              <w:lastRenderedPageBreak/>
              <w:t>homework notes, and tools to organize their ideas. Students then develop their essays with relevant and sufficient facts, extended definitions, concrete details, and quotations.</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lastRenderedPageBreak/>
              <w:t>9</w:t>
            </w:r>
          </w:p>
        </w:tc>
        <w:tc>
          <w:tcPr>
            <w:tcW w:w="1800" w:type="dxa"/>
            <w:tcMar>
              <w:top w:w="100" w:type="dxa"/>
              <w:left w:w="108" w:type="dxa"/>
              <w:bottom w:w="100" w:type="dxa"/>
              <w:right w:w="108" w:type="dxa"/>
            </w:tcMar>
          </w:tcPr>
          <w:p w:rsidR="004777FE" w:rsidRPr="00322EF6" w:rsidRDefault="00322EF6" w:rsidP="0038536A">
            <w:r>
              <w:rPr>
                <w:i/>
              </w:rPr>
              <w:t>Macbeth</w:t>
            </w:r>
            <w:r>
              <w:t>, Act 3.1</w:t>
            </w:r>
          </w:p>
        </w:tc>
        <w:tc>
          <w:tcPr>
            <w:tcW w:w="7083" w:type="dxa"/>
            <w:tcMar>
              <w:top w:w="100" w:type="dxa"/>
              <w:left w:w="108" w:type="dxa"/>
              <w:bottom w:w="100" w:type="dxa"/>
              <w:right w:w="108" w:type="dxa"/>
            </w:tcMar>
          </w:tcPr>
          <w:p w:rsidR="004777FE" w:rsidRPr="00FC7E03" w:rsidRDefault="00322EF6" w:rsidP="00650F3B">
            <w:r>
              <w:t xml:space="preserve">In this lesson, </w:t>
            </w:r>
            <w:r w:rsidR="00650F3B">
              <w:t>students read and analyze Act 3.</w:t>
            </w:r>
            <w:r>
              <w:t xml:space="preserve">1 of </w:t>
            </w:r>
            <w:r>
              <w:rPr>
                <w:i/>
              </w:rPr>
              <w:t>Macbeth</w:t>
            </w:r>
            <w:r>
              <w:t xml:space="preserve">, in which Banquo airs his suspicions of Macbeth’s foul play and Macbeth hires a troupe of murderers to </w:t>
            </w:r>
            <w:r w:rsidR="00D646B9">
              <w:t xml:space="preserve">kill </w:t>
            </w:r>
            <w:r>
              <w:t>Banquo</w:t>
            </w:r>
            <w:r w:rsidR="00D646B9">
              <w:t xml:space="preserve"> and his son Fleance</w:t>
            </w:r>
            <w:r>
              <w:t xml:space="preserve">. Students analyze how specific details in this scene further develop a central idea in the text. </w:t>
            </w:r>
          </w:p>
        </w:tc>
      </w:tr>
      <w:tr w:rsidR="004777FE" w:rsidRPr="00FC7E03">
        <w:trPr>
          <w:trHeight w:val="340"/>
        </w:trPr>
        <w:tc>
          <w:tcPr>
            <w:tcW w:w="910" w:type="dxa"/>
            <w:tcMar>
              <w:top w:w="100" w:type="dxa"/>
              <w:left w:w="108" w:type="dxa"/>
              <w:bottom w:w="100" w:type="dxa"/>
              <w:right w:w="108" w:type="dxa"/>
            </w:tcMar>
          </w:tcPr>
          <w:p w:rsidR="004777FE" w:rsidRPr="00FC7E03" w:rsidRDefault="004777FE" w:rsidP="0038536A">
            <w:pPr>
              <w:jc w:val="center"/>
            </w:pPr>
            <w:r>
              <w:t>10</w:t>
            </w:r>
          </w:p>
        </w:tc>
        <w:tc>
          <w:tcPr>
            <w:tcW w:w="1800" w:type="dxa"/>
            <w:tcMar>
              <w:top w:w="100" w:type="dxa"/>
              <w:left w:w="108" w:type="dxa"/>
              <w:bottom w:w="100" w:type="dxa"/>
              <w:right w:w="108" w:type="dxa"/>
            </w:tcMar>
          </w:tcPr>
          <w:p w:rsidR="004777FE" w:rsidRPr="00322EF6" w:rsidDel="00E33A71" w:rsidRDefault="00322EF6" w:rsidP="0038536A">
            <w:r>
              <w:rPr>
                <w:i/>
              </w:rPr>
              <w:t>Macbeth</w:t>
            </w:r>
            <w:r>
              <w:t>, Act 3.2</w:t>
            </w:r>
          </w:p>
        </w:tc>
        <w:tc>
          <w:tcPr>
            <w:tcW w:w="7083" w:type="dxa"/>
            <w:tcMar>
              <w:top w:w="100" w:type="dxa"/>
              <w:left w:w="108" w:type="dxa"/>
              <w:bottom w:w="100" w:type="dxa"/>
              <w:right w:w="108" w:type="dxa"/>
            </w:tcMar>
          </w:tcPr>
          <w:p w:rsidR="00322EF6" w:rsidRPr="00FC7E03" w:rsidRDefault="00322EF6" w:rsidP="00650F3B">
            <w:r>
              <w:t xml:space="preserve">In this lesson, </w:t>
            </w:r>
            <w:r w:rsidR="00650F3B">
              <w:t>students read and analyze Act 3.</w:t>
            </w:r>
            <w:r>
              <w:t>2 of</w:t>
            </w:r>
            <w:r>
              <w:rPr>
                <w:i/>
              </w:rPr>
              <w:t xml:space="preserve"> Macbeth</w:t>
            </w:r>
            <w:r>
              <w:t xml:space="preserve">, in which Macbeth and Lady Macbeth discuss the emotional toll their nefarious deeds have taken on them. This scene also marks the first clear sign that Macbeth and Lady Macbeth are advancing towards their tragic end. </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11</w:t>
            </w:r>
          </w:p>
        </w:tc>
        <w:tc>
          <w:tcPr>
            <w:tcW w:w="1800" w:type="dxa"/>
            <w:tcMar>
              <w:top w:w="100" w:type="dxa"/>
              <w:left w:w="108" w:type="dxa"/>
              <w:bottom w:w="100" w:type="dxa"/>
              <w:right w:w="108" w:type="dxa"/>
            </w:tcMar>
          </w:tcPr>
          <w:p w:rsidR="004777FE" w:rsidRPr="00322EF6" w:rsidRDefault="00322EF6" w:rsidP="0038536A">
            <w:r>
              <w:rPr>
                <w:i/>
              </w:rPr>
              <w:t>Macbeth</w:t>
            </w:r>
            <w:r>
              <w:t>, Act 3.4</w:t>
            </w:r>
          </w:p>
        </w:tc>
        <w:tc>
          <w:tcPr>
            <w:tcW w:w="7083" w:type="dxa"/>
            <w:tcMar>
              <w:top w:w="100" w:type="dxa"/>
              <w:left w:w="108" w:type="dxa"/>
              <w:bottom w:w="100" w:type="dxa"/>
              <w:right w:w="108" w:type="dxa"/>
            </w:tcMar>
          </w:tcPr>
          <w:p w:rsidR="004777FE" w:rsidRPr="00FC7E03" w:rsidRDefault="00322EF6" w:rsidP="00D74C9A">
            <w:r>
              <w:t xml:space="preserve">In this lesson, students continue their work with </w:t>
            </w:r>
            <w:r>
              <w:rPr>
                <w:i/>
              </w:rPr>
              <w:t>Macbeth</w:t>
            </w:r>
            <w:r>
              <w:t>, reading Act 3.4, in which Macbeth sees Banquo’s ghost at a feast, but nobody else does. Students focus on the development of central ideas in this scene</w:t>
            </w:r>
            <w:r w:rsidR="00C01A0C">
              <w:t xml:space="preserve"> (such as appearance versus reality </w:t>
            </w:r>
            <w:r w:rsidR="00D74C9A">
              <w:t>or</w:t>
            </w:r>
            <w:r w:rsidR="00C01A0C">
              <w:t xml:space="preserve"> imbalance and disorder)</w:t>
            </w:r>
            <w:r>
              <w:t xml:space="preserve">. </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12</w:t>
            </w:r>
          </w:p>
        </w:tc>
        <w:tc>
          <w:tcPr>
            <w:tcW w:w="1800" w:type="dxa"/>
            <w:tcMar>
              <w:top w:w="100" w:type="dxa"/>
              <w:left w:w="108" w:type="dxa"/>
              <w:bottom w:w="100" w:type="dxa"/>
              <w:right w:w="108" w:type="dxa"/>
            </w:tcMar>
          </w:tcPr>
          <w:p w:rsidR="004777FE" w:rsidRPr="00322EF6" w:rsidRDefault="00322EF6" w:rsidP="0038536A">
            <w:r>
              <w:rPr>
                <w:i/>
              </w:rPr>
              <w:t>Macbeth</w:t>
            </w:r>
            <w:r>
              <w:t>, Act 4.1</w:t>
            </w:r>
          </w:p>
        </w:tc>
        <w:tc>
          <w:tcPr>
            <w:tcW w:w="7083" w:type="dxa"/>
            <w:tcMar>
              <w:top w:w="100" w:type="dxa"/>
              <w:left w:w="108" w:type="dxa"/>
              <w:bottom w:w="100" w:type="dxa"/>
              <w:right w:w="108" w:type="dxa"/>
            </w:tcMar>
          </w:tcPr>
          <w:p w:rsidR="004777FE" w:rsidRPr="00FC7E03" w:rsidRDefault="002063D3" w:rsidP="00650F3B">
            <w:r>
              <w:t xml:space="preserve">In this lesson, students l continue their work with </w:t>
            </w:r>
            <w:r>
              <w:rPr>
                <w:i/>
              </w:rPr>
              <w:t>Macbeth</w:t>
            </w:r>
            <w:r>
              <w:t>, reading Act 4.1, in which Macbeth meets with the Three Witches, who present him with apparitions that tell him of the future. Working in small groups</w:t>
            </w:r>
            <w:r w:rsidR="002C4C22">
              <w:t>,</w:t>
            </w:r>
            <w:r>
              <w:t xml:space="preserve"> students focus on the development of plot in this scene. </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13</w:t>
            </w:r>
          </w:p>
        </w:tc>
        <w:tc>
          <w:tcPr>
            <w:tcW w:w="1800" w:type="dxa"/>
            <w:tcMar>
              <w:top w:w="100" w:type="dxa"/>
              <w:left w:w="108" w:type="dxa"/>
              <w:bottom w:w="100" w:type="dxa"/>
              <w:right w:w="108" w:type="dxa"/>
            </w:tcMar>
          </w:tcPr>
          <w:p w:rsidR="004777FE" w:rsidRPr="002063D3" w:rsidRDefault="002063D3" w:rsidP="0038536A">
            <w:r>
              <w:rPr>
                <w:i/>
              </w:rPr>
              <w:t>Macbeth</w:t>
            </w:r>
            <w:r>
              <w:t>, Act 4.2</w:t>
            </w:r>
          </w:p>
        </w:tc>
        <w:tc>
          <w:tcPr>
            <w:tcW w:w="7083" w:type="dxa"/>
            <w:tcMar>
              <w:top w:w="100" w:type="dxa"/>
              <w:left w:w="108" w:type="dxa"/>
              <w:bottom w:w="100" w:type="dxa"/>
              <w:right w:w="108" w:type="dxa"/>
            </w:tcMar>
          </w:tcPr>
          <w:p w:rsidR="004777FE" w:rsidRPr="00FC7E03" w:rsidRDefault="002063D3" w:rsidP="002C4C22">
            <w:r>
              <w:t xml:space="preserve">In this lesson, students read Act 4.2 of </w:t>
            </w:r>
            <w:r>
              <w:rPr>
                <w:i/>
              </w:rPr>
              <w:t>Macbeth</w:t>
            </w:r>
            <w:r>
              <w:t>,</w:t>
            </w:r>
            <w:r>
              <w:rPr>
                <w:i/>
              </w:rPr>
              <w:t xml:space="preserve"> </w:t>
            </w:r>
            <w:r>
              <w:t xml:space="preserve">in which Lady Macduff laments her husband’s decision to flee Scotland instead of defending his family, and in which she and her children are slain by Murderers commissioned by Macbeth. Students explore how Shakespeare uses figurative language to develop a central idea. </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14</w:t>
            </w:r>
          </w:p>
        </w:tc>
        <w:tc>
          <w:tcPr>
            <w:tcW w:w="1800" w:type="dxa"/>
            <w:tcMar>
              <w:top w:w="100" w:type="dxa"/>
              <w:left w:w="108" w:type="dxa"/>
              <w:bottom w:w="100" w:type="dxa"/>
              <w:right w:w="108" w:type="dxa"/>
            </w:tcMar>
          </w:tcPr>
          <w:p w:rsidR="004777FE" w:rsidRPr="002063D3" w:rsidRDefault="002063D3" w:rsidP="009B6DC7">
            <w:r>
              <w:rPr>
                <w:i/>
              </w:rPr>
              <w:t>Macbeth</w:t>
            </w:r>
            <w:r>
              <w:t>, Act 4.3, lines 1</w:t>
            </w:r>
            <w:r w:rsidR="009B6DC7">
              <w:t>–</w:t>
            </w:r>
            <w:r>
              <w:t>158</w:t>
            </w:r>
          </w:p>
        </w:tc>
        <w:tc>
          <w:tcPr>
            <w:tcW w:w="7083" w:type="dxa"/>
            <w:tcMar>
              <w:top w:w="100" w:type="dxa"/>
              <w:left w:w="108" w:type="dxa"/>
              <w:bottom w:w="100" w:type="dxa"/>
              <w:right w:w="108" w:type="dxa"/>
            </w:tcMar>
          </w:tcPr>
          <w:p w:rsidR="004777FE" w:rsidRPr="00FC7E03" w:rsidRDefault="002063D3" w:rsidP="009300F7">
            <w:r>
              <w:t xml:space="preserve">In this lesson, students read Act 4.3, lines 1–158 of </w:t>
            </w:r>
            <w:r>
              <w:rPr>
                <w:i/>
              </w:rPr>
              <w:t>Macbeth</w:t>
            </w:r>
            <w:r>
              <w:t>, in which Macduff tries to convince Malcolm to join him and take Macbeth’s crown. Malcolm suspects Macbeth has sent Macduff to trick him, so he tests Macduff’s sincerity before he agrees to join Macduff. Students analyze how Shakespeare uses Macduff and Malcolm’s interaction to devel</w:t>
            </w:r>
            <w:r w:rsidR="002C4C22">
              <w:t xml:space="preserve">op Macbeth’s character. </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lastRenderedPageBreak/>
              <w:t>15</w:t>
            </w:r>
          </w:p>
        </w:tc>
        <w:tc>
          <w:tcPr>
            <w:tcW w:w="1800" w:type="dxa"/>
            <w:tcMar>
              <w:top w:w="100" w:type="dxa"/>
              <w:left w:w="108" w:type="dxa"/>
              <w:bottom w:w="100" w:type="dxa"/>
              <w:right w:w="108" w:type="dxa"/>
            </w:tcMar>
          </w:tcPr>
          <w:p w:rsidR="004777FE" w:rsidRPr="002063D3" w:rsidRDefault="002063D3" w:rsidP="009B6DC7">
            <w:r>
              <w:rPr>
                <w:i/>
              </w:rPr>
              <w:t>Macbeth</w:t>
            </w:r>
            <w:r>
              <w:t>, Act 4.3, lines 200</w:t>
            </w:r>
            <w:r w:rsidR="009B6DC7">
              <w:t>–</w:t>
            </w:r>
            <w:r>
              <w:t>282</w:t>
            </w:r>
          </w:p>
        </w:tc>
        <w:tc>
          <w:tcPr>
            <w:tcW w:w="7083" w:type="dxa"/>
            <w:tcMar>
              <w:top w:w="100" w:type="dxa"/>
              <w:left w:w="108" w:type="dxa"/>
              <w:bottom w:w="100" w:type="dxa"/>
              <w:right w:w="108" w:type="dxa"/>
            </w:tcMar>
          </w:tcPr>
          <w:p w:rsidR="004777FE" w:rsidRPr="00FC7E03" w:rsidRDefault="002063D3" w:rsidP="002C4C22">
            <w:r>
              <w:t xml:space="preserve">In this lesson, students read Act 4.3, lines 200–282 of </w:t>
            </w:r>
            <w:r>
              <w:rPr>
                <w:i/>
              </w:rPr>
              <w:t>Macbeth</w:t>
            </w:r>
            <w:r>
              <w:t>, in which Ross tells Macduff of his family’s murder. Macduff and Malcolm resolve to attack Macbeth. Students analyze the effect of Shakespeare’s structural choice to show the audience the death of Macduff’s family before it is revealed to Macduff.</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16</w:t>
            </w:r>
          </w:p>
        </w:tc>
        <w:tc>
          <w:tcPr>
            <w:tcW w:w="1800" w:type="dxa"/>
            <w:tcMar>
              <w:top w:w="100" w:type="dxa"/>
              <w:left w:w="108" w:type="dxa"/>
              <w:bottom w:w="100" w:type="dxa"/>
              <w:right w:w="108" w:type="dxa"/>
            </w:tcMar>
          </w:tcPr>
          <w:p w:rsidR="004777FE" w:rsidRPr="002063D3" w:rsidRDefault="002063D3" w:rsidP="0038536A">
            <w:r>
              <w:rPr>
                <w:i/>
              </w:rPr>
              <w:t>Macbeth</w:t>
            </w:r>
            <w:r>
              <w:t>, Act 5.1</w:t>
            </w:r>
          </w:p>
        </w:tc>
        <w:tc>
          <w:tcPr>
            <w:tcW w:w="7083" w:type="dxa"/>
            <w:tcMar>
              <w:top w:w="100" w:type="dxa"/>
              <w:left w:w="108" w:type="dxa"/>
              <w:bottom w:w="100" w:type="dxa"/>
              <w:right w:w="108" w:type="dxa"/>
            </w:tcMar>
          </w:tcPr>
          <w:p w:rsidR="004777FE" w:rsidRPr="00FC7E03" w:rsidRDefault="002063D3" w:rsidP="006C3104">
            <w:r>
              <w:t>In t</w:t>
            </w:r>
            <w:r w:rsidR="006C3104">
              <w:t>his lesson, students read Act 5.</w:t>
            </w:r>
            <w:r>
              <w:t xml:space="preserve">1 of </w:t>
            </w:r>
            <w:r>
              <w:rPr>
                <w:i/>
              </w:rPr>
              <w:t>Macbeth</w:t>
            </w:r>
            <w:r>
              <w:t>, in which</w:t>
            </w:r>
            <w:r w:rsidR="006C3104">
              <w:t xml:space="preserve"> a Gentlewoman and the Macbeth’s</w:t>
            </w:r>
            <w:r>
              <w:t xml:space="preserve"> Doctor watch Lady Macbeth sleepwalk and lament over the murders she and Macbeth have committed. Students analyze how Shakespeare advances a central idea by showing Lady Macbeth’s descent into madness. </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17</w:t>
            </w:r>
          </w:p>
        </w:tc>
        <w:tc>
          <w:tcPr>
            <w:tcW w:w="1800" w:type="dxa"/>
            <w:tcMar>
              <w:top w:w="100" w:type="dxa"/>
              <w:left w:w="108" w:type="dxa"/>
              <w:bottom w:w="100" w:type="dxa"/>
              <w:right w:w="108" w:type="dxa"/>
            </w:tcMar>
          </w:tcPr>
          <w:p w:rsidR="004777FE" w:rsidRPr="002063D3" w:rsidRDefault="002063D3" w:rsidP="0038536A">
            <w:r>
              <w:rPr>
                <w:i/>
              </w:rPr>
              <w:t>Macbeth</w:t>
            </w:r>
            <w:r>
              <w:t>, Act 5.2 and 5.3</w:t>
            </w:r>
          </w:p>
        </w:tc>
        <w:tc>
          <w:tcPr>
            <w:tcW w:w="7083" w:type="dxa"/>
            <w:tcMar>
              <w:top w:w="100" w:type="dxa"/>
              <w:left w:w="108" w:type="dxa"/>
              <w:bottom w:w="100" w:type="dxa"/>
              <w:right w:w="108" w:type="dxa"/>
            </w:tcMar>
          </w:tcPr>
          <w:p w:rsidR="004777FE" w:rsidRPr="00FC7E03" w:rsidRDefault="002063D3" w:rsidP="006C3104">
            <w:r>
              <w:rPr>
                <w:rFonts w:asciiTheme="majorHAnsi" w:hAnsiTheme="majorHAnsi"/>
              </w:rPr>
              <w:t xml:space="preserve">In this lesson, students read and analyze </w:t>
            </w:r>
            <w:r>
              <w:rPr>
                <w:rFonts w:asciiTheme="majorHAnsi" w:hAnsiTheme="majorHAnsi"/>
                <w:i/>
              </w:rPr>
              <w:t>Macbeth</w:t>
            </w:r>
            <w:r>
              <w:rPr>
                <w:rFonts w:asciiTheme="majorHAnsi" w:hAnsiTheme="majorHAnsi"/>
              </w:rPr>
              <w:t xml:space="preserve"> Act 5.2 and 5.3, in which the thanes desert Macbeth, who seeks assurances in the </w:t>
            </w:r>
            <w:r w:rsidR="006C3104">
              <w:rPr>
                <w:rFonts w:asciiTheme="majorHAnsi" w:hAnsiTheme="majorHAnsi"/>
              </w:rPr>
              <w:t>W</w:t>
            </w:r>
            <w:r>
              <w:rPr>
                <w:rFonts w:asciiTheme="majorHAnsi" w:hAnsiTheme="majorHAnsi"/>
              </w:rPr>
              <w:t xml:space="preserve">itches’ prophecy and who receives updates from the Doctor on Lady Macbeth’s illness. Students explore Shakespeare’s use of multiple perspectives and character interactions to develop Macbeth in these scenes by engaging in a collaborative jigsaw discussion. </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18</w:t>
            </w:r>
          </w:p>
        </w:tc>
        <w:tc>
          <w:tcPr>
            <w:tcW w:w="1800" w:type="dxa"/>
            <w:tcMar>
              <w:top w:w="100" w:type="dxa"/>
              <w:left w:w="108" w:type="dxa"/>
              <w:bottom w:w="100" w:type="dxa"/>
              <w:right w:w="108" w:type="dxa"/>
            </w:tcMar>
          </w:tcPr>
          <w:p w:rsidR="004777FE" w:rsidRPr="0038536A" w:rsidRDefault="0038536A" w:rsidP="0038536A">
            <w:r>
              <w:rPr>
                <w:i/>
              </w:rPr>
              <w:t>Macbeth</w:t>
            </w:r>
            <w:r>
              <w:t>, Act 5.4, 5.5</w:t>
            </w:r>
            <w:r w:rsidR="00D51324">
              <w:t>,</w:t>
            </w:r>
            <w:r>
              <w:t xml:space="preserve"> and 5.6</w:t>
            </w:r>
          </w:p>
        </w:tc>
        <w:tc>
          <w:tcPr>
            <w:tcW w:w="7083" w:type="dxa"/>
            <w:tcMar>
              <w:top w:w="100" w:type="dxa"/>
              <w:left w:w="108" w:type="dxa"/>
              <w:bottom w:w="100" w:type="dxa"/>
              <w:right w:w="108" w:type="dxa"/>
            </w:tcMar>
          </w:tcPr>
          <w:p w:rsidR="004777FE" w:rsidRPr="00FC7E03" w:rsidRDefault="0038536A" w:rsidP="00A967D9">
            <w:r>
              <w:t xml:space="preserve">In this lesson, students </w:t>
            </w:r>
            <w:r>
              <w:rPr>
                <w:rFonts w:asciiTheme="majorHAnsi" w:hAnsiTheme="majorHAnsi"/>
              </w:rPr>
              <w:t xml:space="preserve">read and analyze </w:t>
            </w:r>
            <w:r>
              <w:rPr>
                <w:rFonts w:asciiTheme="majorHAnsi" w:hAnsiTheme="majorHAnsi"/>
                <w:i/>
              </w:rPr>
              <w:t>Macbeth</w:t>
            </w:r>
            <w:r w:rsidR="006C3104">
              <w:rPr>
                <w:rFonts w:asciiTheme="majorHAnsi" w:hAnsiTheme="majorHAnsi"/>
              </w:rPr>
              <w:t xml:space="preserve"> Act</w:t>
            </w:r>
            <w:r>
              <w:rPr>
                <w:rFonts w:asciiTheme="majorHAnsi" w:hAnsiTheme="majorHAnsi"/>
              </w:rPr>
              <w:t xml:space="preserve"> 5.4, 5.5, and 5.6, in which both sides prepare for battle and Macbeth learns of Lady Macbeth’s death. Students explore Shakespeare’s use of figurative language to develop the character of Macbeth in these scenes by engaging in an evidence-based discu</w:t>
            </w:r>
            <w:r w:rsidR="002C4C22">
              <w:rPr>
                <w:rFonts w:asciiTheme="majorHAnsi" w:hAnsiTheme="majorHAnsi"/>
              </w:rPr>
              <w:t>ssion. S</w:t>
            </w:r>
            <w:r>
              <w:rPr>
                <w:rFonts w:asciiTheme="majorHAnsi" w:hAnsiTheme="majorHAnsi"/>
              </w:rPr>
              <w:t xml:space="preserve">tudents </w:t>
            </w:r>
            <w:r w:rsidR="002C4C22">
              <w:rPr>
                <w:rFonts w:asciiTheme="majorHAnsi" w:hAnsiTheme="majorHAnsi"/>
              </w:rPr>
              <w:t xml:space="preserve">also </w:t>
            </w:r>
            <w:r w:rsidR="00A967D9">
              <w:rPr>
                <w:rFonts w:asciiTheme="majorHAnsi" w:hAnsiTheme="majorHAnsi"/>
              </w:rPr>
              <w:t>prepare for the interpretive dramatic</w:t>
            </w:r>
            <w:r>
              <w:rPr>
                <w:rFonts w:asciiTheme="majorHAnsi" w:hAnsiTheme="majorHAnsi"/>
              </w:rPr>
              <w:t xml:space="preserve"> reading activity in 10.4.2 Lesson 20 through a group discussion in which they rehearse their selected excerpt and select a</w:t>
            </w:r>
            <w:r w:rsidR="00A967D9">
              <w:rPr>
                <w:rFonts w:asciiTheme="majorHAnsi" w:hAnsiTheme="majorHAnsi"/>
              </w:rPr>
              <w:t>n</w:t>
            </w:r>
            <w:r>
              <w:rPr>
                <w:rFonts w:asciiTheme="majorHAnsi" w:hAnsiTheme="majorHAnsi"/>
              </w:rPr>
              <w:t xml:space="preserve"> </w:t>
            </w:r>
            <w:r w:rsidR="00A967D9">
              <w:rPr>
                <w:rFonts w:asciiTheme="majorHAnsi" w:hAnsiTheme="majorHAnsi"/>
              </w:rPr>
              <w:t>interpretive dramatic reading</w:t>
            </w:r>
            <w:r>
              <w:rPr>
                <w:rFonts w:asciiTheme="majorHAnsi" w:hAnsiTheme="majorHAnsi"/>
              </w:rPr>
              <w:t xml:space="preserve"> technique.</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19</w:t>
            </w:r>
          </w:p>
        </w:tc>
        <w:tc>
          <w:tcPr>
            <w:tcW w:w="1800" w:type="dxa"/>
            <w:tcMar>
              <w:top w:w="100" w:type="dxa"/>
              <w:left w:w="108" w:type="dxa"/>
              <w:bottom w:w="100" w:type="dxa"/>
              <w:right w:w="108" w:type="dxa"/>
            </w:tcMar>
          </w:tcPr>
          <w:p w:rsidR="004777FE" w:rsidRPr="0038536A" w:rsidRDefault="004777FE" w:rsidP="0038536A">
            <w:r>
              <w:t xml:space="preserve"> </w:t>
            </w:r>
            <w:r w:rsidR="0038536A">
              <w:rPr>
                <w:i/>
              </w:rPr>
              <w:t xml:space="preserve">Macbeth, </w:t>
            </w:r>
            <w:r w:rsidR="0038536A">
              <w:t>Act 5.7 and 5.8</w:t>
            </w:r>
          </w:p>
        </w:tc>
        <w:tc>
          <w:tcPr>
            <w:tcW w:w="7083" w:type="dxa"/>
            <w:tcMar>
              <w:top w:w="100" w:type="dxa"/>
              <w:left w:w="108" w:type="dxa"/>
              <w:bottom w:w="100" w:type="dxa"/>
              <w:right w:w="108" w:type="dxa"/>
            </w:tcMar>
          </w:tcPr>
          <w:p w:rsidR="004777FE" w:rsidRPr="002C4C22" w:rsidRDefault="0038536A" w:rsidP="002C4C22">
            <w:pPr>
              <w:rPr>
                <w:rFonts w:eastAsiaTheme="minorEastAsia"/>
              </w:rPr>
            </w:pPr>
            <w:r>
              <w:t xml:space="preserve">In this lesson, students read and analyze </w:t>
            </w:r>
            <w:r>
              <w:rPr>
                <w:i/>
              </w:rPr>
              <w:t>Macbeth,</w:t>
            </w:r>
            <w:r>
              <w:t xml:space="preserve"> Act 5.7 and 5.8, in which Macbeth engages in battle with Malcolm and his thanes and is defeated and killed by Macduff, who, Macbeth learns, was not born of woman but was born prematurely by </w:t>
            </w:r>
            <w:r w:rsidR="00D51324">
              <w:t>cesar</w:t>
            </w:r>
            <w:r w:rsidR="00DB1659">
              <w:t>e</w:t>
            </w:r>
            <w:r w:rsidR="00D51324">
              <w:t xml:space="preserve">an </w:t>
            </w:r>
            <w:r>
              <w:t xml:space="preserve">section. Students explore the elements of tragedy and analyze </w:t>
            </w:r>
            <w:r>
              <w:rPr>
                <w:i/>
              </w:rPr>
              <w:t xml:space="preserve">Macbeth </w:t>
            </w:r>
            <w:r>
              <w:t xml:space="preserve">as an example of the genre through a jigsaw discussion. </w:t>
            </w:r>
            <w:r w:rsidR="002C4C22">
              <w:t>S</w:t>
            </w:r>
            <w:r>
              <w:rPr>
                <w:rFonts w:eastAsiaTheme="minorEastAsia"/>
              </w:rPr>
              <w:t xml:space="preserve">tudents </w:t>
            </w:r>
            <w:r w:rsidR="002C4C22">
              <w:rPr>
                <w:rFonts w:eastAsiaTheme="minorEastAsia"/>
              </w:rPr>
              <w:t xml:space="preserve">also </w:t>
            </w:r>
            <w:r>
              <w:rPr>
                <w:rFonts w:eastAsiaTheme="minorEastAsia"/>
              </w:rPr>
              <w:t xml:space="preserve">work in groups to rehearse </w:t>
            </w:r>
            <w:r w:rsidR="00A967D9">
              <w:rPr>
                <w:rFonts w:eastAsiaTheme="minorEastAsia"/>
              </w:rPr>
              <w:t xml:space="preserve">their </w:t>
            </w:r>
            <w:r w:rsidR="00A967D9">
              <w:rPr>
                <w:rFonts w:asciiTheme="majorHAnsi" w:hAnsiTheme="majorHAnsi"/>
              </w:rPr>
              <w:t xml:space="preserve">interpretive dramatic reading </w:t>
            </w:r>
            <w:r w:rsidR="00DB1659">
              <w:rPr>
                <w:rFonts w:eastAsiaTheme="minorEastAsia"/>
              </w:rPr>
              <w:t xml:space="preserve">performance </w:t>
            </w:r>
            <w:r>
              <w:rPr>
                <w:rFonts w:eastAsiaTheme="minorEastAsia"/>
              </w:rPr>
              <w:t>for 10.4.2 Lesson 20.</w:t>
            </w:r>
          </w:p>
        </w:tc>
      </w:tr>
      <w:tr w:rsidR="004777FE" w:rsidRPr="00FC7E03">
        <w:trPr>
          <w:trHeight w:val="340"/>
        </w:trPr>
        <w:tc>
          <w:tcPr>
            <w:tcW w:w="910" w:type="dxa"/>
            <w:tcMar>
              <w:top w:w="100" w:type="dxa"/>
              <w:left w:w="108" w:type="dxa"/>
              <w:bottom w:w="100" w:type="dxa"/>
              <w:right w:w="108" w:type="dxa"/>
            </w:tcMar>
          </w:tcPr>
          <w:p w:rsidR="004777FE" w:rsidRDefault="004777FE" w:rsidP="0038536A">
            <w:pPr>
              <w:jc w:val="center"/>
            </w:pPr>
            <w:r>
              <w:t>20</w:t>
            </w:r>
          </w:p>
        </w:tc>
        <w:tc>
          <w:tcPr>
            <w:tcW w:w="1800" w:type="dxa"/>
            <w:tcMar>
              <w:top w:w="100" w:type="dxa"/>
              <w:left w:w="108" w:type="dxa"/>
              <w:bottom w:w="100" w:type="dxa"/>
              <w:right w:w="108" w:type="dxa"/>
            </w:tcMar>
          </w:tcPr>
          <w:p w:rsidR="004777FE" w:rsidRPr="0038536A" w:rsidRDefault="0038536A" w:rsidP="0038536A">
            <w:r>
              <w:rPr>
                <w:i/>
              </w:rPr>
              <w:t>Macbeth</w:t>
            </w:r>
          </w:p>
        </w:tc>
        <w:tc>
          <w:tcPr>
            <w:tcW w:w="7083" w:type="dxa"/>
            <w:tcMar>
              <w:top w:w="100" w:type="dxa"/>
              <w:left w:w="108" w:type="dxa"/>
              <w:bottom w:w="100" w:type="dxa"/>
              <w:right w:w="108" w:type="dxa"/>
            </w:tcMar>
          </w:tcPr>
          <w:p w:rsidR="0038536A" w:rsidRPr="00FC7E03" w:rsidRDefault="0038536A" w:rsidP="00A967D9">
            <w:r>
              <w:t xml:space="preserve">In this lesson, students </w:t>
            </w:r>
            <w:r w:rsidR="00A967D9">
              <w:t xml:space="preserve">use </w:t>
            </w:r>
            <w:r w:rsidR="00A967D9">
              <w:rPr>
                <w:rFonts w:asciiTheme="majorHAnsi" w:hAnsiTheme="majorHAnsi"/>
              </w:rPr>
              <w:t xml:space="preserve">interpretive dramatic reading </w:t>
            </w:r>
            <w:r>
              <w:t xml:space="preserve">techniques to </w:t>
            </w:r>
            <w:r>
              <w:lastRenderedPageBreak/>
              <w:t xml:space="preserve">interpret self-selected scenes from Shakespeare’s </w:t>
            </w:r>
            <w:r>
              <w:rPr>
                <w:i/>
              </w:rPr>
              <w:t>Macbeth</w:t>
            </w:r>
            <w:r>
              <w:t xml:space="preserve">. After meeting in their small groups for a final rehearsal, students present </w:t>
            </w:r>
            <w:r w:rsidR="00A967D9">
              <w:t xml:space="preserve">their </w:t>
            </w:r>
            <w:r w:rsidR="00A967D9">
              <w:rPr>
                <w:rFonts w:asciiTheme="majorHAnsi" w:hAnsiTheme="majorHAnsi"/>
              </w:rPr>
              <w:t xml:space="preserve">interpretive dramatic reading </w:t>
            </w:r>
            <w:r w:rsidR="00A967D9">
              <w:t>performances</w:t>
            </w:r>
            <w:r>
              <w:t xml:space="preserve">, either to a group of peers or to the whole class, who evaluate the performances and/or digitally record for future teacher review. Finally, students complete a self-evaluation of their group performances. </w:t>
            </w:r>
          </w:p>
        </w:tc>
      </w:tr>
      <w:tr w:rsidR="00173471" w:rsidRPr="00FC7E03">
        <w:trPr>
          <w:trHeight w:val="340"/>
        </w:trPr>
        <w:tc>
          <w:tcPr>
            <w:tcW w:w="910" w:type="dxa"/>
            <w:tcMar>
              <w:top w:w="100" w:type="dxa"/>
              <w:left w:w="108" w:type="dxa"/>
              <w:bottom w:w="100" w:type="dxa"/>
              <w:right w:w="108" w:type="dxa"/>
            </w:tcMar>
          </w:tcPr>
          <w:p w:rsidR="00173471" w:rsidRDefault="001D756A" w:rsidP="0038536A">
            <w:pPr>
              <w:jc w:val="center"/>
            </w:pPr>
            <w:r>
              <w:lastRenderedPageBreak/>
              <w:t>21</w:t>
            </w:r>
          </w:p>
        </w:tc>
        <w:tc>
          <w:tcPr>
            <w:tcW w:w="1800" w:type="dxa"/>
            <w:tcMar>
              <w:top w:w="100" w:type="dxa"/>
              <w:left w:w="108" w:type="dxa"/>
              <w:bottom w:w="100" w:type="dxa"/>
              <w:right w:w="108" w:type="dxa"/>
            </w:tcMar>
          </w:tcPr>
          <w:p w:rsidR="00173471" w:rsidRPr="0038536A" w:rsidRDefault="0038536A" w:rsidP="0038536A">
            <w:r>
              <w:rPr>
                <w:i/>
              </w:rPr>
              <w:t>Macbeth</w:t>
            </w:r>
          </w:p>
        </w:tc>
        <w:tc>
          <w:tcPr>
            <w:tcW w:w="7083" w:type="dxa"/>
            <w:tcMar>
              <w:top w:w="100" w:type="dxa"/>
              <w:left w:w="108" w:type="dxa"/>
              <w:bottom w:w="100" w:type="dxa"/>
              <w:right w:w="108" w:type="dxa"/>
            </w:tcMar>
          </w:tcPr>
          <w:p w:rsidR="00173471" w:rsidRDefault="0038536A" w:rsidP="0038536A">
            <w:r>
              <w:t xml:space="preserve">In this lesson, students prepare for their End-of-Unit written and oral assessments by considering </w:t>
            </w:r>
            <w:r>
              <w:rPr>
                <w:i/>
              </w:rPr>
              <w:t>Macbeth</w:t>
            </w:r>
            <w:r>
              <w:t xml:space="preserve"> in its entirety and beginning to form an argument in response to the question of which character bears primary responsibility for the tragedy. Student learning is assessed through a Quick Write in response to the following prompt: Which character bears the most responsibility for the tragedy of Macbeth? Use reasoning to support the claim and provide one piece of evidence to support your choice and strengthen your reasoning.</w:t>
            </w:r>
          </w:p>
        </w:tc>
      </w:tr>
      <w:tr w:rsidR="00173471" w:rsidRPr="00FC7E03">
        <w:trPr>
          <w:trHeight w:val="340"/>
        </w:trPr>
        <w:tc>
          <w:tcPr>
            <w:tcW w:w="910" w:type="dxa"/>
            <w:tcMar>
              <w:top w:w="100" w:type="dxa"/>
              <w:left w:w="108" w:type="dxa"/>
              <w:bottom w:w="100" w:type="dxa"/>
              <w:right w:w="108" w:type="dxa"/>
            </w:tcMar>
          </w:tcPr>
          <w:p w:rsidR="00173471" w:rsidRDefault="001D756A" w:rsidP="0038536A">
            <w:pPr>
              <w:jc w:val="center"/>
            </w:pPr>
            <w:r>
              <w:t>22</w:t>
            </w:r>
          </w:p>
        </w:tc>
        <w:tc>
          <w:tcPr>
            <w:tcW w:w="1800" w:type="dxa"/>
            <w:tcMar>
              <w:top w:w="100" w:type="dxa"/>
              <w:left w:w="108" w:type="dxa"/>
              <w:bottom w:w="100" w:type="dxa"/>
              <w:right w:w="108" w:type="dxa"/>
            </w:tcMar>
          </w:tcPr>
          <w:p w:rsidR="00173471" w:rsidRPr="0038536A" w:rsidRDefault="0038536A" w:rsidP="0038536A">
            <w:pPr>
              <w:rPr>
                <w:i/>
              </w:rPr>
            </w:pPr>
            <w:r>
              <w:rPr>
                <w:i/>
              </w:rPr>
              <w:t>Macbeth</w:t>
            </w:r>
          </w:p>
        </w:tc>
        <w:tc>
          <w:tcPr>
            <w:tcW w:w="7083" w:type="dxa"/>
            <w:tcMar>
              <w:top w:w="100" w:type="dxa"/>
              <w:left w:w="108" w:type="dxa"/>
              <w:bottom w:w="100" w:type="dxa"/>
              <w:right w:w="108" w:type="dxa"/>
            </w:tcMar>
          </w:tcPr>
          <w:p w:rsidR="00173471" w:rsidRDefault="0038536A" w:rsidP="006C3104">
            <w:r>
              <w:t xml:space="preserve">In this End-of-Unit Assessment, students craft a formal, multi-paragraph essay presenting an argument in response to the question of which character bears the most responsibility for the tragedy of </w:t>
            </w:r>
            <w:r>
              <w:rPr>
                <w:i/>
              </w:rPr>
              <w:t>Macbeth</w:t>
            </w:r>
            <w:r>
              <w:t>. Students review their annotated text, lesson Quick Writes, discussion notes, homework notes, and tools to organize their ideas. Students then develop their arguments with supporting claims based on relevant evidence and valid reasoning.</w:t>
            </w:r>
            <w:r w:rsidR="007C6020">
              <w:t xml:space="preserve"> For homework students either prepare for a presentation of their argument or reread two scenes from Act 1 in </w:t>
            </w:r>
            <w:r w:rsidR="007C6020" w:rsidRPr="006C1DB8">
              <w:rPr>
                <w:i/>
              </w:rPr>
              <w:t>Macbeth</w:t>
            </w:r>
            <w:r w:rsidR="007C6020">
              <w:t xml:space="preserve"> that feature the </w:t>
            </w:r>
            <w:r w:rsidR="0091299E">
              <w:t>W</w:t>
            </w:r>
            <w:r w:rsidR="007C6020">
              <w:t>itches</w:t>
            </w:r>
            <w:r w:rsidR="00371842">
              <w:t xml:space="preserve">, depending on whether they move on to 10.4.2 Lesson 23a or 10.4.2 Lesson 23. </w:t>
            </w:r>
            <w:r w:rsidR="007C6020">
              <w:t xml:space="preserve"> </w:t>
            </w:r>
          </w:p>
        </w:tc>
      </w:tr>
      <w:tr w:rsidR="007C6020" w:rsidRPr="00FC7E03">
        <w:trPr>
          <w:trHeight w:val="340"/>
        </w:trPr>
        <w:tc>
          <w:tcPr>
            <w:tcW w:w="910" w:type="dxa"/>
            <w:tcMar>
              <w:top w:w="100" w:type="dxa"/>
              <w:left w:w="108" w:type="dxa"/>
              <w:bottom w:w="100" w:type="dxa"/>
              <w:right w:w="108" w:type="dxa"/>
            </w:tcMar>
          </w:tcPr>
          <w:p w:rsidR="007C6020" w:rsidRDefault="007C6020" w:rsidP="007C6020">
            <w:pPr>
              <w:jc w:val="center"/>
            </w:pPr>
            <w:r>
              <w:t>23a</w:t>
            </w:r>
          </w:p>
        </w:tc>
        <w:tc>
          <w:tcPr>
            <w:tcW w:w="1800" w:type="dxa"/>
            <w:tcMar>
              <w:top w:w="100" w:type="dxa"/>
              <w:left w:w="108" w:type="dxa"/>
              <w:bottom w:w="100" w:type="dxa"/>
              <w:right w:w="108" w:type="dxa"/>
            </w:tcMar>
          </w:tcPr>
          <w:p w:rsidR="007C6020" w:rsidRDefault="007C6020" w:rsidP="007C6020">
            <w:pPr>
              <w:rPr>
                <w:i/>
              </w:rPr>
            </w:pPr>
            <w:r>
              <w:rPr>
                <w:i/>
              </w:rPr>
              <w:t>Macbeth</w:t>
            </w:r>
          </w:p>
        </w:tc>
        <w:tc>
          <w:tcPr>
            <w:tcW w:w="7083" w:type="dxa"/>
            <w:tcMar>
              <w:top w:w="100" w:type="dxa"/>
              <w:left w:w="108" w:type="dxa"/>
              <w:bottom w:w="100" w:type="dxa"/>
              <w:right w:w="108" w:type="dxa"/>
            </w:tcMar>
          </w:tcPr>
          <w:p w:rsidR="007C6020" w:rsidRDefault="007C6020" w:rsidP="002C4C22">
            <w:r>
              <w:t xml:space="preserve">In this optional lesson students present their arguments from the previous lesson as oral presentations to small groups of peers. After discussing the factors that contribute to a successful oral presentation, students share their arguments about which character from </w:t>
            </w:r>
            <w:r>
              <w:rPr>
                <w:i/>
              </w:rPr>
              <w:t>Macbeth</w:t>
            </w:r>
            <w:r>
              <w:t xml:space="preserve"> is primarily responsible for the tragedy, using evidence to support claims. Student learning </w:t>
            </w:r>
            <w:r w:rsidR="002C4C22">
              <w:t>is</w:t>
            </w:r>
            <w:r>
              <w:t xml:space="preserve"> demonstrated through digitally recorded individual presentations.</w:t>
            </w:r>
          </w:p>
        </w:tc>
      </w:tr>
      <w:tr w:rsidR="00173471" w:rsidRPr="00FC7E03">
        <w:trPr>
          <w:trHeight w:val="340"/>
        </w:trPr>
        <w:tc>
          <w:tcPr>
            <w:tcW w:w="910" w:type="dxa"/>
            <w:tcMar>
              <w:top w:w="100" w:type="dxa"/>
              <w:left w:w="108" w:type="dxa"/>
              <w:bottom w:w="100" w:type="dxa"/>
              <w:right w:w="108" w:type="dxa"/>
            </w:tcMar>
          </w:tcPr>
          <w:p w:rsidR="00173471" w:rsidRDefault="001D756A" w:rsidP="0038536A">
            <w:pPr>
              <w:jc w:val="center"/>
            </w:pPr>
            <w:r>
              <w:t>23</w:t>
            </w:r>
          </w:p>
        </w:tc>
        <w:tc>
          <w:tcPr>
            <w:tcW w:w="1800" w:type="dxa"/>
            <w:tcMar>
              <w:top w:w="100" w:type="dxa"/>
              <w:left w:w="108" w:type="dxa"/>
              <w:bottom w:w="100" w:type="dxa"/>
              <w:right w:w="108" w:type="dxa"/>
            </w:tcMar>
          </w:tcPr>
          <w:p w:rsidR="009300F7" w:rsidRDefault="0038536A" w:rsidP="0038536A">
            <w:r>
              <w:rPr>
                <w:i/>
              </w:rPr>
              <w:t>Macbeth</w:t>
            </w:r>
            <w:r w:rsidR="009300F7">
              <w:t xml:space="preserve"> Act 1.1 and 1.3</w:t>
            </w:r>
          </w:p>
          <w:p w:rsidR="00173471" w:rsidRDefault="001C49C1" w:rsidP="0038536A">
            <w:r>
              <w:lastRenderedPageBreak/>
              <w:t>“Macbeth and The Witches”</w:t>
            </w:r>
          </w:p>
          <w:p w:rsidR="001C49C1" w:rsidRPr="001C49C1" w:rsidRDefault="001C49C1" w:rsidP="0038536A">
            <w:r>
              <w:t xml:space="preserve">“The Three Witches” </w:t>
            </w:r>
          </w:p>
        </w:tc>
        <w:tc>
          <w:tcPr>
            <w:tcW w:w="7083" w:type="dxa"/>
            <w:tcMar>
              <w:top w:w="100" w:type="dxa"/>
              <w:left w:w="108" w:type="dxa"/>
              <w:bottom w:w="100" w:type="dxa"/>
              <w:right w:w="108" w:type="dxa"/>
            </w:tcMar>
          </w:tcPr>
          <w:p w:rsidR="00173471" w:rsidRDefault="0038536A" w:rsidP="002C4C22">
            <w:r>
              <w:lastRenderedPageBreak/>
              <w:t xml:space="preserve">In this lesson students prepare to consider treatments of </w:t>
            </w:r>
            <w:r w:rsidRPr="006C1DB8">
              <w:rPr>
                <w:i/>
              </w:rPr>
              <w:t>Macbeth</w:t>
            </w:r>
            <w:r>
              <w:t xml:space="preserve"> </w:t>
            </w:r>
            <w:r w:rsidR="001C49C1">
              <w:t xml:space="preserve">in the visual arts </w:t>
            </w:r>
            <w:r>
              <w:t xml:space="preserve">through a variety of activities. </w:t>
            </w:r>
            <w:r w:rsidR="0091299E">
              <w:t>S</w:t>
            </w:r>
            <w:r>
              <w:t xml:space="preserve">tudents consider how </w:t>
            </w:r>
            <w:r w:rsidR="0091299E">
              <w:t xml:space="preserve">Act 1.1 and </w:t>
            </w:r>
            <w:r w:rsidR="0091299E">
              <w:lastRenderedPageBreak/>
              <w:t xml:space="preserve">1.3 </w:t>
            </w:r>
            <w:r>
              <w:t xml:space="preserve">develop characters, plot, and central ideas before discussing how the </w:t>
            </w:r>
            <w:r w:rsidR="0091299E">
              <w:t xml:space="preserve">Witches </w:t>
            </w:r>
            <w:r>
              <w:t>are depicted in the visual arts, focusing on “Macbeth and The Witches,” by Joseph Anton Koch. Students analyze a second painting, Henry Fuseli’s “The Three Witches,” as p</w:t>
            </w:r>
            <w:r w:rsidR="002C4C22">
              <w:t>art of their assessment.</w:t>
            </w:r>
          </w:p>
        </w:tc>
      </w:tr>
      <w:tr w:rsidR="00173471" w:rsidRPr="00FC7E03">
        <w:trPr>
          <w:trHeight w:val="340"/>
        </w:trPr>
        <w:tc>
          <w:tcPr>
            <w:tcW w:w="910" w:type="dxa"/>
            <w:tcMar>
              <w:top w:w="100" w:type="dxa"/>
              <w:left w:w="108" w:type="dxa"/>
              <w:bottom w:w="100" w:type="dxa"/>
              <w:right w:w="108" w:type="dxa"/>
            </w:tcMar>
          </w:tcPr>
          <w:p w:rsidR="00173471" w:rsidRDefault="001D756A" w:rsidP="0038536A">
            <w:pPr>
              <w:jc w:val="center"/>
            </w:pPr>
            <w:r>
              <w:lastRenderedPageBreak/>
              <w:t>24</w:t>
            </w:r>
          </w:p>
        </w:tc>
        <w:tc>
          <w:tcPr>
            <w:tcW w:w="1800" w:type="dxa"/>
            <w:tcMar>
              <w:top w:w="100" w:type="dxa"/>
              <w:left w:w="108" w:type="dxa"/>
              <w:bottom w:w="100" w:type="dxa"/>
              <w:right w:w="108" w:type="dxa"/>
            </w:tcMar>
          </w:tcPr>
          <w:p w:rsidR="009300F7" w:rsidRDefault="001C49C1" w:rsidP="0038536A">
            <w:pPr>
              <w:rPr>
                <w:i/>
              </w:rPr>
            </w:pPr>
            <w:r>
              <w:rPr>
                <w:i/>
              </w:rPr>
              <w:t xml:space="preserve">Macbeth </w:t>
            </w:r>
          </w:p>
          <w:p w:rsidR="00173471" w:rsidRDefault="009300F7" w:rsidP="0038536A">
            <w:r>
              <w:t>Act 1.1–</w:t>
            </w:r>
            <w:r w:rsidR="000F51FD">
              <w:t>1.3</w:t>
            </w:r>
          </w:p>
          <w:p w:rsidR="000F51FD" w:rsidRPr="001C49C1" w:rsidRDefault="000F51FD" w:rsidP="0038536A">
            <w:pPr>
              <w:rPr>
                <w:i/>
              </w:rPr>
            </w:pPr>
            <w:r>
              <w:rPr>
                <w:i/>
              </w:rPr>
              <w:t>Throne of Blood</w:t>
            </w:r>
          </w:p>
        </w:tc>
        <w:tc>
          <w:tcPr>
            <w:tcW w:w="7083" w:type="dxa"/>
            <w:tcMar>
              <w:top w:w="100" w:type="dxa"/>
              <w:left w:w="108" w:type="dxa"/>
              <w:bottom w:w="100" w:type="dxa"/>
              <w:right w:w="108" w:type="dxa"/>
            </w:tcMar>
          </w:tcPr>
          <w:p w:rsidR="00173471" w:rsidRDefault="001C49C1" w:rsidP="007B53CD">
            <w:r w:rsidRPr="008227BD">
              <w:rPr>
                <w:rFonts w:asciiTheme="majorHAnsi" w:hAnsiTheme="majorHAnsi"/>
              </w:rPr>
              <w:t xml:space="preserve">In this lesson, students view and analyze </w:t>
            </w:r>
            <w:r w:rsidRPr="008227BD">
              <w:rPr>
                <w:rFonts w:asciiTheme="majorHAnsi" w:hAnsiTheme="majorHAnsi"/>
                <w:i/>
              </w:rPr>
              <w:t>Throne of Blood</w:t>
            </w:r>
            <w:r w:rsidRPr="008227BD">
              <w:rPr>
                <w:rFonts w:asciiTheme="majorHAnsi" w:hAnsiTheme="majorHAnsi"/>
              </w:rPr>
              <w:t>,</w:t>
            </w:r>
            <w:r w:rsidRPr="008227BD">
              <w:rPr>
                <w:rFonts w:asciiTheme="majorHAnsi" w:hAnsiTheme="majorHAnsi"/>
                <w:i/>
              </w:rPr>
              <w:t xml:space="preserve"> </w:t>
            </w:r>
            <w:r w:rsidRPr="008227BD">
              <w:rPr>
                <w:rFonts w:asciiTheme="majorHAnsi" w:hAnsiTheme="majorHAnsi"/>
              </w:rPr>
              <w:t xml:space="preserve">Akira Kurosawa’s 1957 film adaptation of </w:t>
            </w:r>
            <w:r w:rsidRPr="008227BD">
              <w:rPr>
                <w:rFonts w:asciiTheme="majorHAnsi" w:hAnsiTheme="majorHAnsi"/>
                <w:i/>
              </w:rPr>
              <w:t>Macbeth</w:t>
            </w:r>
            <w:r w:rsidRPr="008227BD">
              <w:rPr>
                <w:rFonts w:asciiTheme="majorHAnsi" w:hAnsiTheme="majorHAnsi"/>
              </w:rPr>
              <w:t xml:space="preserve">, in order to compare Kurosawa’s presentation of the opening scenes (the first 20:09 </w:t>
            </w:r>
            <w:r>
              <w:rPr>
                <w:rFonts w:asciiTheme="majorHAnsi" w:hAnsiTheme="majorHAnsi"/>
              </w:rPr>
              <w:t xml:space="preserve">minutes </w:t>
            </w:r>
            <w:r w:rsidRPr="008227BD">
              <w:rPr>
                <w:rFonts w:asciiTheme="majorHAnsi" w:hAnsiTheme="majorHAnsi"/>
              </w:rPr>
              <w:t xml:space="preserve">of the film) </w:t>
            </w:r>
            <w:r w:rsidR="001A47E9">
              <w:rPr>
                <w:rFonts w:asciiTheme="majorHAnsi" w:hAnsiTheme="majorHAnsi"/>
              </w:rPr>
              <w:t xml:space="preserve">to </w:t>
            </w:r>
            <w:r w:rsidRPr="008227BD">
              <w:rPr>
                <w:rFonts w:asciiTheme="majorHAnsi" w:hAnsiTheme="majorHAnsi"/>
              </w:rPr>
              <w:t xml:space="preserve">Act 1.1 </w:t>
            </w:r>
            <w:r>
              <w:rPr>
                <w:rFonts w:asciiTheme="majorHAnsi" w:hAnsiTheme="majorHAnsi"/>
              </w:rPr>
              <w:t>through</w:t>
            </w:r>
            <w:r w:rsidRPr="008227BD">
              <w:rPr>
                <w:rFonts w:asciiTheme="majorHAnsi" w:hAnsiTheme="majorHAnsi"/>
              </w:rPr>
              <w:t xml:space="preserve"> Act 1.3 of the original play. Students consider what is absent or changed in the film version of the opening scenes</w:t>
            </w:r>
            <w:r>
              <w:rPr>
                <w:rFonts w:asciiTheme="majorHAnsi" w:hAnsiTheme="majorHAnsi"/>
              </w:rPr>
              <w:t>. They then</w:t>
            </w:r>
            <w:r w:rsidRPr="008227BD">
              <w:rPr>
                <w:rFonts w:asciiTheme="majorHAnsi" w:hAnsiTheme="majorHAnsi"/>
              </w:rPr>
              <w:t xml:space="preserve"> explore how Kurosawa’s representation might influence their understanding of Shakespeare’s setting of these scenes and introduction of the characters. As they view the film, students record their observations on the </w:t>
            </w:r>
            <w:r>
              <w:rPr>
                <w:rFonts w:asciiTheme="majorHAnsi" w:hAnsiTheme="majorHAnsi"/>
              </w:rPr>
              <w:t>Kurosawa Film</w:t>
            </w:r>
            <w:r w:rsidRPr="008227BD">
              <w:rPr>
                <w:rFonts w:asciiTheme="majorHAnsi" w:hAnsiTheme="majorHAnsi"/>
              </w:rPr>
              <w:t xml:space="preserve"> Viewing Tool. Students use their observations as the basis for an evidence-based discussion </w:t>
            </w:r>
            <w:r>
              <w:rPr>
                <w:rFonts w:asciiTheme="majorHAnsi" w:hAnsiTheme="majorHAnsi"/>
              </w:rPr>
              <w:t>about</w:t>
            </w:r>
            <w:r w:rsidRPr="008227BD">
              <w:rPr>
                <w:rFonts w:asciiTheme="majorHAnsi" w:hAnsiTheme="majorHAnsi"/>
              </w:rPr>
              <w:t xml:space="preserve"> how </w:t>
            </w:r>
            <w:r>
              <w:rPr>
                <w:rFonts w:asciiTheme="majorHAnsi" w:hAnsiTheme="majorHAnsi"/>
              </w:rPr>
              <w:t xml:space="preserve">Kurosawa </w:t>
            </w:r>
            <w:r w:rsidRPr="008227BD">
              <w:rPr>
                <w:rFonts w:asciiTheme="majorHAnsi" w:hAnsiTheme="majorHAnsi"/>
              </w:rPr>
              <w:t>develops and interpret</w:t>
            </w:r>
            <w:r>
              <w:rPr>
                <w:rFonts w:asciiTheme="majorHAnsi" w:hAnsiTheme="majorHAnsi"/>
              </w:rPr>
              <w:t>s</w:t>
            </w:r>
            <w:r w:rsidRPr="008227BD">
              <w:rPr>
                <w:rFonts w:asciiTheme="majorHAnsi" w:hAnsiTheme="majorHAnsi"/>
              </w:rPr>
              <w:t xml:space="preserve"> the first three scenes of </w:t>
            </w:r>
            <w:r w:rsidRPr="008227BD">
              <w:rPr>
                <w:rFonts w:asciiTheme="majorHAnsi" w:hAnsiTheme="majorHAnsi"/>
                <w:i/>
              </w:rPr>
              <w:t>Macbeth</w:t>
            </w:r>
            <w:r w:rsidRPr="008227BD">
              <w:rPr>
                <w:rFonts w:asciiTheme="majorHAnsi" w:hAnsiTheme="majorHAnsi"/>
              </w:rPr>
              <w:t xml:space="preserve"> through character</w:t>
            </w:r>
            <w:r>
              <w:rPr>
                <w:rFonts w:asciiTheme="majorHAnsi" w:hAnsiTheme="majorHAnsi"/>
              </w:rPr>
              <w:t xml:space="preserve"> development</w:t>
            </w:r>
            <w:r w:rsidRPr="008227BD">
              <w:rPr>
                <w:rFonts w:asciiTheme="majorHAnsi" w:hAnsiTheme="majorHAnsi"/>
              </w:rPr>
              <w:t>,</w:t>
            </w:r>
            <w:r>
              <w:rPr>
                <w:rFonts w:asciiTheme="majorHAnsi" w:hAnsiTheme="majorHAnsi"/>
              </w:rPr>
              <w:t xml:space="preserve"> and the use of</w:t>
            </w:r>
            <w:r w:rsidRPr="008227BD">
              <w:rPr>
                <w:rFonts w:asciiTheme="majorHAnsi" w:hAnsiTheme="majorHAnsi"/>
              </w:rPr>
              <w:t xml:space="preserve"> setting and cinematic choices. </w:t>
            </w:r>
          </w:p>
        </w:tc>
      </w:tr>
      <w:tr w:rsidR="00173471" w:rsidRPr="00FC7E03">
        <w:trPr>
          <w:trHeight w:val="340"/>
        </w:trPr>
        <w:tc>
          <w:tcPr>
            <w:tcW w:w="910" w:type="dxa"/>
            <w:tcMar>
              <w:top w:w="100" w:type="dxa"/>
              <w:left w:w="108" w:type="dxa"/>
              <w:bottom w:w="100" w:type="dxa"/>
              <w:right w:w="108" w:type="dxa"/>
            </w:tcMar>
          </w:tcPr>
          <w:p w:rsidR="00173471" w:rsidRDefault="001D756A" w:rsidP="0038536A">
            <w:pPr>
              <w:jc w:val="center"/>
            </w:pPr>
            <w:r>
              <w:t>25</w:t>
            </w:r>
          </w:p>
        </w:tc>
        <w:tc>
          <w:tcPr>
            <w:tcW w:w="1800" w:type="dxa"/>
            <w:tcMar>
              <w:top w:w="100" w:type="dxa"/>
              <w:left w:w="108" w:type="dxa"/>
              <w:bottom w:w="100" w:type="dxa"/>
              <w:right w:w="108" w:type="dxa"/>
            </w:tcMar>
          </w:tcPr>
          <w:p w:rsidR="009300F7" w:rsidRDefault="000F51FD" w:rsidP="0038536A">
            <w:r>
              <w:rPr>
                <w:i/>
              </w:rPr>
              <w:t>Macbeth</w:t>
            </w:r>
          </w:p>
          <w:p w:rsidR="00173471" w:rsidRDefault="009300F7" w:rsidP="0038536A">
            <w:r>
              <w:t>Act 1.1–1.3</w:t>
            </w:r>
          </w:p>
          <w:p w:rsidR="000F51FD" w:rsidRPr="000F51FD" w:rsidRDefault="000F51FD" w:rsidP="0038536A">
            <w:pPr>
              <w:rPr>
                <w:i/>
              </w:rPr>
            </w:pPr>
            <w:r>
              <w:t xml:space="preserve">Rupert Goold’s </w:t>
            </w:r>
            <w:r>
              <w:rPr>
                <w:i/>
              </w:rPr>
              <w:t>Macbeth</w:t>
            </w:r>
          </w:p>
        </w:tc>
        <w:tc>
          <w:tcPr>
            <w:tcW w:w="7083" w:type="dxa"/>
            <w:tcMar>
              <w:top w:w="100" w:type="dxa"/>
              <w:left w:w="108" w:type="dxa"/>
              <w:bottom w:w="100" w:type="dxa"/>
              <w:right w:w="108" w:type="dxa"/>
            </w:tcMar>
          </w:tcPr>
          <w:p w:rsidR="00173471" w:rsidRDefault="000F51FD" w:rsidP="007B53CD">
            <w:r w:rsidRPr="007F1777">
              <w:t xml:space="preserve">In this lesson, students view and analyze the 2011 Royal Shakespeare Company (RSC) production of </w:t>
            </w:r>
            <w:r w:rsidRPr="007F1777">
              <w:rPr>
                <w:i/>
              </w:rPr>
              <w:t>Macbeth</w:t>
            </w:r>
            <w:r>
              <w:t xml:space="preserve"> (00:00-14:55)</w:t>
            </w:r>
            <w:r w:rsidRPr="007F1777">
              <w:t xml:space="preserve"> in order to compare the film version of Acts 1.1 </w:t>
            </w:r>
            <w:r>
              <w:t>through</w:t>
            </w:r>
            <w:r w:rsidRPr="007F1777">
              <w:t xml:space="preserve"> 1.3 to the original text. Students consider the staging of the film version in the opening scenes</w:t>
            </w:r>
            <w:r>
              <w:t>. They then</w:t>
            </w:r>
            <w:r w:rsidRPr="007F1777">
              <w:t xml:space="preserve"> explore how the RSC’s directorial choices might influence their understanding of Shakespeare’s setting of these scenes and introduction of the characters. As they view the film, students record their observations on the </w:t>
            </w:r>
            <w:r>
              <w:t xml:space="preserve">RSC Film </w:t>
            </w:r>
            <w:r w:rsidRPr="007F1777">
              <w:t>Viewing Tool. Students use their observations as the basis for an evidence-based discussion of character</w:t>
            </w:r>
            <w:r>
              <w:t xml:space="preserve"> development</w:t>
            </w:r>
            <w:r w:rsidRPr="007F1777">
              <w:t>, setting</w:t>
            </w:r>
            <w:r>
              <w:t>,</w:t>
            </w:r>
            <w:r w:rsidRPr="007F1777">
              <w:t xml:space="preserve"> and cinematic choices in the first three scenes of </w:t>
            </w:r>
            <w:r>
              <w:t xml:space="preserve">the RSC production of </w:t>
            </w:r>
            <w:r w:rsidRPr="007F1777">
              <w:rPr>
                <w:i/>
              </w:rPr>
              <w:t>Macbeth</w:t>
            </w:r>
            <w:r w:rsidRPr="007F1777">
              <w:t xml:space="preserve">. </w:t>
            </w:r>
          </w:p>
        </w:tc>
      </w:tr>
      <w:tr w:rsidR="00173471" w:rsidRPr="00FC7E03">
        <w:trPr>
          <w:trHeight w:val="340"/>
        </w:trPr>
        <w:tc>
          <w:tcPr>
            <w:tcW w:w="910" w:type="dxa"/>
            <w:tcMar>
              <w:top w:w="100" w:type="dxa"/>
              <w:left w:w="108" w:type="dxa"/>
              <w:bottom w:w="100" w:type="dxa"/>
              <w:right w:w="108" w:type="dxa"/>
            </w:tcMar>
          </w:tcPr>
          <w:p w:rsidR="00173471" w:rsidRDefault="001D756A" w:rsidP="0038536A">
            <w:pPr>
              <w:jc w:val="center"/>
            </w:pPr>
            <w:r>
              <w:t>26</w:t>
            </w:r>
          </w:p>
        </w:tc>
        <w:tc>
          <w:tcPr>
            <w:tcW w:w="1800" w:type="dxa"/>
            <w:tcMar>
              <w:top w:w="100" w:type="dxa"/>
              <w:left w:w="108" w:type="dxa"/>
              <w:bottom w:w="100" w:type="dxa"/>
              <w:right w:w="108" w:type="dxa"/>
            </w:tcMar>
          </w:tcPr>
          <w:p w:rsidR="00173471" w:rsidRDefault="000F51FD" w:rsidP="0038536A">
            <w:r>
              <w:rPr>
                <w:i/>
              </w:rPr>
              <w:t>Macbeth</w:t>
            </w:r>
          </w:p>
          <w:p w:rsidR="000F51FD" w:rsidRDefault="000F51FD" w:rsidP="0038536A">
            <w:pPr>
              <w:rPr>
                <w:i/>
              </w:rPr>
            </w:pPr>
            <w:r>
              <w:rPr>
                <w:i/>
              </w:rPr>
              <w:t>Throne of Blood</w:t>
            </w:r>
          </w:p>
          <w:p w:rsidR="000F51FD" w:rsidRPr="000F51FD" w:rsidRDefault="000F51FD" w:rsidP="0038536A">
            <w:pPr>
              <w:rPr>
                <w:i/>
              </w:rPr>
            </w:pPr>
            <w:r>
              <w:t xml:space="preserve">Rupert Goold’s </w:t>
            </w:r>
            <w:r>
              <w:rPr>
                <w:i/>
              </w:rPr>
              <w:t>Macbeth</w:t>
            </w:r>
          </w:p>
        </w:tc>
        <w:tc>
          <w:tcPr>
            <w:tcW w:w="7083" w:type="dxa"/>
            <w:tcMar>
              <w:top w:w="100" w:type="dxa"/>
              <w:left w:w="108" w:type="dxa"/>
              <w:bottom w:w="100" w:type="dxa"/>
              <w:right w:w="108" w:type="dxa"/>
            </w:tcMar>
          </w:tcPr>
          <w:p w:rsidR="000F51FD" w:rsidRDefault="000F51FD" w:rsidP="000F51FD">
            <w:r>
              <w:t xml:space="preserve">In this lesson students review how both Kurosawa’s hero and </w:t>
            </w:r>
            <w:r w:rsidR="006F4FD7">
              <w:t xml:space="preserve">Rupert Goold’s </w:t>
            </w:r>
            <w:r w:rsidRPr="006F4FD7">
              <w:rPr>
                <w:i/>
              </w:rPr>
              <w:t>Macbeth</w:t>
            </w:r>
            <w:r>
              <w:t xml:space="preserve"> interact with supernatural powers, exploring the significance of how directorial choices emphasize different elements of a drama. After a brief review of transitional words and phrases, domain-specific vocabulary, and using a formal style, students revise short writing pieces from previous lessons to practice using these writing skills. Students then participate in a film discussion of the Royal Shakespeare Company’s film production of </w:t>
            </w:r>
            <w:r>
              <w:rPr>
                <w:i/>
              </w:rPr>
              <w:lastRenderedPageBreak/>
              <w:t xml:space="preserve">Macbeth </w:t>
            </w:r>
            <w:r>
              <w:t xml:space="preserve">and Akira Kurosawa’s </w:t>
            </w:r>
            <w:r>
              <w:rPr>
                <w:i/>
              </w:rPr>
              <w:t>Throne of Blood.</w:t>
            </w:r>
            <w:r>
              <w:t xml:space="preserve"> </w:t>
            </w:r>
          </w:p>
          <w:p w:rsidR="00173471" w:rsidRDefault="000F51FD" w:rsidP="007B53CD">
            <w:r>
              <w:t xml:space="preserve">The lesson concludes </w:t>
            </w:r>
            <w:r w:rsidR="007B53CD">
              <w:t>as</w:t>
            </w:r>
            <w:r>
              <w:t xml:space="preserve"> students use the revised writing pieces, as well as notes from the film discussion and earlier lessons, as the basis for a new Quick Write that requires students to </w:t>
            </w:r>
            <w:r w:rsidR="007B53CD">
              <w:t>a</w:t>
            </w:r>
            <w:r>
              <w:t xml:space="preserve">nalyze the interactions between the main characters and the </w:t>
            </w:r>
            <w:r w:rsidR="00B80F87">
              <w:t>Witch</w:t>
            </w:r>
            <w:r>
              <w:t xml:space="preserve">(es) in Kurosawa’s adaptation and the Royal Shakespeare’s 2011 version of </w:t>
            </w:r>
            <w:r>
              <w:rPr>
                <w:i/>
              </w:rPr>
              <w:t>Macbeth</w:t>
            </w:r>
            <w:r>
              <w:t xml:space="preserve">. </w:t>
            </w:r>
          </w:p>
        </w:tc>
      </w:tr>
    </w:tbl>
    <w:p w:rsidR="004777FE" w:rsidRPr="006F4FD7" w:rsidRDefault="004777FE" w:rsidP="006F4FD7">
      <w:pPr>
        <w:pStyle w:val="Heading1"/>
        <w:spacing w:before="320"/>
        <w:rPr>
          <w:rFonts w:asciiTheme="majorHAnsi" w:hAnsiTheme="majorHAnsi"/>
        </w:rPr>
      </w:pPr>
      <w:r w:rsidRPr="005B6EE5">
        <w:rPr>
          <w:rFonts w:asciiTheme="majorHAnsi" w:hAnsiTheme="majorHAnsi"/>
        </w:rPr>
        <w:lastRenderedPageBreak/>
        <w:t>Preparation, Materials, and Resources</w:t>
      </w:r>
    </w:p>
    <w:p w:rsidR="004777FE" w:rsidRPr="008F708C" w:rsidRDefault="004777FE" w:rsidP="004777FE">
      <w:pPr>
        <w:rPr>
          <w:b/>
        </w:rPr>
      </w:pPr>
      <w:r w:rsidRPr="008F708C">
        <w:rPr>
          <w:b/>
        </w:rPr>
        <w:t>Preparation</w:t>
      </w:r>
    </w:p>
    <w:p w:rsidR="004777FE" w:rsidRPr="00173471" w:rsidRDefault="004777FE" w:rsidP="004777FE">
      <w:pPr>
        <w:pStyle w:val="BulletedList"/>
        <w:ind w:left="360"/>
      </w:pPr>
      <w:r w:rsidRPr="007B5476">
        <w:t xml:space="preserve">Read and annotate </w:t>
      </w:r>
      <w:r w:rsidR="00173471">
        <w:rPr>
          <w:i/>
        </w:rPr>
        <w:t>Macbeth</w:t>
      </w:r>
      <w:r w:rsidR="00B80F87">
        <w:t>.</w:t>
      </w:r>
    </w:p>
    <w:p w:rsidR="00173471" w:rsidRDefault="00173471" w:rsidP="004777FE">
      <w:pPr>
        <w:pStyle w:val="BulletedList"/>
        <w:ind w:left="360"/>
      </w:pPr>
      <w:r>
        <w:t xml:space="preserve">View Akira Kurosawa’s </w:t>
      </w:r>
      <w:r>
        <w:rPr>
          <w:i/>
        </w:rPr>
        <w:t xml:space="preserve">Throne of Blood </w:t>
      </w:r>
      <w:r>
        <w:t xml:space="preserve">and Rupert Goold’s </w:t>
      </w:r>
      <w:r>
        <w:rPr>
          <w:i/>
        </w:rPr>
        <w:t>Macbeth</w:t>
      </w:r>
      <w:r w:rsidR="00B80F87">
        <w:t>.</w:t>
      </w:r>
    </w:p>
    <w:p w:rsidR="004777FE" w:rsidRDefault="004777FE" w:rsidP="004777FE">
      <w:pPr>
        <w:pStyle w:val="BulletedList"/>
        <w:ind w:left="360"/>
      </w:pPr>
      <w:r>
        <w:t xml:space="preserve">Review the Short Response </w:t>
      </w:r>
      <w:r w:rsidR="006F4FD7">
        <w:t>Rubric and Checklist.</w:t>
      </w:r>
    </w:p>
    <w:p w:rsidR="006F4FD7" w:rsidRDefault="004777FE" w:rsidP="006F4FD7">
      <w:pPr>
        <w:pStyle w:val="BulletedList"/>
        <w:ind w:left="360"/>
      </w:pPr>
      <w:r>
        <w:t xml:space="preserve">Review the </w:t>
      </w:r>
      <w:r w:rsidR="006F4FD7">
        <w:t>10.4.2 Mid-Unit and End-of-Unit Text Analysis Rubrics and Checklists.</w:t>
      </w:r>
    </w:p>
    <w:p w:rsidR="004777FE" w:rsidRPr="006F4FD7" w:rsidRDefault="004777FE" w:rsidP="006F4FD7">
      <w:pPr>
        <w:pStyle w:val="BulletedList"/>
        <w:spacing w:after="120"/>
        <w:ind w:left="360"/>
      </w:pPr>
      <w:r>
        <w:t>Review all unit standards and post in classroom.</w:t>
      </w:r>
    </w:p>
    <w:p w:rsidR="004777FE" w:rsidRPr="008F708C" w:rsidRDefault="004777FE" w:rsidP="004777FE">
      <w:pPr>
        <w:rPr>
          <w:b/>
        </w:rPr>
      </w:pPr>
      <w:r w:rsidRPr="008F708C">
        <w:rPr>
          <w:b/>
        </w:rPr>
        <w:t>Materials/Resources</w:t>
      </w:r>
    </w:p>
    <w:p w:rsidR="009A5690" w:rsidDel="009A5690" w:rsidRDefault="004777FE" w:rsidP="007B53CD">
      <w:pPr>
        <w:pStyle w:val="BulletedList"/>
        <w:ind w:left="360"/>
      </w:pPr>
      <w:r>
        <w:t xml:space="preserve">Copies of </w:t>
      </w:r>
      <w:r w:rsidR="00173471">
        <w:rPr>
          <w:i/>
        </w:rPr>
        <w:t>Macbeth</w:t>
      </w:r>
    </w:p>
    <w:p w:rsidR="004E6348" w:rsidRDefault="004E6348" w:rsidP="009A5690">
      <w:pPr>
        <w:pStyle w:val="BulletedList"/>
        <w:ind w:left="360"/>
        <w:rPr>
          <w:rFonts w:asciiTheme="majorHAnsi" w:hAnsiTheme="majorHAnsi"/>
        </w:rPr>
      </w:pPr>
      <w:r>
        <w:rPr>
          <w:rFonts w:asciiTheme="majorHAnsi" w:hAnsiTheme="majorHAnsi"/>
        </w:rPr>
        <w:t xml:space="preserve">Visual artistic interpretations of </w:t>
      </w:r>
      <w:r>
        <w:rPr>
          <w:rFonts w:asciiTheme="majorHAnsi" w:hAnsiTheme="majorHAnsi"/>
          <w:i/>
        </w:rPr>
        <w:t>Macbeth</w:t>
      </w:r>
    </w:p>
    <w:p w:rsidR="009A5690" w:rsidRDefault="004E6348" w:rsidP="006B055C">
      <w:pPr>
        <w:pStyle w:val="SASRBullet"/>
        <w:ind w:left="720"/>
      </w:pPr>
      <w:r>
        <w:t xml:space="preserve">This unit uses </w:t>
      </w:r>
      <w:r w:rsidR="009A5690" w:rsidRPr="009A5690">
        <w:t>“Macbeth and The Witches” by Joseph Anton Koch</w:t>
      </w:r>
      <w:r>
        <w:t xml:space="preserve"> and </w:t>
      </w:r>
      <w:r w:rsidRPr="009A5690">
        <w:rPr>
          <w:rFonts w:asciiTheme="majorHAnsi" w:hAnsiTheme="majorHAnsi"/>
        </w:rPr>
        <w:t>“The Three Witches” by Henry Fuseli</w:t>
      </w:r>
      <w:r>
        <w:rPr>
          <w:rFonts w:asciiTheme="majorHAnsi" w:hAnsiTheme="majorHAnsi"/>
        </w:rPr>
        <w:t xml:space="preserve"> which are available for viewing free online</w:t>
      </w:r>
      <w:r w:rsidR="00A27284">
        <w:rPr>
          <w:rFonts w:asciiTheme="majorHAnsi" w:hAnsiTheme="majorHAnsi"/>
        </w:rPr>
        <w:t>.</w:t>
      </w:r>
    </w:p>
    <w:p w:rsidR="009A5690" w:rsidRPr="006B055C" w:rsidRDefault="004E6348" w:rsidP="009A5690">
      <w:pPr>
        <w:pStyle w:val="BulletedList"/>
        <w:ind w:left="360"/>
        <w:rPr>
          <w:rFonts w:asciiTheme="majorHAnsi" w:hAnsiTheme="majorHAnsi"/>
        </w:rPr>
      </w:pPr>
      <w:r>
        <w:rPr>
          <w:rFonts w:asciiTheme="majorHAnsi" w:hAnsiTheme="majorHAnsi"/>
        </w:rPr>
        <w:t xml:space="preserve">Film interpretation of </w:t>
      </w:r>
      <w:r>
        <w:rPr>
          <w:rFonts w:asciiTheme="majorHAnsi" w:hAnsiTheme="majorHAnsi"/>
          <w:i/>
        </w:rPr>
        <w:t>Macbeth</w:t>
      </w:r>
    </w:p>
    <w:p w:rsidR="006601D7" w:rsidRDefault="006601D7" w:rsidP="006B055C">
      <w:pPr>
        <w:pStyle w:val="SASRBullet"/>
        <w:numPr>
          <w:ilvl w:val="1"/>
          <w:numId w:val="1"/>
        </w:numPr>
        <w:ind w:left="720"/>
      </w:pPr>
      <w:r>
        <w:t xml:space="preserve">This unit uses </w:t>
      </w:r>
      <w:r w:rsidR="00A27284">
        <w:rPr>
          <w:rFonts w:asciiTheme="majorHAnsi" w:hAnsiTheme="majorHAnsi"/>
          <w:i/>
        </w:rPr>
        <w:t xml:space="preserve">Throne of Blood </w:t>
      </w:r>
      <w:r w:rsidR="00A27284">
        <w:rPr>
          <w:rFonts w:asciiTheme="majorHAnsi" w:hAnsiTheme="majorHAnsi"/>
        </w:rPr>
        <w:t xml:space="preserve">directed by Akira Kurosawa </w:t>
      </w:r>
      <w:r>
        <w:t xml:space="preserve">and </w:t>
      </w:r>
      <w:r w:rsidR="00A27284">
        <w:rPr>
          <w:rFonts w:asciiTheme="majorHAnsi" w:hAnsiTheme="majorHAnsi"/>
        </w:rPr>
        <w:t xml:space="preserve">the 2011 Royal Shakespeare Version of </w:t>
      </w:r>
      <w:r w:rsidR="00A27284">
        <w:rPr>
          <w:rFonts w:asciiTheme="majorHAnsi" w:hAnsiTheme="majorHAnsi"/>
          <w:i/>
        </w:rPr>
        <w:t xml:space="preserve">Macbeth </w:t>
      </w:r>
      <w:r w:rsidR="00A27284" w:rsidRPr="006F4FD7">
        <w:rPr>
          <w:rFonts w:asciiTheme="majorHAnsi" w:hAnsiTheme="majorHAnsi"/>
        </w:rPr>
        <w:t>directed by</w:t>
      </w:r>
      <w:r w:rsidR="00A27284">
        <w:rPr>
          <w:rFonts w:asciiTheme="majorHAnsi" w:hAnsiTheme="majorHAnsi"/>
          <w:i/>
        </w:rPr>
        <w:t xml:space="preserve"> </w:t>
      </w:r>
      <w:r w:rsidR="00A27284">
        <w:rPr>
          <w:rFonts w:asciiTheme="majorHAnsi" w:hAnsiTheme="majorHAnsi"/>
        </w:rPr>
        <w:t>Rupert Goold</w:t>
      </w:r>
      <w:r>
        <w:rPr>
          <w:rFonts w:asciiTheme="majorHAnsi" w:hAnsiTheme="majorHAnsi"/>
        </w:rPr>
        <w:t xml:space="preserve"> which are available for viewing free online</w:t>
      </w:r>
      <w:r w:rsidR="00A27284">
        <w:rPr>
          <w:rFonts w:asciiTheme="majorHAnsi" w:hAnsiTheme="majorHAnsi"/>
        </w:rPr>
        <w:t>.</w:t>
      </w:r>
    </w:p>
    <w:p w:rsidR="004777FE" w:rsidRPr="007B5476" w:rsidRDefault="004777FE" w:rsidP="009A5690">
      <w:pPr>
        <w:pStyle w:val="BulletedList"/>
        <w:ind w:left="360"/>
      </w:pPr>
      <w:r w:rsidRPr="007B5476">
        <w:t>S</w:t>
      </w:r>
      <w:r>
        <w:t>elf-stick</w:t>
      </w:r>
      <w:r w:rsidRPr="007B5476">
        <w:t xml:space="preserve"> notes for students</w:t>
      </w:r>
    </w:p>
    <w:p w:rsidR="004777FE" w:rsidRPr="007B5476" w:rsidRDefault="004777FE" w:rsidP="004777FE">
      <w:pPr>
        <w:pStyle w:val="BulletedList"/>
        <w:ind w:left="360"/>
      </w:pPr>
      <w:r w:rsidRPr="007B5476">
        <w:t>Writing utensils including pencils, pens, markers, and highlighters</w:t>
      </w:r>
    </w:p>
    <w:p w:rsidR="004777FE" w:rsidRPr="007B5476" w:rsidRDefault="004777FE" w:rsidP="004777FE">
      <w:pPr>
        <w:pStyle w:val="BulletedList"/>
        <w:ind w:left="360"/>
      </w:pPr>
      <w:r w:rsidRPr="007B5476">
        <w:t>Methods for collecting student work: student notebooks</w:t>
      </w:r>
      <w:r>
        <w:t>,</w:t>
      </w:r>
      <w:r w:rsidRPr="007B5476">
        <w:t xml:space="preserve"> folders</w:t>
      </w:r>
      <w:r>
        <w:t>, etc.</w:t>
      </w:r>
    </w:p>
    <w:p w:rsidR="004777FE" w:rsidRDefault="004777FE" w:rsidP="004777FE">
      <w:pPr>
        <w:pStyle w:val="BulletedList"/>
        <w:ind w:left="360"/>
      </w:pPr>
      <w:r w:rsidRPr="007B5476">
        <w:t>Access to technology (if possible): interactive whiteboard, document camera, and LCD projector</w:t>
      </w:r>
    </w:p>
    <w:p w:rsidR="006C4655" w:rsidRPr="007B5476" w:rsidRDefault="006C4655" w:rsidP="004777FE">
      <w:pPr>
        <w:pStyle w:val="BulletedList"/>
        <w:ind w:left="360"/>
      </w:pPr>
      <w:r>
        <w:t xml:space="preserve">Digital video camera for </w:t>
      </w:r>
      <w:r w:rsidR="00775779">
        <w:t xml:space="preserve">optional </w:t>
      </w:r>
      <w:r>
        <w:t>filming</w:t>
      </w:r>
      <w:r w:rsidR="00A967D9">
        <w:t xml:space="preserve"> of </w:t>
      </w:r>
      <w:r w:rsidR="00A967D9">
        <w:rPr>
          <w:rFonts w:asciiTheme="majorHAnsi" w:hAnsiTheme="majorHAnsi"/>
        </w:rPr>
        <w:t>interpretive dramatic readings</w:t>
      </w:r>
    </w:p>
    <w:p w:rsidR="004777FE" w:rsidRPr="007B5476" w:rsidRDefault="004777FE" w:rsidP="004777FE">
      <w:pPr>
        <w:pStyle w:val="BulletedList"/>
        <w:ind w:left="360"/>
      </w:pPr>
      <w:r w:rsidRPr="007B5476">
        <w:t>Copies of handouts</w:t>
      </w:r>
      <w:r>
        <w:t xml:space="preserve"> and tools</w:t>
      </w:r>
      <w:r w:rsidRPr="007B5476">
        <w:t xml:space="preserve"> for each student: see </w:t>
      </w:r>
      <w:r>
        <w:t xml:space="preserve">materials list in </w:t>
      </w:r>
      <w:r w:rsidRPr="007B5476">
        <w:t>individual lesson plans</w:t>
      </w:r>
    </w:p>
    <w:p w:rsidR="006F4FD7" w:rsidRDefault="004777FE" w:rsidP="006F4FD7">
      <w:pPr>
        <w:pStyle w:val="BulletedList"/>
        <w:ind w:left="360"/>
      </w:pPr>
      <w:r w:rsidRPr="007B5476">
        <w:t xml:space="preserve">Copies of the </w:t>
      </w:r>
      <w:r w:rsidR="006F4FD7">
        <w:t xml:space="preserve">10.4.2 Mid-Unit and End-of-Unit </w:t>
      </w:r>
      <w:r w:rsidRPr="007B5476">
        <w:t>Text Analysis Rubric</w:t>
      </w:r>
      <w:r w:rsidR="006F4FD7">
        <w:t>s and Checklists</w:t>
      </w:r>
    </w:p>
    <w:p w:rsidR="004777FE" w:rsidRDefault="004777FE" w:rsidP="004777FE">
      <w:pPr>
        <w:pStyle w:val="BulletedList"/>
        <w:ind w:left="360"/>
      </w:pPr>
      <w:r>
        <w:t xml:space="preserve">Copies of the Short Response </w:t>
      </w:r>
      <w:r w:rsidR="006F4FD7">
        <w:t>Rubric and Checklist</w:t>
      </w:r>
    </w:p>
    <w:p w:rsidR="00EC6F81" w:rsidRDefault="00173471" w:rsidP="006F4FD7">
      <w:pPr>
        <w:pStyle w:val="BulletedList"/>
        <w:ind w:left="317" w:hanging="317"/>
      </w:pPr>
      <w:r>
        <w:t>Copies of 10.4</w:t>
      </w:r>
      <w:r w:rsidR="004777FE">
        <w:t xml:space="preserve"> Common Core Learning Standards Tool</w:t>
      </w:r>
    </w:p>
    <w:p w:rsidR="006F4FD7" w:rsidRDefault="006F4FD7" w:rsidP="006F4FD7">
      <w:pPr>
        <w:pStyle w:val="BulletedList"/>
        <w:ind w:left="317" w:hanging="317"/>
      </w:pPr>
      <w:r>
        <w:lastRenderedPageBreak/>
        <w:t xml:space="preserve">Copies of the </w:t>
      </w:r>
      <w:r w:rsidR="0079164D">
        <w:t>Interpretive Dramatic</w:t>
      </w:r>
      <w:r>
        <w:t xml:space="preserve"> Reading Performance Checklist</w:t>
      </w:r>
    </w:p>
    <w:p w:rsidR="006F4FD7" w:rsidRDefault="006F4FD7" w:rsidP="006F4FD7">
      <w:pPr>
        <w:pStyle w:val="BulletedList"/>
        <w:ind w:left="317" w:hanging="317"/>
      </w:pPr>
      <w:r>
        <w:t xml:space="preserve">Copies of the </w:t>
      </w:r>
      <w:r w:rsidR="0079164D">
        <w:t>Interpretive Dramatic</w:t>
      </w:r>
      <w:r>
        <w:t xml:space="preserve"> Reading Self-Assessment Checklist </w:t>
      </w:r>
    </w:p>
    <w:sectPr w:rsidR="006F4FD7" w:rsidSect="00DB07DD">
      <w:headerReference w:type="default" r:id="rId7"/>
      <w:footerReference w:type="default" r:id="rId8"/>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FA" w:rsidRDefault="00AC62FA">
      <w:pPr>
        <w:spacing w:before="0" w:after="0" w:line="240" w:lineRule="auto"/>
      </w:pPr>
      <w:r>
        <w:separator/>
      </w:r>
    </w:p>
  </w:endnote>
  <w:endnote w:type="continuationSeparator" w:id="0">
    <w:p w:rsidR="00AC62FA" w:rsidRDefault="00AC62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7F" w:rsidRPr="00563CB8" w:rsidRDefault="00F02C7F" w:rsidP="00F02C7F">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02C7F" w:rsidTr="00CB2F70">
      <w:trPr>
        <w:trHeight w:val="705"/>
      </w:trPr>
      <w:tc>
        <w:tcPr>
          <w:tcW w:w="4609" w:type="dxa"/>
          <w:tcBorders>
            <w:top w:val="single" w:sz="8" w:space="0" w:color="244061"/>
          </w:tcBorders>
          <w:vAlign w:val="center"/>
        </w:tcPr>
        <w:p w:rsidR="00F02C7F" w:rsidRPr="00CC183D" w:rsidRDefault="00F02C7F" w:rsidP="00F02C7F">
          <w:pPr>
            <w:pStyle w:val="FooterText"/>
          </w:pPr>
          <w:r w:rsidRPr="00CC183D">
            <w:t xml:space="preserve">File: </w:t>
          </w:r>
          <w:r>
            <w:rPr>
              <w:b w:val="0"/>
            </w:rPr>
            <w:t>10.4.2</w:t>
          </w:r>
          <w:r w:rsidRPr="001B2DAB">
            <w:rPr>
              <w:b w:val="0"/>
            </w:rPr>
            <w:t xml:space="preserve"> </w:t>
          </w:r>
          <w:r>
            <w:rPr>
              <w:b w:val="0"/>
            </w:rPr>
            <w:t xml:space="preserve">Unit </w:t>
          </w:r>
          <w:r w:rsidRPr="001B2DAB">
            <w:rPr>
              <w:b w:val="0"/>
            </w:rPr>
            <w:t>Overview</w:t>
          </w:r>
          <w:r w:rsidRPr="00CC183D">
            <w:t xml:space="preserve"> Date: </w:t>
          </w:r>
          <w:r>
            <w:rPr>
              <w:b w:val="0"/>
            </w:rPr>
            <w:t>6</w:t>
          </w:r>
          <w:r w:rsidRPr="001B2DAB">
            <w:rPr>
              <w:b w:val="0"/>
            </w:rPr>
            <w:t>/</w:t>
          </w:r>
          <w:r>
            <w:rPr>
              <w:b w:val="0"/>
            </w:rPr>
            <w:t>2</w:t>
          </w:r>
          <w:r w:rsidR="0079164D">
            <w:rPr>
              <w:b w:val="0"/>
            </w:rPr>
            <w:t>5</w:t>
          </w:r>
          <w:r w:rsidRPr="001B2DAB">
            <w:rPr>
              <w:b w:val="0"/>
            </w:rPr>
            <w:t>/14</w:t>
          </w:r>
          <w:r w:rsidRPr="00CC183D">
            <w:t xml:space="preserve"> Classroom Use: </w:t>
          </w:r>
          <w:r>
            <w:rPr>
              <w:b w:val="0"/>
            </w:rPr>
            <w:t>Starting 9</w:t>
          </w:r>
          <w:r w:rsidRPr="001B2DAB">
            <w:rPr>
              <w:b w:val="0"/>
            </w:rPr>
            <w:t>/2014</w:t>
          </w:r>
          <w:r w:rsidRPr="00CC183D">
            <w:t xml:space="preserve"> </w:t>
          </w:r>
        </w:p>
        <w:p w:rsidR="00F02C7F" w:rsidRPr="001B2DAB" w:rsidRDefault="00F02C7F" w:rsidP="00F02C7F">
          <w:pPr>
            <w:pStyle w:val="FooterText"/>
            <w:rPr>
              <w:b w:val="0"/>
              <w:i/>
              <w:sz w:val="12"/>
            </w:rPr>
          </w:pPr>
          <w:r w:rsidRPr="001B2DAB">
            <w:rPr>
              <w:b w:val="0"/>
              <w:sz w:val="12"/>
            </w:rPr>
            <w:t xml:space="preserve">© 2014 Public Consulting Group. </w:t>
          </w:r>
          <w:r w:rsidRPr="001B2DAB">
            <w:rPr>
              <w:b w:val="0"/>
              <w:i/>
              <w:sz w:val="12"/>
            </w:rPr>
            <w:t xml:space="preserve">This work is licensed under a </w:t>
          </w:r>
        </w:p>
        <w:p w:rsidR="00F02C7F" w:rsidRPr="001B2DAB" w:rsidRDefault="00F02C7F" w:rsidP="00F02C7F">
          <w:pPr>
            <w:pStyle w:val="FooterText"/>
            <w:rPr>
              <w:b w:val="0"/>
            </w:rPr>
          </w:pPr>
          <w:r w:rsidRPr="001B2DAB">
            <w:rPr>
              <w:b w:val="0"/>
              <w:i/>
              <w:sz w:val="12"/>
            </w:rPr>
            <w:t>Creative Commons Attribution-NonCommercial-ShareAlike 3.0 Unported License</w:t>
          </w:r>
        </w:p>
        <w:p w:rsidR="00F02C7F" w:rsidRPr="00CC183D" w:rsidRDefault="00AC62FA" w:rsidP="00F02C7F">
          <w:pPr>
            <w:pStyle w:val="FooterText"/>
          </w:pPr>
          <w:hyperlink r:id="rId1" w:history="1">
            <w:r w:rsidR="00F02C7F" w:rsidRPr="00CC183D">
              <w:rPr>
                <w:rStyle w:val="Hyperlink"/>
                <w:sz w:val="12"/>
                <w:szCs w:val="12"/>
              </w:rPr>
              <w:t>http://creativecommons.org/licenses/by-nc-sa/3.0/</w:t>
            </w:r>
          </w:hyperlink>
        </w:p>
      </w:tc>
      <w:tc>
        <w:tcPr>
          <w:tcW w:w="625" w:type="dxa"/>
          <w:tcBorders>
            <w:top w:val="single" w:sz="8" w:space="0" w:color="244061"/>
          </w:tcBorders>
          <w:vAlign w:val="center"/>
        </w:tcPr>
        <w:p w:rsidR="00F02C7F" w:rsidRPr="00714725" w:rsidRDefault="00F02C7F" w:rsidP="00F02C7F">
          <w:pPr>
            <w:pStyle w:val="folio"/>
            <w:pBdr>
              <w:top w:val="none" w:sz="0" w:space="0" w:color="auto"/>
            </w:pBdr>
            <w:tabs>
              <w:tab w:val="clear" w:pos="6480"/>
              <w:tab w:val="clear" w:pos="10080"/>
            </w:tabs>
            <w:jc w:val="center"/>
            <w:rPr>
              <w:rFonts w:ascii="Calibri" w:eastAsia="Calibri" w:hAnsi="Calibri" w:cs="Calibri"/>
              <w:b/>
              <w:sz w:val="14"/>
            </w:rPr>
          </w:pPr>
          <w:r w:rsidRPr="00714725">
            <w:rPr>
              <w:rFonts w:ascii="Calibri" w:eastAsia="Calibri" w:hAnsi="Calibri" w:cs="Calibri"/>
              <w:b/>
              <w:color w:val="1F4E79"/>
              <w:sz w:val="28"/>
            </w:rPr>
            <w:fldChar w:fldCharType="begin"/>
          </w:r>
          <w:r w:rsidRPr="00714725">
            <w:rPr>
              <w:rFonts w:ascii="Calibri" w:eastAsia="Calibri" w:hAnsi="Calibri" w:cs="Calibri"/>
              <w:b/>
              <w:color w:val="1F4E79"/>
              <w:sz w:val="28"/>
            </w:rPr>
            <w:instrText>PAGE</w:instrText>
          </w:r>
          <w:r w:rsidRPr="00714725">
            <w:rPr>
              <w:rFonts w:ascii="Calibri" w:eastAsia="Calibri" w:hAnsi="Calibri" w:cs="Calibri"/>
              <w:b/>
              <w:color w:val="1F4E79"/>
              <w:sz w:val="28"/>
            </w:rPr>
            <w:fldChar w:fldCharType="separate"/>
          </w:r>
          <w:r w:rsidR="008F7523">
            <w:rPr>
              <w:rFonts w:ascii="Calibri" w:eastAsia="Calibri" w:hAnsi="Calibri" w:cs="Calibri"/>
              <w:b/>
              <w:noProof/>
              <w:color w:val="1F4E79"/>
              <w:sz w:val="28"/>
            </w:rPr>
            <w:t>1</w:t>
          </w:r>
          <w:r w:rsidRPr="00714725">
            <w:rPr>
              <w:rFonts w:ascii="Calibri" w:eastAsia="Calibri" w:hAnsi="Calibri" w:cs="Calibri"/>
              <w:b/>
              <w:color w:val="1F4E79"/>
              <w:sz w:val="28"/>
            </w:rPr>
            <w:fldChar w:fldCharType="end"/>
          </w:r>
        </w:p>
      </w:tc>
      <w:tc>
        <w:tcPr>
          <w:tcW w:w="4325" w:type="dxa"/>
          <w:tcBorders>
            <w:top w:val="single" w:sz="8" w:space="0" w:color="244061"/>
          </w:tcBorders>
          <w:vAlign w:val="bottom"/>
        </w:tcPr>
        <w:p w:rsidR="00F02C7F" w:rsidRPr="00714725" w:rsidRDefault="00F02C7F" w:rsidP="00F02C7F">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rPr>
          </w:pPr>
          <w:r w:rsidRPr="00714725">
            <w:rPr>
              <w:rFonts w:ascii="Calibri" w:eastAsia="Calibri" w:hAnsi="Calibri" w:cs="Calibri"/>
              <w:b/>
              <w:noProof/>
              <w:sz w:val="12"/>
              <w:szCs w:val="12"/>
            </w:rPr>
            <w:drawing>
              <wp:inline distT="0" distB="0" distL="0" distR="0">
                <wp:extent cx="1682750" cy="636270"/>
                <wp:effectExtent l="0" t="0" r="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636270"/>
                        </a:xfrm>
                        <a:prstGeom prst="rect">
                          <a:avLst/>
                        </a:prstGeom>
                        <a:noFill/>
                        <a:ln>
                          <a:noFill/>
                        </a:ln>
                      </pic:spPr>
                    </pic:pic>
                  </a:graphicData>
                </a:graphic>
              </wp:inline>
            </w:drawing>
          </w:r>
        </w:p>
      </w:tc>
    </w:tr>
  </w:tbl>
  <w:p w:rsidR="00650F3B" w:rsidRPr="00F02C7F" w:rsidRDefault="00650F3B" w:rsidP="00F02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FA" w:rsidRDefault="00AC62FA">
      <w:pPr>
        <w:spacing w:before="0" w:after="0" w:line="240" w:lineRule="auto"/>
      </w:pPr>
      <w:r>
        <w:separator/>
      </w:r>
    </w:p>
  </w:footnote>
  <w:footnote w:type="continuationSeparator" w:id="0">
    <w:p w:rsidR="00AC62FA" w:rsidRDefault="00AC62F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430"/>
      <w:gridCol w:w="3438"/>
    </w:tblGrid>
    <w:tr w:rsidR="00F02C7F" w:rsidTr="00CB2F70">
      <w:tc>
        <w:tcPr>
          <w:tcW w:w="3708" w:type="dxa"/>
        </w:tcPr>
        <w:p w:rsidR="00F02C7F" w:rsidRPr="00CC183D" w:rsidRDefault="00F02C7F" w:rsidP="00F02C7F">
          <w:pPr>
            <w:pStyle w:val="PageHeader"/>
          </w:pPr>
          <w:r w:rsidRPr="00CC183D">
            <w:t>NYS Common Core ELA &amp; Literacy Curriculum</w:t>
          </w:r>
        </w:p>
      </w:tc>
      <w:tc>
        <w:tcPr>
          <w:tcW w:w="2430" w:type="dxa"/>
          <w:vAlign w:val="center"/>
        </w:tcPr>
        <w:p w:rsidR="00F02C7F" w:rsidRPr="001B2DAB" w:rsidRDefault="00F02C7F" w:rsidP="00F02C7F">
          <w:pPr>
            <w:jc w:val="center"/>
          </w:pPr>
          <w:r w:rsidRPr="001B2DAB">
            <w:t>D R A F T</w:t>
          </w:r>
        </w:p>
      </w:tc>
      <w:tc>
        <w:tcPr>
          <w:tcW w:w="3438" w:type="dxa"/>
        </w:tcPr>
        <w:p w:rsidR="00F02C7F" w:rsidRPr="001B2DAB" w:rsidRDefault="00F02C7F" w:rsidP="00F02C7F">
          <w:pPr>
            <w:pStyle w:val="PageHeader"/>
            <w:rPr>
              <w:b w:val="0"/>
            </w:rPr>
          </w:pPr>
          <w:r w:rsidRPr="001B2DAB">
            <w:rPr>
              <w:b w:val="0"/>
            </w:rPr>
            <w:t xml:space="preserve">Grade </w:t>
          </w:r>
          <w:r>
            <w:rPr>
              <w:b w:val="0"/>
            </w:rPr>
            <w:t>10</w:t>
          </w:r>
          <w:r w:rsidRPr="001B2DAB">
            <w:rPr>
              <w:b w:val="0"/>
            </w:rPr>
            <w:t xml:space="preserve"> • Module </w:t>
          </w:r>
          <w:r>
            <w:rPr>
              <w:b w:val="0"/>
            </w:rPr>
            <w:t>4</w:t>
          </w:r>
          <w:r w:rsidRPr="001B2DAB">
            <w:rPr>
              <w:b w:val="0"/>
            </w:rPr>
            <w:t xml:space="preserve"> • Unit </w:t>
          </w:r>
          <w:r>
            <w:rPr>
              <w:b w:val="0"/>
            </w:rPr>
            <w:t>2</w:t>
          </w:r>
          <w:r w:rsidRPr="001B2DAB">
            <w:rPr>
              <w:b w:val="0"/>
            </w:rPr>
            <w:t xml:space="preserve"> Overview</w:t>
          </w:r>
        </w:p>
      </w:tc>
    </w:tr>
  </w:tbl>
  <w:p w:rsidR="00650F3B" w:rsidRPr="00F02C7F" w:rsidRDefault="00650F3B" w:rsidP="00F02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72A"/>
    <w:multiLevelType w:val="multilevel"/>
    <w:tmpl w:val="30D2409C"/>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3607A"/>
    <w:multiLevelType w:val="multilevel"/>
    <w:tmpl w:val="4742321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17868"/>
    <w:multiLevelType w:val="hybridMultilevel"/>
    <w:tmpl w:val="53042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7471A"/>
    <w:multiLevelType w:val="hybridMultilevel"/>
    <w:tmpl w:val="0226E956"/>
    <w:lvl w:ilvl="0" w:tplc="C1AC8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0268B"/>
    <w:multiLevelType w:val="multilevel"/>
    <w:tmpl w:val="F202FDB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130721"/>
    <w:multiLevelType w:val="multilevel"/>
    <w:tmpl w:val="D4A8A78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3DD519A"/>
    <w:multiLevelType w:val="multilevel"/>
    <w:tmpl w:val="0C58090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CD164E7"/>
    <w:multiLevelType w:val="multilevel"/>
    <w:tmpl w:val="0226E9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EF059D"/>
    <w:multiLevelType w:val="multilevel"/>
    <w:tmpl w:val="C46E577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F781750"/>
    <w:multiLevelType w:val="hybridMultilevel"/>
    <w:tmpl w:val="0B7ABDE4"/>
    <w:lvl w:ilvl="0" w:tplc="C2FE29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204C4"/>
    <w:multiLevelType w:val="hybridMultilevel"/>
    <w:tmpl w:val="4E903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337A0"/>
    <w:multiLevelType w:val="hybridMultilevel"/>
    <w:tmpl w:val="80165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16406"/>
    <w:multiLevelType w:val="hybridMultilevel"/>
    <w:tmpl w:val="30D2409C"/>
    <w:lvl w:ilvl="0" w:tplc="536CD20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E0D19"/>
    <w:multiLevelType w:val="multilevel"/>
    <w:tmpl w:val="727CA05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0B1732A"/>
    <w:multiLevelType w:val="hybridMultilevel"/>
    <w:tmpl w:val="4C3AAE46"/>
    <w:lvl w:ilvl="0" w:tplc="C0C2891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E148B7"/>
    <w:multiLevelType w:val="multilevel"/>
    <w:tmpl w:val="530422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4E53AE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8884849"/>
    <w:multiLevelType w:val="hybridMultilevel"/>
    <w:tmpl w:val="3EC47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0"/>
  </w:num>
  <w:num w:numId="4">
    <w:abstractNumId w:val="17"/>
  </w:num>
  <w:num w:numId="5">
    <w:abstractNumId w:val="4"/>
  </w:num>
  <w:num w:numId="6">
    <w:abstractNumId w:val="2"/>
  </w:num>
  <w:num w:numId="7">
    <w:abstractNumId w:val="19"/>
  </w:num>
  <w:num w:numId="8">
    <w:abstractNumId w:val="8"/>
    <w:lvlOverride w:ilvl="0">
      <w:startOverride w:val="1"/>
    </w:lvlOverride>
  </w:num>
  <w:num w:numId="9">
    <w:abstractNumId w:val="3"/>
  </w:num>
  <w:num w:numId="10">
    <w:abstractNumId w:val="22"/>
  </w:num>
  <w:num w:numId="11">
    <w:abstractNumId w:val="14"/>
  </w:num>
  <w:num w:numId="12">
    <w:abstractNumId w:val="25"/>
  </w:num>
  <w:num w:numId="13">
    <w:abstractNumId w:val="5"/>
  </w:num>
  <w:num w:numId="14">
    <w:abstractNumId w:val="15"/>
  </w:num>
  <w:num w:numId="15">
    <w:abstractNumId w:val="23"/>
  </w:num>
  <w:num w:numId="16">
    <w:abstractNumId w:val="18"/>
  </w:num>
  <w:num w:numId="17">
    <w:abstractNumId w:val="22"/>
    <w:lvlOverride w:ilvl="0">
      <w:startOverride w:val="1"/>
    </w:lvlOverride>
  </w:num>
  <w:num w:numId="18">
    <w:abstractNumId w:val="0"/>
  </w:num>
  <w:num w:numId="19">
    <w:abstractNumId w:val="6"/>
  </w:num>
  <w:num w:numId="20">
    <w:abstractNumId w:val="11"/>
  </w:num>
  <w:num w:numId="21">
    <w:abstractNumId w:val="13"/>
  </w:num>
  <w:num w:numId="22">
    <w:abstractNumId w:val="24"/>
  </w:num>
  <w:num w:numId="23">
    <w:abstractNumId w:val="22"/>
    <w:lvlOverride w:ilvl="0">
      <w:startOverride w:val="1"/>
    </w:lvlOverride>
  </w:num>
  <w:num w:numId="24">
    <w:abstractNumId w:val="9"/>
  </w:num>
  <w:num w:numId="25">
    <w:abstractNumId w:val="22"/>
    <w:lvlOverride w:ilvl="0">
      <w:startOverride w:val="1"/>
    </w:lvlOverride>
  </w:num>
  <w:num w:numId="26">
    <w:abstractNumId w:val="1"/>
  </w:num>
  <w:num w:numId="27">
    <w:abstractNumId w:val="22"/>
  </w:num>
  <w:num w:numId="28">
    <w:abstractNumId w:val="7"/>
  </w:num>
  <w:num w:numId="29">
    <w:abstractNumId w:val="12"/>
  </w:num>
  <w:num w:numId="30">
    <w:abstractNumId w:val="22"/>
    <w:lvlOverride w:ilvl="0">
      <w:startOverride w:val="1"/>
    </w:lvlOverride>
  </w:num>
  <w:num w:numId="31">
    <w:abstractNumId w:val="10"/>
  </w:num>
  <w:num w:numId="32">
    <w:abstractNumId w:val="22"/>
    <w:lvlOverride w:ilvl="0">
      <w:startOverride w:val="1"/>
    </w:lvlOverride>
  </w:num>
  <w:num w:numId="33">
    <w:abstractNumId w:val="21"/>
  </w:num>
  <w:num w:numId="3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77FE"/>
    <w:rsid w:val="000679B0"/>
    <w:rsid w:val="000B3691"/>
    <w:rsid w:val="000E3C72"/>
    <w:rsid w:val="000F51FD"/>
    <w:rsid w:val="001207F1"/>
    <w:rsid w:val="00173471"/>
    <w:rsid w:val="00180789"/>
    <w:rsid w:val="0018485D"/>
    <w:rsid w:val="001A47E9"/>
    <w:rsid w:val="001C49C1"/>
    <w:rsid w:val="001D756A"/>
    <w:rsid w:val="002063D3"/>
    <w:rsid w:val="00261269"/>
    <w:rsid w:val="002864EE"/>
    <w:rsid w:val="002C4C22"/>
    <w:rsid w:val="002E42D4"/>
    <w:rsid w:val="00322EF6"/>
    <w:rsid w:val="00371842"/>
    <w:rsid w:val="00381223"/>
    <w:rsid w:val="0038536A"/>
    <w:rsid w:val="003945CE"/>
    <w:rsid w:val="004777FE"/>
    <w:rsid w:val="00483BDD"/>
    <w:rsid w:val="004A1C77"/>
    <w:rsid w:val="004A634F"/>
    <w:rsid w:val="004C4D9F"/>
    <w:rsid w:val="004E6348"/>
    <w:rsid w:val="00586553"/>
    <w:rsid w:val="005B4697"/>
    <w:rsid w:val="00650F3B"/>
    <w:rsid w:val="006601D7"/>
    <w:rsid w:val="006879D8"/>
    <w:rsid w:val="006A5FF7"/>
    <w:rsid w:val="006B055C"/>
    <w:rsid w:val="006C3104"/>
    <w:rsid w:val="006C4655"/>
    <w:rsid w:val="006F4FD7"/>
    <w:rsid w:val="00775779"/>
    <w:rsid w:val="00786DD1"/>
    <w:rsid w:val="0079164D"/>
    <w:rsid w:val="007B53CD"/>
    <w:rsid w:val="007C6020"/>
    <w:rsid w:val="00806F2B"/>
    <w:rsid w:val="00824BB6"/>
    <w:rsid w:val="00850EFB"/>
    <w:rsid w:val="0089322D"/>
    <w:rsid w:val="008D17FD"/>
    <w:rsid w:val="008F7523"/>
    <w:rsid w:val="0091299E"/>
    <w:rsid w:val="00917F33"/>
    <w:rsid w:val="009300F7"/>
    <w:rsid w:val="009A5690"/>
    <w:rsid w:val="009B6DC7"/>
    <w:rsid w:val="009E0ED0"/>
    <w:rsid w:val="009E67B8"/>
    <w:rsid w:val="00A1443B"/>
    <w:rsid w:val="00A27284"/>
    <w:rsid w:val="00A31A4F"/>
    <w:rsid w:val="00A63742"/>
    <w:rsid w:val="00A967D9"/>
    <w:rsid w:val="00AA37FB"/>
    <w:rsid w:val="00AC62FA"/>
    <w:rsid w:val="00B80F87"/>
    <w:rsid w:val="00B911C5"/>
    <w:rsid w:val="00BC6F0E"/>
    <w:rsid w:val="00BE1E61"/>
    <w:rsid w:val="00C01A0C"/>
    <w:rsid w:val="00CC78C0"/>
    <w:rsid w:val="00CD0131"/>
    <w:rsid w:val="00D31A7F"/>
    <w:rsid w:val="00D44E60"/>
    <w:rsid w:val="00D51324"/>
    <w:rsid w:val="00D646B9"/>
    <w:rsid w:val="00D74C9A"/>
    <w:rsid w:val="00D76413"/>
    <w:rsid w:val="00DB07DD"/>
    <w:rsid w:val="00DB1659"/>
    <w:rsid w:val="00DF1F96"/>
    <w:rsid w:val="00E311C0"/>
    <w:rsid w:val="00E332E1"/>
    <w:rsid w:val="00E459FF"/>
    <w:rsid w:val="00E56CFD"/>
    <w:rsid w:val="00E872DE"/>
    <w:rsid w:val="00EC6F81"/>
    <w:rsid w:val="00ED6F8B"/>
    <w:rsid w:val="00EE207F"/>
    <w:rsid w:val="00F02C7F"/>
    <w:rsid w:val="00F46A55"/>
    <w:rsid w:val="00FC2742"/>
    <w:rsid w:val="00FD2E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6220EDE-1CB3-4279-8C94-846A3872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4777FE"/>
    <w:pPr>
      <w:spacing w:before="60" w:after="6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B911C5"/>
    <w:pPr>
      <w:numPr>
        <w:numId w:val="1"/>
      </w:numPr>
      <w:spacing w:before="60" w:after="60" w:line="276" w:lineRule="auto"/>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B911C5"/>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themeColor="accent1"/>
    </w:rPr>
  </w:style>
  <w:style w:type="paragraph" w:customStyle="1" w:styleId="SA">
    <w:name w:val="*SA*"/>
    <w:link w:val="SAChar"/>
    <w:qFormat/>
    <w:rsid w:val="00B911C5"/>
    <w:pPr>
      <w:numPr>
        <w:numId w:val="3"/>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B911C5"/>
    <w:pPr>
      <w:numPr>
        <w:numId w:val="0"/>
      </w:numPr>
    </w:pPr>
    <w:rPr>
      <w:color w:val="4F81BD" w:themeColor="accent1"/>
    </w:rPr>
  </w:style>
  <w:style w:type="paragraph" w:customStyle="1" w:styleId="SR">
    <w:name w:val="*SR*"/>
    <w:link w:val="SRChar"/>
    <w:qFormat/>
    <w:rsid w:val="00B911C5"/>
    <w:pPr>
      <w:numPr>
        <w:numId w:val="4"/>
      </w:numPr>
      <w:spacing w:before="120" w:after="0" w:line="276" w:lineRule="auto"/>
    </w:pPr>
    <w:rPr>
      <w:rFonts w:ascii="Calibri" w:eastAsia="Calibri" w:hAnsi="Calibri" w:cs="Times New Roman"/>
      <w:sz w:val="22"/>
      <w:szCs w:val="22"/>
      <w:lang w:eastAsia="en-US"/>
    </w:rPr>
  </w:style>
  <w:style w:type="character" w:customStyle="1" w:styleId="SRChar">
    <w:name w:val="*SR* Char"/>
    <w:basedOn w:val="DefaultParagraphFont"/>
    <w:link w:val="SR"/>
    <w:rsid w:val="00B911C5"/>
    <w:rPr>
      <w:rFonts w:ascii="Calibri" w:eastAsia="Calibri" w:hAnsi="Calibri" w:cs="Times New Roman"/>
      <w:sz w:val="22"/>
      <w:szCs w:val="22"/>
      <w:lang w:eastAsia="en-US"/>
    </w:rPr>
  </w:style>
  <w:style w:type="paragraph" w:customStyle="1" w:styleId="DCwithSR">
    <w:name w:val="*DC* with *SR*"/>
    <w:basedOn w:val="SR"/>
    <w:qFormat/>
    <w:rsid w:val="00B911C5"/>
    <w:pPr>
      <w:numPr>
        <w:numId w:val="5"/>
      </w:numPr>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B911C5"/>
    <w:pPr>
      <w:numPr>
        <w:numId w:val="6"/>
      </w:numPr>
      <w:spacing w:before="120" w:after="60" w:line="276" w:lineRule="auto"/>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B911C5"/>
    <w:rPr>
      <w:rFonts w:ascii="Calibri" w:eastAsia="Calibri" w:hAnsi="Calibri" w:cs="Times New Roman"/>
      <w:color w:val="4F81BD"/>
      <w:sz w:val="22"/>
      <w:szCs w:val="22"/>
      <w:lang w:eastAsia="en-US"/>
    </w:rPr>
  </w:style>
  <w:style w:type="paragraph" w:customStyle="1" w:styleId="INBullet">
    <w:name w:val="*IN* Bullet"/>
    <w:link w:val="INBulletChar"/>
    <w:qFormat/>
    <w:rsid w:val="00B911C5"/>
    <w:pPr>
      <w:numPr>
        <w:numId w:val="7"/>
      </w:numPr>
      <w:spacing w:after="60" w:line="276" w:lineRule="auto"/>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B911C5"/>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B911C5"/>
    <w:pPr>
      <w:numPr>
        <w:ilvl w:val="1"/>
        <w:numId w:val="9"/>
      </w:numPr>
      <w:spacing w:before="120"/>
      <w:contextualSpacing/>
    </w:pPr>
  </w:style>
  <w:style w:type="character" w:customStyle="1" w:styleId="SASRBulletChar">
    <w:name w:val="*SA/SR Bullet Char"/>
    <w:basedOn w:val="DefaultParagraphFont"/>
    <w:link w:val="SASRBullet"/>
    <w:rsid w:val="00B911C5"/>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27"/>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qFormat/>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qFormat/>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qFormat/>
    <w:rsid w:val="00B911C5"/>
    <w:pPr>
      <w:spacing w:line="440" w:lineRule="exact"/>
      <w:jc w:val="left"/>
    </w:pPr>
    <w:rPr>
      <w:caps w:val="0"/>
    </w:rPr>
  </w:style>
  <w:style w:type="character" w:customStyle="1" w:styleId="Heading1Char">
    <w:name w:val="Heading 1 Char"/>
    <w:aliases w:val="*Headers Char"/>
    <w:link w:val="Heading1"/>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qFormat/>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customStyle="1" w:styleId="Normal1">
    <w:name w:val="Normal1"/>
    <w:rsid w:val="004777FE"/>
    <w:pPr>
      <w:spacing w:after="0"/>
    </w:pPr>
    <w:rPr>
      <w:rFonts w:ascii="Calibri" w:eastAsia="Calibri" w:hAnsi="Calibri" w:cs="Calibri"/>
      <w:color w:val="000000"/>
      <w:sz w:val="22"/>
    </w:rPr>
  </w:style>
  <w:style w:type="paragraph" w:customStyle="1" w:styleId="Heading1nospace">
    <w:name w:val="Heading 1 no space"/>
    <w:basedOn w:val="Heading1"/>
    <w:qFormat/>
    <w:rsid w:val="004777FE"/>
    <w:pPr>
      <w:keepLines w:val="0"/>
      <w:spacing w:before="0" w:line="460" w:lineRule="exact"/>
      <w:jc w:val="center"/>
    </w:pPr>
    <w:rPr>
      <w:rFonts w:asciiTheme="minorHAnsi" w:eastAsia="Cambria" w:hAnsiTheme="minorHAnsi" w:cs="Cambria"/>
      <w:color w:val="244061" w:themeColor="accent1" w:themeShade="80"/>
      <w:sz w:val="40"/>
      <w:szCs w:val="36"/>
    </w:rPr>
  </w:style>
  <w:style w:type="paragraph" w:customStyle="1" w:styleId="Normal2">
    <w:name w:val="Normal2"/>
    <w:rsid w:val="004777FE"/>
    <w:pPr>
      <w:spacing w:after="0"/>
      <w:contextualSpacing/>
    </w:pPr>
    <w:rPr>
      <w:rFonts w:ascii="Calibri" w:eastAsia="Calibri" w:hAnsi="Calibri" w:cs="Calibri"/>
      <w:color w:val="000000"/>
      <w:sz w:val="22"/>
      <w:lang w:eastAsia="fr-FR"/>
    </w:rPr>
  </w:style>
  <w:style w:type="paragraph" w:customStyle="1" w:styleId="Normal3">
    <w:name w:val="Normal3"/>
    <w:rsid w:val="004777FE"/>
    <w:pPr>
      <w:spacing w:after="0"/>
    </w:pPr>
    <w:rPr>
      <w:rFonts w:ascii="Cambria" w:eastAsia="Cambria" w:hAnsi="Cambria" w:cs="Cambria"/>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D'Amico, Caitlin</cp:lastModifiedBy>
  <cp:revision>4</cp:revision>
  <cp:lastPrinted>2014-06-17T19:28:00Z</cp:lastPrinted>
  <dcterms:created xsi:type="dcterms:W3CDTF">2014-06-25T17:17:00Z</dcterms:created>
  <dcterms:modified xsi:type="dcterms:W3CDTF">2014-06-25T21:35:00Z</dcterms:modified>
</cp:coreProperties>
</file>