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CF71AF" w:rsidRPr="00DB34C3" w:rsidTr="00F308FF">
        <w:trPr>
          <w:trHeight w:val="1008"/>
        </w:trPr>
        <w:tc>
          <w:tcPr>
            <w:tcW w:w="1980" w:type="dxa"/>
            <w:shd w:val="clear" w:color="auto" w:fill="385623"/>
            <w:vAlign w:val="center"/>
          </w:tcPr>
          <w:p w:rsidR="00CF71AF" w:rsidRPr="00DB34C3" w:rsidRDefault="00CF71AF" w:rsidP="00B231AA">
            <w:pPr>
              <w:pStyle w:val="Header-banner"/>
              <w:rPr>
                <w:rFonts w:ascii="Calibri" w:hAnsi="Calibri"/>
              </w:rPr>
            </w:pPr>
            <w:r>
              <w:rPr>
                <w:rFonts w:ascii="Calibri" w:hAnsi="Calibri"/>
              </w:rPr>
              <w:t>11.1</w:t>
            </w:r>
            <w:r w:rsidRPr="00DB34C3">
              <w:rPr>
                <w:rFonts w:ascii="Calibri" w:hAnsi="Calibri"/>
              </w:rPr>
              <w:t>.</w:t>
            </w:r>
            <w:r>
              <w:rPr>
                <w:rFonts w:ascii="Calibri" w:hAnsi="Calibri"/>
              </w:rPr>
              <w:t>2</w:t>
            </w:r>
          </w:p>
        </w:tc>
        <w:tc>
          <w:tcPr>
            <w:tcW w:w="7470" w:type="dxa"/>
            <w:shd w:val="clear" w:color="auto" w:fill="76923C"/>
            <w:vAlign w:val="center"/>
          </w:tcPr>
          <w:p w:rsidR="00CF71AF" w:rsidRPr="00DB34C3" w:rsidRDefault="00CF71AF" w:rsidP="00B231AA">
            <w:pPr>
              <w:pStyle w:val="Header2banner"/>
              <w:spacing w:line="240" w:lineRule="auto"/>
              <w:rPr>
                <w:rFonts w:ascii="Calibri" w:hAnsi="Calibri"/>
              </w:rPr>
            </w:pPr>
            <w:r w:rsidRPr="00DB34C3">
              <w:rPr>
                <w:rFonts w:ascii="Calibri" w:hAnsi="Calibri"/>
              </w:rPr>
              <w:t xml:space="preserve">Lesson </w:t>
            </w:r>
            <w:r>
              <w:rPr>
                <w:rFonts w:ascii="Calibri" w:hAnsi="Calibri"/>
              </w:rPr>
              <w:t>2</w:t>
            </w:r>
            <w:r w:rsidR="00CE704C">
              <w:rPr>
                <w:rFonts w:ascii="Calibri" w:hAnsi="Calibri"/>
              </w:rPr>
              <w:t>4</w:t>
            </w:r>
          </w:p>
        </w:tc>
      </w:tr>
    </w:tbl>
    <w:p w:rsidR="00CF71AF" w:rsidRDefault="00CF71AF" w:rsidP="00394A1D">
      <w:pPr>
        <w:pStyle w:val="Heading1"/>
        <w:spacing w:before="400"/>
      </w:pPr>
      <w:r w:rsidRPr="00263AF5">
        <w:t>Introduction</w:t>
      </w:r>
    </w:p>
    <w:p w:rsidR="00CF71AF" w:rsidRDefault="00CF71AF" w:rsidP="001143A0">
      <w:r>
        <w:t xml:space="preserve">This lesson </w:t>
      </w:r>
      <w:r w:rsidR="003E12C2">
        <w:t>is</w:t>
      </w:r>
      <w:r>
        <w:t xml:space="preserve"> </w:t>
      </w:r>
      <w:r w:rsidR="00371260">
        <w:t>p</w:t>
      </w:r>
      <w:r>
        <w:t xml:space="preserve">art </w:t>
      </w:r>
      <w:r w:rsidR="00371260">
        <w:t>one</w:t>
      </w:r>
      <w:r>
        <w:t xml:space="preserve"> of the End-of-Unit Assessment for 11.1.2. In this lesson, students collect evidence </w:t>
      </w:r>
      <w:r w:rsidR="00F31C37">
        <w:t>to support their analys</w:t>
      </w:r>
      <w:r w:rsidR="00371260">
        <w:t>e</w:t>
      </w:r>
      <w:r w:rsidR="00F31C37">
        <w:t>s of</w:t>
      </w:r>
      <w:r>
        <w:t xml:space="preserve"> how central ideas interact and build </w:t>
      </w:r>
      <w:r w:rsidR="00371260">
        <w:t>up</w:t>
      </w:r>
      <w:r>
        <w:t xml:space="preserve">on one another in </w:t>
      </w:r>
      <w:r w:rsidRPr="007A1D44">
        <w:rPr>
          <w:i/>
        </w:rPr>
        <w:t>Hamlet</w:t>
      </w:r>
      <w:r>
        <w:t xml:space="preserve">. </w:t>
      </w:r>
    </w:p>
    <w:p w:rsidR="00CF71AF" w:rsidRPr="006E7D3C" w:rsidRDefault="00CF71AF" w:rsidP="00E946A0">
      <w:r>
        <w:t>For homework, students</w:t>
      </w:r>
      <w:r w:rsidR="00E473F5">
        <w:t xml:space="preserve"> </w:t>
      </w:r>
      <w:r>
        <w:t xml:space="preserve">continue to review the evidence collected during this lesson and consider how to synthesize their evidence to respond thoughtfully to the End-of-Unit </w:t>
      </w:r>
      <w:r w:rsidR="009C5E4B">
        <w:t>A</w:t>
      </w:r>
      <w:r>
        <w:t>ssessment prompt.</w:t>
      </w:r>
    </w:p>
    <w:p w:rsidR="00CF71AF" w:rsidRDefault="00CF71AF" w:rsidP="00394A1D">
      <w:pPr>
        <w:pStyle w:val="Heading1"/>
        <w:spacing w:before="40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CF71AF" w:rsidRPr="002E4C92" w:rsidTr="00F308FF">
        <w:tc>
          <w:tcPr>
            <w:tcW w:w="9468" w:type="dxa"/>
            <w:gridSpan w:val="2"/>
            <w:shd w:val="clear" w:color="auto" w:fill="76923C"/>
          </w:tcPr>
          <w:p w:rsidR="00CF71AF" w:rsidRPr="00FE5489" w:rsidRDefault="00CF71AF" w:rsidP="00B00346">
            <w:pPr>
              <w:pStyle w:val="TableHeaders"/>
            </w:pPr>
            <w:r w:rsidRPr="00FE5489">
              <w:t>Assessed Standard(s)</w:t>
            </w:r>
          </w:p>
        </w:tc>
      </w:tr>
      <w:tr w:rsidR="00CF71AF" w:rsidRPr="0053542D" w:rsidTr="00E22A24">
        <w:tc>
          <w:tcPr>
            <w:tcW w:w="1344" w:type="dxa"/>
          </w:tcPr>
          <w:p w:rsidR="00CF71AF" w:rsidRPr="006C261A" w:rsidRDefault="00CF71AF" w:rsidP="006C261A">
            <w:pPr>
              <w:pStyle w:val="TableText"/>
            </w:pPr>
            <w:r w:rsidRPr="006C261A">
              <w:t>RL.11-12.2</w:t>
            </w:r>
          </w:p>
        </w:tc>
        <w:tc>
          <w:tcPr>
            <w:tcW w:w="8124" w:type="dxa"/>
          </w:tcPr>
          <w:p w:rsidR="00CF71AF" w:rsidRPr="006C261A" w:rsidRDefault="00CF71AF" w:rsidP="006C261A">
            <w:pPr>
              <w:pStyle w:val="TableText"/>
            </w:pPr>
            <w:r w:rsidRPr="006C261A">
              <w:t>Determine two or more themes or central ideas of a text and analyze their development over the course of the text, including how they interact and build on one another to produce a complex account; provide an objective summary of the text.</w:t>
            </w:r>
          </w:p>
        </w:tc>
      </w:tr>
      <w:tr w:rsidR="00CF71AF" w:rsidRPr="0053542D" w:rsidTr="00E22A24">
        <w:tc>
          <w:tcPr>
            <w:tcW w:w="1344" w:type="dxa"/>
          </w:tcPr>
          <w:p w:rsidR="00CF71AF" w:rsidRPr="006C261A" w:rsidRDefault="00CF71AF" w:rsidP="006C261A">
            <w:pPr>
              <w:pStyle w:val="TableText"/>
            </w:pPr>
            <w:r w:rsidRPr="006C261A">
              <w:t>L.11-12.5</w:t>
            </w:r>
          </w:p>
        </w:tc>
        <w:tc>
          <w:tcPr>
            <w:tcW w:w="8124" w:type="dxa"/>
          </w:tcPr>
          <w:p w:rsidR="00CF71AF" w:rsidRPr="006C261A" w:rsidRDefault="00CF71AF" w:rsidP="006C261A">
            <w:pPr>
              <w:pStyle w:val="TableText"/>
            </w:pPr>
            <w:r w:rsidRPr="006C261A">
              <w:t>Demonstrate understanding of figurative language, word relationships, and nuances in word meanings.</w:t>
            </w:r>
          </w:p>
        </w:tc>
      </w:tr>
      <w:tr w:rsidR="00CF71AF" w:rsidRPr="00CF2582" w:rsidTr="00F308FF">
        <w:tc>
          <w:tcPr>
            <w:tcW w:w="9468" w:type="dxa"/>
            <w:gridSpan w:val="2"/>
            <w:shd w:val="clear" w:color="auto" w:fill="76923C"/>
          </w:tcPr>
          <w:p w:rsidR="00CF71AF" w:rsidRPr="00FE5489" w:rsidRDefault="00CF71AF" w:rsidP="00B00346">
            <w:pPr>
              <w:pStyle w:val="TableHeaders"/>
            </w:pPr>
            <w:r w:rsidRPr="00FE5489">
              <w:t>Addressed Standard(s)</w:t>
            </w:r>
          </w:p>
        </w:tc>
      </w:tr>
      <w:tr w:rsidR="005B7722" w:rsidRPr="0053542D" w:rsidTr="005B7722">
        <w:trPr>
          <w:trHeight w:val="288"/>
        </w:trPr>
        <w:tc>
          <w:tcPr>
            <w:tcW w:w="1344" w:type="dxa"/>
          </w:tcPr>
          <w:p w:rsidR="005B7722" w:rsidRPr="000D7F80" w:rsidRDefault="005B7722" w:rsidP="000D7F80">
            <w:pPr>
              <w:pStyle w:val="TableText"/>
            </w:pPr>
            <w:r>
              <w:t>W.11-12.9.a</w:t>
            </w:r>
          </w:p>
        </w:tc>
        <w:tc>
          <w:tcPr>
            <w:tcW w:w="8124" w:type="dxa"/>
          </w:tcPr>
          <w:p w:rsidR="005B7722" w:rsidRDefault="005B7722" w:rsidP="000D7F80">
            <w:pPr>
              <w:pStyle w:val="TableText"/>
            </w:pPr>
            <w:r w:rsidRPr="006C261A">
              <w:t>Draw evidence from literary or informational texts to support analysis, reflection, and research.</w:t>
            </w:r>
          </w:p>
          <w:p w:rsidR="005B7722" w:rsidRPr="000D7F80" w:rsidRDefault="005B7722" w:rsidP="00010917">
            <w:pPr>
              <w:pStyle w:val="TableText"/>
              <w:numPr>
                <w:ilvl w:val="0"/>
                <w:numId w:val="12"/>
              </w:numPr>
              <w:ind w:left="360"/>
            </w:pPr>
            <w:r>
              <w:t xml:space="preserve">Apply </w:t>
            </w:r>
            <w:r>
              <w:rPr>
                <w:i/>
              </w:rPr>
              <w:t>grades 11–12 Reading standards</w:t>
            </w:r>
            <w:r>
              <w:t xml:space="preserve"> to literature (e.g., “Demonstrate knowledge of eighteenth-, nineteenth-, and early-twentieth foundational works of American literature, including how two or more texts from the same period treat similar themes or topics”).</w:t>
            </w:r>
          </w:p>
        </w:tc>
      </w:tr>
    </w:tbl>
    <w:p w:rsidR="00CF71AF" w:rsidRDefault="00CF71AF" w:rsidP="00394A1D">
      <w:pPr>
        <w:pStyle w:val="Heading1"/>
        <w:spacing w:before="40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CF71AF" w:rsidRPr="002E4C92" w:rsidTr="00353081">
        <w:tc>
          <w:tcPr>
            <w:tcW w:w="9478" w:type="dxa"/>
            <w:shd w:val="clear" w:color="auto" w:fill="76923C"/>
          </w:tcPr>
          <w:p w:rsidR="00CF71AF" w:rsidRPr="00FE5489" w:rsidRDefault="00CF71AF" w:rsidP="00B00346">
            <w:pPr>
              <w:pStyle w:val="TableHeaders"/>
            </w:pPr>
            <w:r w:rsidRPr="00FE5489">
              <w:t>Assessment(s)</w:t>
            </w:r>
          </w:p>
        </w:tc>
      </w:tr>
      <w:tr w:rsidR="00CF71AF" w:rsidTr="00353081">
        <w:tc>
          <w:tcPr>
            <w:tcW w:w="9478" w:type="dxa"/>
          </w:tcPr>
          <w:p w:rsidR="008C4F9E" w:rsidRDefault="003634BA" w:rsidP="00737EB8">
            <w:pPr>
              <w:spacing w:before="0" w:after="0" w:line="240" w:lineRule="auto"/>
              <w:rPr>
                <w:rStyle w:val="TableTextChar"/>
              </w:rPr>
            </w:pPr>
            <w:r w:rsidRPr="003634BA">
              <w:rPr>
                <w:rStyle w:val="TableTextChar"/>
              </w:rPr>
              <w:t xml:space="preserve">Student learning </w:t>
            </w:r>
            <w:proofErr w:type="gramStart"/>
            <w:r w:rsidRPr="003634BA">
              <w:rPr>
                <w:rStyle w:val="TableTextChar"/>
              </w:rPr>
              <w:t xml:space="preserve">will be </w:t>
            </w:r>
            <w:proofErr w:type="spellStart"/>
            <w:r w:rsidRPr="003634BA">
              <w:rPr>
                <w:rStyle w:val="TableTextChar"/>
              </w:rPr>
              <w:t>assessed</w:t>
            </w:r>
            <w:proofErr w:type="spellEnd"/>
            <w:proofErr w:type="gramEnd"/>
            <w:r w:rsidRPr="003634BA">
              <w:rPr>
                <w:rStyle w:val="TableTextChar"/>
              </w:rPr>
              <w:t xml:space="preserve"> via a </w:t>
            </w:r>
            <w:r>
              <w:rPr>
                <w:rStyle w:val="TableTextChar"/>
              </w:rPr>
              <w:t xml:space="preserve">Central </w:t>
            </w:r>
            <w:r w:rsidR="005B7722">
              <w:rPr>
                <w:rStyle w:val="TableTextChar"/>
              </w:rPr>
              <w:t xml:space="preserve">Idea </w:t>
            </w:r>
            <w:r>
              <w:rPr>
                <w:rStyle w:val="TableTextChar"/>
              </w:rPr>
              <w:t>Evidence Tool that p</w:t>
            </w:r>
            <w:r w:rsidR="008C4F9E">
              <w:rPr>
                <w:rStyle w:val="TableTextChar"/>
              </w:rPr>
              <w:t>repare</w:t>
            </w:r>
            <w:r w:rsidR="00400366">
              <w:rPr>
                <w:rStyle w:val="TableTextChar"/>
              </w:rPr>
              <w:t>s students</w:t>
            </w:r>
            <w:r w:rsidR="008C4F9E">
              <w:rPr>
                <w:rStyle w:val="TableTextChar"/>
              </w:rPr>
              <w:t xml:space="preserve"> to respond to the following prompt</w:t>
            </w:r>
            <w:r w:rsidR="00400366">
              <w:rPr>
                <w:rStyle w:val="TableTextChar"/>
              </w:rPr>
              <w:t xml:space="preserve"> in the </w:t>
            </w:r>
            <w:r w:rsidR="005B7722">
              <w:rPr>
                <w:rStyle w:val="TableTextChar"/>
              </w:rPr>
              <w:t xml:space="preserve">End-of-Unit Assessment </w:t>
            </w:r>
            <w:r w:rsidR="00400366">
              <w:rPr>
                <w:rStyle w:val="TableTextChar"/>
              </w:rPr>
              <w:t>(11.1.2 Lesson 25)</w:t>
            </w:r>
            <w:r>
              <w:rPr>
                <w:rStyle w:val="TableTextChar"/>
              </w:rPr>
              <w:t>.</w:t>
            </w:r>
          </w:p>
          <w:p w:rsidR="00FB5382" w:rsidRPr="00BF1ADB" w:rsidRDefault="00CF71AF" w:rsidP="00BF1ADB">
            <w:pPr>
              <w:pStyle w:val="IN"/>
              <w:numPr>
                <w:ilvl w:val="0"/>
                <w:numId w:val="11"/>
              </w:numPr>
              <w:ind w:left="499"/>
              <w:rPr>
                <w:rFonts w:asciiTheme="majorHAnsi" w:eastAsiaTheme="majorEastAsia" w:hAnsiTheme="majorHAnsi" w:cstheme="majorBidi"/>
                <w:i/>
                <w:iCs/>
                <w:color w:val="404040" w:themeColor="text1" w:themeTint="BF"/>
              </w:rPr>
            </w:pPr>
            <w:r w:rsidRPr="00371260">
              <w:rPr>
                <w:rStyle w:val="TableTextChar"/>
                <w:color w:val="auto"/>
              </w:rPr>
              <w:t>Identify two central ideas from the play. How do these ideas interact and build on one anothe</w:t>
            </w:r>
            <w:r w:rsidR="00394A1D" w:rsidRPr="00371260">
              <w:rPr>
                <w:rStyle w:val="TableTextChar"/>
                <w:color w:val="auto"/>
              </w:rPr>
              <w:t xml:space="preserve">r over the course of the play? </w:t>
            </w:r>
            <w:r w:rsidRPr="00371260">
              <w:rPr>
                <w:rStyle w:val="TableTextChar"/>
                <w:color w:val="auto"/>
              </w:rPr>
              <w:t>In your response</w:t>
            </w:r>
            <w:r w:rsidR="00371260">
              <w:rPr>
                <w:rStyle w:val="TableTextChar"/>
                <w:color w:val="auto"/>
              </w:rPr>
              <w:t>,</w:t>
            </w:r>
            <w:r w:rsidRPr="00371260">
              <w:rPr>
                <w:rStyle w:val="TableTextChar"/>
                <w:color w:val="auto"/>
              </w:rPr>
              <w:t xml:space="preserve"> identify and discuss at least one literary device that Shakespeare uses to develop or relate these central ideas</w:t>
            </w:r>
            <w:r w:rsidRPr="00371260">
              <w:rPr>
                <w:bCs/>
                <w:color w:val="auto"/>
              </w:rPr>
              <w:t>.</w:t>
            </w:r>
          </w:p>
        </w:tc>
      </w:tr>
      <w:tr w:rsidR="00CF71AF" w:rsidRPr="00B00346" w:rsidTr="00353081">
        <w:tc>
          <w:tcPr>
            <w:tcW w:w="9478" w:type="dxa"/>
            <w:shd w:val="clear" w:color="auto" w:fill="76923C"/>
          </w:tcPr>
          <w:p w:rsidR="00CF71AF" w:rsidRPr="00FE5489" w:rsidRDefault="00CF71AF" w:rsidP="00B00346">
            <w:pPr>
              <w:pStyle w:val="TableHeaders"/>
            </w:pPr>
            <w:r w:rsidRPr="00FE5489">
              <w:lastRenderedPageBreak/>
              <w:t>High Performance Response(s)</w:t>
            </w:r>
          </w:p>
        </w:tc>
      </w:tr>
      <w:tr w:rsidR="00CF71AF" w:rsidTr="00353081">
        <w:tc>
          <w:tcPr>
            <w:tcW w:w="9478" w:type="dxa"/>
          </w:tcPr>
          <w:p w:rsidR="00A06FAF" w:rsidRDefault="00A06FAF" w:rsidP="008151E5">
            <w:pPr>
              <w:pStyle w:val="TableText"/>
            </w:pPr>
            <w:r>
              <w:t xml:space="preserve">A </w:t>
            </w:r>
            <w:r w:rsidR="00371260">
              <w:t>H</w:t>
            </w:r>
            <w:r>
              <w:t xml:space="preserve">igh </w:t>
            </w:r>
            <w:r w:rsidR="00371260">
              <w:t>P</w:t>
            </w:r>
            <w:r>
              <w:t xml:space="preserve">erformance </w:t>
            </w:r>
            <w:r w:rsidR="00371260">
              <w:t>R</w:t>
            </w:r>
            <w:r>
              <w:t>esponse should:</w:t>
            </w:r>
          </w:p>
          <w:p w:rsidR="00A06FAF" w:rsidRDefault="00A06FAF" w:rsidP="00FE5815">
            <w:pPr>
              <w:pStyle w:val="BulletedList"/>
            </w:pPr>
            <w:r>
              <w:t>Identify central ideas from the play, such as action versus inaction, revenge, mortality,</w:t>
            </w:r>
            <w:r w:rsidR="00371260">
              <w:t xml:space="preserve"> </w:t>
            </w:r>
            <w:r w:rsidR="00685A4B">
              <w:t>madness</w:t>
            </w:r>
            <w:r w:rsidR="00371260">
              <w:t>,</w:t>
            </w:r>
            <w:r>
              <w:t xml:space="preserve"> etc.</w:t>
            </w:r>
          </w:p>
          <w:p w:rsidR="00A06FAF" w:rsidRDefault="00A06FAF" w:rsidP="00FE5815">
            <w:pPr>
              <w:pStyle w:val="BulletedList"/>
            </w:pPr>
            <w:r>
              <w:t xml:space="preserve">Determine at least one literary device that Shakespeare uses </w:t>
            </w:r>
            <w:r w:rsidR="00A769B3">
              <w:t>to advance each central idea</w:t>
            </w:r>
            <w:r>
              <w:t xml:space="preserve">, such as foil, </w:t>
            </w:r>
            <w:r w:rsidRPr="00394A1D">
              <w:t>personification, metaph</w:t>
            </w:r>
            <w:r w:rsidR="00252360">
              <w:t>or, repetition,</w:t>
            </w:r>
            <w:r w:rsidR="00ED2574">
              <w:t xml:space="preserve"> imagery,</w:t>
            </w:r>
            <w:r w:rsidRPr="00394A1D">
              <w:t xml:space="preserve"> etc</w:t>
            </w:r>
            <w:r>
              <w:t>.</w:t>
            </w:r>
          </w:p>
          <w:p w:rsidR="00A06FAF" w:rsidRDefault="00A769B3" w:rsidP="00FE5815">
            <w:pPr>
              <w:pStyle w:val="BulletedList"/>
            </w:pPr>
            <w:r>
              <w:t xml:space="preserve">Describe what role each central idea plays in </w:t>
            </w:r>
            <w:r>
              <w:rPr>
                <w:i/>
              </w:rPr>
              <w:t>Hamlet</w:t>
            </w:r>
            <w:r w:rsidR="00A06FAF">
              <w:t>.</w:t>
            </w:r>
          </w:p>
          <w:p w:rsidR="00CF71AF" w:rsidRPr="003908D2" w:rsidRDefault="00A769B3" w:rsidP="00BF1ADB">
            <w:pPr>
              <w:pStyle w:val="IN"/>
              <w:ind w:left="342"/>
            </w:pPr>
            <w:r>
              <w:t>See the Model Central Idea Evidence Collection Tool for a High Performance Response.</w:t>
            </w:r>
            <w:r w:rsidR="00BF1ADB">
              <w:t xml:space="preserve"> The responses in this model tool </w:t>
            </w:r>
            <w:proofErr w:type="gramStart"/>
            <w:r w:rsidR="00BF1ADB">
              <w:t>a</w:t>
            </w:r>
            <w:r w:rsidR="00BF1ADB" w:rsidRPr="00BF1ADB">
              <w:t>re provided</w:t>
            </w:r>
            <w:proofErr w:type="gramEnd"/>
            <w:r w:rsidR="00BF1ADB" w:rsidRPr="00BF1ADB">
              <w:t xml:space="preserve"> as examples, but in a complex text like </w:t>
            </w:r>
            <w:r w:rsidR="00BF1ADB" w:rsidRPr="00BF1ADB">
              <w:rPr>
                <w:i/>
              </w:rPr>
              <w:t>Hamlet</w:t>
            </w:r>
            <w:r w:rsidR="00BF1ADB" w:rsidRPr="00BF1ADB">
              <w:t xml:space="preserve">, there are numerous complex central ideas that develop and interact throughout the play. Students can produce a number of different correct responses, as long as </w:t>
            </w:r>
            <w:r w:rsidR="00BF1ADB">
              <w:t>they are</w:t>
            </w:r>
            <w:r w:rsidR="00BF1ADB" w:rsidRPr="00BF1ADB">
              <w:t xml:space="preserve"> supported with the most significant and relevant evidence from the text</w:t>
            </w:r>
          </w:p>
        </w:tc>
      </w:tr>
    </w:tbl>
    <w:p w:rsidR="00CF71AF" w:rsidRDefault="00CF71AF">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CF71AF" w:rsidRPr="00B00346" w:rsidTr="00353081">
        <w:tc>
          <w:tcPr>
            <w:tcW w:w="9450" w:type="dxa"/>
            <w:shd w:val="clear" w:color="auto" w:fill="76923C"/>
          </w:tcPr>
          <w:p w:rsidR="00CF71AF" w:rsidRPr="00FE5489" w:rsidRDefault="00CF71AF" w:rsidP="00B00346">
            <w:pPr>
              <w:pStyle w:val="TableHeaders"/>
            </w:pPr>
            <w:r w:rsidRPr="00FE5489">
              <w:t>Vocabulary to provide directly (will not include extended instruction)</w:t>
            </w:r>
          </w:p>
        </w:tc>
      </w:tr>
      <w:tr w:rsidR="00CF71AF" w:rsidTr="00353081">
        <w:tc>
          <w:tcPr>
            <w:tcW w:w="9450" w:type="dxa"/>
          </w:tcPr>
          <w:p w:rsidR="00CF71AF" w:rsidRPr="00B231AA" w:rsidRDefault="00CF71AF" w:rsidP="009B0189">
            <w:pPr>
              <w:pStyle w:val="BulletedList"/>
              <w:numPr>
                <w:ilvl w:val="0"/>
                <w:numId w:val="0"/>
              </w:numPr>
              <w:ind w:left="317" w:hanging="317"/>
            </w:pPr>
            <w:proofErr w:type="gramStart"/>
            <w:r>
              <w:t>None</w:t>
            </w:r>
            <w:r w:rsidR="00394A1D">
              <w:t>.</w:t>
            </w:r>
            <w:r>
              <w:t>*</w:t>
            </w:r>
            <w:proofErr w:type="gramEnd"/>
          </w:p>
        </w:tc>
      </w:tr>
      <w:tr w:rsidR="00CF71AF" w:rsidRPr="00F308FF" w:rsidTr="00353081">
        <w:tc>
          <w:tcPr>
            <w:tcW w:w="9450" w:type="dxa"/>
            <w:shd w:val="clear" w:color="auto" w:fill="76923C"/>
          </w:tcPr>
          <w:p w:rsidR="00CF71AF" w:rsidRPr="00FE5489" w:rsidRDefault="00CF71AF" w:rsidP="00394A1D">
            <w:pPr>
              <w:pStyle w:val="TableHeaders"/>
            </w:pPr>
            <w:r w:rsidRPr="00FE5489">
              <w:t>Vocabulary to teach (may include direct word work and/or questions)</w:t>
            </w:r>
          </w:p>
        </w:tc>
      </w:tr>
      <w:tr w:rsidR="00CF71AF" w:rsidTr="00353081">
        <w:tc>
          <w:tcPr>
            <w:tcW w:w="9450" w:type="dxa"/>
          </w:tcPr>
          <w:p w:rsidR="00CF71AF" w:rsidRPr="00B231AA" w:rsidRDefault="00CF71AF" w:rsidP="00A724E5">
            <w:pPr>
              <w:pStyle w:val="BulletedList"/>
              <w:numPr>
                <w:ilvl w:val="0"/>
                <w:numId w:val="0"/>
              </w:numPr>
              <w:ind w:left="317" w:hanging="317"/>
            </w:pPr>
            <w:proofErr w:type="gramStart"/>
            <w:r>
              <w:t>None</w:t>
            </w:r>
            <w:r w:rsidR="00394A1D">
              <w:t>.</w:t>
            </w:r>
            <w:r>
              <w:t>*</w:t>
            </w:r>
            <w:proofErr w:type="gramEnd"/>
          </w:p>
        </w:tc>
      </w:tr>
    </w:tbl>
    <w:p w:rsidR="00CF71AF" w:rsidRDefault="00CF71AF" w:rsidP="00394A1D">
      <w:pPr>
        <w:pStyle w:val="Heading1"/>
        <w:spacing w:before="120"/>
      </w:pPr>
      <w:r w:rsidRPr="00A724E5">
        <w:rPr>
          <w:b w:val="0"/>
          <w:bCs w:val="0"/>
          <w:color w:val="auto"/>
          <w:sz w:val="22"/>
          <w:szCs w:val="22"/>
          <w:shd w:val="clear" w:color="auto" w:fill="FFFFFF"/>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w:t>
      </w:r>
      <w:r w:rsidR="00D16E2D">
        <w:rPr>
          <w:b w:val="0"/>
          <w:bCs w:val="0"/>
          <w:color w:val="auto"/>
          <w:sz w:val="22"/>
          <w:szCs w:val="22"/>
          <w:shd w:val="clear" w:color="auto" w:fill="FFFFFF"/>
        </w:rPr>
        <w:t>:</w:t>
      </w:r>
      <w:r w:rsidRPr="00A724E5">
        <w:rPr>
          <w:b w:val="0"/>
          <w:bCs w:val="0"/>
          <w:color w:val="auto"/>
          <w:sz w:val="22"/>
          <w:szCs w:val="22"/>
          <w:shd w:val="clear" w:color="auto" w:fill="FFFFFF"/>
        </w:rPr>
        <w:t xml:space="preserve"> </w:t>
      </w:r>
      <w:hyperlink r:id="rId7" w:history="1">
        <w:r w:rsidRPr="00A724E5">
          <w:rPr>
            <w:b w:val="0"/>
            <w:bCs w:val="0"/>
            <w:color w:val="0000FF"/>
            <w:sz w:val="22"/>
            <w:szCs w:val="22"/>
            <w:u w:val="single"/>
          </w:rPr>
          <w:t>http://www.engageny.org/sites/default/files/resource/attachments/9-12_ela_prefatory_material.pdf</w:t>
        </w:r>
      </w:hyperlink>
    </w:p>
    <w:p w:rsidR="00CF71AF" w:rsidRDefault="00CF71AF"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CF71AF" w:rsidRPr="00C02EC2" w:rsidTr="00546D71">
        <w:tc>
          <w:tcPr>
            <w:tcW w:w="7830" w:type="dxa"/>
            <w:shd w:val="clear" w:color="auto" w:fill="76923C"/>
          </w:tcPr>
          <w:p w:rsidR="00CF71AF" w:rsidRPr="00FE5489" w:rsidRDefault="00CF71AF" w:rsidP="00B00346">
            <w:pPr>
              <w:pStyle w:val="TableHeaders"/>
            </w:pPr>
            <w:r w:rsidRPr="00FE5489">
              <w:t>Student-Facing Agenda</w:t>
            </w:r>
          </w:p>
        </w:tc>
        <w:tc>
          <w:tcPr>
            <w:tcW w:w="1638" w:type="dxa"/>
            <w:shd w:val="clear" w:color="auto" w:fill="76923C"/>
          </w:tcPr>
          <w:p w:rsidR="00CF71AF" w:rsidRPr="00FE5489" w:rsidRDefault="00CF71AF" w:rsidP="00B00346">
            <w:pPr>
              <w:pStyle w:val="TableHeaders"/>
            </w:pPr>
            <w:r w:rsidRPr="00FE5489">
              <w:t>% of Lesson</w:t>
            </w:r>
          </w:p>
        </w:tc>
      </w:tr>
      <w:tr w:rsidR="00971290" w:rsidTr="000B2D56">
        <w:trPr>
          <w:trHeight w:val="1313"/>
        </w:trPr>
        <w:tc>
          <w:tcPr>
            <w:tcW w:w="7830" w:type="dxa"/>
            <w:tcBorders>
              <w:bottom w:val="nil"/>
            </w:tcBorders>
          </w:tcPr>
          <w:p w:rsidR="0058079F" w:rsidRPr="0058079F" w:rsidRDefault="0058079F" w:rsidP="0058079F">
            <w:pPr>
              <w:pStyle w:val="TableText"/>
              <w:rPr>
                <w:b/>
              </w:rPr>
            </w:pPr>
            <w:r>
              <w:rPr>
                <w:b/>
              </w:rPr>
              <w:t>Standards &amp; Text:</w:t>
            </w:r>
          </w:p>
          <w:p w:rsidR="00971290" w:rsidRDefault="0058079F" w:rsidP="004B7C07">
            <w:pPr>
              <w:pStyle w:val="BulletedList"/>
            </w:pPr>
            <w:r>
              <w:t>Standards: RL</w:t>
            </w:r>
            <w:r w:rsidR="00BB2E42">
              <w:t>.</w:t>
            </w:r>
            <w:r>
              <w:t xml:space="preserve">11-12.2, </w:t>
            </w:r>
            <w:bookmarkStart w:id="0" w:name="_GoBack"/>
            <w:bookmarkEnd w:id="0"/>
            <w:r>
              <w:t>W.11-12.9</w:t>
            </w:r>
            <w:r w:rsidR="005B7722">
              <w:t>.a</w:t>
            </w:r>
            <w:r>
              <w:t>, L.11-12.5</w:t>
            </w:r>
          </w:p>
          <w:p w:rsidR="0058079F" w:rsidRDefault="0058079F" w:rsidP="00A769B3">
            <w:pPr>
              <w:pStyle w:val="BulletedList"/>
            </w:pPr>
            <w:r>
              <w:t xml:space="preserve">Text: </w:t>
            </w:r>
            <w:r w:rsidRPr="0058079F">
              <w:rPr>
                <w:i/>
              </w:rPr>
              <w:t xml:space="preserve">Hamlet </w:t>
            </w:r>
            <w:r>
              <w:t>by William Shakespeare</w:t>
            </w:r>
          </w:p>
          <w:p w:rsidR="0058079F" w:rsidRPr="008C4F9E" w:rsidRDefault="0058079F" w:rsidP="008C4F9E">
            <w:pPr>
              <w:pStyle w:val="BulletedList"/>
              <w:numPr>
                <w:ilvl w:val="0"/>
                <w:numId w:val="0"/>
              </w:numPr>
              <w:ind w:left="360" w:hanging="360"/>
              <w:rPr>
                <w:b/>
              </w:rPr>
            </w:pPr>
            <w:r w:rsidRPr="0058079F">
              <w:rPr>
                <w:b/>
              </w:rPr>
              <w:t>Learning Sequence:</w:t>
            </w:r>
          </w:p>
        </w:tc>
        <w:tc>
          <w:tcPr>
            <w:tcW w:w="1638" w:type="dxa"/>
            <w:tcBorders>
              <w:bottom w:val="nil"/>
            </w:tcBorders>
          </w:tcPr>
          <w:p w:rsidR="00971290" w:rsidRDefault="00971290" w:rsidP="00546D71">
            <w:pPr>
              <w:pStyle w:val="NumberedList"/>
              <w:numPr>
                <w:ilvl w:val="0"/>
                <w:numId w:val="0"/>
              </w:numPr>
            </w:pPr>
          </w:p>
        </w:tc>
      </w:tr>
      <w:tr w:rsidR="00971290" w:rsidTr="00546D71">
        <w:tc>
          <w:tcPr>
            <w:tcW w:w="7830" w:type="dxa"/>
            <w:tcBorders>
              <w:top w:val="nil"/>
            </w:tcBorders>
          </w:tcPr>
          <w:p w:rsidR="00971290" w:rsidRDefault="0058079F" w:rsidP="0058079F">
            <w:pPr>
              <w:pStyle w:val="NumberedList"/>
            </w:pPr>
            <w:r>
              <w:t>Introduction of Lesson Agenda</w:t>
            </w:r>
          </w:p>
          <w:p w:rsidR="0058079F" w:rsidRDefault="0058079F" w:rsidP="0058079F">
            <w:pPr>
              <w:pStyle w:val="NumberedList"/>
            </w:pPr>
            <w:r>
              <w:t>Homework Accountability</w:t>
            </w:r>
          </w:p>
          <w:p w:rsidR="0058079F" w:rsidRDefault="0058079F" w:rsidP="0058079F">
            <w:pPr>
              <w:pStyle w:val="NumberedList"/>
            </w:pPr>
            <w:r>
              <w:lastRenderedPageBreak/>
              <w:t>Evidence Gathering</w:t>
            </w:r>
          </w:p>
          <w:p w:rsidR="0058079F" w:rsidRDefault="0058079F" w:rsidP="0058079F">
            <w:pPr>
              <w:pStyle w:val="NumberedList"/>
            </w:pPr>
            <w:r>
              <w:t>Class Discussion</w:t>
            </w:r>
          </w:p>
          <w:p w:rsidR="0058079F" w:rsidRPr="0058079F" w:rsidRDefault="0058079F" w:rsidP="0058079F">
            <w:pPr>
              <w:pStyle w:val="NumberedList"/>
            </w:pPr>
            <w:r>
              <w:t>Closing</w:t>
            </w:r>
          </w:p>
        </w:tc>
        <w:tc>
          <w:tcPr>
            <w:tcW w:w="1638" w:type="dxa"/>
            <w:tcBorders>
              <w:top w:val="nil"/>
            </w:tcBorders>
          </w:tcPr>
          <w:p w:rsidR="00971290" w:rsidRDefault="00971290" w:rsidP="00737EB8">
            <w:pPr>
              <w:pStyle w:val="NumberedList"/>
              <w:numPr>
                <w:ilvl w:val="0"/>
                <w:numId w:val="10"/>
              </w:numPr>
            </w:pPr>
            <w:r>
              <w:lastRenderedPageBreak/>
              <w:t>5%</w:t>
            </w:r>
          </w:p>
          <w:p w:rsidR="00971290" w:rsidRDefault="00971290" w:rsidP="00546D71">
            <w:pPr>
              <w:pStyle w:val="NumberedList"/>
            </w:pPr>
            <w:r>
              <w:t>10%</w:t>
            </w:r>
          </w:p>
          <w:p w:rsidR="00971290" w:rsidRDefault="00971290" w:rsidP="00546D71">
            <w:pPr>
              <w:pStyle w:val="NumberedList"/>
            </w:pPr>
            <w:r>
              <w:lastRenderedPageBreak/>
              <w:t>55%</w:t>
            </w:r>
          </w:p>
          <w:p w:rsidR="00971290" w:rsidRDefault="00971290" w:rsidP="009B0189">
            <w:pPr>
              <w:pStyle w:val="NumberedList"/>
            </w:pPr>
            <w:r>
              <w:t>25%</w:t>
            </w:r>
          </w:p>
          <w:p w:rsidR="00971290" w:rsidRPr="00C02EC2" w:rsidRDefault="00971290" w:rsidP="00546D71">
            <w:pPr>
              <w:pStyle w:val="NumberedList"/>
            </w:pPr>
            <w:r>
              <w:t>5%</w:t>
            </w:r>
          </w:p>
        </w:tc>
      </w:tr>
    </w:tbl>
    <w:p w:rsidR="00CF71AF" w:rsidRDefault="00CF71AF" w:rsidP="00E946A0">
      <w:pPr>
        <w:pStyle w:val="Heading1"/>
      </w:pPr>
      <w:r>
        <w:lastRenderedPageBreak/>
        <w:t>Materials</w:t>
      </w:r>
    </w:p>
    <w:p w:rsidR="00CF71AF" w:rsidRDefault="00371260" w:rsidP="00064850">
      <w:pPr>
        <w:pStyle w:val="BulletedList"/>
      </w:pPr>
      <w:r>
        <w:t>C</w:t>
      </w:r>
      <w:r w:rsidR="00DC1251">
        <w:t xml:space="preserve">opies of </w:t>
      </w:r>
      <w:r w:rsidR="00A937CA">
        <w:t xml:space="preserve">the </w:t>
      </w:r>
      <w:r w:rsidR="00CF71AF" w:rsidRPr="00A769B3">
        <w:t xml:space="preserve">Central Idea Evidence </w:t>
      </w:r>
      <w:r>
        <w:t>Collection</w:t>
      </w:r>
      <w:r w:rsidR="00CF71AF" w:rsidRPr="00A769B3">
        <w:t xml:space="preserve"> Tool</w:t>
      </w:r>
      <w:r>
        <w:t xml:space="preserve"> for each student</w:t>
      </w:r>
    </w:p>
    <w:p w:rsidR="00CF71AF" w:rsidRPr="006E7D3C" w:rsidRDefault="00DC1251" w:rsidP="00064850">
      <w:pPr>
        <w:pStyle w:val="BulletedList"/>
      </w:pPr>
      <w:r>
        <w:t xml:space="preserve">Student copies of the </w:t>
      </w:r>
      <w:r w:rsidR="00CF71AF">
        <w:t>Text Analysis Rubric</w:t>
      </w:r>
      <w:r>
        <w:t xml:space="preserve"> (refer to</w:t>
      </w:r>
      <w:r w:rsidR="0058079F">
        <w:t xml:space="preserve"> 11.1.1 Lesson 6)</w:t>
      </w:r>
    </w:p>
    <w:p w:rsidR="00CF71AF" w:rsidRPr="00A24DAB" w:rsidRDefault="00CF71AF"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CF71AF" w:rsidRPr="001C6EA7" w:rsidTr="00FE5489">
        <w:tc>
          <w:tcPr>
            <w:tcW w:w="9468" w:type="dxa"/>
            <w:gridSpan w:val="2"/>
            <w:shd w:val="clear" w:color="auto" w:fill="76923C"/>
          </w:tcPr>
          <w:p w:rsidR="00CF71AF" w:rsidRPr="00FE5489" w:rsidRDefault="00CF71AF" w:rsidP="00B00346">
            <w:pPr>
              <w:pStyle w:val="TableHeaders"/>
            </w:pPr>
            <w:r w:rsidRPr="00FE5489">
              <w:t>How to Use the Learning Sequence</w:t>
            </w:r>
          </w:p>
        </w:tc>
      </w:tr>
      <w:tr w:rsidR="00CF71AF" w:rsidRPr="000D6FA4" w:rsidTr="00FE5489">
        <w:tc>
          <w:tcPr>
            <w:tcW w:w="894" w:type="dxa"/>
            <w:shd w:val="clear" w:color="auto" w:fill="76923C"/>
          </w:tcPr>
          <w:p w:rsidR="00CF71AF" w:rsidRPr="00FE5489" w:rsidRDefault="00CF71AF" w:rsidP="00B00346">
            <w:pPr>
              <w:pStyle w:val="TableHeaders"/>
            </w:pPr>
            <w:r w:rsidRPr="00FE5489">
              <w:t>Symbol</w:t>
            </w:r>
          </w:p>
        </w:tc>
        <w:tc>
          <w:tcPr>
            <w:tcW w:w="8574" w:type="dxa"/>
            <w:shd w:val="clear" w:color="auto" w:fill="76923C"/>
          </w:tcPr>
          <w:p w:rsidR="00CF71AF" w:rsidRPr="00FE5489" w:rsidRDefault="00CF71AF" w:rsidP="00B00346">
            <w:pPr>
              <w:pStyle w:val="TableHeaders"/>
            </w:pPr>
            <w:r w:rsidRPr="00FE5489">
              <w:t>Type of Text &amp; Interpretation of the Symbol</w:t>
            </w:r>
          </w:p>
        </w:tc>
      </w:tr>
      <w:tr w:rsidR="00CF71AF" w:rsidRPr="00E65C14" w:rsidTr="00FE5489">
        <w:tc>
          <w:tcPr>
            <w:tcW w:w="894" w:type="dxa"/>
          </w:tcPr>
          <w:p w:rsidR="00CF71AF" w:rsidRPr="00FE5489" w:rsidRDefault="00CF71AF" w:rsidP="00FE5489">
            <w:pPr>
              <w:spacing w:before="20" w:after="20" w:line="240" w:lineRule="auto"/>
              <w:jc w:val="center"/>
              <w:rPr>
                <w:b/>
                <w:color w:val="4F81BD"/>
                <w:sz w:val="20"/>
              </w:rPr>
            </w:pPr>
            <w:r w:rsidRPr="00FE5489">
              <w:rPr>
                <w:b/>
                <w:color w:val="4F81BD"/>
                <w:sz w:val="20"/>
              </w:rPr>
              <w:t>10%</w:t>
            </w:r>
          </w:p>
        </w:tc>
        <w:tc>
          <w:tcPr>
            <w:tcW w:w="8574" w:type="dxa"/>
          </w:tcPr>
          <w:p w:rsidR="00CF71AF" w:rsidRPr="00FE5489" w:rsidRDefault="00CF71AF" w:rsidP="00FE5489">
            <w:pPr>
              <w:spacing w:before="20" w:after="20" w:line="240" w:lineRule="auto"/>
              <w:rPr>
                <w:b/>
                <w:color w:val="4F81BD"/>
                <w:sz w:val="20"/>
              </w:rPr>
            </w:pPr>
            <w:r w:rsidRPr="00FE5489">
              <w:rPr>
                <w:b/>
                <w:color w:val="4F81BD"/>
                <w:sz w:val="20"/>
              </w:rPr>
              <w:t>Percentage indicates the percentage of lesson time each activity should take.</w:t>
            </w:r>
          </w:p>
        </w:tc>
      </w:tr>
      <w:tr w:rsidR="00CF71AF" w:rsidRPr="000D6FA4" w:rsidTr="00FE5489">
        <w:tc>
          <w:tcPr>
            <w:tcW w:w="894" w:type="dxa"/>
            <w:vMerge w:val="restart"/>
            <w:vAlign w:val="center"/>
          </w:tcPr>
          <w:p w:rsidR="00CF71AF" w:rsidRPr="00FE5489" w:rsidRDefault="00CF71AF" w:rsidP="00FE5489">
            <w:pPr>
              <w:spacing w:before="20" w:after="20" w:line="240" w:lineRule="auto"/>
              <w:jc w:val="center"/>
              <w:rPr>
                <w:sz w:val="18"/>
              </w:rPr>
            </w:pPr>
            <w:r w:rsidRPr="00FE5489">
              <w:rPr>
                <w:sz w:val="18"/>
              </w:rPr>
              <w:t>no symbol</w:t>
            </w:r>
          </w:p>
        </w:tc>
        <w:tc>
          <w:tcPr>
            <w:tcW w:w="8574" w:type="dxa"/>
          </w:tcPr>
          <w:p w:rsidR="00CF71AF" w:rsidRPr="00FE5489" w:rsidRDefault="00CF71AF" w:rsidP="00FE5489">
            <w:pPr>
              <w:spacing w:before="20" w:after="20" w:line="240" w:lineRule="auto"/>
              <w:rPr>
                <w:sz w:val="20"/>
              </w:rPr>
            </w:pPr>
            <w:r w:rsidRPr="00FE5489">
              <w:rPr>
                <w:sz w:val="20"/>
              </w:rPr>
              <w:t>Plain text indicates teacher action.</w:t>
            </w:r>
          </w:p>
        </w:tc>
      </w:tr>
      <w:tr w:rsidR="00CF71AF" w:rsidRPr="000D6FA4" w:rsidTr="00FE5489">
        <w:tc>
          <w:tcPr>
            <w:tcW w:w="894" w:type="dxa"/>
            <w:vMerge/>
          </w:tcPr>
          <w:p w:rsidR="00CF71AF" w:rsidRPr="00FE5489" w:rsidRDefault="00CF71AF" w:rsidP="00FE5489">
            <w:pPr>
              <w:spacing w:before="20" w:after="20" w:line="240" w:lineRule="auto"/>
              <w:jc w:val="center"/>
              <w:rPr>
                <w:b/>
                <w:color w:val="000000"/>
                <w:sz w:val="20"/>
              </w:rPr>
            </w:pPr>
          </w:p>
        </w:tc>
        <w:tc>
          <w:tcPr>
            <w:tcW w:w="8574" w:type="dxa"/>
          </w:tcPr>
          <w:p w:rsidR="00CF71AF" w:rsidRPr="00FE5489" w:rsidRDefault="00CF71AF" w:rsidP="00FE5489">
            <w:pPr>
              <w:spacing w:before="20" w:after="20" w:line="240" w:lineRule="auto"/>
              <w:rPr>
                <w:color w:val="4F81BD"/>
                <w:sz w:val="20"/>
              </w:rPr>
            </w:pPr>
            <w:r w:rsidRPr="00FE5489">
              <w:rPr>
                <w:b/>
                <w:sz w:val="20"/>
              </w:rPr>
              <w:t xml:space="preserve">Bold text indicates </w:t>
            </w:r>
            <w:r w:rsidR="003634BA" w:rsidRPr="003634BA">
              <w:rPr>
                <w:b/>
                <w:sz w:val="20"/>
              </w:rPr>
              <w:t>questions for the teacher to ask students</w:t>
            </w:r>
            <w:r w:rsidRPr="00FE5489">
              <w:rPr>
                <w:b/>
                <w:sz w:val="20"/>
              </w:rPr>
              <w:t>.</w:t>
            </w:r>
          </w:p>
        </w:tc>
      </w:tr>
      <w:tr w:rsidR="00CF71AF" w:rsidRPr="000D6FA4" w:rsidTr="00FE5489">
        <w:tc>
          <w:tcPr>
            <w:tcW w:w="894" w:type="dxa"/>
            <w:vMerge/>
          </w:tcPr>
          <w:p w:rsidR="00CF71AF" w:rsidRPr="00FE5489" w:rsidRDefault="00CF71AF" w:rsidP="00FE5489">
            <w:pPr>
              <w:spacing w:before="20" w:after="20" w:line="240" w:lineRule="auto"/>
              <w:jc w:val="center"/>
              <w:rPr>
                <w:b/>
                <w:color w:val="000000"/>
                <w:sz w:val="20"/>
              </w:rPr>
            </w:pPr>
          </w:p>
        </w:tc>
        <w:tc>
          <w:tcPr>
            <w:tcW w:w="8574" w:type="dxa"/>
          </w:tcPr>
          <w:p w:rsidR="00CF71AF" w:rsidRPr="00FE5489" w:rsidRDefault="00CF71AF" w:rsidP="00FE5489">
            <w:pPr>
              <w:spacing w:before="20" w:after="20" w:line="240" w:lineRule="auto"/>
              <w:rPr>
                <w:i/>
                <w:sz w:val="20"/>
              </w:rPr>
            </w:pPr>
            <w:r w:rsidRPr="00FE5489">
              <w:rPr>
                <w:i/>
                <w:sz w:val="20"/>
              </w:rPr>
              <w:t>Italicized text indicates a vocabulary word.</w:t>
            </w:r>
          </w:p>
        </w:tc>
      </w:tr>
      <w:tr w:rsidR="00CF71AF" w:rsidRPr="000D6FA4" w:rsidTr="00FE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F71AF" w:rsidRPr="00FE5489" w:rsidRDefault="00CF71AF" w:rsidP="00FE5489">
            <w:pPr>
              <w:spacing w:before="40" w:after="0" w:line="240" w:lineRule="auto"/>
              <w:jc w:val="center"/>
              <w:rPr>
                <w:sz w:val="20"/>
              </w:rPr>
            </w:pPr>
            <w:r w:rsidRPr="00FE5489">
              <w:sym w:font="Webdings" w:char="F034"/>
            </w:r>
          </w:p>
        </w:tc>
        <w:tc>
          <w:tcPr>
            <w:tcW w:w="8574" w:type="dxa"/>
          </w:tcPr>
          <w:p w:rsidR="00CF71AF" w:rsidRPr="00FE5489" w:rsidRDefault="00CF71AF" w:rsidP="00FE5489">
            <w:pPr>
              <w:spacing w:before="20" w:after="20" w:line="240" w:lineRule="auto"/>
              <w:rPr>
                <w:sz w:val="20"/>
              </w:rPr>
            </w:pPr>
            <w:proofErr w:type="gramStart"/>
            <w:r w:rsidRPr="00FE5489">
              <w:rPr>
                <w:sz w:val="20"/>
              </w:rPr>
              <w:t>Indicates student action(s).</w:t>
            </w:r>
            <w:proofErr w:type="gramEnd"/>
          </w:p>
        </w:tc>
      </w:tr>
      <w:tr w:rsidR="00CF71AF" w:rsidRPr="000D6FA4" w:rsidTr="00FE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F71AF" w:rsidRPr="00FE5489" w:rsidRDefault="00CF71AF" w:rsidP="00FE5489">
            <w:pPr>
              <w:spacing w:before="80" w:after="0" w:line="240" w:lineRule="auto"/>
              <w:jc w:val="center"/>
              <w:rPr>
                <w:sz w:val="20"/>
              </w:rPr>
            </w:pPr>
            <w:r w:rsidRPr="00FE5489">
              <w:rPr>
                <w:sz w:val="20"/>
                <w:szCs w:val="20"/>
              </w:rPr>
              <w:sym w:font="Webdings" w:char="F028"/>
            </w:r>
          </w:p>
        </w:tc>
        <w:tc>
          <w:tcPr>
            <w:tcW w:w="8574" w:type="dxa"/>
          </w:tcPr>
          <w:p w:rsidR="00CF71AF" w:rsidRPr="00FE5489" w:rsidRDefault="00CF71AF" w:rsidP="00FE5489">
            <w:pPr>
              <w:spacing w:before="20" w:after="20" w:line="240" w:lineRule="auto"/>
              <w:rPr>
                <w:sz w:val="20"/>
              </w:rPr>
            </w:pPr>
            <w:proofErr w:type="gramStart"/>
            <w:r w:rsidRPr="00FE5489">
              <w:rPr>
                <w:sz w:val="20"/>
              </w:rPr>
              <w:t>Indicates possible student response(s) to teacher questions.</w:t>
            </w:r>
            <w:proofErr w:type="gramEnd"/>
          </w:p>
        </w:tc>
      </w:tr>
      <w:tr w:rsidR="00CF71AF" w:rsidRPr="000D6FA4" w:rsidTr="00FE5489">
        <w:tc>
          <w:tcPr>
            <w:tcW w:w="894" w:type="dxa"/>
            <w:vAlign w:val="bottom"/>
          </w:tcPr>
          <w:p w:rsidR="00CF71AF" w:rsidRPr="00FE5489" w:rsidRDefault="00CF71AF" w:rsidP="00FE5489">
            <w:pPr>
              <w:spacing w:after="0" w:line="240" w:lineRule="auto"/>
              <w:jc w:val="center"/>
              <w:rPr>
                <w:color w:val="4F81BD"/>
                <w:sz w:val="20"/>
              </w:rPr>
            </w:pPr>
            <w:r w:rsidRPr="00FE5489">
              <w:rPr>
                <w:color w:val="4F81BD"/>
                <w:sz w:val="20"/>
                <w:szCs w:val="20"/>
              </w:rPr>
              <w:sym w:font="Webdings" w:char="F069"/>
            </w:r>
          </w:p>
        </w:tc>
        <w:tc>
          <w:tcPr>
            <w:tcW w:w="8574" w:type="dxa"/>
          </w:tcPr>
          <w:p w:rsidR="00CF71AF" w:rsidRPr="00FE5489" w:rsidRDefault="00CF71AF" w:rsidP="00FE5489">
            <w:pPr>
              <w:spacing w:before="20" w:after="20" w:line="240" w:lineRule="auto"/>
              <w:rPr>
                <w:color w:val="4F81BD"/>
                <w:sz w:val="20"/>
              </w:rPr>
            </w:pPr>
            <w:proofErr w:type="gramStart"/>
            <w:r w:rsidRPr="00FE5489">
              <w:rPr>
                <w:color w:val="4F81BD"/>
                <w:sz w:val="20"/>
              </w:rPr>
              <w:t>Indicates instructional notes for the teacher.</w:t>
            </w:r>
            <w:proofErr w:type="gramEnd"/>
          </w:p>
        </w:tc>
      </w:tr>
    </w:tbl>
    <w:p w:rsidR="00CF71AF" w:rsidRPr="00A24DAB" w:rsidRDefault="00CF71AF" w:rsidP="00CE2836">
      <w:pPr>
        <w:pStyle w:val="LearningSequenceHeader"/>
      </w:pPr>
      <w:r w:rsidRPr="00A24DAB">
        <w:t>Activity 1: Introduction of Lesson Agenda</w:t>
      </w:r>
      <w:r w:rsidRPr="00A24DAB">
        <w:tab/>
        <w:t>5%</w:t>
      </w:r>
    </w:p>
    <w:p w:rsidR="00CF71AF" w:rsidRDefault="00CF71AF" w:rsidP="00A724E5">
      <w:pPr>
        <w:pStyle w:val="TA"/>
      </w:pPr>
      <w:r w:rsidRPr="00540AF7">
        <w:t>Begin</w:t>
      </w:r>
      <w:r>
        <w:t xml:space="preserve"> by reviewing the agenda and assessed standards for this lesson: RL.11-12.2</w:t>
      </w:r>
      <w:r w:rsidR="005B7722">
        <w:t xml:space="preserve"> and </w:t>
      </w:r>
      <w:r>
        <w:t>L.11-12.</w:t>
      </w:r>
      <w:r w:rsidR="00BB2E42">
        <w:t>5</w:t>
      </w:r>
      <w:r>
        <w:t xml:space="preserve">. </w:t>
      </w:r>
      <w:proofErr w:type="gramStart"/>
      <w:r w:rsidR="004D2C5C">
        <w:t>In this lesson, s</w:t>
      </w:r>
      <w:r>
        <w:t>tudents work</w:t>
      </w:r>
      <w:r w:rsidR="004D2C5C">
        <w:t xml:space="preserve"> in</w:t>
      </w:r>
      <w:r>
        <w:t xml:space="preserve"> pairs to gather evidence about central ideas but will not engage in multi-paragraph writing until the next lesson</w:t>
      </w:r>
      <w:r w:rsidR="004D2C5C">
        <w:t xml:space="preserve"> (11.1.2 Lesson 25)</w:t>
      </w:r>
      <w:r>
        <w:t>.</w:t>
      </w:r>
      <w:proofErr w:type="gramEnd"/>
    </w:p>
    <w:p w:rsidR="00CF71AF" w:rsidRDefault="00CF71AF" w:rsidP="00A724E5">
      <w:pPr>
        <w:pStyle w:val="SA"/>
      </w:pPr>
      <w:r>
        <w:t>Students look at the agenda.</w:t>
      </w:r>
    </w:p>
    <w:p w:rsidR="00CF71AF" w:rsidRPr="001055AA" w:rsidRDefault="00273A32" w:rsidP="00C61F6B">
      <w:pPr>
        <w:pStyle w:val="TA"/>
      </w:pPr>
      <w:r>
        <w:t xml:space="preserve">Inform students that these standards </w:t>
      </w:r>
      <w:proofErr w:type="gramStart"/>
      <w:r>
        <w:t>will be assessed</w:t>
      </w:r>
      <w:proofErr w:type="gramEnd"/>
      <w:r>
        <w:t xml:space="preserve"> in the next lesson’s End-of-Unit Assessment written analysis: RL.11-12.2, W.11-12.2.</w:t>
      </w:r>
      <w:r w:rsidR="00C06CFF">
        <w:t>a-f, L.11-12.1, and L.11-12.2.</w:t>
      </w:r>
      <w:r>
        <w:t xml:space="preserve"> </w:t>
      </w:r>
      <w:r w:rsidR="00CF71AF">
        <w:t>Remind</w:t>
      </w:r>
      <w:r w:rsidR="00CF71AF" w:rsidRPr="001055AA">
        <w:t xml:space="preserve"> students of their work with standard</w:t>
      </w:r>
      <w:r w:rsidR="00CF71AF">
        <w:t>s in earlier lessons</w:t>
      </w:r>
      <w:r w:rsidR="00FF6E26">
        <w:t xml:space="preserve"> of </w:t>
      </w:r>
      <w:r>
        <w:t>this unit</w:t>
      </w:r>
      <w:r w:rsidR="00CF71AF">
        <w:t>.</w:t>
      </w:r>
    </w:p>
    <w:p w:rsidR="00CF71AF" w:rsidRPr="00A724E5" w:rsidRDefault="00CF71AF" w:rsidP="00BF78C7">
      <w:pPr>
        <w:pStyle w:val="IN"/>
        <w:ind w:left="720"/>
      </w:pPr>
      <w:r w:rsidRPr="001055AA">
        <w:t xml:space="preserve">Consider reviewing the </w:t>
      </w:r>
      <w:r>
        <w:t>11.1</w:t>
      </w:r>
      <w:r w:rsidRPr="001055AA">
        <w:t xml:space="preserve"> Common Core Learning Standards Tool, so that students may re</w:t>
      </w:r>
      <w:r>
        <w:t>-</w:t>
      </w:r>
      <w:r w:rsidRPr="001055AA">
        <w:t>familiarize themselves with the expectations of these standards</w:t>
      </w:r>
      <w:r>
        <w:t xml:space="preserve">. </w:t>
      </w:r>
      <w:r w:rsidRPr="001055AA">
        <w:t>Allow opportunity for students to pose questions.</w:t>
      </w:r>
    </w:p>
    <w:p w:rsidR="00CF71AF" w:rsidRDefault="00CF71AF" w:rsidP="00CE2836">
      <w:pPr>
        <w:pStyle w:val="LearningSequenceHeader"/>
      </w:pPr>
      <w:r>
        <w:lastRenderedPageBreak/>
        <w:t>Activity 2</w:t>
      </w:r>
      <w:r w:rsidRPr="000B2D56">
        <w:t xml:space="preserve">: </w:t>
      </w:r>
      <w:r>
        <w:t>Homework Accountability</w:t>
      </w:r>
      <w:r>
        <w:tab/>
        <w:t>10</w:t>
      </w:r>
      <w:r w:rsidRPr="000B2D56">
        <w:t>%</w:t>
      </w:r>
    </w:p>
    <w:p w:rsidR="00C66ECF" w:rsidRPr="00427129" w:rsidRDefault="00C66ECF" w:rsidP="00C66ECF">
      <w:pPr>
        <w:pStyle w:val="TA"/>
      </w:pPr>
      <w:r w:rsidRPr="00E51822">
        <w:t xml:space="preserve">Instruct students to </w:t>
      </w:r>
      <w:r>
        <w:t>talk in pairs about how they applied their focus standard, RL.11-12.5</w:t>
      </w:r>
      <w:r w:rsidRPr="00E51822">
        <w:t>, to their text. Lead a brief share out on the previous lesson’s</w:t>
      </w:r>
      <w:r w:rsidR="004D2C5C">
        <w:t xml:space="preserve"> </w:t>
      </w:r>
      <w:r>
        <w:t>Accountable Independent Reading (</w:t>
      </w:r>
      <w:r w:rsidRPr="00E51822">
        <w:t>AIR</w:t>
      </w:r>
      <w:r>
        <w:t>)</w:t>
      </w:r>
      <w:r w:rsidR="00DC1251">
        <w:t xml:space="preserve"> homework assignment. </w:t>
      </w:r>
      <w:r w:rsidRPr="00E51822">
        <w:t>Select several students (or student pairs) to explain how they applied their focus standard to their AIR text.</w:t>
      </w:r>
    </w:p>
    <w:p w:rsidR="00C66ECF" w:rsidRDefault="00C66ECF" w:rsidP="00C61F6B">
      <w:pPr>
        <w:pStyle w:val="SA"/>
      </w:pPr>
      <w:r>
        <w:t xml:space="preserve">Students (or student pairs) </w:t>
      </w:r>
      <w:r w:rsidRPr="00E51822">
        <w:t>discuss and share how they applied their focus standard</w:t>
      </w:r>
      <w:r>
        <w:t xml:space="preserve"> (RL.11-12.5) to their AIR text from the previous lesson’s homework.</w:t>
      </w:r>
    </w:p>
    <w:p w:rsidR="00CF71AF" w:rsidRPr="003B762D" w:rsidRDefault="00CF71AF" w:rsidP="00C61F6B">
      <w:pPr>
        <w:pStyle w:val="TA"/>
      </w:pPr>
      <w:r w:rsidRPr="003B762D">
        <w:t>Instruct students to talk in pairs about how they revised and expanded their notes</w:t>
      </w:r>
      <w:r>
        <w:t xml:space="preserve"> in preparation for the End-of-Unit Assessment</w:t>
      </w:r>
      <w:r w:rsidRPr="003B762D">
        <w:t xml:space="preserve">. Select several students (or student pairs) to explain how they selected new evidence and expanded their </w:t>
      </w:r>
      <w:r>
        <w:t>notes</w:t>
      </w:r>
      <w:r w:rsidRPr="003B762D">
        <w:t>.</w:t>
      </w:r>
    </w:p>
    <w:p w:rsidR="00CF71AF" w:rsidRPr="000B2D56" w:rsidRDefault="00CF71AF" w:rsidP="000B2D56">
      <w:pPr>
        <w:pStyle w:val="SA"/>
      </w:pPr>
      <w:r w:rsidRPr="003B762D">
        <w:t>Student pairs discuss examples of evidence they selected to expand and revise their notes.</w:t>
      </w:r>
    </w:p>
    <w:p w:rsidR="00CF71AF" w:rsidRDefault="00CF71AF" w:rsidP="00CE2836">
      <w:pPr>
        <w:pStyle w:val="LearningSequenceHeader"/>
      </w:pPr>
      <w:r w:rsidRPr="000B2D56">
        <w:t xml:space="preserve">Activity </w:t>
      </w:r>
      <w:r>
        <w:t>3</w:t>
      </w:r>
      <w:r w:rsidRPr="000B2D56">
        <w:t xml:space="preserve">: </w:t>
      </w:r>
      <w:r>
        <w:t>Evidence Gathering</w:t>
      </w:r>
      <w:r>
        <w:tab/>
        <w:t>55</w:t>
      </w:r>
      <w:r w:rsidRPr="000B2D56">
        <w:t>%</w:t>
      </w:r>
    </w:p>
    <w:p w:rsidR="00CF71AF" w:rsidRDefault="00CF71AF" w:rsidP="00707670">
      <w:pPr>
        <w:pStyle w:val="TA"/>
      </w:pPr>
      <w:r>
        <w:t>Instruct student</w:t>
      </w:r>
      <w:r w:rsidR="005817F3">
        <w:t>s</w:t>
      </w:r>
      <w:r>
        <w:t xml:space="preserve"> to work in small groups to collect evidence about how central ideas interact and build </w:t>
      </w:r>
      <w:r w:rsidR="009850CF">
        <w:t>up</w:t>
      </w:r>
      <w:r>
        <w:t>on one another</w:t>
      </w:r>
      <w:r w:rsidR="009850CF">
        <w:t>,</w:t>
      </w:r>
      <w:r>
        <w:t xml:space="preserve"> using the Central Idea Evidence Collection Tool. Explain that student</w:t>
      </w:r>
      <w:r w:rsidR="005817F3">
        <w:t>s</w:t>
      </w:r>
      <w:r>
        <w:t xml:space="preserve"> may choose to focus </w:t>
      </w:r>
      <w:r w:rsidR="005817F3">
        <w:t xml:space="preserve">on </w:t>
      </w:r>
      <w:r>
        <w:t>different central ideas, but they should still work collaboratively.</w:t>
      </w:r>
    </w:p>
    <w:p w:rsidR="00CF71AF" w:rsidRDefault="00CF71AF" w:rsidP="004D2C5C">
      <w:pPr>
        <w:pStyle w:val="TA"/>
      </w:pPr>
      <w:r>
        <w:t>Encourage students to use evidence from the text and their annotations to complete the Central Idea Evidence Collection Tool with the evidence that best supports their</w:t>
      </w:r>
      <w:r w:rsidR="005817F3">
        <w:t xml:space="preserve"> analysis. Remind students </w:t>
      </w:r>
      <w:r>
        <w:t>to confer with their groups to discuss their analysis.</w:t>
      </w:r>
    </w:p>
    <w:p w:rsidR="00CF71AF" w:rsidRDefault="00CF71AF" w:rsidP="00575C24">
      <w:pPr>
        <w:pStyle w:val="SA"/>
      </w:pPr>
      <w:r>
        <w:t>Students work collaboratively to gather evidence on the Central Idea Evidence Collection Tool</w:t>
      </w:r>
      <w:r w:rsidR="009850CF">
        <w:t>.</w:t>
      </w:r>
    </w:p>
    <w:p w:rsidR="005B7722" w:rsidRDefault="005B7722" w:rsidP="005B7722">
      <w:pPr>
        <w:pStyle w:val="SA"/>
        <w:numPr>
          <w:ilvl w:val="0"/>
          <w:numId w:val="0"/>
        </w:numPr>
      </w:pPr>
    </w:p>
    <w:p w:rsidR="00CF71AF" w:rsidRDefault="00CF71AF" w:rsidP="00707670">
      <w:pPr>
        <w:pStyle w:val="LearningSequenceHeader"/>
      </w:pPr>
      <w:r>
        <w:t>Activity 4: Class Discussion</w:t>
      </w:r>
      <w:r>
        <w:tab/>
        <w:t>25</w:t>
      </w:r>
      <w:r w:rsidRPr="00707670">
        <w:t>%</w:t>
      </w:r>
    </w:p>
    <w:p w:rsidR="00CF71AF" w:rsidRDefault="00CF71AF" w:rsidP="00C61F6B">
      <w:pPr>
        <w:pStyle w:val="TA"/>
      </w:pPr>
      <w:r>
        <w:t>Transition students to a whole</w:t>
      </w:r>
      <w:r w:rsidR="009850CF">
        <w:t>-</w:t>
      </w:r>
      <w:r>
        <w:t>class discussion about the central ideas and the evidence students collected to support their analysis. Invite each group to share one central idea and the evidence they collected related to the development of that central idea.</w:t>
      </w:r>
    </w:p>
    <w:p w:rsidR="00CF71AF" w:rsidRDefault="00CF71AF" w:rsidP="00575C24">
      <w:pPr>
        <w:pStyle w:val="SA"/>
      </w:pPr>
      <w:r>
        <w:t xml:space="preserve">Each group shares one </w:t>
      </w:r>
      <w:r w:rsidR="00BF1ADB">
        <w:t xml:space="preserve">of their </w:t>
      </w:r>
      <w:r>
        <w:t>central idea</w:t>
      </w:r>
      <w:r w:rsidR="00BF1ADB">
        <w:t>s</w:t>
      </w:r>
      <w:r>
        <w:t xml:space="preserve"> and the evidence</w:t>
      </w:r>
      <w:r w:rsidR="009850CF">
        <w:t xml:space="preserve"> </w:t>
      </w:r>
      <w:r w:rsidR="00BF1ADB">
        <w:t>the group</w:t>
      </w:r>
      <w:r>
        <w:t xml:space="preserve"> collected about the development of the central idea.</w:t>
      </w:r>
    </w:p>
    <w:p w:rsidR="00CF71AF" w:rsidRDefault="00CF71AF" w:rsidP="00575C24">
      <w:pPr>
        <w:pStyle w:val="SA"/>
        <w:numPr>
          <w:ilvl w:val="0"/>
          <w:numId w:val="0"/>
        </w:numPr>
      </w:pPr>
      <w:r>
        <w:lastRenderedPageBreak/>
        <w:t xml:space="preserve">Explain that students will use the evidence they gathered during this lesson to support </w:t>
      </w:r>
      <w:r w:rsidR="004D2C5C">
        <w:t xml:space="preserve">the writing they will do for </w:t>
      </w:r>
      <w:r>
        <w:t xml:space="preserve">their </w:t>
      </w:r>
      <w:r w:rsidR="004D2C5C">
        <w:t xml:space="preserve">multi-paragraph </w:t>
      </w:r>
      <w:r>
        <w:t xml:space="preserve">written </w:t>
      </w:r>
      <w:r w:rsidR="004D2C5C">
        <w:t>analysis</w:t>
      </w:r>
      <w:r>
        <w:t xml:space="preserve"> in the next lesson</w:t>
      </w:r>
      <w:r w:rsidR="004D2C5C">
        <w:t xml:space="preserve"> (11.1.2 Lesson 25)</w:t>
      </w:r>
      <w:r>
        <w:t xml:space="preserve">. Share the following End-of-Unit </w:t>
      </w:r>
      <w:r w:rsidR="009C5E4B">
        <w:t xml:space="preserve">Assessment </w:t>
      </w:r>
      <w:r>
        <w:t>prompt with students:</w:t>
      </w:r>
    </w:p>
    <w:p w:rsidR="00CF71AF" w:rsidRDefault="00CF71AF" w:rsidP="00BF1ADB">
      <w:pPr>
        <w:pStyle w:val="Q"/>
        <w:rPr>
          <w:bCs/>
        </w:rPr>
      </w:pPr>
      <w:r w:rsidRPr="00DC1251">
        <w:t>Identify two central ideas from the play. How do these ideas interact and build on one another over the course of the play? In your response, identify and discuss at least one literary device that Shakespeare uses to develop or relate these central ideas</w:t>
      </w:r>
      <w:r w:rsidRPr="00575C24">
        <w:rPr>
          <w:bCs/>
        </w:rPr>
        <w:t>.</w:t>
      </w:r>
    </w:p>
    <w:p w:rsidR="00CF71AF" w:rsidRPr="00575C24" w:rsidRDefault="00CF71AF" w:rsidP="00C64E5B">
      <w:pPr>
        <w:pStyle w:val="SA"/>
      </w:pPr>
      <w:r>
        <w:t>Students listen.</w:t>
      </w:r>
    </w:p>
    <w:p w:rsidR="00CF71AF" w:rsidRDefault="00CF71AF" w:rsidP="00C61F6B">
      <w:pPr>
        <w:pStyle w:val="IN"/>
      </w:pPr>
      <w:r w:rsidRPr="00AB5B0C">
        <w:t>Display the prompt for students to see, or provide the prompt in hard copy.</w:t>
      </w:r>
    </w:p>
    <w:p w:rsidR="00513B61" w:rsidRDefault="00CA4D5D" w:rsidP="00C61F6B">
      <w:pPr>
        <w:pStyle w:val="IN"/>
      </w:pPr>
      <w:r w:rsidRPr="00BF1ADB">
        <w:rPr>
          <w:b/>
        </w:rPr>
        <w:t>Differentiation Consideration</w:t>
      </w:r>
      <w:r>
        <w:t xml:space="preserve">: </w:t>
      </w:r>
      <w:r w:rsidR="00513B61">
        <w:t xml:space="preserve">Consider reviewing the wording of the prompt if students need additional support to understand what </w:t>
      </w:r>
      <w:r>
        <w:t xml:space="preserve">the </w:t>
      </w:r>
      <w:r w:rsidR="00513B61">
        <w:t>prompt requires.</w:t>
      </w:r>
    </w:p>
    <w:p w:rsidR="00CF71AF" w:rsidRPr="00563CB8" w:rsidRDefault="00CF71AF" w:rsidP="00CE2836">
      <w:pPr>
        <w:pStyle w:val="LearningSequenceHeader"/>
      </w:pPr>
      <w:r>
        <w:t>Activity 5</w:t>
      </w:r>
      <w:r w:rsidRPr="00563CB8">
        <w:t xml:space="preserve">: </w:t>
      </w:r>
      <w:r>
        <w:t>Closing</w:t>
      </w:r>
      <w:r w:rsidRPr="00563CB8">
        <w:tab/>
      </w:r>
      <w:r>
        <w:t>5</w:t>
      </w:r>
      <w:r w:rsidRPr="00563CB8">
        <w:t>%</w:t>
      </w:r>
    </w:p>
    <w:p w:rsidR="00CF71AF" w:rsidRDefault="00A06FAF" w:rsidP="00C61F6B">
      <w:pPr>
        <w:pStyle w:val="TA"/>
      </w:pPr>
      <w:r>
        <w:t xml:space="preserve">Display and distribute the homework assignment. </w:t>
      </w:r>
      <w:r w:rsidR="00CF71AF">
        <w:t>For homework, instruct students to review</w:t>
      </w:r>
      <w:r w:rsidR="00513B61">
        <w:t xml:space="preserve"> and synthesize</w:t>
      </w:r>
      <w:r w:rsidR="00CF71AF">
        <w:t xml:space="preserve"> the evidence they collected on the Central Idea Evidence Collection Tool and consider how to respond to the End-of-Unit Assessment prompt.</w:t>
      </w:r>
    </w:p>
    <w:p w:rsidR="00CF71AF" w:rsidRDefault="00CF71AF" w:rsidP="00707670">
      <w:pPr>
        <w:pStyle w:val="SA"/>
      </w:pPr>
      <w:r>
        <w:t>Students follow along.</w:t>
      </w:r>
    </w:p>
    <w:p w:rsidR="00CF71AF" w:rsidRDefault="00CF71AF" w:rsidP="00E946A0">
      <w:pPr>
        <w:pStyle w:val="Heading1"/>
      </w:pPr>
      <w:r>
        <w:t>Homework</w:t>
      </w:r>
    </w:p>
    <w:p w:rsidR="00CF71AF" w:rsidRDefault="00CF71AF" w:rsidP="00C61F6B">
      <w:r>
        <w:t>Review</w:t>
      </w:r>
      <w:r w:rsidR="00E72F5F">
        <w:t xml:space="preserve"> and synthesize</w:t>
      </w:r>
      <w:r>
        <w:t xml:space="preserve"> the evidence you collected on the Central Idea Evidence Collection Tool and consider how to respond to the End-of-Unit Assessment prompt</w:t>
      </w:r>
      <w:r w:rsidR="00BF1ADB">
        <w:t>:</w:t>
      </w:r>
    </w:p>
    <w:p w:rsidR="00BF1ADB" w:rsidRDefault="00BF1ADB" w:rsidP="00BF1ADB">
      <w:pPr>
        <w:pStyle w:val="Q"/>
        <w:rPr>
          <w:bCs/>
        </w:rPr>
      </w:pPr>
      <w:r w:rsidRPr="00DC1251">
        <w:t>Identify two central ideas from the play. How do these ideas interact and build on one another over the course of the play? In your response, identify and discuss at least one literary device that Shakespeare uses to develop or relate these central ideas</w:t>
      </w:r>
      <w:r w:rsidRPr="00575C24">
        <w:rPr>
          <w:bCs/>
        </w:rPr>
        <w:t>.</w:t>
      </w:r>
    </w:p>
    <w:p w:rsidR="00BF1ADB" w:rsidRDefault="00BF1ADB" w:rsidP="00C61F6B"/>
    <w:p w:rsidR="00BF1ADB" w:rsidRDefault="00BF1ADB" w:rsidP="00C61F6B">
      <w:pPr>
        <w:rPr>
          <w:i/>
        </w:rPr>
        <w:sectPr w:rsidR="00BF1ADB"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CF71AF" w:rsidRDefault="00CF71AF" w:rsidP="00C61F6B">
      <w:r w:rsidRPr="00CA5055">
        <w:rPr>
          <w:rStyle w:val="Heading1Char"/>
          <w:bCs/>
          <w:sz w:val="32"/>
          <w:szCs w:val="28"/>
        </w:rPr>
        <w:lastRenderedPageBreak/>
        <w:t xml:space="preserve">Central Idea Evidence </w:t>
      </w:r>
      <w:r w:rsidR="00371260">
        <w:rPr>
          <w:rStyle w:val="Heading1Char"/>
          <w:bCs/>
          <w:sz w:val="32"/>
          <w:szCs w:val="28"/>
        </w:rPr>
        <w:t>Collection</w:t>
      </w:r>
      <w:r w:rsidRPr="00CA5055">
        <w:rPr>
          <w:rStyle w:val="Heading1Char"/>
          <w:bCs/>
          <w:sz w:val="32"/>
          <w:szCs w:val="28"/>
        </w:rPr>
        <w:t xml:space="preserve">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5040"/>
        <w:gridCol w:w="732"/>
        <w:gridCol w:w="4320"/>
        <w:gridCol w:w="720"/>
        <w:gridCol w:w="2736"/>
      </w:tblGrid>
      <w:tr w:rsidR="009122B3" w:rsidRPr="00707670" w:rsidTr="009122B3">
        <w:trPr>
          <w:trHeight w:val="557"/>
        </w:trPr>
        <w:tc>
          <w:tcPr>
            <w:tcW w:w="820" w:type="dxa"/>
            <w:shd w:val="clear" w:color="auto" w:fill="D9D9D9"/>
            <w:vAlign w:val="center"/>
          </w:tcPr>
          <w:p w:rsidR="00CF71AF" w:rsidRPr="00FE5489" w:rsidRDefault="00CF71AF" w:rsidP="00707670">
            <w:pPr>
              <w:pStyle w:val="TableText"/>
              <w:rPr>
                <w:b/>
              </w:rPr>
            </w:pPr>
            <w:r w:rsidRPr="00FE5489">
              <w:rPr>
                <w:b/>
              </w:rPr>
              <w:t>Name:</w:t>
            </w:r>
          </w:p>
        </w:tc>
        <w:tc>
          <w:tcPr>
            <w:tcW w:w="5040" w:type="dxa"/>
            <w:vAlign w:val="center"/>
          </w:tcPr>
          <w:p w:rsidR="00CF71AF" w:rsidRPr="00FE5489" w:rsidRDefault="00CF71AF" w:rsidP="00707670">
            <w:pPr>
              <w:pStyle w:val="TableText"/>
              <w:rPr>
                <w:b/>
              </w:rPr>
            </w:pPr>
          </w:p>
        </w:tc>
        <w:tc>
          <w:tcPr>
            <w:tcW w:w="732" w:type="dxa"/>
            <w:shd w:val="clear" w:color="auto" w:fill="D9D9D9"/>
            <w:vAlign w:val="center"/>
          </w:tcPr>
          <w:p w:rsidR="00CF71AF" w:rsidRPr="00FE5489" w:rsidRDefault="00CF71AF" w:rsidP="00707670">
            <w:pPr>
              <w:pStyle w:val="TableText"/>
              <w:rPr>
                <w:b/>
              </w:rPr>
            </w:pPr>
            <w:r w:rsidRPr="00FE5489">
              <w:rPr>
                <w:b/>
              </w:rPr>
              <w:t>Class:</w:t>
            </w:r>
          </w:p>
        </w:tc>
        <w:tc>
          <w:tcPr>
            <w:tcW w:w="4320" w:type="dxa"/>
            <w:vAlign w:val="center"/>
          </w:tcPr>
          <w:p w:rsidR="00CF71AF" w:rsidRPr="00FE5489" w:rsidRDefault="00CF71AF" w:rsidP="00707670">
            <w:pPr>
              <w:pStyle w:val="TableText"/>
              <w:rPr>
                <w:b/>
              </w:rPr>
            </w:pPr>
          </w:p>
        </w:tc>
        <w:tc>
          <w:tcPr>
            <w:tcW w:w="720" w:type="dxa"/>
            <w:shd w:val="clear" w:color="auto" w:fill="D9D9D9"/>
            <w:vAlign w:val="center"/>
          </w:tcPr>
          <w:p w:rsidR="00CF71AF" w:rsidRPr="00FE5489" w:rsidRDefault="00CF71AF" w:rsidP="00707670">
            <w:pPr>
              <w:pStyle w:val="TableText"/>
              <w:rPr>
                <w:b/>
              </w:rPr>
            </w:pPr>
            <w:r w:rsidRPr="00FE5489">
              <w:rPr>
                <w:b/>
              </w:rPr>
              <w:t>Date:</w:t>
            </w:r>
          </w:p>
        </w:tc>
        <w:tc>
          <w:tcPr>
            <w:tcW w:w="2736" w:type="dxa"/>
            <w:vAlign w:val="center"/>
          </w:tcPr>
          <w:p w:rsidR="00CF71AF" w:rsidRPr="00FE5489" w:rsidRDefault="00CF71AF" w:rsidP="00707670">
            <w:pPr>
              <w:pStyle w:val="TableText"/>
              <w:rPr>
                <w:b/>
              </w:rPr>
            </w:pPr>
          </w:p>
        </w:tc>
      </w:tr>
    </w:tbl>
    <w:p w:rsidR="00CF71AF" w:rsidRPr="00646088" w:rsidRDefault="00CF71AF" w:rsidP="00646088">
      <w:pPr>
        <w:spacing w:before="0" w:after="0"/>
        <w:rPr>
          <w:sz w:val="10"/>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2970"/>
        <w:gridCol w:w="3330"/>
        <w:gridCol w:w="3330"/>
        <w:gridCol w:w="3312"/>
      </w:tblGrid>
      <w:tr w:rsidR="009122B3" w:rsidRPr="00646088" w:rsidTr="002473AF">
        <w:trPr>
          <w:trHeight w:val="710"/>
        </w:trPr>
        <w:tc>
          <w:tcPr>
            <w:tcW w:w="1458" w:type="dxa"/>
            <w:shd w:val="clear" w:color="auto" w:fill="D9D9D9" w:themeFill="background1" w:themeFillShade="D9"/>
          </w:tcPr>
          <w:p w:rsidR="00CF71AF" w:rsidRPr="00FE5489" w:rsidRDefault="00CF71AF" w:rsidP="009122B3">
            <w:pPr>
              <w:pStyle w:val="ToolTableText"/>
            </w:pPr>
          </w:p>
        </w:tc>
        <w:tc>
          <w:tcPr>
            <w:tcW w:w="2970" w:type="dxa"/>
            <w:shd w:val="clear" w:color="auto" w:fill="D9D9D9" w:themeFill="background1" w:themeFillShade="D9"/>
          </w:tcPr>
          <w:p w:rsidR="00CF71AF" w:rsidRPr="002473AF" w:rsidRDefault="00CF71AF" w:rsidP="002473AF">
            <w:pPr>
              <w:pStyle w:val="ToolTableText"/>
              <w:rPr>
                <w:b/>
                <w:sz w:val="24"/>
                <w:szCs w:val="24"/>
              </w:rPr>
            </w:pPr>
            <w:r w:rsidRPr="002473AF">
              <w:rPr>
                <w:b/>
                <w:sz w:val="24"/>
                <w:szCs w:val="24"/>
              </w:rPr>
              <w:t>Central Idea #1</w:t>
            </w:r>
          </w:p>
          <w:p w:rsidR="00CF71AF" w:rsidRPr="002473AF" w:rsidRDefault="009122B3" w:rsidP="002473AF">
            <w:pPr>
              <w:pStyle w:val="ToolTableText"/>
              <w:spacing w:before="0"/>
              <w:rPr>
                <w:b/>
                <w:sz w:val="24"/>
                <w:szCs w:val="24"/>
              </w:rPr>
            </w:pPr>
            <w:r w:rsidRPr="002473AF">
              <w:rPr>
                <w:b/>
                <w:sz w:val="24"/>
                <w:szCs w:val="24"/>
              </w:rPr>
              <w:t>_______________________</w:t>
            </w:r>
          </w:p>
        </w:tc>
        <w:tc>
          <w:tcPr>
            <w:tcW w:w="3330" w:type="dxa"/>
            <w:shd w:val="clear" w:color="auto" w:fill="D9D9D9" w:themeFill="background1" w:themeFillShade="D9"/>
          </w:tcPr>
          <w:p w:rsidR="00CF71AF" w:rsidRPr="009122B3" w:rsidRDefault="00CF71AF" w:rsidP="002473AF">
            <w:pPr>
              <w:pStyle w:val="ToolTableText"/>
              <w:rPr>
                <w:b/>
                <w:sz w:val="24"/>
                <w:szCs w:val="24"/>
              </w:rPr>
            </w:pPr>
            <w:r w:rsidRPr="009122B3">
              <w:rPr>
                <w:b/>
                <w:sz w:val="24"/>
                <w:szCs w:val="24"/>
              </w:rPr>
              <w:t>Central Idea #2</w:t>
            </w:r>
          </w:p>
          <w:p w:rsidR="00CF71AF" w:rsidRPr="009122B3" w:rsidRDefault="009122B3" w:rsidP="002473AF">
            <w:pPr>
              <w:pStyle w:val="ToolTableText"/>
              <w:rPr>
                <w:b/>
                <w:sz w:val="24"/>
                <w:szCs w:val="24"/>
              </w:rPr>
            </w:pPr>
            <w:r w:rsidRPr="009122B3">
              <w:rPr>
                <w:b/>
                <w:sz w:val="24"/>
                <w:szCs w:val="24"/>
              </w:rPr>
              <w:t>_________________________</w:t>
            </w:r>
          </w:p>
        </w:tc>
        <w:tc>
          <w:tcPr>
            <w:tcW w:w="3330" w:type="dxa"/>
            <w:shd w:val="clear" w:color="auto" w:fill="D9D9D9" w:themeFill="background1" w:themeFillShade="D9"/>
          </w:tcPr>
          <w:p w:rsidR="00CF71AF" w:rsidRPr="009122B3" w:rsidRDefault="00CF71AF" w:rsidP="002473AF">
            <w:pPr>
              <w:pStyle w:val="ToolTableText"/>
              <w:rPr>
                <w:b/>
                <w:sz w:val="24"/>
                <w:szCs w:val="24"/>
              </w:rPr>
            </w:pPr>
            <w:r w:rsidRPr="009122B3">
              <w:rPr>
                <w:b/>
                <w:sz w:val="24"/>
                <w:szCs w:val="24"/>
              </w:rPr>
              <w:t>Central Idea #3</w:t>
            </w:r>
          </w:p>
          <w:p w:rsidR="00CF71AF" w:rsidRPr="009122B3" w:rsidRDefault="009122B3" w:rsidP="002473AF">
            <w:pPr>
              <w:pStyle w:val="ToolTableText"/>
              <w:rPr>
                <w:b/>
                <w:sz w:val="24"/>
                <w:szCs w:val="24"/>
              </w:rPr>
            </w:pPr>
            <w:r w:rsidRPr="009122B3">
              <w:rPr>
                <w:b/>
                <w:sz w:val="24"/>
                <w:szCs w:val="24"/>
              </w:rPr>
              <w:t>_________________________</w:t>
            </w:r>
          </w:p>
        </w:tc>
        <w:tc>
          <w:tcPr>
            <w:tcW w:w="3312" w:type="dxa"/>
            <w:shd w:val="clear" w:color="auto" w:fill="D9D9D9" w:themeFill="background1" w:themeFillShade="D9"/>
          </w:tcPr>
          <w:p w:rsidR="00CF71AF" w:rsidRPr="009122B3" w:rsidRDefault="00CF71AF" w:rsidP="002473AF">
            <w:pPr>
              <w:pStyle w:val="ToolTableText"/>
              <w:rPr>
                <w:b/>
                <w:sz w:val="24"/>
                <w:szCs w:val="24"/>
              </w:rPr>
            </w:pPr>
            <w:r w:rsidRPr="009122B3">
              <w:rPr>
                <w:b/>
                <w:sz w:val="24"/>
                <w:szCs w:val="24"/>
              </w:rPr>
              <w:t>Central Idea #4</w:t>
            </w:r>
          </w:p>
          <w:p w:rsidR="00CF71AF" w:rsidRPr="009122B3" w:rsidRDefault="009122B3" w:rsidP="002473AF">
            <w:pPr>
              <w:pStyle w:val="ToolTableText"/>
              <w:rPr>
                <w:b/>
                <w:sz w:val="24"/>
                <w:szCs w:val="24"/>
              </w:rPr>
            </w:pPr>
            <w:r w:rsidRPr="009122B3">
              <w:rPr>
                <w:b/>
                <w:sz w:val="24"/>
                <w:szCs w:val="24"/>
              </w:rPr>
              <w:t>_________________________</w:t>
            </w:r>
          </w:p>
        </w:tc>
      </w:tr>
      <w:tr w:rsidR="003A2BF5" w:rsidTr="002473AF">
        <w:trPr>
          <w:trHeight w:val="1944"/>
        </w:trPr>
        <w:tc>
          <w:tcPr>
            <w:tcW w:w="1458" w:type="dxa"/>
          </w:tcPr>
          <w:p w:rsidR="003A2BF5" w:rsidRPr="002473AF" w:rsidRDefault="003A2BF5" w:rsidP="002473AF">
            <w:pPr>
              <w:pStyle w:val="ToolTableText"/>
              <w:rPr>
                <w:b/>
              </w:rPr>
            </w:pPr>
            <w:r w:rsidRPr="002473AF">
              <w:rPr>
                <w:b/>
              </w:rPr>
              <w:t>Evidence from text</w:t>
            </w:r>
          </w:p>
        </w:tc>
        <w:tc>
          <w:tcPr>
            <w:tcW w:w="2970" w:type="dxa"/>
          </w:tcPr>
          <w:p w:rsidR="003A2BF5" w:rsidRDefault="003A2BF5" w:rsidP="009122B3">
            <w:pPr>
              <w:pStyle w:val="ToolTableText"/>
            </w:pPr>
          </w:p>
        </w:tc>
        <w:tc>
          <w:tcPr>
            <w:tcW w:w="3330" w:type="dxa"/>
          </w:tcPr>
          <w:p w:rsidR="003A2BF5" w:rsidRDefault="003A2BF5" w:rsidP="009122B3">
            <w:pPr>
              <w:pStyle w:val="ToolTableText"/>
            </w:pPr>
          </w:p>
        </w:tc>
        <w:tc>
          <w:tcPr>
            <w:tcW w:w="3330" w:type="dxa"/>
          </w:tcPr>
          <w:p w:rsidR="003A2BF5" w:rsidRDefault="003A2BF5" w:rsidP="009122B3">
            <w:pPr>
              <w:pStyle w:val="ToolTableText"/>
            </w:pPr>
          </w:p>
        </w:tc>
        <w:tc>
          <w:tcPr>
            <w:tcW w:w="3312" w:type="dxa"/>
          </w:tcPr>
          <w:p w:rsidR="003A2BF5" w:rsidRDefault="003A2BF5" w:rsidP="009122B3">
            <w:pPr>
              <w:pStyle w:val="ToolTableText"/>
            </w:pPr>
          </w:p>
        </w:tc>
      </w:tr>
      <w:tr w:rsidR="003A2BF5" w:rsidTr="002473AF">
        <w:trPr>
          <w:trHeight w:val="1872"/>
        </w:trPr>
        <w:tc>
          <w:tcPr>
            <w:tcW w:w="1458" w:type="dxa"/>
          </w:tcPr>
          <w:p w:rsidR="003A2BF5" w:rsidRPr="002473AF" w:rsidRDefault="003A2BF5" w:rsidP="002473AF">
            <w:pPr>
              <w:pStyle w:val="ToolTableText"/>
              <w:rPr>
                <w:b/>
              </w:rPr>
            </w:pPr>
            <w:r w:rsidRPr="002473AF">
              <w:rPr>
                <w:b/>
              </w:rPr>
              <w:t xml:space="preserve">Literary </w:t>
            </w:r>
            <w:r w:rsidR="00371260" w:rsidRPr="002473AF">
              <w:rPr>
                <w:b/>
              </w:rPr>
              <w:t>d</w:t>
            </w:r>
            <w:r w:rsidRPr="002473AF">
              <w:rPr>
                <w:b/>
              </w:rPr>
              <w:t>evices Shakespeare uses</w:t>
            </w:r>
          </w:p>
        </w:tc>
        <w:tc>
          <w:tcPr>
            <w:tcW w:w="2970" w:type="dxa"/>
          </w:tcPr>
          <w:p w:rsidR="003A2BF5" w:rsidRDefault="003A2BF5" w:rsidP="009122B3">
            <w:pPr>
              <w:pStyle w:val="ToolTableText"/>
            </w:pPr>
          </w:p>
        </w:tc>
        <w:tc>
          <w:tcPr>
            <w:tcW w:w="3330" w:type="dxa"/>
          </w:tcPr>
          <w:p w:rsidR="003A2BF5" w:rsidRDefault="003A2BF5" w:rsidP="009122B3">
            <w:pPr>
              <w:pStyle w:val="ToolTableText"/>
            </w:pPr>
          </w:p>
        </w:tc>
        <w:tc>
          <w:tcPr>
            <w:tcW w:w="3330" w:type="dxa"/>
          </w:tcPr>
          <w:p w:rsidR="003A2BF5" w:rsidRDefault="003A2BF5" w:rsidP="009122B3">
            <w:pPr>
              <w:pStyle w:val="ToolTableText"/>
            </w:pPr>
          </w:p>
        </w:tc>
        <w:tc>
          <w:tcPr>
            <w:tcW w:w="3312" w:type="dxa"/>
          </w:tcPr>
          <w:p w:rsidR="003A2BF5" w:rsidRDefault="003A2BF5" w:rsidP="009122B3">
            <w:pPr>
              <w:pStyle w:val="ToolTableText"/>
            </w:pPr>
          </w:p>
        </w:tc>
      </w:tr>
      <w:tr w:rsidR="00737EB8" w:rsidTr="002473AF">
        <w:trPr>
          <w:trHeight w:val="1872"/>
        </w:trPr>
        <w:tc>
          <w:tcPr>
            <w:tcW w:w="1458" w:type="dxa"/>
          </w:tcPr>
          <w:p w:rsidR="00737EB8" w:rsidRPr="002473AF" w:rsidRDefault="00737EB8" w:rsidP="002473AF">
            <w:pPr>
              <w:pStyle w:val="ToolTableText"/>
              <w:rPr>
                <w:b/>
              </w:rPr>
            </w:pPr>
            <w:r w:rsidRPr="002473AF">
              <w:rPr>
                <w:b/>
              </w:rPr>
              <w:t xml:space="preserve">What role does this idea play in </w:t>
            </w:r>
            <w:r w:rsidRPr="002473AF">
              <w:rPr>
                <w:b/>
                <w:i/>
              </w:rPr>
              <w:t>Hamlet?</w:t>
            </w:r>
          </w:p>
        </w:tc>
        <w:tc>
          <w:tcPr>
            <w:tcW w:w="2970" w:type="dxa"/>
          </w:tcPr>
          <w:p w:rsidR="00737EB8" w:rsidRDefault="00737EB8" w:rsidP="003A2BF5">
            <w:pPr>
              <w:pStyle w:val="ToolTableText"/>
              <w:spacing w:before="120"/>
            </w:pPr>
          </w:p>
        </w:tc>
        <w:tc>
          <w:tcPr>
            <w:tcW w:w="3330" w:type="dxa"/>
          </w:tcPr>
          <w:p w:rsidR="00737EB8" w:rsidRDefault="00737EB8" w:rsidP="003A2BF5">
            <w:pPr>
              <w:pStyle w:val="ToolTableText"/>
              <w:spacing w:before="120"/>
            </w:pPr>
          </w:p>
        </w:tc>
        <w:tc>
          <w:tcPr>
            <w:tcW w:w="3330" w:type="dxa"/>
          </w:tcPr>
          <w:p w:rsidR="00737EB8" w:rsidRDefault="00737EB8" w:rsidP="003A2BF5">
            <w:pPr>
              <w:pStyle w:val="ToolTableText"/>
              <w:spacing w:before="120"/>
            </w:pPr>
          </w:p>
        </w:tc>
        <w:tc>
          <w:tcPr>
            <w:tcW w:w="3312" w:type="dxa"/>
          </w:tcPr>
          <w:p w:rsidR="00737EB8" w:rsidRDefault="00737EB8" w:rsidP="003A2BF5">
            <w:pPr>
              <w:pStyle w:val="ToolTableText"/>
              <w:spacing w:before="120"/>
            </w:pPr>
          </w:p>
        </w:tc>
      </w:tr>
    </w:tbl>
    <w:p w:rsidR="002473AF" w:rsidRDefault="002473AF">
      <w:pPr>
        <w:spacing w:before="0" w:after="0" w:line="240" w:lineRule="auto"/>
        <w:rPr>
          <w:sz w:val="10"/>
          <w:szCs w:val="10"/>
        </w:rPr>
      </w:pPr>
      <w:r>
        <w:rPr>
          <w:sz w:val="10"/>
          <w:szCs w:val="10"/>
        </w:rPr>
        <w:br w:type="page"/>
      </w:r>
    </w:p>
    <w:p w:rsidR="00737EB8" w:rsidRDefault="00737EB8" w:rsidP="00737EB8">
      <w:r>
        <w:rPr>
          <w:rStyle w:val="Heading1Char"/>
          <w:bCs/>
          <w:sz w:val="32"/>
          <w:szCs w:val="28"/>
        </w:rPr>
        <w:lastRenderedPageBreak/>
        <w:t xml:space="preserve">Model </w:t>
      </w:r>
      <w:r w:rsidRPr="00CA5055">
        <w:rPr>
          <w:rStyle w:val="Heading1Char"/>
          <w:bCs/>
          <w:sz w:val="32"/>
          <w:szCs w:val="28"/>
        </w:rPr>
        <w:t xml:space="preserve">Central Idea Evidence </w:t>
      </w:r>
      <w:r w:rsidR="00371260">
        <w:rPr>
          <w:rStyle w:val="Heading1Char"/>
          <w:bCs/>
          <w:sz w:val="32"/>
          <w:szCs w:val="28"/>
        </w:rPr>
        <w:t>Collection</w:t>
      </w:r>
      <w:r w:rsidRPr="00CA5055">
        <w:rPr>
          <w:rStyle w:val="Heading1Char"/>
          <w:bCs/>
          <w:sz w:val="32"/>
          <w:szCs w:val="28"/>
        </w:rPr>
        <w:t xml:space="preserve">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5040"/>
        <w:gridCol w:w="732"/>
        <w:gridCol w:w="4320"/>
        <w:gridCol w:w="720"/>
        <w:gridCol w:w="2736"/>
      </w:tblGrid>
      <w:tr w:rsidR="00737EB8" w:rsidRPr="00707670" w:rsidTr="00737EB8">
        <w:trPr>
          <w:trHeight w:val="557"/>
        </w:trPr>
        <w:tc>
          <w:tcPr>
            <w:tcW w:w="820" w:type="dxa"/>
            <w:shd w:val="clear" w:color="auto" w:fill="D9D9D9"/>
            <w:vAlign w:val="center"/>
          </w:tcPr>
          <w:p w:rsidR="00737EB8" w:rsidRPr="00FE5489" w:rsidRDefault="00737EB8" w:rsidP="00737EB8">
            <w:pPr>
              <w:pStyle w:val="TableText"/>
              <w:rPr>
                <w:b/>
              </w:rPr>
            </w:pPr>
            <w:r w:rsidRPr="00FE5489">
              <w:rPr>
                <w:b/>
              </w:rPr>
              <w:t>Name:</w:t>
            </w:r>
          </w:p>
        </w:tc>
        <w:tc>
          <w:tcPr>
            <w:tcW w:w="5040" w:type="dxa"/>
            <w:vAlign w:val="center"/>
          </w:tcPr>
          <w:p w:rsidR="00737EB8" w:rsidRPr="00FE5489" w:rsidRDefault="00737EB8" w:rsidP="00737EB8">
            <w:pPr>
              <w:pStyle w:val="TableText"/>
              <w:rPr>
                <w:b/>
              </w:rPr>
            </w:pPr>
          </w:p>
        </w:tc>
        <w:tc>
          <w:tcPr>
            <w:tcW w:w="732" w:type="dxa"/>
            <w:shd w:val="clear" w:color="auto" w:fill="D9D9D9"/>
            <w:vAlign w:val="center"/>
          </w:tcPr>
          <w:p w:rsidR="00737EB8" w:rsidRPr="00FE5489" w:rsidRDefault="00737EB8" w:rsidP="00737EB8">
            <w:pPr>
              <w:pStyle w:val="TableText"/>
              <w:rPr>
                <w:b/>
              </w:rPr>
            </w:pPr>
            <w:r w:rsidRPr="00FE5489">
              <w:rPr>
                <w:b/>
              </w:rPr>
              <w:t>Class:</w:t>
            </w:r>
          </w:p>
        </w:tc>
        <w:tc>
          <w:tcPr>
            <w:tcW w:w="4320" w:type="dxa"/>
            <w:vAlign w:val="center"/>
          </w:tcPr>
          <w:p w:rsidR="00737EB8" w:rsidRPr="00FE5489" w:rsidRDefault="00737EB8" w:rsidP="00737EB8">
            <w:pPr>
              <w:pStyle w:val="TableText"/>
              <w:rPr>
                <w:b/>
              </w:rPr>
            </w:pPr>
          </w:p>
        </w:tc>
        <w:tc>
          <w:tcPr>
            <w:tcW w:w="720" w:type="dxa"/>
            <w:shd w:val="clear" w:color="auto" w:fill="D9D9D9"/>
            <w:vAlign w:val="center"/>
          </w:tcPr>
          <w:p w:rsidR="00737EB8" w:rsidRPr="00FE5489" w:rsidRDefault="00737EB8" w:rsidP="00737EB8">
            <w:pPr>
              <w:pStyle w:val="TableText"/>
              <w:rPr>
                <w:b/>
              </w:rPr>
            </w:pPr>
            <w:r w:rsidRPr="00FE5489">
              <w:rPr>
                <w:b/>
              </w:rPr>
              <w:t>Date:</w:t>
            </w:r>
          </w:p>
        </w:tc>
        <w:tc>
          <w:tcPr>
            <w:tcW w:w="2736" w:type="dxa"/>
            <w:vAlign w:val="center"/>
          </w:tcPr>
          <w:p w:rsidR="00737EB8" w:rsidRPr="00FE5489" w:rsidRDefault="00737EB8" w:rsidP="00737EB8">
            <w:pPr>
              <w:pStyle w:val="TableText"/>
              <w:rPr>
                <w:b/>
              </w:rPr>
            </w:pPr>
          </w:p>
        </w:tc>
      </w:tr>
    </w:tbl>
    <w:p w:rsidR="00737EB8" w:rsidRPr="00646088" w:rsidRDefault="00737EB8" w:rsidP="00737EB8">
      <w:pPr>
        <w:spacing w:before="0" w:after="0"/>
        <w:rPr>
          <w:sz w:val="10"/>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3150"/>
        <w:gridCol w:w="3168"/>
        <w:gridCol w:w="3312"/>
        <w:gridCol w:w="3312"/>
      </w:tblGrid>
      <w:tr w:rsidR="00737EB8" w:rsidRPr="00646088" w:rsidTr="00737EB8">
        <w:trPr>
          <w:trHeight w:val="1152"/>
        </w:trPr>
        <w:tc>
          <w:tcPr>
            <w:tcW w:w="1458" w:type="dxa"/>
            <w:shd w:val="clear" w:color="auto" w:fill="D9D9D9" w:themeFill="background1" w:themeFillShade="D9"/>
          </w:tcPr>
          <w:p w:rsidR="00737EB8" w:rsidRPr="00FE5489" w:rsidRDefault="00737EB8" w:rsidP="00737EB8">
            <w:pPr>
              <w:pStyle w:val="ToolTableText"/>
            </w:pPr>
          </w:p>
        </w:tc>
        <w:tc>
          <w:tcPr>
            <w:tcW w:w="3150" w:type="dxa"/>
            <w:shd w:val="clear" w:color="auto" w:fill="D9D9D9" w:themeFill="background1" w:themeFillShade="D9"/>
          </w:tcPr>
          <w:p w:rsidR="00737EB8" w:rsidRPr="002473AF" w:rsidRDefault="00737EB8" w:rsidP="00737EB8">
            <w:pPr>
              <w:pStyle w:val="ToolTableText"/>
              <w:spacing w:after="240"/>
              <w:rPr>
                <w:b/>
                <w:sz w:val="24"/>
                <w:szCs w:val="24"/>
              </w:rPr>
            </w:pPr>
            <w:r w:rsidRPr="002473AF">
              <w:rPr>
                <w:b/>
                <w:sz w:val="24"/>
                <w:szCs w:val="24"/>
              </w:rPr>
              <w:t>Central Idea #1</w:t>
            </w:r>
          </w:p>
          <w:p w:rsidR="00737EB8" w:rsidRPr="002473AF" w:rsidRDefault="00737EB8" w:rsidP="00737EB8">
            <w:pPr>
              <w:pStyle w:val="ToolTableText"/>
              <w:spacing w:before="0" w:after="0" w:line="276" w:lineRule="auto"/>
              <w:rPr>
                <w:b/>
                <w:sz w:val="24"/>
                <w:szCs w:val="24"/>
              </w:rPr>
            </w:pPr>
            <w:r w:rsidRPr="002473AF">
              <w:rPr>
                <w:b/>
                <w:sz w:val="24"/>
                <w:szCs w:val="24"/>
              </w:rPr>
              <w:t>________</w:t>
            </w:r>
            <w:r w:rsidR="002D3EF4" w:rsidRPr="002473AF">
              <w:rPr>
                <w:b/>
                <w:sz w:val="24"/>
                <w:szCs w:val="24"/>
                <w:u w:val="single"/>
              </w:rPr>
              <w:t>r</w:t>
            </w:r>
            <w:r w:rsidRPr="002473AF">
              <w:rPr>
                <w:b/>
                <w:sz w:val="24"/>
                <w:szCs w:val="24"/>
                <w:u w:val="single"/>
              </w:rPr>
              <w:t>evenge</w:t>
            </w:r>
            <w:r w:rsidRPr="002473AF">
              <w:rPr>
                <w:b/>
                <w:sz w:val="24"/>
                <w:szCs w:val="24"/>
              </w:rPr>
              <w:t>_________</w:t>
            </w:r>
          </w:p>
        </w:tc>
        <w:tc>
          <w:tcPr>
            <w:tcW w:w="3168" w:type="dxa"/>
            <w:shd w:val="clear" w:color="auto" w:fill="D9D9D9" w:themeFill="background1" w:themeFillShade="D9"/>
          </w:tcPr>
          <w:p w:rsidR="00737EB8" w:rsidRPr="002473AF" w:rsidRDefault="00737EB8" w:rsidP="00737EB8">
            <w:pPr>
              <w:pStyle w:val="ToolTableText"/>
              <w:spacing w:after="240"/>
              <w:rPr>
                <w:b/>
                <w:sz w:val="24"/>
                <w:szCs w:val="24"/>
              </w:rPr>
            </w:pPr>
            <w:r w:rsidRPr="002473AF">
              <w:rPr>
                <w:b/>
                <w:sz w:val="24"/>
                <w:szCs w:val="24"/>
              </w:rPr>
              <w:t>Central Idea #2</w:t>
            </w:r>
          </w:p>
          <w:p w:rsidR="00737EB8" w:rsidRPr="002473AF" w:rsidRDefault="00737EB8" w:rsidP="00737EB8">
            <w:pPr>
              <w:pStyle w:val="ToolTableText"/>
              <w:rPr>
                <w:b/>
                <w:sz w:val="24"/>
                <w:szCs w:val="24"/>
              </w:rPr>
            </w:pPr>
            <w:r w:rsidRPr="002473AF">
              <w:rPr>
                <w:b/>
                <w:sz w:val="24"/>
                <w:szCs w:val="24"/>
              </w:rPr>
              <w:t>___</w:t>
            </w:r>
            <w:r w:rsidRPr="002473AF">
              <w:rPr>
                <w:b/>
                <w:sz w:val="24"/>
                <w:szCs w:val="24"/>
                <w:u w:val="single"/>
              </w:rPr>
              <w:t>action versus inaction</w:t>
            </w:r>
            <w:r w:rsidRPr="002473AF">
              <w:rPr>
                <w:b/>
                <w:sz w:val="24"/>
                <w:szCs w:val="24"/>
              </w:rPr>
              <w:t>___</w:t>
            </w:r>
          </w:p>
        </w:tc>
        <w:tc>
          <w:tcPr>
            <w:tcW w:w="3312" w:type="dxa"/>
            <w:shd w:val="clear" w:color="auto" w:fill="D9D9D9" w:themeFill="background1" w:themeFillShade="D9"/>
          </w:tcPr>
          <w:p w:rsidR="00737EB8" w:rsidRPr="002473AF" w:rsidRDefault="00737EB8" w:rsidP="00737EB8">
            <w:pPr>
              <w:pStyle w:val="ToolTableText"/>
              <w:spacing w:after="240"/>
              <w:rPr>
                <w:b/>
                <w:sz w:val="24"/>
                <w:szCs w:val="24"/>
              </w:rPr>
            </w:pPr>
            <w:r w:rsidRPr="002473AF">
              <w:rPr>
                <w:b/>
                <w:sz w:val="24"/>
                <w:szCs w:val="24"/>
              </w:rPr>
              <w:t>Central Idea #3</w:t>
            </w:r>
          </w:p>
          <w:p w:rsidR="00737EB8" w:rsidRPr="002473AF" w:rsidRDefault="00737EB8" w:rsidP="00737EB8">
            <w:pPr>
              <w:pStyle w:val="ToolTableText"/>
              <w:rPr>
                <w:b/>
                <w:sz w:val="24"/>
                <w:szCs w:val="24"/>
              </w:rPr>
            </w:pPr>
            <w:r w:rsidRPr="002473AF">
              <w:rPr>
                <w:b/>
                <w:sz w:val="24"/>
                <w:szCs w:val="24"/>
              </w:rPr>
              <w:t>______</w:t>
            </w:r>
            <w:r w:rsidR="00685A4B" w:rsidRPr="002473AF">
              <w:rPr>
                <w:b/>
                <w:sz w:val="24"/>
                <w:szCs w:val="24"/>
                <w:u w:val="single"/>
              </w:rPr>
              <w:t>madness</w:t>
            </w:r>
            <w:r w:rsidRPr="002473AF">
              <w:rPr>
                <w:b/>
                <w:sz w:val="24"/>
                <w:szCs w:val="24"/>
              </w:rPr>
              <w:t>_________</w:t>
            </w:r>
          </w:p>
        </w:tc>
        <w:tc>
          <w:tcPr>
            <w:tcW w:w="3312" w:type="dxa"/>
            <w:shd w:val="clear" w:color="auto" w:fill="D9D9D9" w:themeFill="background1" w:themeFillShade="D9"/>
          </w:tcPr>
          <w:p w:rsidR="00737EB8" w:rsidRPr="002473AF" w:rsidRDefault="00737EB8" w:rsidP="00737EB8">
            <w:pPr>
              <w:pStyle w:val="ToolTableText"/>
              <w:spacing w:after="240"/>
              <w:rPr>
                <w:b/>
                <w:sz w:val="24"/>
                <w:szCs w:val="24"/>
              </w:rPr>
            </w:pPr>
            <w:r w:rsidRPr="002473AF">
              <w:rPr>
                <w:b/>
                <w:sz w:val="24"/>
                <w:szCs w:val="24"/>
              </w:rPr>
              <w:t>Central Idea #4</w:t>
            </w:r>
          </w:p>
          <w:p w:rsidR="00737EB8" w:rsidRPr="002473AF" w:rsidRDefault="00737EB8" w:rsidP="00737EB8">
            <w:pPr>
              <w:pStyle w:val="ToolTableText"/>
              <w:rPr>
                <w:b/>
                <w:sz w:val="24"/>
                <w:szCs w:val="24"/>
              </w:rPr>
            </w:pPr>
            <w:r w:rsidRPr="002473AF">
              <w:rPr>
                <w:b/>
                <w:sz w:val="24"/>
                <w:szCs w:val="24"/>
              </w:rPr>
              <w:t>________</w:t>
            </w:r>
            <w:r w:rsidRPr="002473AF">
              <w:rPr>
                <w:b/>
                <w:sz w:val="24"/>
                <w:szCs w:val="24"/>
                <w:u w:val="single"/>
              </w:rPr>
              <w:t>mortality</w:t>
            </w:r>
            <w:r w:rsidRPr="002473AF">
              <w:rPr>
                <w:b/>
                <w:sz w:val="24"/>
                <w:szCs w:val="24"/>
              </w:rPr>
              <w:t>__________</w:t>
            </w:r>
          </w:p>
        </w:tc>
      </w:tr>
      <w:tr w:rsidR="00737EB8" w:rsidTr="002473AF">
        <w:trPr>
          <w:trHeight w:val="2348"/>
        </w:trPr>
        <w:tc>
          <w:tcPr>
            <w:tcW w:w="1458" w:type="dxa"/>
          </w:tcPr>
          <w:p w:rsidR="00737EB8" w:rsidRPr="00BF1ADB" w:rsidRDefault="00737EB8" w:rsidP="00737EB8">
            <w:pPr>
              <w:pStyle w:val="ToolTableText"/>
              <w:spacing w:before="240"/>
              <w:rPr>
                <w:b/>
              </w:rPr>
            </w:pPr>
            <w:r w:rsidRPr="00BF1ADB">
              <w:rPr>
                <w:b/>
              </w:rPr>
              <w:t>Evidence from text</w:t>
            </w:r>
          </w:p>
        </w:tc>
        <w:tc>
          <w:tcPr>
            <w:tcW w:w="3150" w:type="dxa"/>
          </w:tcPr>
          <w:p w:rsidR="001671A2" w:rsidRDefault="001671A2" w:rsidP="00737EB8">
            <w:pPr>
              <w:pStyle w:val="ToolTableText"/>
            </w:pPr>
            <w:r>
              <w:t xml:space="preserve">“Let not the royal bed of Denmark </w:t>
            </w:r>
            <w:proofErr w:type="gramStart"/>
            <w:r>
              <w:t>be</w:t>
            </w:r>
            <w:proofErr w:type="gramEnd"/>
            <w:r>
              <w:t xml:space="preserve"> a couch for luxury and damned incest.” (Act 1.5, lines 89–90)</w:t>
            </w:r>
          </w:p>
          <w:p w:rsidR="00737EB8" w:rsidRDefault="001671A2" w:rsidP="002473AF">
            <w:pPr>
              <w:pStyle w:val="ToolTableText"/>
            </w:pPr>
            <w:r>
              <w:t>“</w:t>
            </w:r>
            <w:r w:rsidR="00737EB8" w:rsidRPr="00394A1D">
              <w:t xml:space="preserve">Thy commandment all alone shall live within </w:t>
            </w:r>
            <w:r>
              <w:t>the book and volume of my brain”</w:t>
            </w:r>
            <w:r w:rsidR="00737EB8" w:rsidRPr="00394A1D">
              <w:t xml:space="preserve"> (Act 1.5, lines 109–110)</w:t>
            </w:r>
          </w:p>
        </w:tc>
        <w:tc>
          <w:tcPr>
            <w:tcW w:w="3168" w:type="dxa"/>
          </w:tcPr>
          <w:p w:rsidR="00737EB8" w:rsidRDefault="00737EB8" w:rsidP="00737EB8">
            <w:pPr>
              <w:pStyle w:val="ToolTableText"/>
            </w:pPr>
            <w:r>
              <w:t xml:space="preserve">“Like </w:t>
            </w:r>
            <w:r w:rsidRPr="00394A1D">
              <w:t xml:space="preserve">John-a-dreams, </w:t>
            </w:r>
            <w:proofErr w:type="spellStart"/>
            <w:r w:rsidRPr="00394A1D">
              <w:t>unpregnan</w:t>
            </w:r>
            <w:r>
              <w:t>t</w:t>
            </w:r>
            <w:proofErr w:type="spellEnd"/>
            <w:r>
              <w:t xml:space="preserve"> of my</w:t>
            </w:r>
            <w:r w:rsidRPr="00394A1D">
              <w:t xml:space="preserve"> cause” (Act 2.2, line 595)</w:t>
            </w:r>
          </w:p>
          <w:p w:rsidR="00737EB8" w:rsidRDefault="00C35ED6" w:rsidP="00737EB8">
            <w:pPr>
              <w:pStyle w:val="ToolTableText"/>
            </w:pPr>
            <w:r>
              <w:t>Hamlet commits to k</w:t>
            </w:r>
            <w:r w:rsidR="00371260">
              <w:t>i</w:t>
            </w:r>
            <w:r>
              <w:t>ll Claudius while he is kneeling but then</w:t>
            </w:r>
            <w:r w:rsidR="00371260">
              <w:t xml:space="preserve"> </w:t>
            </w:r>
            <w:r>
              <w:t>changes his min</w:t>
            </w:r>
            <w:r w:rsidR="00371260">
              <w:t>d</w:t>
            </w:r>
            <w:r>
              <w:t xml:space="preserve"> and decides to wait. (Act 3.3)</w:t>
            </w:r>
          </w:p>
        </w:tc>
        <w:tc>
          <w:tcPr>
            <w:tcW w:w="3312" w:type="dxa"/>
          </w:tcPr>
          <w:p w:rsidR="0038517E" w:rsidRDefault="00371260" w:rsidP="00273A32">
            <w:pPr>
              <w:pStyle w:val="SASRBullet"/>
              <w:numPr>
                <w:ilvl w:val="0"/>
                <w:numId w:val="0"/>
              </w:numPr>
              <w:ind w:left="31"/>
            </w:pPr>
            <w:r>
              <w:t>T</w:t>
            </w:r>
            <w:r w:rsidR="00685A4B">
              <w:t>he question of Hamlet’s madness endures throughout the play. Hamlet tells Horatio he might “put an antic disposition on” (Act 1.5, line 192) mean</w:t>
            </w:r>
            <w:r>
              <w:t>ing that</w:t>
            </w:r>
            <w:r w:rsidR="00685A4B">
              <w:t xml:space="preserve"> Hamlet may act </w:t>
            </w:r>
            <w:r>
              <w:t>as though</w:t>
            </w:r>
            <w:r w:rsidR="00685A4B">
              <w:t xml:space="preserve"> he is mad.</w:t>
            </w:r>
          </w:p>
        </w:tc>
        <w:tc>
          <w:tcPr>
            <w:tcW w:w="3312" w:type="dxa"/>
          </w:tcPr>
          <w:p w:rsidR="00737EB8" w:rsidRDefault="001671A2" w:rsidP="00737EB8">
            <w:pPr>
              <w:pStyle w:val="ToolTableText"/>
            </w:pPr>
            <w:r>
              <w:t>“</w:t>
            </w:r>
            <w:r w:rsidRPr="00394A1D">
              <w:t>O that this too, too sullied flesh would melt” (Act 1.2, line 133</w:t>
            </w:r>
            <w:r>
              <w:t>)</w:t>
            </w:r>
          </w:p>
          <w:p w:rsidR="001671A2" w:rsidRDefault="001671A2" w:rsidP="00737EB8">
            <w:pPr>
              <w:pStyle w:val="ToolTableText"/>
            </w:pPr>
            <w:r w:rsidRPr="00394A1D">
              <w:t>“</w:t>
            </w:r>
            <w:r w:rsidR="00371260">
              <w:t>T</w:t>
            </w:r>
            <w:r w:rsidRPr="00394A1D">
              <w:t>o be or not to be” (Act 3.1, line 64)</w:t>
            </w:r>
          </w:p>
          <w:p w:rsidR="001671A2" w:rsidRDefault="001671A2" w:rsidP="00737EB8">
            <w:pPr>
              <w:pStyle w:val="ToolTableText"/>
            </w:pPr>
            <w:r>
              <w:t>Ophelia drowns herself</w:t>
            </w:r>
            <w:r w:rsidR="004C770A">
              <w:t>.</w:t>
            </w:r>
            <w:r>
              <w:t xml:space="preserve"> </w:t>
            </w:r>
            <w:r w:rsidRPr="00394A1D">
              <w:t>(Act 4.7, line 188)</w:t>
            </w:r>
          </w:p>
        </w:tc>
      </w:tr>
      <w:tr w:rsidR="00737EB8" w:rsidTr="00C35ED6">
        <w:trPr>
          <w:trHeight w:val="1205"/>
        </w:trPr>
        <w:tc>
          <w:tcPr>
            <w:tcW w:w="1458" w:type="dxa"/>
          </w:tcPr>
          <w:p w:rsidR="00737EB8" w:rsidRPr="009122B3" w:rsidRDefault="00737EB8" w:rsidP="00737EB8">
            <w:pPr>
              <w:pStyle w:val="ToolTableText"/>
              <w:spacing w:before="240"/>
              <w:rPr>
                <w:b/>
              </w:rPr>
            </w:pPr>
            <w:r w:rsidRPr="009122B3">
              <w:rPr>
                <w:b/>
              </w:rPr>
              <w:t xml:space="preserve">Literary </w:t>
            </w:r>
            <w:r w:rsidR="00371260">
              <w:rPr>
                <w:b/>
              </w:rPr>
              <w:t>d</w:t>
            </w:r>
            <w:r w:rsidRPr="009122B3">
              <w:rPr>
                <w:b/>
              </w:rPr>
              <w:t>evices Shakespeare uses</w:t>
            </w:r>
          </w:p>
        </w:tc>
        <w:tc>
          <w:tcPr>
            <w:tcW w:w="3150" w:type="dxa"/>
          </w:tcPr>
          <w:p w:rsidR="00737EB8" w:rsidRDefault="00737EB8" w:rsidP="00273A32">
            <w:pPr>
              <w:pStyle w:val="ToolTableText"/>
            </w:pPr>
            <w:r>
              <w:t>Simile</w:t>
            </w:r>
            <w:r w:rsidR="00273A32">
              <w:t xml:space="preserve"> – </w:t>
            </w:r>
            <w:r>
              <w:t>Hamlet says he is “like John-a-dreams…”</w:t>
            </w:r>
          </w:p>
        </w:tc>
        <w:tc>
          <w:tcPr>
            <w:tcW w:w="3168" w:type="dxa"/>
          </w:tcPr>
          <w:p w:rsidR="00737EB8" w:rsidRDefault="00737EB8" w:rsidP="00273A32">
            <w:pPr>
              <w:pStyle w:val="ToolTableText"/>
            </w:pPr>
            <w:r>
              <w:t>Foil</w:t>
            </w:r>
            <w:r w:rsidR="00273A32">
              <w:t xml:space="preserve"> – </w:t>
            </w:r>
            <w:r>
              <w:t xml:space="preserve">Shakespeare uses Claudius, </w:t>
            </w:r>
            <w:proofErr w:type="spellStart"/>
            <w:r>
              <w:t>Laertes</w:t>
            </w:r>
            <w:proofErr w:type="spellEnd"/>
            <w:r>
              <w:t xml:space="preserve">, and </w:t>
            </w:r>
            <w:proofErr w:type="spellStart"/>
            <w:r>
              <w:t>Fortinbras</w:t>
            </w:r>
            <w:proofErr w:type="spellEnd"/>
            <w:r>
              <w:t xml:space="preserve"> as foils to highlight Hamlet’s inaction.</w:t>
            </w:r>
          </w:p>
        </w:tc>
        <w:tc>
          <w:tcPr>
            <w:tcW w:w="3312" w:type="dxa"/>
          </w:tcPr>
          <w:p w:rsidR="00737EB8" w:rsidRDefault="00685A4B" w:rsidP="00737EB8">
            <w:pPr>
              <w:pStyle w:val="ToolTableText"/>
            </w:pPr>
            <w:r>
              <w:t>Simile – Ophelia compares Hamlet’s lost reason to “sweet bells jangled, out of time and harsh” (Act 3.1, line 172)</w:t>
            </w:r>
          </w:p>
        </w:tc>
        <w:tc>
          <w:tcPr>
            <w:tcW w:w="3312" w:type="dxa"/>
          </w:tcPr>
          <w:p w:rsidR="00737EB8" w:rsidRDefault="00685A4B" w:rsidP="00737EB8">
            <w:pPr>
              <w:pStyle w:val="ToolTableText"/>
            </w:pPr>
            <w:r>
              <w:t>Metaphor – In Act 3.1 Hamlet imagines death as sleep: “To die, to sleep” (line 68)</w:t>
            </w:r>
          </w:p>
        </w:tc>
      </w:tr>
      <w:tr w:rsidR="00737EB8" w:rsidTr="00737EB8">
        <w:trPr>
          <w:trHeight w:val="576"/>
        </w:trPr>
        <w:tc>
          <w:tcPr>
            <w:tcW w:w="1458" w:type="dxa"/>
          </w:tcPr>
          <w:p w:rsidR="00737EB8" w:rsidRPr="002473AF" w:rsidRDefault="00737EB8" w:rsidP="002473AF">
            <w:pPr>
              <w:pStyle w:val="ToolTableText"/>
              <w:rPr>
                <w:b/>
              </w:rPr>
            </w:pPr>
            <w:r w:rsidRPr="002473AF">
              <w:rPr>
                <w:b/>
              </w:rPr>
              <w:t xml:space="preserve">What role does this idea play in </w:t>
            </w:r>
            <w:r w:rsidRPr="002473AF">
              <w:rPr>
                <w:b/>
                <w:i/>
              </w:rPr>
              <w:t>Hamlet?</w:t>
            </w:r>
          </w:p>
        </w:tc>
        <w:tc>
          <w:tcPr>
            <w:tcW w:w="3150" w:type="dxa"/>
          </w:tcPr>
          <w:p w:rsidR="00737EB8" w:rsidRDefault="00C35ED6" w:rsidP="00371260">
            <w:pPr>
              <w:pStyle w:val="ToolTableText"/>
              <w:spacing w:before="120"/>
            </w:pPr>
            <w:r>
              <w:t xml:space="preserve">Revenge drives Hamlet’s actions throughout the play as </w:t>
            </w:r>
            <w:r w:rsidR="00371260">
              <w:t>he</w:t>
            </w:r>
            <w:r>
              <w:t xml:space="preserve"> struggles with how to kill Claudius.</w:t>
            </w:r>
          </w:p>
        </w:tc>
        <w:tc>
          <w:tcPr>
            <w:tcW w:w="3168" w:type="dxa"/>
          </w:tcPr>
          <w:p w:rsidR="00737EB8" w:rsidRDefault="00C35ED6" w:rsidP="00737EB8">
            <w:pPr>
              <w:pStyle w:val="ToolTableText"/>
              <w:spacing w:before="120"/>
            </w:pPr>
            <w:r>
              <w:t>Action versus inaction is central to Hamlet’s tragic flaw of indecision.</w:t>
            </w:r>
          </w:p>
        </w:tc>
        <w:tc>
          <w:tcPr>
            <w:tcW w:w="3312" w:type="dxa"/>
          </w:tcPr>
          <w:p w:rsidR="00737EB8" w:rsidRDefault="00685A4B" w:rsidP="00685A4B">
            <w:pPr>
              <w:pStyle w:val="ToolTableText"/>
              <w:spacing w:before="120"/>
            </w:pPr>
            <w:r>
              <w:t>Hamlet acts mad at times in the play, but the reader is not certain if Hamlet is pretending to be mad or if</w:t>
            </w:r>
            <w:r w:rsidR="00371260">
              <w:t xml:space="preserve"> he</w:t>
            </w:r>
            <w:r>
              <w:t xml:space="preserve"> has actually gone mad</w:t>
            </w:r>
            <w:r w:rsidR="00371260">
              <w:t>.</w:t>
            </w:r>
          </w:p>
        </w:tc>
        <w:tc>
          <w:tcPr>
            <w:tcW w:w="3312" w:type="dxa"/>
          </w:tcPr>
          <w:p w:rsidR="00737EB8" w:rsidRDefault="0038517E" w:rsidP="00737EB8">
            <w:pPr>
              <w:pStyle w:val="ToolTableText"/>
              <w:spacing w:before="120"/>
            </w:pPr>
            <w:r>
              <w:t>Hamlet considers mortality throughout the play, and in the tragic resolution, three main characters die.</w:t>
            </w:r>
          </w:p>
        </w:tc>
      </w:tr>
    </w:tbl>
    <w:p w:rsidR="00737EB8" w:rsidRPr="005837C5" w:rsidRDefault="00737EB8" w:rsidP="00371260">
      <w:pPr>
        <w:pStyle w:val="ToolTableText"/>
        <w:spacing w:before="120"/>
      </w:pPr>
    </w:p>
    <w:sectPr w:rsidR="00737EB8" w:rsidRPr="005837C5" w:rsidSect="00220F4C">
      <w:headerReference w:type="default" r:id="rId11"/>
      <w:footerReference w:type="default" r:id="rId12"/>
      <w:pgSz w:w="15840" w:h="12240" w:orient="landscape"/>
      <w:pgMar w:top="720" w:right="720" w:bottom="720" w:left="72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CF" w:rsidRDefault="00F132CF" w:rsidP="00E946A0">
      <w:r>
        <w:separator/>
      </w:r>
    </w:p>
    <w:p w:rsidR="00F132CF" w:rsidRDefault="00F132CF" w:rsidP="00E946A0"/>
  </w:endnote>
  <w:endnote w:type="continuationSeparator" w:id="0">
    <w:p w:rsidR="00F132CF" w:rsidRDefault="00F132CF" w:rsidP="00E946A0">
      <w:r>
        <w:continuationSeparator/>
      </w:r>
    </w:p>
    <w:p w:rsidR="00F132CF" w:rsidRDefault="00F132CF"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DC9D3685-276F-4724-9681-9460E8415D3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98F38291-88E6-414F-9D0A-6D62B1DBCFE1}"/>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32" w:rsidRDefault="00131809" w:rsidP="00E946A0">
    <w:pPr>
      <w:pStyle w:val="Footer"/>
      <w:rPr>
        <w:rStyle w:val="PageNumber"/>
      </w:rPr>
    </w:pPr>
    <w:r>
      <w:rPr>
        <w:rStyle w:val="PageNumber"/>
      </w:rPr>
      <w:fldChar w:fldCharType="begin"/>
    </w:r>
    <w:r w:rsidR="00273A32">
      <w:rPr>
        <w:rStyle w:val="PageNumber"/>
      </w:rPr>
      <w:instrText xml:space="preserve">PAGE  </w:instrText>
    </w:r>
    <w:r>
      <w:rPr>
        <w:rStyle w:val="PageNumber"/>
      </w:rPr>
      <w:fldChar w:fldCharType="end"/>
    </w:r>
  </w:p>
  <w:p w:rsidR="00273A32" w:rsidRDefault="00273A32" w:rsidP="00E946A0">
    <w:pPr>
      <w:pStyle w:val="Footer"/>
    </w:pPr>
  </w:p>
  <w:p w:rsidR="00273A32" w:rsidRDefault="00273A32" w:rsidP="00E946A0"/>
  <w:p w:rsidR="00273A32" w:rsidRDefault="00273A3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32" w:rsidRPr="00563CB8" w:rsidRDefault="00273A32" w:rsidP="004F2969">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273A32" w:rsidRPr="006C261A" w:rsidTr="0039525B">
      <w:trPr>
        <w:trHeight w:val="705"/>
      </w:trPr>
      <w:tc>
        <w:tcPr>
          <w:tcW w:w="4609" w:type="dxa"/>
          <w:tcBorders>
            <w:top w:val="single" w:sz="8" w:space="0" w:color="244061"/>
          </w:tcBorders>
          <w:vAlign w:val="center"/>
        </w:tcPr>
        <w:p w:rsidR="00273A32" w:rsidRPr="006C261A" w:rsidRDefault="00273A32" w:rsidP="004F2969">
          <w:pPr>
            <w:pStyle w:val="FooterText"/>
            <w:rPr>
              <w:rFonts w:ascii="Calibri" w:hAnsi="Calibri"/>
            </w:rPr>
          </w:pPr>
          <w:r w:rsidRPr="006C261A">
            <w:rPr>
              <w:rFonts w:ascii="Calibri" w:hAnsi="Calibri"/>
            </w:rPr>
            <w:t>File:</w:t>
          </w:r>
          <w:r w:rsidRPr="006C261A">
            <w:rPr>
              <w:rFonts w:ascii="Calibri" w:hAnsi="Calibri"/>
              <w:b w:val="0"/>
            </w:rPr>
            <w:t xml:space="preserve"> 11.1.2 Lesson 24</w:t>
          </w:r>
          <w:r w:rsidRPr="006C261A">
            <w:rPr>
              <w:rFonts w:ascii="Calibri" w:hAnsi="Calibri"/>
            </w:rPr>
            <w:t xml:space="preserve"> Date:</w:t>
          </w:r>
          <w:r w:rsidRPr="006C261A">
            <w:rPr>
              <w:rFonts w:ascii="Calibri" w:hAnsi="Calibri"/>
              <w:b w:val="0"/>
            </w:rPr>
            <w:t xml:space="preserve"> </w:t>
          </w:r>
          <w:r w:rsidR="00D16E2D">
            <w:rPr>
              <w:rFonts w:ascii="Calibri" w:hAnsi="Calibri"/>
              <w:b w:val="0"/>
            </w:rPr>
            <w:t>2/7</w:t>
          </w:r>
          <w:r w:rsidRPr="006C261A">
            <w:rPr>
              <w:rFonts w:ascii="Calibri" w:hAnsi="Calibri"/>
              <w:b w:val="0"/>
            </w:rPr>
            <w:t xml:space="preserve">/14 </w:t>
          </w:r>
          <w:r w:rsidRPr="006C261A">
            <w:rPr>
              <w:rFonts w:ascii="Calibri" w:hAnsi="Calibri"/>
            </w:rPr>
            <w:t>Classroom Use:</w:t>
          </w:r>
          <w:r w:rsidR="00D16E2D">
            <w:rPr>
              <w:rFonts w:ascii="Calibri" w:hAnsi="Calibri"/>
              <w:b w:val="0"/>
            </w:rPr>
            <w:t xml:space="preserve"> Starting 2</w:t>
          </w:r>
          <w:r w:rsidRPr="006C261A">
            <w:rPr>
              <w:rFonts w:ascii="Calibri" w:hAnsi="Calibri"/>
              <w:b w:val="0"/>
            </w:rPr>
            <w:t xml:space="preserve">/2014 </w:t>
          </w:r>
        </w:p>
        <w:p w:rsidR="00273A32" w:rsidRPr="006C261A" w:rsidRDefault="00273A32" w:rsidP="004F2969">
          <w:pPr>
            <w:pStyle w:val="FooterText"/>
            <w:rPr>
              <w:rFonts w:ascii="Calibri" w:hAnsi="Calibri"/>
              <w:b w:val="0"/>
              <w:i/>
              <w:sz w:val="12"/>
            </w:rPr>
          </w:pPr>
          <w:proofErr w:type="gramStart"/>
          <w:r w:rsidRPr="006C261A">
            <w:rPr>
              <w:rFonts w:ascii="Calibri" w:hAnsi="Calibri"/>
              <w:b w:val="0"/>
              <w:sz w:val="12"/>
            </w:rPr>
            <w:t>© 2014 Public Consulting Group.</w:t>
          </w:r>
          <w:proofErr w:type="gramEnd"/>
          <w:r w:rsidRPr="006C261A">
            <w:rPr>
              <w:rFonts w:ascii="Calibri" w:hAnsi="Calibri"/>
              <w:b w:val="0"/>
              <w:i/>
              <w:sz w:val="12"/>
            </w:rPr>
            <w:t xml:space="preserve"> This work is licensed under a </w:t>
          </w:r>
        </w:p>
        <w:p w:rsidR="00273A32" w:rsidRPr="006C261A" w:rsidRDefault="00273A32" w:rsidP="004F2969">
          <w:pPr>
            <w:pStyle w:val="FooterText"/>
            <w:rPr>
              <w:rFonts w:ascii="Calibri" w:hAnsi="Calibri"/>
              <w:b w:val="0"/>
              <w:i/>
            </w:rPr>
          </w:pPr>
          <w:r w:rsidRPr="006C261A">
            <w:rPr>
              <w:rFonts w:ascii="Calibri" w:hAnsi="Calibri"/>
              <w:b w:val="0"/>
              <w:i/>
              <w:sz w:val="12"/>
            </w:rPr>
            <w:t>Creative Commons Attribution-</w:t>
          </w:r>
          <w:proofErr w:type="spellStart"/>
          <w:r w:rsidRPr="006C261A">
            <w:rPr>
              <w:rFonts w:ascii="Calibri" w:hAnsi="Calibri"/>
              <w:b w:val="0"/>
              <w:i/>
              <w:sz w:val="12"/>
            </w:rPr>
            <w:t>NonCommercial</w:t>
          </w:r>
          <w:proofErr w:type="spellEnd"/>
          <w:r w:rsidRPr="006C261A">
            <w:rPr>
              <w:rFonts w:ascii="Calibri" w:hAnsi="Calibri"/>
              <w:b w:val="0"/>
              <w:i/>
              <w:sz w:val="12"/>
            </w:rPr>
            <w:t>-</w:t>
          </w:r>
          <w:proofErr w:type="spellStart"/>
          <w:r w:rsidRPr="006C261A">
            <w:rPr>
              <w:rFonts w:ascii="Calibri" w:hAnsi="Calibri"/>
              <w:b w:val="0"/>
              <w:i/>
              <w:sz w:val="12"/>
            </w:rPr>
            <w:t>ShareAlike</w:t>
          </w:r>
          <w:proofErr w:type="spellEnd"/>
          <w:r w:rsidRPr="006C261A">
            <w:rPr>
              <w:rFonts w:ascii="Calibri" w:hAnsi="Calibri"/>
              <w:b w:val="0"/>
              <w:i/>
              <w:sz w:val="12"/>
            </w:rPr>
            <w:t xml:space="preserve"> 3.0 </w:t>
          </w:r>
          <w:proofErr w:type="spellStart"/>
          <w:r w:rsidRPr="006C261A">
            <w:rPr>
              <w:rFonts w:ascii="Calibri" w:hAnsi="Calibri"/>
              <w:b w:val="0"/>
              <w:i/>
              <w:sz w:val="12"/>
            </w:rPr>
            <w:t>Unported</w:t>
          </w:r>
          <w:proofErr w:type="spellEnd"/>
          <w:r w:rsidRPr="006C261A">
            <w:rPr>
              <w:rFonts w:ascii="Calibri" w:hAnsi="Calibri"/>
              <w:b w:val="0"/>
              <w:i/>
              <w:sz w:val="12"/>
            </w:rPr>
            <w:t xml:space="preserve"> License</w:t>
          </w:r>
        </w:p>
        <w:p w:rsidR="00273A32" w:rsidRPr="006C261A" w:rsidRDefault="00131809" w:rsidP="004F2969">
          <w:pPr>
            <w:pStyle w:val="FooterText"/>
            <w:rPr>
              <w:rFonts w:ascii="Calibri" w:hAnsi="Calibri"/>
            </w:rPr>
          </w:pPr>
          <w:hyperlink r:id="rId1" w:history="1">
            <w:r w:rsidR="00273A32" w:rsidRPr="006C261A">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rsidR="00273A32" w:rsidRPr="006C261A" w:rsidRDefault="00131809" w:rsidP="004F2969">
          <w:pPr>
            <w:pStyle w:val="folio"/>
            <w:pBdr>
              <w:top w:val="none" w:sz="0" w:space="0" w:color="auto"/>
            </w:pBdr>
            <w:tabs>
              <w:tab w:val="clear" w:pos="6480"/>
              <w:tab w:val="clear" w:pos="10080"/>
            </w:tabs>
            <w:jc w:val="center"/>
            <w:rPr>
              <w:rFonts w:ascii="Calibri" w:hAnsi="Calibri" w:cs="Calibri"/>
              <w:b/>
              <w:sz w:val="14"/>
            </w:rPr>
          </w:pPr>
          <w:r w:rsidRPr="006C261A">
            <w:rPr>
              <w:rFonts w:ascii="Calibri" w:hAnsi="Calibri" w:cs="Calibri"/>
              <w:b/>
              <w:color w:val="1F4E79"/>
              <w:sz w:val="28"/>
            </w:rPr>
            <w:fldChar w:fldCharType="begin"/>
          </w:r>
          <w:r w:rsidR="00273A32" w:rsidRPr="006C261A">
            <w:rPr>
              <w:rFonts w:ascii="Calibri" w:hAnsi="Calibri" w:cs="Calibri"/>
              <w:b/>
              <w:color w:val="1F4E79"/>
              <w:sz w:val="28"/>
            </w:rPr>
            <w:instrText>PAGE</w:instrText>
          </w:r>
          <w:r w:rsidRPr="006C261A">
            <w:rPr>
              <w:rFonts w:ascii="Calibri" w:hAnsi="Calibri" w:cs="Calibri"/>
              <w:b/>
              <w:color w:val="1F4E79"/>
              <w:sz w:val="28"/>
            </w:rPr>
            <w:fldChar w:fldCharType="separate"/>
          </w:r>
          <w:r w:rsidR="00C3170C">
            <w:rPr>
              <w:rFonts w:ascii="Calibri" w:hAnsi="Calibri" w:cs="Calibri"/>
              <w:b/>
              <w:noProof/>
              <w:color w:val="1F4E79"/>
              <w:sz w:val="28"/>
            </w:rPr>
            <w:t>1</w:t>
          </w:r>
          <w:r w:rsidRPr="006C261A">
            <w:rPr>
              <w:rFonts w:ascii="Calibri" w:hAnsi="Calibri" w:cs="Calibri"/>
              <w:b/>
              <w:color w:val="1F4E79"/>
              <w:sz w:val="28"/>
            </w:rPr>
            <w:fldChar w:fldCharType="end"/>
          </w:r>
        </w:p>
      </w:tc>
      <w:tc>
        <w:tcPr>
          <w:tcW w:w="4325" w:type="dxa"/>
          <w:tcBorders>
            <w:top w:val="single" w:sz="8" w:space="0" w:color="244061"/>
          </w:tcBorders>
          <w:vAlign w:val="bottom"/>
        </w:tcPr>
        <w:p w:rsidR="00273A32" w:rsidRPr="006C261A" w:rsidRDefault="00273A3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6C261A">
            <w:rPr>
              <w:rFonts w:ascii="Calibri" w:hAnsi="Calibri" w:cs="Calibri"/>
              <w:b/>
              <w:noProof/>
              <w:sz w:val="12"/>
              <w:szCs w:val="12"/>
            </w:rPr>
            <w:drawing>
              <wp:inline distT="0" distB="0" distL="0" distR="0">
                <wp:extent cx="1689100" cy="635000"/>
                <wp:effectExtent l="0" t="0" r="1270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635000"/>
                        </a:xfrm>
                        <a:prstGeom prst="rect">
                          <a:avLst/>
                        </a:prstGeom>
                        <a:noFill/>
                        <a:ln>
                          <a:noFill/>
                        </a:ln>
                      </pic:spPr>
                    </pic:pic>
                  </a:graphicData>
                </a:graphic>
              </wp:inline>
            </w:drawing>
          </w:r>
        </w:p>
      </w:tc>
    </w:tr>
  </w:tbl>
  <w:p w:rsidR="00273A32" w:rsidRPr="006C261A" w:rsidRDefault="00273A32" w:rsidP="0039525B">
    <w:pPr>
      <w:pStyle w:val="Footer"/>
      <w:spacing w:before="0" w:after="0" w:line="240" w:lineRule="auto"/>
      <w:rPr>
        <w:rFonts w:ascii="Calibri" w:hAnsi="Calibri"/>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32" w:rsidRPr="00563CB8" w:rsidRDefault="00273A32" w:rsidP="004F2969">
    <w:pPr>
      <w:spacing w:before="0" w:after="0" w:line="240" w:lineRule="auto"/>
      <w:rPr>
        <w:sz w:val="14"/>
      </w:rPr>
    </w:pPr>
  </w:p>
  <w:tbl>
    <w:tblPr>
      <w:tblW w:w="4991" w:type="pct"/>
      <w:tblBorders>
        <w:top w:val="single" w:sz="8" w:space="0" w:color="244061"/>
      </w:tblBorders>
      <w:tblLook w:val="00A0"/>
    </w:tblPr>
    <w:tblGrid>
      <w:gridCol w:w="7035"/>
      <w:gridCol w:w="954"/>
      <w:gridCol w:w="6601"/>
    </w:tblGrid>
    <w:tr w:rsidR="00273A32" w:rsidRPr="006C261A" w:rsidTr="0039525B">
      <w:trPr>
        <w:trHeight w:val="705"/>
      </w:trPr>
      <w:tc>
        <w:tcPr>
          <w:tcW w:w="4609" w:type="dxa"/>
          <w:tcBorders>
            <w:top w:val="single" w:sz="8" w:space="0" w:color="244061"/>
          </w:tcBorders>
          <w:vAlign w:val="center"/>
        </w:tcPr>
        <w:p w:rsidR="00273A32" w:rsidRPr="006C261A" w:rsidRDefault="00273A32" w:rsidP="004F2969">
          <w:pPr>
            <w:pStyle w:val="FooterText"/>
            <w:rPr>
              <w:rFonts w:ascii="Calibri" w:hAnsi="Calibri"/>
            </w:rPr>
          </w:pPr>
          <w:r w:rsidRPr="006C261A">
            <w:rPr>
              <w:rFonts w:ascii="Calibri" w:hAnsi="Calibri"/>
            </w:rPr>
            <w:t>File:</w:t>
          </w:r>
          <w:r w:rsidRPr="006C261A">
            <w:rPr>
              <w:rFonts w:ascii="Calibri" w:hAnsi="Calibri"/>
              <w:b w:val="0"/>
            </w:rPr>
            <w:t xml:space="preserve"> 11.1.2 Lesson 24</w:t>
          </w:r>
          <w:r w:rsidRPr="006C261A">
            <w:rPr>
              <w:rFonts w:ascii="Calibri" w:hAnsi="Calibri"/>
            </w:rPr>
            <w:t xml:space="preserve"> Date:</w:t>
          </w:r>
          <w:r w:rsidR="00010917">
            <w:rPr>
              <w:rFonts w:ascii="Calibri" w:hAnsi="Calibri"/>
              <w:b w:val="0"/>
            </w:rPr>
            <w:t xml:space="preserve"> 2</w:t>
          </w:r>
          <w:r w:rsidRPr="006C261A">
            <w:rPr>
              <w:rFonts w:ascii="Calibri" w:hAnsi="Calibri"/>
              <w:b w:val="0"/>
            </w:rPr>
            <w:t>/</w:t>
          </w:r>
          <w:r w:rsidR="00010917">
            <w:rPr>
              <w:rFonts w:ascii="Calibri" w:hAnsi="Calibri"/>
              <w:b w:val="0"/>
            </w:rPr>
            <w:t>7</w:t>
          </w:r>
          <w:r w:rsidRPr="006C261A">
            <w:rPr>
              <w:rFonts w:ascii="Calibri" w:hAnsi="Calibri"/>
              <w:b w:val="0"/>
            </w:rPr>
            <w:t xml:space="preserve">/14 </w:t>
          </w:r>
          <w:r w:rsidRPr="006C261A">
            <w:rPr>
              <w:rFonts w:ascii="Calibri" w:hAnsi="Calibri"/>
            </w:rPr>
            <w:t>Classroom Use:</w:t>
          </w:r>
          <w:r w:rsidR="00010917">
            <w:rPr>
              <w:rFonts w:ascii="Calibri" w:hAnsi="Calibri"/>
              <w:b w:val="0"/>
            </w:rPr>
            <w:t xml:space="preserve"> Starting 2</w:t>
          </w:r>
          <w:r w:rsidRPr="006C261A">
            <w:rPr>
              <w:rFonts w:ascii="Calibri" w:hAnsi="Calibri"/>
              <w:b w:val="0"/>
            </w:rPr>
            <w:t xml:space="preserve">/2014 </w:t>
          </w:r>
        </w:p>
        <w:p w:rsidR="00273A32" w:rsidRPr="006C261A" w:rsidRDefault="00273A32" w:rsidP="004F2969">
          <w:pPr>
            <w:pStyle w:val="FooterText"/>
            <w:rPr>
              <w:rFonts w:ascii="Calibri" w:hAnsi="Calibri"/>
              <w:b w:val="0"/>
              <w:i/>
              <w:sz w:val="12"/>
            </w:rPr>
          </w:pPr>
          <w:proofErr w:type="gramStart"/>
          <w:r w:rsidRPr="006C261A">
            <w:rPr>
              <w:rFonts w:ascii="Calibri" w:hAnsi="Calibri"/>
              <w:b w:val="0"/>
              <w:sz w:val="12"/>
            </w:rPr>
            <w:t>© 2014 Public Consulting Group.</w:t>
          </w:r>
          <w:proofErr w:type="gramEnd"/>
          <w:r w:rsidRPr="006C261A">
            <w:rPr>
              <w:rFonts w:ascii="Calibri" w:hAnsi="Calibri"/>
              <w:b w:val="0"/>
              <w:i/>
              <w:sz w:val="12"/>
            </w:rPr>
            <w:t xml:space="preserve"> This work is licensed under a </w:t>
          </w:r>
        </w:p>
        <w:p w:rsidR="00273A32" w:rsidRPr="006C261A" w:rsidRDefault="00273A32" w:rsidP="004F2969">
          <w:pPr>
            <w:pStyle w:val="FooterText"/>
            <w:rPr>
              <w:rFonts w:ascii="Calibri" w:hAnsi="Calibri"/>
              <w:b w:val="0"/>
              <w:i/>
            </w:rPr>
          </w:pPr>
          <w:r w:rsidRPr="006C261A">
            <w:rPr>
              <w:rFonts w:ascii="Calibri" w:hAnsi="Calibri"/>
              <w:b w:val="0"/>
              <w:i/>
              <w:sz w:val="12"/>
            </w:rPr>
            <w:t>Creative Commons Attribution-</w:t>
          </w:r>
          <w:proofErr w:type="spellStart"/>
          <w:r w:rsidRPr="006C261A">
            <w:rPr>
              <w:rFonts w:ascii="Calibri" w:hAnsi="Calibri"/>
              <w:b w:val="0"/>
              <w:i/>
              <w:sz w:val="12"/>
            </w:rPr>
            <w:t>NonCommercial</w:t>
          </w:r>
          <w:proofErr w:type="spellEnd"/>
          <w:r w:rsidRPr="006C261A">
            <w:rPr>
              <w:rFonts w:ascii="Calibri" w:hAnsi="Calibri"/>
              <w:b w:val="0"/>
              <w:i/>
              <w:sz w:val="12"/>
            </w:rPr>
            <w:t>-</w:t>
          </w:r>
          <w:proofErr w:type="spellStart"/>
          <w:r w:rsidRPr="006C261A">
            <w:rPr>
              <w:rFonts w:ascii="Calibri" w:hAnsi="Calibri"/>
              <w:b w:val="0"/>
              <w:i/>
              <w:sz w:val="12"/>
            </w:rPr>
            <w:t>ShareAlike</w:t>
          </w:r>
          <w:proofErr w:type="spellEnd"/>
          <w:r w:rsidRPr="006C261A">
            <w:rPr>
              <w:rFonts w:ascii="Calibri" w:hAnsi="Calibri"/>
              <w:b w:val="0"/>
              <w:i/>
              <w:sz w:val="12"/>
            </w:rPr>
            <w:t xml:space="preserve"> 3.0 </w:t>
          </w:r>
          <w:proofErr w:type="spellStart"/>
          <w:r w:rsidRPr="006C261A">
            <w:rPr>
              <w:rFonts w:ascii="Calibri" w:hAnsi="Calibri"/>
              <w:b w:val="0"/>
              <w:i/>
              <w:sz w:val="12"/>
            </w:rPr>
            <w:t>Unported</w:t>
          </w:r>
          <w:proofErr w:type="spellEnd"/>
          <w:r w:rsidRPr="006C261A">
            <w:rPr>
              <w:rFonts w:ascii="Calibri" w:hAnsi="Calibri"/>
              <w:b w:val="0"/>
              <w:i/>
              <w:sz w:val="12"/>
            </w:rPr>
            <w:t xml:space="preserve"> License</w:t>
          </w:r>
        </w:p>
        <w:p w:rsidR="00273A32" w:rsidRPr="006C261A" w:rsidRDefault="00131809" w:rsidP="004F2969">
          <w:pPr>
            <w:pStyle w:val="FooterText"/>
            <w:rPr>
              <w:rFonts w:ascii="Calibri" w:hAnsi="Calibri"/>
            </w:rPr>
          </w:pPr>
          <w:hyperlink r:id="rId1" w:history="1">
            <w:r w:rsidR="00273A32" w:rsidRPr="006C261A">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rsidR="00273A32" w:rsidRPr="006C261A" w:rsidRDefault="00131809" w:rsidP="004F2969">
          <w:pPr>
            <w:pStyle w:val="folio"/>
            <w:pBdr>
              <w:top w:val="none" w:sz="0" w:space="0" w:color="auto"/>
            </w:pBdr>
            <w:tabs>
              <w:tab w:val="clear" w:pos="6480"/>
              <w:tab w:val="clear" w:pos="10080"/>
            </w:tabs>
            <w:jc w:val="center"/>
            <w:rPr>
              <w:rFonts w:ascii="Calibri" w:hAnsi="Calibri" w:cs="Calibri"/>
              <w:b/>
              <w:sz w:val="14"/>
            </w:rPr>
          </w:pPr>
          <w:r w:rsidRPr="006C261A">
            <w:rPr>
              <w:rFonts w:ascii="Calibri" w:hAnsi="Calibri" w:cs="Calibri"/>
              <w:b/>
              <w:color w:val="1F4E79"/>
              <w:sz w:val="28"/>
            </w:rPr>
            <w:fldChar w:fldCharType="begin"/>
          </w:r>
          <w:r w:rsidR="00273A32" w:rsidRPr="006C261A">
            <w:rPr>
              <w:rFonts w:ascii="Calibri" w:hAnsi="Calibri" w:cs="Calibri"/>
              <w:b/>
              <w:color w:val="1F4E79"/>
              <w:sz w:val="28"/>
            </w:rPr>
            <w:instrText>PAGE</w:instrText>
          </w:r>
          <w:r w:rsidRPr="006C261A">
            <w:rPr>
              <w:rFonts w:ascii="Calibri" w:hAnsi="Calibri" w:cs="Calibri"/>
              <w:b/>
              <w:color w:val="1F4E79"/>
              <w:sz w:val="28"/>
            </w:rPr>
            <w:fldChar w:fldCharType="separate"/>
          </w:r>
          <w:r w:rsidR="00C3170C">
            <w:rPr>
              <w:rFonts w:ascii="Calibri" w:hAnsi="Calibri" w:cs="Calibri"/>
              <w:b/>
              <w:noProof/>
              <w:color w:val="1F4E79"/>
              <w:sz w:val="28"/>
            </w:rPr>
            <w:t>7</w:t>
          </w:r>
          <w:r w:rsidRPr="006C261A">
            <w:rPr>
              <w:rFonts w:ascii="Calibri" w:hAnsi="Calibri" w:cs="Calibri"/>
              <w:b/>
              <w:color w:val="1F4E79"/>
              <w:sz w:val="28"/>
            </w:rPr>
            <w:fldChar w:fldCharType="end"/>
          </w:r>
        </w:p>
      </w:tc>
      <w:tc>
        <w:tcPr>
          <w:tcW w:w="4325" w:type="dxa"/>
          <w:tcBorders>
            <w:top w:val="single" w:sz="8" w:space="0" w:color="244061"/>
          </w:tcBorders>
          <w:vAlign w:val="bottom"/>
        </w:tcPr>
        <w:p w:rsidR="00273A32" w:rsidRPr="006C261A" w:rsidRDefault="00273A3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6C261A">
            <w:rPr>
              <w:rFonts w:ascii="Calibri" w:hAnsi="Calibri" w:cs="Calibri"/>
              <w:b/>
              <w:noProof/>
              <w:sz w:val="12"/>
              <w:szCs w:val="12"/>
            </w:rPr>
            <w:drawing>
              <wp:inline distT="0" distB="0" distL="0" distR="0">
                <wp:extent cx="1689100" cy="635000"/>
                <wp:effectExtent l="0" t="0" r="1270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635000"/>
                        </a:xfrm>
                        <a:prstGeom prst="rect">
                          <a:avLst/>
                        </a:prstGeom>
                        <a:noFill/>
                        <a:ln>
                          <a:noFill/>
                        </a:ln>
                      </pic:spPr>
                    </pic:pic>
                  </a:graphicData>
                </a:graphic>
              </wp:inline>
            </w:drawing>
          </w:r>
        </w:p>
      </w:tc>
    </w:tr>
  </w:tbl>
  <w:p w:rsidR="00273A32" w:rsidRPr="006C261A" w:rsidRDefault="00273A32" w:rsidP="0039525B">
    <w:pPr>
      <w:pStyle w:val="Footer"/>
      <w:spacing w:before="0" w:after="0" w:line="240" w:lineRule="auto"/>
      <w:rPr>
        <w:rFonts w:ascii="Calibri" w:hAnsi="Calibr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CF" w:rsidRDefault="00F132CF" w:rsidP="00E946A0">
      <w:r>
        <w:separator/>
      </w:r>
    </w:p>
    <w:p w:rsidR="00F132CF" w:rsidRDefault="00F132CF" w:rsidP="00E946A0"/>
  </w:footnote>
  <w:footnote w:type="continuationSeparator" w:id="0">
    <w:p w:rsidR="00F132CF" w:rsidRDefault="00F132CF" w:rsidP="00E946A0">
      <w:r>
        <w:continuationSeparator/>
      </w:r>
    </w:p>
    <w:p w:rsidR="00F132CF" w:rsidRDefault="00F132C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273A32" w:rsidRPr="00563CB8" w:rsidTr="00E946A0">
      <w:tc>
        <w:tcPr>
          <w:tcW w:w="3708" w:type="dxa"/>
        </w:tcPr>
        <w:p w:rsidR="00273A32" w:rsidRPr="00563CB8" w:rsidRDefault="00273A32"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273A32" w:rsidRPr="00563CB8" w:rsidRDefault="00273A32" w:rsidP="00E946A0">
          <w:pPr>
            <w:jc w:val="center"/>
          </w:pPr>
          <w:r w:rsidRPr="00563CB8">
            <w:t>D R A F T</w:t>
          </w:r>
        </w:p>
      </w:tc>
      <w:tc>
        <w:tcPr>
          <w:tcW w:w="3438" w:type="dxa"/>
        </w:tcPr>
        <w:p w:rsidR="00273A32" w:rsidRPr="00E946A0" w:rsidRDefault="00273A32" w:rsidP="00E946A0">
          <w:pPr>
            <w:pStyle w:val="PageHeader"/>
            <w:jc w:val="right"/>
            <w:rPr>
              <w:b w:val="0"/>
            </w:rPr>
          </w:pPr>
          <w:r>
            <w:rPr>
              <w:b w:val="0"/>
            </w:rPr>
            <w:t>Grade 11 • Module 1 • Unit 2 • Lesson 24</w:t>
          </w:r>
        </w:p>
      </w:tc>
    </w:tr>
  </w:tbl>
  <w:p w:rsidR="00273A32" w:rsidRDefault="00273A32"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5660"/>
      <w:gridCol w:w="3709"/>
      <w:gridCol w:w="5247"/>
    </w:tblGrid>
    <w:tr w:rsidR="00273A32" w:rsidRPr="00563CB8" w:rsidTr="00E946A0">
      <w:tc>
        <w:tcPr>
          <w:tcW w:w="3708" w:type="dxa"/>
        </w:tcPr>
        <w:p w:rsidR="00273A32" w:rsidRPr="00563CB8" w:rsidRDefault="00273A32"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273A32" w:rsidRPr="00563CB8" w:rsidRDefault="00273A32" w:rsidP="00E946A0">
          <w:pPr>
            <w:jc w:val="center"/>
          </w:pPr>
          <w:r w:rsidRPr="00563CB8">
            <w:t>D R A F T</w:t>
          </w:r>
        </w:p>
      </w:tc>
      <w:tc>
        <w:tcPr>
          <w:tcW w:w="3438" w:type="dxa"/>
        </w:tcPr>
        <w:p w:rsidR="00273A32" w:rsidRPr="00E946A0" w:rsidRDefault="00273A32" w:rsidP="00E946A0">
          <w:pPr>
            <w:pStyle w:val="PageHeader"/>
            <w:jc w:val="right"/>
            <w:rPr>
              <w:b w:val="0"/>
            </w:rPr>
          </w:pPr>
          <w:r>
            <w:rPr>
              <w:b w:val="0"/>
            </w:rPr>
            <w:t>Grade 11 • Module 1 • Unit 2 • Lesson 24</w:t>
          </w:r>
        </w:p>
      </w:tc>
    </w:tr>
  </w:tbl>
  <w:p w:rsidR="00273A32" w:rsidRDefault="00273A3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E81"/>
    <w:multiLevelType w:val="hybridMultilevel"/>
    <w:tmpl w:val="0E6A49A0"/>
    <w:lvl w:ilvl="0" w:tplc="04FC7D2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911EE"/>
    <w:multiLevelType w:val="hybridMultilevel"/>
    <w:tmpl w:val="3FFC2A8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E8E2E51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836F6A"/>
    <w:multiLevelType w:val="hybridMultilevel"/>
    <w:tmpl w:val="8C9A5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D0A62E9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1C228392"/>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4762F39A"/>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BD921610"/>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C7907CD8"/>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1"/>
  </w:num>
  <w:num w:numId="4">
    <w:abstractNumId w:val="7"/>
  </w:num>
  <w:num w:numId="5">
    <w:abstractNumId w:val="4"/>
    <w:lvlOverride w:ilvl="0">
      <w:startOverride w:val="1"/>
    </w:lvlOverride>
  </w:num>
  <w:num w:numId="6">
    <w:abstractNumId w:val="8"/>
  </w:num>
  <w:num w:numId="7">
    <w:abstractNumId w:val="2"/>
  </w:num>
  <w:num w:numId="8">
    <w:abstractNumId w:val="6"/>
  </w:num>
  <w:num w:numId="9">
    <w:abstractNumId w:val="4"/>
  </w:num>
  <w:num w:numId="10">
    <w:abstractNumId w:val="4"/>
    <w:lvlOverride w:ilvl="0">
      <w:startOverride w:val="1"/>
    </w:lvlOverride>
  </w:num>
  <w:num w:numId="11">
    <w:abstractNumId w:val="0"/>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7CBA"/>
    <w:rsid w:val="00007F67"/>
    <w:rsid w:val="00010917"/>
    <w:rsid w:val="00011E99"/>
    <w:rsid w:val="000134DA"/>
    <w:rsid w:val="000137C5"/>
    <w:rsid w:val="00014D5D"/>
    <w:rsid w:val="00014FBC"/>
    <w:rsid w:val="00020527"/>
    <w:rsid w:val="00021589"/>
    <w:rsid w:val="00034778"/>
    <w:rsid w:val="000362EC"/>
    <w:rsid w:val="00053088"/>
    <w:rsid w:val="00062291"/>
    <w:rsid w:val="0006233C"/>
    <w:rsid w:val="00064850"/>
    <w:rsid w:val="00066123"/>
    <w:rsid w:val="0006776C"/>
    <w:rsid w:val="00071936"/>
    <w:rsid w:val="00072749"/>
    <w:rsid w:val="000742AA"/>
    <w:rsid w:val="00075649"/>
    <w:rsid w:val="00080A8A"/>
    <w:rsid w:val="000848B2"/>
    <w:rsid w:val="00086A06"/>
    <w:rsid w:val="00087DDD"/>
    <w:rsid w:val="00090200"/>
    <w:rsid w:val="00092730"/>
    <w:rsid w:val="00092C82"/>
    <w:rsid w:val="00095BBA"/>
    <w:rsid w:val="00096A06"/>
    <w:rsid w:val="000A1206"/>
    <w:rsid w:val="000A26A7"/>
    <w:rsid w:val="000A3640"/>
    <w:rsid w:val="000A6609"/>
    <w:rsid w:val="000B1882"/>
    <w:rsid w:val="000B2D56"/>
    <w:rsid w:val="000B3015"/>
    <w:rsid w:val="000B3836"/>
    <w:rsid w:val="000B6EA7"/>
    <w:rsid w:val="000C0112"/>
    <w:rsid w:val="000C169A"/>
    <w:rsid w:val="000C4439"/>
    <w:rsid w:val="000C4813"/>
    <w:rsid w:val="000C5656"/>
    <w:rsid w:val="000C5893"/>
    <w:rsid w:val="000D0F3D"/>
    <w:rsid w:val="000D0FAE"/>
    <w:rsid w:val="000D6FA4"/>
    <w:rsid w:val="000D7DE4"/>
    <w:rsid w:val="000D7F80"/>
    <w:rsid w:val="000E0B69"/>
    <w:rsid w:val="000E4DBA"/>
    <w:rsid w:val="000E4E4A"/>
    <w:rsid w:val="000F192C"/>
    <w:rsid w:val="000F2414"/>
    <w:rsid w:val="000F616B"/>
    <w:rsid w:val="000F7D35"/>
    <w:rsid w:val="000F7F56"/>
    <w:rsid w:val="0010235F"/>
    <w:rsid w:val="001055AA"/>
    <w:rsid w:val="00110A04"/>
    <w:rsid w:val="0011151D"/>
    <w:rsid w:val="00111A39"/>
    <w:rsid w:val="00113501"/>
    <w:rsid w:val="001143A0"/>
    <w:rsid w:val="001159C2"/>
    <w:rsid w:val="00121C27"/>
    <w:rsid w:val="001258FD"/>
    <w:rsid w:val="001262AC"/>
    <w:rsid w:val="00131809"/>
    <w:rsid w:val="00133528"/>
    <w:rsid w:val="001352AE"/>
    <w:rsid w:val="001362D4"/>
    <w:rsid w:val="00140413"/>
    <w:rsid w:val="00147E56"/>
    <w:rsid w:val="00150499"/>
    <w:rsid w:val="001509EC"/>
    <w:rsid w:val="0015118C"/>
    <w:rsid w:val="001545DA"/>
    <w:rsid w:val="00156124"/>
    <w:rsid w:val="001657A6"/>
    <w:rsid w:val="001671A2"/>
    <w:rsid w:val="001708C2"/>
    <w:rsid w:val="00171D20"/>
    <w:rsid w:val="001723D5"/>
    <w:rsid w:val="00175B00"/>
    <w:rsid w:val="0018630D"/>
    <w:rsid w:val="00186355"/>
    <w:rsid w:val="001864E6"/>
    <w:rsid w:val="00186FDA"/>
    <w:rsid w:val="0018762C"/>
    <w:rsid w:val="001945FA"/>
    <w:rsid w:val="00194F1D"/>
    <w:rsid w:val="001A5133"/>
    <w:rsid w:val="001B0794"/>
    <w:rsid w:val="001B1487"/>
    <w:rsid w:val="001C1C99"/>
    <w:rsid w:val="001C35E3"/>
    <w:rsid w:val="001C5188"/>
    <w:rsid w:val="001C6B70"/>
    <w:rsid w:val="001C6EA7"/>
    <w:rsid w:val="001D047B"/>
    <w:rsid w:val="001D0518"/>
    <w:rsid w:val="001D641A"/>
    <w:rsid w:val="001E189E"/>
    <w:rsid w:val="001F08AD"/>
    <w:rsid w:val="001F0991"/>
    <w:rsid w:val="001F4887"/>
    <w:rsid w:val="001F6C4F"/>
    <w:rsid w:val="002009F7"/>
    <w:rsid w:val="0020138A"/>
    <w:rsid w:val="00207C8B"/>
    <w:rsid w:val="00220F4C"/>
    <w:rsid w:val="00224590"/>
    <w:rsid w:val="00227ADE"/>
    <w:rsid w:val="002306FF"/>
    <w:rsid w:val="00231919"/>
    <w:rsid w:val="00236562"/>
    <w:rsid w:val="00240FF7"/>
    <w:rsid w:val="0024557C"/>
    <w:rsid w:val="00245B86"/>
    <w:rsid w:val="002473AF"/>
    <w:rsid w:val="002516D4"/>
    <w:rsid w:val="00251A7C"/>
    <w:rsid w:val="00251DAB"/>
    <w:rsid w:val="00252360"/>
    <w:rsid w:val="00252D78"/>
    <w:rsid w:val="002619B1"/>
    <w:rsid w:val="002635F4"/>
    <w:rsid w:val="00263AF5"/>
    <w:rsid w:val="002661A8"/>
    <w:rsid w:val="00273A32"/>
    <w:rsid w:val="002748DB"/>
    <w:rsid w:val="00274FEB"/>
    <w:rsid w:val="00276B33"/>
    <w:rsid w:val="00276DB9"/>
    <w:rsid w:val="0028184C"/>
    <w:rsid w:val="00284B9E"/>
    <w:rsid w:val="00284FC0"/>
    <w:rsid w:val="00290F88"/>
    <w:rsid w:val="0029527C"/>
    <w:rsid w:val="00297DC5"/>
    <w:rsid w:val="002A21DE"/>
    <w:rsid w:val="002A5337"/>
    <w:rsid w:val="002C0245"/>
    <w:rsid w:val="002C02FB"/>
    <w:rsid w:val="002C5F0D"/>
    <w:rsid w:val="002D3EF4"/>
    <w:rsid w:val="002D5EB9"/>
    <w:rsid w:val="002D632F"/>
    <w:rsid w:val="002E27AE"/>
    <w:rsid w:val="002E4C92"/>
    <w:rsid w:val="002F03D2"/>
    <w:rsid w:val="002F3D65"/>
    <w:rsid w:val="00301CB1"/>
    <w:rsid w:val="003067BF"/>
    <w:rsid w:val="00307091"/>
    <w:rsid w:val="00311E81"/>
    <w:rsid w:val="00317306"/>
    <w:rsid w:val="003201AC"/>
    <w:rsid w:val="0032239A"/>
    <w:rsid w:val="00335168"/>
    <w:rsid w:val="003368BF"/>
    <w:rsid w:val="003438ED"/>
    <w:rsid w:val="003440A9"/>
    <w:rsid w:val="00347761"/>
    <w:rsid w:val="00347DD9"/>
    <w:rsid w:val="003507F1"/>
    <w:rsid w:val="00350B03"/>
    <w:rsid w:val="00351804"/>
    <w:rsid w:val="00351F18"/>
    <w:rsid w:val="00352361"/>
    <w:rsid w:val="00353081"/>
    <w:rsid w:val="00355B9E"/>
    <w:rsid w:val="00356656"/>
    <w:rsid w:val="00362010"/>
    <w:rsid w:val="003634BA"/>
    <w:rsid w:val="00364CD8"/>
    <w:rsid w:val="00370C53"/>
    <w:rsid w:val="00371260"/>
    <w:rsid w:val="00372441"/>
    <w:rsid w:val="0037258B"/>
    <w:rsid w:val="00374C35"/>
    <w:rsid w:val="00376DBB"/>
    <w:rsid w:val="003826B0"/>
    <w:rsid w:val="0038382F"/>
    <w:rsid w:val="00383A2A"/>
    <w:rsid w:val="0038517E"/>
    <w:rsid w:val="003851B2"/>
    <w:rsid w:val="003854D3"/>
    <w:rsid w:val="003908D2"/>
    <w:rsid w:val="003924D0"/>
    <w:rsid w:val="00394A1D"/>
    <w:rsid w:val="0039525B"/>
    <w:rsid w:val="003A0095"/>
    <w:rsid w:val="003A1340"/>
    <w:rsid w:val="003A2BF5"/>
    <w:rsid w:val="003A3AB0"/>
    <w:rsid w:val="003A6785"/>
    <w:rsid w:val="003B3DB9"/>
    <w:rsid w:val="003B59FB"/>
    <w:rsid w:val="003B762D"/>
    <w:rsid w:val="003B7708"/>
    <w:rsid w:val="003C2022"/>
    <w:rsid w:val="003C24AD"/>
    <w:rsid w:val="003C4BEF"/>
    <w:rsid w:val="003D2601"/>
    <w:rsid w:val="003D27E3"/>
    <w:rsid w:val="003D28E6"/>
    <w:rsid w:val="003D5739"/>
    <w:rsid w:val="003D7469"/>
    <w:rsid w:val="003E12C2"/>
    <w:rsid w:val="003E2C04"/>
    <w:rsid w:val="003E3757"/>
    <w:rsid w:val="003E693A"/>
    <w:rsid w:val="003F2833"/>
    <w:rsid w:val="003F3D65"/>
    <w:rsid w:val="00400366"/>
    <w:rsid w:val="00405198"/>
    <w:rsid w:val="004179FD"/>
    <w:rsid w:val="00417E19"/>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D55"/>
    <w:rsid w:val="00493CC5"/>
    <w:rsid w:val="0049409E"/>
    <w:rsid w:val="004A3F30"/>
    <w:rsid w:val="004B22B8"/>
    <w:rsid w:val="004B3311"/>
    <w:rsid w:val="004B3E41"/>
    <w:rsid w:val="004B552B"/>
    <w:rsid w:val="004B7C07"/>
    <w:rsid w:val="004C602D"/>
    <w:rsid w:val="004C6CD8"/>
    <w:rsid w:val="004C770A"/>
    <w:rsid w:val="004D2C5C"/>
    <w:rsid w:val="004D487C"/>
    <w:rsid w:val="004D5473"/>
    <w:rsid w:val="004D7029"/>
    <w:rsid w:val="004E1B0E"/>
    <w:rsid w:val="004F2363"/>
    <w:rsid w:val="004F2969"/>
    <w:rsid w:val="004F353F"/>
    <w:rsid w:val="004F57B9"/>
    <w:rsid w:val="004F62CF"/>
    <w:rsid w:val="00502FAD"/>
    <w:rsid w:val="00507DF5"/>
    <w:rsid w:val="005121D2"/>
    <w:rsid w:val="00513B61"/>
    <w:rsid w:val="00513C73"/>
    <w:rsid w:val="00513E84"/>
    <w:rsid w:val="00517918"/>
    <w:rsid w:val="0052385B"/>
    <w:rsid w:val="0052413A"/>
    <w:rsid w:val="00524674"/>
    <w:rsid w:val="0052748A"/>
    <w:rsid w:val="0052769A"/>
    <w:rsid w:val="00527DE8"/>
    <w:rsid w:val="005324A5"/>
    <w:rsid w:val="0053542D"/>
    <w:rsid w:val="00540AF7"/>
    <w:rsid w:val="00541A6A"/>
    <w:rsid w:val="00542523"/>
    <w:rsid w:val="00546D71"/>
    <w:rsid w:val="0054791C"/>
    <w:rsid w:val="0055340D"/>
    <w:rsid w:val="0055385D"/>
    <w:rsid w:val="00561640"/>
    <w:rsid w:val="00563CB8"/>
    <w:rsid w:val="00563DC9"/>
    <w:rsid w:val="005641F5"/>
    <w:rsid w:val="00565871"/>
    <w:rsid w:val="00567E85"/>
    <w:rsid w:val="00570901"/>
    <w:rsid w:val="00575C24"/>
    <w:rsid w:val="00576E4A"/>
    <w:rsid w:val="0058079F"/>
    <w:rsid w:val="00581401"/>
    <w:rsid w:val="005817F3"/>
    <w:rsid w:val="005837C5"/>
    <w:rsid w:val="00583FF7"/>
    <w:rsid w:val="00585771"/>
    <w:rsid w:val="00585A0D"/>
    <w:rsid w:val="005875D8"/>
    <w:rsid w:val="00592D68"/>
    <w:rsid w:val="00593697"/>
    <w:rsid w:val="00595905"/>
    <w:rsid w:val="005960E3"/>
    <w:rsid w:val="005A64F1"/>
    <w:rsid w:val="005A7968"/>
    <w:rsid w:val="005B22B2"/>
    <w:rsid w:val="005B3D78"/>
    <w:rsid w:val="005B6E3F"/>
    <w:rsid w:val="005B7722"/>
    <w:rsid w:val="005B7E6E"/>
    <w:rsid w:val="005C7B5F"/>
    <w:rsid w:val="005C7ED8"/>
    <w:rsid w:val="005D7C72"/>
    <w:rsid w:val="005E2E87"/>
    <w:rsid w:val="005F147C"/>
    <w:rsid w:val="005F5D35"/>
    <w:rsid w:val="005F657A"/>
    <w:rsid w:val="006026B4"/>
    <w:rsid w:val="0060303A"/>
    <w:rsid w:val="00603970"/>
    <w:rsid w:val="006044CD"/>
    <w:rsid w:val="00607856"/>
    <w:rsid w:val="006124D5"/>
    <w:rsid w:val="00614D7F"/>
    <w:rsid w:val="0062277B"/>
    <w:rsid w:val="006229DE"/>
    <w:rsid w:val="006261E1"/>
    <w:rsid w:val="00626E4A"/>
    <w:rsid w:val="0063653C"/>
    <w:rsid w:val="006375AF"/>
    <w:rsid w:val="00641DC5"/>
    <w:rsid w:val="00643550"/>
    <w:rsid w:val="00644540"/>
    <w:rsid w:val="00645C3F"/>
    <w:rsid w:val="00646088"/>
    <w:rsid w:val="00651092"/>
    <w:rsid w:val="00653ABB"/>
    <w:rsid w:val="0066211A"/>
    <w:rsid w:val="00663A00"/>
    <w:rsid w:val="006661AE"/>
    <w:rsid w:val="006667A3"/>
    <w:rsid w:val="0068018C"/>
    <w:rsid w:val="00685A4B"/>
    <w:rsid w:val="0069247E"/>
    <w:rsid w:val="006A09D6"/>
    <w:rsid w:val="006A3594"/>
    <w:rsid w:val="006B0965"/>
    <w:rsid w:val="006B61DD"/>
    <w:rsid w:val="006B7CCB"/>
    <w:rsid w:val="006C261A"/>
    <w:rsid w:val="006C63A5"/>
    <w:rsid w:val="006D5208"/>
    <w:rsid w:val="006E0AF7"/>
    <w:rsid w:val="006E4C84"/>
    <w:rsid w:val="006E7A67"/>
    <w:rsid w:val="006E7D3C"/>
    <w:rsid w:val="006F3BD7"/>
    <w:rsid w:val="00706F7A"/>
    <w:rsid w:val="00707670"/>
    <w:rsid w:val="0071568E"/>
    <w:rsid w:val="0072440D"/>
    <w:rsid w:val="00724760"/>
    <w:rsid w:val="00726941"/>
    <w:rsid w:val="00730123"/>
    <w:rsid w:val="0073192F"/>
    <w:rsid w:val="00733C74"/>
    <w:rsid w:val="00737EB8"/>
    <w:rsid w:val="00737EE7"/>
    <w:rsid w:val="00741955"/>
    <w:rsid w:val="007623AE"/>
    <w:rsid w:val="0076269D"/>
    <w:rsid w:val="00766336"/>
    <w:rsid w:val="0076658E"/>
    <w:rsid w:val="00767641"/>
    <w:rsid w:val="00772135"/>
    <w:rsid w:val="00772FCA"/>
    <w:rsid w:val="0077398D"/>
    <w:rsid w:val="00796D57"/>
    <w:rsid w:val="00797281"/>
    <w:rsid w:val="00797490"/>
    <w:rsid w:val="007A1D44"/>
    <w:rsid w:val="007B0EDD"/>
    <w:rsid w:val="007B764B"/>
    <w:rsid w:val="007C14C1"/>
    <w:rsid w:val="007C2C70"/>
    <w:rsid w:val="007C4F34"/>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3CF3"/>
    <w:rsid w:val="008572B2"/>
    <w:rsid w:val="00860A88"/>
    <w:rsid w:val="00864A80"/>
    <w:rsid w:val="00872393"/>
    <w:rsid w:val="008732CC"/>
    <w:rsid w:val="00874176"/>
    <w:rsid w:val="00874AF4"/>
    <w:rsid w:val="00875D0A"/>
    <w:rsid w:val="00876632"/>
    <w:rsid w:val="0088097B"/>
    <w:rsid w:val="00880AAD"/>
    <w:rsid w:val="00883761"/>
    <w:rsid w:val="00884AB6"/>
    <w:rsid w:val="008907FE"/>
    <w:rsid w:val="00893930"/>
    <w:rsid w:val="00893A85"/>
    <w:rsid w:val="008A0F55"/>
    <w:rsid w:val="008A1774"/>
    <w:rsid w:val="008A2DA8"/>
    <w:rsid w:val="008A5010"/>
    <w:rsid w:val="008A7263"/>
    <w:rsid w:val="008B1311"/>
    <w:rsid w:val="008B31CC"/>
    <w:rsid w:val="008B456C"/>
    <w:rsid w:val="008B5DE1"/>
    <w:rsid w:val="008C1826"/>
    <w:rsid w:val="008C4F9E"/>
    <w:rsid w:val="008C7679"/>
    <w:rsid w:val="008D0396"/>
    <w:rsid w:val="008D3566"/>
    <w:rsid w:val="008D3BC0"/>
    <w:rsid w:val="008D5D6B"/>
    <w:rsid w:val="008E2674"/>
    <w:rsid w:val="009000C9"/>
    <w:rsid w:val="00903656"/>
    <w:rsid w:val="009062ED"/>
    <w:rsid w:val="0090775D"/>
    <w:rsid w:val="00910D8E"/>
    <w:rsid w:val="009122B3"/>
    <w:rsid w:val="009135A8"/>
    <w:rsid w:val="00917065"/>
    <w:rsid w:val="0091722D"/>
    <w:rsid w:val="0092273E"/>
    <w:rsid w:val="00922E34"/>
    <w:rsid w:val="00933100"/>
    <w:rsid w:val="009403AD"/>
    <w:rsid w:val="0094277B"/>
    <w:rsid w:val="009449B1"/>
    <w:rsid w:val="00946B54"/>
    <w:rsid w:val="0096199D"/>
    <w:rsid w:val="00962802"/>
    <w:rsid w:val="00963CDE"/>
    <w:rsid w:val="009663D3"/>
    <w:rsid w:val="00966D72"/>
    <w:rsid w:val="00967678"/>
    <w:rsid w:val="00971290"/>
    <w:rsid w:val="0097223B"/>
    <w:rsid w:val="009732BA"/>
    <w:rsid w:val="0097532C"/>
    <w:rsid w:val="0098148A"/>
    <w:rsid w:val="009850CF"/>
    <w:rsid w:val="009859E7"/>
    <w:rsid w:val="009A0390"/>
    <w:rsid w:val="009A3159"/>
    <w:rsid w:val="009B0189"/>
    <w:rsid w:val="009B0F30"/>
    <w:rsid w:val="009B12D0"/>
    <w:rsid w:val="009B14FE"/>
    <w:rsid w:val="009B4FE2"/>
    <w:rsid w:val="009B7417"/>
    <w:rsid w:val="009B7C85"/>
    <w:rsid w:val="009C0391"/>
    <w:rsid w:val="009C2014"/>
    <w:rsid w:val="009C28BD"/>
    <w:rsid w:val="009C3C09"/>
    <w:rsid w:val="009C5E4B"/>
    <w:rsid w:val="009D0B7A"/>
    <w:rsid w:val="009D12CD"/>
    <w:rsid w:val="009D2572"/>
    <w:rsid w:val="009E05C6"/>
    <w:rsid w:val="009E07D2"/>
    <w:rsid w:val="009E734D"/>
    <w:rsid w:val="009F31D9"/>
    <w:rsid w:val="009F3652"/>
    <w:rsid w:val="00A015E8"/>
    <w:rsid w:val="00A0163A"/>
    <w:rsid w:val="00A033C8"/>
    <w:rsid w:val="00A06FAF"/>
    <w:rsid w:val="00A07A4E"/>
    <w:rsid w:val="00A14F0A"/>
    <w:rsid w:val="00A24DAB"/>
    <w:rsid w:val="00A253EA"/>
    <w:rsid w:val="00A32E00"/>
    <w:rsid w:val="00A428C2"/>
    <w:rsid w:val="00A4462B"/>
    <w:rsid w:val="00A4688B"/>
    <w:rsid w:val="00A515C1"/>
    <w:rsid w:val="00A6120D"/>
    <w:rsid w:val="00A65FF8"/>
    <w:rsid w:val="00A724E5"/>
    <w:rsid w:val="00A75116"/>
    <w:rsid w:val="00A769B3"/>
    <w:rsid w:val="00A77308"/>
    <w:rsid w:val="00A83CCF"/>
    <w:rsid w:val="00A908AC"/>
    <w:rsid w:val="00A937CA"/>
    <w:rsid w:val="00A948B3"/>
    <w:rsid w:val="00A95E92"/>
    <w:rsid w:val="00A968CA"/>
    <w:rsid w:val="00AA0831"/>
    <w:rsid w:val="00AA1DC0"/>
    <w:rsid w:val="00AA5F43"/>
    <w:rsid w:val="00AB5B0C"/>
    <w:rsid w:val="00AC1DE5"/>
    <w:rsid w:val="00AC1F67"/>
    <w:rsid w:val="00AC2AB4"/>
    <w:rsid w:val="00AC6562"/>
    <w:rsid w:val="00AD26BF"/>
    <w:rsid w:val="00AD2E2E"/>
    <w:rsid w:val="00AD440D"/>
    <w:rsid w:val="00AD745A"/>
    <w:rsid w:val="00AE01CA"/>
    <w:rsid w:val="00AE14E2"/>
    <w:rsid w:val="00AE3076"/>
    <w:rsid w:val="00AF1F26"/>
    <w:rsid w:val="00AF3526"/>
    <w:rsid w:val="00AF5A63"/>
    <w:rsid w:val="00B00346"/>
    <w:rsid w:val="00B044E7"/>
    <w:rsid w:val="00B10BF2"/>
    <w:rsid w:val="00B13102"/>
    <w:rsid w:val="00B1409A"/>
    <w:rsid w:val="00B205E1"/>
    <w:rsid w:val="00B20B90"/>
    <w:rsid w:val="00B231AA"/>
    <w:rsid w:val="00B23AD5"/>
    <w:rsid w:val="00B2573A"/>
    <w:rsid w:val="00B27639"/>
    <w:rsid w:val="00B30BF5"/>
    <w:rsid w:val="00B31BA2"/>
    <w:rsid w:val="00B32131"/>
    <w:rsid w:val="00B46C45"/>
    <w:rsid w:val="00B5282C"/>
    <w:rsid w:val="00B57A9F"/>
    <w:rsid w:val="00B6092B"/>
    <w:rsid w:val="00B66DB7"/>
    <w:rsid w:val="00B71188"/>
    <w:rsid w:val="00B7194E"/>
    <w:rsid w:val="00B75489"/>
    <w:rsid w:val="00B76D5E"/>
    <w:rsid w:val="00B80621"/>
    <w:rsid w:val="00B84620"/>
    <w:rsid w:val="00B94450"/>
    <w:rsid w:val="00B955BE"/>
    <w:rsid w:val="00BA4548"/>
    <w:rsid w:val="00BA536E"/>
    <w:rsid w:val="00BA6CB2"/>
    <w:rsid w:val="00BA6E05"/>
    <w:rsid w:val="00BA7D7C"/>
    <w:rsid w:val="00BA7F1C"/>
    <w:rsid w:val="00BB27BA"/>
    <w:rsid w:val="00BB2E42"/>
    <w:rsid w:val="00BB3487"/>
    <w:rsid w:val="00BB459A"/>
    <w:rsid w:val="00BB4709"/>
    <w:rsid w:val="00BC0FE2"/>
    <w:rsid w:val="00BC1873"/>
    <w:rsid w:val="00BC3880"/>
    <w:rsid w:val="00BC4ADE"/>
    <w:rsid w:val="00BC54A9"/>
    <w:rsid w:val="00BC55AA"/>
    <w:rsid w:val="00BC6EA8"/>
    <w:rsid w:val="00BD28C9"/>
    <w:rsid w:val="00BD2BED"/>
    <w:rsid w:val="00BD7AD4"/>
    <w:rsid w:val="00BD7B6F"/>
    <w:rsid w:val="00BE4EBD"/>
    <w:rsid w:val="00BE6EFE"/>
    <w:rsid w:val="00BF1ADB"/>
    <w:rsid w:val="00BF6DF5"/>
    <w:rsid w:val="00BF78C7"/>
    <w:rsid w:val="00C02E75"/>
    <w:rsid w:val="00C02EC2"/>
    <w:rsid w:val="00C06CFF"/>
    <w:rsid w:val="00C07D88"/>
    <w:rsid w:val="00C151B9"/>
    <w:rsid w:val="00C17AF0"/>
    <w:rsid w:val="00C208EA"/>
    <w:rsid w:val="00C2283A"/>
    <w:rsid w:val="00C252EF"/>
    <w:rsid w:val="00C25C43"/>
    <w:rsid w:val="00C27E34"/>
    <w:rsid w:val="00C3170C"/>
    <w:rsid w:val="00C34B83"/>
    <w:rsid w:val="00C35ED6"/>
    <w:rsid w:val="00C419B4"/>
    <w:rsid w:val="00C42C58"/>
    <w:rsid w:val="00C441BE"/>
    <w:rsid w:val="00C4787C"/>
    <w:rsid w:val="00C5015B"/>
    <w:rsid w:val="00C512D6"/>
    <w:rsid w:val="00C52FD6"/>
    <w:rsid w:val="00C61F6B"/>
    <w:rsid w:val="00C64E5B"/>
    <w:rsid w:val="00C66ECF"/>
    <w:rsid w:val="00C7162F"/>
    <w:rsid w:val="00C745E1"/>
    <w:rsid w:val="00C920BB"/>
    <w:rsid w:val="00C9359E"/>
    <w:rsid w:val="00C94AC5"/>
    <w:rsid w:val="00C9623A"/>
    <w:rsid w:val="00CA1736"/>
    <w:rsid w:val="00CA4D5D"/>
    <w:rsid w:val="00CA5055"/>
    <w:rsid w:val="00CA53F8"/>
    <w:rsid w:val="00CA6CC7"/>
    <w:rsid w:val="00CB4795"/>
    <w:rsid w:val="00CC1BF8"/>
    <w:rsid w:val="00CC2982"/>
    <w:rsid w:val="00CC3C40"/>
    <w:rsid w:val="00CC4C5B"/>
    <w:rsid w:val="00CC605E"/>
    <w:rsid w:val="00CC6E60"/>
    <w:rsid w:val="00CD1A34"/>
    <w:rsid w:val="00CD3A81"/>
    <w:rsid w:val="00CD4793"/>
    <w:rsid w:val="00CD61D0"/>
    <w:rsid w:val="00CD6554"/>
    <w:rsid w:val="00CE0D9A"/>
    <w:rsid w:val="00CE2836"/>
    <w:rsid w:val="00CE5BEA"/>
    <w:rsid w:val="00CE6C54"/>
    <w:rsid w:val="00CE704C"/>
    <w:rsid w:val="00CF08C2"/>
    <w:rsid w:val="00CF2582"/>
    <w:rsid w:val="00CF25F4"/>
    <w:rsid w:val="00CF2986"/>
    <w:rsid w:val="00CF71AF"/>
    <w:rsid w:val="00D031FA"/>
    <w:rsid w:val="00D066C5"/>
    <w:rsid w:val="00D16E2D"/>
    <w:rsid w:val="00D22B12"/>
    <w:rsid w:val="00D2326D"/>
    <w:rsid w:val="00D257AC"/>
    <w:rsid w:val="00D3179C"/>
    <w:rsid w:val="00D31C4D"/>
    <w:rsid w:val="00D3492E"/>
    <w:rsid w:val="00D36C11"/>
    <w:rsid w:val="00D374A9"/>
    <w:rsid w:val="00D41B54"/>
    <w:rsid w:val="00D4259D"/>
    <w:rsid w:val="00D44710"/>
    <w:rsid w:val="00D455AA"/>
    <w:rsid w:val="00D4700C"/>
    <w:rsid w:val="00D479EE"/>
    <w:rsid w:val="00D52801"/>
    <w:rsid w:val="00D5676B"/>
    <w:rsid w:val="00D57066"/>
    <w:rsid w:val="00D87656"/>
    <w:rsid w:val="00D920A6"/>
    <w:rsid w:val="00D9328F"/>
    <w:rsid w:val="00D94FAB"/>
    <w:rsid w:val="00D95A65"/>
    <w:rsid w:val="00DA030E"/>
    <w:rsid w:val="00DA5BE2"/>
    <w:rsid w:val="00DB34C3"/>
    <w:rsid w:val="00DB3C98"/>
    <w:rsid w:val="00DC0419"/>
    <w:rsid w:val="00DC0591"/>
    <w:rsid w:val="00DC1251"/>
    <w:rsid w:val="00DC4F00"/>
    <w:rsid w:val="00DD6609"/>
    <w:rsid w:val="00DD6BA0"/>
    <w:rsid w:val="00DF3D1C"/>
    <w:rsid w:val="00DF5111"/>
    <w:rsid w:val="00E0286B"/>
    <w:rsid w:val="00E16070"/>
    <w:rsid w:val="00E22A24"/>
    <w:rsid w:val="00E26A26"/>
    <w:rsid w:val="00E31D9D"/>
    <w:rsid w:val="00E3245A"/>
    <w:rsid w:val="00E3401A"/>
    <w:rsid w:val="00E45753"/>
    <w:rsid w:val="00E46711"/>
    <w:rsid w:val="00E473F5"/>
    <w:rsid w:val="00E53E91"/>
    <w:rsid w:val="00E560AD"/>
    <w:rsid w:val="00E56C25"/>
    <w:rsid w:val="00E6036C"/>
    <w:rsid w:val="00E60525"/>
    <w:rsid w:val="00E618D5"/>
    <w:rsid w:val="00E63363"/>
    <w:rsid w:val="00E6588C"/>
    <w:rsid w:val="00E65C14"/>
    <w:rsid w:val="00E65DC2"/>
    <w:rsid w:val="00E72F5F"/>
    <w:rsid w:val="00E73328"/>
    <w:rsid w:val="00E7559A"/>
    <w:rsid w:val="00E77533"/>
    <w:rsid w:val="00E7754E"/>
    <w:rsid w:val="00E81263"/>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A0B"/>
    <w:rsid w:val="00EC3F22"/>
    <w:rsid w:val="00ED0044"/>
    <w:rsid w:val="00ED2574"/>
    <w:rsid w:val="00ED34EC"/>
    <w:rsid w:val="00ED47CA"/>
    <w:rsid w:val="00ED491F"/>
    <w:rsid w:val="00EE360E"/>
    <w:rsid w:val="00EE5F60"/>
    <w:rsid w:val="00EE66B9"/>
    <w:rsid w:val="00EF12C5"/>
    <w:rsid w:val="00EF314C"/>
    <w:rsid w:val="00F07B41"/>
    <w:rsid w:val="00F10A66"/>
    <w:rsid w:val="00F10E4E"/>
    <w:rsid w:val="00F10E78"/>
    <w:rsid w:val="00F10E87"/>
    <w:rsid w:val="00F12958"/>
    <w:rsid w:val="00F132CF"/>
    <w:rsid w:val="00F143C7"/>
    <w:rsid w:val="00F21CD9"/>
    <w:rsid w:val="00F27F2D"/>
    <w:rsid w:val="00F308FF"/>
    <w:rsid w:val="00F31C37"/>
    <w:rsid w:val="00F32178"/>
    <w:rsid w:val="00F355C2"/>
    <w:rsid w:val="00F37F20"/>
    <w:rsid w:val="00F41D88"/>
    <w:rsid w:val="00F43401"/>
    <w:rsid w:val="00F43553"/>
    <w:rsid w:val="00F4386A"/>
    <w:rsid w:val="00F44637"/>
    <w:rsid w:val="00F4480D"/>
    <w:rsid w:val="00F457A9"/>
    <w:rsid w:val="00F52488"/>
    <w:rsid w:val="00F544D9"/>
    <w:rsid w:val="00F55F78"/>
    <w:rsid w:val="00F57412"/>
    <w:rsid w:val="00F60C57"/>
    <w:rsid w:val="00F64807"/>
    <w:rsid w:val="00F6568B"/>
    <w:rsid w:val="00F814D5"/>
    <w:rsid w:val="00F87643"/>
    <w:rsid w:val="00F9169A"/>
    <w:rsid w:val="00F92CB6"/>
    <w:rsid w:val="00F942C8"/>
    <w:rsid w:val="00FA0A05"/>
    <w:rsid w:val="00FA3204"/>
    <w:rsid w:val="00FA3976"/>
    <w:rsid w:val="00FB2878"/>
    <w:rsid w:val="00FB2D1D"/>
    <w:rsid w:val="00FB5382"/>
    <w:rsid w:val="00FB75ED"/>
    <w:rsid w:val="00FC349F"/>
    <w:rsid w:val="00FC714C"/>
    <w:rsid w:val="00FD275D"/>
    <w:rsid w:val="00FD6A91"/>
    <w:rsid w:val="00FE12D4"/>
    <w:rsid w:val="00FE28A3"/>
    <w:rsid w:val="00FE2A44"/>
    <w:rsid w:val="00FE5489"/>
    <w:rsid w:val="00FE5815"/>
    <w:rsid w:val="00FE662D"/>
    <w:rsid w:val="00FE6666"/>
    <w:rsid w:val="00FF1FA1"/>
    <w:rsid w:val="00FF2AFB"/>
    <w:rsid w:val="00FF40FF"/>
    <w:rsid w:val="00FF6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C261A"/>
    <w:pPr>
      <w:spacing w:before="60" w:after="180" w:line="276" w:lineRule="auto"/>
    </w:pPr>
  </w:style>
  <w:style w:type="paragraph" w:styleId="Heading1">
    <w:name w:val="heading 1"/>
    <w:aliases w:val="*Headers"/>
    <w:basedOn w:val="Normal"/>
    <w:next w:val="Normal"/>
    <w:link w:val="Heading1Char"/>
    <w:uiPriority w:val="9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F32178"/>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9"/>
    <w:locked/>
    <w:rsid w:val="00A24DAB"/>
    <w:rPr>
      <w:rFonts w:ascii="Calibri" w:hAnsi="Calibri" w:cs="Times New Roman"/>
      <w:b/>
      <w:color w:val="365F91"/>
      <w:sz w:val="28"/>
    </w:rPr>
  </w:style>
  <w:style w:type="character" w:customStyle="1" w:styleId="Heading2Char">
    <w:name w:val="Heading 2 Char"/>
    <w:basedOn w:val="DefaultParagraphFont"/>
    <w:link w:val="Heading2"/>
    <w:uiPriority w:val="99"/>
    <w:locked/>
    <w:rsid w:val="00A4688B"/>
    <w:rPr>
      <w:rFonts w:ascii="Cambria" w:hAnsi="Cambria" w:cs="Times New Roman"/>
      <w:b/>
      <w:i/>
      <w:color w:val="4F81BD"/>
      <w:sz w:val="26"/>
    </w:rPr>
  </w:style>
  <w:style w:type="character" w:customStyle="1" w:styleId="Heading3Char">
    <w:name w:val="Heading 3 Char"/>
    <w:basedOn w:val="DefaultParagraphFont"/>
    <w:link w:val="Heading3"/>
    <w:uiPriority w:val="99"/>
    <w:locked/>
    <w:rsid w:val="00F32178"/>
    <w:rPr>
      <w:rFonts w:ascii="Cambria" w:hAnsi="Cambria" w:cs="Times New Roman"/>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Times New Roman"/>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F32178"/>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F32178"/>
    <w:rPr>
      <w:rFonts w:eastAsia="Times New Roman" w:cs="Times New Roman"/>
    </w:rPr>
  </w:style>
  <w:style w:type="paragraph" w:styleId="NormalWeb">
    <w:name w:val="Normal (Web)"/>
    <w:basedOn w:val="Normal"/>
    <w:uiPriority w:val="99"/>
    <w:rsid w:val="00F3217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2178"/>
    <w:rPr>
      <w:rFonts w:cs="Times New Roman"/>
      <w:sz w:val="16"/>
    </w:rPr>
  </w:style>
  <w:style w:type="paragraph" w:styleId="CommentText">
    <w:name w:val="annotation text"/>
    <w:basedOn w:val="Normal"/>
    <w:link w:val="CommentTextChar"/>
    <w:uiPriority w:val="99"/>
    <w:rsid w:val="00F32178"/>
    <w:rPr>
      <w:rFonts w:eastAsia="Times New Roman"/>
      <w:sz w:val="20"/>
      <w:szCs w:val="20"/>
    </w:rPr>
  </w:style>
  <w:style w:type="character" w:customStyle="1" w:styleId="CommentTextChar">
    <w:name w:val="Comment Text Char"/>
    <w:basedOn w:val="DefaultParagraphFont"/>
    <w:link w:val="CommentText"/>
    <w:uiPriority w:val="99"/>
    <w:locked/>
    <w:rsid w:val="00F32178"/>
    <w:rPr>
      <w:rFonts w:eastAsia="Times New Roman" w:cs="Times New Roman"/>
    </w:rPr>
  </w:style>
  <w:style w:type="paragraph" w:styleId="CommentSubject">
    <w:name w:val="annotation subject"/>
    <w:basedOn w:val="CommentText"/>
    <w:next w:val="CommentText"/>
    <w:link w:val="CommentSubjectChar"/>
    <w:uiPriority w:val="99"/>
    <w:semiHidden/>
    <w:rsid w:val="00F32178"/>
    <w:rPr>
      <w:b/>
      <w:bCs/>
    </w:rPr>
  </w:style>
  <w:style w:type="character" w:customStyle="1" w:styleId="CommentSubjectChar">
    <w:name w:val="Comment Subject Char"/>
    <w:basedOn w:val="CommentTextChar"/>
    <w:link w:val="CommentSubject"/>
    <w:uiPriority w:val="99"/>
    <w:semiHidden/>
    <w:locked/>
    <w:rsid w:val="00F32178"/>
    <w:rPr>
      <w:rFonts w:eastAsia="Times New Roman" w:cs="Times New Roman"/>
      <w:b/>
    </w:rPr>
  </w:style>
  <w:style w:type="paragraph" w:styleId="BalloonText">
    <w:name w:val="Balloon Text"/>
    <w:basedOn w:val="Normal"/>
    <w:link w:val="BalloonTextChar"/>
    <w:uiPriority w:val="99"/>
    <w:semiHidden/>
    <w:rsid w:val="00F32178"/>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F32178"/>
    <w:rPr>
      <w:rFonts w:ascii="Tahoma" w:hAnsi="Tahoma" w:cs="Times New Roman"/>
      <w:sz w:val="16"/>
    </w:rPr>
  </w:style>
  <w:style w:type="paragraph" w:customStyle="1" w:styleId="Pa4">
    <w:name w:val="Pa4"/>
    <w:basedOn w:val="Normal"/>
    <w:next w:val="Normal"/>
    <w:uiPriority w:val="99"/>
    <w:rsid w:val="00F32178"/>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F32178"/>
    <w:rPr>
      <w:rFonts w:cs="Times New Roman"/>
      <w:color w:val="0000FF"/>
      <w:u w:val="single"/>
    </w:rPr>
  </w:style>
  <w:style w:type="table" w:styleId="TableGrid">
    <w:name w:val="Table Grid"/>
    <w:basedOn w:val="TableNormal"/>
    <w:uiPriority w:val="99"/>
    <w:rsid w:val="00F32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rFonts w:cs="Times New Roman"/>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6C261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6C261A"/>
    <w:rPr>
      <w:rFonts w:asciiTheme="minorHAnsi" w:hAnsiTheme="minorHAnsi" w:cs="Times New Roman"/>
      <w:b/>
      <w:bCs/>
      <w:i w:val="0"/>
      <w:color w:val="4F81BD"/>
      <w:sz w:val="28"/>
      <w:szCs w:val="26"/>
    </w:rPr>
  </w:style>
  <w:style w:type="paragraph" w:customStyle="1" w:styleId="TA">
    <w:name w:val="*TA*"/>
    <w:link w:val="TAChar"/>
    <w:qFormat/>
    <w:rsid w:val="006C261A"/>
    <w:pPr>
      <w:spacing w:before="180" w:after="180" w:line="276" w:lineRule="auto"/>
    </w:pPr>
  </w:style>
  <w:style w:type="character" w:customStyle="1" w:styleId="TAChar">
    <w:name w:val="*TA* Char"/>
    <w:basedOn w:val="DefaultParagraphFont"/>
    <w:link w:val="TA"/>
    <w:locked/>
    <w:rsid w:val="006C261A"/>
  </w:style>
  <w:style w:type="paragraph" w:customStyle="1" w:styleId="IN">
    <w:name w:val="*IN*"/>
    <w:link w:val="INChar"/>
    <w:uiPriority w:val="99"/>
    <w:qFormat/>
    <w:rsid w:val="00394A1D"/>
    <w:pPr>
      <w:numPr>
        <w:numId w:val="3"/>
      </w:numPr>
      <w:spacing w:before="120" w:after="60" w:line="276" w:lineRule="auto"/>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394A1D"/>
    <w:pPr>
      <w:numPr>
        <w:numId w:val="2"/>
      </w:numPr>
      <w:spacing w:before="60" w:after="60" w:line="276" w:lineRule="auto"/>
      <w:ind w:left="360"/>
    </w:pPr>
  </w:style>
  <w:style w:type="character" w:customStyle="1" w:styleId="INChar">
    <w:name w:val="*IN* Char"/>
    <w:basedOn w:val="DefaultParagraphFont"/>
    <w:link w:val="IN"/>
    <w:uiPriority w:val="99"/>
    <w:locked/>
    <w:rsid w:val="00394A1D"/>
    <w:rPr>
      <w:color w:val="4F81BD" w:themeColor="accent1"/>
    </w:rPr>
  </w:style>
  <w:style w:type="paragraph" w:customStyle="1" w:styleId="NumberedList">
    <w:name w:val="*Numbered List"/>
    <w:link w:val="NumberedListChar"/>
    <w:qFormat/>
    <w:rsid w:val="006C261A"/>
    <w:pPr>
      <w:numPr>
        <w:numId w:val="5"/>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394A1D"/>
    <w:rPr>
      <w:rFonts w:cs="Times New Roman"/>
      <w:sz w:val="22"/>
      <w:szCs w:val="22"/>
    </w:rPr>
  </w:style>
  <w:style w:type="paragraph" w:customStyle="1" w:styleId="TableHeaders">
    <w:name w:val="*TableHeaders"/>
    <w:basedOn w:val="Normal"/>
    <w:link w:val="TableHeadersChar"/>
    <w:qFormat/>
    <w:rsid w:val="006C261A"/>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6C261A"/>
    <w:rPr>
      <w:rFonts w:cs="Times New Roman"/>
      <w:sz w:val="22"/>
      <w:szCs w:val="22"/>
    </w:rPr>
  </w:style>
  <w:style w:type="paragraph" w:customStyle="1" w:styleId="PageHeader">
    <w:name w:val="*PageHeader"/>
    <w:link w:val="PageHeaderChar"/>
    <w:qFormat/>
    <w:rsid w:val="006C261A"/>
    <w:pPr>
      <w:spacing w:before="120"/>
    </w:pPr>
    <w:rPr>
      <w:b/>
      <w:sz w:val="18"/>
    </w:rPr>
  </w:style>
  <w:style w:type="character" w:customStyle="1" w:styleId="TableHeadersChar">
    <w:name w:val="*TableHeaders Char"/>
    <w:basedOn w:val="DefaultParagraphFont"/>
    <w:link w:val="TableHeaders"/>
    <w:locked/>
    <w:rsid w:val="006C261A"/>
    <w:rPr>
      <w:b/>
      <w:color w:val="FFFFFF" w:themeColor="background1"/>
    </w:rPr>
  </w:style>
  <w:style w:type="paragraph" w:customStyle="1" w:styleId="Q">
    <w:name w:val="*Q*"/>
    <w:link w:val="QChar"/>
    <w:qFormat/>
    <w:rsid w:val="006C261A"/>
    <w:pPr>
      <w:spacing w:before="240" w:line="276" w:lineRule="auto"/>
    </w:pPr>
    <w:rPr>
      <w:rFonts w:eastAsia="Times New Roman"/>
      <w:b/>
    </w:rPr>
  </w:style>
  <w:style w:type="character" w:customStyle="1" w:styleId="PageHeaderChar">
    <w:name w:val="*PageHeader Char"/>
    <w:basedOn w:val="BodyTextChar"/>
    <w:link w:val="PageHeader"/>
    <w:locked/>
    <w:rsid w:val="006C261A"/>
    <w:rPr>
      <w:rFonts w:cs="Times New Roman"/>
      <w:b/>
      <w:sz w:val="18"/>
    </w:rPr>
  </w:style>
  <w:style w:type="character" w:customStyle="1" w:styleId="QChar">
    <w:name w:val="*Q* Char"/>
    <w:basedOn w:val="ListParagraphChar"/>
    <w:link w:val="Q"/>
    <w:locked/>
    <w:rsid w:val="006C261A"/>
    <w:rPr>
      <w:rFonts w:eastAsia="Times New Roman" w:cs="Times New Roman"/>
      <w:b/>
      <w:sz w:val="22"/>
    </w:rPr>
  </w:style>
  <w:style w:type="paragraph" w:customStyle="1" w:styleId="SASRBullet">
    <w:name w:val="*SA/SR Bullet"/>
    <w:basedOn w:val="Normal"/>
    <w:link w:val="SASRBulletChar"/>
    <w:qFormat/>
    <w:rsid w:val="00394A1D"/>
    <w:pPr>
      <w:numPr>
        <w:ilvl w:val="1"/>
        <w:numId w:val="7"/>
      </w:numPr>
      <w:spacing w:before="120"/>
      <w:ind w:left="1080"/>
      <w:contextualSpacing/>
    </w:pPr>
  </w:style>
  <w:style w:type="paragraph" w:customStyle="1" w:styleId="INBullet">
    <w:name w:val="*IN* Bullet"/>
    <w:link w:val="INBulletChar"/>
    <w:qFormat/>
    <w:rsid w:val="006C261A"/>
    <w:pPr>
      <w:numPr>
        <w:numId w:val="4"/>
      </w:numPr>
      <w:spacing w:after="60" w:line="276" w:lineRule="auto"/>
    </w:pPr>
    <w:rPr>
      <w:color w:val="4F81BD" w:themeColor="accent1"/>
    </w:rPr>
  </w:style>
  <w:style w:type="character" w:customStyle="1" w:styleId="SASRBulletChar">
    <w:name w:val="*SA/SR Bullet Char"/>
    <w:basedOn w:val="DefaultParagraphFont"/>
    <w:link w:val="SASRBullet"/>
    <w:locked/>
    <w:rsid w:val="00394A1D"/>
  </w:style>
  <w:style w:type="character" w:customStyle="1" w:styleId="INBulletChar">
    <w:name w:val="*IN* Bullet Char"/>
    <w:basedOn w:val="BulletedListChar"/>
    <w:link w:val="INBullet"/>
    <w:locked/>
    <w:rsid w:val="006C261A"/>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6C261A"/>
    <w:pPr>
      <w:numPr>
        <w:numId w:val="6"/>
      </w:numPr>
      <w:spacing w:before="120" w:line="276" w:lineRule="auto"/>
    </w:pPr>
    <w:rPr>
      <w:rFonts w:eastAsia="Times New Roman"/>
    </w:rPr>
  </w:style>
  <w:style w:type="paragraph" w:customStyle="1" w:styleId="SR">
    <w:name w:val="*SR*"/>
    <w:link w:val="SRChar"/>
    <w:qFormat/>
    <w:rsid w:val="006C261A"/>
    <w:pPr>
      <w:numPr>
        <w:numId w:val="8"/>
      </w:numPr>
      <w:spacing w:before="120" w:line="276" w:lineRule="auto"/>
    </w:pPr>
    <w:rPr>
      <w:rFonts w:eastAsia="Times New Roman"/>
    </w:rPr>
  </w:style>
  <w:style w:type="character" w:customStyle="1" w:styleId="SAChar">
    <w:name w:val="*SA* Char"/>
    <w:basedOn w:val="ListParagraphChar"/>
    <w:link w:val="SA"/>
    <w:locked/>
    <w:rsid w:val="006C261A"/>
    <w:rPr>
      <w:rFonts w:eastAsia="Times New Roman" w:cs="Times New Roman"/>
      <w:sz w:val="22"/>
    </w:rPr>
  </w:style>
  <w:style w:type="character" w:customStyle="1" w:styleId="SRChar">
    <w:name w:val="*SR* Char"/>
    <w:basedOn w:val="ListParagraphChar"/>
    <w:link w:val="SR"/>
    <w:locked/>
    <w:rsid w:val="006C261A"/>
    <w:rPr>
      <w:rFonts w:eastAsia="Times New Roman" w:cs="Times New Roman"/>
      <w:sz w:val="22"/>
    </w:rPr>
  </w:style>
  <w:style w:type="paragraph" w:customStyle="1" w:styleId="BR">
    <w:name w:val="*BR*"/>
    <w:link w:val="BRChar"/>
    <w:qFormat/>
    <w:rsid w:val="006C261A"/>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6C261A"/>
    <w:pPr>
      <w:spacing w:line="200" w:lineRule="exact"/>
    </w:pPr>
    <w:rPr>
      <w:rFonts w:ascii="Verdana" w:eastAsia="Verdana" w:hAnsi="Verdana" w:cs="Calibri"/>
      <w:b/>
      <w:color w:val="595959"/>
      <w:sz w:val="14"/>
    </w:rPr>
  </w:style>
  <w:style w:type="character" w:customStyle="1" w:styleId="BRChar">
    <w:name w:val="*BR* Char"/>
    <w:basedOn w:val="DefaultParagraphFont"/>
    <w:link w:val="BR"/>
    <w:locked/>
    <w:rsid w:val="006C261A"/>
    <w:rPr>
      <w:sz w:val="18"/>
    </w:rPr>
  </w:style>
  <w:style w:type="character" w:customStyle="1" w:styleId="folioChar">
    <w:name w:val="folio Char"/>
    <w:basedOn w:val="DefaultParagraphFont"/>
    <w:link w:val="folio"/>
    <w:uiPriority w:val="99"/>
    <w:locked/>
    <w:rsid w:val="00880AAD"/>
    <w:rPr>
      <w:rFonts w:ascii="Verdana" w:hAnsi="Verdana" w:cs="Verdana"/>
      <w:color w:val="595959"/>
      <w:sz w:val="22"/>
      <w:szCs w:val="22"/>
    </w:rPr>
  </w:style>
  <w:style w:type="character" w:customStyle="1" w:styleId="FooterTextChar">
    <w:name w:val="FooterText Char"/>
    <w:basedOn w:val="folioChar"/>
    <w:link w:val="FooterText"/>
    <w:locked/>
    <w:rsid w:val="006C261A"/>
    <w:rPr>
      <w:rFonts w:ascii="Verdana" w:eastAsia="Verdana" w:hAnsi="Verdana" w:cs="Calibri"/>
      <w:b/>
      <w:color w:val="595959"/>
      <w:sz w:val="14"/>
      <w:szCs w:val="22"/>
    </w:rPr>
  </w:style>
  <w:style w:type="paragraph" w:customStyle="1" w:styleId="TableText">
    <w:name w:val="*TableText"/>
    <w:link w:val="TableTextChar"/>
    <w:qFormat/>
    <w:rsid w:val="006C261A"/>
    <w:pPr>
      <w:spacing w:before="40" w:after="40" w:line="276" w:lineRule="auto"/>
    </w:pPr>
  </w:style>
  <w:style w:type="character" w:customStyle="1" w:styleId="TableTextChar">
    <w:name w:val="*TableText Char"/>
    <w:basedOn w:val="DefaultParagraphFont"/>
    <w:link w:val="TableText"/>
    <w:locked/>
    <w:rsid w:val="006C261A"/>
  </w:style>
  <w:style w:type="paragraph" w:customStyle="1" w:styleId="ToolHeader">
    <w:name w:val="*ToolHeader"/>
    <w:qFormat/>
    <w:rsid w:val="006C261A"/>
    <w:pPr>
      <w:spacing w:after="120"/>
    </w:pPr>
    <w:rPr>
      <w:rFonts w:asciiTheme="minorHAnsi" w:hAnsiTheme="minorHAnsi"/>
      <w:b/>
      <w:bCs/>
      <w:color w:val="365F91"/>
      <w:sz w:val="32"/>
      <w:szCs w:val="28"/>
    </w:rPr>
  </w:style>
  <w:style w:type="paragraph" w:customStyle="1" w:styleId="ToolTableText">
    <w:name w:val="*ToolTableText"/>
    <w:qFormat/>
    <w:rsid w:val="006C261A"/>
    <w:pPr>
      <w:spacing w:before="40" w:after="120"/>
    </w:pPr>
  </w:style>
  <w:style w:type="paragraph" w:customStyle="1" w:styleId="ExcerptAuthor">
    <w:name w:val="*ExcerptAuthor"/>
    <w:basedOn w:val="Normal"/>
    <w:link w:val="ExcerptAuthorChar"/>
    <w:qFormat/>
    <w:rsid w:val="006C261A"/>
    <w:pPr>
      <w:jc w:val="center"/>
    </w:pPr>
    <w:rPr>
      <w:rFonts w:asciiTheme="majorHAnsi" w:hAnsiTheme="majorHAnsi"/>
      <w:b/>
    </w:rPr>
  </w:style>
  <w:style w:type="character" w:customStyle="1" w:styleId="ExcerptAuthorChar">
    <w:name w:val="*ExcerptAuthor Char"/>
    <w:basedOn w:val="DefaultParagraphFont"/>
    <w:link w:val="ExcerptAuthor"/>
    <w:rsid w:val="006C261A"/>
    <w:rPr>
      <w:rFonts w:asciiTheme="majorHAnsi" w:hAnsiTheme="majorHAnsi"/>
      <w:b/>
    </w:rPr>
  </w:style>
  <w:style w:type="paragraph" w:customStyle="1" w:styleId="ExcerptBody">
    <w:name w:val="*ExcerptBody"/>
    <w:basedOn w:val="Normal"/>
    <w:link w:val="ExcerptBodyChar"/>
    <w:qFormat/>
    <w:rsid w:val="006C261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6C261A"/>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6C261A"/>
    <w:pPr>
      <w:jc w:val="center"/>
    </w:pPr>
    <w:rPr>
      <w:rFonts w:asciiTheme="majorHAnsi" w:hAnsiTheme="majorHAnsi"/>
      <w:b/>
      <w:smallCaps/>
      <w:sz w:val="32"/>
    </w:rPr>
  </w:style>
  <w:style w:type="character" w:customStyle="1" w:styleId="ExcerptTitleChar">
    <w:name w:val="*ExcerptTitle Char"/>
    <w:basedOn w:val="DefaultParagraphFont"/>
    <w:link w:val="ExcerptTitle"/>
    <w:rsid w:val="006C261A"/>
    <w:rPr>
      <w:rFonts w:asciiTheme="majorHAnsi" w:hAnsiTheme="majorHAnsi"/>
      <w:b/>
      <w:smallCaps/>
      <w:sz w:val="32"/>
    </w:rPr>
  </w:style>
</w:styles>
</file>

<file path=word/webSettings.xml><?xml version="1.0" encoding="utf-8"?>
<w:webSettings xmlns:r="http://schemas.openxmlformats.org/officeDocument/2006/relationships" xmlns:w="http://schemas.openxmlformats.org/wordprocessingml/2006/main">
  <w:divs>
    <w:div w:id="513492997">
      <w:marLeft w:val="0"/>
      <w:marRight w:val="0"/>
      <w:marTop w:val="0"/>
      <w:marBottom w:val="0"/>
      <w:divBdr>
        <w:top w:val="none" w:sz="0" w:space="0" w:color="auto"/>
        <w:left w:val="none" w:sz="0" w:space="0" w:color="auto"/>
        <w:bottom w:val="none" w:sz="0" w:space="0" w:color="auto"/>
        <w:right w:val="none" w:sz="0" w:space="0" w:color="auto"/>
      </w:divBdr>
    </w:div>
    <w:div w:id="513493004">
      <w:marLeft w:val="0"/>
      <w:marRight w:val="0"/>
      <w:marTop w:val="0"/>
      <w:marBottom w:val="0"/>
      <w:divBdr>
        <w:top w:val="none" w:sz="0" w:space="0" w:color="auto"/>
        <w:left w:val="none" w:sz="0" w:space="0" w:color="auto"/>
        <w:bottom w:val="none" w:sz="0" w:space="0" w:color="auto"/>
        <w:right w:val="none" w:sz="0" w:space="0" w:color="auto"/>
      </w:divBdr>
      <w:divsChild>
        <w:div w:id="513492995">
          <w:marLeft w:val="0"/>
          <w:marRight w:val="0"/>
          <w:marTop w:val="0"/>
          <w:marBottom w:val="0"/>
          <w:divBdr>
            <w:top w:val="none" w:sz="0" w:space="0" w:color="auto"/>
            <w:left w:val="none" w:sz="0" w:space="0" w:color="auto"/>
            <w:bottom w:val="none" w:sz="0" w:space="0" w:color="auto"/>
            <w:right w:val="none" w:sz="0" w:space="0" w:color="auto"/>
          </w:divBdr>
        </w:div>
        <w:div w:id="513492996">
          <w:marLeft w:val="0"/>
          <w:marRight w:val="0"/>
          <w:marTop w:val="0"/>
          <w:marBottom w:val="0"/>
          <w:divBdr>
            <w:top w:val="none" w:sz="0" w:space="0" w:color="auto"/>
            <w:left w:val="none" w:sz="0" w:space="0" w:color="auto"/>
            <w:bottom w:val="none" w:sz="0" w:space="0" w:color="auto"/>
            <w:right w:val="none" w:sz="0" w:space="0" w:color="auto"/>
          </w:divBdr>
        </w:div>
        <w:div w:id="513492998">
          <w:marLeft w:val="0"/>
          <w:marRight w:val="0"/>
          <w:marTop w:val="0"/>
          <w:marBottom w:val="0"/>
          <w:divBdr>
            <w:top w:val="none" w:sz="0" w:space="0" w:color="auto"/>
            <w:left w:val="none" w:sz="0" w:space="0" w:color="auto"/>
            <w:bottom w:val="none" w:sz="0" w:space="0" w:color="auto"/>
            <w:right w:val="none" w:sz="0" w:space="0" w:color="auto"/>
          </w:divBdr>
        </w:div>
        <w:div w:id="513492999">
          <w:marLeft w:val="0"/>
          <w:marRight w:val="0"/>
          <w:marTop w:val="0"/>
          <w:marBottom w:val="0"/>
          <w:divBdr>
            <w:top w:val="none" w:sz="0" w:space="0" w:color="auto"/>
            <w:left w:val="none" w:sz="0" w:space="0" w:color="auto"/>
            <w:bottom w:val="none" w:sz="0" w:space="0" w:color="auto"/>
            <w:right w:val="none" w:sz="0" w:space="0" w:color="auto"/>
          </w:divBdr>
        </w:div>
        <w:div w:id="513493000">
          <w:marLeft w:val="0"/>
          <w:marRight w:val="0"/>
          <w:marTop w:val="0"/>
          <w:marBottom w:val="0"/>
          <w:divBdr>
            <w:top w:val="none" w:sz="0" w:space="0" w:color="auto"/>
            <w:left w:val="none" w:sz="0" w:space="0" w:color="auto"/>
            <w:bottom w:val="none" w:sz="0" w:space="0" w:color="auto"/>
            <w:right w:val="none" w:sz="0" w:space="0" w:color="auto"/>
          </w:divBdr>
        </w:div>
        <w:div w:id="513493001">
          <w:marLeft w:val="0"/>
          <w:marRight w:val="0"/>
          <w:marTop w:val="0"/>
          <w:marBottom w:val="0"/>
          <w:divBdr>
            <w:top w:val="none" w:sz="0" w:space="0" w:color="auto"/>
            <w:left w:val="none" w:sz="0" w:space="0" w:color="auto"/>
            <w:bottom w:val="none" w:sz="0" w:space="0" w:color="auto"/>
            <w:right w:val="none" w:sz="0" w:space="0" w:color="auto"/>
          </w:divBdr>
        </w:div>
        <w:div w:id="513493002">
          <w:marLeft w:val="0"/>
          <w:marRight w:val="0"/>
          <w:marTop w:val="0"/>
          <w:marBottom w:val="0"/>
          <w:divBdr>
            <w:top w:val="none" w:sz="0" w:space="0" w:color="auto"/>
            <w:left w:val="none" w:sz="0" w:space="0" w:color="auto"/>
            <w:bottom w:val="none" w:sz="0" w:space="0" w:color="auto"/>
            <w:right w:val="none" w:sz="0" w:space="0" w:color="auto"/>
          </w:divBdr>
        </w:div>
        <w:div w:id="513493003">
          <w:marLeft w:val="0"/>
          <w:marRight w:val="0"/>
          <w:marTop w:val="0"/>
          <w:marBottom w:val="0"/>
          <w:divBdr>
            <w:top w:val="none" w:sz="0" w:space="0" w:color="auto"/>
            <w:left w:val="none" w:sz="0" w:space="0" w:color="auto"/>
            <w:bottom w:val="none" w:sz="0" w:space="0" w:color="auto"/>
            <w:right w:val="none" w:sz="0" w:space="0" w:color="auto"/>
          </w:divBdr>
        </w:div>
        <w:div w:id="513493005">
          <w:marLeft w:val="0"/>
          <w:marRight w:val="0"/>
          <w:marTop w:val="0"/>
          <w:marBottom w:val="0"/>
          <w:divBdr>
            <w:top w:val="none" w:sz="0" w:space="0" w:color="auto"/>
            <w:left w:val="none" w:sz="0" w:space="0" w:color="auto"/>
            <w:bottom w:val="none" w:sz="0" w:space="0" w:color="auto"/>
            <w:right w:val="none" w:sz="0" w:space="0" w:color="auto"/>
          </w:divBdr>
        </w:div>
        <w:div w:id="513493006">
          <w:marLeft w:val="0"/>
          <w:marRight w:val="0"/>
          <w:marTop w:val="0"/>
          <w:marBottom w:val="0"/>
          <w:divBdr>
            <w:top w:val="none" w:sz="0" w:space="0" w:color="auto"/>
            <w:left w:val="none" w:sz="0" w:space="0" w:color="auto"/>
            <w:bottom w:val="none" w:sz="0" w:space="0" w:color="auto"/>
            <w:right w:val="none" w:sz="0" w:space="0" w:color="auto"/>
          </w:divBdr>
        </w:div>
        <w:div w:id="513493007">
          <w:marLeft w:val="0"/>
          <w:marRight w:val="0"/>
          <w:marTop w:val="0"/>
          <w:marBottom w:val="0"/>
          <w:divBdr>
            <w:top w:val="none" w:sz="0" w:space="0" w:color="auto"/>
            <w:left w:val="none" w:sz="0" w:space="0" w:color="auto"/>
            <w:bottom w:val="none" w:sz="0" w:space="0" w:color="auto"/>
            <w:right w:val="none" w:sz="0" w:space="0" w:color="auto"/>
          </w:divBdr>
        </w:div>
        <w:div w:id="513493009">
          <w:marLeft w:val="0"/>
          <w:marRight w:val="0"/>
          <w:marTop w:val="0"/>
          <w:marBottom w:val="0"/>
          <w:divBdr>
            <w:top w:val="none" w:sz="0" w:space="0" w:color="auto"/>
            <w:left w:val="none" w:sz="0" w:space="0" w:color="auto"/>
            <w:bottom w:val="none" w:sz="0" w:space="0" w:color="auto"/>
            <w:right w:val="none" w:sz="0" w:space="0" w:color="auto"/>
          </w:divBdr>
        </w:div>
        <w:div w:id="513493012">
          <w:marLeft w:val="0"/>
          <w:marRight w:val="0"/>
          <w:marTop w:val="0"/>
          <w:marBottom w:val="0"/>
          <w:divBdr>
            <w:top w:val="none" w:sz="0" w:space="0" w:color="auto"/>
            <w:left w:val="none" w:sz="0" w:space="0" w:color="auto"/>
            <w:bottom w:val="none" w:sz="0" w:space="0" w:color="auto"/>
            <w:right w:val="none" w:sz="0" w:space="0" w:color="auto"/>
          </w:divBdr>
        </w:div>
        <w:div w:id="513493013">
          <w:marLeft w:val="0"/>
          <w:marRight w:val="0"/>
          <w:marTop w:val="0"/>
          <w:marBottom w:val="0"/>
          <w:divBdr>
            <w:top w:val="none" w:sz="0" w:space="0" w:color="auto"/>
            <w:left w:val="none" w:sz="0" w:space="0" w:color="auto"/>
            <w:bottom w:val="none" w:sz="0" w:space="0" w:color="auto"/>
            <w:right w:val="none" w:sz="0" w:space="0" w:color="auto"/>
          </w:divBdr>
        </w:div>
        <w:div w:id="513493015">
          <w:marLeft w:val="0"/>
          <w:marRight w:val="0"/>
          <w:marTop w:val="0"/>
          <w:marBottom w:val="0"/>
          <w:divBdr>
            <w:top w:val="none" w:sz="0" w:space="0" w:color="auto"/>
            <w:left w:val="none" w:sz="0" w:space="0" w:color="auto"/>
            <w:bottom w:val="none" w:sz="0" w:space="0" w:color="auto"/>
            <w:right w:val="none" w:sz="0" w:space="0" w:color="auto"/>
          </w:divBdr>
        </w:div>
        <w:div w:id="513493016">
          <w:marLeft w:val="0"/>
          <w:marRight w:val="0"/>
          <w:marTop w:val="0"/>
          <w:marBottom w:val="0"/>
          <w:divBdr>
            <w:top w:val="none" w:sz="0" w:space="0" w:color="auto"/>
            <w:left w:val="none" w:sz="0" w:space="0" w:color="auto"/>
            <w:bottom w:val="none" w:sz="0" w:space="0" w:color="auto"/>
            <w:right w:val="none" w:sz="0" w:space="0" w:color="auto"/>
          </w:divBdr>
        </w:div>
        <w:div w:id="513493018">
          <w:marLeft w:val="0"/>
          <w:marRight w:val="0"/>
          <w:marTop w:val="0"/>
          <w:marBottom w:val="0"/>
          <w:divBdr>
            <w:top w:val="none" w:sz="0" w:space="0" w:color="auto"/>
            <w:left w:val="none" w:sz="0" w:space="0" w:color="auto"/>
            <w:bottom w:val="none" w:sz="0" w:space="0" w:color="auto"/>
            <w:right w:val="none" w:sz="0" w:space="0" w:color="auto"/>
          </w:divBdr>
        </w:div>
        <w:div w:id="513493019">
          <w:marLeft w:val="0"/>
          <w:marRight w:val="0"/>
          <w:marTop w:val="0"/>
          <w:marBottom w:val="0"/>
          <w:divBdr>
            <w:top w:val="none" w:sz="0" w:space="0" w:color="auto"/>
            <w:left w:val="none" w:sz="0" w:space="0" w:color="auto"/>
            <w:bottom w:val="none" w:sz="0" w:space="0" w:color="auto"/>
            <w:right w:val="none" w:sz="0" w:space="0" w:color="auto"/>
          </w:divBdr>
        </w:div>
        <w:div w:id="513493020">
          <w:marLeft w:val="0"/>
          <w:marRight w:val="0"/>
          <w:marTop w:val="0"/>
          <w:marBottom w:val="0"/>
          <w:divBdr>
            <w:top w:val="none" w:sz="0" w:space="0" w:color="auto"/>
            <w:left w:val="none" w:sz="0" w:space="0" w:color="auto"/>
            <w:bottom w:val="none" w:sz="0" w:space="0" w:color="auto"/>
            <w:right w:val="none" w:sz="0" w:space="0" w:color="auto"/>
          </w:divBdr>
        </w:div>
        <w:div w:id="513493021">
          <w:marLeft w:val="0"/>
          <w:marRight w:val="0"/>
          <w:marTop w:val="0"/>
          <w:marBottom w:val="0"/>
          <w:divBdr>
            <w:top w:val="none" w:sz="0" w:space="0" w:color="auto"/>
            <w:left w:val="none" w:sz="0" w:space="0" w:color="auto"/>
            <w:bottom w:val="none" w:sz="0" w:space="0" w:color="auto"/>
            <w:right w:val="none" w:sz="0" w:space="0" w:color="auto"/>
          </w:divBdr>
        </w:div>
        <w:div w:id="513493022">
          <w:marLeft w:val="0"/>
          <w:marRight w:val="0"/>
          <w:marTop w:val="0"/>
          <w:marBottom w:val="0"/>
          <w:divBdr>
            <w:top w:val="none" w:sz="0" w:space="0" w:color="auto"/>
            <w:left w:val="none" w:sz="0" w:space="0" w:color="auto"/>
            <w:bottom w:val="none" w:sz="0" w:space="0" w:color="auto"/>
            <w:right w:val="none" w:sz="0" w:space="0" w:color="auto"/>
          </w:divBdr>
        </w:div>
        <w:div w:id="513493024">
          <w:marLeft w:val="0"/>
          <w:marRight w:val="0"/>
          <w:marTop w:val="0"/>
          <w:marBottom w:val="0"/>
          <w:divBdr>
            <w:top w:val="none" w:sz="0" w:space="0" w:color="auto"/>
            <w:left w:val="none" w:sz="0" w:space="0" w:color="auto"/>
            <w:bottom w:val="none" w:sz="0" w:space="0" w:color="auto"/>
            <w:right w:val="none" w:sz="0" w:space="0" w:color="auto"/>
          </w:divBdr>
        </w:div>
        <w:div w:id="513493025">
          <w:marLeft w:val="0"/>
          <w:marRight w:val="0"/>
          <w:marTop w:val="0"/>
          <w:marBottom w:val="0"/>
          <w:divBdr>
            <w:top w:val="none" w:sz="0" w:space="0" w:color="auto"/>
            <w:left w:val="none" w:sz="0" w:space="0" w:color="auto"/>
            <w:bottom w:val="none" w:sz="0" w:space="0" w:color="auto"/>
            <w:right w:val="none" w:sz="0" w:space="0" w:color="auto"/>
          </w:divBdr>
        </w:div>
        <w:div w:id="513493026">
          <w:marLeft w:val="0"/>
          <w:marRight w:val="0"/>
          <w:marTop w:val="0"/>
          <w:marBottom w:val="0"/>
          <w:divBdr>
            <w:top w:val="none" w:sz="0" w:space="0" w:color="auto"/>
            <w:left w:val="none" w:sz="0" w:space="0" w:color="auto"/>
            <w:bottom w:val="none" w:sz="0" w:space="0" w:color="auto"/>
            <w:right w:val="none" w:sz="0" w:space="0" w:color="auto"/>
          </w:divBdr>
        </w:div>
        <w:div w:id="513493027">
          <w:marLeft w:val="0"/>
          <w:marRight w:val="0"/>
          <w:marTop w:val="0"/>
          <w:marBottom w:val="0"/>
          <w:divBdr>
            <w:top w:val="none" w:sz="0" w:space="0" w:color="auto"/>
            <w:left w:val="none" w:sz="0" w:space="0" w:color="auto"/>
            <w:bottom w:val="none" w:sz="0" w:space="0" w:color="auto"/>
            <w:right w:val="none" w:sz="0" w:space="0" w:color="auto"/>
          </w:divBdr>
        </w:div>
        <w:div w:id="513493028">
          <w:marLeft w:val="0"/>
          <w:marRight w:val="0"/>
          <w:marTop w:val="0"/>
          <w:marBottom w:val="0"/>
          <w:divBdr>
            <w:top w:val="none" w:sz="0" w:space="0" w:color="auto"/>
            <w:left w:val="none" w:sz="0" w:space="0" w:color="auto"/>
            <w:bottom w:val="none" w:sz="0" w:space="0" w:color="auto"/>
            <w:right w:val="none" w:sz="0" w:space="0" w:color="auto"/>
          </w:divBdr>
        </w:div>
        <w:div w:id="513493029">
          <w:marLeft w:val="0"/>
          <w:marRight w:val="0"/>
          <w:marTop w:val="0"/>
          <w:marBottom w:val="0"/>
          <w:divBdr>
            <w:top w:val="none" w:sz="0" w:space="0" w:color="auto"/>
            <w:left w:val="none" w:sz="0" w:space="0" w:color="auto"/>
            <w:bottom w:val="none" w:sz="0" w:space="0" w:color="auto"/>
            <w:right w:val="none" w:sz="0" w:space="0" w:color="auto"/>
          </w:divBdr>
        </w:div>
        <w:div w:id="513493030">
          <w:marLeft w:val="0"/>
          <w:marRight w:val="0"/>
          <w:marTop w:val="0"/>
          <w:marBottom w:val="0"/>
          <w:divBdr>
            <w:top w:val="none" w:sz="0" w:space="0" w:color="auto"/>
            <w:left w:val="none" w:sz="0" w:space="0" w:color="auto"/>
            <w:bottom w:val="none" w:sz="0" w:space="0" w:color="auto"/>
            <w:right w:val="none" w:sz="0" w:space="0" w:color="auto"/>
          </w:divBdr>
        </w:div>
        <w:div w:id="513493032">
          <w:marLeft w:val="0"/>
          <w:marRight w:val="0"/>
          <w:marTop w:val="0"/>
          <w:marBottom w:val="0"/>
          <w:divBdr>
            <w:top w:val="none" w:sz="0" w:space="0" w:color="auto"/>
            <w:left w:val="none" w:sz="0" w:space="0" w:color="auto"/>
            <w:bottom w:val="none" w:sz="0" w:space="0" w:color="auto"/>
            <w:right w:val="none" w:sz="0" w:space="0" w:color="auto"/>
          </w:divBdr>
        </w:div>
        <w:div w:id="513493034">
          <w:marLeft w:val="0"/>
          <w:marRight w:val="0"/>
          <w:marTop w:val="0"/>
          <w:marBottom w:val="0"/>
          <w:divBdr>
            <w:top w:val="none" w:sz="0" w:space="0" w:color="auto"/>
            <w:left w:val="none" w:sz="0" w:space="0" w:color="auto"/>
            <w:bottom w:val="none" w:sz="0" w:space="0" w:color="auto"/>
            <w:right w:val="none" w:sz="0" w:space="0" w:color="auto"/>
          </w:divBdr>
        </w:div>
      </w:divsChild>
    </w:div>
    <w:div w:id="513493010">
      <w:marLeft w:val="0"/>
      <w:marRight w:val="0"/>
      <w:marTop w:val="0"/>
      <w:marBottom w:val="0"/>
      <w:divBdr>
        <w:top w:val="none" w:sz="0" w:space="0" w:color="auto"/>
        <w:left w:val="none" w:sz="0" w:space="0" w:color="auto"/>
        <w:bottom w:val="none" w:sz="0" w:space="0" w:color="auto"/>
        <w:right w:val="none" w:sz="0" w:space="0" w:color="auto"/>
      </w:divBdr>
    </w:div>
    <w:div w:id="513493011">
      <w:marLeft w:val="0"/>
      <w:marRight w:val="0"/>
      <w:marTop w:val="0"/>
      <w:marBottom w:val="0"/>
      <w:divBdr>
        <w:top w:val="none" w:sz="0" w:space="0" w:color="auto"/>
        <w:left w:val="none" w:sz="0" w:space="0" w:color="auto"/>
        <w:bottom w:val="none" w:sz="0" w:space="0" w:color="auto"/>
        <w:right w:val="none" w:sz="0" w:space="0" w:color="auto"/>
      </w:divBdr>
    </w:div>
    <w:div w:id="513493014">
      <w:marLeft w:val="0"/>
      <w:marRight w:val="0"/>
      <w:marTop w:val="0"/>
      <w:marBottom w:val="0"/>
      <w:divBdr>
        <w:top w:val="none" w:sz="0" w:space="0" w:color="auto"/>
        <w:left w:val="none" w:sz="0" w:space="0" w:color="auto"/>
        <w:bottom w:val="none" w:sz="0" w:space="0" w:color="auto"/>
        <w:right w:val="none" w:sz="0" w:space="0" w:color="auto"/>
      </w:divBdr>
      <w:divsChild>
        <w:div w:id="513493017">
          <w:marLeft w:val="0"/>
          <w:marRight w:val="0"/>
          <w:marTop w:val="0"/>
          <w:marBottom w:val="0"/>
          <w:divBdr>
            <w:top w:val="none" w:sz="0" w:space="0" w:color="auto"/>
            <w:left w:val="none" w:sz="0" w:space="0" w:color="auto"/>
            <w:bottom w:val="none" w:sz="0" w:space="0" w:color="auto"/>
            <w:right w:val="none" w:sz="0" w:space="0" w:color="auto"/>
          </w:divBdr>
        </w:div>
      </w:divsChild>
    </w:div>
    <w:div w:id="513493023">
      <w:marLeft w:val="0"/>
      <w:marRight w:val="0"/>
      <w:marTop w:val="0"/>
      <w:marBottom w:val="0"/>
      <w:divBdr>
        <w:top w:val="none" w:sz="0" w:space="0" w:color="auto"/>
        <w:left w:val="none" w:sz="0" w:space="0" w:color="auto"/>
        <w:bottom w:val="none" w:sz="0" w:space="0" w:color="auto"/>
        <w:right w:val="none" w:sz="0" w:space="0" w:color="auto"/>
      </w:divBdr>
    </w:div>
    <w:div w:id="513493031">
      <w:marLeft w:val="0"/>
      <w:marRight w:val="0"/>
      <w:marTop w:val="0"/>
      <w:marBottom w:val="0"/>
      <w:divBdr>
        <w:top w:val="none" w:sz="0" w:space="0" w:color="auto"/>
        <w:left w:val="none" w:sz="0" w:space="0" w:color="auto"/>
        <w:bottom w:val="none" w:sz="0" w:space="0" w:color="auto"/>
        <w:right w:val="none" w:sz="0" w:space="0" w:color="auto"/>
      </w:divBdr>
      <w:divsChild>
        <w:div w:id="513493033">
          <w:marLeft w:val="720"/>
          <w:marRight w:val="720"/>
          <w:marTop w:val="100"/>
          <w:marBottom w:val="100"/>
          <w:divBdr>
            <w:top w:val="none" w:sz="0" w:space="0" w:color="auto"/>
            <w:left w:val="none" w:sz="0" w:space="0" w:color="auto"/>
            <w:bottom w:val="none" w:sz="0" w:space="0" w:color="auto"/>
            <w:right w:val="none" w:sz="0" w:space="0" w:color="auto"/>
          </w:divBdr>
          <w:divsChild>
            <w:div w:id="5134930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Michelle Wade</cp:lastModifiedBy>
  <cp:revision>4</cp:revision>
  <cp:lastPrinted>2014-01-23T19:06:00Z</cp:lastPrinted>
  <dcterms:created xsi:type="dcterms:W3CDTF">2014-02-07T23:28:00Z</dcterms:created>
  <dcterms:modified xsi:type="dcterms:W3CDTF">2014-02-08T01:00:00Z</dcterms:modified>
</cp:coreProperties>
</file>