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831"/>
        <w:tblW w:w="9450"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17138E" w:rsidRPr="00DB34C3" w:rsidTr="00840D62">
        <w:trPr>
          <w:trHeight w:val="1008"/>
        </w:trPr>
        <w:tc>
          <w:tcPr>
            <w:tcW w:w="1980" w:type="dxa"/>
            <w:shd w:val="clear" w:color="auto" w:fill="385623"/>
            <w:vAlign w:val="center"/>
          </w:tcPr>
          <w:p w:rsidR="0017138E" w:rsidRPr="00DB34C3" w:rsidRDefault="0017138E" w:rsidP="00916410">
            <w:pPr>
              <w:pStyle w:val="Header-banner"/>
              <w:rPr>
                <w:rFonts w:ascii="Calibri" w:hAnsi="Calibri"/>
              </w:rPr>
            </w:pPr>
            <w:r>
              <w:rPr>
                <w:rFonts w:ascii="Calibri" w:hAnsi="Calibri"/>
              </w:rPr>
              <w:t>11.1</w:t>
            </w:r>
            <w:r w:rsidRPr="00DB34C3">
              <w:rPr>
                <w:rFonts w:ascii="Calibri" w:hAnsi="Calibri"/>
              </w:rPr>
              <w:t>.</w:t>
            </w:r>
            <w:r>
              <w:rPr>
                <w:rFonts w:ascii="Calibri" w:hAnsi="Calibri"/>
              </w:rPr>
              <w:t>2</w:t>
            </w:r>
          </w:p>
        </w:tc>
        <w:tc>
          <w:tcPr>
            <w:tcW w:w="7470" w:type="dxa"/>
            <w:shd w:val="clear" w:color="auto" w:fill="76923C"/>
            <w:vAlign w:val="center"/>
          </w:tcPr>
          <w:p w:rsidR="0017138E" w:rsidRPr="00DB34C3" w:rsidRDefault="0017138E" w:rsidP="00C94529">
            <w:pPr>
              <w:pStyle w:val="Header2banner"/>
              <w:spacing w:line="240" w:lineRule="auto"/>
              <w:rPr>
                <w:rFonts w:ascii="Calibri" w:hAnsi="Calibri"/>
              </w:rPr>
            </w:pPr>
            <w:r w:rsidRPr="00DB34C3">
              <w:rPr>
                <w:rFonts w:ascii="Calibri" w:hAnsi="Calibri"/>
              </w:rPr>
              <w:t xml:space="preserve">Lesson </w:t>
            </w:r>
            <w:r w:rsidR="00C94529">
              <w:rPr>
                <w:rFonts w:ascii="Calibri" w:hAnsi="Calibri"/>
              </w:rPr>
              <w:t>20</w:t>
            </w:r>
          </w:p>
        </w:tc>
      </w:tr>
    </w:tbl>
    <w:p w:rsidR="0017138E" w:rsidRDefault="0017138E" w:rsidP="00E946A0">
      <w:pPr>
        <w:pStyle w:val="Heading1"/>
      </w:pPr>
      <w:r w:rsidRPr="00263AF5">
        <w:t>Introduction</w:t>
      </w:r>
    </w:p>
    <w:p w:rsidR="00542945" w:rsidRDefault="0017138E" w:rsidP="00C94529">
      <w:pPr>
        <w:rPr>
          <w:rFonts w:cs="Calibri"/>
        </w:rPr>
      </w:pPr>
      <w:r w:rsidRPr="006024D1">
        <w:t>In this lesson</w:t>
      </w:r>
      <w:r>
        <w:t>,</w:t>
      </w:r>
      <w:r w:rsidRPr="006024D1">
        <w:t xml:space="preserve"> students</w:t>
      </w:r>
      <w:r>
        <w:t xml:space="preserve"> </w:t>
      </w:r>
      <w:r w:rsidR="00207682">
        <w:t xml:space="preserve">listen to a </w:t>
      </w:r>
      <w:r w:rsidR="00150A12">
        <w:t>M</w:t>
      </w:r>
      <w:r w:rsidR="00207682">
        <w:t xml:space="preserve">asterful </w:t>
      </w:r>
      <w:r w:rsidR="00150A12">
        <w:t>R</w:t>
      </w:r>
      <w:r w:rsidR="00207682">
        <w:t>eading of</w:t>
      </w:r>
      <w:r w:rsidR="003652A3">
        <w:t xml:space="preserve"> the opening of </w:t>
      </w:r>
      <w:r w:rsidR="007F5039">
        <w:t>Act 5</w:t>
      </w:r>
      <w:r w:rsidR="00542945">
        <w:t>.1</w:t>
      </w:r>
      <w:r w:rsidR="007F5039">
        <w:t xml:space="preserve"> of </w:t>
      </w:r>
      <w:r w:rsidR="007F5039">
        <w:rPr>
          <w:i/>
        </w:rPr>
        <w:t xml:space="preserve">Hamlet </w:t>
      </w:r>
      <w:r w:rsidR="007F5039">
        <w:t xml:space="preserve">before </w:t>
      </w:r>
      <w:r>
        <w:t>read</w:t>
      </w:r>
      <w:r w:rsidR="007F5039">
        <w:t>ing</w:t>
      </w:r>
      <w:r>
        <w:t xml:space="preserve"> a passage in which the characters gather at Ophelia’s grave. </w:t>
      </w:r>
      <w:r w:rsidR="007F5039">
        <w:t xml:space="preserve">As students </w:t>
      </w:r>
      <w:r w:rsidR="003652A3">
        <w:t>read</w:t>
      </w:r>
      <w:r w:rsidR="007F5039">
        <w:t xml:space="preserve"> the scene</w:t>
      </w:r>
      <w:r w:rsidR="00472B36">
        <w:t>,</w:t>
      </w:r>
      <w:r w:rsidR="007F5039">
        <w:t xml:space="preserve"> they pause to notice how the setting impacts other elements in the drama. They then examine in more detail a selected passage from Act 5</w:t>
      </w:r>
      <w:r w:rsidR="00542945">
        <w:t>.1</w:t>
      </w:r>
      <w:r w:rsidR="00C460FD">
        <w:t>,</w:t>
      </w:r>
      <w:r w:rsidR="007F5039">
        <w:t xml:space="preserve"> lines 254</w:t>
      </w:r>
      <w:r w:rsidR="00C460FD">
        <w:t>–</w:t>
      </w:r>
      <w:r w:rsidR="007F5039">
        <w:t>289</w:t>
      </w:r>
      <w:r w:rsidR="00C460FD">
        <w:t xml:space="preserve"> (from</w:t>
      </w:r>
      <w:r w:rsidR="00EA6D1F">
        <w:t xml:space="preserve"> “Sweets to the sweet, farewell!</w:t>
      </w:r>
      <w:r w:rsidR="007756ED">
        <w:t xml:space="preserve"> / I hoped thou </w:t>
      </w:r>
      <w:proofErr w:type="spellStart"/>
      <w:r w:rsidR="007756ED">
        <w:t>shouldst</w:t>
      </w:r>
      <w:proofErr w:type="spellEnd"/>
      <w:r w:rsidR="00C460FD">
        <w:t>”</w:t>
      </w:r>
      <w:r w:rsidR="00EA6D1F">
        <w:t xml:space="preserve"> </w:t>
      </w:r>
      <w:r w:rsidR="00C460FD">
        <w:t>to</w:t>
      </w:r>
      <w:r w:rsidR="00EA6D1F">
        <w:t xml:space="preserve"> </w:t>
      </w:r>
      <w:r w:rsidR="00C460FD">
        <w:t>“</w:t>
      </w:r>
      <w:r w:rsidR="007756ED">
        <w:t xml:space="preserve">O, he is mad, Laertes! / </w:t>
      </w:r>
      <w:proofErr w:type="gramStart"/>
      <w:r w:rsidR="007756ED">
        <w:t>For</w:t>
      </w:r>
      <w:proofErr w:type="gramEnd"/>
      <w:r w:rsidR="007756ED">
        <w:t xml:space="preserve"> love of God, forbear him</w:t>
      </w:r>
      <w:r w:rsidR="00EA6D1F">
        <w:t>”</w:t>
      </w:r>
      <w:r w:rsidR="006B1BDC">
        <w:t>) to determine how this</w:t>
      </w:r>
      <w:r w:rsidR="007F5039">
        <w:t xml:space="preserve"> scene further develops important text elements such as </w:t>
      </w:r>
      <w:r w:rsidR="003652A3">
        <w:t>plot</w:t>
      </w:r>
      <w:r w:rsidR="00207682">
        <w:t xml:space="preserve">, </w:t>
      </w:r>
      <w:r w:rsidR="007F5039">
        <w:t>characterization</w:t>
      </w:r>
      <w:r w:rsidR="00542945">
        <w:t>,</w:t>
      </w:r>
      <w:r w:rsidR="007F5039">
        <w:t xml:space="preserve"> and central ideas.</w:t>
      </w:r>
      <w:r>
        <w:rPr>
          <w:rFonts w:cs="Calibri"/>
        </w:rPr>
        <w:t xml:space="preserve"> </w:t>
      </w:r>
      <w:r w:rsidR="008C106B">
        <w:rPr>
          <w:rFonts w:cs="Calibri"/>
        </w:rPr>
        <w:t>Finally, students</w:t>
      </w:r>
      <w:r w:rsidR="00472B36">
        <w:rPr>
          <w:rFonts w:cs="Calibri"/>
        </w:rPr>
        <w:t xml:space="preserve"> </w:t>
      </w:r>
      <w:r w:rsidR="003652A3">
        <w:rPr>
          <w:rFonts w:cs="Calibri"/>
        </w:rPr>
        <w:t xml:space="preserve">select examples of the text that demonstrate how the setting impacts a single text element and share their work in a brief </w:t>
      </w:r>
      <w:r w:rsidR="00486760">
        <w:rPr>
          <w:rFonts w:cs="Calibri"/>
        </w:rPr>
        <w:t>discussion</w:t>
      </w:r>
      <w:r w:rsidR="003652A3">
        <w:rPr>
          <w:rFonts w:cs="Calibri"/>
        </w:rPr>
        <w:t>.</w:t>
      </w:r>
      <w:r w:rsidR="008C106B">
        <w:rPr>
          <w:rFonts w:cs="Calibri"/>
        </w:rPr>
        <w:t xml:space="preserve"> </w:t>
      </w:r>
    </w:p>
    <w:p w:rsidR="0017138E" w:rsidRPr="003652A3" w:rsidRDefault="008C106B" w:rsidP="00C94529">
      <w:r>
        <w:rPr>
          <w:rFonts w:cs="Calibri"/>
        </w:rPr>
        <w:t>Students demonstrate their learning in a Quick Write at the end of the lesson.</w:t>
      </w:r>
      <w:r w:rsidR="000178C5">
        <w:rPr>
          <w:rFonts w:cs="Calibri"/>
        </w:rPr>
        <w:t xml:space="preserve"> </w:t>
      </w:r>
      <w:r w:rsidR="000178C5">
        <w:t>For homework, students choose a different dramatic element and explain how the setting of this scene impacts that element and continue their AIR.</w:t>
      </w:r>
    </w:p>
    <w:p w:rsidR="0017138E" w:rsidRDefault="0017138E" w:rsidP="0064182B">
      <w:pPr>
        <w:pStyle w:val="Heading1"/>
        <w:spacing w:before="360"/>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3"/>
        <w:gridCol w:w="7913"/>
      </w:tblGrid>
      <w:tr w:rsidR="0017138E" w:rsidRPr="002E4C92" w:rsidTr="00F308FF">
        <w:tc>
          <w:tcPr>
            <w:tcW w:w="9468" w:type="dxa"/>
            <w:gridSpan w:val="2"/>
            <w:shd w:val="clear" w:color="auto" w:fill="76923C"/>
          </w:tcPr>
          <w:p w:rsidR="0017138E" w:rsidRPr="003D76AF" w:rsidRDefault="0017138E" w:rsidP="00C94529">
            <w:pPr>
              <w:pStyle w:val="TableHeaders"/>
            </w:pPr>
            <w:r w:rsidRPr="003D76AF">
              <w:t>Assessed Standard(s)</w:t>
            </w:r>
          </w:p>
        </w:tc>
      </w:tr>
      <w:tr w:rsidR="0017138E" w:rsidRPr="0053542D" w:rsidTr="00E22A24">
        <w:tc>
          <w:tcPr>
            <w:tcW w:w="1344" w:type="dxa"/>
          </w:tcPr>
          <w:p w:rsidR="0017138E" w:rsidRPr="00C94529" w:rsidRDefault="0017138E" w:rsidP="00C94529">
            <w:pPr>
              <w:pStyle w:val="TableText"/>
            </w:pPr>
            <w:r w:rsidRPr="00C94529">
              <w:t>RL.11-12.3</w:t>
            </w:r>
          </w:p>
        </w:tc>
        <w:tc>
          <w:tcPr>
            <w:tcW w:w="8124" w:type="dxa"/>
          </w:tcPr>
          <w:p w:rsidR="0017138E" w:rsidRPr="00C94529" w:rsidRDefault="0017138E" w:rsidP="00C94529">
            <w:pPr>
              <w:pStyle w:val="TableText"/>
            </w:pPr>
            <w:r w:rsidRPr="00C94529">
              <w:t>Analyze the impact of the author’s choices regarding how to develop and relate elements of a story or drama (e.g., where a story is set, how the action is ordered, how the characters are introduced and developed).</w:t>
            </w:r>
          </w:p>
        </w:tc>
      </w:tr>
      <w:tr w:rsidR="0017138E" w:rsidRPr="00CF2582" w:rsidTr="00F308FF">
        <w:tc>
          <w:tcPr>
            <w:tcW w:w="9468" w:type="dxa"/>
            <w:gridSpan w:val="2"/>
            <w:shd w:val="clear" w:color="auto" w:fill="76923C"/>
          </w:tcPr>
          <w:p w:rsidR="0017138E" w:rsidRPr="003D76AF" w:rsidRDefault="0017138E" w:rsidP="00C94529">
            <w:pPr>
              <w:pStyle w:val="TableHeaders"/>
            </w:pPr>
            <w:r w:rsidRPr="003D76AF">
              <w:t>Addressed Standard(s)</w:t>
            </w:r>
          </w:p>
        </w:tc>
      </w:tr>
      <w:tr w:rsidR="000066F5" w:rsidRPr="0053542D" w:rsidTr="00E22A24">
        <w:tc>
          <w:tcPr>
            <w:tcW w:w="1344" w:type="dxa"/>
          </w:tcPr>
          <w:p w:rsidR="000066F5" w:rsidRDefault="000066F5" w:rsidP="00C94529">
            <w:pPr>
              <w:pStyle w:val="TableText"/>
            </w:pPr>
            <w:r>
              <w:t>W</w:t>
            </w:r>
            <w:r w:rsidR="00E13B0D">
              <w:t>.11-12.</w:t>
            </w:r>
            <w:r>
              <w:t>2</w:t>
            </w:r>
            <w:r w:rsidR="00E13B0D">
              <w:t>.d</w:t>
            </w:r>
          </w:p>
        </w:tc>
        <w:tc>
          <w:tcPr>
            <w:tcW w:w="8124" w:type="dxa"/>
          </w:tcPr>
          <w:p w:rsidR="000066F5" w:rsidRDefault="000066F5" w:rsidP="00C94529">
            <w:pPr>
              <w:pStyle w:val="TableText"/>
              <w:rPr>
                <w:shd w:val="clear" w:color="auto" w:fill="FFFFFF"/>
              </w:rPr>
            </w:pPr>
            <w:r>
              <w:rPr>
                <w:shd w:val="clear" w:color="auto" w:fill="FFFFFF"/>
              </w:rPr>
              <w:t>Write informative/explanatory texts to examine and convey complex ideas, concepts, and information clearly and accurately through the effective selection, organization, and analysis of content.</w:t>
            </w:r>
          </w:p>
          <w:p w:rsidR="00E13B0D" w:rsidRPr="00982DBA" w:rsidRDefault="0064182B" w:rsidP="0064182B">
            <w:pPr>
              <w:pStyle w:val="TableText"/>
              <w:numPr>
                <w:ilvl w:val="0"/>
                <w:numId w:val="21"/>
              </w:numPr>
              <w:ind w:left="360"/>
            </w:pPr>
            <w:r>
              <w:rPr>
                <w:shd w:val="clear" w:color="auto" w:fill="FFFFFF"/>
              </w:rPr>
              <w:t>U</w:t>
            </w:r>
            <w:r w:rsidR="00E13B0D" w:rsidRPr="00E13B0D">
              <w:rPr>
                <w:shd w:val="clear" w:color="auto" w:fill="FFFFFF"/>
              </w:rPr>
              <w:t>se precise language, domain-specific vocabulary, and techniques such as metaphor, simile, and analogy to manage the complexity of the topic.</w:t>
            </w:r>
          </w:p>
        </w:tc>
      </w:tr>
      <w:tr w:rsidR="0017138E" w:rsidRPr="0053542D" w:rsidTr="00E22A24">
        <w:tc>
          <w:tcPr>
            <w:tcW w:w="1344" w:type="dxa"/>
          </w:tcPr>
          <w:p w:rsidR="0017138E" w:rsidRPr="003D76AF" w:rsidRDefault="0017138E" w:rsidP="00C94529">
            <w:pPr>
              <w:pStyle w:val="TableText"/>
            </w:pPr>
            <w:r>
              <w:t>L.11-12.4</w:t>
            </w:r>
            <w:r w:rsidR="00AE6A70">
              <w:t>.a</w:t>
            </w:r>
          </w:p>
        </w:tc>
        <w:tc>
          <w:tcPr>
            <w:tcW w:w="8124" w:type="dxa"/>
          </w:tcPr>
          <w:p w:rsidR="0017138E" w:rsidRDefault="0017138E" w:rsidP="00C94529">
            <w:pPr>
              <w:pStyle w:val="TableText"/>
            </w:pPr>
            <w:r w:rsidRPr="00982DBA">
              <w:t>Determine or clarify the meaning of unknown and multiple-meaning words and phrases based on</w:t>
            </w:r>
            <w:r w:rsidR="00C94529">
              <w:rPr>
                <w:rStyle w:val="apple-converted-space"/>
              </w:rPr>
              <w:t xml:space="preserve"> </w:t>
            </w:r>
            <w:r w:rsidRPr="00B67752">
              <w:rPr>
                <w:rStyle w:val="Emphasis"/>
                <w:iCs w:val="0"/>
              </w:rPr>
              <w:t>grades 11–12 reading and content</w:t>
            </w:r>
            <w:r w:rsidRPr="00982DBA">
              <w:t>, choosing flexibly from a range of strategies.</w:t>
            </w:r>
          </w:p>
          <w:p w:rsidR="00B67752" w:rsidRPr="00982DBA" w:rsidRDefault="006E486A" w:rsidP="0064182B">
            <w:pPr>
              <w:pStyle w:val="TableText"/>
              <w:numPr>
                <w:ilvl w:val="0"/>
                <w:numId w:val="22"/>
              </w:numPr>
              <w:ind w:left="360"/>
            </w:pPr>
            <w:r w:rsidRPr="003D76AF">
              <w:t>Use context (e.g., the overall meaning of a sentence, paragraph, or text; a word’s position or function in a sentence) as a clue to the meaning of a word or phrase.</w:t>
            </w:r>
          </w:p>
        </w:tc>
      </w:tr>
    </w:tbl>
    <w:p w:rsidR="0017138E" w:rsidRPr="007D02D6" w:rsidRDefault="0017138E" w:rsidP="006F6FCC">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17138E" w:rsidRPr="002E4C92" w:rsidTr="00353081">
        <w:tc>
          <w:tcPr>
            <w:tcW w:w="9478" w:type="dxa"/>
            <w:shd w:val="clear" w:color="auto" w:fill="76923C"/>
          </w:tcPr>
          <w:p w:rsidR="0017138E" w:rsidRPr="002E6E21" w:rsidRDefault="0017138E" w:rsidP="00B00346">
            <w:pPr>
              <w:pStyle w:val="TableHeaders"/>
            </w:pPr>
            <w:r w:rsidRPr="002E6E21">
              <w:t>Assessment(s)</w:t>
            </w:r>
          </w:p>
        </w:tc>
      </w:tr>
      <w:tr w:rsidR="0017138E" w:rsidTr="00353081">
        <w:tc>
          <w:tcPr>
            <w:tcW w:w="9478" w:type="dxa"/>
          </w:tcPr>
          <w:p w:rsidR="0017138E" w:rsidRDefault="00C62B66" w:rsidP="00542945">
            <w:pPr>
              <w:pStyle w:val="TableText"/>
            </w:pPr>
            <w:r w:rsidRPr="00C62B66">
              <w:t>Student learning will be assessed via a Quick Write at the end of the lesson. Students answer the following prompt, citing textual evidence to support analysis and inferences drawn from the text</w:t>
            </w:r>
            <w:r>
              <w:t>.</w:t>
            </w:r>
          </w:p>
          <w:p w:rsidR="000178C5" w:rsidRPr="00542945" w:rsidRDefault="0017138E" w:rsidP="006B1BDC">
            <w:pPr>
              <w:pStyle w:val="BulletedList"/>
              <w:rPr>
                <w:rFonts w:cs="Calibri"/>
              </w:rPr>
            </w:pPr>
            <w:r>
              <w:t xml:space="preserve">How does Shakespeare’s choice of setting impact </w:t>
            </w:r>
            <w:r w:rsidR="00920F8D">
              <w:t>an</w:t>
            </w:r>
            <w:r>
              <w:t>other element of the drama (</w:t>
            </w:r>
            <w:r w:rsidR="00542945">
              <w:t>such as</w:t>
            </w:r>
            <w:r>
              <w:t xml:space="preserve"> plot, centr</w:t>
            </w:r>
            <w:r w:rsidR="00C94529">
              <w:t xml:space="preserve">al ideas, etc.) in this scene? </w:t>
            </w:r>
          </w:p>
        </w:tc>
      </w:tr>
      <w:tr w:rsidR="0017138E" w:rsidRPr="00B00346" w:rsidTr="00353081">
        <w:tc>
          <w:tcPr>
            <w:tcW w:w="9478" w:type="dxa"/>
            <w:shd w:val="clear" w:color="auto" w:fill="76923C"/>
          </w:tcPr>
          <w:p w:rsidR="0017138E" w:rsidRPr="002E6E21" w:rsidRDefault="0017138E" w:rsidP="00B00346">
            <w:pPr>
              <w:pStyle w:val="TableHeaders"/>
            </w:pPr>
            <w:r w:rsidRPr="002E6E21">
              <w:t>High Performance Response(s)</w:t>
            </w:r>
          </w:p>
        </w:tc>
      </w:tr>
      <w:tr w:rsidR="0017138E" w:rsidTr="00353081">
        <w:tc>
          <w:tcPr>
            <w:tcW w:w="9478" w:type="dxa"/>
          </w:tcPr>
          <w:p w:rsidR="0017138E" w:rsidRPr="00BE320F" w:rsidRDefault="0017138E" w:rsidP="00BE320F">
            <w:pPr>
              <w:pStyle w:val="TableText"/>
            </w:pPr>
            <w:r w:rsidRPr="00BE320F">
              <w:t xml:space="preserve">A </w:t>
            </w:r>
            <w:r w:rsidR="00D14EC9">
              <w:t>H</w:t>
            </w:r>
            <w:r w:rsidRPr="00BE320F">
              <w:t xml:space="preserve">igh </w:t>
            </w:r>
            <w:r w:rsidR="00D14EC9">
              <w:t>P</w:t>
            </w:r>
            <w:r w:rsidRPr="00BE320F">
              <w:t xml:space="preserve">erformance </w:t>
            </w:r>
            <w:r w:rsidR="00D14EC9">
              <w:t>R</w:t>
            </w:r>
            <w:r w:rsidRPr="00BE320F">
              <w:t xml:space="preserve">esponse </w:t>
            </w:r>
            <w:r w:rsidR="00053DD1">
              <w:t>should</w:t>
            </w:r>
            <w:r w:rsidRPr="00BE320F">
              <w:t>:</w:t>
            </w:r>
          </w:p>
          <w:p w:rsidR="00053DD1" w:rsidRDefault="00053DD1" w:rsidP="006F6FCC">
            <w:pPr>
              <w:pStyle w:val="BulletedList"/>
            </w:pPr>
            <w:r>
              <w:t>Identify a significant element</w:t>
            </w:r>
            <w:r w:rsidR="004F67F3">
              <w:t xml:space="preserve"> of drama</w:t>
            </w:r>
            <w:r>
              <w:t xml:space="preserve"> from the passage</w:t>
            </w:r>
            <w:r w:rsidR="00D14EC9">
              <w:t>.</w:t>
            </w:r>
          </w:p>
          <w:p w:rsidR="0017138E" w:rsidRPr="00BE320F" w:rsidRDefault="00291B74" w:rsidP="00291B74">
            <w:pPr>
              <w:pStyle w:val="BulletedList"/>
            </w:pPr>
            <w:r>
              <w:t>Exp</w:t>
            </w:r>
            <w:r w:rsidR="000541B2">
              <w:t>lain how the setting impacts that</w:t>
            </w:r>
            <w:r>
              <w:t xml:space="preserve"> element</w:t>
            </w:r>
            <w:r w:rsidR="00D14EC9">
              <w:t>.</w:t>
            </w:r>
          </w:p>
        </w:tc>
      </w:tr>
    </w:tbl>
    <w:p w:rsidR="0017138E" w:rsidRDefault="0017138E" w:rsidP="00E946A0">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17138E" w:rsidRPr="00B00346" w:rsidTr="00353081">
        <w:tc>
          <w:tcPr>
            <w:tcW w:w="9450" w:type="dxa"/>
            <w:shd w:val="clear" w:color="auto" w:fill="76923C"/>
          </w:tcPr>
          <w:p w:rsidR="0017138E" w:rsidRPr="002E6E21" w:rsidRDefault="0017138E" w:rsidP="00B00346">
            <w:pPr>
              <w:pStyle w:val="TableHeaders"/>
            </w:pPr>
            <w:r w:rsidRPr="002E6E21">
              <w:t>Vocabulary to provide directly (will not include extended instruction)</w:t>
            </w:r>
          </w:p>
        </w:tc>
      </w:tr>
      <w:tr w:rsidR="0017138E" w:rsidTr="00353081">
        <w:tc>
          <w:tcPr>
            <w:tcW w:w="9450" w:type="dxa"/>
          </w:tcPr>
          <w:p w:rsidR="0017138E" w:rsidRPr="00B231AA" w:rsidRDefault="0032312A" w:rsidP="00802441">
            <w:pPr>
              <w:pStyle w:val="BulletedList"/>
            </w:pPr>
            <w:r>
              <w:t>quick (n.) –</w:t>
            </w:r>
            <w:r w:rsidR="00802441">
              <w:t xml:space="preserve"> l</w:t>
            </w:r>
            <w:r>
              <w:t>iving</w:t>
            </w:r>
            <w:r w:rsidR="00802441">
              <w:t xml:space="preserve"> persons</w:t>
            </w:r>
          </w:p>
        </w:tc>
      </w:tr>
      <w:tr w:rsidR="0017138E" w:rsidRPr="00F308FF" w:rsidTr="00353081">
        <w:tc>
          <w:tcPr>
            <w:tcW w:w="9450" w:type="dxa"/>
            <w:shd w:val="clear" w:color="auto" w:fill="76923C"/>
          </w:tcPr>
          <w:p w:rsidR="0017138E" w:rsidRPr="002E6E21" w:rsidRDefault="0017138E" w:rsidP="00E15D0F">
            <w:pPr>
              <w:pStyle w:val="TableHeaders"/>
            </w:pPr>
            <w:r w:rsidRPr="002E6E21">
              <w:t>Vocabulary to teach (may include direct word work and/or questions)</w:t>
            </w:r>
          </w:p>
        </w:tc>
      </w:tr>
      <w:tr w:rsidR="0017138E" w:rsidTr="00353081">
        <w:tc>
          <w:tcPr>
            <w:tcW w:w="9450" w:type="dxa"/>
          </w:tcPr>
          <w:p w:rsidR="00AD6446" w:rsidRDefault="00AD6446" w:rsidP="00C94529">
            <w:pPr>
              <w:pStyle w:val="BulletedList"/>
            </w:pPr>
            <w:r>
              <w:t>sense (n.) – conscious awareness or rationality</w:t>
            </w:r>
          </w:p>
          <w:p w:rsidR="00516F7C" w:rsidRDefault="00AD6446" w:rsidP="00C94529">
            <w:pPr>
              <w:pStyle w:val="BulletedList"/>
            </w:pPr>
            <w:r>
              <w:t xml:space="preserve">deprived (v.) – </w:t>
            </w:r>
            <w:r w:rsidR="004F67F3">
              <w:t>took</w:t>
            </w:r>
            <w:r>
              <w:t xml:space="preserve"> away</w:t>
            </w:r>
          </w:p>
          <w:p w:rsidR="0017138E" w:rsidRPr="00C94529" w:rsidRDefault="00516F7C" w:rsidP="00C94529">
            <w:pPr>
              <w:pStyle w:val="BulletedList"/>
            </w:pPr>
            <w:r>
              <w:t>forbear (v.) – be patient with</w:t>
            </w:r>
          </w:p>
        </w:tc>
      </w:tr>
    </w:tbl>
    <w:p w:rsidR="0017138E" w:rsidRDefault="0017138E"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7"/>
        <w:gridCol w:w="1615"/>
      </w:tblGrid>
      <w:tr w:rsidR="0017138E" w:rsidRPr="00C02EC2" w:rsidTr="00546D71">
        <w:tc>
          <w:tcPr>
            <w:tcW w:w="7830" w:type="dxa"/>
            <w:shd w:val="clear" w:color="auto" w:fill="76923C"/>
          </w:tcPr>
          <w:p w:rsidR="0017138E" w:rsidRPr="002E6E21" w:rsidRDefault="0017138E" w:rsidP="00B00346">
            <w:pPr>
              <w:pStyle w:val="TableHeaders"/>
            </w:pPr>
            <w:r w:rsidRPr="002E6E21">
              <w:t>Student-Facing Agenda</w:t>
            </w:r>
          </w:p>
        </w:tc>
        <w:tc>
          <w:tcPr>
            <w:tcW w:w="1638" w:type="dxa"/>
            <w:shd w:val="clear" w:color="auto" w:fill="76923C"/>
          </w:tcPr>
          <w:p w:rsidR="0017138E" w:rsidRPr="002E6E21" w:rsidRDefault="0017138E" w:rsidP="00B00346">
            <w:pPr>
              <w:pStyle w:val="TableHeaders"/>
            </w:pPr>
            <w:r w:rsidRPr="002E6E21">
              <w:t>% of Lesson</w:t>
            </w:r>
          </w:p>
        </w:tc>
      </w:tr>
      <w:tr w:rsidR="0017138E" w:rsidTr="000B2D56">
        <w:trPr>
          <w:trHeight w:val="1313"/>
        </w:trPr>
        <w:tc>
          <w:tcPr>
            <w:tcW w:w="7830" w:type="dxa"/>
            <w:tcBorders>
              <w:bottom w:val="nil"/>
            </w:tcBorders>
          </w:tcPr>
          <w:p w:rsidR="0017138E" w:rsidRPr="000B2D56" w:rsidRDefault="0017138E" w:rsidP="000B2D56">
            <w:pPr>
              <w:pStyle w:val="TableText"/>
              <w:rPr>
                <w:b/>
              </w:rPr>
            </w:pPr>
            <w:r w:rsidRPr="000B2D56">
              <w:rPr>
                <w:b/>
              </w:rPr>
              <w:t>Standards &amp; Text:</w:t>
            </w:r>
          </w:p>
          <w:p w:rsidR="0017138E" w:rsidRDefault="0017138E" w:rsidP="008151E5">
            <w:pPr>
              <w:pStyle w:val="BulletedList"/>
            </w:pPr>
            <w:r>
              <w:t>Standards: RL.11-12.3</w:t>
            </w:r>
            <w:r w:rsidR="00AE6A70">
              <w:t>, W.11-12.2.d, L.11-12.4.a</w:t>
            </w:r>
          </w:p>
          <w:p w:rsidR="0017138E" w:rsidRPr="00C62B66" w:rsidRDefault="00C94529" w:rsidP="00C62B66">
            <w:pPr>
              <w:pStyle w:val="BulletedList"/>
            </w:pPr>
            <w:r>
              <w:t xml:space="preserve">Text: </w:t>
            </w:r>
            <w:r w:rsidR="0017138E">
              <w:rPr>
                <w:i/>
              </w:rPr>
              <w:t>Hamlet</w:t>
            </w:r>
            <w:r w:rsidR="004F67F3">
              <w:t xml:space="preserve">, </w:t>
            </w:r>
            <w:r w:rsidR="00C62B66">
              <w:t>Act 5.1, l</w:t>
            </w:r>
            <w:r w:rsidR="0017138E">
              <w:t>ines 254–289</w:t>
            </w:r>
            <w:r w:rsidR="00E27B33">
              <w:t xml:space="preserve"> </w:t>
            </w:r>
            <w:r w:rsidR="00C62B66">
              <w:t xml:space="preserve">(Masterful Reading: </w:t>
            </w:r>
            <w:r w:rsidR="00C62B66" w:rsidRPr="00C62B66">
              <w:rPr>
                <w:rFonts w:cs="Calibri"/>
              </w:rPr>
              <w:t>lines 1–68</w:t>
            </w:r>
            <w:r w:rsidR="00C62B66">
              <w:rPr>
                <w:rFonts w:cs="Calibri"/>
              </w:rPr>
              <w:t xml:space="preserve"> and </w:t>
            </w:r>
            <w:r w:rsidR="00C62B66" w:rsidRPr="00C62B66">
              <w:rPr>
                <w:rFonts w:cs="Calibri"/>
              </w:rPr>
              <w:t>224–319</w:t>
            </w:r>
            <w:r w:rsidR="00C62B66">
              <w:rPr>
                <w:rFonts w:cs="Calibri"/>
              </w:rPr>
              <w:t>)</w:t>
            </w:r>
          </w:p>
          <w:p w:rsidR="00C62B66" w:rsidRDefault="00C62B66" w:rsidP="00C62B66">
            <w:pPr>
              <w:pStyle w:val="IN"/>
            </w:pPr>
            <w:r w:rsidRPr="00C62B66">
              <w:rPr>
                <w:rFonts w:eastAsia="Times New Roman"/>
                <w:szCs w:val="20"/>
              </w:rPr>
              <w:t>In order to provide additional context, the Masterful Reading extends beyond the lines students read and discuss during the lesson</w:t>
            </w:r>
            <w:r>
              <w:rPr>
                <w:rFonts w:eastAsia="Times New Roman"/>
                <w:szCs w:val="20"/>
              </w:rPr>
              <w:t>.</w:t>
            </w:r>
          </w:p>
        </w:tc>
        <w:tc>
          <w:tcPr>
            <w:tcW w:w="1638" w:type="dxa"/>
            <w:tcBorders>
              <w:bottom w:val="nil"/>
            </w:tcBorders>
          </w:tcPr>
          <w:p w:rsidR="0017138E" w:rsidRPr="00C02EC2" w:rsidRDefault="0017138E" w:rsidP="00E946A0"/>
          <w:p w:rsidR="0017138E" w:rsidRDefault="0017138E" w:rsidP="00546D71">
            <w:pPr>
              <w:pStyle w:val="NumberedList"/>
              <w:numPr>
                <w:ilvl w:val="0"/>
                <w:numId w:val="0"/>
              </w:numPr>
            </w:pPr>
          </w:p>
        </w:tc>
      </w:tr>
      <w:tr w:rsidR="0017138E" w:rsidTr="00546D71">
        <w:tc>
          <w:tcPr>
            <w:tcW w:w="7830" w:type="dxa"/>
            <w:tcBorders>
              <w:top w:val="nil"/>
            </w:tcBorders>
          </w:tcPr>
          <w:p w:rsidR="0017138E" w:rsidRPr="00C94529" w:rsidRDefault="0017138E" w:rsidP="008E6AE3">
            <w:pPr>
              <w:pStyle w:val="TableText"/>
              <w:rPr>
                <w:b/>
              </w:rPr>
            </w:pPr>
            <w:r w:rsidRPr="00C94529">
              <w:rPr>
                <w:b/>
              </w:rPr>
              <w:t>Learning Sequence:</w:t>
            </w:r>
          </w:p>
          <w:p w:rsidR="0017138E" w:rsidRDefault="0017138E" w:rsidP="00C94529">
            <w:pPr>
              <w:pStyle w:val="TableText"/>
              <w:numPr>
                <w:ilvl w:val="0"/>
                <w:numId w:val="19"/>
              </w:numPr>
              <w:ind w:left="360"/>
              <w:rPr>
                <w:rFonts w:cs="Calibri"/>
              </w:rPr>
            </w:pPr>
            <w:r>
              <w:rPr>
                <w:rFonts w:cs="Calibri"/>
              </w:rPr>
              <w:lastRenderedPageBreak/>
              <w:t xml:space="preserve">Introduction </w:t>
            </w:r>
            <w:r w:rsidR="004F67F3">
              <w:rPr>
                <w:rFonts w:cs="Calibri"/>
              </w:rPr>
              <w:t>of</w:t>
            </w:r>
            <w:r>
              <w:rPr>
                <w:rFonts w:cs="Calibri"/>
              </w:rPr>
              <w:t xml:space="preserve"> Lesson Agenda</w:t>
            </w:r>
          </w:p>
          <w:p w:rsidR="0017138E" w:rsidRDefault="0017138E" w:rsidP="00C94529">
            <w:pPr>
              <w:pStyle w:val="TableText"/>
              <w:numPr>
                <w:ilvl w:val="0"/>
                <w:numId w:val="19"/>
              </w:numPr>
              <w:ind w:left="360"/>
            </w:pPr>
            <w:r>
              <w:rPr>
                <w:rFonts w:cs="Calibri"/>
              </w:rPr>
              <w:t>Homework Accountability</w:t>
            </w:r>
          </w:p>
          <w:p w:rsidR="0017138E" w:rsidRDefault="004F67F3" w:rsidP="00C94529">
            <w:pPr>
              <w:pStyle w:val="TableText"/>
              <w:numPr>
                <w:ilvl w:val="0"/>
                <w:numId w:val="19"/>
              </w:numPr>
              <w:ind w:left="360"/>
              <w:rPr>
                <w:rFonts w:cs="Calibri"/>
              </w:rPr>
            </w:pPr>
            <w:r>
              <w:rPr>
                <w:rFonts w:cs="Calibri"/>
              </w:rPr>
              <w:t>Masterful Reading</w:t>
            </w:r>
          </w:p>
          <w:p w:rsidR="00130CA2" w:rsidRDefault="0064182B" w:rsidP="00C94529">
            <w:pPr>
              <w:pStyle w:val="TableText"/>
              <w:numPr>
                <w:ilvl w:val="0"/>
                <w:numId w:val="19"/>
              </w:numPr>
              <w:ind w:left="360"/>
            </w:pPr>
            <w:r w:rsidRPr="0064182B">
              <w:rPr>
                <w:i/>
              </w:rPr>
              <w:t>Hamlet</w:t>
            </w:r>
            <w:r>
              <w:t xml:space="preserve">, Act 5.1, </w:t>
            </w:r>
            <w:r w:rsidR="007D27C5">
              <w:t xml:space="preserve">Lines </w:t>
            </w:r>
            <w:r w:rsidR="00BB57DE">
              <w:t>254</w:t>
            </w:r>
            <w:r w:rsidR="00203A92">
              <w:t>–</w:t>
            </w:r>
            <w:r w:rsidR="00BB57DE">
              <w:t>28</w:t>
            </w:r>
            <w:r w:rsidR="007D27C5">
              <w:t>9 Reading and Discussion</w:t>
            </w:r>
          </w:p>
          <w:p w:rsidR="00C94670" w:rsidRPr="00130CA2" w:rsidRDefault="00C94670" w:rsidP="00C94529">
            <w:pPr>
              <w:pStyle w:val="TableText"/>
              <w:numPr>
                <w:ilvl w:val="0"/>
                <w:numId w:val="19"/>
              </w:numPr>
              <w:ind w:left="360"/>
              <w:rPr>
                <w:rFonts w:cs="Calibri"/>
              </w:rPr>
            </w:pPr>
            <w:r>
              <w:t>Setting Discussion</w:t>
            </w:r>
          </w:p>
          <w:p w:rsidR="00130CA2" w:rsidRDefault="0017138E" w:rsidP="00C94529">
            <w:pPr>
              <w:pStyle w:val="TableText"/>
              <w:numPr>
                <w:ilvl w:val="0"/>
                <w:numId w:val="19"/>
              </w:numPr>
              <w:ind w:left="360"/>
            </w:pPr>
            <w:r>
              <w:rPr>
                <w:rFonts w:cs="Calibri"/>
              </w:rPr>
              <w:t>Quick Write</w:t>
            </w:r>
          </w:p>
          <w:p w:rsidR="0017138E" w:rsidRPr="000E6DEF" w:rsidRDefault="0017138E" w:rsidP="00C94529">
            <w:pPr>
              <w:pStyle w:val="TableText"/>
              <w:numPr>
                <w:ilvl w:val="0"/>
                <w:numId w:val="19"/>
              </w:numPr>
              <w:ind w:left="360"/>
            </w:pPr>
            <w:r>
              <w:rPr>
                <w:rFonts w:cs="Calibri"/>
              </w:rPr>
              <w:t>Closing</w:t>
            </w:r>
          </w:p>
        </w:tc>
        <w:tc>
          <w:tcPr>
            <w:tcW w:w="1638" w:type="dxa"/>
            <w:tcBorders>
              <w:top w:val="nil"/>
            </w:tcBorders>
          </w:tcPr>
          <w:p w:rsidR="0017138E" w:rsidRDefault="0017138E" w:rsidP="008E6AE3">
            <w:pPr>
              <w:pStyle w:val="TableText"/>
            </w:pPr>
          </w:p>
          <w:p w:rsidR="0017138E" w:rsidRDefault="00291B74" w:rsidP="00787B59">
            <w:pPr>
              <w:pStyle w:val="TableText"/>
              <w:numPr>
                <w:ilvl w:val="0"/>
                <w:numId w:val="10"/>
              </w:numPr>
            </w:pPr>
            <w:r>
              <w:lastRenderedPageBreak/>
              <w:t>10</w:t>
            </w:r>
            <w:r w:rsidR="0017138E">
              <w:t>%</w:t>
            </w:r>
          </w:p>
          <w:p w:rsidR="00A13A46" w:rsidRDefault="008A4DE2" w:rsidP="006F6FCC">
            <w:pPr>
              <w:pStyle w:val="TableText"/>
              <w:numPr>
                <w:ilvl w:val="0"/>
                <w:numId w:val="10"/>
              </w:numPr>
            </w:pPr>
            <w:r>
              <w:t>1</w:t>
            </w:r>
            <w:r w:rsidR="00D524AB">
              <w:t>0</w:t>
            </w:r>
            <w:r w:rsidR="0017138E">
              <w:t>%</w:t>
            </w:r>
          </w:p>
          <w:p w:rsidR="0017138E" w:rsidRDefault="00F235E8" w:rsidP="00787B59">
            <w:pPr>
              <w:pStyle w:val="TableText"/>
              <w:numPr>
                <w:ilvl w:val="0"/>
                <w:numId w:val="10"/>
              </w:numPr>
            </w:pPr>
            <w:r>
              <w:t>3</w:t>
            </w:r>
            <w:r w:rsidR="00207682">
              <w:t>0</w:t>
            </w:r>
            <w:r w:rsidR="0017138E">
              <w:t>%</w:t>
            </w:r>
          </w:p>
          <w:p w:rsidR="0017138E" w:rsidRDefault="00C94670" w:rsidP="00291B74">
            <w:pPr>
              <w:pStyle w:val="TableText"/>
              <w:numPr>
                <w:ilvl w:val="0"/>
                <w:numId w:val="10"/>
              </w:numPr>
            </w:pPr>
            <w:r>
              <w:t>1</w:t>
            </w:r>
            <w:r w:rsidR="00652CF3">
              <w:t>5</w:t>
            </w:r>
            <w:r w:rsidR="00EA6D1F">
              <w:t>%</w:t>
            </w:r>
          </w:p>
          <w:p w:rsidR="00C94670" w:rsidRDefault="00C94670" w:rsidP="00291B74">
            <w:pPr>
              <w:pStyle w:val="TableText"/>
              <w:numPr>
                <w:ilvl w:val="0"/>
                <w:numId w:val="10"/>
              </w:numPr>
            </w:pPr>
            <w:r>
              <w:t>20%</w:t>
            </w:r>
          </w:p>
          <w:p w:rsidR="00130CA2" w:rsidRDefault="007D27C5" w:rsidP="00787B59">
            <w:pPr>
              <w:pStyle w:val="TableText"/>
              <w:numPr>
                <w:ilvl w:val="0"/>
                <w:numId w:val="10"/>
              </w:numPr>
            </w:pPr>
            <w:r>
              <w:t>10</w:t>
            </w:r>
            <w:r w:rsidR="0017138E">
              <w:t>%</w:t>
            </w:r>
          </w:p>
          <w:p w:rsidR="00C94670" w:rsidRPr="00C02EC2" w:rsidRDefault="00C94670" w:rsidP="00787B59">
            <w:pPr>
              <w:pStyle w:val="TableText"/>
              <w:numPr>
                <w:ilvl w:val="0"/>
                <w:numId w:val="10"/>
              </w:numPr>
            </w:pPr>
            <w:r>
              <w:t>5%</w:t>
            </w:r>
          </w:p>
        </w:tc>
      </w:tr>
    </w:tbl>
    <w:p w:rsidR="008D1217" w:rsidRDefault="0017138E" w:rsidP="00E74F2E">
      <w:pPr>
        <w:pStyle w:val="Heading1"/>
      </w:pPr>
      <w:r>
        <w:lastRenderedPageBreak/>
        <w:t>Materials</w:t>
      </w:r>
    </w:p>
    <w:p w:rsidR="007A4F96" w:rsidRDefault="007A4F96" w:rsidP="00DB3B19">
      <w:pPr>
        <w:pStyle w:val="BulletedList"/>
      </w:pPr>
      <w:r>
        <w:t>Student copies of the 11.1 Common Core Learning Standards Tool (refer to 11.1.1 Lesson 1)</w:t>
      </w:r>
    </w:p>
    <w:p w:rsidR="00DB3B19" w:rsidRDefault="00DB3B19" w:rsidP="00DB3B19">
      <w:pPr>
        <w:pStyle w:val="BulletedList"/>
      </w:pPr>
      <w:r>
        <w:t>Free audio resource for Masterful Reading</w:t>
      </w:r>
    </w:p>
    <w:p w:rsidR="00DB3B19" w:rsidRDefault="00566319" w:rsidP="00DB3B19">
      <w:pPr>
        <w:pStyle w:val="BulletedList"/>
        <w:numPr>
          <w:ilvl w:val="0"/>
          <w:numId w:val="0"/>
        </w:numPr>
        <w:ind w:left="317"/>
      </w:pPr>
      <w:hyperlink r:id="rId8" w:history="1">
        <w:r w:rsidR="003652A3" w:rsidRPr="00AF7E0E">
          <w:rPr>
            <w:rStyle w:val="Hyperlink"/>
          </w:rPr>
          <w:t>http://etc.usf.edu/lit2go/94/hamlet/1685/act-5-scene-1/</w:t>
        </w:r>
      </w:hyperlink>
      <w:r w:rsidR="003652A3">
        <w:t xml:space="preserve"> (0-3:24)</w:t>
      </w:r>
    </w:p>
    <w:p w:rsidR="005108CF" w:rsidRDefault="00566319" w:rsidP="005108CF">
      <w:pPr>
        <w:pStyle w:val="BulletedList"/>
        <w:numPr>
          <w:ilvl w:val="0"/>
          <w:numId w:val="0"/>
        </w:numPr>
        <w:ind w:left="317"/>
      </w:pPr>
      <w:hyperlink r:id="rId9" w:history="1">
        <w:r w:rsidR="004F67F3" w:rsidRPr="00FF0043">
          <w:rPr>
            <w:rStyle w:val="Hyperlink"/>
          </w:rPr>
          <w:t>http://etc.usf.edu/lit2go/94/hamlet/1685/act-5-scene-1/</w:t>
        </w:r>
      </w:hyperlink>
      <w:r w:rsidR="004F67F3">
        <w:t xml:space="preserve"> </w:t>
      </w:r>
      <w:r w:rsidR="005108CF">
        <w:t>(10:18-15:20)</w:t>
      </w:r>
    </w:p>
    <w:p w:rsidR="0017138E" w:rsidRDefault="0017138E" w:rsidP="000E6DEF">
      <w:pPr>
        <w:pStyle w:val="BulletedList"/>
      </w:pPr>
      <w:r>
        <w:t>List of Common Literary Terms Related to Drama (for</w:t>
      </w:r>
      <w:r w:rsidR="00291B74">
        <w:t xml:space="preserve"> optional</w:t>
      </w:r>
      <w:r>
        <w:t xml:space="preserve"> class display)</w:t>
      </w:r>
    </w:p>
    <w:p w:rsidR="00671E90" w:rsidRDefault="00671E90" w:rsidP="000E6DEF">
      <w:pPr>
        <w:pStyle w:val="BulletedList"/>
      </w:pPr>
      <w:r>
        <w:t>Copies of the Setting Tool for each student</w:t>
      </w:r>
    </w:p>
    <w:p w:rsidR="00BF3E6B" w:rsidRDefault="00BF3E6B" w:rsidP="000E6DEF">
      <w:pPr>
        <w:pStyle w:val="BulletedList"/>
      </w:pPr>
      <w:r>
        <w:t xml:space="preserve">Student copies of the </w:t>
      </w:r>
      <w:r>
        <w:rPr>
          <w:i/>
        </w:rPr>
        <w:t xml:space="preserve">Hamlet </w:t>
      </w:r>
      <w:r>
        <w:t>Central Ideas Tracking Tool (refer to 11.1.2 Lesson 7)</w:t>
      </w:r>
    </w:p>
    <w:p w:rsidR="00263C71" w:rsidRPr="00C94529" w:rsidRDefault="00263C71" w:rsidP="00263C71">
      <w:pPr>
        <w:pStyle w:val="BulletedList"/>
      </w:pPr>
      <w:r>
        <w:t xml:space="preserve">Student copies of the </w:t>
      </w:r>
      <w:r w:rsidRPr="004F67F3">
        <w:t>Short Response Rubric and Checklist</w:t>
      </w:r>
      <w:r w:rsidR="00C94529">
        <w:rPr>
          <w:b/>
        </w:rPr>
        <w:t xml:space="preserve"> </w:t>
      </w:r>
      <w:r w:rsidR="00C94529" w:rsidRPr="00C94529">
        <w:t xml:space="preserve">(refer to </w:t>
      </w:r>
      <w:r w:rsidR="00E15D0F">
        <w:t>11.1.1 Lesson 1</w:t>
      </w:r>
      <w:r w:rsidR="00C94529">
        <w:t>)</w:t>
      </w:r>
    </w:p>
    <w:p w:rsidR="0017138E" w:rsidRDefault="0017138E"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C94529" w:rsidRPr="001C6EA7" w:rsidTr="0045794F">
        <w:tc>
          <w:tcPr>
            <w:tcW w:w="9468" w:type="dxa"/>
            <w:gridSpan w:val="2"/>
            <w:shd w:val="clear" w:color="auto" w:fill="76923C" w:themeFill="accent3" w:themeFillShade="BF"/>
          </w:tcPr>
          <w:p w:rsidR="00C94529" w:rsidRPr="001C6EA7" w:rsidRDefault="00C94529" w:rsidP="0045794F">
            <w:pPr>
              <w:pStyle w:val="TableHeaders"/>
            </w:pPr>
            <w:r w:rsidRPr="001C6EA7">
              <w:t>How to Use the Learning Sequence</w:t>
            </w:r>
          </w:p>
        </w:tc>
      </w:tr>
      <w:tr w:rsidR="00C94529" w:rsidRPr="000D6FA4" w:rsidTr="0045794F">
        <w:tc>
          <w:tcPr>
            <w:tcW w:w="894" w:type="dxa"/>
            <w:shd w:val="clear" w:color="auto" w:fill="76923C" w:themeFill="accent3" w:themeFillShade="BF"/>
          </w:tcPr>
          <w:p w:rsidR="00C94529" w:rsidRPr="000D6FA4" w:rsidRDefault="00C94529" w:rsidP="0045794F">
            <w:pPr>
              <w:pStyle w:val="TableHeaders"/>
            </w:pPr>
            <w:r w:rsidRPr="000D6FA4">
              <w:t>Symbol</w:t>
            </w:r>
          </w:p>
        </w:tc>
        <w:tc>
          <w:tcPr>
            <w:tcW w:w="8574" w:type="dxa"/>
            <w:shd w:val="clear" w:color="auto" w:fill="76923C" w:themeFill="accent3" w:themeFillShade="BF"/>
          </w:tcPr>
          <w:p w:rsidR="00C94529" w:rsidRPr="000D6FA4" w:rsidRDefault="00C94529" w:rsidP="0045794F">
            <w:pPr>
              <w:pStyle w:val="TableHeaders"/>
            </w:pPr>
            <w:r w:rsidRPr="000D6FA4">
              <w:t>Type of Text &amp; Interpretation of the Symbol</w:t>
            </w:r>
          </w:p>
        </w:tc>
      </w:tr>
      <w:tr w:rsidR="00C94529" w:rsidRPr="00E65C14" w:rsidTr="0045794F">
        <w:tc>
          <w:tcPr>
            <w:tcW w:w="894" w:type="dxa"/>
          </w:tcPr>
          <w:p w:rsidR="00C94529" w:rsidRPr="00E65C14" w:rsidRDefault="00C94529" w:rsidP="0045794F">
            <w:pPr>
              <w:spacing w:before="20" w:after="20" w:line="240" w:lineRule="auto"/>
              <w:jc w:val="center"/>
              <w:rPr>
                <w:rFonts w:asciiTheme="minorHAnsi" w:hAnsiTheme="minorHAnsi"/>
                <w:b/>
                <w:color w:val="4F81BD" w:themeColor="accent1"/>
              </w:rPr>
            </w:pPr>
            <w:r w:rsidRPr="00E65C14">
              <w:rPr>
                <w:rFonts w:asciiTheme="minorHAnsi" w:hAnsiTheme="minorHAnsi"/>
                <w:b/>
                <w:color w:val="4F81BD" w:themeColor="accent1"/>
              </w:rPr>
              <w:t>10%</w:t>
            </w:r>
          </w:p>
        </w:tc>
        <w:tc>
          <w:tcPr>
            <w:tcW w:w="8574" w:type="dxa"/>
          </w:tcPr>
          <w:p w:rsidR="00C94529" w:rsidRPr="00E65C14" w:rsidRDefault="00C94529" w:rsidP="0045794F">
            <w:pPr>
              <w:spacing w:before="20" w:after="20" w:line="240" w:lineRule="auto"/>
              <w:rPr>
                <w:rFonts w:asciiTheme="minorHAnsi" w:hAnsiTheme="minorHAnsi"/>
                <w:b/>
                <w:color w:val="4F81BD" w:themeColor="accent1"/>
              </w:rPr>
            </w:pPr>
            <w:r w:rsidRPr="00E65C14">
              <w:rPr>
                <w:rFonts w:asciiTheme="minorHAnsi" w:hAnsiTheme="minorHAnsi"/>
                <w:b/>
                <w:color w:val="4F81BD" w:themeColor="accent1"/>
              </w:rPr>
              <w:t>Percentage indicates the percentage of lesson time each activity should take.</w:t>
            </w:r>
          </w:p>
        </w:tc>
      </w:tr>
      <w:tr w:rsidR="00C94529" w:rsidRPr="000D6FA4" w:rsidTr="0045794F">
        <w:tc>
          <w:tcPr>
            <w:tcW w:w="894" w:type="dxa"/>
            <w:vMerge w:val="restart"/>
            <w:vAlign w:val="center"/>
          </w:tcPr>
          <w:p w:rsidR="00C94529" w:rsidRPr="00A948B3" w:rsidRDefault="00C94529" w:rsidP="0045794F">
            <w:pPr>
              <w:spacing w:before="20" w:after="20" w:line="240" w:lineRule="auto"/>
              <w:jc w:val="center"/>
              <w:rPr>
                <w:sz w:val="18"/>
              </w:rPr>
            </w:pPr>
            <w:r>
              <w:rPr>
                <w:sz w:val="18"/>
              </w:rPr>
              <w:t>n</w:t>
            </w:r>
            <w:r w:rsidRPr="00A948B3">
              <w:rPr>
                <w:sz w:val="18"/>
              </w:rPr>
              <w:t>o symbol</w:t>
            </w:r>
          </w:p>
        </w:tc>
        <w:tc>
          <w:tcPr>
            <w:tcW w:w="8574" w:type="dxa"/>
          </w:tcPr>
          <w:p w:rsidR="00C94529" w:rsidRPr="000D6FA4" w:rsidRDefault="00C94529" w:rsidP="0045794F">
            <w:pPr>
              <w:spacing w:before="20" w:after="20" w:line="240" w:lineRule="auto"/>
            </w:pPr>
            <w:r>
              <w:t xml:space="preserve">Plain text </w:t>
            </w:r>
            <w:r w:rsidRPr="000D6FA4">
              <w:t>indicates teacher action.</w:t>
            </w:r>
          </w:p>
        </w:tc>
      </w:tr>
      <w:tr w:rsidR="00C94529" w:rsidRPr="000D6FA4" w:rsidTr="0045794F">
        <w:tc>
          <w:tcPr>
            <w:tcW w:w="894" w:type="dxa"/>
            <w:vMerge/>
          </w:tcPr>
          <w:p w:rsidR="00C94529" w:rsidRPr="000D6FA4" w:rsidRDefault="00C94529" w:rsidP="0045794F">
            <w:pPr>
              <w:spacing w:before="20" w:after="20" w:line="240" w:lineRule="auto"/>
              <w:jc w:val="center"/>
              <w:rPr>
                <w:b/>
                <w:color w:val="000000" w:themeColor="text1"/>
              </w:rPr>
            </w:pPr>
          </w:p>
        </w:tc>
        <w:tc>
          <w:tcPr>
            <w:tcW w:w="8574" w:type="dxa"/>
          </w:tcPr>
          <w:p w:rsidR="00C94529" w:rsidRPr="000D6FA4" w:rsidRDefault="00C94529" w:rsidP="0045794F">
            <w:pPr>
              <w:spacing w:before="20" w:after="20" w:line="240" w:lineRule="auto"/>
              <w:rPr>
                <w:color w:val="4F81BD" w:themeColor="accent1"/>
              </w:rPr>
            </w:pPr>
            <w:r w:rsidRPr="00BA46CB">
              <w:rPr>
                <w:b/>
              </w:rPr>
              <w:t>Bold text indicates questions for the teacher to ask students.</w:t>
            </w:r>
          </w:p>
        </w:tc>
      </w:tr>
      <w:tr w:rsidR="00C94529" w:rsidRPr="000D6FA4" w:rsidTr="0045794F">
        <w:tc>
          <w:tcPr>
            <w:tcW w:w="894" w:type="dxa"/>
            <w:vMerge/>
          </w:tcPr>
          <w:p w:rsidR="00C94529" w:rsidRPr="000D6FA4" w:rsidRDefault="00C94529" w:rsidP="0045794F">
            <w:pPr>
              <w:spacing w:before="20" w:after="20" w:line="240" w:lineRule="auto"/>
              <w:jc w:val="center"/>
              <w:rPr>
                <w:b/>
                <w:color w:val="000000" w:themeColor="text1"/>
              </w:rPr>
            </w:pPr>
          </w:p>
        </w:tc>
        <w:tc>
          <w:tcPr>
            <w:tcW w:w="8574" w:type="dxa"/>
          </w:tcPr>
          <w:p w:rsidR="00C94529" w:rsidRPr="001E189E" w:rsidRDefault="00C94529" w:rsidP="0045794F">
            <w:pPr>
              <w:spacing w:before="20" w:after="20" w:line="240" w:lineRule="auto"/>
              <w:rPr>
                <w:i/>
              </w:rPr>
            </w:pPr>
            <w:r w:rsidRPr="001E189E">
              <w:rPr>
                <w:i/>
              </w:rPr>
              <w:t>Italicized text indicates a vocabulary word.</w:t>
            </w:r>
          </w:p>
        </w:tc>
      </w:tr>
      <w:tr w:rsidR="00C94529" w:rsidRPr="000D6FA4" w:rsidTr="00457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C94529" w:rsidRDefault="00C94529" w:rsidP="0045794F">
            <w:pPr>
              <w:spacing w:before="40" w:after="0" w:line="240" w:lineRule="auto"/>
              <w:jc w:val="center"/>
            </w:pPr>
            <w:r>
              <w:sym w:font="Webdings" w:char="F034"/>
            </w:r>
          </w:p>
        </w:tc>
        <w:tc>
          <w:tcPr>
            <w:tcW w:w="8574" w:type="dxa"/>
          </w:tcPr>
          <w:p w:rsidR="00C94529" w:rsidRPr="000C0112" w:rsidRDefault="00C94529" w:rsidP="0045794F">
            <w:pPr>
              <w:spacing w:before="20" w:after="20" w:line="240" w:lineRule="auto"/>
            </w:pPr>
            <w:r w:rsidRPr="001708C2">
              <w:t>Indicates student action(s).</w:t>
            </w:r>
          </w:p>
        </w:tc>
      </w:tr>
      <w:tr w:rsidR="00C94529" w:rsidRPr="000D6FA4" w:rsidTr="00457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C94529" w:rsidRDefault="00C94529" w:rsidP="0045794F">
            <w:pPr>
              <w:spacing w:before="80" w:after="0" w:line="240" w:lineRule="auto"/>
              <w:jc w:val="center"/>
            </w:pPr>
            <w:r>
              <w:sym w:font="Webdings" w:char="F028"/>
            </w:r>
          </w:p>
        </w:tc>
        <w:tc>
          <w:tcPr>
            <w:tcW w:w="8574" w:type="dxa"/>
          </w:tcPr>
          <w:p w:rsidR="00C94529" w:rsidRPr="000C0112" w:rsidRDefault="00C94529" w:rsidP="0045794F">
            <w:pPr>
              <w:spacing w:before="20" w:after="20" w:line="240" w:lineRule="auto"/>
            </w:pPr>
            <w:r w:rsidRPr="001708C2">
              <w:t>Indicates possible student response(s) to teacher questions.</w:t>
            </w:r>
          </w:p>
        </w:tc>
      </w:tr>
      <w:tr w:rsidR="00C94529" w:rsidRPr="000D6FA4" w:rsidTr="0045794F">
        <w:tc>
          <w:tcPr>
            <w:tcW w:w="894" w:type="dxa"/>
            <w:vAlign w:val="bottom"/>
          </w:tcPr>
          <w:p w:rsidR="00C94529" w:rsidRPr="000D6FA4" w:rsidRDefault="00C94529" w:rsidP="0045794F">
            <w:pPr>
              <w:spacing w:after="0" w:line="240" w:lineRule="auto"/>
              <w:jc w:val="center"/>
              <w:rPr>
                <w:color w:val="4F81BD" w:themeColor="accent1"/>
              </w:rPr>
            </w:pPr>
            <w:r w:rsidRPr="000D6FA4">
              <w:rPr>
                <w:color w:val="4F81BD" w:themeColor="accent1"/>
              </w:rPr>
              <w:sym w:font="Webdings" w:char="F069"/>
            </w:r>
          </w:p>
        </w:tc>
        <w:tc>
          <w:tcPr>
            <w:tcW w:w="8574" w:type="dxa"/>
          </w:tcPr>
          <w:p w:rsidR="00C94529" w:rsidRPr="000D6FA4" w:rsidRDefault="00C94529" w:rsidP="0045794F">
            <w:pPr>
              <w:spacing w:before="20" w:after="20" w:line="240" w:lineRule="auto"/>
              <w:rPr>
                <w:color w:val="4F81BD" w:themeColor="accent1"/>
              </w:rPr>
            </w:pPr>
            <w:r>
              <w:rPr>
                <w:color w:val="4F81BD" w:themeColor="accent1"/>
              </w:rPr>
              <w:t>I</w:t>
            </w:r>
            <w:r w:rsidRPr="000D6FA4">
              <w:rPr>
                <w:color w:val="4F81BD" w:themeColor="accent1"/>
              </w:rPr>
              <w:t>ndicates instructional notes for the teacher.</w:t>
            </w:r>
          </w:p>
        </w:tc>
      </w:tr>
    </w:tbl>
    <w:p w:rsidR="0017138E" w:rsidRPr="00A24DAB" w:rsidRDefault="0017138E" w:rsidP="00CE2836">
      <w:pPr>
        <w:pStyle w:val="LearningSequenceHeader"/>
      </w:pPr>
      <w:r w:rsidRPr="00A24DAB">
        <w:t xml:space="preserve">Activity 1: Introduction </w:t>
      </w:r>
      <w:r w:rsidR="004F67F3">
        <w:t>of</w:t>
      </w:r>
      <w:r w:rsidRPr="00A24DAB">
        <w:t xml:space="preserve"> Lesson Agenda</w:t>
      </w:r>
      <w:r w:rsidRPr="00A24DAB">
        <w:tab/>
      </w:r>
      <w:r w:rsidR="007F7256">
        <w:t>10</w:t>
      </w:r>
      <w:r w:rsidRPr="00A24DAB">
        <w:t>%</w:t>
      </w:r>
    </w:p>
    <w:p w:rsidR="0017138E" w:rsidRDefault="0017138E" w:rsidP="00E15D0F">
      <w:pPr>
        <w:pStyle w:val="TA"/>
      </w:pPr>
      <w:r>
        <w:t>Review</w:t>
      </w:r>
      <w:r w:rsidRPr="00A87065">
        <w:t xml:space="preserve"> the agenda and assessed sta</w:t>
      </w:r>
      <w:r>
        <w:t xml:space="preserve">ndard for this lesson: </w:t>
      </w:r>
      <w:r>
        <w:rPr>
          <w:rFonts w:cs="Calibri"/>
        </w:rPr>
        <w:t>RL.11-12.3</w:t>
      </w:r>
      <w:r>
        <w:t xml:space="preserve">. Explain that in </w:t>
      </w:r>
      <w:r w:rsidRPr="00A87065">
        <w:t xml:space="preserve">this lesson, students </w:t>
      </w:r>
      <w:r>
        <w:t>consider how the setting affects other elements of the drama.</w:t>
      </w:r>
      <w:r w:rsidR="00E27B33">
        <w:t xml:space="preserve"> Students </w:t>
      </w:r>
      <w:r w:rsidR="00B17154">
        <w:t xml:space="preserve">hear a </w:t>
      </w:r>
      <w:r w:rsidR="00150A12">
        <w:t>M</w:t>
      </w:r>
      <w:r w:rsidR="00B17154">
        <w:t xml:space="preserve">asterful </w:t>
      </w:r>
      <w:r w:rsidR="00150A12">
        <w:lastRenderedPageBreak/>
        <w:t>R</w:t>
      </w:r>
      <w:r w:rsidR="00B17154">
        <w:t>eading of</w:t>
      </w:r>
      <w:r w:rsidR="00E27B33">
        <w:t xml:space="preserve"> Act 5</w:t>
      </w:r>
      <w:r w:rsidR="004F67F3">
        <w:t>.</w:t>
      </w:r>
      <w:r w:rsidR="00E27B33">
        <w:t xml:space="preserve">1, closely studying how the setting impacts other elements in the scene, including </w:t>
      </w:r>
      <w:r w:rsidR="009B2870">
        <w:t>tone</w:t>
      </w:r>
      <w:r w:rsidR="00E27B33">
        <w:t xml:space="preserve">, characterization, and central ideas. After students have </w:t>
      </w:r>
      <w:r w:rsidR="0075421E">
        <w:t xml:space="preserve">listened to the </w:t>
      </w:r>
      <w:r w:rsidR="00150A12">
        <w:t>M</w:t>
      </w:r>
      <w:r w:rsidR="0075421E">
        <w:t xml:space="preserve">asterful </w:t>
      </w:r>
      <w:r w:rsidR="00150A12">
        <w:t>R</w:t>
      </w:r>
      <w:r w:rsidR="0075421E">
        <w:t xml:space="preserve">eading and </w:t>
      </w:r>
      <w:r w:rsidR="004F67F3">
        <w:t xml:space="preserve">discussed the scene, they </w:t>
      </w:r>
      <w:r w:rsidR="00E27B33">
        <w:t xml:space="preserve">carefully read lines </w:t>
      </w:r>
      <w:r w:rsidR="00E27B33">
        <w:rPr>
          <w:rFonts w:cs="Calibri"/>
        </w:rPr>
        <w:t>254–289</w:t>
      </w:r>
      <w:r w:rsidR="00E27B33">
        <w:t>.</w:t>
      </w:r>
      <w:r w:rsidR="00EA6D1F">
        <w:t xml:space="preserve"> </w:t>
      </w:r>
      <w:r>
        <w:t xml:space="preserve">Students </w:t>
      </w:r>
      <w:r w:rsidR="00B17154">
        <w:t>consider how the setting impacts another element of the drama and share out their observations. After a brief discussion, students complete</w:t>
      </w:r>
      <w:r>
        <w:t xml:space="preserve"> a Quick Write </w:t>
      </w:r>
      <w:r w:rsidR="00B17154">
        <w:t>to demonstrate their learning.</w:t>
      </w:r>
    </w:p>
    <w:p w:rsidR="00134B42" w:rsidRPr="001F1A0E" w:rsidRDefault="00134B42" w:rsidP="00E15D0F">
      <w:pPr>
        <w:pStyle w:val="IN"/>
      </w:pPr>
      <w:r>
        <w:t>Lesson 2</w:t>
      </w:r>
      <w:r w:rsidR="0074755A">
        <w:t xml:space="preserve">1 includes an optional activity in which </w:t>
      </w:r>
      <w:proofErr w:type="gramStart"/>
      <w:r w:rsidR="0074755A">
        <w:t>students</w:t>
      </w:r>
      <w:proofErr w:type="gramEnd"/>
      <w:r>
        <w:t xml:space="preserve"> view a film interpretation of this lesson’s reading.</w:t>
      </w:r>
    </w:p>
    <w:p w:rsidR="0017138E" w:rsidRDefault="0017138E" w:rsidP="00957E26">
      <w:pPr>
        <w:pStyle w:val="SA"/>
      </w:pPr>
      <w:r>
        <w:t>Students look at the agenda and follow along.</w:t>
      </w:r>
    </w:p>
    <w:p w:rsidR="000066F5" w:rsidRPr="00E15D0F" w:rsidRDefault="000066F5" w:rsidP="00E15D0F">
      <w:pPr>
        <w:pStyle w:val="TA"/>
      </w:pPr>
      <w:r w:rsidRPr="00E15D0F">
        <w:t xml:space="preserve">Explain that </w:t>
      </w:r>
      <w:r w:rsidR="007A4F96">
        <w:t xml:space="preserve">in this lesson, </w:t>
      </w:r>
      <w:r w:rsidRPr="00E15D0F">
        <w:t xml:space="preserve">students </w:t>
      </w:r>
      <w:r w:rsidR="004F67F3">
        <w:t>are</w:t>
      </w:r>
      <w:r w:rsidRPr="00E15D0F">
        <w:t xml:space="preserve"> working </w:t>
      </w:r>
      <w:r w:rsidR="004F67F3">
        <w:t>with</w:t>
      </w:r>
      <w:r w:rsidRPr="00E15D0F">
        <w:t xml:space="preserve"> a new standard: W.11-12.2.d</w:t>
      </w:r>
      <w:r w:rsidR="00A15619" w:rsidRPr="00E15D0F">
        <w:t>.</w:t>
      </w:r>
      <w:r w:rsidR="002F590C">
        <w:t xml:space="preserve"> </w:t>
      </w:r>
      <w:r w:rsidRPr="00E15D0F">
        <w:t>Instruct students to reread standard W.11-12.2, paying particular attention to W.11-12.2.d, and have them assess their familiarity with and mastery of the standard using their 11.1 Common Core Learning Standards Tool</w:t>
      </w:r>
      <w:r w:rsidR="004B61E3">
        <w:t>.</w:t>
      </w:r>
      <w:r w:rsidRPr="00E15D0F">
        <w:t xml:space="preserve"> </w:t>
      </w:r>
    </w:p>
    <w:p w:rsidR="000066F5" w:rsidRDefault="000066F5" w:rsidP="000066F5">
      <w:pPr>
        <w:pStyle w:val="SA"/>
      </w:pPr>
      <w:r>
        <w:t>Students read</w:t>
      </w:r>
      <w:r w:rsidR="007A4F96">
        <w:t xml:space="preserve"> and assess their understanding of </w:t>
      </w:r>
      <w:r>
        <w:t>standard W.11-12.2</w:t>
      </w:r>
      <w:r w:rsidR="00034D5D">
        <w:t>.d</w:t>
      </w:r>
      <w:r>
        <w:t>.</w:t>
      </w:r>
    </w:p>
    <w:p w:rsidR="000066F5" w:rsidRDefault="000066F5" w:rsidP="00E15D0F">
      <w:pPr>
        <w:pStyle w:val="TA"/>
      </w:pPr>
      <w:r>
        <w:t xml:space="preserve">Instruct students to talk </w:t>
      </w:r>
      <w:r w:rsidR="00A15619">
        <w:t>in pairs</w:t>
      </w:r>
      <w:r>
        <w:t xml:space="preserve"> about their understanding of the new standard, W.11-12.2.d.  </w:t>
      </w:r>
    </w:p>
    <w:p w:rsidR="000066F5" w:rsidRDefault="000066F5" w:rsidP="000066F5">
      <w:pPr>
        <w:pStyle w:val="SR"/>
      </w:pPr>
      <w:r>
        <w:t>Student responses may include:</w:t>
      </w:r>
    </w:p>
    <w:p w:rsidR="000066F5" w:rsidRDefault="00E91936" w:rsidP="000066F5">
      <w:pPr>
        <w:pStyle w:val="SASRBullet"/>
      </w:pPr>
      <w:r>
        <w:t>U</w:t>
      </w:r>
      <w:r w:rsidR="007F7256">
        <w:t>se language carefully when writing.</w:t>
      </w:r>
    </w:p>
    <w:p w:rsidR="000066F5" w:rsidRDefault="00E91936" w:rsidP="000066F5">
      <w:pPr>
        <w:pStyle w:val="SASRBullet"/>
      </w:pPr>
      <w:r>
        <w:t>U</w:t>
      </w:r>
      <w:r w:rsidR="007F7256">
        <w:t>se language that is specific to the domain</w:t>
      </w:r>
      <w:r w:rsidR="009F60BA">
        <w:t xml:space="preserve"> or content area</w:t>
      </w:r>
      <w:r w:rsidR="007F7256">
        <w:t xml:space="preserve"> (literature) when writing</w:t>
      </w:r>
      <w:r w:rsidR="000066F5">
        <w:t>.</w:t>
      </w:r>
    </w:p>
    <w:p w:rsidR="000066F5" w:rsidRDefault="00E91936" w:rsidP="000066F5">
      <w:pPr>
        <w:pStyle w:val="SASRBullet"/>
      </w:pPr>
      <w:r>
        <w:t>U</w:t>
      </w:r>
      <w:r w:rsidR="007F7256">
        <w:t>s</w:t>
      </w:r>
      <w:r>
        <w:t>e</w:t>
      </w:r>
      <w:r w:rsidR="007F7256">
        <w:t xml:space="preserve"> </w:t>
      </w:r>
      <w:r w:rsidR="009F60BA">
        <w:t>specific</w:t>
      </w:r>
      <w:r w:rsidR="007F7256">
        <w:t xml:space="preserve"> terms such as metaphor, simile, and analogy when writing about texts</w:t>
      </w:r>
      <w:r w:rsidR="000066F5">
        <w:t>.</w:t>
      </w:r>
    </w:p>
    <w:p w:rsidR="000066F5" w:rsidRDefault="000066F5" w:rsidP="00E15D0F">
      <w:pPr>
        <w:pStyle w:val="TA"/>
      </w:pPr>
      <w:r>
        <w:t>Lead a brief class discussion about the meaning of the standard to check for understanding.</w:t>
      </w:r>
    </w:p>
    <w:p w:rsidR="000066F5" w:rsidRDefault="007F7256" w:rsidP="00E15D0F">
      <w:pPr>
        <w:pStyle w:val="TA"/>
      </w:pPr>
      <w:r>
        <w:t xml:space="preserve">Explain that in this lesson students </w:t>
      </w:r>
      <w:r w:rsidR="007A4F96">
        <w:t>must</w:t>
      </w:r>
      <w:r>
        <w:t xml:space="preserve"> use the correct terminology when describing parts of the play (act and scene) as well as dramatic elements, such as setting, characters, plot, etc</w:t>
      </w:r>
      <w:r w:rsidR="000066F5">
        <w:t>.</w:t>
      </w:r>
    </w:p>
    <w:p w:rsidR="007F7256" w:rsidRDefault="007F7256" w:rsidP="00E15D0F">
      <w:pPr>
        <w:pStyle w:val="TA"/>
      </w:pPr>
      <w:r>
        <w:t xml:space="preserve">Instruct students to talk </w:t>
      </w:r>
      <w:r w:rsidR="002C286F">
        <w:t>in pairs</w:t>
      </w:r>
      <w:r>
        <w:t xml:space="preserve"> about their understanding of the terms that they will use in this lesson.</w:t>
      </w:r>
    </w:p>
    <w:p w:rsidR="000066F5" w:rsidRDefault="000066F5" w:rsidP="00E15D0F">
      <w:pPr>
        <w:pStyle w:val="SR"/>
      </w:pPr>
      <w:r>
        <w:t>Student responses might include:</w:t>
      </w:r>
    </w:p>
    <w:p w:rsidR="000066F5" w:rsidRDefault="007F7256" w:rsidP="00E15D0F">
      <w:pPr>
        <w:pStyle w:val="SASRBullet"/>
      </w:pPr>
      <w:r>
        <w:t>An ac</w:t>
      </w:r>
      <w:r w:rsidR="000066F5">
        <w:t>t</w:t>
      </w:r>
      <w:r>
        <w:t xml:space="preserve"> is a large division of a play</w:t>
      </w:r>
      <w:r w:rsidR="000066F5">
        <w:t>.</w:t>
      </w:r>
    </w:p>
    <w:p w:rsidR="000066F5" w:rsidRDefault="007F7256" w:rsidP="000066F5">
      <w:pPr>
        <w:pStyle w:val="SASRBullet"/>
      </w:pPr>
      <w:r>
        <w:t>A scene is a smaller part of an act that takes place within a single time frame and a single setting</w:t>
      </w:r>
      <w:r w:rsidR="000066F5">
        <w:t>.</w:t>
      </w:r>
    </w:p>
    <w:p w:rsidR="000066F5" w:rsidRDefault="007F7256" w:rsidP="000066F5">
      <w:pPr>
        <w:pStyle w:val="SASRBullet"/>
      </w:pPr>
      <w:r>
        <w:t>The setting is where and when a play takes place</w:t>
      </w:r>
      <w:r w:rsidR="000066F5">
        <w:t>.</w:t>
      </w:r>
    </w:p>
    <w:p w:rsidR="000066F5" w:rsidRDefault="007F7256" w:rsidP="000066F5">
      <w:pPr>
        <w:pStyle w:val="SASRBullet"/>
      </w:pPr>
      <w:r>
        <w:t>The plot is the sequence of events in a play.</w:t>
      </w:r>
    </w:p>
    <w:p w:rsidR="007F7256" w:rsidRDefault="007F7256" w:rsidP="000066F5">
      <w:pPr>
        <w:pStyle w:val="SASRBullet"/>
      </w:pPr>
      <w:r>
        <w:t>Characterization has to do with how a playwright develops the characters in a play.</w:t>
      </w:r>
    </w:p>
    <w:p w:rsidR="000066F5" w:rsidRPr="00E15D0F" w:rsidRDefault="000066F5" w:rsidP="00E15D0F">
      <w:pPr>
        <w:pStyle w:val="TA"/>
      </w:pPr>
      <w:r w:rsidRPr="00E15D0F">
        <w:t xml:space="preserve">Remind students they will be working with this standard, so they should be looking for </w:t>
      </w:r>
      <w:r w:rsidR="007F7256" w:rsidRPr="00E15D0F">
        <w:t>opportunities to use the correct vocabulary terms as they describe the play</w:t>
      </w:r>
      <w:r w:rsidRPr="00E15D0F">
        <w:t>.</w:t>
      </w:r>
    </w:p>
    <w:p w:rsidR="00216E2C" w:rsidRPr="00995E89" w:rsidRDefault="00216E2C" w:rsidP="009A4132">
      <w:pPr>
        <w:pStyle w:val="InstructionalNote"/>
      </w:pPr>
      <w:r>
        <w:t>Consider displaying literary or dramatic terms students identify during this exercise, for use later in this lesson.</w:t>
      </w:r>
    </w:p>
    <w:p w:rsidR="0017138E" w:rsidRDefault="0017138E" w:rsidP="00CE2836">
      <w:pPr>
        <w:pStyle w:val="LearningSequenceHeader"/>
      </w:pPr>
      <w:r>
        <w:t>Activity 2</w:t>
      </w:r>
      <w:r w:rsidRPr="000B2D56">
        <w:t xml:space="preserve">: </w:t>
      </w:r>
      <w:r>
        <w:t>Homework Accountability</w:t>
      </w:r>
      <w:r>
        <w:tab/>
        <w:t>1</w:t>
      </w:r>
      <w:r w:rsidR="00291B74">
        <w:t>0</w:t>
      </w:r>
      <w:r w:rsidRPr="000B2D56">
        <w:t>%</w:t>
      </w:r>
    </w:p>
    <w:p w:rsidR="008A4DE2" w:rsidRDefault="008A4DE2" w:rsidP="00E15D0F">
      <w:pPr>
        <w:pStyle w:val="TA"/>
        <w:rPr>
          <w:rFonts w:asciiTheme="minorHAnsi" w:hAnsiTheme="minorHAnsi"/>
        </w:rPr>
      </w:pPr>
      <w:r>
        <w:t>Instruct students to talk in pairs about how they can apply the assigned focus standard, RL.11-12.</w:t>
      </w:r>
      <w:r w:rsidR="00291134">
        <w:t>5</w:t>
      </w:r>
      <w:r>
        <w:t xml:space="preserve">, to their text. Lead a brief share out on the previous lesson’s AIR homework assignment. Select several students (or student pairs) to explain how they applied their focus standard to their AIR </w:t>
      </w:r>
      <w:r w:rsidRPr="004B2D18">
        <w:rPr>
          <w:rFonts w:asciiTheme="minorHAnsi" w:hAnsiTheme="minorHAnsi"/>
        </w:rPr>
        <w:t>text.</w:t>
      </w:r>
    </w:p>
    <w:p w:rsidR="0045794F" w:rsidRDefault="005A68BC" w:rsidP="00A125B8">
      <w:pPr>
        <w:pStyle w:val="SA"/>
      </w:pPr>
      <w:r w:rsidRPr="00E51822">
        <w:t>Students (or student pairs) discuss and share how they applied their focus standard</w:t>
      </w:r>
      <w:r>
        <w:t xml:space="preserve"> (RL.11-12.</w:t>
      </w:r>
      <w:r w:rsidR="006F6FCC">
        <w:t>5</w:t>
      </w:r>
      <w:r w:rsidR="0045794F">
        <w:t>)</w:t>
      </w:r>
      <w:r w:rsidR="007A4F96">
        <w:t>.</w:t>
      </w:r>
    </w:p>
    <w:p w:rsidR="0017138E" w:rsidRDefault="0017138E" w:rsidP="00E15D0F">
      <w:pPr>
        <w:pStyle w:val="TA"/>
      </w:pPr>
      <w:r>
        <w:t>Instruct students to</w:t>
      </w:r>
      <w:r w:rsidR="005A68BC">
        <w:t xml:space="preserve"> form new pairs to</w:t>
      </w:r>
      <w:r>
        <w:t xml:space="preserve"> talk about how </w:t>
      </w:r>
      <w:r w:rsidR="00E27B33">
        <w:t xml:space="preserve">both the </w:t>
      </w:r>
      <w:r w:rsidR="009A4132">
        <w:t xml:space="preserve">player </w:t>
      </w:r>
      <w:r w:rsidR="00E27B33">
        <w:t>in</w:t>
      </w:r>
      <w:r w:rsidR="00D46BFB">
        <w:t xml:space="preserve"> Act 2 and </w:t>
      </w:r>
      <w:proofErr w:type="spellStart"/>
      <w:r w:rsidR="00D46BFB">
        <w:t>Fortinbras</w:t>
      </w:r>
      <w:proofErr w:type="spellEnd"/>
      <w:r w:rsidR="00D46BFB">
        <w:t xml:space="preserve"> in Act 4 serve as foils for Hamlet.</w:t>
      </w:r>
      <w:r w:rsidR="00E27B33">
        <w:t xml:space="preserve"> </w:t>
      </w:r>
    </w:p>
    <w:p w:rsidR="005A68BC" w:rsidRDefault="005A68BC" w:rsidP="006F6FCC">
      <w:pPr>
        <w:pStyle w:val="SA"/>
      </w:pPr>
      <w:r>
        <w:t>Students work in pairs to discuss Hamlet’s character foils.</w:t>
      </w:r>
    </w:p>
    <w:p w:rsidR="0045794F" w:rsidRDefault="0045794F" w:rsidP="0045794F">
      <w:pPr>
        <w:pStyle w:val="SR"/>
      </w:pPr>
      <w:r>
        <w:t>Student responses may include:</w:t>
      </w:r>
    </w:p>
    <w:p w:rsidR="0045794F" w:rsidRDefault="0045794F" w:rsidP="00A125B8">
      <w:pPr>
        <w:pStyle w:val="SASRBullet"/>
      </w:pPr>
      <w:r>
        <w:t xml:space="preserve">Hamlet’s comparison of himself first to the actor and then to </w:t>
      </w:r>
      <w:proofErr w:type="spellStart"/>
      <w:r>
        <w:t>Fortinbras</w:t>
      </w:r>
      <w:proofErr w:type="spellEnd"/>
      <w:r>
        <w:t xml:space="preserve"> serves to develop his character further. </w:t>
      </w:r>
      <w:r w:rsidR="00584414">
        <w:t xml:space="preserve">There is a stark contrast between the </w:t>
      </w:r>
      <w:proofErr w:type="gramStart"/>
      <w:r w:rsidR="00584414">
        <w:t>actor</w:t>
      </w:r>
      <w:proofErr w:type="gramEnd"/>
      <w:r w:rsidR="00584414">
        <w:t>, who is able to move himself to tears “all for nothing! / For Hecuba” (Act 2.2, lines 584</w:t>
      </w:r>
      <w:r w:rsidR="007A4F96">
        <w:t>–</w:t>
      </w:r>
      <w:r w:rsidR="00584414">
        <w:t xml:space="preserve">585), and Hamlet who remains “Like John-a-dreams, </w:t>
      </w:r>
      <w:proofErr w:type="spellStart"/>
      <w:r w:rsidR="00584414">
        <w:t>unpregnant</w:t>
      </w:r>
      <w:proofErr w:type="spellEnd"/>
      <w:r w:rsidR="00584414">
        <w:t xml:space="preserve"> of my cause.” In this way, Shakespeare highlights Hamlet’s indecision, and what Hamlet himself perceives to be his cowardice. Similarly, </w:t>
      </w:r>
      <w:proofErr w:type="spellStart"/>
      <w:r w:rsidR="00584414">
        <w:t>Fortinbras</w:t>
      </w:r>
      <w:proofErr w:type="spellEnd"/>
      <w:r w:rsidR="00584414">
        <w:t xml:space="preserve"> acts as a kind of double to Hamlet: whereas Hamlet struggles with the question of revenge and of how to avenge his father, </w:t>
      </w:r>
      <w:proofErr w:type="spellStart"/>
      <w:r w:rsidR="00584414">
        <w:t>Fortinbras</w:t>
      </w:r>
      <w:proofErr w:type="spellEnd"/>
      <w:r w:rsidR="00584414">
        <w:t xml:space="preserve"> acts decisively, his “spirit with divine ambition puffed” (Act 4.4, line 52) contrasting with Hamlet’s own inability to stir himself to action</w:t>
      </w:r>
      <w:r w:rsidR="000070D8">
        <w:t>.</w:t>
      </w:r>
    </w:p>
    <w:p w:rsidR="00584414" w:rsidRPr="000B2D56" w:rsidRDefault="00584414" w:rsidP="00A125B8">
      <w:pPr>
        <w:pStyle w:val="SASRBullet"/>
      </w:pPr>
      <w:r>
        <w:t>Shakespeare’s use of other characters as foils develops</w:t>
      </w:r>
      <w:r w:rsidR="007A4F96">
        <w:t xml:space="preserve"> many central ideas of the play:</w:t>
      </w:r>
      <w:r>
        <w:t xml:space="preserve"> for example, the question of </w:t>
      </w:r>
      <w:r w:rsidR="00AD6446">
        <w:t>action versus inaction</w:t>
      </w:r>
      <w:r>
        <w:t xml:space="preserve">. Whereas both the actor and </w:t>
      </w:r>
      <w:proofErr w:type="spellStart"/>
      <w:r>
        <w:t>Fortinbras</w:t>
      </w:r>
      <w:proofErr w:type="spellEnd"/>
      <w:r>
        <w:t xml:space="preserve"> act decisively, Hamlet agonizes over the question of right versus wrong, to the point that he is unable to act. Similarly, the central </w:t>
      </w:r>
      <w:r w:rsidR="00AD6446">
        <w:t>idea</w:t>
      </w:r>
      <w:r>
        <w:t xml:space="preserve"> of </w:t>
      </w:r>
      <w:r w:rsidR="00A125B8">
        <w:t xml:space="preserve">revenge </w:t>
      </w:r>
      <w:r w:rsidR="00AD6446">
        <w:t>is</w:t>
      </w:r>
      <w:r w:rsidR="00A125B8">
        <w:t xml:space="preserve"> developed through the contrast between Hamlet and these other characters. </w:t>
      </w:r>
    </w:p>
    <w:p w:rsidR="00196C92" w:rsidRPr="008F3BC4" w:rsidRDefault="00CD3725" w:rsidP="00730946">
      <w:pPr>
        <w:pStyle w:val="LearningSequenceHeader"/>
        <w:rPr>
          <w:rFonts w:cs="Calibri"/>
        </w:rPr>
      </w:pPr>
      <w:r>
        <w:rPr>
          <w:rFonts w:cs="Calibri"/>
        </w:rPr>
        <w:t xml:space="preserve">Activity 3: </w:t>
      </w:r>
      <w:r w:rsidR="006F6FCC">
        <w:rPr>
          <w:rFonts w:cs="Calibri"/>
        </w:rPr>
        <w:t>Masterful Rea</w:t>
      </w:r>
      <w:r w:rsidR="00C30EDB">
        <w:rPr>
          <w:rFonts w:cs="Calibri"/>
        </w:rPr>
        <w:t>ding</w:t>
      </w:r>
      <w:r w:rsidR="00E15D0F">
        <w:rPr>
          <w:rFonts w:cs="Calibri"/>
        </w:rPr>
        <w:tab/>
      </w:r>
      <w:r w:rsidR="00F235E8">
        <w:rPr>
          <w:rFonts w:cs="Calibri"/>
        </w:rPr>
        <w:t>3</w:t>
      </w:r>
      <w:r w:rsidR="00207682">
        <w:rPr>
          <w:rFonts w:cs="Calibri"/>
        </w:rPr>
        <w:t>0</w:t>
      </w:r>
      <w:r w:rsidR="006F6FCC">
        <w:rPr>
          <w:rFonts w:cs="Calibri"/>
        </w:rPr>
        <w:t>%</w:t>
      </w:r>
    </w:p>
    <w:p w:rsidR="007344F3" w:rsidRDefault="007A4F96" w:rsidP="00E15D0F">
      <w:pPr>
        <w:pStyle w:val="TA"/>
      </w:pPr>
      <w:r>
        <w:t xml:space="preserve">Have </w:t>
      </w:r>
      <w:r w:rsidR="00B6317D">
        <w:t xml:space="preserve">students listen to a </w:t>
      </w:r>
      <w:r w:rsidR="00150A12">
        <w:t>M</w:t>
      </w:r>
      <w:r w:rsidR="00B6317D">
        <w:t>asterfu</w:t>
      </w:r>
      <w:r w:rsidR="002F590C">
        <w:t xml:space="preserve">l </w:t>
      </w:r>
      <w:r w:rsidR="00150A12">
        <w:t>R</w:t>
      </w:r>
      <w:r w:rsidR="002F590C">
        <w:t>eading of Act 5.1, lines 1–</w:t>
      </w:r>
      <w:r w:rsidR="00EC025F">
        <w:t>68 (</w:t>
      </w:r>
      <w:r w:rsidR="001449BC">
        <w:t xml:space="preserve">from </w:t>
      </w:r>
      <w:r w:rsidR="00C62B66">
        <w:t>“</w:t>
      </w:r>
      <w:r w:rsidR="001449BC">
        <w:t>Is she to be buried in Christian burial” to “</w:t>
      </w:r>
      <w:proofErr w:type="gramStart"/>
      <w:r w:rsidR="001449BC">
        <w:t>Has</w:t>
      </w:r>
      <w:proofErr w:type="gramEnd"/>
      <w:r w:rsidR="001449BC">
        <w:t xml:space="preserve"> this fellow no feeling of his bus</w:t>
      </w:r>
      <w:r w:rsidR="00EC025F">
        <w:t>iness? He sings in grave-making.</w:t>
      </w:r>
      <w:r w:rsidR="001449BC">
        <w:t>”</w:t>
      </w:r>
      <w:r w:rsidR="00EC025F">
        <w:t>),</w:t>
      </w:r>
      <w:r w:rsidR="00C30EDB">
        <w:t xml:space="preserve"> noting both the content and the </w:t>
      </w:r>
      <w:r w:rsidR="00B6317D">
        <w:t>tone o</w:t>
      </w:r>
      <w:r w:rsidR="00C30EDB">
        <w:t>f the gravediggers’ conversation</w:t>
      </w:r>
      <w:r w:rsidR="00B6317D">
        <w:t>.</w:t>
      </w:r>
    </w:p>
    <w:p w:rsidR="00067344" w:rsidRDefault="009A4132" w:rsidP="00730946">
      <w:pPr>
        <w:pStyle w:val="SA"/>
      </w:pPr>
      <w:r>
        <w:t xml:space="preserve">Students </w:t>
      </w:r>
      <w:r w:rsidR="003A350D">
        <w:t>follow along, reading silently</w:t>
      </w:r>
      <w:r w:rsidR="00E15D0F">
        <w:t>.</w:t>
      </w:r>
    </w:p>
    <w:p w:rsidR="000F4C28" w:rsidRDefault="007A4F96" w:rsidP="005108CF">
      <w:pPr>
        <w:pStyle w:val="InstructionalNote"/>
      </w:pPr>
      <w:r>
        <w:t>In</w:t>
      </w:r>
      <w:r w:rsidR="000F4C28">
        <w:t xml:space="preserve"> th</w:t>
      </w:r>
      <w:r w:rsidR="005108CF">
        <w:t>e</w:t>
      </w:r>
      <w:r w:rsidR="000F4C28">
        <w:t xml:space="preserve"> recording</w:t>
      </w:r>
      <w:r w:rsidR="00DC3A8D">
        <w:t xml:space="preserve"> </w:t>
      </w:r>
      <w:r w:rsidR="005108CF">
        <w:t xml:space="preserve">cited in this lesson, </w:t>
      </w:r>
      <w:r w:rsidR="000F4C28">
        <w:t>the narrator refers to the gravediggers as “clowns,” meaning “peasants” or “</w:t>
      </w:r>
      <w:proofErr w:type="spellStart"/>
      <w:r w:rsidR="000F4C28">
        <w:t>country men</w:t>
      </w:r>
      <w:proofErr w:type="spellEnd"/>
      <w:r w:rsidR="000F4C28">
        <w:t>.”</w:t>
      </w:r>
    </w:p>
    <w:p w:rsidR="00C77A71" w:rsidRPr="00AD6446" w:rsidRDefault="00290C15" w:rsidP="00C77A71">
      <w:pPr>
        <w:pStyle w:val="TA"/>
      </w:pPr>
      <w:r w:rsidRPr="00AD6446">
        <w:t xml:space="preserve">Next, </w:t>
      </w:r>
      <w:r w:rsidR="00EC025F">
        <w:t>have</w:t>
      </w:r>
      <w:r w:rsidR="0064182B">
        <w:t xml:space="preserve"> students </w:t>
      </w:r>
      <w:r w:rsidR="00C77A71" w:rsidRPr="00AD6446">
        <w:t xml:space="preserve">listen to a </w:t>
      </w:r>
      <w:r w:rsidR="00150A12">
        <w:t>M</w:t>
      </w:r>
      <w:r w:rsidR="00C77A71" w:rsidRPr="00AD6446">
        <w:t xml:space="preserve">asterful </w:t>
      </w:r>
      <w:r w:rsidR="00150A12">
        <w:t>R</w:t>
      </w:r>
      <w:r w:rsidR="00C77A71" w:rsidRPr="00AD6446">
        <w:t>eading of lines 224–319</w:t>
      </w:r>
      <w:r w:rsidRPr="00AD6446">
        <w:t xml:space="preserve"> in Act 5.1</w:t>
      </w:r>
      <w:r w:rsidR="00C77A71" w:rsidRPr="00AD6446">
        <w:t xml:space="preserve"> (from “But soft, but soft awhile! Here comes the King” to “Till then in patience our proceeding be”), noticing what Hamlet learns in this passage and how he reacts to what he learns.</w:t>
      </w:r>
    </w:p>
    <w:p w:rsidR="00C77A71" w:rsidRPr="00516F7C" w:rsidRDefault="00C77A71" w:rsidP="00C77A71">
      <w:pPr>
        <w:pStyle w:val="SA"/>
      </w:pPr>
      <w:r w:rsidRPr="00AD6446">
        <w:t xml:space="preserve">Students </w:t>
      </w:r>
      <w:r w:rsidR="00516F7C">
        <w:t>follow along, reading silently</w:t>
      </w:r>
      <w:r w:rsidRPr="00516F7C">
        <w:t>.</w:t>
      </w:r>
    </w:p>
    <w:p w:rsidR="00067344" w:rsidRDefault="00C77A71" w:rsidP="00E15D0F">
      <w:pPr>
        <w:pStyle w:val="TA"/>
      </w:pPr>
      <w:r>
        <w:t xml:space="preserve">Instruct </w:t>
      </w:r>
      <w:r w:rsidR="00067344">
        <w:t>students to Turn-and-Talk</w:t>
      </w:r>
      <w:r w:rsidR="00486760">
        <w:t xml:space="preserve"> </w:t>
      </w:r>
      <w:r w:rsidR="00067344">
        <w:t>to answer</w:t>
      </w:r>
      <w:r w:rsidR="00486760">
        <w:t xml:space="preserve"> each of</w:t>
      </w:r>
      <w:r w:rsidR="00067344">
        <w:t xml:space="preserve"> the following question</w:t>
      </w:r>
      <w:r w:rsidR="000F4C28">
        <w:t>s</w:t>
      </w:r>
      <w:r w:rsidR="007812C8">
        <w:t>:</w:t>
      </w:r>
    </w:p>
    <w:p w:rsidR="00486760" w:rsidRDefault="000F4C28" w:rsidP="00E15D0F">
      <w:pPr>
        <w:pStyle w:val="Q"/>
      </w:pPr>
      <w:r>
        <w:t>Whe</w:t>
      </w:r>
      <w:r w:rsidR="00E15D0F">
        <w:t xml:space="preserve">re does </w:t>
      </w:r>
      <w:r w:rsidR="00290C15">
        <w:t>the beginning of the</w:t>
      </w:r>
      <w:r w:rsidR="00E15D0F">
        <w:t xml:space="preserve"> scene take place? </w:t>
      </w:r>
      <w:r>
        <w:t>How do you know?</w:t>
      </w:r>
    </w:p>
    <w:p w:rsidR="00486760" w:rsidRDefault="00486760" w:rsidP="00730946">
      <w:pPr>
        <w:pStyle w:val="SR"/>
      </w:pPr>
      <w:r>
        <w:t xml:space="preserve">Student responses may include: </w:t>
      </w:r>
    </w:p>
    <w:p w:rsidR="000F4C28" w:rsidRDefault="000F4C28" w:rsidP="009A4132">
      <w:pPr>
        <w:pStyle w:val="SASRBullet"/>
      </w:pPr>
      <w:r>
        <w:t xml:space="preserve">The </w:t>
      </w:r>
      <w:r w:rsidR="00290C15">
        <w:t xml:space="preserve">beginning of the </w:t>
      </w:r>
      <w:r>
        <w:t xml:space="preserve">scene takes place in a graveyard.  </w:t>
      </w:r>
    </w:p>
    <w:p w:rsidR="000F4C28" w:rsidRDefault="000F4C28" w:rsidP="009A4132">
      <w:pPr>
        <w:pStyle w:val="SASRBullet"/>
      </w:pPr>
      <w:r>
        <w:t>Gravediggers work in a cemetery or graveyard.</w:t>
      </w:r>
    </w:p>
    <w:p w:rsidR="000F4C28" w:rsidRDefault="000F4C28" w:rsidP="009A4132">
      <w:pPr>
        <w:pStyle w:val="SASRBullet"/>
      </w:pPr>
      <w:r>
        <w:t xml:space="preserve">The first man tells the other to </w:t>
      </w:r>
      <w:r w:rsidR="00AC5362">
        <w:t>“make her grave straight.”</w:t>
      </w:r>
    </w:p>
    <w:p w:rsidR="00AC5362" w:rsidRDefault="00AC5362" w:rsidP="009A4132">
      <w:pPr>
        <w:pStyle w:val="SASRBullet"/>
      </w:pPr>
      <w:r>
        <w:t>Hamlet comments that the man “sings in grave-making.”</w:t>
      </w:r>
    </w:p>
    <w:p w:rsidR="00AC5362" w:rsidRPr="00AC5362" w:rsidRDefault="00AC5362" w:rsidP="00E15D0F">
      <w:pPr>
        <w:pStyle w:val="TA"/>
      </w:pPr>
      <w:r>
        <w:t xml:space="preserve">Remind students that the term </w:t>
      </w:r>
      <w:r>
        <w:rPr>
          <w:i/>
        </w:rPr>
        <w:t>setting</w:t>
      </w:r>
      <w:r>
        <w:t xml:space="preserve"> is used to refer to where a scene takes place and that </w:t>
      </w:r>
      <w:r>
        <w:rPr>
          <w:i/>
        </w:rPr>
        <w:t>setting</w:t>
      </w:r>
      <w:r>
        <w:t xml:space="preserve"> is an important dramatic element that student</w:t>
      </w:r>
      <w:r w:rsidR="000070D8">
        <w:t>s</w:t>
      </w:r>
      <w:r>
        <w:t xml:space="preserve"> explore in this lesson.</w:t>
      </w:r>
    </w:p>
    <w:p w:rsidR="00067344" w:rsidRDefault="000F4C28" w:rsidP="00E15D0F">
      <w:pPr>
        <w:pStyle w:val="Q"/>
      </w:pPr>
      <w:r>
        <w:t>W</w:t>
      </w:r>
      <w:r w:rsidR="00067344">
        <w:t xml:space="preserve">hat </w:t>
      </w:r>
      <w:r w:rsidR="00F76317">
        <w:t xml:space="preserve">is the specific topic of conversation between the gravediggers </w:t>
      </w:r>
      <w:r>
        <w:t>at the beginning of the scene</w:t>
      </w:r>
      <w:r w:rsidR="00067344">
        <w:t>?</w:t>
      </w:r>
    </w:p>
    <w:p w:rsidR="00F76317" w:rsidRPr="0075421E" w:rsidRDefault="000F4C28" w:rsidP="0075421E">
      <w:pPr>
        <w:pStyle w:val="StudentResponse"/>
        <w:rPr>
          <w:b/>
        </w:rPr>
      </w:pPr>
      <w:r>
        <w:t>They are talking about a woman who drowned</w:t>
      </w:r>
      <w:r w:rsidR="00486760">
        <w:t xml:space="preserve"> and whether or not she should get a Christian burial</w:t>
      </w:r>
      <w:r>
        <w:t>.</w:t>
      </w:r>
    </w:p>
    <w:p w:rsidR="00AC5362" w:rsidRPr="00F76317" w:rsidRDefault="00F76317" w:rsidP="00E15D0F">
      <w:pPr>
        <w:pStyle w:val="Q"/>
      </w:pPr>
      <w:r>
        <w:t xml:space="preserve">What </w:t>
      </w:r>
      <w:r w:rsidR="00AC5362">
        <w:t>in the text establishes the tone of the gravediggers’ conversation?</w:t>
      </w:r>
    </w:p>
    <w:p w:rsidR="00067344" w:rsidRDefault="00AC5362" w:rsidP="00730946">
      <w:pPr>
        <w:pStyle w:val="SR"/>
      </w:pPr>
      <w:r>
        <w:t>The gravediggers are making jokes.</w:t>
      </w:r>
    </w:p>
    <w:p w:rsidR="00AC5362" w:rsidRDefault="00AC5362" w:rsidP="00730946">
      <w:pPr>
        <w:pStyle w:val="SR"/>
      </w:pPr>
      <w:r>
        <w:t>One gravedigger starts singing while he is working.</w:t>
      </w:r>
    </w:p>
    <w:p w:rsidR="00B6317D" w:rsidRDefault="005D2220" w:rsidP="00E15D0F">
      <w:pPr>
        <w:pStyle w:val="Q"/>
      </w:pPr>
      <w:r>
        <w:t>Why does Hamlet ask, “Has this fellow no feeling of his business</w:t>
      </w:r>
      <w:r w:rsidR="00F76317">
        <w:t>?</w:t>
      </w:r>
      <w:r>
        <w:t xml:space="preserve">” </w:t>
      </w:r>
      <w:r w:rsidR="00EC025F">
        <w:t xml:space="preserve">in </w:t>
      </w:r>
      <w:r>
        <w:t>line 68?</w:t>
      </w:r>
    </w:p>
    <w:p w:rsidR="00F76317" w:rsidRDefault="005D2220" w:rsidP="00730946">
      <w:pPr>
        <w:pStyle w:val="SR"/>
      </w:pPr>
      <w:r>
        <w:t>Hamlet is surprised that the gravedigger is not more s</w:t>
      </w:r>
      <w:r w:rsidR="001449BC">
        <w:t>erious because he is in a cemete</w:t>
      </w:r>
      <w:r>
        <w:t>ry</w:t>
      </w:r>
      <w:r w:rsidR="00F76317">
        <w:t>.</w:t>
      </w:r>
    </w:p>
    <w:p w:rsidR="005D2220" w:rsidRDefault="005D2220" w:rsidP="00730946">
      <w:pPr>
        <w:pStyle w:val="SR"/>
      </w:pPr>
      <w:r>
        <w:t>Hamlet is surprised that the man is singing while he is digging a grave, a serious business.</w:t>
      </w:r>
    </w:p>
    <w:p w:rsidR="00092332" w:rsidRDefault="00092332" w:rsidP="009A4132">
      <w:pPr>
        <w:pStyle w:val="BR"/>
      </w:pPr>
    </w:p>
    <w:p w:rsidR="00E526BB" w:rsidRDefault="001E0959" w:rsidP="00E15D0F">
      <w:pPr>
        <w:pStyle w:val="TA"/>
      </w:pPr>
      <w:r w:rsidRPr="00E15D0F">
        <w:t>Instruct</w:t>
      </w:r>
      <w:r>
        <w:t xml:space="preserve"> students to Turn-and-Talk</w:t>
      </w:r>
      <w:r w:rsidR="00290C15">
        <w:t xml:space="preserve"> with a different </w:t>
      </w:r>
      <w:r w:rsidR="00EC025F">
        <w:t>classmate</w:t>
      </w:r>
      <w:r>
        <w:t xml:space="preserve"> to answer</w:t>
      </w:r>
      <w:r w:rsidR="00AE651C">
        <w:t xml:space="preserve"> each of</w:t>
      </w:r>
      <w:r>
        <w:t xml:space="preserve"> the following questions</w:t>
      </w:r>
      <w:r w:rsidR="00AE651C">
        <w:t xml:space="preserve">. Facilitate a brief class </w:t>
      </w:r>
      <w:r w:rsidR="00EC025F">
        <w:t>discussion</w:t>
      </w:r>
      <w:r w:rsidR="00AE651C">
        <w:t xml:space="preserve"> after each question to support comprehension.</w:t>
      </w:r>
    </w:p>
    <w:p w:rsidR="001E0959" w:rsidRDefault="001E0959" w:rsidP="00E15D0F">
      <w:pPr>
        <w:pStyle w:val="Q"/>
      </w:pPr>
      <w:r>
        <w:t>What does Hamlet notice at the beginning of this passage</w:t>
      </w:r>
      <w:r w:rsidR="001449BC">
        <w:t xml:space="preserve"> (lines 224</w:t>
      </w:r>
      <w:r w:rsidR="00EC025F">
        <w:t>–</w:t>
      </w:r>
      <w:r w:rsidR="001449BC">
        <w:t>226)</w:t>
      </w:r>
      <w:r>
        <w:t>?</w:t>
      </w:r>
    </w:p>
    <w:p w:rsidR="001E0959" w:rsidRDefault="001E0959" w:rsidP="00CD3725">
      <w:pPr>
        <w:pStyle w:val="StudentResponse"/>
      </w:pPr>
      <w:r>
        <w:t>He notices the King, the Queen, and the courtiers following a body that will be buried.</w:t>
      </w:r>
    </w:p>
    <w:p w:rsidR="007812C8" w:rsidRDefault="007812C8" w:rsidP="00E15D0F">
      <w:pPr>
        <w:pStyle w:val="Q"/>
      </w:pPr>
      <w:r>
        <w:t>What does Hamlet do when he sees the people</w:t>
      </w:r>
      <w:r w:rsidR="001449BC">
        <w:t xml:space="preserve"> (line 229)</w:t>
      </w:r>
      <w:r>
        <w:t>?</w:t>
      </w:r>
    </w:p>
    <w:p w:rsidR="007812C8" w:rsidRDefault="007812C8" w:rsidP="007812C8">
      <w:pPr>
        <w:pStyle w:val="SR"/>
      </w:pPr>
      <w:r>
        <w:t>He hides and watches them.</w:t>
      </w:r>
    </w:p>
    <w:p w:rsidR="007812C8" w:rsidRDefault="007812C8" w:rsidP="00E15D0F">
      <w:pPr>
        <w:pStyle w:val="Q"/>
      </w:pPr>
      <w:r>
        <w:t>How does Shakespeare make it clear that Hamlet does not know they are burying Ophelia?</w:t>
      </w:r>
    </w:p>
    <w:p w:rsidR="007812C8" w:rsidRDefault="007812C8" w:rsidP="007812C8">
      <w:pPr>
        <w:pStyle w:val="StudentResponse"/>
      </w:pPr>
      <w:r>
        <w:t>It is clear that Hamlet does not know they are burying Ophelia because he asks, “Who is this they follow?”</w:t>
      </w:r>
      <w:r w:rsidR="001449BC">
        <w:t xml:space="preserve"> (line 225)</w:t>
      </w:r>
    </w:p>
    <w:p w:rsidR="00CD3725" w:rsidRDefault="00CD3725" w:rsidP="00E15D0F">
      <w:pPr>
        <w:pStyle w:val="Q"/>
      </w:pPr>
      <w:r>
        <w:t>What does Hamlet mean when he descri</w:t>
      </w:r>
      <w:r w:rsidR="001449BC">
        <w:t>bes the funeral as having “</w:t>
      </w:r>
      <w:proofErr w:type="spellStart"/>
      <w:r w:rsidR="001449BC">
        <w:t>maimè</w:t>
      </w:r>
      <w:r>
        <w:t>d</w:t>
      </w:r>
      <w:proofErr w:type="spellEnd"/>
      <w:r>
        <w:t xml:space="preserve"> rites” in line 226?</w:t>
      </w:r>
    </w:p>
    <w:p w:rsidR="00CD3725" w:rsidRDefault="00CD3725" w:rsidP="00CD3725">
      <w:pPr>
        <w:pStyle w:val="StudentResponse"/>
      </w:pPr>
      <w:r>
        <w:t>T</w:t>
      </w:r>
      <w:r w:rsidR="001E0959">
        <w:t>he funeral rites are very simple</w:t>
      </w:r>
      <w:r>
        <w:t>.</w:t>
      </w:r>
    </w:p>
    <w:p w:rsidR="00CD3725" w:rsidRDefault="00CD3725" w:rsidP="00E15D0F">
      <w:pPr>
        <w:pStyle w:val="Q"/>
      </w:pPr>
      <w:r>
        <w:t xml:space="preserve">What does Hamlet mean when he says that the simple funeral suggests that the dead person “did with </w:t>
      </w:r>
      <w:proofErr w:type="spellStart"/>
      <w:r>
        <w:t>desp’rate</w:t>
      </w:r>
      <w:proofErr w:type="spellEnd"/>
      <w:r>
        <w:t xml:space="preserve"> hand / Fordo its own life” in lines 227</w:t>
      </w:r>
      <w:r w:rsidR="002F590C">
        <w:t>–</w:t>
      </w:r>
      <w:r>
        <w:t>228?</w:t>
      </w:r>
    </w:p>
    <w:p w:rsidR="00B44437" w:rsidRDefault="00CD3725" w:rsidP="007812C8">
      <w:pPr>
        <w:pStyle w:val="SR"/>
      </w:pPr>
      <w:r>
        <w:t xml:space="preserve">The simple funeral suggests </w:t>
      </w:r>
      <w:r w:rsidR="003554CD">
        <w:t xml:space="preserve">that </w:t>
      </w:r>
      <w:r>
        <w:t>the person committed suicide.</w:t>
      </w:r>
    </w:p>
    <w:p w:rsidR="007812C8" w:rsidRDefault="007812C8" w:rsidP="00E15D0F">
      <w:pPr>
        <w:pStyle w:val="Q"/>
      </w:pPr>
      <w:r>
        <w:t>How do Laertes’</w:t>
      </w:r>
      <w:r w:rsidR="006D2755">
        <w:t>s</w:t>
      </w:r>
      <w:r>
        <w:t xml:space="preserve"> words to the priest in lines 250</w:t>
      </w:r>
      <w:r w:rsidR="002F590C">
        <w:t>–</w:t>
      </w:r>
      <w:r>
        <w:t>252 reveal to Hamlet</w:t>
      </w:r>
      <w:r w:rsidR="00DC3A8D">
        <w:t xml:space="preserve"> that he is watching Ophelia’s funeral?</w:t>
      </w:r>
      <w:r>
        <w:t xml:space="preserve"> </w:t>
      </w:r>
    </w:p>
    <w:p w:rsidR="00DC3A8D" w:rsidRPr="00B44437" w:rsidRDefault="007812C8" w:rsidP="007812C8">
      <w:pPr>
        <w:pStyle w:val="SR"/>
      </w:pPr>
      <w:r>
        <w:t>Laertes refers to the dead person as</w:t>
      </w:r>
      <w:r w:rsidR="00DC3A8D">
        <w:t xml:space="preserve"> “my sister”</w:t>
      </w:r>
      <w:r>
        <w:t xml:space="preserve"> in line 251.</w:t>
      </w:r>
    </w:p>
    <w:p w:rsidR="00B44437" w:rsidRDefault="00B44437" w:rsidP="00E15D0F">
      <w:pPr>
        <w:pStyle w:val="Q"/>
      </w:pPr>
      <w:r>
        <w:t>Why is Laertes arguing with the priest in lines 230</w:t>
      </w:r>
      <w:r w:rsidR="002F590C">
        <w:t>–</w:t>
      </w:r>
      <w:r>
        <w:t>232?</w:t>
      </w:r>
    </w:p>
    <w:p w:rsidR="00B44437" w:rsidRDefault="00B44437" w:rsidP="003652A3">
      <w:pPr>
        <w:pStyle w:val="StudentResponse"/>
      </w:pPr>
      <w:r>
        <w:t>Laertes wants a more elaborate funeral for Ophelia, but the priest says the church has already done more than is appropriate since there is some question of how Ophelia died.</w:t>
      </w:r>
    </w:p>
    <w:p w:rsidR="00AA0424" w:rsidRDefault="00AA0424" w:rsidP="00652CF3">
      <w:pPr>
        <w:pStyle w:val="LearningSequenceHeader"/>
      </w:pPr>
      <w:r w:rsidRPr="00652CF3">
        <w:t xml:space="preserve">Activity 4: </w:t>
      </w:r>
      <w:r w:rsidR="00785D01" w:rsidRPr="00785D01">
        <w:rPr>
          <w:i/>
        </w:rPr>
        <w:t>Hamlet</w:t>
      </w:r>
      <w:r w:rsidR="00785D01">
        <w:t xml:space="preserve">, Act 5.1, </w:t>
      </w:r>
      <w:r w:rsidRPr="00652CF3">
        <w:t xml:space="preserve">Lines </w:t>
      </w:r>
      <w:r w:rsidR="00F235E8" w:rsidRPr="00652CF3">
        <w:t>254</w:t>
      </w:r>
      <w:r w:rsidR="004F67F3">
        <w:t>–</w:t>
      </w:r>
      <w:r w:rsidR="00F235E8" w:rsidRPr="00652CF3">
        <w:t>2</w:t>
      </w:r>
      <w:r w:rsidR="00652CF3" w:rsidRPr="00652CF3">
        <w:t>89 Reading and Discussion</w:t>
      </w:r>
      <w:r w:rsidR="00652CF3" w:rsidRPr="00652CF3">
        <w:tab/>
      </w:r>
      <w:r w:rsidR="00C94670">
        <w:t>1</w:t>
      </w:r>
      <w:r w:rsidR="00652CF3" w:rsidRPr="00652CF3">
        <w:t>5</w:t>
      </w:r>
      <w:r w:rsidRPr="00092332">
        <w:t>%</w:t>
      </w:r>
    </w:p>
    <w:p w:rsidR="007812C8" w:rsidRPr="00E15D0F" w:rsidRDefault="007812C8" w:rsidP="00E15D0F">
      <w:pPr>
        <w:pStyle w:val="TA"/>
      </w:pPr>
      <w:r w:rsidRPr="00E15D0F">
        <w:t xml:space="preserve">Instruct students to </w:t>
      </w:r>
      <w:r w:rsidR="005108CF" w:rsidRPr="00E15D0F">
        <w:t>reread lines 254</w:t>
      </w:r>
      <w:r w:rsidR="002F590C">
        <w:t>–289</w:t>
      </w:r>
      <w:r w:rsidR="001449BC">
        <w:t xml:space="preserve"> (from “Sweets to the sweet, farewell! / I hoped thou </w:t>
      </w:r>
      <w:proofErr w:type="spellStart"/>
      <w:r w:rsidR="001449BC">
        <w:t>shouldst</w:t>
      </w:r>
      <w:proofErr w:type="spellEnd"/>
      <w:r w:rsidR="001449BC">
        <w:t xml:space="preserve">” to “O, he is mad, Laertes! / </w:t>
      </w:r>
      <w:proofErr w:type="gramStart"/>
      <w:r w:rsidR="001449BC">
        <w:t>For</w:t>
      </w:r>
      <w:proofErr w:type="gramEnd"/>
      <w:r w:rsidR="001449BC">
        <w:t xml:space="preserve"> love of God, forbear him”)</w:t>
      </w:r>
      <w:r w:rsidR="002F590C">
        <w:t>.</w:t>
      </w:r>
    </w:p>
    <w:p w:rsidR="007812C8" w:rsidRPr="00E15D0F" w:rsidRDefault="006D2755" w:rsidP="00E15D0F">
      <w:pPr>
        <w:pStyle w:val="TA"/>
      </w:pPr>
      <w:r>
        <w:t>Dire</w:t>
      </w:r>
      <w:r w:rsidR="007812C8" w:rsidRPr="00E15D0F">
        <w:t>ct students to Turn-and-Talk</w:t>
      </w:r>
      <w:r w:rsidR="005108CF" w:rsidRPr="00E15D0F">
        <w:t xml:space="preserve"> </w:t>
      </w:r>
      <w:r w:rsidR="00EC025F">
        <w:t>in pairs</w:t>
      </w:r>
      <w:r w:rsidR="007812C8" w:rsidRPr="00E15D0F">
        <w:t xml:space="preserve"> to answer each of the following questions. Facilitate a brief</w:t>
      </w:r>
      <w:r w:rsidR="00785D01">
        <w:t>, full-</w:t>
      </w:r>
      <w:r w:rsidR="007812C8" w:rsidRPr="00E15D0F">
        <w:t xml:space="preserve">class </w:t>
      </w:r>
      <w:r w:rsidR="00EC025F">
        <w:t>discussion</w:t>
      </w:r>
      <w:r w:rsidR="007812C8" w:rsidRPr="00E15D0F">
        <w:t xml:space="preserve"> after each question to support comprehension.</w:t>
      </w:r>
    </w:p>
    <w:p w:rsidR="00DE07B7" w:rsidRDefault="00DE07B7" w:rsidP="00E15D0F">
      <w:pPr>
        <w:pStyle w:val="Q"/>
      </w:pPr>
      <w:r>
        <w:t>What does Gertrude say she had hoped for Ophelia?</w:t>
      </w:r>
    </w:p>
    <w:p w:rsidR="00DE07B7" w:rsidRDefault="00DE07B7" w:rsidP="00DE07B7">
      <w:pPr>
        <w:pStyle w:val="SR"/>
      </w:pPr>
      <w:r>
        <w:t>Gertrude had hoped that Ophelia would marry Hamlet.</w:t>
      </w:r>
    </w:p>
    <w:p w:rsidR="00A31709" w:rsidRDefault="00A31709" w:rsidP="00E15D0F">
      <w:pPr>
        <w:pStyle w:val="Q"/>
      </w:pPr>
      <w:r>
        <w:t xml:space="preserve">What does Laertes mean when he says that Hamlet </w:t>
      </w:r>
      <w:r>
        <w:rPr>
          <w:i/>
        </w:rPr>
        <w:t>deprived</w:t>
      </w:r>
      <w:r>
        <w:t xml:space="preserve"> Ophelia of her </w:t>
      </w:r>
      <w:r>
        <w:rPr>
          <w:i/>
        </w:rPr>
        <w:t>sense</w:t>
      </w:r>
      <w:r w:rsidR="001449BC">
        <w:t xml:space="preserve"> (lines 260</w:t>
      </w:r>
      <w:r w:rsidR="00FC1897">
        <w:t>–</w:t>
      </w:r>
      <w:r w:rsidR="001449BC">
        <w:t>261)</w:t>
      </w:r>
      <w:r>
        <w:t>?</w:t>
      </w:r>
    </w:p>
    <w:p w:rsidR="00A31709" w:rsidRDefault="00A31709">
      <w:pPr>
        <w:pStyle w:val="SR"/>
      </w:pPr>
      <w:r>
        <w:t>He means that Hamlet’s a</w:t>
      </w:r>
      <w:r w:rsidR="00AA0424">
        <w:t>ctions caused Ophelia to go mad; Hamlet took away Ophelia’s sanity.</w:t>
      </w:r>
    </w:p>
    <w:p w:rsidR="00853C0E" w:rsidRDefault="00785C92" w:rsidP="009A4132">
      <w:pPr>
        <w:pStyle w:val="InstructionalNote"/>
      </w:pPr>
      <w:r>
        <w:t>If students have difficulty with th</w:t>
      </w:r>
      <w:r w:rsidR="00AE651C">
        <w:t xml:space="preserve">e word </w:t>
      </w:r>
      <w:r w:rsidR="00AE651C">
        <w:rPr>
          <w:i/>
        </w:rPr>
        <w:t>sense</w:t>
      </w:r>
      <w:r>
        <w:t xml:space="preserve">, consider pointing out related uses of the word </w:t>
      </w:r>
      <w:r>
        <w:rPr>
          <w:i/>
        </w:rPr>
        <w:t>sense</w:t>
      </w:r>
      <w:r>
        <w:t xml:space="preserve"> or words that contain the root </w:t>
      </w:r>
      <w:r w:rsidR="00EC025F">
        <w:t>“</w:t>
      </w:r>
      <w:r w:rsidRPr="00A31709">
        <w:t>sense</w:t>
      </w:r>
      <w:r w:rsidR="00EC025F">
        <w:t>”</w:t>
      </w:r>
      <w:r>
        <w:t xml:space="preserve">: He has no </w:t>
      </w:r>
      <w:r w:rsidRPr="00A31709">
        <w:rPr>
          <w:i/>
        </w:rPr>
        <w:t>sense</w:t>
      </w:r>
      <w:r>
        <w:t xml:space="preserve">; </w:t>
      </w:r>
      <w:proofErr w:type="gramStart"/>
      <w:r>
        <w:t>That</w:t>
      </w:r>
      <w:proofErr w:type="gramEnd"/>
      <w:r>
        <w:t xml:space="preserve"> is </w:t>
      </w:r>
      <w:r w:rsidRPr="00A31709">
        <w:t>non</w:t>
      </w:r>
      <w:r>
        <w:rPr>
          <w:i/>
        </w:rPr>
        <w:t xml:space="preserve">sense; </w:t>
      </w:r>
      <w:r>
        <w:t xml:space="preserve">He was knocked </w:t>
      </w:r>
      <w:r>
        <w:rPr>
          <w:i/>
        </w:rPr>
        <w:t>sense</w:t>
      </w:r>
      <w:r w:rsidRPr="00A31709">
        <w:t>less</w:t>
      </w:r>
      <w:r w:rsidR="00AA0424">
        <w:t xml:space="preserve"> or refer</w:t>
      </w:r>
      <w:r w:rsidR="00853C0E">
        <w:t xml:space="preserve"> them to the explanatory note</w:t>
      </w:r>
      <w:r w:rsidR="00AD6446">
        <w:t xml:space="preserve"> </w:t>
      </w:r>
      <w:r w:rsidR="00290C15">
        <w:t xml:space="preserve">for lines 260–261 on </w:t>
      </w:r>
      <w:r w:rsidR="00853C0E">
        <w:t>page 252.</w:t>
      </w:r>
    </w:p>
    <w:p w:rsidR="00785C92" w:rsidRPr="00785C92" w:rsidRDefault="00785C92" w:rsidP="009A4132">
      <w:pPr>
        <w:pStyle w:val="InstructionalNote"/>
      </w:pPr>
      <w:r>
        <w:t xml:space="preserve">Confirm that in this context the word </w:t>
      </w:r>
      <w:r>
        <w:rPr>
          <w:i/>
        </w:rPr>
        <w:t>sense</w:t>
      </w:r>
      <w:r>
        <w:t xml:space="preserve"> means </w:t>
      </w:r>
      <w:r w:rsidR="00EC025F">
        <w:t>“</w:t>
      </w:r>
      <w:r w:rsidR="00AD6446" w:rsidRPr="00EC025F">
        <w:t>conscious awareness or rationality</w:t>
      </w:r>
      <w:r w:rsidR="00EC025F">
        <w:t>”</w:t>
      </w:r>
      <w:r w:rsidR="00AD6446">
        <w:t xml:space="preserve"> </w:t>
      </w:r>
      <w:r>
        <w:t xml:space="preserve">and that the word </w:t>
      </w:r>
      <w:r>
        <w:rPr>
          <w:i/>
        </w:rPr>
        <w:t xml:space="preserve">deprived </w:t>
      </w:r>
      <w:r>
        <w:t xml:space="preserve">means </w:t>
      </w:r>
      <w:r w:rsidR="00EC025F">
        <w:t>“took away</w:t>
      </w:r>
      <w:r>
        <w:t>.</w:t>
      </w:r>
      <w:r w:rsidR="00EC025F">
        <w:t>”</w:t>
      </w:r>
    </w:p>
    <w:p w:rsidR="0075421E" w:rsidRPr="002F590C" w:rsidRDefault="00DE07B7" w:rsidP="002F590C">
      <w:pPr>
        <w:pStyle w:val="Q"/>
      </w:pPr>
      <w:r w:rsidRPr="002F590C">
        <w:t>Who is Laertes describing</w:t>
      </w:r>
      <w:r w:rsidR="002357B3">
        <w:t xml:space="preserve"> when he says, </w:t>
      </w:r>
      <w:r w:rsidR="003554CD">
        <w:t>“</w:t>
      </w:r>
      <w:r w:rsidR="002357B3">
        <w:t xml:space="preserve">that </w:t>
      </w:r>
      <w:proofErr w:type="spellStart"/>
      <w:r w:rsidR="002357B3">
        <w:t>cursè</w:t>
      </w:r>
      <w:r w:rsidRPr="002F590C">
        <w:t>d</w:t>
      </w:r>
      <w:proofErr w:type="spellEnd"/>
      <w:r w:rsidRPr="002F590C">
        <w:t xml:space="preserve"> head</w:t>
      </w:r>
      <w:r w:rsidR="003554CD">
        <w:t>”</w:t>
      </w:r>
      <w:r w:rsidRPr="002F590C">
        <w:t xml:space="preserve"> </w:t>
      </w:r>
      <w:r w:rsidR="001449BC">
        <w:t xml:space="preserve">(line </w:t>
      </w:r>
      <w:r w:rsidR="002357B3">
        <w:t>259)</w:t>
      </w:r>
      <w:r w:rsidR="002F590C" w:rsidRPr="002F590C">
        <w:t xml:space="preserve">? </w:t>
      </w:r>
      <w:r w:rsidR="0075421E" w:rsidRPr="002F590C">
        <w:t>What evidence in the text supports your answer?</w:t>
      </w:r>
    </w:p>
    <w:p w:rsidR="00DE07B7" w:rsidRDefault="00DE07B7" w:rsidP="00DE07B7">
      <w:pPr>
        <w:pStyle w:val="SR"/>
      </w:pPr>
      <w:r>
        <w:t>Laertes is describing Hamlet. It is clear that Laertes is talking about Hamlet because Gertrude was just talking about how she hoped Hamlet would marry Ophelia</w:t>
      </w:r>
      <w:r w:rsidR="00EC025F">
        <w:t>,</w:t>
      </w:r>
      <w:r>
        <w:t xml:space="preserve"> and because Hamlet is the person who caused Ophelia to lose her mind.</w:t>
      </w:r>
    </w:p>
    <w:p w:rsidR="0075421E" w:rsidRDefault="0075421E" w:rsidP="0075421E">
      <w:pPr>
        <w:pStyle w:val="InstructionalNote"/>
      </w:pPr>
      <w:r>
        <w:rPr>
          <w:b/>
        </w:rPr>
        <w:t>Differentiation Consideration:</w:t>
      </w:r>
      <w:r>
        <w:t xml:space="preserve">  If students are having difficulty </w:t>
      </w:r>
      <w:r w:rsidR="00EC025F">
        <w:t xml:space="preserve">with </w:t>
      </w:r>
      <w:r>
        <w:t>identifying Hamlet as the object of Laertes’s anger, consider asking whom Laertes blames for Ophelia’s being “deprived” of her sense.</w:t>
      </w:r>
    </w:p>
    <w:p w:rsidR="00DE07B7" w:rsidRDefault="00DE07B7" w:rsidP="00E15D0F">
      <w:pPr>
        <w:pStyle w:val="Q"/>
      </w:pPr>
      <w:r>
        <w:t xml:space="preserve">What does Laertes do after </w:t>
      </w:r>
      <w:r w:rsidR="00EC025F">
        <w:t>he says</w:t>
      </w:r>
      <w:r>
        <w:t>, “Hold off the earth awhile / Till I have caught her once more in mine arms?” in lines 261</w:t>
      </w:r>
      <w:r w:rsidR="002F590C">
        <w:t>–</w:t>
      </w:r>
      <w:r>
        <w:t>262?</w:t>
      </w:r>
    </w:p>
    <w:p w:rsidR="00DE07B7" w:rsidRDefault="00DE07B7" w:rsidP="00DE07B7">
      <w:pPr>
        <w:pStyle w:val="SR"/>
      </w:pPr>
      <w:r>
        <w:t>He leaps in the grave.</w:t>
      </w:r>
    </w:p>
    <w:p w:rsidR="0032312A" w:rsidRDefault="0032312A" w:rsidP="00E15D0F">
      <w:pPr>
        <w:pStyle w:val="Q"/>
      </w:pPr>
      <w:r>
        <w:t>What does Laertes mean when he says, “Now pile your dust upon the quick and dead” in line 263?</w:t>
      </w:r>
    </w:p>
    <w:p w:rsidR="0032312A" w:rsidRDefault="0032312A">
      <w:pPr>
        <w:pStyle w:val="SR"/>
      </w:pPr>
      <w:r>
        <w:t>The mourners should fill the grave with dirt so that he can be buried alive with Ophelia.</w:t>
      </w:r>
    </w:p>
    <w:p w:rsidR="0032312A" w:rsidRDefault="0032312A" w:rsidP="000436AB">
      <w:pPr>
        <w:pStyle w:val="InstructionalNote"/>
      </w:pPr>
      <w:r>
        <w:t xml:space="preserve">If students have difficulty with the word </w:t>
      </w:r>
      <w:r>
        <w:rPr>
          <w:i/>
        </w:rPr>
        <w:t>quick</w:t>
      </w:r>
      <w:r>
        <w:t xml:space="preserve"> explain that this means </w:t>
      </w:r>
      <w:r w:rsidR="00EC025F">
        <w:t>“</w:t>
      </w:r>
      <w:r w:rsidRPr="00EC025F">
        <w:t>living</w:t>
      </w:r>
      <w:r w:rsidR="00802441" w:rsidRPr="00EC025F">
        <w:t xml:space="preserve"> persons</w:t>
      </w:r>
      <w:r>
        <w:t>.</w:t>
      </w:r>
      <w:r w:rsidR="00EC025F">
        <w:t>”</w:t>
      </w:r>
    </w:p>
    <w:p w:rsidR="00DE07B7" w:rsidRPr="00E15D0F" w:rsidRDefault="00DE07B7" w:rsidP="00E15D0F">
      <w:pPr>
        <w:pStyle w:val="Q"/>
      </w:pPr>
      <w:r w:rsidRPr="00E15D0F">
        <w:t>To whom does Hamlet refer when he describes “he whose grief</w:t>
      </w:r>
      <w:r w:rsidR="002357B3">
        <w:t xml:space="preserve"> / B</w:t>
      </w:r>
      <w:r w:rsidRPr="00E15D0F">
        <w:t xml:space="preserve">ears such an emphasis, </w:t>
      </w:r>
      <w:proofErr w:type="gramStart"/>
      <w:r w:rsidRPr="00E15D0F">
        <w:t>whose</w:t>
      </w:r>
      <w:proofErr w:type="gramEnd"/>
      <w:r w:rsidRPr="00E15D0F">
        <w:t xml:space="preserve"> phrase of sorrow </w:t>
      </w:r>
      <w:r w:rsidR="002357B3">
        <w:t>/ C</w:t>
      </w:r>
      <w:r w:rsidRPr="00E15D0F">
        <w:t>onj</w:t>
      </w:r>
      <w:r w:rsidR="002357B3">
        <w:t xml:space="preserve">ures the </w:t>
      </w:r>
      <w:proofErr w:type="spellStart"/>
      <w:r w:rsidR="002357B3">
        <w:t>wandr’ing</w:t>
      </w:r>
      <w:proofErr w:type="spellEnd"/>
      <w:r w:rsidR="002357B3">
        <w:t xml:space="preserve"> stars</w:t>
      </w:r>
      <w:r w:rsidRPr="00E15D0F">
        <w:t>”</w:t>
      </w:r>
      <w:r w:rsidR="002357B3">
        <w:t>?</w:t>
      </w:r>
      <w:r w:rsidRPr="00E15D0F">
        <w:t xml:space="preserve"> What evidence in the text supports your answer?</w:t>
      </w:r>
    </w:p>
    <w:p w:rsidR="00DE07B7" w:rsidRDefault="00DE07B7" w:rsidP="00DE07B7">
      <w:pPr>
        <w:pStyle w:val="SR"/>
      </w:pPr>
      <w:r>
        <w:t>Hamlet refers to Laertes. In the text</w:t>
      </w:r>
      <w:r w:rsidR="001619C8">
        <w:t>,</w:t>
      </w:r>
      <w:r>
        <w:t xml:space="preserve"> Laertes has just finished his speech in the grave and Hamlet steps forward to address him.</w:t>
      </w:r>
    </w:p>
    <w:p w:rsidR="00DE07B7" w:rsidRDefault="00DE07B7" w:rsidP="00DE07B7">
      <w:pPr>
        <w:pStyle w:val="InstructionalNote"/>
      </w:pPr>
      <w:r>
        <w:t xml:space="preserve">Consider drawing students’ attention to their application of RL.11-12.4 through </w:t>
      </w:r>
      <w:r w:rsidR="003135AF">
        <w:t>an</w:t>
      </w:r>
      <w:r>
        <w:t xml:space="preserve"> appreciation of Shakespeare’s’ use of alliteration</w:t>
      </w:r>
      <w:r w:rsidR="003135AF">
        <w:t xml:space="preserve"> and personification</w:t>
      </w:r>
      <w:r>
        <w:t xml:space="preserve"> in the phrase “whose phrase of sorrow conjures the </w:t>
      </w:r>
      <w:proofErr w:type="spellStart"/>
      <w:r>
        <w:t>wand’ring</w:t>
      </w:r>
      <w:proofErr w:type="spellEnd"/>
      <w:r>
        <w:t xml:space="preserve"> stars and makes them stand </w:t>
      </w:r>
      <w:r w:rsidR="00E15D0F">
        <w:t>like wonder-wounded hearers.”</w:t>
      </w:r>
      <w:r w:rsidR="00D7688E">
        <w:t xml:space="preserve"> </w:t>
      </w:r>
    </w:p>
    <w:p w:rsidR="00785C92" w:rsidRDefault="00853C0E" w:rsidP="00E15D0F">
      <w:pPr>
        <w:pStyle w:val="Q"/>
      </w:pPr>
      <w:r>
        <w:t xml:space="preserve">What other word might replace the word </w:t>
      </w:r>
      <w:r>
        <w:rPr>
          <w:i/>
        </w:rPr>
        <w:t>conjure</w:t>
      </w:r>
      <w:r w:rsidR="003135AF">
        <w:rPr>
          <w:i/>
        </w:rPr>
        <w:t>s</w:t>
      </w:r>
      <w:r>
        <w:rPr>
          <w:i/>
        </w:rPr>
        <w:t xml:space="preserve"> </w:t>
      </w:r>
      <w:r>
        <w:t>in this phrase?</w:t>
      </w:r>
    </w:p>
    <w:p w:rsidR="00853C0E" w:rsidRDefault="00516F7C" w:rsidP="000436AB">
      <w:pPr>
        <w:pStyle w:val="SR"/>
      </w:pPr>
      <w:r>
        <w:rPr>
          <w:i/>
        </w:rPr>
        <w:t xml:space="preserve">Calls </w:t>
      </w:r>
      <w:r w:rsidR="00853C0E">
        <w:t xml:space="preserve">or </w:t>
      </w:r>
      <w:r>
        <w:rPr>
          <w:i/>
        </w:rPr>
        <w:t>commands</w:t>
      </w:r>
      <w:r>
        <w:t xml:space="preserve"> </w:t>
      </w:r>
      <w:r w:rsidR="00853C0E">
        <w:t>could replace</w:t>
      </w:r>
      <w:r w:rsidR="00EC025F">
        <w:t xml:space="preserve"> the word</w:t>
      </w:r>
      <w:r w:rsidR="00853C0E">
        <w:t xml:space="preserve"> </w:t>
      </w:r>
      <w:r w:rsidR="00853C0E">
        <w:rPr>
          <w:i/>
        </w:rPr>
        <w:t>conjure</w:t>
      </w:r>
      <w:r>
        <w:rPr>
          <w:i/>
        </w:rPr>
        <w:t>s</w:t>
      </w:r>
      <w:r w:rsidR="00853C0E">
        <w:t xml:space="preserve"> in this sentence.</w:t>
      </w:r>
    </w:p>
    <w:p w:rsidR="00853C0E" w:rsidRDefault="00853C0E" w:rsidP="00E15D0F">
      <w:pPr>
        <w:pStyle w:val="Q"/>
      </w:pPr>
      <w:r>
        <w:t>How does Gertrude want Laertes to treat Hamlet after Hamlet and Laertes are separated</w:t>
      </w:r>
      <w:r w:rsidR="002357B3">
        <w:t xml:space="preserve"> (line 289)</w:t>
      </w:r>
      <w:r>
        <w:t>?</w:t>
      </w:r>
    </w:p>
    <w:p w:rsidR="00853C0E" w:rsidRDefault="00853C0E" w:rsidP="000436AB">
      <w:pPr>
        <w:pStyle w:val="SR"/>
      </w:pPr>
      <w:r>
        <w:t xml:space="preserve">She wants Laertes to forgive Hamlet for his behavior </w:t>
      </w:r>
      <w:r w:rsidR="006B1BDC">
        <w:t>because he is mad; she wants Laertes to be patient with Hamlet</w:t>
      </w:r>
      <w:r>
        <w:t>.</w:t>
      </w:r>
    </w:p>
    <w:p w:rsidR="00853C0E" w:rsidRDefault="00853C0E" w:rsidP="000436AB">
      <w:pPr>
        <w:pStyle w:val="InstructionalNote"/>
      </w:pPr>
      <w:r>
        <w:t xml:space="preserve">If students </w:t>
      </w:r>
      <w:r w:rsidR="002357B3">
        <w:t>struggle</w:t>
      </w:r>
      <w:r>
        <w:t>, refer them to the explanatory note on page 254.</w:t>
      </w:r>
    </w:p>
    <w:p w:rsidR="00853C0E" w:rsidRDefault="00853C0E" w:rsidP="009A4132">
      <w:pPr>
        <w:pStyle w:val="InstructionalNote"/>
      </w:pPr>
      <w:r>
        <w:t>Confirm that the phrase “</w:t>
      </w:r>
      <w:r w:rsidRPr="00EC025F">
        <w:rPr>
          <w:i/>
        </w:rPr>
        <w:t>forbear</w:t>
      </w:r>
      <w:r>
        <w:t xml:space="preserve"> him” means “be patient with him.”</w:t>
      </w:r>
    </w:p>
    <w:p w:rsidR="00B17154" w:rsidRDefault="00B17154" w:rsidP="00B17154">
      <w:pPr>
        <w:pStyle w:val="LearningSequenceHeader"/>
      </w:pPr>
      <w:r w:rsidRPr="00652CF3">
        <w:t>A</w:t>
      </w:r>
      <w:r w:rsidR="002D238A">
        <w:t>ctivity 5</w:t>
      </w:r>
      <w:r w:rsidRPr="00652CF3">
        <w:t xml:space="preserve">: </w:t>
      </w:r>
      <w:r>
        <w:t xml:space="preserve">Setting </w:t>
      </w:r>
      <w:r w:rsidRPr="00652CF3">
        <w:t>Discussion</w:t>
      </w:r>
      <w:r w:rsidR="00C94670">
        <w:tab/>
        <w:t>20</w:t>
      </w:r>
      <w:r w:rsidRPr="00092332">
        <w:t>%</w:t>
      </w:r>
    </w:p>
    <w:p w:rsidR="0026550B" w:rsidRDefault="00216E2C" w:rsidP="00E15D0F">
      <w:pPr>
        <w:pStyle w:val="TA"/>
      </w:pPr>
      <w:r>
        <w:t>Remind students of the literary and dramatic terms they identified in</w:t>
      </w:r>
      <w:r w:rsidR="00EC025F">
        <w:t xml:space="preserve"> the beginning of this lesson, when they discussed</w:t>
      </w:r>
      <w:r>
        <w:t xml:space="preserve"> W.11-12.2.d. </w:t>
      </w:r>
      <w:r w:rsidR="0026550B">
        <w:t xml:space="preserve">Instruct students to Turn-and-Talk </w:t>
      </w:r>
      <w:r w:rsidR="00EC025F">
        <w:t>in pairs</w:t>
      </w:r>
      <w:r w:rsidR="0026550B">
        <w:t xml:space="preserve"> to generate a list of</w:t>
      </w:r>
      <w:r>
        <w:t xml:space="preserve"> additional</w:t>
      </w:r>
      <w:r w:rsidR="0026550B">
        <w:t xml:space="preserve"> text elements that they noticed in this reading.</w:t>
      </w:r>
      <w:r>
        <w:t xml:space="preserve"> </w:t>
      </w:r>
    </w:p>
    <w:p w:rsidR="00BF3E6B" w:rsidRDefault="00BF3E6B" w:rsidP="003652A3">
      <w:pPr>
        <w:pStyle w:val="SR"/>
      </w:pPr>
      <w:r>
        <w:t>Student responses should include:</w:t>
      </w:r>
    </w:p>
    <w:p w:rsidR="0026550B" w:rsidRDefault="0026550B" w:rsidP="00BF3E6B">
      <w:pPr>
        <w:pStyle w:val="SASRBullet"/>
      </w:pPr>
      <w:r>
        <w:t>Dialogue</w:t>
      </w:r>
    </w:p>
    <w:p w:rsidR="0026550B" w:rsidRDefault="0026550B" w:rsidP="00BF3E6B">
      <w:pPr>
        <w:pStyle w:val="SASRBullet"/>
      </w:pPr>
      <w:r>
        <w:t>Tone</w:t>
      </w:r>
    </w:p>
    <w:p w:rsidR="007812C8" w:rsidRDefault="0026550B" w:rsidP="00BF3E6B">
      <w:pPr>
        <w:pStyle w:val="SASRBullet"/>
      </w:pPr>
      <w:r>
        <w:t>Central Ideas</w:t>
      </w:r>
    </w:p>
    <w:p w:rsidR="00BF3E6B" w:rsidRDefault="00BF3E6B" w:rsidP="00BF3E6B">
      <w:pPr>
        <w:pStyle w:val="BR"/>
      </w:pPr>
    </w:p>
    <w:p w:rsidR="007812C8" w:rsidRDefault="007812C8" w:rsidP="00E15D0F">
      <w:pPr>
        <w:pStyle w:val="TA"/>
      </w:pPr>
      <w:r>
        <w:t>Distribute a copy of the Setting Tool to each student.</w:t>
      </w:r>
    </w:p>
    <w:p w:rsidR="00DE07B7" w:rsidRDefault="00A13A46" w:rsidP="00E15D0F">
      <w:pPr>
        <w:pStyle w:val="TA"/>
      </w:pPr>
      <w:r>
        <w:t xml:space="preserve">Instruct students to </w:t>
      </w:r>
      <w:r w:rsidR="00D93752">
        <w:t>re</w:t>
      </w:r>
      <w:r w:rsidR="006C6E2A">
        <w:t>view notes and annotations before</w:t>
      </w:r>
      <w:r w:rsidR="00FD2AE8">
        <w:t xml:space="preserve"> completing the Setting Tool.</w:t>
      </w:r>
      <w:r w:rsidR="00DE07B7">
        <w:t xml:space="preserve"> Explain that each s</w:t>
      </w:r>
      <w:r w:rsidR="002E7754">
        <w:t xml:space="preserve">tudent should choose one text </w:t>
      </w:r>
      <w:r w:rsidR="00DE07B7">
        <w:t xml:space="preserve">element </w:t>
      </w:r>
      <w:r w:rsidR="0026550B">
        <w:t xml:space="preserve">(other than characterization) </w:t>
      </w:r>
      <w:r w:rsidR="00DE07B7">
        <w:t>and find examples from the text to demonstrate how the setting of this scene affects that particular element.</w:t>
      </w:r>
    </w:p>
    <w:p w:rsidR="00DE07B7" w:rsidRDefault="0015648C" w:rsidP="0015648C">
      <w:pPr>
        <w:pStyle w:val="StudentAction"/>
      </w:pPr>
      <w:r>
        <w:t xml:space="preserve">Working </w:t>
      </w:r>
      <w:r w:rsidR="00DE07B7">
        <w:t>indepen</w:t>
      </w:r>
      <w:r w:rsidR="00053DD1">
        <w:t>d</w:t>
      </w:r>
      <w:r w:rsidR="00DE07B7">
        <w:t>ently</w:t>
      </w:r>
      <w:r>
        <w:t>, students c</w:t>
      </w:r>
      <w:r w:rsidR="00DE07B7">
        <w:t>hoose a single dramatic element and find evidence of how the setting of the scene impacts that element.</w:t>
      </w:r>
    </w:p>
    <w:p w:rsidR="002E7754" w:rsidRDefault="00BF3E6B" w:rsidP="003652A3">
      <w:pPr>
        <w:pStyle w:val="SR"/>
      </w:pPr>
      <w:r>
        <w:t>See Model</w:t>
      </w:r>
      <w:r w:rsidR="00DE07B7">
        <w:t xml:space="preserve"> Setting Tool for possible responses.</w:t>
      </w:r>
    </w:p>
    <w:p w:rsidR="0015648C" w:rsidRDefault="002E7754" w:rsidP="00E15D0F">
      <w:pPr>
        <w:pStyle w:val="TA"/>
      </w:pPr>
      <w:r>
        <w:t>Circulate and monitor student work; pre-select students who have focused on different elements to share during the class discussion.</w:t>
      </w:r>
    </w:p>
    <w:p w:rsidR="002E7754" w:rsidRDefault="002E7754" w:rsidP="002F590C">
      <w:pPr>
        <w:pStyle w:val="TA"/>
      </w:pPr>
      <w:r>
        <w:t>Lead a brief share</w:t>
      </w:r>
      <w:r w:rsidR="00BF3E6B">
        <w:t xml:space="preserve"> </w:t>
      </w:r>
      <w:r>
        <w:t>out, selecting students who have focused on different elements to provide examples of text evidence that supports their responses.</w:t>
      </w:r>
    </w:p>
    <w:p w:rsidR="0017138E" w:rsidRDefault="0017138E" w:rsidP="00366666">
      <w:pPr>
        <w:pStyle w:val="IN"/>
      </w:pPr>
      <w:r>
        <w:t xml:space="preserve">Consider drawing students’ attention to their application of standard W.11-12.9 through the process of reviewing </w:t>
      </w:r>
      <w:r w:rsidR="00216E2C">
        <w:t xml:space="preserve">their </w:t>
      </w:r>
      <w:r>
        <w:t>annotations and notes to gather evidence.</w:t>
      </w:r>
    </w:p>
    <w:p w:rsidR="000A3DE2" w:rsidRDefault="00D83B01" w:rsidP="00366666">
      <w:pPr>
        <w:pStyle w:val="IN"/>
      </w:pPr>
      <w:r>
        <w:t xml:space="preserve">Remind students that they should be keeping track of central ideas in the play using the </w:t>
      </w:r>
      <w:r w:rsidRPr="00BF3E6B">
        <w:rPr>
          <w:i/>
        </w:rPr>
        <w:t>Hamlet</w:t>
      </w:r>
      <w:r>
        <w:t xml:space="preserve"> Central Ideas Tracking Tool. Encourage students to record related concepts in the right-hand column of the Tool, noting how these concepts support the development of larger central ideas. Related concepts that arise in this lesson include chastity, gender roles and family duty. </w:t>
      </w:r>
    </w:p>
    <w:p w:rsidR="0017138E" w:rsidRPr="00615C95" w:rsidRDefault="0017138E" w:rsidP="00615C95">
      <w:pPr>
        <w:pStyle w:val="LearningSequenceHeader"/>
        <w:rPr>
          <w:u w:color="92D050"/>
        </w:rPr>
      </w:pPr>
      <w:r w:rsidRPr="00615C95">
        <w:rPr>
          <w:u w:color="92D050"/>
        </w:rPr>
        <w:t xml:space="preserve">Activity </w:t>
      </w:r>
      <w:r w:rsidR="00F235E8">
        <w:rPr>
          <w:u w:color="92D050"/>
        </w:rPr>
        <w:t>6</w:t>
      </w:r>
      <w:r w:rsidRPr="00615C95">
        <w:rPr>
          <w:u w:color="92D050"/>
        </w:rPr>
        <w:t xml:space="preserve">: </w:t>
      </w:r>
      <w:r w:rsidR="003652A3">
        <w:rPr>
          <w:u w:color="92D050"/>
        </w:rPr>
        <w:t>Quick Write</w:t>
      </w:r>
      <w:r>
        <w:rPr>
          <w:u w:color="92D050"/>
        </w:rPr>
        <w:tab/>
        <w:t>10</w:t>
      </w:r>
      <w:r w:rsidRPr="00615C95">
        <w:rPr>
          <w:u w:color="92D050"/>
        </w:rPr>
        <w:t>%</w:t>
      </w:r>
    </w:p>
    <w:p w:rsidR="0017138E" w:rsidRDefault="0017138E" w:rsidP="00E15D0F">
      <w:pPr>
        <w:pStyle w:val="TA"/>
      </w:pPr>
      <w:r>
        <w:t xml:space="preserve">Instruct students to </w:t>
      </w:r>
      <w:r w:rsidR="00BF3E6B">
        <w:t>respond briefly in writing</w:t>
      </w:r>
      <w:r>
        <w:t xml:space="preserve"> to the following prompt</w:t>
      </w:r>
      <w:r w:rsidR="006B1BDC">
        <w:t>, using domain-specific vocabulary including the correct dramatic terms</w:t>
      </w:r>
      <w:r>
        <w:t>:</w:t>
      </w:r>
    </w:p>
    <w:p w:rsidR="00E70E98" w:rsidRDefault="00E70E98" w:rsidP="00E70E98">
      <w:pPr>
        <w:pStyle w:val="Question"/>
      </w:pPr>
      <w:r>
        <w:t xml:space="preserve">How does Shakespeare’s choice of setting impact another element of the drama (such as plot, central ideas, etc.) in this scene? </w:t>
      </w:r>
    </w:p>
    <w:p w:rsidR="009C43FE" w:rsidRDefault="009C43FE" w:rsidP="009C43FE">
      <w:pPr>
        <w:pStyle w:val="TA"/>
      </w:pPr>
      <w:r>
        <w:t>Instruct students to look at their text and notes to find evidence. Remind students to use the Short Response Rubric and Checklist to guide their written responses.</w:t>
      </w:r>
    </w:p>
    <w:p w:rsidR="00BF3E6B" w:rsidRPr="00BF3E6B" w:rsidRDefault="00BF3E6B" w:rsidP="00BF3E6B">
      <w:pPr>
        <w:pStyle w:val="IN"/>
      </w:pPr>
      <w:r w:rsidRPr="00BF3E6B">
        <w:t>Display the prompt for student reference or provide each student with a copy of the prompt.</w:t>
      </w:r>
    </w:p>
    <w:p w:rsidR="0017138E" w:rsidRPr="00AD6446" w:rsidRDefault="0017138E" w:rsidP="00366666">
      <w:pPr>
        <w:pStyle w:val="SA"/>
        <w:rPr>
          <w:rFonts w:cs="Calibri"/>
        </w:rPr>
      </w:pPr>
      <w:r w:rsidRPr="00AD6446">
        <w:t xml:space="preserve">Students </w:t>
      </w:r>
      <w:r w:rsidR="00BF3E6B">
        <w:t>independently answer</w:t>
      </w:r>
      <w:r w:rsidRPr="00AD6446">
        <w:t xml:space="preserve"> the prompt using evidence from the text.</w:t>
      </w:r>
    </w:p>
    <w:p w:rsidR="00C94670" w:rsidRPr="00AD6446" w:rsidRDefault="0017138E" w:rsidP="00C94670">
      <w:pPr>
        <w:pStyle w:val="StudentResponse"/>
      </w:pPr>
      <w:r w:rsidRPr="00AD6446">
        <w:t>See the High Performance Response at the beginning of this lesson.</w:t>
      </w:r>
    </w:p>
    <w:p w:rsidR="0017138E" w:rsidRPr="00563CB8" w:rsidRDefault="0017138E" w:rsidP="009F60C2">
      <w:pPr>
        <w:pStyle w:val="LearningSequenceHeader"/>
      </w:pPr>
      <w:r>
        <w:t xml:space="preserve">Activity </w:t>
      </w:r>
      <w:r w:rsidR="00F275FD">
        <w:t>7</w:t>
      </w:r>
      <w:r w:rsidRPr="00563CB8">
        <w:t xml:space="preserve">: </w:t>
      </w:r>
      <w:r>
        <w:t>Closing</w:t>
      </w:r>
      <w:r w:rsidRPr="00563CB8">
        <w:tab/>
      </w:r>
      <w:r w:rsidR="00291B74">
        <w:t>5</w:t>
      </w:r>
      <w:r w:rsidRPr="00563CB8">
        <w:t>%</w:t>
      </w:r>
    </w:p>
    <w:p w:rsidR="0017138E" w:rsidRDefault="0017138E" w:rsidP="00E15D0F">
      <w:pPr>
        <w:pStyle w:val="TA"/>
      </w:pPr>
      <w:r>
        <w:t xml:space="preserve">Display and distribute the homework assignment. For homework, </w:t>
      </w:r>
      <w:r w:rsidR="00665B78">
        <w:t>students should continue to read</w:t>
      </w:r>
      <w:r>
        <w:t xml:space="preserve"> their </w:t>
      </w:r>
      <w:r w:rsidR="00785D01">
        <w:t>AIR</w:t>
      </w:r>
      <w:r>
        <w:t xml:space="preserve"> </w:t>
      </w:r>
      <w:r w:rsidR="00665B78">
        <w:t xml:space="preserve">text </w:t>
      </w:r>
      <w:r>
        <w:t>through the lens of their focus stand</w:t>
      </w:r>
      <w:r w:rsidR="007756ED">
        <w:t>ard (RL.11-12.5</w:t>
      </w:r>
      <w:r>
        <w:t>) and prepare for a 3</w:t>
      </w:r>
      <w:r w:rsidR="00671E90">
        <w:t>–</w:t>
      </w:r>
      <w:r>
        <w:t>5 minute discussion of their texts based on that standard.</w:t>
      </w:r>
    </w:p>
    <w:p w:rsidR="0017138E" w:rsidRDefault="0017138E" w:rsidP="00707670">
      <w:pPr>
        <w:pStyle w:val="SA"/>
      </w:pPr>
      <w:r>
        <w:t>Students follow along.</w:t>
      </w:r>
    </w:p>
    <w:p w:rsidR="0017138E" w:rsidRDefault="0017138E" w:rsidP="00D9114F">
      <w:pPr>
        <w:pStyle w:val="Heading1"/>
      </w:pPr>
      <w:r w:rsidRPr="00D9114F">
        <w:t>Homework</w:t>
      </w:r>
    </w:p>
    <w:p w:rsidR="0017138E" w:rsidRDefault="0059429C" w:rsidP="00E15D0F">
      <w:bookmarkStart w:id="0" w:name="_GoBack"/>
      <w:bookmarkEnd w:id="0"/>
      <w:r>
        <w:t xml:space="preserve">Continue </w:t>
      </w:r>
      <w:r w:rsidR="00665B78">
        <w:t xml:space="preserve">to read </w:t>
      </w:r>
      <w:r>
        <w:t xml:space="preserve">your </w:t>
      </w:r>
      <w:r w:rsidR="00305CF1">
        <w:t>AIR</w:t>
      </w:r>
      <w:r>
        <w:t xml:space="preserve"> </w:t>
      </w:r>
      <w:r w:rsidR="00665B78">
        <w:t xml:space="preserve">text </w:t>
      </w:r>
      <w:r>
        <w:t>through the lens of</w:t>
      </w:r>
      <w:r w:rsidR="00802441">
        <w:t xml:space="preserve"> your focus standard (RL.11-12.5</w:t>
      </w:r>
      <w:r>
        <w:t>) and prepare for a 3-5 minute discussion of your text based on that standard.</w:t>
      </w:r>
    </w:p>
    <w:p w:rsidR="00E15D0F" w:rsidRDefault="00E15D0F">
      <w:pPr>
        <w:spacing w:before="0" w:after="0" w:line="240" w:lineRule="auto"/>
      </w:pPr>
      <w:r>
        <w:br w:type="page"/>
      </w:r>
    </w:p>
    <w:p w:rsidR="002E7754" w:rsidRPr="00E15D0F" w:rsidRDefault="002E7754" w:rsidP="00E15D0F">
      <w:pPr>
        <w:pStyle w:val="ToolHeader"/>
      </w:pPr>
      <w:r w:rsidRPr="00E15D0F">
        <w:t>Setting Tool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
        <w:gridCol w:w="2736"/>
        <w:gridCol w:w="732"/>
        <w:gridCol w:w="2991"/>
        <w:gridCol w:w="720"/>
        <w:gridCol w:w="1351"/>
      </w:tblGrid>
      <w:tr w:rsidR="002E7754" w:rsidRPr="00707670" w:rsidTr="002F590C">
        <w:trPr>
          <w:trHeight w:val="557"/>
        </w:trPr>
        <w:tc>
          <w:tcPr>
            <w:tcW w:w="816" w:type="dxa"/>
            <w:shd w:val="clear" w:color="auto" w:fill="D9D9D9" w:themeFill="background1" w:themeFillShade="D9"/>
            <w:vAlign w:val="center"/>
          </w:tcPr>
          <w:p w:rsidR="002E7754" w:rsidRPr="00BA693E" w:rsidRDefault="002E7754" w:rsidP="002E7754">
            <w:pPr>
              <w:pStyle w:val="TableText"/>
              <w:rPr>
                <w:b/>
              </w:rPr>
            </w:pPr>
            <w:r w:rsidRPr="00BA693E">
              <w:rPr>
                <w:b/>
              </w:rPr>
              <w:t>Name:</w:t>
            </w:r>
          </w:p>
        </w:tc>
        <w:tc>
          <w:tcPr>
            <w:tcW w:w="2786" w:type="dxa"/>
            <w:vAlign w:val="center"/>
          </w:tcPr>
          <w:p w:rsidR="002E7754" w:rsidRPr="00BA693E" w:rsidRDefault="002E7754" w:rsidP="002E7754">
            <w:pPr>
              <w:pStyle w:val="TableText"/>
              <w:rPr>
                <w:b/>
              </w:rPr>
            </w:pPr>
          </w:p>
        </w:tc>
        <w:tc>
          <w:tcPr>
            <w:tcW w:w="728" w:type="dxa"/>
            <w:shd w:val="clear" w:color="auto" w:fill="D9D9D9" w:themeFill="background1" w:themeFillShade="D9"/>
            <w:vAlign w:val="center"/>
          </w:tcPr>
          <w:p w:rsidR="002E7754" w:rsidRPr="00BA693E" w:rsidRDefault="002E7754" w:rsidP="002E7754">
            <w:pPr>
              <w:pStyle w:val="TableText"/>
              <w:rPr>
                <w:b/>
              </w:rPr>
            </w:pPr>
            <w:r w:rsidRPr="00BA693E">
              <w:rPr>
                <w:b/>
              </w:rPr>
              <w:t>Class:</w:t>
            </w:r>
          </w:p>
        </w:tc>
        <w:tc>
          <w:tcPr>
            <w:tcW w:w="3045" w:type="dxa"/>
            <w:vAlign w:val="center"/>
          </w:tcPr>
          <w:p w:rsidR="002E7754" w:rsidRPr="00BA693E" w:rsidRDefault="002E7754" w:rsidP="002E7754">
            <w:pPr>
              <w:pStyle w:val="TableText"/>
              <w:rPr>
                <w:b/>
              </w:rPr>
            </w:pPr>
          </w:p>
        </w:tc>
        <w:tc>
          <w:tcPr>
            <w:tcW w:w="720" w:type="dxa"/>
            <w:shd w:val="clear" w:color="auto" w:fill="D9D9D9" w:themeFill="background1" w:themeFillShade="D9"/>
            <w:vAlign w:val="center"/>
          </w:tcPr>
          <w:p w:rsidR="002E7754" w:rsidRPr="00BA693E" w:rsidRDefault="002E7754" w:rsidP="002E7754">
            <w:pPr>
              <w:pStyle w:val="TableText"/>
              <w:rPr>
                <w:b/>
              </w:rPr>
            </w:pPr>
            <w:r w:rsidRPr="00BA693E">
              <w:rPr>
                <w:b/>
              </w:rPr>
              <w:t>Date:</w:t>
            </w:r>
          </w:p>
        </w:tc>
        <w:tc>
          <w:tcPr>
            <w:tcW w:w="1373" w:type="dxa"/>
            <w:vAlign w:val="center"/>
          </w:tcPr>
          <w:p w:rsidR="002E7754" w:rsidRPr="00BA693E" w:rsidRDefault="002E7754" w:rsidP="002E7754">
            <w:pPr>
              <w:pStyle w:val="TableText"/>
              <w:rPr>
                <w:b/>
              </w:rPr>
            </w:pPr>
          </w:p>
        </w:tc>
      </w:tr>
    </w:tbl>
    <w:p w:rsidR="002E7754" w:rsidRDefault="002E7754" w:rsidP="002E7754">
      <w:pPr>
        <w:spacing w:before="0" w:after="0"/>
        <w:rPr>
          <w:sz w:val="10"/>
        </w:rPr>
      </w:pPr>
    </w:p>
    <w:p w:rsidR="00E74F2E" w:rsidRPr="00247E0B" w:rsidRDefault="002E7754" w:rsidP="002E7754">
      <w:pPr>
        <w:spacing w:before="0" w:after="0"/>
        <w:rPr>
          <w:sz w:val="10"/>
        </w:rPr>
      </w:pPr>
      <w:r w:rsidRPr="00247E0B">
        <w:rPr>
          <w:b/>
        </w:rPr>
        <w:t>Directions:</w:t>
      </w:r>
      <w:r w:rsidRPr="002F590C">
        <w:rPr>
          <w:b/>
        </w:rPr>
        <w:t xml:space="preserve"> </w:t>
      </w:r>
      <w:r w:rsidR="00247E0B" w:rsidRPr="00247E0B">
        <w:t xml:space="preserve">Choose a dramatic element from the text and find evidence to </w:t>
      </w:r>
      <w:r w:rsidR="00247E0B">
        <w:t xml:space="preserve">show </w:t>
      </w:r>
      <w:r w:rsidR="00247E0B" w:rsidRPr="00247E0B">
        <w:t>how the setting of Act 5.1 affects that element.</w:t>
      </w:r>
    </w:p>
    <w:p w:rsidR="002E7754" w:rsidRPr="00646088" w:rsidRDefault="002E7754" w:rsidP="002E7754">
      <w:pPr>
        <w:spacing w:before="0" w:after="0"/>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3240"/>
        <w:gridCol w:w="4860"/>
      </w:tblGrid>
      <w:tr w:rsidR="002E7754" w:rsidTr="002F590C">
        <w:tc>
          <w:tcPr>
            <w:tcW w:w="1368" w:type="dxa"/>
            <w:shd w:val="clear" w:color="auto" w:fill="D9D9D9" w:themeFill="background1" w:themeFillShade="D9"/>
          </w:tcPr>
          <w:p w:rsidR="002E7754" w:rsidRPr="00BA693E" w:rsidRDefault="002E7754" w:rsidP="002F590C">
            <w:pPr>
              <w:pStyle w:val="ToolTableText"/>
              <w:tabs>
                <w:tab w:val="left" w:pos="7290"/>
              </w:tabs>
              <w:spacing w:after="40"/>
              <w:jc w:val="center"/>
              <w:rPr>
                <w:b/>
              </w:rPr>
            </w:pPr>
            <w:r>
              <w:rPr>
                <w:b/>
              </w:rPr>
              <w:t>Element</w:t>
            </w:r>
          </w:p>
        </w:tc>
        <w:tc>
          <w:tcPr>
            <w:tcW w:w="3240" w:type="dxa"/>
            <w:shd w:val="clear" w:color="auto" w:fill="D9D9D9" w:themeFill="background1" w:themeFillShade="D9"/>
          </w:tcPr>
          <w:p w:rsidR="002E7754" w:rsidRPr="00BA693E" w:rsidRDefault="002E7754" w:rsidP="002F590C">
            <w:pPr>
              <w:pStyle w:val="ToolTableText"/>
              <w:tabs>
                <w:tab w:val="left" w:pos="7290"/>
              </w:tabs>
              <w:spacing w:after="40"/>
              <w:jc w:val="center"/>
              <w:rPr>
                <w:b/>
              </w:rPr>
            </w:pPr>
            <w:r>
              <w:rPr>
                <w:b/>
              </w:rPr>
              <w:t>Impact of Setting</w:t>
            </w:r>
          </w:p>
        </w:tc>
        <w:tc>
          <w:tcPr>
            <w:tcW w:w="4860" w:type="dxa"/>
            <w:shd w:val="clear" w:color="auto" w:fill="D9D9D9" w:themeFill="background1" w:themeFillShade="D9"/>
          </w:tcPr>
          <w:p w:rsidR="002E7754" w:rsidRPr="00BA693E" w:rsidRDefault="002E7754" w:rsidP="002F590C">
            <w:pPr>
              <w:pStyle w:val="ToolTableText"/>
              <w:tabs>
                <w:tab w:val="left" w:pos="7290"/>
              </w:tabs>
              <w:spacing w:after="40"/>
              <w:jc w:val="center"/>
              <w:rPr>
                <w:b/>
              </w:rPr>
            </w:pPr>
            <w:r>
              <w:rPr>
                <w:b/>
              </w:rPr>
              <w:t>Text Evidence</w:t>
            </w:r>
          </w:p>
        </w:tc>
      </w:tr>
      <w:tr w:rsidR="0026550B" w:rsidTr="002F590C">
        <w:trPr>
          <w:trHeight w:val="3692"/>
        </w:trPr>
        <w:tc>
          <w:tcPr>
            <w:tcW w:w="1368" w:type="dxa"/>
          </w:tcPr>
          <w:p w:rsidR="0026550B" w:rsidRPr="00BA693E" w:rsidRDefault="0026550B" w:rsidP="002F590C">
            <w:pPr>
              <w:pStyle w:val="ToolTableText"/>
            </w:pPr>
          </w:p>
        </w:tc>
        <w:tc>
          <w:tcPr>
            <w:tcW w:w="3240" w:type="dxa"/>
          </w:tcPr>
          <w:p w:rsidR="0026550B" w:rsidRDefault="0026550B" w:rsidP="002F590C">
            <w:pPr>
              <w:pStyle w:val="ToolTableText"/>
            </w:pPr>
            <w:r>
              <w:t xml:space="preserve"> </w:t>
            </w:r>
          </w:p>
          <w:p w:rsidR="0026550B" w:rsidRDefault="0026550B" w:rsidP="002F590C">
            <w:pPr>
              <w:pStyle w:val="ToolTableText"/>
            </w:pPr>
          </w:p>
          <w:p w:rsidR="0026550B" w:rsidRDefault="0026550B" w:rsidP="002F590C">
            <w:pPr>
              <w:pStyle w:val="ToolTableText"/>
            </w:pPr>
          </w:p>
          <w:p w:rsidR="0026550B" w:rsidRDefault="0026550B" w:rsidP="002F590C">
            <w:pPr>
              <w:pStyle w:val="ToolTableText"/>
            </w:pPr>
          </w:p>
          <w:p w:rsidR="0026550B" w:rsidRDefault="0026550B" w:rsidP="002F590C">
            <w:pPr>
              <w:pStyle w:val="ToolTableText"/>
            </w:pPr>
          </w:p>
        </w:tc>
        <w:tc>
          <w:tcPr>
            <w:tcW w:w="4860" w:type="dxa"/>
          </w:tcPr>
          <w:p w:rsidR="0026550B" w:rsidRDefault="0026550B" w:rsidP="002F590C">
            <w:pPr>
              <w:pStyle w:val="ToolTableText"/>
            </w:pPr>
          </w:p>
          <w:p w:rsidR="0026550B" w:rsidRDefault="0026550B" w:rsidP="002F590C">
            <w:pPr>
              <w:pStyle w:val="ToolTableText"/>
            </w:pPr>
          </w:p>
          <w:p w:rsidR="0026550B" w:rsidRDefault="0026550B" w:rsidP="002F590C">
            <w:pPr>
              <w:pStyle w:val="ToolTableText"/>
            </w:pPr>
          </w:p>
          <w:p w:rsidR="0026550B" w:rsidRDefault="0026550B" w:rsidP="002F590C">
            <w:pPr>
              <w:pStyle w:val="ToolTableText"/>
            </w:pPr>
            <w:r>
              <w:t xml:space="preserve"> </w:t>
            </w:r>
          </w:p>
          <w:p w:rsidR="0026550B" w:rsidRDefault="0026550B" w:rsidP="002F590C">
            <w:pPr>
              <w:pStyle w:val="ToolTableText"/>
            </w:pPr>
          </w:p>
          <w:p w:rsidR="0026550B" w:rsidRDefault="0026550B" w:rsidP="002F590C">
            <w:pPr>
              <w:pStyle w:val="ToolTableText"/>
            </w:pPr>
          </w:p>
          <w:p w:rsidR="0026550B" w:rsidRDefault="0026550B" w:rsidP="002F590C">
            <w:pPr>
              <w:pStyle w:val="ToolTableText"/>
            </w:pPr>
          </w:p>
          <w:p w:rsidR="0026550B" w:rsidRDefault="0026550B" w:rsidP="002F590C">
            <w:pPr>
              <w:pStyle w:val="ToolTableText"/>
            </w:pPr>
          </w:p>
          <w:p w:rsidR="0026550B" w:rsidRDefault="0026550B" w:rsidP="002F590C">
            <w:pPr>
              <w:pStyle w:val="ToolTableText"/>
            </w:pPr>
          </w:p>
          <w:p w:rsidR="0026550B" w:rsidRDefault="0026550B" w:rsidP="002F590C">
            <w:pPr>
              <w:pStyle w:val="ToolTableText"/>
            </w:pPr>
          </w:p>
          <w:p w:rsidR="0026550B" w:rsidRDefault="0026550B" w:rsidP="002F590C">
            <w:pPr>
              <w:pStyle w:val="ToolTableText"/>
            </w:pPr>
          </w:p>
          <w:p w:rsidR="0026550B" w:rsidRDefault="0026550B" w:rsidP="002F590C">
            <w:pPr>
              <w:pStyle w:val="ToolTableText"/>
            </w:pPr>
          </w:p>
          <w:p w:rsidR="0026550B" w:rsidRDefault="0026550B" w:rsidP="002F590C">
            <w:pPr>
              <w:pStyle w:val="ToolTableText"/>
            </w:pPr>
          </w:p>
          <w:p w:rsidR="0026550B" w:rsidRDefault="0026550B" w:rsidP="002F590C">
            <w:pPr>
              <w:pStyle w:val="ToolTableText"/>
            </w:pPr>
          </w:p>
          <w:p w:rsidR="0026550B" w:rsidRDefault="0026550B" w:rsidP="002F590C">
            <w:pPr>
              <w:pStyle w:val="ToolTableText"/>
            </w:pPr>
          </w:p>
          <w:p w:rsidR="0026550B" w:rsidRDefault="0026550B" w:rsidP="002F590C">
            <w:pPr>
              <w:pStyle w:val="ToolTableText"/>
            </w:pPr>
          </w:p>
          <w:p w:rsidR="002F590C" w:rsidRDefault="002F590C" w:rsidP="002F590C">
            <w:pPr>
              <w:pStyle w:val="ToolTableText"/>
            </w:pPr>
          </w:p>
          <w:p w:rsidR="002F590C" w:rsidRDefault="002F590C" w:rsidP="002F590C">
            <w:pPr>
              <w:pStyle w:val="ToolTableText"/>
            </w:pPr>
          </w:p>
          <w:p w:rsidR="002F590C" w:rsidRDefault="002F590C" w:rsidP="002F590C">
            <w:pPr>
              <w:pStyle w:val="ToolTableText"/>
            </w:pPr>
          </w:p>
          <w:p w:rsidR="002F590C" w:rsidRDefault="002F590C" w:rsidP="002F590C">
            <w:pPr>
              <w:pStyle w:val="ToolTableText"/>
            </w:pPr>
          </w:p>
          <w:p w:rsidR="002F590C" w:rsidRDefault="002F590C" w:rsidP="002F590C">
            <w:pPr>
              <w:pStyle w:val="ToolTableText"/>
            </w:pPr>
          </w:p>
          <w:p w:rsidR="002F590C" w:rsidRDefault="002F590C" w:rsidP="002F590C">
            <w:pPr>
              <w:pStyle w:val="ToolTableText"/>
            </w:pPr>
          </w:p>
          <w:p w:rsidR="0026550B" w:rsidRDefault="0026550B" w:rsidP="002F590C">
            <w:pPr>
              <w:pStyle w:val="ToolTableText"/>
            </w:pPr>
          </w:p>
        </w:tc>
      </w:tr>
    </w:tbl>
    <w:p w:rsidR="002F590C" w:rsidRDefault="002F590C" w:rsidP="002F590C">
      <w:r>
        <w:br w:type="page"/>
      </w:r>
    </w:p>
    <w:p w:rsidR="00721F4B" w:rsidRDefault="00207682" w:rsidP="00E15D0F">
      <w:pPr>
        <w:pStyle w:val="ToolHeader"/>
      </w:pPr>
      <w:r>
        <w:t>Model</w:t>
      </w:r>
      <w:r w:rsidR="009D78B6">
        <w:t xml:space="preserve"> </w:t>
      </w:r>
      <w:r w:rsidR="00FD2AE8">
        <w:t>Setting Tool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
        <w:gridCol w:w="2736"/>
        <w:gridCol w:w="732"/>
        <w:gridCol w:w="2991"/>
        <w:gridCol w:w="720"/>
        <w:gridCol w:w="1351"/>
      </w:tblGrid>
      <w:tr w:rsidR="00721F4B" w:rsidRPr="00707670" w:rsidTr="00DB3B19">
        <w:trPr>
          <w:trHeight w:val="557"/>
        </w:trPr>
        <w:tc>
          <w:tcPr>
            <w:tcW w:w="816" w:type="dxa"/>
            <w:shd w:val="clear" w:color="auto" w:fill="D9D9D9"/>
            <w:vAlign w:val="center"/>
          </w:tcPr>
          <w:p w:rsidR="00721F4B" w:rsidRPr="00BA693E" w:rsidRDefault="00721F4B" w:rsidP="00DB3B19">
            <w:pPr>
              <w:pStyle w:val="TableText"/>
              <w:rPr>
                <w:b/>
              </w:rPr>
            </w:pPr>
            <w:r w:rsidRPr="00BA693E">
              <w:rPr>
                <w:b/>
              </w:rPr>
              <w:t>Name:</w:t>
            </w:r>
          </w:p>
        </w:tc>
        <w:tc>
          <w:tcPr>
            <w:tcW w:w="2786" w:type="dxa"/>
            <w:vAlign w:val="center"/>
          </w:tcPr>
          <w:p w:rsidR="00721F4B" w:rsidRPr="00BA693E" w:rsidRDefault="00721F4B" w:rsidP="00DB3B19">
            <w:pPr>
              <w:pStyle w:val="TableText"/>
              <w:rPr>
                <w:b/>
              </w:rPr>
            </w:pPr>
          </w:p>
        </w:tc>
        <w:tc>
          <w:tcPr>
            <w:tcW w:w="728" w:type="dxa"/>
            <w:shd w:val="clear" w:color="auto" w:fill="D9D9D9"/>
            <w:vAlign w:val="center"/>
          </w:tcPr>
          <w:p w:rsidR="00721F4B" w:rsidRPr="00BA693E" w:rsidRDefault="00721F4B" w:rsidP="00DB3B19">
            <w:pPr>
              <w:pStyle w:val="TableText"/>
              <w:rPr>
                <w:b/>
              </w:rPr>
            </w:pPr>
            <w:r w:rsidRPr="00BA693E">
              <w:rPr>
                <w:b/>
              </w:rPr>
              <w:t>Class:</w:t>
            </w:r>
          </w:p>
        </w:tc>
        <w:tc>
          <w:tcPr>
            <w:tcW w:w="3045" w:type="dxa"/>
            <w:vAlign w:val="center"/>
          </w:tcPr>
          <w:p w:rsidR="00721F4B" w:rsidRPr="00BA693E" w:rsidRDefault="00721F4B" w:rsidP="00DB3B19">
            <w:pPr>
              <w:pStyle w:val="TableText"/>
              <w:rPr>
                <w:b/>
              </w:rPr>
            </w:pPr>
          </w:p>
        </w:tc>
        <w:tc>
          <w:tcPr>
            <w:tcW w:w="720" w:type="dxa"/>
            <w:shd w:val="clear" w:color="auto" w:fill="D9D9D9"/>
            <w:vAlign w:val="center"/>
          </w:tcPr>
          <w:p w:rsidR="00721F4B" w:rsidRPr="00BA693E" w:rsidRDefault="00721F4B" w:rsidP="00DB3B19">
            <w:pPr>
              <w:pStyle w:val="TableText"/>
              <w:rPr>
                <w:b/>
              </w:rPr>
            </w:pPr>
            <w:r w:rsidRPr="00BA693E">
              <w:rPr>
                <w:b/>
              </w:rPr>
              <w:t>Date:</w:t>
            </w:r>
          </w:p>
        </w:tc>
        <w:tc>
          <w:tcPr>
            <w:tcW w:w="1373" w:type="dxa"/>
            <w:vAlign w:val="center"/>
          </w:tcPr>
          <w:p w:rsidR="00721F4B" w:rsidRPr="00BA693E" w:rsidRDefault="00721F4B" w:rsidP="00DB3B19">
            <w:pPr>
              <w:pStyle w:val="TableText"/>
              <w:rPr>
                <w:b/>
              </w:rPr>
            </w:pPr>
          </w:p>
        </w:tc>
      </w:tr>
    </w:tbl>
    <w:p w:rsidR="00721F4B" w:rsidRDefault="00721F4B" w:rsidP="00721F4B">
      <w:pPr>
        <w:spacing w:before="0" w:after="0"/>
        <w:rPr>
          <w:sz w:val="10"/>
        </w:rPr>
      </w:pPr>
    </w:p>
    <w:p w:rsidR="00247E0B" w:rsidRPr="00247E0B" w:rsidRDefault="00247E0B" w:rsidP="00247E0B">
      <w:pPr>
        <w:spacing w:before="0" w:after="0"/>
        <w:rPr>
          <w:sz w:val="10"/>
        </w:rPr>
      </w:pPr>
      <w:r w:rsidRPr="00247E0B">
        <w:rPr>
          <w:b/>
        </w:rPr>
        <w:t>Directions:</w:t>
      </w:r>
      <w:r w:rsidRPr="002F590C">
        <w:rPr>
          <w:b/>
        </w:rPr>
        <w:t xml:space="preserve"> </w:t>
      </w:r>
      <w:r w:rsidRPr="00247E0B">
        <w:t xml:space="preserve">Choose a dramatic element from the text and find evidence to </w:t>
      </w:r>
      <w:r>
        <w:t xml:space="preserve">show </w:t>
      </w:r>
      <w:r w:rsidRPr="00247E0B">
        <w:t>how the setting of Act 5.1 affects that element.</w:t>
      </w:r>
    </w:p>
    <w:p w:rsidR="00FD2AE8" w:rsidRPr="00646088" w:rsidRDefault="00FD2AE8" w:rsidP="00721F4B">
      <w:pPr>
        <w:spacing w:before="0" w:after="0"/>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3240"/>
        <w:gridCol w:w="4860"/>
      </w:tblGrid>
      <w:tr w:rsidR="00721F4B" w:rsidTr="002F590C">
        <w:tc>
          <w:tcPr>
            <w:tcW w:w="1368" w:type="dxa"/>
            <w:shd w:val="clear" w:color="auto" w:fill="D9D9D9" w:themeFill="background1" w:themeFillShade="D9"/>
          </w:tcPr>
          <w:p w:rsidR="00721F4B" w:rsidRPr="00BA693E" w:rsidRDefault="00DD08DC" w:rsidP="002F590C">
            <w:pPr>
              <w:pStyle w:val="ToolTableText"/>
              <w:tabs>
                <w:tab w:val="left" w:pos="7290"/>
              </w:tabs>
              <w:spacing w:after="40"/>
              <w:jc w:val="center"/>
              <w:rPr>
                <w:b/>
              </w:rPr>
            </w:pPr>
            <w:r>
              <w:rPr>
                <w:b/>
              </w:rPr>
              <w:t>Element</w:t>
            </w:r>
          </w:p>
        </w:tc>
        <w:tc>
          <w:tcPr>
            <w:tcW w:w="3240" w:type="dxa"/>
            <w:shd w:val="clear" w:color="auto" w:fill="D9D9D9" w:themeFill="background1" w:themeFillShade="D9"/>
          </w:tcPr>
          <w:p w:rsidR="00721F4B" w:rsidRPr="00BA693E" w:rsidRDefault="00DD08DC" w:rsidP="002F590C">
            <w:pPr>
              <w:pStyle w:val="ToolTableText"/>
              <w:tabs>
                <w:tab w:val="left" w:pos="7290"/>
              </w:tabs>
              <w:spacing w:after="40"/>
              <w:jc w:val="center"/>
              <w:rPr>
                <w:b/>
              </w:rPr>
            </w:pPr>
            <w:r>
              <w:rPr>
                <w:b/>
              </w:rPr>
              <w:t>Impact of Setting</w:t>
            </w:r>
          </w:p>
        </w:tc>
        <w:tc>
          <w:tcPr>
            <w:tcW w:w="4860" w:type="dxa"/>
            <w:shd w:val="clear" w:color="auto" w:fill="D9D9D9" w:themeFill="background1" w:themeFillShade="D9"/>
          </w:tcPr>
          <w:p w:rsidR="00721F4B" w:rsidRPr="00BA693E" w:rsidRDefault="00DD08DC" w:rsidP="002F590C">
            <w:pPr>
              <w:pStyle w:val="ToolTableText"/>
              <w:tabs>
                <w:tab w:val="left" w:pos="7290"/>
              </w:tabs>
              <w:spacing w:after="40"/>
              <w:jc w:val="center"/>
              <w:rPr>
                <w:b/>
              </w:rPr>
            </w:pPr>
            <w:r>
              <w:rPr>
                <w:b/>
              </w:rPr>
              <w:t>Text Evidence</w:t>
            </w:r>
          </w:p>
        </w:tc>
      </w:tr>
      <w:tr w:rsidR="00721F4B" w:rsidTr="002F590C">
        <w:tc>
          <w:tcPr>
            <w:tcW w:w="1368" w:type="dxa"/>
          </w:tcPr>
          <w:p w:rsidR="00721F4B" w:rsidRPr="00BA693E" w:rsidRDefault="00DD08DC" w:rsidP="002F590C">
            <w:pPr>
              <w:pStyle w:val="ToolTableText"/>
              <w:rPr>
                <w:b/>
              </w:rPr>
            </w:pPr>
            <w:r>
              <w:t>Dialogue</w:t>
            </w:r>
          </w:p>
        </w:tc>
        <w:tc>
          <w:tcPr>
            <w:tcW w:w="3240" w:type="dxa"/>
          </w:tcPr>
          <w:p w:rsidR="009D78B6" w:rsidRDefault="009D78B6" w:rsidP="002F590C">
            <w:pPr>
              <w:pStyle w:val="ToolTableText"/>
            </w:pPr>
            <w:r>
              <w:t>The gravediggers talk about where people who commit suicide are allowed to be buried as they dig a hole for a woman who has drowned.</w:t>
            </w:r>
          </w:p>
          <w:p w:rsidR="00721F4B" w:rsidRDefault="009D78B6" w:rsidP="002F590C">
            <w:pPr>
              <w:pStyle w:val="ToolTableText"/>
            </w:pPr>
            <w:r>
              <w:t>The gravediggers joke about death as they dig a new hole in the graveyard</w:t>
            </w:r>
            <w:r w:rsidR="009A1A65">
              <w:t>.</w:t>
            </w:r>
          </w:p>
          <w:p w:rsidR="006C6E2A" w:rsidRDefault="009D78B6" w:rsidP="002F590C">
            <w:pPr>
              <w:pStyle w:val="ToolTableText"/>
            </w:pPr>
            <w:r>
              <w:t>Laertes talks about what will happen to the priest and Ophelia after death because of the funeral ceremony in the graveyard</w:t>
            </w:r>
            <w:r w:rsidR="009A1A65">
              <w:t>.</w:t>
            </w:r>
          </w:p>
          <w:p w:rsidR="006C6E2A" w:rsidRDefault="006C6E2A" w:rsidP="002F590C">
            <w:pPr>
              <w:pStyle w:val="ToolTableText"/>
            </w:pPr>
            <w:r>
              <w:t>Gertrude expresses her affection for Ophelia at the grave.</w:t>
            </w:r>
          </w:p>
          <w:p w:rsidR="009D78B6" w:rsidRDefault="009D78B6" w:rsidP="002F590C">
            <w:pPr>
              <w:pStyle w:val="ToolTableText"/>
            </w:pPr>
            <w:r>
              <w:t>Hamlet and Laertes argue about who loved Ophelia more as they fight by her grave</w:t>
            </w:r>
            <w:r w:rsidR="009A1A65">
              <w:t>.</w:t>
            </w:r>
          </w:p>
        </w:tc>
        <w:tc>
          <w:tcPr>
            <w:tcW w:w="4860" w:type="dxa"/>
          </w:tcPr>
          <w:p w:rsidR="00721F4B" w:rsidRDefault="009D78B6" w:rsidP="002F590C">
            <w:pPr>
              <w:pStyle w:val="ToolTableText"/>
            </w:pPr>
            <w:r>
              <w:t xml:space="preserve">“Is she to </w:t>
            </w:r>
            <w:r w:rsidR="002357B3">
              <w:t>be buried in Christian burial,</w:t>
            </w:r>
            <w:r w:rsidR="00671E90">
              <w:t xml:space="preserve"> /</w:t>
            </w:r>
            <w:r w:rsidR="002357B3">
              <w:t xml:space="preserve"> </w:t>
            </w:r>
            <w:r>
              <w:t>when she willfully seeks her own salvation</w:t>
            </w:r>
            <w:proofErr w:type="gramStart"/>
            <w:r>
              <w:t>?</w:t>
            </w:r>
            <w:r w:rsidR="00671E90">
              <w:t>...</w:t>
            </w:r>
            <w:proofErr w:type="gramEnd"/>
            <w:r>
              <w:t xml:space="preserve"> </w:t>
            </w:r>
            <w:r w:rsidR="002357B3">
              <w:t xml:space="preserve">to </w:t>
            </w:r>
            <w:r>
              <w:t>hang themselves more than / their even-Christian.” (</w:t>
            </w:r>
            <w:r w:rsidR="00657720">
              <w:t>l</w:t>
            </w:r>
            <w:r>
              <w:t>ines 1 – 30)</w:t>
            </w:r>
          </w:p>
          <w:p w:rsidR="009D78B6" w:rsidRDefault="009D78B6" w:rsidP="002F590C">
            <w:pPr>
              <w:pStyle w:val="ToolTableText"/>
            </w:pPr>
          </w:p>
          <w:p w:rsidR="009D78B6" w:rsidRDefault="009D78B6" w:rsidP="002F590C">
            <w:pPr>
              <w:pStyle w:val="ToolTableText"/>
            </w:pPr>
            <w:r>
              <w:t xml:space="preserve">“What is he that builds stronger </w:t>
            </w:r>
            <w:r w:rsidR="002357B3">
              <w:t>than either</w:t>
            </w:r>
            <w:r w:rsidR="00595804">
              <w:t xml:space="preserve"> the mason</w:t>
            </w:r>
            <w:r w:rsidR="00671E90">
              <w:t>...</w:t>
            </w:r>
            <w:r>
              <w:t>G</w:t>
            </w:r>
            <w:r w:rsidR="002357B3">
              <w:t xml:space="preserve">o, get thee in, and fetch me a </w:t>
            </w:r>
            <w:r>
              <w:t xml:space="preserve">stoup of </w:t>
            </w:r>
            <w:proofErr w:type="gramStart"/>
            <w:r>
              <w:t>liquor.</w:t>
            </w:r>
            <w:proofErr w:type="gramEnd"/>
            <w:r>
              <w:t>” (lines 42– 62)</w:t>
            </w:r>
          </w:p>
          <w:p w:rsidR="009D78B6" w:rsidRDefault="006C6E2A" w:rsidP="002F590C">
            <w:pPr>
              <w:pStyle w:val="ToolTableText"/>
            </w:pPr>
            <w:r>
              <w:t>“What ceremony else</w:t>
            </w:r>
            <w:r w:rsidR="002357B3">
              <w:t>? / That is Laertes, a very noble youth</w:t>
            </w:r>
            <w:r w:rsidR="00671E90">
              <w:t>..</w:t>
            </w:r>
            <w:r>
              <w:t>.</w:t>
            </w:r>
            <w:r w:rsidR="002357B3">
              <w:t xml:space="preserve">A </w:t>
            </w:r>
            <w:proofErr w:type="spellStart"/>
            <w:r w:rsidR="002357B3">
              <w:t>minist’ring</w:t>
            </w:r>
            <w:proofErr w:type="spellEnd"/>
            <w:r w:rsidR="002357B3">
              <w:t xml:space="preserve"> angel</w:t>
            </w:r>
            <w:r>
              <w:t xml:space="preserve"> </w:t>
            </w:r>
            <w:r w:rsidR="002357B3">
              <w:t xml:space="preserve">shall my sister be / </w:t>
            </w:r>
            <w:r>
              <w:t xml:space="preserve">When thou </w:t>
            </w:r>
            <w:proofErr w:type="spellStart"/>
            <w:r>
              <w:t>liest</w:t>
            </w:r>
            <w:proofErr w:type="spellEnd"/>
            <w:r>
              <w:t xml:space="preserve"> howling” (lines 230</w:t>
            </w:r>
            <w:r w:rsidR="00671E90">
              <w:t>–</w:t>
            </w:r>
            <w:r>
              <w:t>252)</w:t>
            </w:r>
            <w:r w:rsidR="003F52A3">
              <w:t>.</w:t>
            </w:r>
          </w:p>
          <w:p w:rsidR="006C6E2A" w:rsidRDefault="006C6E2A" w:rsidP="002F590C">
            <w:pPr>
              <w:pStyle w:val="ToolTableText"/>
            </w:pPr>
          </w:p>
          <w:p w:rsidR="006C6E2A" w:rsidRDefault="006C6E2A" w:rsidP="002F590C">
            <w:pPr>
              <w:pStyle w:val="ToolTableText"/>
            </w:pPr>
            <w:r>
              <w:t>“Sweets to the sweet, farewell!</w:t>
            </w:r>
            <w:r w:rsidR="002357B3">
              <w:t xml:space="preserve"> I hoped thou </w:t>
            </w:r>
            <w:proofErr w:type="spellStart"/>
            <w:r w:rsidR="002357B3">
              <w:t>shouldst</w:t>
            </w:r>
            <w:proofErr w:type="spellEnd"/>
            <w:r w:rsidR="00671E90">
              <w:t>…</w:t>
            </w:r>
            <w:r w:rsidR="00595804">
              <w:t xml:space="preserve">sweet maid / </w:t>
            </w:r>
            <w:r>
              <w:t>And not have strewed thy grave.” (lines 254</w:t>
            </w:r>
            <w:r w:rsidR="00671E90">
              <w:t>–</w:t>
            </w:r>
            <w:r>
              <w:t>257)</w:t>
            </w:r>
          </w:p>
          <w:p w:rsidR="006C6E2A" w:rsidRDefault="007D0532" w:rsidP="00671E90">
            <w:pPr>
              <w:pStyle w:val="ToolTableText"/>
            </w:pPr>
            <w:r>
              <w:t>“Hold off the earth awhile</w:t>
            </w:r>
            <w:r w:rsidR="00595804">
              <w:t xml:space="preserve"> / Till I have caught her </w:t>
            </w:r>
            <w:r w:rsidR="00671E90">
              <w:t>…</w:t>
            </w:r>
            <w:r w:rsidR="00595804">
              <w:t xml:space="preserve">Nay </w:t>
            </w:r>
            <w:proofErr w:type="gramStart"/>
            <w:r w:rsidR="00595804">
              <w:t>an</w:t>
            </w:r>
            <w:proofErr w:type="gramEnd"/>
            <w:r w:rsidR="00595804">
              <w:t xml:space="preserve"> </w:t>
            </w:r>
            <w:proofErr w:type="spellStart"/>
            <w:r w:rsidR="00595804">
              <w:t>thou’lt</w:t>
            </w:r>
            <w:proofErr w:type="spellEnd"/>
            <w:r w:rsidR="00595804">
              <w:t xml:space="preserve"> mouth, /</w:t>
            </w:r>
            <w:r>
              <w:t xml:space="preserve"> I’ll rant as well as thou.” (lines 261</w:t>
            </w:r>
            <w:r w:rsidR="00671E90">
              <w:t>–</w:t>
            </w:r>
            <w:r>
              <w:t>301)</w:t>
            </w:r>
          </w:p>
        </w:tc>
      </w:tr>
      <w:tr w:rsidR="00721F4B" w:rsidTr="002F590C">
        <w:tc>
          <w:tcPr>
            <w:tcW w:w="1368" w:type="dxa"/>
          </w:tcPr>
          <w:p w:rsidR="00721F4B" w:rsidRPr="00BA693E" w:rsidRDefault="00DD08DC" w:rsidP="002F590C">
            <w:pPr>
              <w:pStyle w:val="ToolTableText"/>
              <w:rPr>
                <w:b/>
              </w:rPr>
            </w:pPr>
            <w:r>
              <w:t>Action (Plot)</w:t>
            </w:r>
          </w:p>
        </w:tc>
        <w:tc>
          <w:tcPr>
            <w:tcW w:w="3240" w:type="dxa"/>
          </w:tcPr>
          <w:p w:rsidR="007D0532" w:rsidRDefault="007D0532" w:rsidP="002F590C">
            <w:pPr>
              <w:pStyle w:val="ToolTableText"/>
            </w:pPr>
            <w:r>
              <w:t>The gravediggers’ opening conversation reminds readers that Ophelia drowned.</w:t>
            </w:r>
          </w:p>
          <w:p w:rsidR="00DE07B7" w:rsidRDefault="00DE07B7" w:rsidP="002F590C">
            <w:pPr>
              <w:pStyle w:val="ToolTableText"/>
            </w:pPr>
            <w:r>
              <w:t>Hamlet learns that Ophelia has died</w:t>
            </w:r>
            <w:r w:rsidR="006C6E2A">
              <w:t xml:space="preserve"> because he sees the funeral procession and hears Laertes speaking at the grave.</w:t>
            </w:r>
          </w:p>
          <w:p w:rsidR="00DE07B7" w:rsidRDefault="00DE07B7" w:rsidP="002F590C">
            <w:pPr>
              <w:pStyle w:val="ToolTableText"/>
            </w:pPr>
            <w:r>
              <w:t>Hamlet sees Gertrude and Laertes mourning for Ophelia</w:t>
            </w:r>
            <w:r w:rsidR="006C6E2A">
              <w:t xml:space="preserve"> at the grave.</w:t>
            </w:r>
            <w:r>
              <w:t xml:space="preserve"> </w:t>
            </w:r>
          </w:p>
          <w:p w:rsidR="00671E90" w:rsidRDefault="00671E90" w:rsidP="002F590C">
            <w:pPr>
              <w:pStyle w:val="ToolTableText"/>
            </w:pPr>
          </w:p>
          <w:p w:rsidR="00DE07B7" w:rsidRDefault="00DE07B7" w:rsidP="002F590C">
            <w:pPr>
              <w:pStyle w:val="ToolTableText"/>
            </w:pPr>
            <w:r>
              <w:t>Laertes jumps in the grave.</w:t>
            </w:r>
          </w:p>
          <w:p w:rsidR="009B2870" w:rsidRDefault="009B2870" w:rsidP="002F590C">
            <w:pPr>
              <w:pStyle w:val="ToolTableText"/>
            </w:pPr>
          </w:p>
          <w:p w:rsidR="00721F4B" w:rsidRDefault="00DE07B7" w:rsidP="002F590C">
            <w:pPr>
              <w:pStyle w:val="ToolTableText"/>
            </w:pPr>
            <w:r>
              <w:t>Hamlet and Laertes fight at graveside.</w:t>
            </w:r>
          </w:p>
        </w:tc>
        <w:tc>
          <w:tcPr>
            <w:tcW w:w="4860" w:type="dxa"/>
          </w:tcPr>
          <w:p w:rsidR="00721F4B" w:rsidRDefault="007D0532" w:rsidP="002F590C">
            <w:pPr>
              <w:pStyle w:val="ToolTableText"/>
            </w:pPr>
            <w:r>
              <w:t>“Is she to be buried in Christian burial</w:t>
            </w:r>
            <w:proofErr w:type="gramStart"/>
            <w:r>
              <w:t>?</w:t>
            </w:r>
            <w:r w:rsidR="00671E90">
              <w:t>…</w:t>
            </w:r>
            <w:proofErr w:type="gramEnd"/>
            <w:r w:rsidR="00595804">
              <w:t xml:space="preserve">and drown him, </w:t>
            </w:r>
            <w:r>
              <w:t>he drowns not himself.” (lines 1</w:t>
            </w:r>
            <w:r w:rsidR="00671E90">
              <w:t>–</w:t>
            </w:r>
            <w:r>
              <w:t>19)</w:t>
            </w:r>
          </w:p>
          <w:p w:rsidR="007A59AF" w:rsidRDefault="007A59AF" w:rsidP="002F590C">
            <w:pPr>
              <w:pStyle w:val="ToolTableText"/>
            </w:pPr>
          </w:p>
          <w:p w:rsidR="007A59AF" w:rsidRDefault="009A1A65" w:rsidP="002F590C">
            <w:pPr>
              <w:pStyle w:val="ToolTableText"/>
            </w:pPr>
            <w:r>
              <w:t>“</w:t>
            </w:r>
            <w:r w:rsidR="00595804">
              <w:t>What, the fair Ophelia?</w:t>
            </w:r>
            <w:r>
              <w:t>”</w:t>
            </w:r>
            <w:r w:rsidR="007A59AF">
              <w:t xml:space="preserve"> (line 253)</w:t>
            </w:r>
          </w:p>
          <w:p w:rsidR="007A59AF" w:rsidRDefault="007A59AF" w:rsidP="002F590C">
            <w:pPr>
              <w:pStyle w:val="ToolTableText"/>
            </w:pPr>
          </w:p>
          <w:p w:rsidR="007A59AF" w:rsidRDefault="007A59AF" w:rsidP="002F590C">
            <w:pPr>
              <w:pStyle w:val="ToolTableText"/>
            </w:pPr>
            <w:r>
              <w:t>“Sweets to the sweet, farewell!</w:t>
            </w:r>
            <w:r w:rsidR="00595804">
              <w:t xml:space="preserve"> I hoped though </w:t>
            </w:r>
            <w:proofErr w:type="spellStart"/>
            <w:r w:rsidR="00595804">
              <w:t>shouldst</w:t>
            </w:r>
            <w:proofErr w:type="spellEnd"/>
            <w:r w:rsidR="00671E90">
              <w:t>…</w:t>
            </w:r>
            <w:r>
              <w:t xml:space="preserve">T’ </w:t>
            </w:r>
            <w:proofErr w:type="spellStart"/>
            <w:r>
              <w:t>o’ertop</w:t>
            </w:r>
            <w:proofErr w:type="spellEnd"/>
            <w:r>
              <w:t xml:space="preserve"> old Pelion or the </w:t>
            </w:r>
            <w:proofErr w:type="spellStart"/>
            <w:r>
              <w:t>skyish</w:t>
            </w:r>
            <w:proofErr w:type="spellEnd"/>
            <w:r>
              <w:t xml:space="preserve"> head / Of blue Olympus.” (lines 254</w:t>
            </w:r>
            <w:r w:rsidR="00671E90">
              <w:t>–</w:t>
            </w:r>
            <w:r>
              <w:t>266)</w:t>
            </w:r>
          </w:p>
          <w:p w:rsidR="007D0532" w:rsidRDefault="007D0532" w:rsidP="002F590C">
            <w:pPr>
              <w:pStyle w:val="ToolTableText"/>
            </w:pPr>
          </w:p>
          <w:p w:rsidR="007A59AF" w:rsidRDefault="007A59AF" w:rsidP="002F590C">
            <w:pPr>
              <w:pStyle w:val="ToolTableText"/>
            </w:pPr>
            <w:r>
              <w:t>“Hold off the earth awhile,</w:t>
            </w:r>
            <w:r w:rsidR="00595804">
              <w:t xml:space="preserve"> / Till I have caught her</w:t>
            </w:r>
            <w:r>
              <w:t xml:space="preserve"> </w:t>
            </w:r>
            <w:r w:rsidR="00671E90">
              <w:t>…</w:t>
            </w:r>
            <w:r>
              <w:t xml:space="preserve">T’ </w:t>
            </w:r>
            <w:proofErr w:type="spellStart"/>
            <w:r>
              <w:t>o’ertop</w:t>
            </w:r>
            <w:proofErr w:type="spellEnd"/>
            <w:r>
              <w:t xml:space="preserve"> old Pelion or the </w:t>
            </w:r>
            <w:proofErr w:type="spellStart"/>
            <w:r>
              <w:t>skyish</w:t>
            </w:r>
            <w:proofErr w:type="spellEnd"/>
            <w:r>
              <w:t xml:space="preserve"> head / Of blue Olympus.” (lines 261</w:t>
            </w:r>
            <w:r w:rsidR="00671E90">
              <w:t>–</w:t>
            </w:r>
            <w:r w:rsidR="00595804">
              <w:t>266)</w:t>
            </w:r>
          </w:p>
          <w:p w:rsidR="009B2870" w:rsidRDefault="009B2870" w:rsidP="00671E90">
            <w:pPr>
              <w:pStyle w:val="ToolTableText"/>
            </w:pPr>
            <w:r>
              <w:t>“This is I,</w:t>
            </w:r>
            <w:r w:rsidR="003F52A3">
              <w:t xml:space="preserve"> </w:t>
            </w:r>
            <w:r w:rsidR="00595804">
              <w:t>/</w:t>
            </w:r>
            <w:r w:rsidR="00671E90">
              <w:t xml:space="preserve"> </w:t>
            </w:r>
            <w:r>
              <w:t>Hamlet the Dane</w:t>
            </w:r>
            <w:r w:rsidR="00595804">
              <w:t xml:space="preserve"> / The devil take thy soul</w:t>
            </w:r>
            <w:proofErr w:type="gramStart"/>
            <w:r w:rsidR="00671E90">
              <w:t>!...</w:t>
            </w:r>
            <w:proofErr w:type="gramEnd"/>
            <w:r w:rsidR="00595804">
              <w:t xml:space="preserve">Hamlet! Hamlet! / Gentlemen / </w:t>
            </w:r>
            <w:r>
              <w:t>Good my lord, be quiet.” (lines 270</w:t>
            </w:r>
            <w:r w:rsidR="00671E90">
              <w:t>–</w:t>
            </w:r>
            <w:r>
              <w:t>281)</w:t>
            </w:r>
          </w:p>
        </w:tc>
      </w:tr>
      <w:tr w:rsidR="00721F4B" w:rsidTr="002F590C">
        <w:tc>
          <w:tcPr>
            <w:tcW w:w="1368" w:type="dxa"/>
          </w:tcPr>
          <w:p w:rsidR="00721F4B" w:rsidRPr="00BA693E" w:rsidRDefault="009B2870" w:rsidP="002F590C">
            <w:pPr>
              <w:pStyle w:val="ToolTableText"/>
              <w:rPr>
                <w:b/>
              </w:rPr>
            </w:pPr>
            <w:r>
              <w:t>Tone</w:t>
            </w:r>
          </w:p>
        </w:tc>
        <w:tc>
          <w:tcPr>
            <w:tcW w:w="3240" w:type="dxa"/>
          </w:tcPr>
          <w:p w:rsidR="003F1E3C" w:rsidRDefault="003F1E3C" w:rsidP="002F590C">
            <w:pPr>
              <w:pStyle w:val="ToolTableText"/>
            </w:pPr>
            <w:r>
              <w:t>The setting contrasts with the gravediggers’ light tone.</w:t>
            </w:r>
          </w:p>
          <w:p w:rsidR="003F1E3C" w:rsidRDefault="003F1E3C" w:rsidP="002F590C">
            <w:pPr>
              <w:pStyle w:val="ToolTableText"/>
            </w:pPr>
          </w:p>
          <w:p w:rsidR="003F1E3C" w:rsidRDefault="003F1E3C" w:rsidP="002F590C">
            <w:pPr>
              <w:pStyle w:val="ToolTableText"/>
            </w:pPr>
            <w:r>
              <w:t>The setting supports the sorrowful tone of the mourners.</w:t>
            </w:r>
          </w:p>
          <w:p w:rsidR="00163A87" w:rsidRDefault="00163A87" w:rsidP="002F590C">
            <w:pPr>
              <w:pStyle w:val="ToolTableText"/>
            </w:pPr>
          </w:p>
          <w:p w:rsidR="00163A87" w:rsidRDefault="00163A87" w:rsidP="002F590C">
            <w:pPr>
              <w:pStyle w:val="ToolTableText"/>
            </w:pPr>
          </w:p>
          <w:p w:rsidR="00163A87" w:rsidRDefault="00163A87" w:rsidP="002F590C">
            <w:pPr>
              <w:pStyle w:val="ToolTableText"/>
            </w:pPr>
          </w:p>
          <w:p w:rsidR="00721F4B" w:rsidRDefault="003F1E3C" w:rsidP="002F590C">
            <w:pPr>
              <w:pStyle w:val="ToolTableText"/>
            </w:pPr>
            <w:r>
              <w:t>The setting makes the angry words between Hamlet and Laertes inappropriate.</w:t>
            </w:r>
          </w:p>
        </w:tc>
        <w:tc>
          <w:tcPr>
            <w:tcW w:w="4860" w:type="dxa"/>
          </w:tcPr>
          <w:p w:rsidR="00721F4B" w:rsidRDefault="00721F4B" w:rsidP="002F590C">
            <w:pPr>
              <w:pStyle w:val="ToolTableText"/>
            </w:pPr>
            <w:r>
              <w:t xml:space="preserve"> </w:t>
            </w:r>
            <w:r w:rsidR="003F1E3C">
              <w:t>“What is he that builds s</w:t>
            </w:r>
            <w:r w:rsidR="00671E90">
              <w:t>tronger than / either the mason…</w:t>
            </w:r>
            <w:r w:rsidR="00595804">
              <w:t xml:space="preserve">Go, get thee in, and </w:t>
            </w:r>
            <w:r w:rsidR="003F1E3C">
              <w:t>f</w:t>
            </w:r>
            <w:r w:rsidR="00FC1897">
              <w:t>etch me a / stoup of liquor.” (l</w:t>
            </w:r>
            <w:r w:rsidR="003F1E3C">
              <w:t>ines 42</w:t>
            </w:r>
            <w:r w:rsidR="00671E90">
              <w:t>–</w:t>
            </w:r>
            <w:r w:rsidR="003F1E3C">
              <w:t>62)</w:t>
            </w:r>
          </w:p>
          <w:p w:rsidR="003F1E3C" w:rsidRDefault="003F1E3C" w:rsidP="002F590C">
            <w:pPr>
              <w:pStyle w:val="ToolTableText"/>
            </w:pPr>
            <w:r>
              <w:t>“Sweets to the sweet, farewell!</w:t>
            </w:r>
            <w:r w:rsidR="00595804">
              <w:t xml:space="preserve"> / I hoped thou </w:t>
            </w:r>
            <w:proofErr w:type="spellStart"/>
            <w:r w:rsidR="00595804">
              <w:t>shouldst</w:t>
            </w:r>
            <w:proofErr w:type="spellEnd"/>
            <w:r w:rsidR="00671E90">
              <w:t>…</w:t>
            </w:r>
            <w:r>
              <w:t xml:space="preserve">T’ o’er top old Pelion of the </w:t>
            </w:r>
            <w:proofErr w:type="spellStart"/>
            <w:r>
              <w:t>skyi</w:t>
            </w:r>
            <w:r w:rsidR="00FC1897">
              <w:t>sh</w:t>
            </w:r>
            <w:proofErr w:type="spellEnd"/>
            <w:r w:rsidR="00FC1897">
              <w:t xml:space="preserve"> head / Of blue Olympus.” (line</w:t>
            </w:r>
            <w:r>
              <w:t>s 254</w:t>
            </w:r>
            <w:r w:rsidR="00FC1897">
              <w:t>–</w:t>
            </w:r>
            <w:r>
              <w:t>266)</w:t>
            </w:r>
          </w:p>
          <w:p w:rsidR="003F1E3C" w:rsidRDefault="003F1E3C" w:rsidP="002F590C">
            <w:pPr>
              <w:pStyle w:val="ToolTableText"/>
            </w:pPr>
            <w:r>
              <w:t>“I loved Ophelia</w:t>
            </w:r>
            <w:r w:rsidR="00FC1897">
              <w:t>…</w:t>
            </w:r>
            <w:r w:rsidR="00163A87">
              <w:t>I’ll rant as well as thou.” (</w:t>
            </w:r>
            <w:r w:rsidR="00FC1897">
              <w:t>l</w:t>
            </w:r>
            <w:r w:rsidR="00163A87">
              <w:t>i</w:t>
            </w:r>
            <w:r w:rsidR="00595804">
              <w:t>n</w:t>
            </w:r>
            <w:r w:rsidR="00163A87">
              <w:t>es 285</w:t>
            </w:r>
            <w:r w:rsidR="00FC1897">
              <w:t>–</w:t>
            </w:r>
            <w:r w:rsidR="00163A87">
              <w:t>301)</w:t>
            </w:r>
          </w:p>
          <w:p w:rsidR="00671E90" w:rsidRDefault="00671E90" w:rsidP="002F590C">
            <w:pPr>
              <w:pStyle w:val="ToolTableText"/>
            </w:pPr>
          </w:p>
          <w:p w:rsidR="00163A87" w:rsidRDefault="00671E90" w:rsidP="00FC1897">
            <w:pPr>
              <w:pStyle w:val="ToolTableText"/>
            </w:pPr>
            <w:r>
              <w:t>“The devil take th</w:t>
            </w:r>
            <w:r w:rsidR="00163A87">
              <w:t>y soul</w:t>
            </w:r>
            <w:proofErr w:type="gramStart"/>
            <w:r w:rsidR="00FC1897">
              <w:t>!...</w:t>
            </w:r>
            <w:proofErr w:type="gramEnd"/>
            <w:r w:rsidR="00163A87">
              <w:t>I’ll rant as well as thou.”  (272</w:t>
            </w:r>
            <w:r w:rsidR="00FC1897">
              <w:t>–</w:t>
            </w:r>
            <w:r w:rsidR="00163A87">
              <w:t>301)</w:t>
            </w:r>
          </w:p>
        </w:tc>
      </w:tr>
      <w:tr w:rsidR="00DD08DC" w:rsidTr="002F590C">
        <w:tc>
          <w:tcPr>
            <w:tcW w:w="1368" w:type="dxa"/>
          </w:tcPr>
          <w:p w:rsidR="00DD08DC" w:rsidRDefault="00DD08DC" w:rsidP="002F590C">
            <w:pPr>
              <w:pStyle w:val="ToolTableText"/>
              <w:rPr>
                <w:b/>
              </w:rPr>
            </w:pPr>
            <w:r>
              <w:t>Central Idea</w:t>
            </w:r>
          </w:p>
        </w:tc>
        <w:tc>
          <w:tcPr>
            <w:tcW w:w="3240" w:type="dxa"/>
          </w:tcPr>
          <w:p w:rsidR="00DD08DC" w:rsidRDefault="00DE07B7" w:rsidP="002F590C">
            <w:pPr>
              <w:pStyle w:val="ToolTableText"/>
            </w:pPr>
            <w:r>
              <w:t>The gravediggers see mortality as a regular part of their day.</w:t>
            </w:r>
          </w:p>
          <w:p w:rsidR="00DE07B7" w:rsidRDefault="00DE07B7" w:rsidP="002F590C">
            <w:pPr>
              <w:pStyle w:val="ToolTableText"/>
            </w:pPr>
          </w:p>
          <w:p w:rsidR="00DE07B7" w:rsidRDefault="006C6E2A" w:rsidP="002F590C">
            <w:pPr>
              <w:pStyle w:val="ToolTableText"/>
            </w:pPr>
            <w:r>
              <w:t>Gertrude, Laertes</w:t>
            </w:r>
            <w:proofErr w:type="gramStart"/>
            <w:r w:rsidR="003F52A3">
              <w:t xml:space="preserve">, </w:t>
            </w:r>
            <w:r>
              <w:t xml:space="preserve"> and</w:t>
            </w:r>
            <w:proofErr w:type="gramEnd"/>
            <w:r>
              <w:t xml:space="preserve"> Hamlet mourn for Ophelia’s mortality.</w:t>
            </w:r>
          </w:p>
          <w:p w:rsidR="006C6E2A" w:rsidRDefault="006C6E2A" w:rsidP="002F590C">
            <w:pPr>
              <w:pStyle w:val="ToolTableText"/>
            </w:pPr>
          </w:p>
          <w:p w:rsidR="00163A87" w:rsidRDefault="00163A87" w:rsidP="002F590C">
            <w:pPr>
              <w:pStyle w:val="ToolTableText"/>
            </w:pPr>
          </w:p>
          <w:p w:rsidR="00163A87" w:rsidRDefault="00163A87" w:rsidP="002F590C">
            <w:pPr>
              <w:pStyle w:val="ToolTableText"/>
            </w:pPr>
          </w:p>
          <w:p w:rsidR="00FC1897" w:rsidRDefault="00FC1897" w:rsidP="002F590C">
            <w:pPr>
              <w:pStyle w:val="ToolTableText"/>
            </w:pPr>
          </w:p>
          <w:p w:rsidR="006C6E2A" w:rsidRDefault="00053DD1" w:rsidP="002F590C">
            <w:pPr>
              <w:pStyle w:val="ToolTableText"/>
            </w:pPr>
            <w:r>
              <w:t>Laertes</w:t>
            </w:r>
            <w:r w:rsidR="00163A87">
              <w:t>’</w:t>
            </w:r>
            <w:r w:rsidR="00657720">
              <w:t>s</w:t>
            </w:r>
            <w:r w:rsidR="00163A87">
              <w:t xml:space="preserve"> anger at the graveside emphasizes his desire for r</w:t>
            </w:r>
            <w:r w:rsidR="006C6E2A">
              <w:t>evenge</w:t>
            </w:r>
            <w:r w:rsidR="00163A87">
              <w:t>.</w:t>
            </w:r>
          </w:p>
          <w:p w:rsidR="006C6E2A" w:rsidRDefault="006C6E2A" w:rsidP="002F590C">
            <w:pPr>
              <w:pStyle w:val="ToolTableText"/>
            </w:pPr>
          </w:p>
          <w:p w:rsidR="006C6E2A" w:rsidRDefault="006C6E2A" w:rsidP="002F590C">
            <w:pPr>
              <w:pStyle w:val="ToolTableText"/>
            </w:pPr>
          </w:p>
        </w:tc>
        <w:tc>
          <w:tcPr>
            <w:tcW w:w="4860" w:type="dxa"/>
          </w:tcPr>
          <w:p w:rsidR="00DD08DC" w:rsidRDefault="00163A87" w:rsidP="002F590C">
            <w:pPr>
              <w:pStyle w:val="ToolTableText"/>
            </w:pPr>
            <w:r>
              <w:t>“Custom hath made it in him a property of easiness.”  (</w:t>
            </w:r>
            <w:r w:rsidR="00053DD1">
              <w:t>lines</w:t>
            </w:r>
            <w:r>
              <w:t xml:space="preserve"> 69</w:t>
            </w:r>
            <w:r w:rsidR="00FC1897">
              <w:t>–</w:t>
            </w:r>
            <w:r>
              <w:t>70)</w:t>
            </w:r>
          </w:p>
          <w:p w:rsidR="00163A87" w:rsidRDefault="00163A87" w:rsidP="002F590C">
            <w:pPr>
              <w:pStyle w:val="ToolTableText"/>
            </w:pPr>
          </w:p>
          <w:p w:rsidR="00163A87" w:rsidRDefault="00163A87" w:rsidP="002F590C">
            <w:pPr>
              <w:pStyle w:val="ToolTableText"/>
            </w:pPr>
            <w:r>
              <w:t xml:space="preserve">“Sweets to the sweet, </w:t>
            </w:r>
            <w:r w:rsidR="00FC1897">
              <w:t>farewell</w:t>
            </w:r>
            <w:proofErr w:type="gramStart"/>
            <w:r w:rsidR="00FC1897">
              <w:t>!...</w:t>
            </w:r>
            <w:proofErr w:type="gramEnd"/>
            <w:r>
              <w:t xml:space="preserve">T’ o’er top old Pelion of the </w:t>
            </w:r>
            <w:proofErr w:type="spellStart"/>
            <w:r>
              <w:t>skyish</w:t>
            </w:r>
            <w:proofErr w:type="spellEnd"/>
            <w:r>
              <w:t xml:space="preserve"> head / Of blue Olympus.” (li</w:t>
            </w:r>
            <w:r w:rsidR="002E7754">
              <w:t>n</w:t>
            </w:r>
            <w:r>
              <w:t>es 254</w:t>
            </w:r>
            <w:r w:rsidR="00FC1897">
              <w:t>–</w:t>
            </w:r>
            <w:r>
              <w:t>266)</w:t>
            </w:r>
          </w:p>
          <w:p w:rsidR="00163A87" w:rsidRDefault="00163A87" w:rsidP="002F590C">
            <w:pPr>
              <w:pStyle w:val="ToolTableText"/>
            </w:pPr>
            <w:r>
              <w:t>“I loved Ophelia</w:t>
            </w:r>
            <w:r w:rsidR="00595804">
              <w:t>. Forty thousand brothers</w:t>
            </w:r>
            <w:r w:rsidR="003F52A3">
              <w:t xml:space="preserve"> </w:t>
            </w:r>
            <w:r w:rsidR="00595804">
              <w:t xml:space="preserve">/ could not / With all their quantity of love / </w:t>
            </w:r>
            <w:r>
              <w:t>Make up my sum.” (</w:t>
            </w:r>
            <w:r w:rsidR="00FC1897">
              <w:t>l</w:t>
            </w:r>
            <w:r>
              <w:t>ines 285</w:t>
            </w:r>
            <w:r w:rsidR="00FC1897">
              <w:t>–</w:t>
            </w:r>
            <w:r>
              <w:t>287)</w:t>
            </w:r>
          </w:p>
          <w:p w:rsidR="00163A87" w:rsidRDefault="00163A87" w:rsidP="002F590C">
            <w:pPr>
              <w:pStyle w:val="ToolTableText"/>
            </w:pPr>
          </w:p>
          <w:p w:rsidR="00163A87" w:rsidRDefault="00163A87" w:rsidP="002F590C">
            <w:pPr>
              <w:pStyle w:val="ToolTableText"/>
            </w:pPr>
            <w:r>
              <w:t>“O, treble woe / Fall ten times treble</w:t>
            </w:r>
            <w:r w:rsidR="00FC1897">
              <w:t>…</w:t>
            </w:r>
            <w:r w:rsidR="00595804">
              <w:t xml:space="preserve">thy most ingenious sense / </w:t>
            </w:r>
            <w:r>
              <w:t>Deprived thee of.</w:t>
            </w:r>
            <w:r w:rsidR="002E7754">
              <w:t>” (lines 258</w:t>
            </w:r>
            <w:r w:rsidR="00FC1897">
              <w:t>–</w:t>
            </w:r>
            <w:r w:rsidR="002E7754">
              <w:t xml:space="preserve">261)  </w:t>
            </w:r>
          </w:p>
          <w:p w:rsidR="00163A87" w:rsidRDefault="00FC1897" w:rsidP="00D4448B">
            <w:pPr>
              <w:pStyle w:val="ToolTableText"/>
            </w:pPr>
            <w:r>
              <w:t>“The devil take thy soul!</w:t>
            </w:r>
            <w:r w:rsidR="002E7754">
              <w:t>” (line 272)</w:t>
            </w:r>
          </w:p>
          <w:p w:rsidR="002E7754" w:rsidRDefault="002E7754" w:rsidP="002F590C">
            <w:pPr>
              <w:pStyle w:val="ToolTableText"/>
            </w:pPr>
          </w:p>
        </w:tc>
      </w:tr>
    </w:tbl>
    <w:p w:rsidR="0059429C" w:rsidRPr="00972F9F" w:rsidRDefault="0059429C" w:rsidP="00E15D0F">
      <w:pPr>
        <w:pStyle w:val="SASRBullet"/>
        <w:numPr>
          <w:ilvl w:val="0"/>
          <w:numId w:val="0"/>
        </w:numPr>
      </w:pPr>
    </w:p>
    <w:sectPr w:rsidR="0059429C" w:rsidRPr="00972F9F" w:rsidSect="004713C2">
      <w:headerReference w:type="default" r:id="rId10"/>
      <w:footerReference w:type="even" r:id="rId11"/>
      <w:footerReference w:type="default" r:id="rId12"/>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F8B" w:rsidRDefault="00EE7F8B" w:rsidP="00E946A0">
      <w:r>
        <w:separator/>
      </w:r>
    </w:p>
    <w:p w:rsidR="00EE7F8B" w:rsidRDefault="00EE7F8B" w:rsidP="00E946A0"/>
  </w:endnote>
  <w:endnote w:type="continuationSeparator" w:id="0">
    <w:p w:rsidR="00EE7F8B" w:rsidRDefault="00EE7F8B" w:rsidP="00E946A0">
      <w:r>
        <w:continuationSeparator/>
      </w:r>
    </w:p>
    <w:p w:rsidR="00EE7F8B" w:rsidRDefault="00EE7F8B"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202CE724-5C42-458A-BC1A-6EAF337C96F5}"/>
  </w:font>
  <w:font w:name="Times New Roman">
    <w:panose1 w:val="02020603050405020304"/>
    <w:charset w:val="00"/>
    <w:family w:val="roman"/>
    <w:pitch w:val="variable"/>
    <w:sig w:usb0="E0002AFF" w:usb1="C0007841" w:usb2="00000009" w:usb3="00000000" w:csb0="000001FF" w:csb1="00000000"/>
    <w:embedRegular r:id="rId2" w:subsetted="1" w:fontKey="{50853B86-DC2F-4DDE-973A-6A0D4EC0833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809BF70E-8ADD-4C22-A31C-A96FB7A4D4FB}"/>
    <w:embedBold r:id="rId4" w:fontKey="{C68F4BE8-BE4C-4211-9156-8D349FEF9A32}"/>
    <w:embedItalic r:id="rId5" w:fontKey="{86D627E3-680E-4D68-949E-0372697E0B9D}"/>
    <w:embedBoldItalic r:id="rId6" w:fontKey="{87708A8A-AF3B-41B5-8705-ABC0BB0D984F}"/>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E90" w:rsidRDefault="00E950C8" w:rsidP="00E946A0">
    <w:pPr>
      <w:pStyle w:val="Footer"/>
      <w:rPr>
        <w:rStyle w:val="PageNumber"/>
      </w:rPr>
    </w:pPr>
    <w:r>
      <w:rPr>
        <w:rStyle w:val="PageNumber"/>
      </w:rPr>
      <w:fldChar w:fldCharType="begin"/>
    </w:r>
    <w:r w:rsidR="00671E90">
      <w:rPr>
        <w:rStyle w:val="PageNumber"/>
      </w:rPr>
      <w:instrText xml:space="preserve">PAGE  </w:instrText>
    </w:r>
    <w:r>
      <w:rPr>
        <w:rStyle w:val="PageNumber"/>
      </w:rPr>
      <w:fldChar w:fldCharType="separate"/>
    </w:r>
    <w:r w:rsidR="00A0764E">
      <w:rPr>
        <w:rStyle w:val="PageNumber"/>
        <w:noProof/>
      </w:rPr>
      <w:t>1</w:t>
    </w:r>
    <w:r>
      <w:rPr>
        <w:rStyle w:val="PageNumber"/>
      </w:rPr>
      <w:fldChar w:fldCharType="end"/>
    </w:r>
  </w:p>
  <w:p w:rsidR="00671E90" w:rsidRDefault="00671E90" w:rsidP="00E946A0">
    <w:pPr>
      <w:pStyle w:val="Footer"/>
    </w:pPr>
  </w:p>
  <w:p w:rsidR="00671E90" w:rsidRDefault="00671E90" w:rsidP="00E946A0"/>
  <w:p w:rsidR="00671E90" w:rsidRDefault="00671E90"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E90" w:rsidRPr="00563CB8" w:rsidRDefault="00671E90" w:rsidP="00C9452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3"/>
      <w:gridCol w:w="611"/>
      <w:gridCol w:w="4249"/>
    </w:tblGrid>
    <w:tr w:rsidR="00671E90" w:rsidTr="0045794F">
      <w:trPr>
        <w:trHeight w:val="705"/>
      </w:trPr>
      <w:tc>
        <w:tcPr>
          <w:tcW w:w="4609" w:type="dxa"/>
          <w:shd w:val="clear" w:color="auto" w:fill="auto"/>
          <w:vAlign w:val="center"/>
        </w:tcPr>
        <w:p w:rsidR="00671E90" w:rsidRPr="002E4C92" w:rsidRDefault="00671E90" w:rsidP="0045794F">
          <w:pPr>
            <w:pStyle w:val="FooterText"/>
          </w:pPr>
          <w:r w:rsidRPr="002E4C92">
            <w:t>File:</w:t>
          </w:r>
          <w:r>
            <w:t xml:space="preserve"> </w:t>
          </w:r>
          <w:r w:rsidRPr="002D04EB">
            <w:rPr>
              <w:b w:val="0"/>
            </w:rPr>
            <w:t>11</w:t>
          </w:r>
          <w:r w:rsidRPr="0039525B">
            <w:rPr>
              <w:b w:val="0"/>
            </w:rPr>
            <w:t>.</w:t>
          </w:r>
          <w:r>
            <w:rPr>
              <w:b w:val="0"/>
            </w:rPr>
            <w:t>1</w:t>
          </w:r>
          <w:r w:rsidRPr="0039525B">
            <w:rPr>
              <w:b w:val="0"/>
            </w:rPr>
            <w:t>.</w:t>
          </w:r>
          <w:r>
            <w:rPr>
              <w:b w:val="0"/>
            </w:rPr>
            <w:t>2</w:t>
          </w:r>
          <w:r w:rsidRPr="0039525B">
            <w:rPr>
              <w:b w:val="0"/>
            </w:rPr>
            <w:t xml:space="preserve"> Lesson </w:t>
          </w:r>
          <w:r>
            <w:rPr>
              <w:b w:val="0"/>
            </w:rPr>
            <w:t>20</w:t>
          </w:r>
          <w:r w:rsidRPr="002E4C92">
            <w:t xml:space="preserve"> Date:</w:t>
          </w:r>
          <w:r w:rsidRPr="0039525B">
            <w:rPr>
              <w:b w:val="0"/>
            </w:rPr>
            <w:t xml:space="preserve"> </w:t>
          </w:r>
          <w:r w:rsidR="00150A12">
            <w:rPr>
              <w:b w:val="0"/>
            </w:rPr>
            <w:t>2/7</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2</w:t>
          </w:r>
          <w:r w:rsidRPr="0039525B">
            <w:rPr>
              <w:b w:val="0"/>
            </w:rPr>
            <w:t>/201</w:t>
          </w:r>
          <w:r>
            <w:rPr>
              <w:b w:val="0"/>
            </w:rPr>
            <w:t>4</w:t>
          </w:r>
          <w:r w:rsidRPr="0039525B">
            <w:rPr>
              <w:b w:val="0"/>
            </w:rPr>
            <w:t xml:space="preserve"> </w:t>
          </w:r>
        </w:p>
        <w:p w:rsidR="00671E90" w:rsidRPr="0039525B" w:rsidRDefault="00671E90" w:rsidP="0045794F">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671E90" w:rsidRPr="0039525B" w:rsidRDefault="00671E90" w:rsidP="0045794F">
          <w:pPr>
            <w:pStyle w:val="FooterText"/>
            <w:rPr>
              <w:b w:val="0"/>
              <w:i/>
            </w:rPr>
          </w:pPr>
          <w:r w:rsidRPr="0039525B">
            <w:rPr>
              <w:b w:val="0"/>
              <w:i/>
              <w:sz w:val="12"/>
            </w:rPr>
            <w:t>Creative Commons Attribution-</w:t>
          </w:r>
          <w:proofErr w:type="spellStart"/>
          <w:r w:rsidRPr="0039525B">
            <w:rPr>
              <w:b w:val="0"/>
              <w:i/>
              <w:sz w:val="12"/>
            </w:rPr>
            <w:t>NonCommercial</w:t>
          </w:r>
          <w:proofErr w:type="spellEnd"/>
          <w:r w:rsidRPr="0039525B">
            <w:rPr>
              <w:b w:val="0"/>
              <w:i/>
              <w:sz w:val="12"/>
            </w:rPr>
            <w:t>-</w:t>
          </w:r>
          <w:proofErr w:type="spellStart"/>
          <w:r w:rsidRPr="0039525B">
            <w:rPr>
              <w:b w:val="0"/>
              <w:i/>
              <w:sz w:val="12"/>
            </w:rPr>
            <w:t>ShareAlike</w:t>
          </w:r>
          <w:proofErr w:type="spellEnd"/>
          <w:r w:rsidRPr="0039525B">
            <w:rPr>
              <w:b w:val="0"/>
              <w:i/>
              <w:sz w:val="12"/>
            </w:rPr>
            <w:t xml:space="preserve"> 3.0 </w:t>
          </w:r>
          <w:proofErr w:type="spellStart"/>
          <w:r w:rsidRPr="0039525B">
            <w:rPr>
              <w:b w:val="0"/>
              <w:i/>
              <w:sz w:val="12"/>
            </w:rPr>
            <w:t>Unported</w:t>
          </w:r>
          <w:proofErr w:type="spellEnd"/>
          <w:r w:rsidRPr="0039525B">
            <w:rPr>
              <w:b w:val="0"/>
              <w:i/>
              <w:sz w:val="12"/>
            </w:rPr>
            <w:t xml:space="preserve"> License</w:t>
          </w:r>
        </w:p>
        <w:p w:rsidR="00671E90" w:rsidRPr="002E4C92" w:rsidRDefault="00566319" w:rsidP="0045794F">
          <w:pPr>
            <w:pStyle w:val="FooterText"/>
          </w:pPr>
          <w:hyperlink r:id="rId1" w:history="1">
            <w:r w:rsidR="00671E90"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671E90" w:rsidRPr="002E4C92" w:rsidRDefault="00E950C8" w:rsidP="0045794F">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671E90"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566319">
            <w:rPr>
              <w:rFonts w:ascii="Calibri" w:hAnsi="Calibri" w:cs="Calibri"/>
              <w:b/>
              <w:noProof/>
              <w:color w:val="1F4E79"/>
              <w:sz w:val="28"/>
            </w:rPr>
            <w:t>10</w:t>
          </w:r>
          <w:r w:rsidRPr="002E4C92">
            <w:rPr>
              <w:rFonts w:ascii="Calibri" w:hAnsi="Calibri" w:cs="Calibri"/>
              <w:b/>
              <w:color w:val="1F4E79"/>
              <w:sz w:val="28"/>
            </w:rPr>
            <w:fldChar w:fldCharType="end"/>
          </w:r>
        </w:p>
      </w:tc>
      <w:tc>
        <w:tcPr>
          <w:tcW w:w="4325" w:type="dxa"/>
          <w:shd w:val="clear" w:color="auto" w:fill="auto"/>
          <w:vAlign w:val="bottom"/>
        </w:tcPr>
        <w:p w:rsidR="00671E90" w:rsidRPr="002E4C92" w:rsidRDefault="00671E90" w:rsidP="0045794F">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8"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671E90" w:rsidRPr="0039525B" w:rsidRDefault="00671E90" w:rsidP="00C94529">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F8B" w:rsidRDefault="00EE7F8B" w:rsidP="00E946A0">
      <w:r>
        <w:separator/>
      </w:r>
    </w:p>
    <w:p w:rsidR="00EE7F8B" w:rsidRDefault="00EE7F8B" w:rsidP="00E946A0"/>
  </w:footnote>
  <w:footnote w:type="continuationSeparator" w:id="0">
    <w:p w:rsidR="00EE7F8B" w:rsidRDefault="00EE7F8B" w:rsidP="00E946A0">
      <w:r>
        <w:continuationSeparator/>
      </w:r>
    </w:p>
    <w:p w:rsidR="00EE7F8B" w:rsidRDefault="00EE7F8B"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671E90" w:rsidRPr="00563CB8" w:rsidTr="00E946A0">
      <w:tc>
        <w:tcPr>
          <w:tcW w:w="3708" w:type="dxa"/>
        </w:tcPr>
        <w:p w:rsidR="00671E90" w:rsidRPr="00563CB8" w:rsidRDefault="00671E90" w:rsidP="00E946A0">
          <w:pPr>
            <w:pStyle w:val="PageHeader"/>
          </w:pPr>
          <w:r w:rsidRPr="00563CB8">
            <w:t xml:space="preserve">NYS </w:t>
          </w:r>
          <w:r w:rsidRPr="00E946A0">
            <w:t>Common</w:t>
          </w:r>
          <w:r w:rsidRPr="00563CB8">
            <w:t xml:space="preserve"> Core ELA &amp; Literacy Curriculum</w:t>
          </w:r>
        </w:p>
      </w:tc>
      <w:tc>
        <w:tcPr>
          <w:tcW w:w="2430" w:type="dxa"/>
          <w:vAlign w:val="center"/>
        </w:tcPr>
        <w:p w:rsidR="00671E90" w:rsidRPr="00563CB8" w:rsidRDefault="00671E90" w:rsidP="00E946A0">
          <w:pPr>
            <w:jc w:val="center"/>
          </w:pPr>
          <w:r w:rsidRPr="00563CB8">
            <w:t>D R A F T</w:t>
          </w:r>
        </w:p>
      </w:tc>
      <w:tc>
        <w:tcPr>
          <w:tcW w:w="3438" w:type="dxa"/>
        </w:tcPr>
        <w:p w:rsidR="00671E90" w:rsidRPr="00E946A0" w:rsidRDefault="00671E90" w:rsidP="00C94529">
          <w:pPr>
            <w:pStyle w:val="PageHeader"/>
            <w:jc w:val="right"/>
            <w:rPr>
              <w:b w:val="0"/>
            </w:rPr>
          </w:pPr>
          <w:r>
            <w:rPr>
              <w:b w:val="0"/>
            </w:rPr>
            <w:t>Grade 11 • Module 1</w:t>
          </w:r>
          <w:r w:rsidRPr="00E946A0">
            <w:rPr>
              <w:b w:val="0"/>
            </w:rPr>
            <w:t xml:space="preserve"> • Unit </w:t>
          </w:r>
          <w:r>
            <w:rPr>
              <w:b w:val="0"/>
            </w:rPr>
            <w:t>2 • Lesson 20</w:t>
          </w:r>
        </w:p>
      </w:tc>
    </w:tr>
  </w:tbl>
  <w:p w:rsidR="00671E90" w:rsidRDefault="00671E90" w:rsidP="002F59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21A0505C">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9D6F1E"/>
    <w:multiLevelType w:val="hybridMultilevel"/>
    <w:tmpl w:val="5C000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94403F"/>
    <w:multiLevelType w:val="hybridMultilevel"/>
    <w:tmpl w:val="C7F8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8C3417"/>
    <w:multiLevelType w:val="hybridMultilevel"/>
    <w:tmpl w:val="EC38C6D8"/>
    <w:lvl w:ilvl="0" w:tplc="F6EC464E">
      <w:start w:val="1"/>
      <w:numFmt w:val="decimal"/>
      <w:lvlText w:val="%1."/>
      <w:lvlJc w:val="left"/>
      <w:pPr>
        <w:ind w:left="360" w:hanging="360"/>
      </w:pPr>
      <w:rPr>
        <w:rFonts w:cs="Times New Roman" w:hint="default"/>
        <w:sz w:val="22"/>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9F364EC"/>
    <w:multiLevelType w:val="hybridMultilevel"/>
    <w:tmpl w:val="74FEA44E"/>
    <w:lvl w:ilvl="0" w:tplc="201AFA8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1C2433"/>
    <w:multiLevelType w:val="hybridMultilevel"/>
    <w:tmpl w:val="51CC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D0474B"/>
    <w:multiLevelType w:val="hybridMultilevel"/>
    <w:tmpl w:val="9984C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4939C6"/>
    <w:multiLevelType w:val="hybridMultilevel"/>
    <w:tmpl w:val="E73C6760"/>
    <w:lvl w:ilvl="0" w:tplc="24D8E810">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471EE8"/>
    <w:multiLevelType w:val="hybridMultilevel"/>
    <w:tmpl w:val="DBEC9F90"/>
    <w:lvl w:ilvl="0" w:tplc="0409000F">
      <w:start w:val="1"/>
      <w:numFmt w:val="decimal"/>
      <w:lvlText w:val="%1."/>
      <w:lvlJc w:val="left"/>
      <w:pPr>
        <w:ind w:left="360" w:hanging="360"/>
      </w:pPr>
      <w:rPr>
        <w:rFonts w:cs="Times New Roman" w:hint="default"/>
        <w:color w:val="3B3B3A"/>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CB34FA9"/>
    <w:multiLevelType w:val="hybridMultilevel"/>
    <w:tmpl w:val="079E7E3C"/>
    <w:lvl w:ilvl="0" w:tplc="8E9A3730">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9D40A2"/>
    <w:multiLevelType w:val="hybridMultilevel"/>
    <w:tmpl w:val="8FFC2A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0"/>
  </w:num>
  <w:num w:numId="4">
    <w:abstractNumId w:val="5"/>
    <w:lvlOverride w:ilvl="0">
      <w:startOverride w:val="1"/>
    </w:lvlOverride>
  </w:num>
  <w:num w:numId="5">
    <w:abstractNumId w:val="10"/>
  </w:num>
  <w:num w:numId="6">
    <w:abstractNumId w:val="13"/>
  </w:num>
  <w:num w:numId="7">
    <w:abstractNumId w:val="12"/>
  </w:num>
  <w:num w:numId="8">
    <w:abstractNumId w:val="7"/>
  </w:num>
  <w:num w:numId="9">
    <w:abstractNumId w:val="3"/>
  </w:num>
  <w:num w:numId="10">
    <w:abstractNumId w:val="11"/>
  </w:num>
  <w:num w:numId="11">
    <w:abstractNumId w:val="4"/>
  </w:num>
  <w:num w:numId="12">
    <w:abstractNumId w:val="9"/>
  </w:num>
  <w:num w:numId="13">
    <w:abstractNumId w:val="0"/>
  </w:num>
  <w:num w:numId="14">
    <w:abstractNumId w:val="12"/>
  </w:num>
  <w:num w:numId="15">
    <w:abstractNumId w:val="5"/>
    <w:lvlOverride w:ilvl="0">
      <w:startOverride w:val="1"/>
    </w:lvlOverride>
  </w:num>
  <w:num w:numId="16">
    <w:abstractNumId w:val="13"/>
  </w:num>
  <w:num w:numId="17">
    <w:abstractNumId w:val="2"/>
  </w:num>
  <w:num w:numId="18">
    <w:abstractNumId w:val="10"/>
  </w:num>
  <w:num w:numId="19">
    <w:abstractNumId w:val="8"/>
  </w:num>
  <w:num w:numId="20">
    <w:abstractNumId w:val="1"/>
  </w:num>
  <w:num w:numId="21">
    <w:abstractNumId w:val="6"/>
  </w:num>
  <w:num w:numId="22">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66F5"/>
    <w:rsid w:val="000070D8"/>
    <w:rsid w:val="00007CBA"/>
    <w:rsid w:val="00007F67"/>
    <w:rsid w:val="00011E99"/>
    <w:rsid w:val="000134DA"/>
    <w:rsid w:val="000137C5"/>
    <w:rsid w:val="00013DBF"/>
    <w:rsid w:val="00014756"/>
    <w:rsid w:val="00014D5D"/>
    <w:rsid w:val="000178C5"/>
    <w:rsid w:val="00020527"/>
    <w:rsid w:val="00021589"/>
    <w:rsid w:val="00030B70"/>
    <w:rsid w:val="00031295"/>
    <w:rsid w:val="00031751"/>
    <w:rsid w:val="00034778"/>
    <w:rsid w:val="00034D5D"/>
    <w:rsid w:val="00035AC4"/>
    <w:rsid w:val="000436AB"/>
    <w:rsid w:val="00052463"/>
    <w:rsid w:val="00053088"/>
    <w:rsid w:val="00053DD1"/>
    <w:rsid w:val="000541B2"/>
    <w:rsid w:val="00061470"/>
    <w:rsid w:val="0006171F"/>
    <w:rsid w:val="00062291"/>
    <w:rsid w:val="0006233C"/>
    <w:rsid w:val="00064850"/>
    <w:rsid w:val="00066123"/>
    <w:rsid w:val="00067344"/>
    <w:rsid w:val="0006776C"/>
    <w:rsid w:val="00071936"/>
    <w:rsid w:val="00072749"/>
    <w:rsid w:val="000742AA"/>
    <w:rsid w:val="00074886"/>
    <w:rsid w:val="00075649"/>
    <w:rsid w:val="0007686C"/>
    <w:rsid w:val="00080A8A"/>
    <w:rsid w:val="000827D5"/>
    <w:rsid w:val="000848B2"/>
    <w:rsid w:val="00086A06"/>
    <w:rsid w:val="00090200"/>
    <w:rsid w:val="00090AE0"/>
    <w:rsid w:val="00092332"/>
    <w:rsid w:val="00092730"/>
    <w:rsid w:val="00092C82"/>
    <w:rsid w:val="00095BBA"/>
    <w:rsid w:val="00096A06"/>
    <w:rsid w:val="000A1206"/>
    <w:rsid w:val="000A26A7"/>
    <w:rsid w:val="000A3640"/>
    <w:rsid w:val="000A3DE2"/>
    <w:rsid w:val="000A5080"/>
    <w:rsid w:val="000A67FB"/>
    <w:rsid w:val="000B1882"/>
    <w:rsid w:val="000B2D56"/>
    <w:rsid w:val="000B3015"/>
    <w:rsid w:val="000B3836"/>
    <w:rsid w:val="000B5118"/>
    <w:rsid w:val="000B6EA7"/>
    <w:rsid w:val="000C0112"/>
    <w:rsid w:val="000C169A"/>
    <w:rsid w:val="000C4439"/>
    <w:rsid w:val="000C4813"/>
    <w:rsid w:val="000C5656"/>
    <w:rsid w:val="000C5893"/>
    <w:rsid w:val="000C731A"/>
    <w:rsid w:val="000D0F3D"/>
    <w:rsid w:val="000D0FAE"/>
    <w:rsid w:val="000D2B34"/>
    <w:rsid w:val="000D6FA4"/>
    <w:rsid w:val="000D778E"/>
    <w:rsid w:val="000E0B69"/>
    <w:rsid w:val="000E4DBA"/>
    <w:rsid w:val="000E6DEF"/>
    <w:rsid w:val="000F192C"/>
    <w:rsid w:val="000F2414"/>
    <w:rsid w:val="000F4C28"/>
    <w:rsid w:val="000F7D35"/>
    <w:rsid w:val="000F7F56"/>
    <w:rsid w:val="0010235F"/>
    <w:rsid w:val="00104C7A"/>
    <w:rsid w:val="00110A04"/>
    <w:rsid w:val="00111A39"/>
    <w:rsid w:val="00113501"/>
    <w:rsid w:val="00114CFD"/>
    <w:rsid w:val="00115521"/>
    <w:rsid w:val="001159C2"/>
    <w:rsid w:val="001161E9"/>
    <w:rsid w:val="00121C27"/>
    <w:rsid w:val="00122DD4"/>
    <w:rsid w:val="001258FD"/>
    <w:rsid w:val="00125C12"/>
    <w:rsid w:val="00130CA2"/>
    <w:rsid w:val="00133528"/>
    <w:rsid w:val="00134B42"/>
    <w:rsid w:val="001352AE"/>
    <w:rsid w:val="001362D4"/>
    <w:rsid w:val="00140413"/>
    <w:rsid w:val="001449BC"/>
    <w:rsid w:val="001509EC"/>
    <w:rsid w:val="00150A12"/>
    <w:rsid w:val="00150FC6"/>
    <w:rsid w:val="0015118C"/>
    <w:rsid w:val="00156124"/>
    <w:rsid w:val="0015648C"/>
    <w:rsid w:val="001619C8"/>
    <w:rsid w:val="00162E8C"/>
    <w:rsid w:val="00163A87"/>
    <w:rsid w:val="001657A6"/>
    <w:rsid w:val="001708C2"/>
    <w:rsid w:val="0017138E"/>
    <w:rsid w:val="001723D5"/>
    <w:rsid w:val="00173FB6"/>
    <w:rsid w:val="00175B00"/>
    <w:rsid w:val="00185457"/>
    <w:rsid w:val="0018630D"/>
    <w:rsid w:val="00186355"/>
    <w:rsid w:val="001864E6"/>
    <w:rsid w:val="00186FDA"/>
    <w:rsid w:val="0018762C"/>
    <w:rsid w:val="001945FA"/>
    <w:rsid w:val="00194F1D"/>
    <w:rsid w:val="00196C92"/>
    <w:rsid w:val="00197B0D"/>
    <w:rsid w:val="001A5133"/>
    <w:rsid w:val="001B0794"/>
    <w:rsid w:val="001B1487"/>
    <w:rsid w:val="001B1DAD"/>
    <w:rsid w:val="001B61B1"/>
    <w:rsid w:val="001C1C99"/>
    <w:rsid w:val="001C34F7"/>
    <w:rsid w:val="001C35E3"/>
    <w:rsid w:val="001C5188"/>
    <w:rsid w:val="001C6B70"/>
    <w:rsid w:val="001C6EA7"/>
    <w:rsid w:val="001D047B"/>
    <w:rsid w:val="001D0518"/>
    <w:rsid w:val="001D16D7"/>
    <w:rsid w:val="001D26DC"/>
    <w:rsid w:val="001D5F5F"/>
    <w:rsid w:val="001D641A"/>
    <w:rsid w:val="001E0959"/>
    <w:rsid w:val="001E189E"/>
    <w:rsid w:val="001F0991"/>
    <w:rsid w:val="001F1A0E"/>
    <w:rsid w:val="001F1C04"/>
    <w:rsid w:val="001F3A95"/>
    <w:rsid w:val="001F6C4F"/>
    <w:rsid w:val="002009F7"/>
    <w:rsid w:val="0020138A"/>
    <w:rsid w:val="00203A92"/>
    <w:rsid w:val="00207682"/>
    <w:rsid w:val="00207C8B"/>
    <w:rsid w:val="00216E2C"/>
    <w:rsid w:val="00224590"/>
    <w:rsid w:val="002306FF"/>
    <w:rsid w:val="00231919"/>
    <w:rsid w:val="002322D0"/>
    <w:rsid w:val="002357B3"/>
    <w:rsid w:val="00240FF7"/>
    <w:rsid w:val="00244A92"/>
    <w:rsid w:val="0024557C"/>
    <w:rsid w:val="00245B86"/>
    <w:rsid w:val="00246863"/>
    <w:rsid w:val="00247A60"/>
    <w:rsid w:val="00247E0B"/>
    <w:rsid w:val="002516D4"/>
    <w:rsid w:val="00251A7C"/>
    <w:rsid w:val="00251DAB"/>
    <w:rsid w:val="00252D78"/>
    <w:rsid w:val="00253716"/>
    <w:rsid w:val="002619B1"/>
    <w:rsid w:val="002635F4"/>
    <w:rsid w:val="00263AF5"/>
    <w:rsid w:val="00263C71"/>
    <w:rsid w:val="0026550B"/>
    <w:rsid w:val="002661A8"/>
    <w:rsid w:val="002748DB"/>
    <w:rsid w:val="00274FEB"/>
    <w:rsid w:val="00276DB9"/>
    <w:rsid w:val="0028184C"/>
    <w:rsid w:val="00282E1A"/>
    <w:rsid w:val="00284B9E"/>
    <w:rsid w:val="00284FC0"/>
    <w:rsid w:val="00290C15"/>
    <w:rsid w:val="00290F88"/>
    <w:rsid w:val="00291134"/>
    <w:rsid w:val="002911E0"/>
    <w:rsid w:val="00291B74"/>
    <w:rsid w:val="002948F8"/>
    <w:rsid w:val="0029527C"/>
    <w:rsid w:val="00297DC5"/>
    <w:rsid w:val="002A0B9C"/>
    <w:rsid w:val="002A10C1"/>
    <w:rsid w:val="002A21DE"/>
    <w:rsid w:val="002A5337"/>
    <w:rsid w:val="002C0245"/>
    <w:rsid w:val="002C02FB"/>
    <w:rsid w:val="002C286F"/>
    <w:rsid w:val="002C5F0D"/>
    <w:rsid w:val="002D04EB"/>
    <w:rsid w:val="002D238A"/>
    <w:rsid w:val="002D42E2"/>
    <w:rsid w:val="002D5EB9"/>
    <w:rsid w:val="002D5F32"/>
    <w:rsid w:val="002D632F"/>
    <w:rsid w:val="002D69A6"/>
    <w:rsid w:val="002E0A5C"/>
    <w:rsid w:val="002E27AE"/>
    <w:rsid w:val="002E4031"/>
    <w:rsid w:val="002E4C92"/>
    <w:rsid w:val="002E6E21"/>
    <w:rsid w:val="002E7754"/>
    <w:rsid w:val="002F03D2"/>
    <w:rsid w:val="002F3D65"/>
    <w:rsid w:val="002F590C"/>
    <w:rsid w:val="00305CF1"/>
    <w:rsid w:val="003067BF"/>
    <w:rsid w:val="00311AE5"/>
    <w:rsid w:val="00311E81"/>
    <w:rsid w:val="003135AF"/>
    <w:rsid w:val="00317306"/>
    <w:rsid w:val="00317638"/>
    <w:rsid w:val="003201AC"/>
    <w:rsid w:val="0032239A"/>
    <w:rsid w:val="0032312A"/>
    <w:rsid w:val="00335168"/>
    <w:rsid w:val="00335DBE"/>
    <w:rsid w:val="003368BF"/>
    <w:rsid w:val="003440A9"/>
    <w:rsid w:val="00347761"/>
    <w:rsid w:val="00347DD9"/>
    <w:rsid w:val="003508EF"/>
    <w:rsid w:val="00350B03"/>
    <w:rsid w:val="00351804"/>
    <w:rsid w:val="00351F18"/>
    <w:rsid w:val="00352361"/>
    <w:rsid w:val="00352C98"/>
    <w:rsid w:val="00353081"/>
    <w:rsid w:val="003554CD"/>
    <w:rsid w:val="00355B9E"/>
    <w:rsid w:val="00356656"/>
    <w:rsid w:val="00356F3D"/>
    <w:rsid w:val="00362010"/>
    <w:rsid w:val="00364CD8"/>
    <w:rsid w:val="003652A3"/>
    <w:rsid w:val="00366666"/>
    <w:rsid w:val="00366721"/>
    <w:rsid w:val="00370C53"/>
    <w:rsid w:val="00372441"/>
    <w:rsid w:val="0037258B"/>
    <w:rsid w:val="00374C35"/>
    <w:rsid w:val="00376DBB"/>
    <w:rsid w:val="003826B0"/>
    <w:rsid w:val="0038382F"/>
    <w:rsid w:val="00383A2A"/>
    <w:rsid w:val="003851B2"/>
    <w:rsid w:val="003854D3"/>
    <w:rsid w:val="003908D2"/>
    <w:rsid w:val="003924D0"/>
    <w:rsid w:val="0039525B"/>
    <w:rsid w:val="00396F76"/>
    <w:rsid w:val="003A350D"/>
    <w:rsid w:val="003A3AB0"/>
    <w:rsid w:val="003A6785"/>
    <w:rsid w:val="003B25FB"/>
    <w:rsid w:val="003B3DB9"/>
    <w:rsid w:val="003B5E36"/>
    <w:rsid w:val="003B7708"/>
    <w:rsid w:val="003C2022"/>
    <w:rsid w:val="003C24AD"/>
    <w:rsid w:val="003C46E0"/>
    <w:rsid w:val="003D0710"/>
    <w:rsid w:val="003D2601"/>
    <w:rsid w:val="003D27E3"/>
    <w:rsid w:val="003D28E6"/>
    <w:rsid w:val="003D7469"/>
    <w:rsid w:val="003D74EC"/>
    <w:rsid w:val="003D76AF"/>
    <w:rsid w:val="003E2C04"/>
    <w:rsid w:val="003E3757"/>
    <w:rsid w:val="003E693A"/>
    <w:rsid w:val="003F1E3C"/>
    <w:rsid w:val="003F2833"/>
    <w:rsid w:val="003F3D65"/>
    <w:rsid w:val="003F52A3"/>
    <w:rsid w:val="00405198"/>
    <w:rsid w:val="004103B9"/>
    <w:rsid w:val="00410C83"/>
    <w:rsid w:val="004179FD"/>
    <w:rsid w:val="00421157"/>
    <w:rsid w:val="00422717"/>
    <w:rsid w:val="0042474E"/>
    <w:rsid w:val="0042548C"/>
    <w:rsid w:val="00425E32"/>
    <w:rsid w:val="00432D7F"/>
    <w:rsid w:val="00436909"/>
    <w:rsid w:val="00437FD0"/>
    <w:rsid w:val="004402AC"/>
    <w:rsid w:val="004403EE"/>
    <w:rsid w:val="00440948"/>
    <w:rsid w:val="004429BA"/>
    <w:rsid w:val="004452D5"/>
    <w:rsid w:val="00446AFD"/>
    <w:rsid w:val="004528AF"/>
    <w:rsid w:val="004536D7"/>
    <w:rsid w:val="00455FC4"/>
    <w:rsid w:val="00456F88"/>
    <w:rsid w:val="0045725F"/>
    <w:rsid w:val="0045794F"/>
    <w:rsid w:val="00457F98"/>
    <w:rsid w:val="00462A5D"/>
    <w:rsid w:val="00470E93"/>
    <w:rsid w:val="004713C2"/>
    <w:rsid w:val="004720D5"/>
    <w:rsid w:val="00472B36"/>
    <w:rsid w:val="00472F34"/>
    <w:rsid w:val="0047469B"/>
    <w:rsid w:val="00477B3D"/>
    <w:rsid w:val="00482C15"/>
    <w:rsid w:val="004838D9"/>
    <w:rsid w:val="00484822"/>
    <w:rsid w:val="0048568D"/>
    <w:rsid w:val="00485D55"/>
    <w:rsid w:val="00486760"/>
    <w:rsid w:val="00492E0D"/>
    <w:rsid w:val="0049409E"/>
    <w:rsid w:val="004A0320"/>
    <w:rsid w:val="004A3F30"/>
    <w:rsid w:val="004B22B8"/>
    <w:rsid w:val="004B3E41"/>
    <w:rsid w:val="004B552B"/>
    <w:rsid w:val="004B61E3"/>
    <w:rsid w:val="004B7C07"/>
    <w:rsid w:val="004C2B08"/>
    <w:rsid w:val="004C3FDE"/>
    <w:rsid w:val="004C5826"/>
    <w:rsid w:val="004C602D"/>
    <w:rsid w:val="004C6CD8"/>
    <w:rsid w:val="004D08B3"/>
    <w:rsid w:val="004D487C"/>
    <w:rsid w:val="004D5473"/>
    <w:rsid w:val="004D7029"/>
    <w:rsid w:val="004E1B0E"/>
    <w:rsid w:val="004F07DE"/>
    <w:rsid w:val="004F149E"/>
    <w:rsid w:val="004F2363"/>
    <w:rsid w:val="004F2969"/>
    <w:rsid w:val="004F353F"/>
    <w:rsid w:val="004F62CF"/>
    <w:rsid w:val="004F67F3"/>
    <w:rsid w:val="00502FAD"/>
    <w:rsid w:val="00507DF5"/>
    <w:rsid w:val="005108CF"/>
    <w:rsid w:val="005114C5"/>
    <w:rsid w:val="005121D2"/>
    <w:rsid w:val="00513C73"/>
    <w:rsid w:val="00513E84"/>
    <w:rsid w:val="00516F7C"/>
    <w:rsid w:val="00517918"/>
    <w:rsid w:val="0052385B"/>
    <w:rsid w:val="0052413A"/>
    <w:rsid w:val="0052748A"/>
    <w:rsid w:val="0052769A"/>
    <w:rsid w:val="00527DE8"/>
    <w:rsid w:val="005324A5"/>
    <w:rsid w:val="0053542D"/>
    <w:rsid w:val="005372A9"/>
    <w:rsid w:val="00541A6A"/>
    <w:rsid w:val="00542290"/>
    <w:rsid w:val="00542523"/>
    <w:rsid w:val="00542945"/>
    <w:rsid w:val="00546D71"/>
    <w:rsid w:val="0054791C"/>
    <w:rsid w:val="0055340D"/>
    <w:rsid w:val="0055385D"/>
    <w:rsid w:val="00555789"/>
    <w:rsid w:val="00561640"/>
    <w:rsid w:val="00563CB8"/>
    <w:rsid w:val="00563DC9"/>
    <w:rsid w:val="005641F5"/>
    <w:rsid w:val="00564E6D"/>
    <w:rsid w:val="00565871"/>
    <w:rsid w:val="00566319"/>
    <w:rsid w:val="00567E85"/>
    <w:rsid w:val="00570901"/>
    <w:rsid w:val="00576E4A"/>
    <w:rsid w:val="00581401"/>
    <w:rsid w:val="005837C5"/>
    <w:rsid w:val="00583FF7"/>
    <w:rsid w:val="00584414"/>
    <w:rsid w:val="00585771"/>
    <w:rsid w:val="00585A0D"/>
    <w:rsid w:val="00586212"/>
    <w:rsid w:val="005875D8"/>
    <w:rsid w:val="00590E61"/>
    <w:rsid w:val="00592D68"/>
    <w:rsid w:val="00593697"/>
    <w:rsid w:val="0059429C"/>
    <w:rsid w:val="00595804"/>
    <w:rsid w:val="00595905"/>
    <w:rsid w:val="005960E3"/>
    <w:rsid w:val="00597199"/>
    <w:rsid w:val="005A59D0"/>
    <w:rsid w:val="005A68BC"/>
    <w:rsid w:val="005A7968"/>
    <w:rsid w:val="005B22B2"/>
    <w:rsid w:val="005B3D78"/>
    <w:rsid w:val="005B7E6E"/>
    <w:rsid w:val="005C3693"/>
    <w:rsid w:val="005C7B5F"/>
    <w:rsid w:val="005D2220"/>
    <w:rsid w:val="005D2EF3"/>
    <w:rsid w:val="005D30AB"/>
    <w:rsid w:val="005D7C72"/>
    <w:rsid w:val="005E2E87"/>
    <w:rsid w:val="005F021B"/>
    <w:rsid w:val="005F147C"/>
    <w:rsid w:val="005F31D9"/>
    <w:rsid w:val="005F5D35"/>
    <w:rsid w:val="005F657A"/>
    <w:rsid w:val="006024D1"/>
    <w:rsid w:val="00603970"/>
    <w:rsid w:val="006044CD"/>
    <w:rsid w:val="00607856"/>
    <w:rsid w:val="006124D5"/>
    <w:rsid w:val="00615C95"/>
    <w:rsid w:val="0062277B"/>
    <w:rsid w:val="006261E1"/>
    <w:rsid w:val="00626E4A"/>
    <w:rsid w:val="00630E19"/>
    <w:rsid w:val="00631D3E"/>
    <w:rsid w:val="0063653C"/>
    <w:rsid w:val="006375AF"/>
    <w:rsid w:val="0064182B"/>
    <w:rsid w:val="00641DC5"/>
    <w:rsid w:val="006428CC"/>
    <w:rsid w:val="00643550"/>
    <w:rsid w:val="00644540"/>
    <w:rsid w:val="00645C3F"/>
    <w:rsid w:val="00646088"/>
    <w:rsid w:val="00651092"/>
    <w:rsid w:val="00652CF3"/>
    <w:rsid w:val="00653ABB"/>
    <w:rsid w:val="00654918"/>
    <w:rsid w:val="00657720"/>
    <w:rsid w:val="0066211A"/>
    <w:rsid w:val="00663A00"/>
    <w:rsid w:val="00665B78"/>
    <w:rsid w:val="006661AE"/>
    <w:rsid w:val="006667A3"/>
    <w:rsid w:val="006674D4"/>
    <w:rsid w:val="00671E90"/>
    <w:rsid w:val="00677E32"/>
    <w:rsid w:val="0068018C"/>
    <w:rsid w:val="006803D8"/>
    <w:rsid w:val="0068424B"/>
    <w:rsid w:val="006916BA"/>
    <w:rsid w:val="0069247E"/>
    <w:rsid w:val="006A09D6"/>
    <w:rsid w:val="006A3594"/>
    <w:rsid w:val="006A4C74"/>
    <w:rsid w:val="006B04F4"/>
    <w:rsid w:val="006B0965"/>
    <w:rsid w:val="006B1BDC"/>
    <w:rsid w:val="006B61DD"/>
    <w:rsid w:val="006B7CCB"/>
    <w:rsid w:val="006C6E2A"/>
    <w:rsid w:val="006D1F03"/>
    <w:rsid w:val="006D2755"/>
    <w:rsid w:val="006D3D18"/>
    <w:rsid w:val="006D5208"/>
    <w:rsid w:val="006E486A"/>
    <w:rsid w:val="006E4C84"/>
    <w:rsid w:val="006E5479"/>
    <w:rsid w:val="006E66C6"/>
    <w:rsid w:val="006E7A67"/>
    <w:rsid w:val="006E7D3C"/>
    <w:rsid w:val="006F3BD7"/>
    <w:rsid w:val="006F6FCC"/>
    <w:rsid w:val="00706F7A"/>
    <w:rsid w:val="00707670"/>
    <w:rsid w:val="00715092"/>
    <w:rsid w:val="0071568E"/>
    <w:rsid w:val="00721F4B"/>
    <w:rsid w:val="0072440D"/>
    <w:rsid w:val="00724760"/>
    <w:rsid w:val="00727427"/>
    <w:rsid w:val="00730123"/>
    <w:rsid w:val="00730946"/>
    <w:rsid w:val="0073192F"/>
    <w:rsid w:val="00733719"/>
    <w:rsid w:val="00733C74"/>
    <w:rsid w:val="00733F01"/>
    <w:rsid w:val="007344F3"/>
    <w:rsid w:val="00734716"/>
    <w:rsid w:val="00737EE7"/>
    <w:rsid w:val="00741955"/>
    <w:rsid w:val="0074755A"/>
    <w:rsid w:val="00752D81"/>
    <w:rsid w:val="0075421E"/>
    <w:rsid w:val="007623AE"/>
    <w:rsid w:val="0076269D"/>
    <w:rsid w:val="0076294C"/>
    <w:rsid w:val="00766336"/>
    <w:rsid w:val="0076658E"/>
    <w:rsid w:val="00767641"/>
    <w:rsid w:val="00772135"/>
    <w:rsid w:val="00772FCA"/>
    <w:rsid w:val="0077301E"/>
    <w:rsid w:val="0077398D"/>
    <w:rsid w:val="007756ED"/>
    <w:rsid w:val="007812C8"/>
    <w:rsid w:val="00784786"/>
    <w:rsid w:val="00785C92"/>
    <w:rsid w:val="00785D01"/>
    <w:rsid w:val="00787B59"/>
    <w:rsid w:val="00796D57"/>
    <w:rsid w:val="00797281"/>
    <w:rsid w:val="007A4F96"/>
    <w:rsid w:val="007A59AF"/>
    <w:rsid w:val="007B0EDD"/>
    <w:rsid w:val="007B455B"/>
    <w:rsid w:val="007B4657"/>
    <w:rsid w:val="007B764B"/>
    <w:rsid w:val="007C14C1"/>
    <w:rsid w:val="007C7DB0"/>
    <w:rsid w:val="007D02D6"/>
    <w:rsid w:val="007D0532"/>
    <w:rsid w:val="007D1715"/>
    <w:rsid w:val="007D27C5"/>
    <w:rsid w:val="007D2DDF"/>
    <w:rsid w:val="007D2F12"/>
    <w:rsid w:val="007D54D1"/>
    <w:rsid w:val="007E3C5D"/>
    <w:rsid w:val="007E463A"/>
    <w:rsid w:val="007E4E86"/>
    <w:rsid w:val="007E7665"/>
    <w:rsid w:val="007F5039"/>
    <w:rsid w:val="007F6F68"/>
    <w:rsid w:val="007F7256"/>
    <w:rsid w:val="007F76FC"/>
    <w:rsid w:val="00802441"/>
    <w:rsid w:val="00804C62"/>
    <w:rsid w:val="00807C6B"/>
    <w:rsid w:val="008139A0"/>
    <w:rsid w:val="008151E5"/>
    <w:rsid w:val="00820D4B"/>
    <w:rsid w:val="00820EF9"/>
    <w:rsid w:val="0082210F"/>
    <w:rsid w:val="008228CD"/>
    <w:rsid w:val="008255E1"/>
    <w:rsid w:val="008261D2"/>
    <w:rsid w:val="00831B4C"/>
    <w:rsid w:val="008336BE"/>
    <w:rsid w:val="00835495"/>
    <w:rsid w:val="00840D62"/>
    <w:rsid w:val="008434A6"/>
    <w:rsid w:val="0084358E"/>
    <w:rsid w:val="00847A03"/>
    <w:rsid w:val="00850CE6"/>
    <w:rsid w:val="00853C0E"/>
    <w:rsid w:val="00853CF3"/>
    <w:rsid w:val="008572B2"/>
    <w:rsid w:val="00860A88"/>
    <w:rsid w:val="00864A80"/>
    <w:rsid w:val="00872393"/>
    <w:rsid w:val="008732CC"/>
    <w:rsid w:val="00874AF4"/>
    <w:rsid w:val="00875D0A"/>
    <w:rsid w:val="0087636A"/>
    <w:rsid w:val="00876632"/>
    <w:rsid w:val="00877708"/>
    <w:rsid w:val="00880881"/>
    <w:rsid w:val="00880A15"/>
    <w:rsid w:val="00880AAD"/>
    <w:rsid w:val="0088324B"/>
    <w:rsid w:val="00883761"/>
    <w:rsid w:val="00884AB6"/>
    <w:rsid w:val="008907FE"/>
    <w:rsid w:val="00893930"/>
    <w:rsid w:val="00893A85"/>
    <w:rsid w:val="008A0F55"/>
    <w:rsid w:val="008A1774"/>
    <w:rsid w:val="008A2DA8"/>
    <w:rsid w:val="008A4204"/>
    <w:rsid w:val="008A4DE2"/>
    <w:rsid w:val="008A5010"/>
    <w:rsid w:val="008A7263"/>
    <w:rsid w:val="008A7F6F"/>
    <w:rsid w:val="008B1311"/>
    <w:rsid w:val="008B31CC"/>
    <w:rsid w:val="008B456C"/>
    <w:rsid w:val="008B5DE1"/>
    <w:rsid w:val="008B6E91"/>
    <w:rsid w:val="008C106B"/>
    <w:rsid w:val="008C1826"/>
    <w:rsid w:val="008C7679"/>
    <w:rsid w:val="008D0396"/>
    <w:rsid w:val="008D1217"/>
    <w:rsid w:val="008D15DF"/>
    <w:rsid w:val="008D3566"/>
    <w:rsid w:val="008D3BC0"/>
    <w:rsid w:val="008D45B4"/>
    <w:rsid w:val="008D5D6B"/>
    <w:rsid w:val="008E2674"/>
    <w:rsid w:val="008E6AE3"/>
    <w:rsid w:val="008F3BC4"/>
    <w:rsid w:val="008F44DC"/>
    <w:rsid w:val="009000C9"/>
    <w:rsid w:val="00903656"/>
    <w:rsid w:val="009062ED"/>
    <w:rsid w:val="0090775D"/>
    <w:rsid w:val="00910D8E"/>
    <w:rsid w:val="009135A8"/>
    <w:rsid w:val="00914FFB"/>
    <w:rsid w:val="00915898"/>
    <w:rsid w:val="00916410"/>
    <w:rsid w:val="0091722D"/>
    <w:rsid w:val="00920F8D"/>
    <w:rsid w:val="00922E34"/>
    <w:rsid w:val="00926EC2"/>
    <w:rsid w:val="00933100"/>
    <w:rsid w:val="009355C6"/>
    <w:rsid w:val="009403AD"/>
    <w:rsid w:val="0094277B"/>
    <w:rsid w:val="00957E26"/>
    <w:rsid w:val="0096199D"/>
    <w:rsid w:val="00962802"/>
    <w:rsid w:val="00963CDE"/>
    <w:rsid w:val="00966D72"/>
    <w:rsid w:val="00967678"/>
    <w:rsid w:val="0097223B"/>
    <w:rsid w:val="00972F9F"/>
    <w:rsid w:val="009732BA"/>
    <w:rsid w:val="0098148A"/>
    <w:rsid w:val="00982DBA"/>
    <w:rsid w:val="009859E7"/>
    <w:rsid w:val="00985DDF"/>
    <w:rsid w:val="009947F7"/>
    <w:rsid w:val="00995E89"/>
    <w:rsid w:val="009A0390"/>
    <w:rsid w:val="009A117F"/>
    <w:rsid w:val="009A1A65"/>
    <w:rsid w:val="009A3159"/>
    <w:rsid w:val="009A4132"/>
    <w:rsid w:val="009B0F30"/>
    <w:rsid w:val="009B12D0"/>
    <w:rsid w:val="009B14FE"/>
    <w:rsid w:val="009B2870"/>
    <w:rsid w:val="009B4ECF"/>
    <w:rsid w:val="009B4FE2"/>
    <w:rsid w:val="009B7417"/>
    <w:rsid w:val="009B7A23"/>
    <w:rsid w:val="009B7C85"/>
    <w:rsid w:val="009C0391"/>
    <w:rsid w:val="009C2014"/>
    <w:rsid w:val="009C3C09"/>
    <w:rsid w:val="009C43FE"/>
    <w:rsid w:val="009D0B7A"/>
    <w:rsid w:val="009D12CD"/>
    <w:rsid w:val="009D2572"/>
    <w:rsid w:val="009D77F6"/>
    <w:rsid w:val="009D78B6"/>
    <w:rsid w:val="009E05C6"/>
    <w:rsid w:val="009E07D2"/>
    <w:rsid w:val="009E734D"/>
    <w:rsid w:val="009F31D9"/>
    <w:rsid w:val="009F3652"/>
    <w:rsid w:val="009F60BA"/>
    <w:rsid w:val="009F60C2"/>
    <w:rsid w:val="00A0163A"/>
    <w:rsid w:val="00A0184B"/>
    <w:rsid w:val="00A0764E"/>
    <w:rsid w:val="00A07A4E"/>
    <w:rsid w:val="00A125B8"/>
    <w:rsid w:val="00A130C2"/>
    <w:rsid w:val="00A13A46"/>
    <w:rsid w:val="00A14F0A"/>
    <w:rsid w:val="00A15619"/>
    <w:rsid w:val="00A16681"/>
    <w:rsid w:val="00A24DAB"/>
    <w:rsid w:val="00A253EA"/>
    <w:rsid w:val="00A31709"/>
    <w:rsid w:val="00A32E00"/>
    <w:rsid w:val="00A32E22"/>
    <w:rsid w:val="00A4422B"/>
    <w:rsid w:val="00A4462B"/>
    <w:rsid w:val="00A448CF"/>
    <w:rsid w:val="00A4688B"/>
    <w:rsid w:val="00A479BF"/>
    <w:rsid w:val="00A546FD"/>
    <w:rsid w:val="00A61D66"/>
    <w:rsid w:val="00A63E5A"/>
    <w:rsid w:val="00A63EE0"/>
    <w:rsid w:val="00A65FF8"/>
    <w:rsid w:val="00A730B2"/>
    <w:rsid w:val="00A75116"/>
    <w:rsid w:val="00A77308"/>
    <w:rsid w:val="00A82985"/>
    <w:rsid w:val="00A84351"/>
    <w:rsid w:val="00A862CB"/>
    <w:rsid w:val="00A87065"/>
    <w:rsid w:val="00A90162"/>
    <w:rsid w:val="00A908AC"/>
    <w:rsid w:val="00A93DFF"/>
    <w:rsid w:val="00A948B3"/>
    <w:rsid w:val="00A957FF"/>
    <w:rsid w:val="00A95E92"/>
    <w:rsid w:val="00A968CA"/>
    <w:rsid w:val="00AA0424"/>
    <w:rsid w:val="00AA0831"/>
    <w:rsid w:val="00AA1DC0"/>
    <w:rsid w:val="00AA5F43"/>
    <w:rsid w:val="00AC1DE5"/>
    <w:rsid w:val="00AC1F67"/>
    <w:rsid w:val="00AC2AB4"/>
    <w:rsid w:val="00AC5362"/>
    <w:rsid w:val="00AC6562"/>
    <w:rsid w:val="00AD26BF"/>
    <w:rsid w:val="00AD2E2E"/>
    <w:rsid w:val="00AD3A38"/>
    <w:rsid w:val="00AD440D"/>
    <w:rsid w:val="00AD6446"/>
    <w:rsid w:val="00AE01CA"/>
    <w:rsid w:val="00AE14E2"/>
    <w:rsid w:val="00AE3076"/>
    <w:rsid w:val="00AE651C"/>
    <w:rsid w:val="00AE6A70"/>
    <w:rsid w:val="00AF02E4"/>
    <w:rsid w:val="00AF1F26"/>
    <w:rsid w:val="00AF3493"/>
    <w:rsid w:val="00AF3526"/>
    <w:rsid w:val="00AF51C6"/>
    <w:rsid w:val="00AF5A63"/>
    <w:rsid w:val="00B00346"/>
    <w:rsid w:val="00B021C6"/>
    <w:rsid w:val="00B044E7"/>
    <w:rsid w:val="00B10BF2"/>
    <w:rsid w:val="00B1409A"/>
    <w:rsid w:val="00B152BD"/>
    <w:rsid w:val="00B17154"/>
    <w:rsid w:val="00B205E1"/>
    <w:rsid w:val="00B205E8"/>
    <w:rsid w:val="00B20B90"/>
    <w:rsid w:val="00B231AA"/>
    <w:rsid w:val="00B23AD5"/>
    <w:rsid w:val="00B27639"/>
    <w:rsid w:val="00B30BF5"/>
    <w:rsid w:val="00B31BA2"/>
    <w:rsid w:val="00B33E97"/>
    <w:rsid w:val="00B379CD"/>
    <w:rsid w:val="00B44437"/>
    <w:rsid w:val="00B46C45"/>
    <w:rsid w:val="00B5282C"/>
    <w:rsid w:val="00B54382"/>
    <w:rsid w:val="00B54F4D"/>
    <w:rsid w:val="00B5676B"/>
    <w:rsid w:val="00B57A9F"/>
    <w:rsid w:val="00B6092B"/>
    <w:rsid w:val="00B6317D"/>
    <w:rsid w:val="00B66DB7"/>
    <w:rsid w:val="00B67752"/>
    <w:rsid w:val="00B71188"/>
    <w:rsid w:val="00B7194E"/>
    <w:rsid w:val="00B75058"/>
    <w:rsid w:val="00B75489"/>
    <w:rsid w:val="00B7655D"/>
    <w:rsid w:val="00B76D5E"/>
    <w:rsid w:val="00B80621"/>
    <w:rsid w:val="00B84225"/>
    <w:rsid w:val="00B85131"/>
    <w:rsid w:val="00BA1284"/>
    <w:rsid w:val="00BA4548"/>
    <w:rsid w:val="00BA536E"/>
    <w:rsid w:val="00BA6CB2"/>
    <w:rsid w:val="00BA6E05"/>
    <w:rsid w:val="00BA7D7C"/>
    <w:rsid w:val="00BA7F1C"/>
    <w:rsid w:val="00BB27BA"/>
    <w:rsid w:val="00BB3487"/>
    <w:rsid w:val="00BB459A"/>
    <w:rsid w:val="00BB4709"/>
    <w:rsid w:val="00BB57DE"/>
    <w:rsid w:val="00BC1873"/>
    <w:rsid w:val="00BC3880"/>
    <w:rsid w:val="00BC4ADE"/>
    <w:rsid w:val="00BC54A9"/>
    <w:rsid w:val="00BC55AA"/>
    <w:rsid w:val="00BD28C9"/>
    <w:rsid w:val="00BD7AD4"/>
    <w:rsid w:val="00BD7B6F"/>
    <w:rsid w:val="00BE320F"/>
    <w:rsid w:val="00BE3A0B"/>
    <w:rsid w:val="00BE3C1A"/>
    <w:rsid w:val="00BE4EBD"/>
    <w:rsid w:val="00BE6EFE"/>
    <w:rsid w:val="00BF2D7C"/>
    <w:rsid w:val="00BF3E6B"/>
    <w:rsid w:val="00BF4B80"/>
    <w:rsid w:val="00BF65A5"/>
    <w:rsid w:val="00BF6870"/>
    <w:rsid w:val="00BF6DF5"/>
    <w:rsid w:val="00C00871"/>
    <w:rsid w:val="00C02E75"/>
    <w:rsid w:val="00C02EC2"/>
    <w:rsid w:val="00C07D88"/>
    <w:rsid w:val="00C10AC9"/>
    <w:rsid w:val="00C10F37"/>
    <w:rsid w:val="00C11FD7"/>
    <w:rsid w:val="00C151B9"/>
    <w:rsid w:val="00C17AF0"/>
    <w:rsid w:val="00C208EA"/>
    <w:rsid w:val="00C20906"/>
    <w:rsid w:val="00C2283A"/>
    <w:rsid w:val="00C252EF"/>
    <w:rsid w:val="00C25C43"/>
    <w:rsid w:val="00C27E34"/>
    <w:rsid w:val="00C30EDB"/>
    <w:rsid w:val="00C34B83"/>
    <w:rsid w:val="00C419B4"/>
    <w:rsid w:val="00C428D9"/>
    <w:rsid w:val="00C42B92"/>
    <w:rsid w:val="00C42C58"/>
    <w:rsid w:val="00C441BE"/>
    <w:rsid w:val="00C460FD"/>
    <w:rsid w:val="00C4787C"/>
    <w:rsid w:val="00C47BAE"/>
    <w:rsid w:val="00C5015B"/>
    <w:rsid w:val="00C512D6"/>
    <w:rsid w:val="00C52FD6"/>
    <w:rsid w:val="00C62B66"/>
    <w:rsid w:val="00C65C7A"/>
    <w:rsid w:val="00C70743"/>
    <w:rsid w:val="00C7162F"/>
    <w:rsid w:val="00C730C4"/>
    <w:rsid w:val="00C745E1"/>
    <w:rsid w:val="00C77479"/>
    <w:rsid w:val="00C77A71"/>
    <w:rsid w:val="00C920BB"/>
    <w:rsid w:val="00C9359E"/>
    <w:rsid w:val="00C94529"/>
    <w:rsid w:val="00C94670"/>
    <w:rsid w:val="00C94AC5"/>
    <w:rsid w:val="00C9623A"/>
    <w:rsid w:val="00CA53F8"/>
    <w:rsid w:val="00CA6CC7"/>
    <w:rsid w:val="00CB3516"/>
    <w:rsid w:val="00CB4795"/>
    <w:rsid w:val="00CC1BF8"/>
    <w:rsid w:val="00CC2982"/>
    <w:rsid w:val="00CC3C40"/>
    <w:rsid w:val="00CC605E"/>
    <w:rsid w:val="00CC61A8"/>
    <w:rsid w:val="00CC6E60"/>
    <w:rsid w:val="00CD1A34"/>
    <w:rsid w:val="00CD3725"/>
    <w:rsid w:val="00CD3A81"/>
    <w:rsid w:val="00CD4793"/>
    <w:rsid w:val="00CD4D52"/>
    <w:rsid w:val="00CD61D0"/>
    <w:rsid w:val="00CE0D9A"/>
    <w:rsid w:val="00CE2836"/>
    <w:rsid w:val="00CE58F3"/>
    <w:rsid w:val="00CE5BEA"/>
    <w:rsid w:val="00CE6C54"/>
    <w:rsid w:val="00CF08C2"/>
    <w:rsid w:val="00CF2582"/>
    <w:rsid w:val="00CF2986"/>
    <w:rsid w:val="00CF5B76"/>
    <w:rsid w:val="00D031FA"/>
    <w:rsid w:val="00D066C5"/>
    <w:rsid w:val="00D14EC9"/>
    <w:rsid w:val="00D1737A"/>
    <w:rsid w:val="00D22B12"/>
    <w:rsid w:val="00D2326D"/>
    <w:rsid w:val="00D257AC"/>
    <w:rsid w:val="00D30E71"/>
    <w:rsid w:val="00D3179C"/>
    <w:rsid w:val="00D31C4D"/>
    <w:rsid w:val="00D33423"/>
    <w:rsid w:val="00D337A1"/>
    <w:rsid w:val="00D3492E"/>
    <w:rsid w:val="00D36C11"/>
    <w:rsid w:val="00D374A9"/>
    <w:rsid w:val="00D41B54"/>
    <w:rsid w:val="00D4259D"/>
    <w:rsid w:val="00D439FC"/>
    <w:rsid w:val="00D4448B"/>
    <w:rsid w:val="00D44710"/>
    <w:rsid w:val="00D46BFB"/>
    <w:rsid w:val="00D4700C"/>
    <w:rsid w:val="00D479EE"/>
    <w:rsid w:val="00D517E2"/>
    <w:rsid w:val="00D524AB"/>
    <w:rsid w:val="00D52801"/>
    <w:rsid w:val="00D55ECF"/>
    <w:rsid w:val="00D5676B"/>
    <w:rsid w:val="00D57066"/>
    <w:rsid w:val="00D57191"/>
    <w:rsid w:val="00D75C09"/>
    <w:rsid w:val="00D7688E"/>
    <w:rsid w:val="00D83B01"/>
    <w:rsid w:val="00D9114F"/>
    <w:rsid w:val="00D9123D"/>
    <w:rsid w:val="00D920A6"/>
    <w:rsid w:val="00D9328F"/>
    <w:rsid w:val="00D93752"/>
    <w:rsid w:val="00D94FAB"/>
    <w:rsid w:val="00D95A65"/>
    <w:rsid w:val="00D97EAB"/>
    <w:rsid w:val="00DA030E"/>
    <w:rsid w:val="00DB25FB"/>
    <w:rsid w:val="00DB34C3"/>
    <w:rsid w:val="00DB3B19"/>
    <w:rsid w:val="00DB3C98"/>
    <w:rsid w:val="00DC0419"/>
    <w:rsid w:val="00DC0591"/>
    <w:rsid w:val="00DC3A8D"/>
    <w:rsid w:val="00DD08DC"/>
    <w:rsid w:val="00DD34BA"/>
    <w:rsid w:val="00DD63CE"/>
    <w:rsid w:val="00DD6609"/>
    <w:rsid w:val="00DD6BA0"/>
    <w:rsid w:val="00DE07B7"/>
    <w:rsid w:val="00DE71E4"/>
    <w:rsid w:val="00DF0613"/>
    <w:rsid w:val="00DF3D1C"/>
    <w:rsid w:val="00DF5111"/>
    <w:rsid w:val="00E0286B"/>
    <w:rsid w:val="00E10D49"/>
    <w:rsid w:val="00E13B0D"/>
    <w:rsid w:val="00E14D59"/>
    <w:rsid w:val="00E15D0F"/>
    <w:rsid w:val="00E16070"/>
    <w:rsid w:val="00E22659"/>
    <w:rsid w:val="00E22A24"/>
    <w:rsid w:val="00E23C2A"/>
    <w:rsid w:val="00E26A26"/>
    <w:rsid w:val="00E27B33"/>
    <w:rsid w:val="00E318F8"/>
    <w:rsid w:val="00E31D9D"/>
    <w:rsid w:val="00E3245A"/>
    <w:rsid w:val="00E45753"/>
    <w:rsid w:val="00E46711"/>
    <w:rsid w:val="00E526BB"/>
    <w:rsid w:val="00E53E91"/>
    <w:rsid w:val="00E55DE9"/>
    <w:rsid w:val="00E560AD"/>
    <w:rsid w:val="00E56C25"/>
    <w:rsid w:val="00E6036C"/>
    <w:rsid w:val="00E60525"/>
    <w:rsid w:val="00E618D5"/>
    <w:rsid w:val="00E63363"/>
    <w:rsid w:val="00E6588C"/>
    <w:rsid w:val="00E65C14"/>
    <w:rsid w:val="00E70E98"/>
    <w:rsid w:val="00E74F2E"/>
    <w:rsid w:val="00E7559A"/>
    <w:rsid w:val="00E7754E"/>
    <w:rsid w:val="00E83723"/>
    <w:rsid w:val="00E9190E"/>
    <w:rsid w:val="00E91936"/>
    <w:rsid w:val="00E93803"/>
    <w:rsid w:val="00E946A0"/>
    <w:rsid w:val="00E950C8"/>
    <w:rsid w:val="00EA0C17"/>
    <w:rsid w:val="00EA3693"/>
    <w:rsid w:val="00EA44C5"/>
    <w:rsid w:val="00EA6D1F"/>
    <w:rsid w:val="00EA74B5"/>
    <w:rsid w:val="00EB1B85"/>
    <w:rsid w:val="00EB319A"/>
    <w:rsid w:val="00EB4655"/>
    <w:rsid w:val="00EB4AAC"/>
    <w:rsid w:val="00EB6D24"/>
    <w:rsid w:val="00EB782B"/>
    <w:rsid w:val="00EC025F"/>
    <w:rsid w:val="00EC1129"/>
    <w:rsid w:val="00EC15E4"/>
    <w:rsid w:val="00EC1E30"/>
    <w:rsid w:val="00EC238E"/>
    <w:rsid w:val="00EC2854"/>
    <w:rsid w:val="00EC3F22"/>
    <w:rsid w:val="00EC5C0D"/>
    <w:rsid w:val="00ED0044"/>
    <w:rsid w:val="00ED34EC"/>
    <w:rsid w:val="00ED491F"/>
    <w:rsid w:val="00EE360E"/>
    <w:rsid w:val="00EE4EE7"/>
    <w:rsid w:val="00EE5F60"/>
    <w:rsid w:val="00EE66B9"/>
    <w:rsid w:val="00EE7F8B"/>
    <w:rsid w:val="00EF12C5"/>
    <w:rsid w:val="00F07B41"/>
    <w:rsid w:val="00F10E78"/>
    <w:rsid w:val="00F10E87"/>
    <w:rsid w:val="00F12958"/>
    <w:rsid w:val="00F1314D"/>
    <w:rsid w:val="00F143C7"/>
    <w:rsid w:val="00F21CD9"/>
    <w:rsid w:val="00F235E8"/>
    <w:rsid w:val="00F275FD"/>
    <w:rsid w:val="00F27D95"/>
    <w:rsid w:val="00F308FF"/>
    <w:rsid w:val="00F30C34"/>
    <w:rsid w:val="00F355C2"/>
    <w:rsid w:val="00F37F20"/>
    <w:rsid w:val="00F41D88"/>
    <w:rsid w:val="00F426F0"/>
    <w:rsid w:val="00F43401"/>
    <w:rsid w:val="00F43553"/>
    <w:rsid w:val="00F4386A"/>
    <w:rsid w:val="00F44637"/>
    <w:rsid w:val="00F44691"/>
    <w:rsid w:val="00F4480D"/>
    <w:rsid w:val="00F457A9"/>
    <w:rsid w:val="00F52488"/>
    <w:rsid w:val="00F544D9"/>
    <w:rsid w:val="00F55F78"/>
    <w:rsid w:val="00F60C57"/>
    <w:rsid w:val="00F64807"/>
    <w:rsid w:val="00F6568B"/>
    <w:rsid w:val="00F76317"/>
    <w:rsid w:val="00F814D5"/>
    <w:rsid w:val="00F83BC0"/>
    <w:rsid w:val="00F87643"/>
    <w:rsid w:val="00F90415"/>
    <w:rsid w:val="00F92CB6"/>
    <w:rsid w:val="00F92D3E"/>
    <w:rsid w:val="00F942C8"/>
    <w:rsid w:val="00FA0A05"/>
    <w:rsid w:val="00FA206C"/>
    <w:rsid w:val="00FA3204"/>
    <w:rsid w:val="00FA3976"/>
    <w:rsid w:val="00FB2878"/>
    <w:rsid w:val="00FB75ED"/>
    <w:rsid w:val="00FC1897"/>
    <w:rsid w:val="00FC349F"/>
    <w:rsid w:val="00FC40E6"/>
    <w:rsid w:val="00FC714C"/>
    <w:rsid w:val="00FD1140"/>
    <w:rsid w:val="00FD1FDD"/>
    <w:rsid w:val="00FD275D"/>
    <w:rsid w:val="00FD2AE8"/>
    <w:rsid w:val="00FD6A91"/>
    <w:rsid w:val="00FE12D4"/>
    <w:rsid w:val="00FE28A3"/>
    <w:rsid w:val="00FE2A44"/>
    <w:rsid w:val="00FE662D"/>
    <w:rsid w:val="00FF1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9675F5DC-45BE-4334-97A5-AE0945F8A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C94529"/>
    <w:pPr>
      <w:spacing w:before="60" w:after="180" w:line="276" w:lineRule="auto"/>
    </w:pPr>
  </w:style>
  <w:style w:type="paragraph" w:styleId="Heading1">
    <w:name w:val="heading 1"/>
    <w:aliases w:val="*Headers"/>
    <w:basedOn w:val="Normal"/>
    <w:next w:val="Normal"/>
    <w:link w:val="Heading1Char"/>
    <w:uiPriority w:val="9"/>
    <w:qFormat/>
    <w:rsid w:val="00C94529"/>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qFormat/>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qFormat/>
    <w:rsid w:val="00D337A1"/>
    <w:pPr>
      <w:keepNext/>
      <w:keepLines/>
      <w:pBdr>
        <w:top w:val="dotted" w:sz="4" w:space="1" w:color="808080"/>
      </w:pBdr>
      <w:spacing w:before="200" w:after="120"/>
      <w:outlineLvl w:val="2"/>
    </w:pPr>
    <w:rPr>
      <w:rFonts w:ascii="Cambria" w:eastAsia="Times New Roman" w:hAnsi="Cambria"/>
      <w:b/>
      <w:bCs/>
      <w:i/>
      <w:color w:val="7F7F7F"/>
      <w:sz w:val="20"/>
      <w:szCs w:val="20"/>
    </w:rPr>
  </w:style>
  <w:style w:type="paragraph" w:styleId="Heading4">
    <w:name w:val="heading 4"/>
    <w:basedOn w:val="Normal"/>
    <w:next w:val="Normal"/>
    <w:link w:val="Heading4Char"/>
    <w:unhideWhenUsed/>
    <w:qFormat/>
    <w:locked/>
    <w:rsid w:val="00F275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basedOn w:val="DefaultParagraphFont"/>
    <w:link w:val="Heading1"/>
    <w:uiPriority w:val="9"/>
    <w:locked/>
    <w:rsid w:val="00A24DAB"/>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D337A1"/>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qFormat/>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D337A1"/>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D337A1"/>
    <w:rPr>
      <w:rFonts w:eastAsia="Times New Roman" w:cs="Times New Roman"/>
    </w:rPr>
  </w:style>
  <w:style w:type="paragraph" w:styleId="NormalWeb">
    <w:name w:val="Normal (Web)"/>
    <w:basedOn w:val="Normal"/>
    <w:uiPriority w:val="99"/>
    <w:rsid w:val="00D337A1"/>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D337A1"/>
    <w:rPr>
      <w:rFonts w:cs="Times New Roman"/>
      <w:sz w:val="16"/>
    </w:rPr>
  </w:style>
  <w:style w:type="paragraph" w:styleId="CommentText">
    <w:name w:val="annotation text"/>
    <w:basedOn w:val="Normal"/>
    <w:link w:val="CommentTextChar"/>
    <w:uiPriority w:val="99"/>
    <w:rsid w:val="00D337A1"/>
    <w:rPr>
      <w:rFonts w:eastAsia="Times New Roman"/>
      <w:sz w:val="20"/>
      <w:szCs w:val="20"/>
    </w:rPr>
  </w:style>
  <w:style w:type="character" w:customStyle="1" w:styleId="CommentTextChar">
    <w:name w:val="Comment Text Char"/>
    <w:basedOn w:val="DefaultParagraphFont"/>
    <w:link w:val="CommentText"/>
    <w:uiPriority w:val="99"/>
    <w:locked/>
    <w:rsid w:val="00D337A1"/>
    <w:rPr>
      <w:rFonts w:eastAsia="Times New Roman" w:cs="Times New Roman"/>
    </w:rPr>
  </w:style>
  <w:style w:type="paragraph" w:styleId="CommentSubject">
    <w:name w:val="annotation subject"/>
    <w:basedOn w:val="CommentText"/>
    <w:next w:val="CommentText"/>
    <w:link w:val="CommentSubjectChar"/>
    <w:uiPriority w:val="99"/>
    <w:semiHidden/>
    <w:rsid w:val="00D337A1"/>
    <w:rPr>
      <w:b/>
      <w:bCs/>
    </w:rPr>
  </w:style>
  <w:style w:type="character" w:customStyle="1" w:styleId="CommentSubjectChar">
    <w:name w:val="Comment Subject Char"/>
    <w:basedOn w:val="CommentTextChar"/>
    <w:link w:val="CommentSubject"/>
    <w:uiPriority w:val="99"/>
    <w:semiHidden/>
    <w:locked/>
    <w:rsid w:val="00D337A1"/>
    <w:rPr>
      <w:rFonts w:eastAsia="Times New Roman" w:cs="Times New Roman"/>
      <w:b/>
    </w:rPr>
  </w:style>
  <w:style w:type="paragraph" w:styleId="BalloonText">
    <w:name w:val="Balloon Text"/>
    <w:basedOn w:val="Normal"/>
    <w:link w:val="BalloonTextChar"/>
    <w:uiPriority w:val="99"/>
    <w:semiHidden/>
    <w:rsid w:val="00D337A1"/>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D337A1"/>
    <w:rPr>
      <w:rFonts w:ascii="Tahoma" w:hAnsi="Tahoma" w:cs="Times New Roman"/>
      <w:sz w:val="16"/>
    </w:rPr>
  </w:style>
  <w:style w:type="paragraph" w:customStyle="1" w:styleId="Pa4">
    <w:name w:val="Pa4"/>
    <w:basedOn w:val="Normal"/>
    <w:next w:val="Normal"/>
    <w:uiPriority w:val="99"/>
    <w:rsid w:val="00D337A1"/>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D337A1"/>
    <w:rPr>
      <w:rFonts w:cs="Times New Roman"/>
      <w:color w:val="0000FF"/>
      <w:u w:val="single"/>
    </w:rPr>
  </w:style>
  <w:style w:type="table" w:styleId="TableGrid">
    <w:name w:val="Table Grid"/>
    <w:basedOn w:val="TableNormal"/>
    <w:uiPriority w:val="99"/>
    <w:rsid w:val="00D337A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C94529"/>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99"/>
    <w:qFormat/>
    <w:rsid w:val="005F5D35"/>
    <w:pPr>
      <w:ind w:left="720"/>
      <w:contextualSpacing/>
    </w:pPr>
  </w:style>
  <w:style w:type="character" w:customStyle="1" w:styleId="LearningSequenceHeaderChar">
    <w:name w:val="*Learning Sequence Header Char"/>
    <w:basedOn w:val="Heading2Char"/>
    <w:link w:val="LearningSequenceHeader"/>
    <w:locked/>
    <w:rsid w:val="00CE2836"/>
    <w:rPr>
      <w:rFonts w:asciiTheme="minorHAnsi" w:hAnsiTheme="minorHAnsi" w:cs="Times New Roman"/>
      <w:b/>
      <w:bCs/>
      <w:i/>
      <w:color w:val="4F81BD"/>
      <w:sz w:val="28"/>
      <w:szCs w:val="26"/>
    </w:rPr>
  </w:style>
  <w:style w:type="paragraph" w:customStyle="1" w:styleId="TA">
    <w:name w:val="*TA*"/>
    <w:link w:val="TAChar"/>
    <w:qFormat/>
    <w:rsid w:val="00305CF1"/>
    <w:pPr>
      <w:spacing w:before="180" w:after="180" w:line="276" w:lineRule="auto"/>
    </w:pPr>
  </w:style>
  <w:style w:type="character" w:customStyle="1" w:styleId="TAChar">
    <w:name w:val="*TA* Char"/>
    <w:basedOn w:val="DefaultParagraphFont"/>
    <w:link w:val="TA"/>
    <w:locked/>
    <w:rsid w:val="00305CF1"/>
  </w:style>
  <w:style w:type="paragraph" w:customStyle="1" w:styleId="IN">
    <w:name w:val="*IN*"/>
    <w:link w:val="INChar"/>
    <w:qFormat/>
    <w:rsid w:val="00E15D0F"/>
    <w:pPr>
      <w:numPr>
        <w:numId w:val="13"/>
      </w:numPr>
      <w:spacing w:before="120" w:after="60" w:line="276" w:lineRule="auto"/>
      <w:ind w:left="360"/>
    </w:pPr>
    <w:rPr>
      <w:color w:val="4F81BD" w:themeColor="accent1"/>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qFormat/>
    <w:rsid w:val="00C94529"/>
    <w:pPr>
      <w:numPr>
        <w:numId w:val="12"/>
      </w:numPr>
      <w:spacing w:before="60" w:after="60" w:line="276" w:lineRule="auto"/>
      <w:ind w:left="360"/>
    </w:pPr>
  </w:style>
  <w:style w:type="character" w:customStyle="1" w:styleId="INChar">
    <w:name w:val="*IN* Char"/>
    <w:basedOn w:val="DefaultParagraphFont"/>
    <w:link w:val="IN"/>
    <w:locked/>
    <w:rsid w:val="00E15D0F"/>
    <w:rPr>
      <w:color w:val="4F81BD" w:themeColor="accent1"/>
    </w:rPr>
  </w:style>
  <w:style w:type="paragraph" w:customStyle="1" w:styleId="NumberedList">
    <w:name w:val="*Numbered List"/>
    <w:link w:val="NumberedListChar"/>
    <w:qFormat/>
    <w:rsid w:val="00C94529"/>
    <w:pPr>
      <w:numPr>
        <w:numId w:val="15"/>
      </w:numPr>
      <w:spacing w:after="60"/>
    </w:p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C94529"/>
    <w:rPr>
      <w:rFonts w:cs="Times New Roman"/>
      <w:sz w:val="22"/>
      <w:szCs w:val="22"/>
    </w:rPr>
  </w:style>
  <w:style w:type="paragraph" w:customStyle="1" w:styleId="TableHeaders">
    <w:name w:val="*TableHeaders"/>
    <w:basedOn w:val="Normal"/>
    <w:link w:val="TableHeadersChar"/>
    <w:qFormat/>
    <w:rsid w:val="00C94529"/>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F21CD9"/>
    <w:rPr>
      <w:rFonts w:cs="Times New Roman"/>
      <w:sz w:val="22"/>
      <w:szCs w:val="22"/>
    </w:rPr>
  </w:style>
  <w:style w:type="paragraph" w:customStyle="1" w:styleId="PageHeader">
    <w:name w:val="*PageHeader"/>
    <w:link w:val="PageHeaderChar"/>
    <w:qFormat/>
    <w:rsid w:val="00C94529"/>
    <w:pPr>
      <w:spacing w:before="120"/>
    </w:pPr>
    <w:rPr>
      <w:b/>
      <w:sz w:val="18"/>
    </w:rPr>
  </w:style>
  <w:style w:type="character" w:customStyle="1" w:styleId="TableHeadersChar">
    <w:name w:val="*TableHeaders Char"/>
    <w:basedOn w:val="DefaultParagraphFont"/>
    <w:link w:val="TableHeaders"/>
    <w:locked/>
    <w:rsid w:val="00B00346"/>
    <w:rPr>
      <w:b/>
      <w:color w:val="FFFFFF" w:themeColor="background1"/>
    </w:rPr>
  </w:style>
  <w:style w:type="paragraph" w:customStyle="1" w:styleId="Q">
    <w:name w:val="*Q*"/>
    <w:link w:val="QChar"/>
    <w:qFormat/>
    <w:rsid w:val="00C94529"/>
    <w:pPr>
      <w:spacing w:before="240" w:line="276" w:lineRule="auto"/>
    </w:pPr>
    <w:rPr>
      <w:b/>
    </w:rPr>
  </w:style>
  <w:style w:type="character" w:customStyle="1" w:styleId="PageHeaderChar">
    <w:name w:val="*PageHeader Char"/>
    <w:basedOn w:val="BodyTextChar"/>
    <w:link w:val="PageHeader"/>
    <w:locked/>
    <w:rsid w:val="00E946A0"/>
    <w:rPr>
      <w:rFonts w:cs="Times New Roman"/>
      <w:b/>
      <w:sz w:val="18"/>
    </w:rPr>
  </w:style>
  <w:style w:type="character" w:customStyle="1" w:styleId="QChar">
    <w:name w:val="*Q* Char"/>
    <w:basedOn w:val="ListParagraphChar"/>
    <w:link w:val="Q"/>
    <w:locked/>
    <w:rsid w:val="00356656"/>
    <w:rPr>
      <w:rFonts w:eastAsia="Times New Roman" w:cs="Times New Roman"/>
      <w:b/>
      <w:sz w:val="22"/>
    </w:rPr>
  </w:style>
  <w:style w:type="paragraph" w:customStyle="1" w:styleId="SASRBullet">
    <w:name w:val="*SA/SR Bullet"/>
    <w:basedOn w:val="Normal"/>
    <w:link w:val="SASRBulletChar"/>
    <w:qFormat/>
    <w:rsid w:val="00E15D0F"/>
    <w:pPr>
      <w:numPr>
        <w:ilvl w:val="1"/>
        <w:numId w:val="17"/>
      </w:numPr>
      <w:spacing w:before="120"/>
      <w:ind w:left="1080"/>
      <w:contextualSpacing/>
    </w:pPr>
  </w:style>
  <w:style w:type="paragraph" w:customStyle="1" w:styleId="INBullet">
    <w:name w:val="*IN* Bullet"/>
    <w:link w:val="INBulletChar"/>
    <w:qFormat/>
    <w:rsid w:val="00C94529"/>
    <w:pPr>
      <w:numPr>
        <w:numId w:val="14"/>
      </w:numPr>
      <w:spacing w:after="60" w:line="276" w:lineRule="auto"/>
    </w:pPr>
    <w:rPr>
      <w:color w:val="4F81BD" w:themeColor="accent1"/>
    </w:rPr>
  </w:style>
  <w:style w:type="character" w:customStyle="1" w:styleId="SASRBulletChar">
    <w:name w:val="*SA/SR Bullet Char"/>
    <w:basedOn w:val="DefaultParagraphFont"/>
    <w:link w:val="SASRBullet"/>
    <w:locked/>
    <w:rsid w:val="00E15D0F"/>
  </w:style>
  <w:style w:type="character" w:customStyle="1" w:styleId="INBulletChar">
    <w:name w:val="*IN* Bullet Char"/>
    <w:basedOn w:val="BulletedListChar"/>
    <w:link w:val="INBullet"/>
    <w:locked/>
    <w:rsid w:val="00356656"/>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C94529"/>
    <w:pPr>
      <w:numPr>
        <w:numId w:val="16"/>
      </w:numPr>
      <w:spacing w:before="120" w:line="276" w:lineRule="auto"/>
    </w:pPr>
  </w:style>
  <w:style w:type="paragraph" w:customStyle="1" w:styleId="SR">
    <w:name w:val="*SR*"/>
    <w:link w:val="SRChar"/>
    <w:qFormat/>
    <w:rsid w:val="00E15D0F"/>
    <w:pPr>
      <w:numPr>
        <w:numId w:val="18"/>
      </w:numPr>
      <w:spacing w:before="120" w:line="276" w:lineRule="auto"/>
      <w:ind w:left="720"/>
    </w:pPr>
  </w:style>
  <w:style w:type="character" w:customStyle="1" w:styleId="SAChar">
    <w:name w:val="*SA* Char"/>
    <w:basedOn w:val="ListParagraphChar"/>
    <w:link w:val="SA"/>
    <w:locked/>
    <w:rsid w:val="00F21CD9"/>
    <w:rPr>
      <w:rFonts w:eastAsia="Times New Roman" w:cs="Times New Roman"/>
      <w:sz w:val="22"/>
    </w:rPr>
  </w:style>
  <w:style w:type="character" w:customStyle="1" w:styleId="SRChar">
    <w:name w:val="*SR* Char"/>
    <w:basedOn w:val="ListParagraphChar"/>
    <w:link w:val="SR"/>
    <w:locked/>
    <w:rsid w:val="00E15D0F"/>
    <w:rPr>
      <w:rFonts w:eastAsia="Times New Roman" w:cs="Times New Roman"/>
      <w:sz w:val="22"/>
    </w:rPr>
  </w:style>
  <w:style w:type="paragraph" w:customStyle="1" w:styleId="BR">
    <w:name w:val="*BR*"/>
    <w:link w:val="BRChar"/>
    <w:qFormat/>
    <w:rsid w:val="00C94529"/>
    <w:pPr>
      <w:pBdr>
        <w:bottom w:val="single" w:sz="12" w:space="1" w:color="7F7F7F" w:themeColor="text1" w:themeTint="80"/>
      </w:pBdr>
      <w:spacing w:after="360"/>
      <w:ind w:left="2880" w:right="2880"/>
    </w:pPr>
    <w:rPr>
      <w:sz w:val="18"/>
    </w:rPr>
  </w:style>
  <w:style w:type="paragraph" w:customStyle="1" w:styleId="FooterText">
    <w:name w:val="*FooterText"/>
    <w:link w:val="FooterTextChar"/>
    <w:qFormat/>
    <w:rsid w:val="00C94529"/>
    <w:pPr>
      <w:spacing w:line="200" w:lineRule="exact"/>
    </w:pPr>
    <w:rPr>
      <w:rFonts w:eastAsia="Verdana" w:cs="Calibri"/>
      <w:b/>
      <w:color w:val="595959"/>
      <w:sz w:val="14"/>
    </w:rPr>
  </w:style>
  <w:style w:type="character" w:customStyle="1" w:styleId="BRChar">
    <w:name w:val="*BR* Char"/>
    <w:basedOn w:val="DefaultParagraphFont"/>
    <w:link w:val="BR"/>
    <w:locked/>
    <w:rsid w:val="00EA3693"/>
    <w:rPr>
      <w:sz w:val="18"/>
    </w:rPr>
  </w:style>
  <w:style w:type="character" w:customStyle="1" w:styleId="folioChar">
    <w:name w:val="folio Char"/>
    <w:basedOn w:val="DefaultParagraphFont"/>
    <w:link w:val="folio"/>
    <w:locked/>
    <w:rsid w:val="00880AAD"/>
    <w:rPr>
      <w:rFonts w:ascii="Verdana" w:hAnsi="Verdana" w:cs="Verdana"/>
      <w:color w:val="595959"/>
      <w:sz w:val="22"/>
      <w:szCs w:val="22"/>
    </w:rPr>
  </w:style>
  <w:style w:type="character" w:customStyle="1" w:styleId="FooterTextChar">
    <w:name w:val="FooterText Char"/>
    <w:basedOn w:val="folioChar"/>
    <w:link w:val="FooterText"/>
    <w:locked/>
    <w:rsid w:val="00880AAD"/>
    <w:rPr>
      <w:rFonts w:ascii="Verdana" w:eastAsia="Verdana" w:hAnsi="Verdana" w:cs="Calibri"/>
      <w:b/>
      <w:color w:val="595959"/>
      <w:sz w:val="14"/>
      <w:szCs w:val="22"/>
    </w:rPr>
  </w:style>
  <w:style w:type="paragraph" w:customStyle="1" w:styleId="TableText">
    <w:name w:val="*TableText"/>
    <w:link w:val="TableTextChar"/>
    <w:qFormat/>
    <w:rsid w:val="00C94529"/>
    <w:pPr>
      <w:spacing w:before="40" w:after="40" w:line="276" w:lineRule="auto"/>
    </w:pPr>
  </w:style>
  <w:style w:type="character" w:customStyle="1" w:styleId="TableTextChar">
    <w:name w:val="*TableText Char"/>
    <w:basedOn w:val="DefaultParagraphFont"/>
    <w:link w:val="TableText"/>
    <w:locked/>
    <w:rsid w:val="008151E5"/>
  </w:style>
  <w:style w:type="paragraph" w:customStyle="1" w:styleId="ToolHeader">
    <w:name w:val="*ToolHeader"/>
    <w:qFormat/>
    <w:rsid w:val="00C94529"/>
    <w:pPr>
      <w:spacing w:after="120"/>
    </w:pPr>
    <w:rPr>
      <w:rFonts w:asciiTheme="minorHAnsi" w:hAnsiTheme="minorHAnsi"/>
      <w:b/>
      <w:bCs/>
      <w:color w:val="365F91"/>
      <w:sz w:val="32"/>
      <w:szCs w:val="28"/>
    </w:rPr>
  </w:style>
  <w:style w:type="paragraph" w:customStyle="1" w:styleId="ToolTableText">
    <w:name w:val="*ToolTableText"/>
    <w:qFormat/>
    <w:rsid w:val="00C94529"/>
    <w:pPr>
      <w:spacing w:before="40" w:after="120"/>
    </w:pPr>
  </w:style>
  <w:style w:type="paragraph" w:customStyle="1" w:styleId="Normal1">
    <w:name w:val="Normal1"/>
    <w:uiPriority w:val="99"/>
    <w:rsid w:val="00916410"/>
    <w:pPr>
      <w:contextualSpacing/>
    </w:pPr>
    <w:rPr>
      <w:rFonts w:ascii="Cambria" w:eastAsia="Times New Roman" w:hAnsi="Cambria" w:cs="Cambria"/>
      <w:color w:val="000000"/>
      <w:sz w:val="24"/>
      <w:szCs w:val="24"/>
      <w:lang w:eastAsia="ja-JP"/>
    </w:rPr>
  </w:style>
  <w:style w:type="character" w:customStyle="1" w:styleId="author">
    <w:name w:val="author"/>
    <w:basedOn w:val="DefaultParagraphFont"/>
    <w:uiPriority w:val="99"/>
    <w:rsid w:val="00733719"/>
    <w:rPr>
      <w:rFonts w:cs="Times New Roman"/>
    </w:rPr>
  </w:style>
  <w:style w:type="character" w:styleId="Emphasis">
    <w:name w:val="Emphasis"/>
    <w:basedOn w:val="DefaultParagraphFont"/>
    <w:uiPriority w:val="99"/>
    <w:qFormat/>
    <w:rsid w:val="00982DBA"/>
    <w:rPr>
      <w:rFonts w:cs="Times New Roman"/>
      <w:i/>
      <w:iCs/>
    </w:rPr>
  </w:style>
  <w:style w:type="paragraph" w:customStyle="1" w:styleId="InstructionalNote">
    <w:name w:val="Instructional Note"/>
    <w:basedOn w:val="IN"/>
    <w:link w:val="InstructionalNoteChar"/>
    <w:qFormat/>
    <w:rsid w:val="0068424B"/>
    <w:rPr>
      <w:rFonts w:eastAsia="Times New Roman"/>
      <w:szCs w:val="20"/>
    </w:rPr>
  </w:style>
  <w:style w:type="paragraph" w:customStyle="1" w:styleId="TeacherAction">
    <w:name w:val="Teacher Action"/>
    <w:basedOn w:val="TA"/>
    <w:link w:val="TeacherActionChar"/>
    <w:qFormat/>
    <w:rsid w:val="0068424B"/>
  </w:style>
  <w:style w:type="character" w:customStyle="1" w:styleId="InstructionalNoteChar">
    <w:name w:val="Instructional Note Char"/>
    <w:basedOn w:val="INChar"/>
    <w:link w:val="InstructionalNote"/>
    <w:rsid w:val="0068424B"/>
    <w:rPr>
      <w:rFonts w:eastAsia="Times New Roman" w:cs="Times New Roman"/>
      <w:color w:val="4F81BD"/>
      <w:sz w:val="22"/>
      <w:szCs w:val="20"/>
      <w:lang w:val="en-US" w:eastAsia="en-US" w:bidi="ar-SA"/>
    </w:rPr>
  </w:style>
  <w:style w:type="paragraph" w:customStyle="1" w:styleId="Question">
    <w:name w:val="Question"/>
    <w:basedOn w:val="Q"/>
    <w:link w:val="QuestionChar"/>
    <w:qFormat/>
    <w:rsid w:val="0068424B"/>
  </w:style>
  <w:style w:type="character" w:customStyle="1" w:styleId="TeacherActionChar">
    <w:name w:val="Teacher Action Char"/>
    <w:basedOn w:val="TAChar"/>
    <w:link w:val="TeacherAction"/>
    <w:rsid w:val="0068424B"/>
    <w:rPr>
      <w:rFonts w:cs="Times New Roman"/>
      <w:sz w:val="22"/>
      <w:szCs w:val="22"/>
      <w:lang w:val="en-US" w:eastAsia="en-US" w:bidi="ar-SA"/>
    </w:rPr>
  </w:style>
  <w:style w:type="paragraph" w:customStyle="1" w:styleId="StudentResponse">
    <w:name w:val="Student Response"/>
    <w:basedOn w:val="SR"/>
    <w:link w:val="StudentResponseChar"/>
    <w:qFormat/>
    <w:rsid w:val="0068424B"/>
  </w:style>
  <w:style w:type="character" w:customStyle="1" w:styleId="QuestionChar">
    <w:name w:val="Question Char"/>
    <w:basedOn w:val="QChar"/>
    <w:link w:val="Question"/>
    <w:rsid w:val="0068424B"/>
    <w:rPr>
      <w:rFonts w:eastAsia="Times New Roman" w:cs="Times New Roman"/>
      <w:b/>
      <w:sz w:val="22"/>
      <w:szCs w:val="22"/>
      <w:lang w:val="en-US" w:eastAsia="en-US" w:bidi="ar-SA"/>
    </w:rPr>
  </w:style>
  <w:style w:type="paragraph" w:styleId="Revision">
    <w:name w:val="Revision"/>
    <w:hidden/>
    <w:uiPriority w:val="99"/>
    <w:semiHidden/>
    <w:rsid w:val="00784786"/>
  </w:style>
  <w:style w:type="character" w:customStyle="1" w:styleId="StudentResponseChar">
    <w:name w:val="Student Response Char"/>
    <w:basedOn w:val="SRChar"/>
    <w:link w:val="StudentResponse"/>
    <w:rsid w:val="0068424B"/>
    <w:rPr>
      <w:rFonts w:eastAsia="Times New Roman" w:cs="Times New Roman"/>
      <w:sz w:val="22"/>
      <w:szCs w:val="22"/>
      <w:lang w:val="en-US" w:eastAsia="en-US" w:bidi="ar-SA"/>
    </w:rPr>
  </w:style>
  <w:style w:type="paragraph" w:customStyle="1" w:styleId="StudentAction">
    <w:name w:val="Student Action"/>
    <w:basedOn w:val="SA"/>
    <w:link w:val="StudentActionChar"/>
    <w:qFormat/>
    <w:rsid w:val="0015648C"/>
  </w:style>
  <w:style w:type="character" w:customStyle="1" w:styleId="StudentActionChar">
    <w:name w:val="Student Action Char"/>
    <w:basedOn w:val="SAChar"/>
    <w:link w:val="StudentAction"/>
    <w:rsid w:val="0015648C"/>
    <w:rPr>
      <w:rFonts w:eastAsia="Times New Roman" w:cs="Times New Roman"/>
      <w:sz w:val="22"/>
      <w:szCs w:val="22"/>
      <w:lang w:val="en-US" w:eastAsia="en-US" w:bidi="ar-SA"/>
    </w:rPr>
  </w:style>
  <w:style w:type="character" w:customStyle="1" w:styleId="Heading4Char">
    <w:name w:val="Heading 4 Char"/>
    <w:basedOn w:val="DefaultParagraphFont"/>
    <w:link w:val="Heading4"/>
    <w:rsid w:val="00F275FD"/>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qFormat/>
    <w:locked/>
    <w:rsid w:val="00F275F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275FD"/>
    <w:rPr>
      <w:rFonts w:asciiTheme="majorHAnsi" w:eastAsiaTheme="majorEastAsia" w:hAnsiTheme="majorHAnsi" w:cstheme="majorBidi"/>
      <w:i/>
      <w:iCs/>
      <w:color w:val="4F81BD" w:themeColor="accent1"/>
      <w:spacing w:val="15"/>
      <w:sz w:val="24"/>
      <w:szCs w:val="24"/>
    </w:rPr>
  </w:style>
  <w:style w:type="paragraph" w:customStyle="1" w:styleId="BREAK">
    <w:name w:val="BREAK"/>
    <w:basedOn w:val="TA"/>
    <w:qFormat/>
    <w:rsid w:val="00F235E8"/>
  </w:style>
  <w:style w:type="paragraph" w:customStyle="1" w:styleId="ExcerptAuthor">
    <w:name w:val="*ExcerptAuthor"/>
    <w:basedOn w:val="Normal"/>
    <w:qFormat/>
    <w:rsid w:val="00C94529"/>
    <w:pPr>
      <w:jc w:val="center"/>
    </w:pPr>
    <w:rPr>
      <w:rFonts w:asciiTheme="majorHAnsi" w:hAnsiTheme="majorHAnsi"/>
      <w:b/>
    </w:rPr>
  </w:style>
  <w:style w:type="paragraph" w:customStyle="1" w:styleId="ExcerptBody">
    <w:name w:val="*ExcerptBody"/>
    <w:basedOn w:val="Normal"/>
    <w:qFormat/>
    <w:rsid w:val="00C94529"/>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C94529"/>
    <w:pPr>
      <w:jc w:val="center"/>
    </w:pPr>
    <w:rPr>
      <w:rFonts w:asciiTheme="majorHAnsi" w:hAnsiTheme="majorHAnsi"/>
      <w:b/>
      <w:smallCap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873551">
      <w:marLeft w:val="0"/>
      <w:marRight w:val="0"/>
      <w:marTop w:val="0"/>
      <w:marBottom w:val="0"/>
      <w:divBdr>
        <w:top w:val="none" w:sz="0" w:space="0" w:color="auto"/>
        <w:left w:val="none" w:sz="0" w:space="0" w:color="auto"/>
        <w:bottom w:val="none" w:sz="0" w:space="0" w:color="auto"/>
        <w:right w:val="none" w:sz="0" w:space="0" w:color="auto"/>
      </w:divBdr>
      <w:divsChild>
        <w:div w:id="1904873538">
          <w:marLeft w:val="0"/>
          <w:marRight w:val="0"/>
          <w:marTop w:val="0"/>
          <w:marBottom w:val="0"/>
          <w:divBdr>
            <w:top w:val="none" w:sz="0" w:space="0" w:color="auto"/>
            <w:left w:val="none" w:sz="0" w:space="0" w:color="auto"/>
            <w:bottom w:val="none" w:sz="0" w:space="0" w:color="auto"/>
            <w:right w:val="none" w:sz="0" w:space="0" w:color="auto"/>
          </w:divBdr>
        </w:div>
        <w:div w:id="1904873540">
          <w:marLeft w:val="0"/>
          <w:marRight w:val="0"/>
          <w:marTop w:val="0"/>
          <w:marBottom w:val="0"/>
          <w:divBdr>
            <w:top w:val="none" w:sz="0" w:space="0" w:color="auto"/>
            <w:left w:val="none" w:sz="0" w:space="0" w:color="auto"/>
            <w:bottom w:val="none" w:sz="0" w:space="0" w:color="auto"/>
            <w:right w:val="none" w:sz="0" w:space="0" w:color="auto"/>
          </w:divBdr>
        </w:div>
        <w:div w:id="1904873542">
          <w:marLeft w:val="0"/>
          <w:marRight w:val="0"/>
          <w:marTop w:val="0"/>
          <w:marBottom w:val="0"/>
          <w:divBdr>
            <w:top w:val="none" w:sz="0" w:space="0" w:color="auto"/>
            <w:left w:val="none" w:sz="0" w:space="0" w:color="auto"/>
            <w:bottom w:val="none" w:sz="0" w:space="0" w:color="auto"/>
            <w:right w:val="none" w:sz="0" w:space="0" w:color="auto"/>
          </w:divBdr>
        </w:div>
        <w:div w:id="1904873543">
          <w:marLeft w:val="0"/>
          <w:marRight w:val="0"/>
          <w:marTop w:val="0"/>
          <w:marBottom w:val="0"/>
          <w:divBdr>
            <w:top w:val="none" w:sz="0" w:space="0" w:color="auto"/>
            <w:left w:val="none" w:sz="0" w:space="0" w:color="auto"/>
            <w:bottom w:val="none" w:sz="0" w:space="0" w:color="auto"/>
            <w:right w:val="none" w:sz="0" w:space="0" w:color="auto"/>
          </w:divBdr>
        </w:div>
        <w:div w:id="1904873544">
          <w:marLeft w:val="0"/>
          <w:marRight w:val="0"/>
          <w:marTop w:val="0"/>
          <w:marBottom w:val="0"/>
          <w:divBdr>
            <w:top w:val="none" w:sz="0" w:space="0" w:color="auto"/>
            <w:left w:val="none" w:sz="0" w:space="0" w:color="auto"/>
            <w:bottom w:val="none" w:sz="0" w:space="0" w:color="auto"/>
            <w:right w:val="none" w:sz="0" w:space="0" w:color="auto"/>
          </w:divBdr>
        </w:div>
        <w:div w:id="1904873545">
          <w:marLeft w:val="0"/>
          <w:marRight w:val="0"/>
          <w:marTop w:val="0"/>
          <w:marBottom w:val="0"/>
          <w:divBdr>
            <w:top w:val="none" w:sz="0" w:space="0" w:color="auto"/>
            <w:left w:val="none" w:sz="0" w:space="0" w:color="auto"/>
            <w:bottom w:val="none" w:sz="0" w:space="0" w:color="auto"/>
            <w:right w:val="none" w:sz="0" w:space="0" w:color="auto"/>
          </w:divBdr>
        </w:div>
        <w:div w:id="1904873547">
          <w:marLeft w:val="0"/>
          <w:marRight w:val="0"/>
          <w:marTop w:val="0"/>
          <w:marBottom w:val="0"/>
          <w:divBdr>
            <w:top w:val="none" w:sz="0" w:space="0" w:color="auto"/>
            <w:left w:val="none" w:sz="0" w:space="0" w:color="auto"/>
            <w:bottom w:val="none" w:sz="0" w:space="0" w:color="auto"/>
            <w:right w:val="none" w:sz="0" w:space="0" w:color="auto"/>
          </w:divBdr>
        </w:div>
        <w:div w:id="1904873550">
          <w:marLeft w:val="0"/>
          <w:marRight w:val="0"/>
          <w:marTop w:val="0"/>
          <w:marBottom w:val="0"/>
          <w:divBdr>
            <w:top w:val="none" w:sz="0" w:space="0" w:color="auto"/>
            <w:left w:val="none" w:sz="0" w:space="0" w:color="auto"/>
            <w:bottom w:val="none" w:sz="0" w:space="0" w:color="auto"/>
            <w:right w:val="none" w:sz="0" w:space="0" w:color="auto"/>
          </w:divBdr>
        </w:div>
        <w:div w:id="1904873553">
          <w:marLeft w:val="0"/>
          <w:marRight w:val="0"/>
          <w:marTop w:val="0"/>
          <w:marBottom w:val="0"/>
          <w:divBdr>
            <w:top w:val="none" w:sz="0" w:space="0" w:color="auto"/>
            <w:left w:val="none" w:sz="0" w:space="0" w:color="auto"/>
            <w:bottom w:val="none" w:sz="0" w:space="0" w:color="auto"/>
            <w:right w:val="none" w:sz="0" w:space="0" w:color="auto"/>
          </w:divBdr>
        </w:div>
        <w:div w:id="1904873555">
          <w:marLeft w:val="0"/>
          <w:marRight w:val="0"/>
          <w:marTop w:val="0"/>
          <w:marBottom w:val="0"/>
          <w:divBdr>
            <w:top w:val="none" w:sz="0" w:space="0" w:color="auto"/>
            <w:left w:val="none" w:sz="0" w:space="0" w:color="auto"/>
            <w:bottom w:val="none" w:sz="0" w:space="0" w:color="auto"/>
            <w:right w:val="none" w:sz="0" w:space="0" w:color="auto"/>
          </w:divBdr>
        </w:div>
        <w:div w:id="1904873556">
          <w:marLeft w:val="0"/>
          <w:marRight w:val="0"/>
          <w:marTop w:val="0"/>
          <w:marBottom w:val="0"/>
          <w:divBdr>
            <w:top w:val="none" w:sz="0" w:space="0" w:color="auto"/>
            <w:left w:val="none" w:sz="0" w:space="0" w:color="auto"/>
            <w:bottom w:val="none" w:sz="0" w:space="0" w:color="auto"/>
            <w:right w:val="none" w:sz="0" w:space="0" w:color="auto"/>
          </w:divBdr>
        </w:div>
        <w:div w:id="1904873558">
          <w:marLeft w:val="0"/>
          <w:marRight w:val="0"/>
          <w:marTop w:val="0"/>
          <w:marBottom w:val="0"/>
          <w:divBdr>
            <w:top w:val="none" w:sz="0" w:space="0" w:color="auto"/>
            <w:left w:val="none" w:sz="0" w:space="0" w:color="auto"/>
            <w:bottom w:val="none" w:sz="0" w:space="0" w:color="auto"/>
            <w:right w:val="none" w:sz="0" w:space="0" w:color="auto"/>
          </w:divBdr>
        </w:div>
        <w:div w:id="1904873559">
          <w:marLeft w:val="0"/>
          <w:marRight w:val="0"/>
          <w:marTop w:val="0"/>
          <w:marBottom w:val="0"/>
          <w:divBdr>
            <w:top w:val="none" w:sz="0" w:space="0" w:color="auto"/>
            <w:left w:val="none" w:sz="0" w:space="0" w:color="auto"/>
            <w:bottom w:val="none" w:sz="0" w:space="0" w:color="auto"/>
            <w:right w:val="none" w:sz="0" w:space="0" w:color="auto"/>
          </w:divBdr>
        </w:div>
        <w:div w:id="1904873560">
          <w:marLeft w:val="0"/>
          <w:marRight w:val="0"/>
          <w:marTop w:val="0"/>
          <w:marBottom w:val="0"/>
          <w:divBdr>
            <w:top w:val="none" w:sz="0" w:space="0" w:color="auto"/>
            <w:left w:val="none" w:sz="0" w:space="0" w:color="auto"/>
            <w:bottom w:val="none" w:sz="0" w:space="0" w:color="auto"/>
            <w:right w:val="none" w:sz="0" w:space="0" w:color="auto"/>
          </w:divBdr>
        </w:div>
        <w:div w:id="1904873564">
          <w:marLeft w:val="0"/>
          <w:marRight w:val="0"/>
          <w:marTop w:val="0"/>
          <w:marBottom w:val="0"/>
          <w:divBdr>
            <w:top w:val="none" w:sz="0" w:space="0" w:color="auto"/>
            <w:left w:val="none" w:sz="0" w:space="0" w:color="auto"/>
            <w:bottom w:val="none" w:sz="0" w:space="0" w:color="auto"/>
            <w:right w:val="none" w:sz="0" w:space="0" w:color="auto"/>
          </w:divBdr>
        </w:div>
        <w:div w:id="1904873565">
          <w:marLeft w:val="0"/>
          <w:marRight w:val="0"/>
          <w:marTop w:val="0"/>
          <w:marBottom w:val="0"/>
          <w:divBdr>
            <w:top w:val="none" w:sz="0" w:space="0" w:color="auto"/>
            <w:left w:val="none" w:sz="0" w:space="0" w:color="auto"/>
            <w:bottom w:val="none" w:sz="0" w:space="0" w:color="auto"/>
            <w:right w:val="none" w:sz="0" w:space="0" w:color="auto"/>
          </w:divBdr>
        </w:div>
        <w:div w:id="1904873569">
          <w:marLeft w:val="0"/>
          <w:marRight w:val="0"/>
          <w:marTop w:val="0"/>
          <w:marBottom w:val="0"/>
          <w:divBdr>
            <w:top w:val="none" w:sz="0" w:space="0" w:color="auto"/>
            <w:left w:val="none" w:sz="0" w:space="0" w:color="auto"/>
            <w:bottom w:val="none" w:sz="0" w:space="0" w:color="auto"/>
            <w:right w:val="none" w:sz="0" w:space="0" w:color="auto"/>
          </w:divBdr>
        </w:div>
        <w:div w:id="1904873570">
          <w:marLeft w:val="0"/>
          <w:marRight w:val="0"/>
          <w:marTop w:val="0"/>
          <w:marBottom w:val="0"/>
          <w:divBdr>
            <w:top w:val="none" w:sz="0" w:space="0" w:color="auto"/>
            <w:left w:val="none" w:sz="0" w:space="0" w:color="auto"/>
            <w:bottom w:val="none" w:sz="0" w:space="0" w:color="auto"/>
            <w:right w:val="none" w:sz="0" w:space="0" w:color="auto"/>
          </w:divBdr>
        </w:div>
        <w:div w:id="1904873571">
          <w:marLeft w:val="0"/>
          <w:marRight w:val="0"/>
          <w:marTop w:val="0"/>
          <w:marBottom w:val="0"/>
          <w:divBdr>
            <w:top w:val="none" w:sz="0" w:space="0" w:color="auto"/>
            <w:left w:val="none" w:sz="0" w:space="0" w:color="auto"/>
            <w:bottom w:val="none" w:sz="0" w:space="0" w:color="auto"/>
            <w:right w:val="none" w:sz="0" w:space="0" w:color="auto"/>
          </w:divBdr>
        </w:div>
        <w:div w:id="1904873572">
          <w:marLeft w:val="0"/>
          <w:marRight w:val="0"/>
          <w:marTop w:val="0"/>
          <w:marBottom w:val="0"/>
          <w:divBdr>
            <w:top w:val="none" w:sz="0" w:space="0" w:color="auto"/>
            <w:left w:val="none" w:sz="0" w:space="0" w:color="auto"/>
            <w:bottom w:val="none" w:sz="0" w:space="0" w:color="auto"/>
            <w:right w:val="none" w:sz="0" w:space="0" w:color="auto"/>
          </w:divBdr>
        </w:div>
        <w:div w:id="1904873573">
          <w:marLeft w:val="0"/>
          <w:marRight w:val="0"/>
          <w:marTop w:val="0"/>
          <w:marBottom w:val="0"/>
          <w:divBdr>
            <w:top w:val="none" w:sz="0" w:space="0" w:color="auto"/>
            <w:left w:val="none" w:sz="0" w:space="0" w:color="auto"/>
            <w:bottom w:val="none" w:sz="0" w:space="0" w:color="auto"/>
            <w:right w:val="none" w:sz="0" w:space="0" w:color="auto"/>
          </w:divBdr>
        </w:div>
        <w:div w:id="1904873575">
          <w:marLeft w:val="0"/>
          <w:marRight w:val="0"/>
          <w:marTop w:val="0"/>
          <w:marBottom w:val="0"/>
          <w:divBdr>
            <w:top w:val="none" w:sz="0" w:space="0" w:color="auto"/>
            <w:left w:val="none" w:sz="0" w:space="0" w:color="auto"/>
            <w:bottom w:val="none" w:sz="0" w:space="0" w:color="auto"/>
            <w:right w:val="none" w:sz="0" w:space="0" w:color="auto"/>
          </w:divBdr>
        </w:div>
        <w:div w:id="1904873576">
          <w:marLeft w:val="0"/>
          <w:marRight w:val="0"/>
          <w:marTop w:val="0"/>
          <w:marBottom w:val="0"/>
          <w:divBdr>
            <w:top w:val="none" w:sz="0" w:space="0" w:color="auto"/>
            <w:left w:val="none" w:sz="0" w:space="0" w:color="auto"/>
            <w:bottom w:val="none" w:sz="0" w:space="0" w:color="auto"/>
            <w:right w:val="none" w:sz="0" w:space="0" w:color="auto"/>
          </w:divBdr>
        </w:div>
        <w:div w:id="1904873578">
          <w:marLeft w:val="0"/>
          <w:marRight w:val="0"/>
          <w:marTop w:val="0"/>
          <w:marBottom w:val="0"/>
          <w:divBdr>
            <w:top w:val="none" w:sz="0" w:space="0" w:color="auto"/>
            <w:left w:val="none" w:sz="0" w:space="0" w:color="auto"/>
            <w:bottom w:val="none" w:sz="0" w:space="0" w:color="auto"/>
            <w:right w:val="none" w:sz="0" w:space="0" w:color="auto"/>
          </w:divBdr>
        </w:div>
        <w:div w:id="1904873580">
          <w:marLeft w:val="0"/>
          <w:marRight w:val="0"/>
          <w:marTop w:val="0"/>
          <w:marBottom w:val="0"/>
          <w:divBdr>
            <w:top w:val="none" w:sz="0" w:space="0" w:color="auto"/>
            <w:left w:val="none" w:sz="0" w:space="0" w:color="auto"/>
            <w:bottom w:val="none" w:sz="0" w:space="0" w:color="auto"/>
            <w:right w:val="none" w:sz="0" w:space="0" w:color="auto"/>
          </w:divBdr>
        </w:div>
        <w:div w:id="1904873584">
          <w:marLeft w:val="0"/>
          <w:marRight w:val="0"/>
          <w:marTop w:val="0"/>
          <w:marBottom w:val="0"/>
          <w:divBdr>
            <w:top w:val="none" w:sz="0" w:space="0" w:color="auto"/>
            <w:left w:val="none" w:sz="0" w:space="0" w:color="auto"/>
            <w:bottom w:val="none" w:sz="0" w:space="0" w:color="auto"/>
            <w:right w:val="none" w:sz="0" w:space="0" w:color="auto"/>
          </w:divBdr>
        </w:div>
        <w:div w:id="1904873585">
          <w:marLeft w:val="0"/>
          <w:marRight w:val="0"/>
          <w:marTop w:val="0"/>
          <w:marBottom w:val="0"/>
          <w:divBdr>
            <w:top w:val="none" w:sz="0" w:space="0" w:color="auto"/>
            <w:left w:val="none" w:sz="0" w:space="0" w:color="auto"/>
            <w:bottom w:val="none" w:sz="0" w:space="0" w:color="auto"/>
            <w:right w:val="none" w:sz="0" w:space="0" w:color="auto"/>
          </w:divBdr>
        </w:div>
        <w:div w:id="1904873586">
          <w:marLeft w:val="0"/>
          <w:marRight w:val="0"/>
          <w:marTop w:val="0"/>
          <w:marBottom w:val="0"/>
          <w:divBdr>
            <w:top w:val="none" w:sz="0" w:space="0" w:color="auto"/>
            <w:left w:val="none" w:sz="0" w:space="0" w:color="auto"/>
            <w:bottom w:val="none" w:sz="0" w:space="0" w:color="auto"/>
            <w:right w:val="none" w:sz="0" w:space="0" w:color="auto"/>
          </w:divBdr>
        </w:div>
        <w:div w:id="1904873588">
          <w:marLeft w:val="0"/>
          <w:marRight w:val="0"/>
          <w:marTop w:val="0"/>
          <w:marBottom w:val="0"/>
          <w:divBdr>
            <w:top w:val="none" w:sz="0" w:space="0" w:color="auto"/>
            <w:left w:val="none" w:sz="0" w:space="0" w:color="auto"/>
            <w:bottom w:val="none" w:sz="0" w:space="0" w:color="auto"/>
            <w:right w:val="none" w:sz="0" w:space="0" w:color="auto"/>
          </w:divBdr>
        </w:div>
        <w:div w:id="1904873592">
          <w:marLeft w:val="0"/>
          <w:marRight w:val="0"/>
          <w:marTop w:val="0"/>
          <w:marBottom w:val="0"/>
          <w:divBdr>
            <w:top w:val="none" w:sz="0" w:space="0" w:color="auto"/>
            <w:left w:val="none" w:sz="0" w:space="0" w:color="auto"/>
            <w:bottom w:val="none" w:sz="0" w:space="0" w:color="auto"/>
            <w:right w:val="none" w:sz="0" w:space="0" w:color="auto"/>
          </w:divBdr>
        </w:div>
      </w:divsChild>
    </w:div>
    <w:div w:id="1904873562">
      <w:marLeft w:val="0"/>
      <w:marRight w:val="0"/>
      <w:marTop w:val="0"/>
      <w:marBottom w:val="0"/>
      <w:divBdr>
        <w:top w:val="none" w:sz="0" w:space="0" w:color="auto"/>
        <w:left w:val="none" w:sz="0" w:space="0" w:color="auto"/>
        <w:bottom w:val="none" w:sz="0" w:space="0" w:color="auto"/>
        <w:right w:val="none" w:sz="0" w:space="0" w:color="auto"/>
      </w:divBdr>
      <w:divsChild>
        <w:div w:id="1904873568">
          <w:marLeft w:val="0"/>
          <w:marRight w:val="0"/>
          <w:marTop w:val="0"/>
          <w:marBottom w:val="0"/>
          <w:divBdr>
            <w:top w:val="none" w:sz="0" w:space="0" w:color="auto"/>
            <w:left w:val="none" w:sz="0" w:space="0" w:color="auto"/>
            <w:bottom w:val="none" w:sz="0" w:space="0" w:color="auto"/>
            <w:right w:val="none" w:sz="0" w:space="0" w:color="auto"/>
          </w:divBdr>
        </w:div>
      </w:divsChild>
    </w:div>
    <w:div w:id="1904873579">
      <w:marLeft w:val="0"/>
      <w:marRight w:val="0"/>
      <w:marTop w:val="0"/>
      <w:marBottom w:val="0"/>
      <w:divBdr>
        <w:top w:val="none" w:sz="0" w:space="0" w:color="auto"/>
        <w:left w:val="none" w:sz="0" w:space="0" w:color="auto"/>
        <w:bottom w:val="none" w:sz="0" w:space="0" w:color="auto"/>
        <w:right w:val="none" w:sz="0" w:space="0" w:color="auto"/>
      </w:divBdr>
      <w:divsChild>
        <w:div w:id="1904873589">
          <w:marLeft w:val="0"/>
          <w:marRight w:val="0"/>
          <w:marTop w:val="0"/>
          <w:marBottom w:val="0"/>
          <w:divBdr>
            <w:top w:val="none" w:sz="0" w:space="0" w:color="auto"/>
            <w:left w:val="none" w:sz="0" w:space="0" w:color="auto"/>
            <w:bottom w:val="none" w:sz="0" w:space="0" w:color="auto"/>
            <w:right w:val="none" w:sz="0" w:space="0" w:color="auto"/>
          </w:divBdr>
        </w:div>
        <w:div w:id="1904873593">
          <w:marLeft w:val="0"/>
          <w:marRight w:val="0"/>
          <w:marTop w:val="0"/>
          <w:marBottom w:val="0"/>
          <w:divBdr>
            <w:top w:val="none" w:sz="0" w:space="0" w:color="auto"/>
            <w:left w:val="none" w:sz="0" w:space="0" w:color="auto"/>
            <w:bottom w:val="none" w:sz="0" w:space="0" w:color="auto"/>
            <w:right w:val="none" w:sz="0" w:space="0" w:color="auto"/>
          </w:divBdr>
          <w:divsChild>
            <w:div w:id="1904873546">
              <w:marLeft w:val="0"/>
              <w:marRight w:val="0"/>
              <w:marTop w:val="375"/>
              <w:marBottom w:val="0"/>
              <w:divBdr>
                <w:top w:val="none" w:sz="0" w:space="0" w:color="auto"/>
                <w:left w:val="none" w:sz="0" w:space="0" w:color="auto"/>
                <w:bottom w:val="none" w:sz="0" w:space="0" w:color="auto"/>
                <w:right w:val="none" w:sz="0" w:space="0" w:color="auto"/>
              </w:divBdr>
              <w:divsChild>
                <w:div w:id="1904873539">
                  <w:marLeft w:val="0"/>
                  <w:marRight w:val="0"/>
                  <w:marTop w:val="0"/>
                  <w:marBottom w:val="0"/>
                  <w:divBdr>
                    <w:top w:val="none" w:sz="0" w:space="0" w:color="auto"/>
                    <w:left w:val="none" w:sz="0" w:space="0" w:color="auto"/>
                    <w:bottom w:val="none" w:sz="0" w:space="0" w:color="auto"/>
                    <w:right w:val="none" w:sz="0" w:space="0" w:color="auto"/>
                  </w:divBdr>
                </w:div>
                <w:div w:id="1904873541">
                  <w:marLeft w:val="0"/>
                  <w:marRight w:val="0"/>
                  <w:marTop w:val="0"/>
                  <w:marBottom w:val="0"/>
                  <w:divBdr>
                    <w:top w:val="none" w:sz="0" w:space="0" w:color="auto"/>
                    <w:left w:val="none" w:sz="0" w:space="0" w:color="auto"/>
                    <w:bottom w:val="none" w:sz="0" w:space="0" w:color="auto"/>
                    <w:right w:val="none" w:sz="0" w:space="0" w:color="auto"/>
                  </w:divBdr>
                </w:div>
                <w:div w:id="1904873548">
                  <w:marLeft w:val="0"/>
                  <w:marRight w:val="0"/>
                  <w:marTop w:val="0"/>
                  <w:marBottom w:val="0"/>
                  <w:divBdr>
                    <w:top w:val="none" w:sz="0" w:space="0" w:color="auto"/>
                    <w:left w:val="none" w:sz="0" w:space="0" w:color="auto"/>
                    <w:bottom w:val="none" w:sz="0" w:space="0" w:color="auto"/>
                    <w:right w:val="none" w:sz="0" w:space="0" w:color="auto"/>
                  </w:divBdr>
                </w:div>
                <w:div w:id="1904873549">
                  <w:marLeft w:val="0"/>
                  <w:marRight w:val="0"/>
                  <w:marTop w:val="0"/>
                  <w:marBottom w:val="0"/>
                  <w:divBdr>
                    <w:top w:val="none" w:sz="0" w:space="0" w:color="auto"/>
                    <w:left w:val="none" w:sz="0" w:space="0" w:color="auto"/>
                    <w:bottom w:val="none" w:sz="0" w:space="0" w:color="auto"/>
                    <w:right w:val="none" w:sz="0" w:space="0" w:color="auto"/>
                  </w:divBdr>
                </w:div>
                <w:div w:id="1904873552">
                  <w:marLeft w:val="0"/>
                  <w:marRight w:val="0"/>
                  <w:marTop w:val="0"/>
                  <w:marBottom w:val="0"/>
                  <w:divBdr>
                    <w:top w:val="none" w:sz="0" w:space="0" w:color="auto"/>
                    <w:left w:val="none" w:sz="0" w:space="0" w:color="auto"/>
                    <w:bottom w:val="none" w:sz="0" w:space="0" w:color="auto"/>
                    <w:right w:val="none" w:sz="0" w:space="0" w:color="auto"/>
                  </w:divBdr>
                </w:div>
                <w:div w:id="1904873554">
                  <w:marLeft w:val="0"/>
                  <w:marRight w:val="0"/>
                  <w:marTop w:val="0"/>
                  <w:marBottom w:val="0"/>
                  <w:divBdr>
                    <w:top w:val="none" w:sz="0" w:space="0" w:color="auto"/>
                    <w:left w:val="none" w:sz="0" w:space="0" w:color="auto"/>
                    <w:bottom w:val="none" w:sz="0" w:space="0" w:color="auto"/>
                    <w:right w:val="none" w:sz="0" w:space="0" w:color="auto"/>
                  </w:divBdr>
                </w:div>
                <w:div w:id="1904873561">
                  <w:marLeft w:val="0"/>
                  <w:marRight w:val="0"/>
                  <w:marTop w:val="0"/>
                  <w:marBottom w:val="0"/>
                  <w:divBdr>
                    <w:top w:val="none" w:sz="0" w:space="0" w:color="auto"/>
                    <w:left w:val="none" w:sz="0" w:space="0" w:color="auto"/>
                    <w:bottom w:val="none" w:sz="0" w:space="0" w:color="auto"/>
                    <w:right w:val="none" w:sz="0" w:space="0" w:color="auto"/>
                  </w:divBdr>
                </w:div>
                <w:div w:id="1904873563">
                  <w:marLeft w:val="0"/>
                  <w:marRight w:val="0"/>
                  <w:marTop w:val="0"/>
                  <w:marBottom w:val="0"/>
                  <w:divBdr>
                    <w:top w:val="none" w:sz="0" w:space="0" w:color="auto"/>
                    <w:left w:val="none" w:sz="0" w:space="0" w:color="auto"/>
                    <w:bottom w:val="none" w:sz="0" w:space="0" w:color="auto"/>
                    <w:right w:val="none" w:sz="0" w:space="0" w:color="auto"/>
                  </w:divBdr>
                </w:div>
                <w:div w:id="1904873566">
                  <w:marLeft w:val="0"/>
                  <w:marRight w:val="0"/>
                  <w:marTop w:val="0"/>
                  <w:marBottom w:val="0"/>
                  <w:divBdr>
                    <w:top w:val="none" w:sz="0" w:space="0" w:color="auto"/>
                    <w:left w:val="none" w:sz="0" w:space="0" w:color="auto"/>
                    <w:bottom w:val="none" w:sz="0" w:space="0" w:color="auto"/>
                    <w:right w:val="none" w:sz="0" w:space="0" w:color="auto"/>
                  </w:divBdr>
                </w:div>
                <w:div w:id="1904873567">
                  <w:marLeft w:val="0"/>
                  <w:marRight w:val="0"/>
                  <w:marTop w:val="0"/>
                  <w:marBottom w:val="0"/>
                  <w:divBdr>
                    <w:top w:val="none" w:sz="0" w:space="0" w:color="auto"/>
                    <w:left w:val="none" w:sz="0" w:space="0" w:color="auto"/>
                    <w:bottom w:val="none" w:sz="0" w:space="0" w:color="auto"/>
                    <w:right w:val="none" w:sz="0" w:space="0" w:color="auto"/>
                  </w:divBdr>
                </w:div>
                <w:div w:id="1904873574">
                  <w:marLeft w:val="0"/>
                  <w:marRight w:val="0"/>
                  <w:marTop w:val="0"/>
                  <w:marBottom w:val="0"/>
                  <w:divBdr>
                    <w:top w:val="none" w:sz="0" w:space="0" w:color="auto"/>
                    <w:left w:val="none" w:sz="0" w:space="0" w:color="auto"/>
                    <w:bottom w:val="none" w:sz="0" w:space="0" w:color="auto"/>
                    <w:right w:val="none" w:sz="0" w:space="0" w:color="auto"/>
                  </w:divBdr>
                </w:div>
                <w:div w:id="1904873577">
                  <w:marLeft w:val="0"/>
                  <w:marRight w:val="0"/>
                  <w:marTop w:val="0"/>
                  <w:marBottom w:val="0"/>
                  <w:divBdr>
                    <w:top w:val="none" w:sz="0" w:space="0" w:color="auto"/>
                    <w:left w:val="none" w:sz="0" w:space="0" w:color="auto"/>
                    <w:bottom w:val="none" w:sz="0" w:space="0" w:color="auto"/>
                    <w:right w:val="none" w:sz="0" w:space="0" w:color="auto"/>
                  </w:divBdr>
                </w:div>
                <w:div w:id="1904873581">
                  <w:marLeft w:val="0"/>
                  <w:marRight w:val="0"/>
                  <w:marTop w:val="0"/>
                  <w:marBottom w:val="0"/>
                  <w:divBdr>
                    <w:top w:val="none" w:sz="0" w:space="0" w:color="auto"/>
                    <w:left w:val="none" w:sz="0" w:space="0" w:color="auto"/>
                    <w:bottom w:val="none" w:sz="0" w:space="0" w:color="auto"/>
                    <w:right w:val="none" w:sz="0" w:space="0" w:color="auto"/>
                  </w:divBdr>
                </w:div>
                <w:div w:id="1904873582">
                  <w:marLeft w:val="0"/>
                  <w:marRight w:val="0"/>
                  <w:marTop w:val="0"/>
                  <w:marBottom w:val="0"/>
                  <w:divBdr>
                    <w:top w:val="none" w:sz="0" w:space="0" w:color="auto"/>
                    <w:left w:val="none" w:sz="0" w:space="0" w:color="auto"/>
                    <w:bottom w:val="none" w:sz="0" w:space="0" w:color="auto"/>
                    <w:right w:val="none" w:sz="0" w:space="0" w:color="auto"/>
                  </w:divBdr>
                </w:div>
                <w:div w:id="1904873583">
                  <w:marLeft w:val="0"/>
                  <w:marRight w:val="0"/>
                  <w:marTop w:val="0"/>
                  <w:marBottom w:val="0"/>
                  <w:divBdr>
                    <w:top w:val="none" w:sz="0" w:space="0" w:color="auto"/>
                    <w:left w:val="none" w:sz="0" w:space="0" w:color="auto"/>
                    <w:bottom w:val="none" w:sz="0" w:space="0" w:color="auto"/>
                    <w:right w:val="none" w:sz="0" w:space="0" w:color="auto"/>
                  </w:divBdr>
                </w:div>
                <w:div w:id="19048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3587">
      <w:marLeft w:val="0"/>
      <w:marRight w:val="0"/>
      <w:marTop w:val="0"/>
      <w:marBottom w:val="0"/>
      <w:divBdr>
        <w:top w:val="none" w:sz="0" w:space="0" w:color="auto"/>
        <w:left w:val="none" w:sz="0" w:space="0" w:color="auto"/>
        <w:bottom w:val="none" w:sz="0" w:space="0" w:color="auto"/>
        <w:right w:val="none" w:sz="0" w:space="0" w:color="auto"/>
      </w:divBdr>
      <w:divsChild>
        <w:div w:id="1904873590">
          <w:marLeft w:val="720"/>
          <w:marRight w:val="720"/>
          <w:marTop w:val="100"/>
          <w:marBottom w:val="100"/>
          <w:divBdr>
            <w:top w:val="none" w:sz="0" w:space="0" w:color="auto"/>
            <w:left w:val="none" w:sz="0" w:space="0" w:color="auto"/>
            <w:bottom w:val="none" w:sz="0" w:space="0" w:color="auto"/>
            <w:right w:val="none" w:sz="0" w:space="0" w:color="auto"/>
          </w:divBdr>
          <w:divsChild>
            <w:div w:id="19048735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tc.usf.edu/lit2go/94/hamlet/1685/act-5-scene-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tc.usf.edu/lit2go/94/hamlet/1685/act-5-scene-1/"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A604D-42E4-4909-819B-B7FFC70FD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3619</Words>
  <Characters>18398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11</vt:lpstr>
    </vt:vector>
  </TitlesOfParts>
  <Company>Public Consulting Group</Company>
  <LinksUpToDate>false</LinksUpToDate>
  <CharactersWithSpaces>21974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creator>PCG Education</dc:creator>
  <cp:lastModifiedBy>Stanko, Rebecca</cp:lastModifiedBy>
  <cp:revision>3</cp:revision>
  <cp:lastPrinted>2014-02-06T19:25:00Z</cp:lastPrinted>
  <dcterms:created xsi:type="dcterms:W3CDTF">2014-02-07T22:48:00Z</dcterms:created>
  <dcterms:modified xsi:type="dcterms:W3CDTF">2014-02-07T22:59:00Z</dcterms:modified>
</cp:coreProperties>
</file>