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58" w:type="dxa"/>
        <w:tblBorders>
          <w:insideH w:val="single" w:sz="18" w:space="0" w:color="FFFFFF"/>
          <w:insideV w:val="single" w:sz="18" w:space="0" w:color="FFFFFF"/>
        </w:tblBorders>
        <w:tblLook w:val="00A0" w:firstRow="1" w:lastRow="0" w:firstColumn="1" w:lastColumn="0" w:noHBand="0" w:noVBand="0"/>
      </w:tblPr>
      <w:tblGrid>
        <w:gridCol w:w="2088"/>
        <w:gridCol w:w="7470"/>
      </w:tblGrid>
      <w:tr w:rsidR="00AF7B42" w:rsidRPr="00DB34C3" w14:paraId="2ABE6BE9" w14:textId="77777777" w:rsidTr="00441FC9">
        <w:trPr>
          <w:trHeight w:val="1008"/>
        </w:trPr>
        <w:tc>
          <w:tcPr>
            <w:tcW w:w="2088" w:type="dxa"/>
            <w:shd w:val="clear" w:color="auto" w:fill="385623"/>
            <w:vAlign w:val="center"/>
          </w:tcPr>
          <w:p w14:paraId="25D78DBF" w14:textId="77777777" w:rsidR="00AF7B42" w:rsidRPr="00DB34C3" w:rsidRDefault="00AF7B42" w:rsidP="00B231AA">
            <w:pPr>
              <w:pStyle w:val="Header-banner"/>
              <w:rPr>
                <w:rFonts w:ascii="Calibri" w:hAnsi="Calibri"/>
              </w:rPr>
            </w:pPr>
            <w:bookmarkStart w:id="0" w:name="_GoBack"/>
            <w:bookmarkEnd w:id="0"/>
            <w:r>
              <w:rPr>
                <w:rFonts w:ascii="Calibri" w:hAnsi="Calibri"/>
              </w:rPr>
              <w:t>11.1</w:t>
            </w:r>
            <w:r w:rsidRPr="00DB34C3">
              <w:rPr>
                <w:rFonts w:ascii="Calibri" w:hAnsi="Calibri"/>
              </w:rPr>
              <w:t>.</w:t>
            </w:r>
            <w:r>
              <w:rPr>
                <w:rFonts w:ascii="Calibri" w:hAnsi="Calibri"/>
              </w:rPr>
              <w:t>2</w:t>
            </w:r>
          </w:p>
        </w:tc>
        <w:tc>
          <w:tcPr>
            <w:tcW w:w="7470" w:type="dxa"/>
            <w:shd w:val="clear" w:color="auto" w:fill="76923C"/>
            <w:vAlign w:val="center"/>
          </w:tcPr>
          <w:p w14:paraId="5965A02B" w14:textId="77777777" w:rsidR="00AF7B42" w:rsidRPr="00DB34C3" w:rsidRDefault="00AF7B42" w:rsidP="00B231AA">
            <w:pPr>
              <w:pStyle w:val="Header2banner"/>
              <w:spacing w:line="240" w:lineRule="auto"/>
              <w:rPr>
                <w:rFonts w:ascii="Calibri" w:hAnsi="Calibri"/>
              </w:rPr>
            </w:pPr>
            <w:r w:rsidRPr="00DB34C3">
              <w:rPr>
                <w:rFonts w:ascii="Calibri" w:hAnsi="Calibri"/>
              </w:rPr>
              <w:t xml:space="preserve">Lesson </w:t>
            </w:r>
            <w:r>
              <w:rPr>
                <w:rFonts w:ascii="Calibri" w:hAnsi="Calibri"/>
              </w:rPr>
              <w:t>12</w:t>
            </w:r>
          </w:p>
        </w:tc>
      </w:tr>
    </w:tbl>
    <w:p w14:paraId="663E9EC3" w14:textId="77777777" w:rsidR="00AF7B42" w:rsidRDefault="00AF7B42" w:rsidP="00E946A0">
      <w:pPr>
        <w:pStyle w:val="Heading1"/>
      </w:pPr>
      <w:r w:rsidRPr="00263AF5">
        <w:t>Introduction</w:t>
      </w:r>
    </w:p>
    <w:p w14:paraId="0B5D85DF" w14:textId="3FF0E2B1" w:rsidR="00AF7B42" w:rsidRPr="006E7D3C" w:rsidRDefault="00AF7B42" w:rsidP="00DB6B98">
      <w:r>
        <w:t xml:space="preserve">In this lesson, students continue their analysis of Hamlet’s “To be or not to be” soliloquy </w:t>
      </w:r>
      <w:r w:rsidR="0042369B">
        <w:t>(lines 84</w:t>
      </w:r>
      <w:r w:rsidR="00721797">
        <w:t>–</w:t>
      </w:r>
      <w:r w:rsidR="0042369B">
        <w:t>98, from “Who would fardels bear / To grunt and sweat” to “Nymph, in thy orisons / Be all my sins remembered”)</w:t>
      </w:r>
      <w:r w:rsidR="00721797">
        <w:t>,</w:t>
      </w:r>
      <w:r w:rsidR="0042369B">
        <w:t xml:space="preserve"> </w:t>
      </w:r>
      <w:r>
        <w:t xml:space="preserve">shifting </w:t>
      </w:r>
      <w:r w:rsidR="00721797">
        <w:t xml:space="preserve">their </w:t>
      </w:r>
      <w:r>
        <w:t xml:space="preserve">focus from the use of figurative language to the development and interaction of </w:t>
      </w:r>
      <w:r w:rsidR="000C3F65">
        <w:t xml:space="preserve">central ideas in the soliloquy and </w:t>
      </w:r>
      <w:r>
        <w:t xml:space="preserve">the </w:t>
      </w:r>
      <w:r w:rsidR="00721797">
        <w:t xml:space="preserve">impact </w:t>
      </w:r>
      <w:r w:rsidR="000C3F65">
        <w:t xml:space="preserve">of </w:t>
      </w:r>
      <w:r w:rsidR="00721797">
        <w:t xml:space="preserve">the </w:t>
      </w:r>
      <w:r>
        <w:t xml:space="preserve">interaction </w:t>
      </w:r>
      <w:r w:rsidR="000C3F65">
        <w:t>of those ideas</w:t>
      </w:r>
      <w:r w:rsidR="00721797">
        <w:t xml:space="preserve"> on</w:t>
      </w:r>
      <w:r>
        <w:t xml:space="preserve"> the overall meaning of the drama. Students </w:t>
      </w:r>
      <w:r w:rsidR="009C0AAE">
        <w:t>are</w:t>
      </w:r>
      <w:r>
        <w:t xml:space="preserve"> introduced to standard W.11-12.c, which asks them to focus on utilizing appropriate and varied</w:t>
      </w:r>
      <w:r w:rsidR="00721797">
        <w:t xml:space="preserve"> transitions in their writing. The learning in this lesson is</w:t>
      </w:r>
      <w:r>
        <w:t xml:space="preserve"> assessed t</w:t>
      </w:r>
      <w:r w:rsidR="00721797">
        <w:t>hrough a Quick Write that asks students</w:t>
      </w:r>
      <w:r>
        <w:t xml:space="preserve"> to relate one central idea in this passage to others in the play. </w:t>
      </w:r>
      <w:r w:rsidR="00B10EA0">
        <w:t xml:space="preserve">For homework, students reread the soliloquy and decide whether Hamlet is talking about himself </w:t>
      </w:r>
      <w:r w:rsidR="000C3F65">
        <w:t>in</w:t>
      </w:r>
      <w:r w:rsidR="00B10EA0">
        <w:t xml:space="preserve"> the line “To be or not to be</w:t>
      </w:r>
      <w:r w:rsidR="000C3F65">
        <w:t>,</w:t>
      </w:r>
      <w:r w:rsidR="00B10EA0">
        <w:t xml:space="preserve">” or asking the question </w:t>
      </w:r>
      <w:r w:rsidR="00093D5E">
        <w:t>more broadly</w:t>
      </w:r>
      <w:r w:rsidR="00B10EA0">
        <w:t>.</w:t>
      </w:r>
    </w:p>
    <w:p w14:paraId="1DE56620" w14:textId="21E76D04" w:rsidR="00AF7B42" w:rsidRDefault="00AF7B42" w:rsidP="00E946A0">
      <w:pPr>
        <w:pStyle w:val="Heading1"/>
      </w:pPr>
      <w:r>
        <w:t>Standards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5"/>
        <w:gridCol w:w="7911"/>
      </w:tblGrid>
      <w:tr w:rsidR="00AF7B42" w:rsidRPr="002E4C92" w14:paraId="7929AAAF" w14:textId="77777777">
        <w:tc>
          <w:tcPr>
            <w:tcW w:w="9468" w:type="dxa"/>
            <w:gridSpan w:val="2"/>
            <w:shd w:val="clear" w:color="auto" w:fill="76923C"/>
          </w:tcPr>
          <w:p w14:paraId="048B9040" w14:textId="77777777" w:rsidR="00AF7B42" w:rsidRPr="00381119" w:rsidRDefault="00AF7B42" w:rsidP="00B00346">
            <w:pPr>
              <w:pStyle w:val="TableHeaders"/>
            </w:pPr>
            <w:r w:rsidRPr="00381119">
              <w:t>Assessed Standard(s)</w:t>
            </w:r>
          </w:p>
        </w:tc>
      </w:tr>
      <w:tr w:rsidR="00AF7B42" w:rsidRPr="0053542D" w14:paraId="32AE2C4B" w14:textId="77777777">
        <w:tc>
          <w:tcPr>
            <w:tcW w:w="1344" w:type="dxa"/>
          </w:tcPr>
          <w:p w14:paraId="4E85E7B2" w14:textId="77777777" w:rsidR="00AF7B42" w:rsidRPr="00DB6B98" w:rsidRDefault="00AF7B42" w:rsidP="00DB6B98">
            <w:pPr>
              <w:pStyle w:val="TableText"/>
            </w:pPr>
            <w:r w:rsidRPr="00DB6B98">
              <w:t>RL.11-12.2</w:t>
            </w:r>
          </w:p>
        </w:tc>
        <w:tc>
          <w:tcPr>
            <w:tcW w:w="8124" w:type="dxa"/>
          </w:tcPr>
          <w:p w14:paraId="021675B4" w14:textId="77777777" w:rsidR="00AF7B42" w:rsidRPr="00DB6B98" w:rsidRDefault="00AF7B42" w:rsidP="00DB6B98">
            <w:pPr>
              <w:pStyle w:val="TableText"/>
            </w:pPr>
            <w:r w:rsidRPr="00DB6B98">
              <w:t>Determine two or more themes or central ideas of a text and analyze their development over the course of the text, including how they interact and build on one another to produce a complex account; provide an objective summary of the text.</w:t>
            </w:r>
          </w:p>
        </w:tc>
      </w:tr>
      <w:tr w:rsidR="00AF7B42" w:rsidRPr="00CF2582" w14:paraId="3B4EDD7A" w14:textId="77777777">
        <w:tc>
          <w:tcPr>
            <w:tcW w:w="9468" w:type="dxa"/>
            <w:gridSpan w:val="2"/>
            <w:shd w:val="clear" w:color="auto" w:fill="76923C"/>
          </w:tcPr>
          <w:p w14:paraId="5EE61209" w14:textId="77777777" w:rsidR="00AF7B42" w:rsidRPr="00381119" w:rsidRDefault="00AF7B42" w:rsidP="00B00346">
            <w:pPr>
              <w:pStyle w:val="TableHeaders"/>
            </w:pPr>
            <w:r w:rsidRPr="00381119">
              <w:t>Addressed Standard(s)</w:t>
            </w:r>
          </w:p>
        </w:tc>
      </w:tr>
      <w:tr w:rsidR="00AF7B42" w:rsidRPr="0053542D" w14:paraId="3A9E65F7" w14:textId="77777777">
        <w:tc>
          <w:tcPr>
            <w:tcW w:w="1344" w:type="dxa"/>
          </w:tcPr>
          <w:p w14:paraId="5B9374F9" w14:textId="77777777" w:rsidR="00AF7B42" w:rsidRPr="00DB6B98" w:rsidRDefault="00AF7B42" w:rsidP="00DB6B98">
            <w:pPr>
              <w:pStyle w:val="TableText"/>
            </w:pPr>
            <w:r w:rsidRPr="00DB6B98">
              <w:t>W.11-12.2.c</w:t>
            </w:r>
          </w:p>
        </w:tc>
        <w:tc>
          <w:tcPr>
            <w:tcW w:w="8124" w:type="dxa"/>
          </w:tcPr>
          <w:p w14:paraId="42FB64A0" w14:textId="3BDF2784" w:rsidR="00AF7B42" w:rsidRPr="00DB6B98" w:rsidRDefault="00AF7B42" w:rsidP="00DB6B98">
            <w:pPr>
              <w:pStyle w:val="TableText"/>
            </w:pPr>
            <w:r w:rsidRPr="00DB6B98">
              <w:t>Write informative/ explanatory texts to examine and convey complex ideas, concepts, and information clearly and accurately through the effective selection, organization, and analysis of content.</w:t>
            </w:r>
          </w:p>
          <w:p w14:paraId="415024BE" w14:textId="3D4651DE" w:rsidR="0072504D" w:rsidRPr="00DB6B98" w:rsidRDefault="00AF7B42" w:rsidP="0053372B">
            <w:pPr>
              <w:pStyle w:val="TableText"/>
              <w:tabs>
                <w:tab w:val="left" w:pos="438"/>
              </w:tabs>
              <w:ind w:left="438" w:hanging="438"/>
              <w:rPr>
                <w:rFonts w:asciiTheme="majorHAnsi" w:eastAsiaTheme="majorEastAsia" w:hAnsiTheme="majorHAnsi" w:cstheme="majorBidi"/>
                <w:i/>
                <w:iCs/>
                <w:color w:val="243F60" w:themeColor="accent1" w:themeShade="7F"/>
              </w:rPr>
            </w:pPr>
            <w:r w:rsidRPr="00DB6B98">
              <w:t xml:space="preserve">c. </w:t>
            </w:r>
            <w:r w:rsidR="0053372B">
              <w:tab/>
            </w:r>
            <w:r w:rsidRPr="00DB6B98">
              <w:t>Use appropriate and varied transitions and syntax to link the major sections of the text, create cohesion, and clarify the relationships among complex ideas and concepts.</w:t>
            </w:r>
          </w:p>
        </w:tc>
      </w:tr>
    </w:tbl>
    <w:p w14:paraId="69BA7F82" w14:textId="77777777" w:rsidR="00AF7B42" w:rsidRDefault="00AF7B42" w:rsidP="0053372B">
      <w:pPr>
        <w:pStyle w:val="Heading1"/>
        <w:keepNext w:val="0"/>
        <w:spacing w:before="360"/>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AF7B42" w:rsidRPr="002E4C92" w14:paraId="3835237C" w14:textId="77777777">
        <w:tc>
          <w:tcPr>
            <w:tcW w:w="9478" w:type="dxa"/>
            <w:shd w:val="clear" w:color="auto" w:fill="76923C"/>
          </w:tcPr>
          <w:p w14:paraId="32BA82B5" w14:textId="77777777" w:rsidR="00AF7B42" w:rsidRPr="00381119" w:rsidRDefault="00AF7B42" w:rsidP="00B00346">
            <w:pPr>
              <w:pStyle w:val="TableHeaders"/>
            </w:pPr>
            <w:r w:rsidRPr="00381119">
              <w:t>Assessment(s)</w:t>
            </w:r>
          </w:p>
        </w:tc>
      </w:tr>
      <w:tr w:rsidR="00AF7B42" w14:paraId="5970B575" w14:textId="77777777">
        <w:tc>
          <w:tcPr>
            <w:tcW w:w="9478" w:type="dxa"/>
          </w:tcPr>
          <w:p w14:paraId="699F1BB2" w14:textId="7AF322AA" w:rsidR="00AF7B42" w:rsidRPr="00DB6B98" w:rsidRDefault="00143E8D" w:rsidP="00DB6B98">
            <w:pPr>
              <w:pStyle w:val="TableText"/>
            </w:pPr>
            <w:r w:rsidRPr="00143E8D">
              <w:t>Student learning will be assessed via a Quick Write at the end of the lesson. Students answer the following prompt, citing textual evidence to support analysis and inferences drawn from the text</w:t>
            </w:r>
            <w:r w:rsidR="00721797">
              <w:t>.</w:t>
            </w:r>
          </w:p>
          <w:p w14:paraId="60B6A1F9" w14:textId="48B418A4" w:rsidR="00776097" w:rsidRPr="003908D2" w:rsidRDefault="00840953" w:rsidP="00721797">
            <w:pPr>
              <w:pStyle w:val="BulletedList"/>
            </w:pPr>
            <w:r>
              <w:lastRenderedPageBreak/>
              <w:t xml:space="preserve">Identify </w:t>
            </w:r>
            <w:r w:rsidR="00AF7B42">
              <w:t>a central idea in this soliloqu</w:t>
            </w:r>
            <w:r>
              <w:t>y and explain how it</w:t>
            </w:r>
            <w:r w:rsidR="0073211B">
              <w:t xml:space="preserve"> interact</w:t>
            </w:r>
            <w:r>
              <w:t>s</w:t>
            </w:r>
            <w:r w:rsidR="0073211B">
              <w:t xml:space="preserve"> with and build</w:t>
            </w:r>
            <w:r>
              <w:t>s</w:t>
            </w:r>
            <w:r w:rsidR="0073211B">
              <w:t xml:space="preserve"> upon </w:t>
            </w:r>
            <w:r w:rsidR="00AF7B42">
              <w:t>other central ideas from previous readings</w:t>
            </w:r>
            <w:r>
              <w:t>.</w:t>
            </w:r>
          </w:p>
        </w:tc>
      </w:tr>
      <w:tr w:rsidR="00AF7B42" w:rsidRPr="00B00346" w14:paraId="727B30E1" w14:textId="77777777">
        <w:tc>
          <w:tcPr>
            <w:tcW w:w="9478" w:type="dxa"/>
            <w:shd w:val="clear" w:color="auto" w:fill="76923C"/>
          </w:tcPr>
          <w:p w14:paraId="53EE27D6" w14:textId="77777777" w:rsidR="00AF7B42" w:rsidRPr="00381119" w:rsidRDefault="00AF7B42" w:rsidP="00B00346">
            <w:pPr>
              <w:pStyle w:val="TableHeaders"/>
            </w:pPr>
            <w:r w:rsidRPr="00381119">
              <w:lastRenderedPageBreak/>
              <w:t>High Performance Response(s)</w:t>
            </w:r>
          </w:p>
        </w:tc>
      </w:tr>
      <w:tr w:rsidR="00AF7B42" w14:paraId="36D8459F" w14:textId="77777777">
        <w:tc>
          <w:tcPr>
            <w:tcW w:w="9478" w:type="dxa"/>
          </w:tcPr>
          <w:p w14:paraId="7B0F1667" w14:textId="4486A38F" w:rsidR="00AF7B42" w:rsidRPr="00DB6B98" w:rsidRDefault="00AF7B42" w:rsidP="00DB6B98">
            <w:pPr>
              <w:pStyle w:val="TableText"/>
            </w:pPr>
            <w:r w:rsidRPr="00DB6B98">
              <w:t xml:space="preserve">A </w:t>
            </w:r>
            <w:r w:rsidR="00700A15">
              <w:t>H</w:t>
            </w:r>
            <w:r w:rsidRPr="00DB6B98">
              <w:t xml:space="preserve">igh </w:t>
            </w:r>
            <w:r w:rsidR="00700A15">
              <w:t>P</w:t>
            </w:r>
            <w:r w:rsidRPr="00DB6B98">
              <w:t xml:space="preserve">erformance </w:t>
            </w:r>
            <w:r w:rsidR="00700A15">
              <w:t>R</w:t>
            </w:r>
            <w:r w:rsidRPr="00DB6B98">
              <w:t>esponse should:</w:t>
            </w:r>
          </w:p>
          <w:p w14:paraId="6C09A613" w14:textId="2E05FD59" w:rsidR="00E91047" w:rsidRDefault="00AF7B42" w:rsidP="00E91047">
            <w:pPr>
              <w:pStyle w:val="BulletedList"/>
            </w:pPr>
            <w:r w:rsidRPr="00DB6B98">
              <w:t xml:space="preserve">Identify that this passage </w:t>
            </w:r>
            <w:r w:rsidR="00E91047">
              <w:t>deals primarily with a central idea of action versus inaction, specifically around</w:t>
            </w:r>
            <w:r w:rsidRPr="00DB6B98">
              <w:t xml:space="preserve"> when it is right to act and </w:t>
            </w:r>
            <w:r w:rsidR="00E91047">
              <w:t>the relationship of acting to thinking.</w:t>
            </w:r>
            <w:r w:rsidRPr="00DB6B98">
              <w:t xml:space="preserve"> </w:t>
            </w:r>
          </w:p>
          <w:p w14:paraId="5AACEBA0" w14:textId="5CF0AFF1" w:rsidR="00AF7B42" w:rsidRPr="003908D2" w:rsidRDefault="00AF7B42" w:rsidP="00721797">
            <w:pPr>
              <w:pStyle w:val="BulletedList"/>
            </w:pPr>
            <w:r w:rsidRPr="00DB6B98">
              <w:t xml:space="preserve">Identify that in other soliloquies, Hamlet chastises himself for not acting, but in this </w:t>
            </w:r>
            <w:r w:rsidR="00E91047">
              <w:t>soliloquy</w:t>
            </w:r>
            <w:r w:rsidR="00291842">
              <w:t>,</w:t>
            </w:r>
            <w:r w:rsidRPr="00DB6B98">
              <w:t xml:space="preserve"> he describes how thought prevents </w:t>
            </w:r>
            <w:r w:rsidR="00E91047">
              <w:t>humans</w:t>
            </w:r>
            <w:r w:rsidRPr="00DB6B98">
              <w:t xml:space="preserve"> from acting by creating uncertainties about almost every action.</w:t>
            </w:r>
          </w:p>
        </w:tc>
      </w:tr>
    </w:tbl>
    <w:p w14:paraId="21F3BF34" w14:textId="77777777" w:rsidR="00AF7B42" w:rsidRDefault="00AF7B42"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F7B42" w:rsidRPr="00B00346" w14:paraId="1B0634EA" w14:textId="77777777">
        <w:tc>
          <w:tcPr>
            <w:tcW w:w="9450" w:type="dxa"/>
            <w:shd w:val="clear" w:color="auto" w:fill="76923C"/>
          </w:tcPr>
          <w:p w14:paraId="1EFAEA96" w14:textId="77777777" w:rsidR="00AF7B42" w:rsidRPr="00381119" w:rsidRDefault="00AF7B42" w:rsidP="00B00346">
            <w:pPr>
              <w:pStyle w:val="TableHeaders"/>
            </w:pPr>
            <w:r w:rsidRPr="00381119">
              <w:t>Vocabulary to provide directly (will not include extended instruction)</w:t>
            </w:r>
          </w:p>
        </w:tc>
      </w:tr>
      <w:tr w:rsidR="00AF7B42" w14:paraId="1E25C686" w14:textId="77777777">
        <w:tc>
          <w:tcPr>
            <w:tcW w:w="9450" w:type="dxa"/>
          </w:tcPr>
          <w:p w14:paraId="5828C63B" w14:textId="4A10B555" w:rsidR="00AF7B42" w:rsidRDefault="00AF7B42" w:rsidP="000B2D56">
            <w:pPr>
              <w:pStyle w:val="BulletedList"/>
            </w:pPr>
            <w:r>
              <w:t>fardels (n.) –</w:t>
            </w:r>
            <w:r w:rsidR="00830CA1">
              <w:t xml:space="preserve"> </w:t>
            </w:r>
            <w:r>
              <w:t>burdens</w:t>
            </w:r>
            <w:r w:rsidR="00830CA1">
              <w:t>; loads</w:t>
            </w:r>
          </w:p>
          <w:p w14:paraId="2F499B61" w14:textId="189AA9CA" w:rsidR="00AF7B42" w:rsidRDefault="00AF7B42" w:rsidP="000B2D56">
            <w:pPr>
              <w:pStyle w:val="BulletedList"/>
            </w:pPr>
            <w:r>
              <w:t>pit</w:t>
            </w:r>
            <w:r w:rsidR="00830CA1">
              <w:t>c</w:t>
            </w:r>
            <w:r>
              <w:t xml:space="preserve">h (n.) – </w:t>
            </w:r>
            <w:r w:rsidR="00830CA1">
              <w:t>height (the pitch is the highest point in a falcon’s flight</w:t>
            </w:r>
            <w:r w:rsidR="00362DFA">
              <w:t>)</w:t>
            </w:r>
          </w:p>
          <w:p w14:paraId="35DA98D4" w14:textId="77777777" w:rsidR="00B97875" w:rsidRPr="00B231AA" w:rsidRDefault="00B97875" w:rsidP="00DB6B98">
            <w:pPr>
              <w:pStyle w:val="BulletedList"/>
            </w:pPr>
            <w:r>
              <w:t xml:space="preserve">resolution (n.) </w:t>
            </w:r>
            <w:r w:rsidR="00DB6B98">
              <w:t>–</w:t>
            </w:r>
            <w:r>
              <w:t xml:space="preserve"> </w:t>
            </w:r>
            <w:r>
              <w:rPr>
                <w:color w:val="333333"/>
              </w:rPr>
              <w:t>a</w:t>
            </w:r>
            <w:r>
              <w:t xml:space="preserve"> </w:t>
            </w:r>
            <w:r w:rsidRPr="00B97875">
              <w:t>decision</w:t>
            </w:r>
            <w:r w:rsidR="00DB6B98">
              <w:t xml:space="preserve"> </w:t>
            </w:r>
            <w:r>
              <w:rPr>
                <w:color w:val="333333"/>
              </w:rPr>
              <w:t>or</w:t>
            </w:r>
            <w:r>
              <w:t xml:space="preserve"> </w:t>
            </w:r>
            <w:r>
              <w:rPr>
                <w:color w:val="333333"/>
              </w:rPr>
              <w:t>determination;</w:t>
            </w:r>
            <w:r>
              <w:t xml:space="preserve"> </w:t>
            </w:r>
            <w:r>
              <w:rPr>
                <w:color w:val="333333"/>
              </w:rPr>
              <w:t>a</w:t>
            </w:r>
            <w:r>
              <w:t xml:space="preserve"> </w:t>
            </w:r>
            <w:r w:rsidRPr="00B97875">
              <w:t>resolve</w:t>
            </w:r>
          </w:p>
        </w:tc>
      </w:tr>
      <w:tr w:rsidR="00AF7B42" w:rsidRPr="00F308FF" w14:paraId="1D98C1A9" w14:textId="77777777">
        <w:tc>
          <w:tcPr>
            <w:tcW w:w="9450" w:type="dxa"/>
            <w:shd w:val="clear" w:color="auto" w:fill="76923C"/>
          </w:tcPr>
          <w:p w14:paraId="2A3DBD6D" w14:textId="77777777" w:rsidR="00AF7B42" w:rsidRPr="00381119" w:rsidRDefault="00AF7B42" w:rsidP="00DB6B98">
            <w:pPr>
              <w:pStyle w:val="TableHeaders"/>
            </w:pPr>
            <w:r w:rsidRPr="00381119">
              <w:t>Vocabulary to teach (may include direct word work and/or questions)</w:t>
            </w:r>
          </w:p>
        </w:tc>
      </w:tr>
      <w:tr w:rsidR="00AF7B42" w14:paraId="22936E0D" w14:textId="77777777">
        <w:tc>
          <w:tcPr>
            <w:tcW w:w="9450" w:type="dxa"/>
          </w:tcPr>
          <w:p w14:paraId="57B9CEA1" w14:textId="1D45B126" w:rsidR="00AF7B42" w:rsidRDefault="00AF7B42" w:rsidP="00830CA1">
            <w:pPr>
              <w:pStyle w:val="BulletedList"/>
            </w:pPr>
            <w:r>
              <w:t>conscience</w:t>
            </w:r>
            <w:r w:rsidRPr="000B2D56">
              <w:t xml:space="preserve"> (n.) </w:t>
            </w:r>
            <w:r w:rsidR="00830CA1">
              <w:t>– knowledge, consciousness</w:t>
            </w:r>
          </w:p>
          <w:p w14:paraId="0B129942" w14:textId="77777777" w:rsidR="00362DFA" w:rsidRDefault="00362DFA" w:rsidP="00362DFA">
            <w:pPr>
              <w:pStyle w:val="BulletedList"/>
            </w:pPr>
            <w:r>
              <w:t>native hue (n.) – native color</w:t>
            </w:r>
          </w:p>
          <w:p w14:paraId="084A39AE" w14:textId="638E342B" w:rsidR="00362DFA" w:rsidRPr="00B231AA" w:rsidRDefault="00362DFA" w:rsidP="00362DFA">
            <w:pPr>
              <w:pStyle w:val="BulletedList"/>
            </w:pPr>
            <w:r>
              <w:t>cast (n.) - shade</w:t>
            </w:r>
          </w:p>
        </w:tc>
      </w:tr>
    </w:tbl>
    <w:p w14:paraId="0CF1B826" w14:textId="77777777" w:rsidR="00AF7B42" w:rsidRDefault="00AF7B42"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7"/>
        <w:gridCol w:w="1615"/>
      </w:tblGrid>
      <w:tr w:rsidR="00AF7B42" w:rsidRPr="00C02EC2" w14:paraId="4926FC3A" w14:textId="77777777">
        <w:tc>
          <w:tcPr>
            <w:tcW w:w="7830" w:type="dxa"/>
            <w:shd w:val="clear" w:color="auto" w:fill="76923C"/>
          </w:tcPr>
          <w:p w14:paraId="303251F6" w14:textId="77777777" w:rsidR="00AF7B42" w:rsidRPr="00381119" w:rsidRDefault="00AF7B42" w:rsidP="00B00346">
            <w:pPr>
              <w:pStyle w:val="TableHeaders"/>
            </w:pPr>
            <w:r w:rsidRPr="00381119">
              <w:t>Student-Facing Agenda</w:t>
            </w:r>
          </w:p>
        </w:tc>
        <w:tc>
          <w:tcPr>
            <w:tcW w:w="1638" w:type="dxa"/>
            <w:shd w:val="clear" w:color="auto" w:fill="76923C"/>
          </w:tcPr>
          <w:p w14:paraId="157F2123" w14:textId="77777777" w:rsidR="00AF7B42" w:rsidRPr="00381119" w:rsidRDefault="00AF7B42" w:rsidP="00B00346">
            <w:pPr>
              <w:pStyle w:val="TableHeaders"/>
            </w:pPr>
            <w:r w:rsidRPr="00381119">
              <w:t>% of Lesson</w:t>
            </w:r>
          </w:p>
        </w:tc>
      </w:tr>
      <w:tr w:rsidR="00AF7B42" w14:paraId="6ED41F1B" w14:textId="77777777">
        <w:trPr>
          <w:trHeight w:val="1313"/>
        </w:trPr>
        <w:tc>
          <w:tcPr>
            <w:tcW w:w="7830" w:type="dxa"/>
            <w:tcBorders>
              <w:bottom w:val="nil"/>
            </w:tcBorders>
          </w:tcPr>
          <w:p w14:paraId="77A725F8" w14:textId="296DC7BF" w:rsidR="00AF7B42" w:rsidRPr="000B2D56" w:rsidRDefault="00AF7B42" w:rsidP="000B2D56">
            <w:pPr>
              <w:pStyle w:val="TableText"/>
              <w:rPr>
                <w:b/>
              </w:rPr>
            </w:pPr>
            <w:r w:rsidRPr="000B2D56">
              <w:rPr>
                <w:b/>
              </w:rPr>
              <w:t>Standards &amp; Text:</w:t>
            </w:r>
          </w:p>
          <w:p w14:paraId="62688052" w14:textId="77777777" w:rsidR="00AF7B42" w:rsidRDefault="00AF7B42" w:rsidP="008151E5">
            <w:pPr>
              <w:pStyle w:val="BulletedList"/>
            </w:pPr>
            <w:r>
              <w:t>Standards: RL.11-12.2, W.11-12.2.c</w:t>
            </w:r>
          </w:p>
          <w:p w14:paraId="7662052F" w14:textId="77777777" w:rsidR="00AF7B42" w:rsidRDefault="00AF7B42" w:rsidP="00143E8D">
            <w:pPr>
              <w:pStyle w:val="BulletedList"/>
            </w:pPr>
            <w:r>
              <w:t xml:space="preserve">Text: </w:t>
            </w:r>
            <w:r w:rsidRPr="00095CF3">
              <w:rPr>
                <w:i/>
              </w:rPr>
              <w:t>Hamlet</w:t>
            </w:r>
            <w:r w:rsidR="00721797">
              <w:t>, Act 3.1, lines 8</w:t>
            </w:r>
            <w:r>
              <w:t>4–98</w:t>
            </w:r>
            <w:r w:rsidR="00143E8D">
              <w:t xml:space="preserve"> (Masterful Reading: lines </w:t>
            </w:r>
            <w:r w:rsidR="00143E8D" w:rsidRPr="00143E8D">
              <w:t>64–98</w:t>
            </w:r>
            <w:r w:rsidR="00143E8D">
              <w:t>)</w:t>
            </w:r>
          </w:p>
          <w:p w14:paraId="5E0FB2E9" w14:textId="7E15F8F9" w:rsidR="00143E8D" w:rsidRDefault="00143E8D" w:rsidP="00143E8D">
            <w:pPr>
              <w:pStyle w:val="IN"/>
            </w:pPr>
            <w:r w:rsidRPr="00143E8D">
              <w:t>In order to provide additional context, the Masterful Reading extends beyond the lines students read and discuss during the lesson</w:t>
            </w:r>
          </w:p>
        </w:tc>
        <w:tc>
          <w:tcPr>
            <w:tcW w:w="1638" w:type="dxa"/>
            <w:tcBorders>
              <w:bottom w:val="nil"/>
            </w:tcBorders>
          </w:tcPr>
          <w:p w14:paraId="1B4F8EC8" w14:textId="77777777" w:rsidR="00AF7B42" w:rsidRPr="00C02EC2" w:rsidRDefault="00AF7B42" w:rsidP="00E946A0"/>
          <w:p w14:paraId="562544FA" w14:textId="77777777" w:rsidR="00AF7B42" w:rsidRDefault="00AF7B42" w:rsidP="00546D71">
            <w:pPr>
              <w:pStyle w:val="NumberedList"/>
              <w:numPr>
                <w:ilvl w:val="0"/>
                <w:numId w:val="0"/>
              </w:numPr>
            </w:pPr>
          </w:p>
        </w:tc>
      </w:tr>
      <w:tr w:rsidR="00AF7B42" w14:paraId="57E2EA91" w14:textId="77777777">
        <w:tc>
          <w:tcPr>
            <w:tcW w:w="7830" w:type="dxa"/>
            <w:tcBorders>
              <w:top w:val="nil"/>
            </w:tcBorders>
          </w:tcPr>
          <w:p w14:paraId="5ABA4B6A" w14:textId="77777777" w:rsidR="00AF7B42" w:rsidRPr="000B2D56" w:rsidRDefault="00AF7B42" w:rsidP="000B2D56">
            <w:pPr>
              <w:pStyle w:val="TableText"/>
              <w:rPr>
                <w:b/>
              </w:rPr>
            </w:pPr>
            <w:r w:rsidRPr="000B2D56">
              <w:rPr>
                <w:b/>
              </w:rPr>
              <w:t>Learning Sequence:</w:t>
            </w:r>
          </w:p>
          <w:p w14:paraId="37EBFE0C" w14:textId="77777777" w:rsidR="00AF7B42" w:rsidRDefault="00AF7B42" w:rsidP="00546D71">
            <w:pPr>
              <w:pStyle w:val="NumberedList"/>
            </w:pPr>
            <w:r w:rsidRPr="00F21CD9">
              <w:t>Introduction</w:t>
            </w:r>
            <w:r>
              <w:t xml:space="preserve"> of Lesson Agenda</w:t>
            </w:r>
          </w:p>
          <w:p w14:paraId="737DD258" w14:textId="77777777" w:rsidR="00AF7B42" w:rsidRDefault="00AF7B42" w:rsidP="00546D71">
            <w:pPr>
              <w:pStyle w:val="NumberedList"/>
            </w:pPr>
            <w:r>
              <w:t>Homework Accountability</w:t>
            </w:r>
          </w:p>
          <w:p w14:paraId="3CFB7ED1" w14:textId="77777777" w:rsidR="00AF7B42" w:rsidRDefault="00AF7B42" w:rsidP="00546D71">
            <w:pPr>
              <w:pStyle w:val="NumberedList"/>
            </w:pPr>
            <w:r>
              <w:t>Masterful Reading</w:t>
            </w:r>
          </w:p>
          <w:p w14:paraId="173CF3B7" w14:textId="71325993" w:rsidR="00AF7B42" w:rsidRDefault="00AF7B42" w:rsidP="00546D71">
            <w:pPr>
              <w:pStyle w:val="NumberedList"/>
            </w:pPr>
            <w:r>
              <w:t>Lines 84–98 Reading and Discussion</w:t>
            </w:r>
          </w:p>
          <w:p w14:paraId="185E7A84" w14:textId="77777777" w:rsidR="00AF7B42" w:rsidRDefault="00AF7B42" w:rsidP="00546D71">
            <w:pPr>
              <w:pStyle w:val="NumberedList"/>
            </w:pPr>
            <w:r>
              <w:t>Quick Write</w:t>
            </w:r>
          </w:p>
          <w:p w14:paraId="7B8ED4EB" w14:textId="77777777" w:rsidR="00AF7B42" w:rsidRPr="00546D71" w:rsidRDefault="00AF7B42" w:rsidP="00546D71">
            <w:pPr>
              <w:pStyle w:val="NumberedList"/>
            </w:pPr>
            <w:r>
              <w:t>Closing</w:t>
            </w:r>
          </w:p>
        </w:tc>
        <w:tc>
          <w:tcPr>
            <w:tcW w:w="1638" w:type="dxa"/>
            <w:tcBorders>
              <w:top w:val="nil"/>
            </w:tcBorders>
          </w:tcPr>
          <w:p w14:paraId="318B39B4" w14:textId="77777777" w:rsidR="00AF7B42" w:rsidRDefault="00AF7B42" w:rsidP="000B2D56">
            <w:pPr>
              <w:pStyle w:val="TableText"/>
            </w:pPr>
          </w:p>
          <w:p w14:paraId="45316B75" w14:textId="77777777" w:rsidR="00AF7B42" w:rsidRDefault="00AF7B42" w:rsidP="00261189">
            <w:pPr>
              <w:pStyle w:val="NumberedList"/>
              <w:numPr>
                <w:ilvl w:val="0"/>
                <w:numId w:val="3"/>
              </w:numPr>
            </w:pPr>
            <w:r>
              <w:t>5%</w:t>
            </w:r>
          </w:p>
          <w:p w14:paraId="13F442C5" w14:textId="500B3F04" w:rsidR="00AF7B42" w:rsidRDefault="002A253E" w:rsidP="00546D71">
            <w:pPr>
              <w:pStyle w:val="NumberedList"/>
            </w:pPr>
            <w:r>
              <w:t>15</w:t>
            </w:r>
            <w:r w:rsidR="00AF7B42">
              <w:t>%</w:t>
            </w:r>
          </w:p>
          <w:p w14:paraId="1CB23C30" w14:textId="77777777" w:rsidR="00AF7B42" w:rsidRDefault="00AF7B42" w:rsidP="00546D71">
            <w:pPr>
              <w:pStyle w:val="NumberedList"/>
            </w:pPr>
            <w:r>
              <w:t>5%</w:t>
            </w:r>
          </w:p>
          <w:p w14:paraId="7CBBAEE3" w14:textId="17E82FF4" w:rsidR="00AF7B42" w:rsidRDefault="002A253E" w:rsidP="00546D71">
            <w:pPr>
              <w:pStyle w:val="NumberedList"/>
            </w:pPr>
            <w:r>
              <w:t>55</w:t>
            </w:r>
            <w:r w:rsidR="00AF7B42">
              <w:t>%</w:t>
            </w:r>
          </w:p>
          <w:p w14:paraId="4731362C" w14:textId="77777777" w:rsidR="00AF7B42" w:rsidRDefault="00AF7B42" w:rsidP="00546D71">
            <w:pPr>
              <w:pStyle w:val="NumberedList"/>
            </w:pPr>
            <w:r>
              <w:t>15%</w:t>
            </w:r>
          </w:p>
          <w:p w14:paraId="45F80BA1" w14:textId="77777777" w:rsidR="00AF7B42" w:rsidRPr="00C02EC2" w:rsidRDefault="00AF7B42" w:rsidP="00546D71">
            <w:pPr>
              <w:pStyle w:val="NumberedList"/>
            </w:pPr>
            <w:r>
              <w:t>5%</w:t>
            </w:r>
          </w:p>
        </w:tc>
      </w:tr>
    </w:tbl>
    <w:p w14:paraId="374D96AA" w14:textId="77777777" w:rsidR="00AF7B42" w:rsidRDefault="00AF7B42" w:rsidP="00E946A0">
      <w:pPr>
        <w:pStyle w:val="Heading1"/>
      </w:pPr>
      <w:r>
        <w:t>Materials</w:t>
      </w:r>
    </w:p>
    <w:p w14:paraId="3699D75E" w14:textId="6832B0F2" w:rsidR="00AF7B42" w:rsidRPr="00CF6C45" w:rsidRDefault="00AF7B42" w:rsidP="00064850">
      <w:pPr>
        <w:pStyle w:val="BulletedList"/>
      </w:pPr>
      <w:r>
        <w:t xml:space="preserve">Student copies of the </w:t>
      </w:r>
      <w:r w:rsidR="00DB6B98" w:rsidRPr="00721797">
        <w:t xml:space="preserve">11.1 </w:t>
      </w:r>
      <w:r w:rsidRPr="00721797">
        <w:t>Common Core Learning Standards Tool</w:t>
      </w:r>
      <w:r w:rsidR="00E91047" w:rsidRPr="00CF6C45">
        <w:t xml:space="preserve"> (refer</w:t>
      </w:r>
      <w:r w:rsidR="00721797">
        <w:t xml:space="preserve"> to</w:t>
      </w:r>
      <w:r w:rsidR="00E91047" w:rsidRPr="00CF6C45">
        <w:t xml:space="preserve"> 11.1.1 Lesson 1)</w:t>
      </w:r>
    </w:p>
    <w:p w14:paraId="46E8024C" w14:textId="57EAD326" w:rsidR="00A23571" w:rsidRDefault="00A23571" w:rsidP="00064850">
      <w:pPr>
        <w:pStyle w:val="BulletedList"/>
      </w:pPr>
      <w:r w:rsidRPr="00CF6C45">
        <w:t xml:space="preserve">Student copies of the </w:t>
      </w:r>
      <w:r w:rsidRPr="00721797">
        <w:t xml:space="preserve">Short Response </w:t>
      </w:r>
      <w:r w:rsidR="00A40085" w:rsidRPr="00721797">
        <w:t>Checklist and Rubric</w:t>
      </w:r>
      <w:r w:rsidR="007258CE" w:rsidRPr="00CF6C45">
        <w:t xml:space="preserve"> (</w:t>
      </w:r>
      <w:r w:rsidR="007258CE">
        <w:t>refer</w:t>
      </w:r>
      <w:r w:rsidR="00721797">
        <w:t xml:space="preserve"> to</w:t>
      </w:r>
      <w:r w:rsidR="007258CE">
        <w:t xml:space="preserve"> 11.1.1 Lesson 1)</w:t>
      </w:r>
    </w:p>
    <w:p w14:paraId="2610D10A" w14:textId="66B32B4C" w:rsidR="00A46CF8" w:rsidRPr="00DB6B98" w:rsidRDefault="00A46CF8" w:rsidP="00064850">
      <w:pPr>
        <w:pStyle w:val="BulletedList"/>
      </w:pPr>
      <w:r>
        <w:t xml:space="preserve">Student copies of the </w:t>
      </w:r>
      <w:r w:rsidR="00721797">
        <w:rPr>
          <w:i/>
        </w:rPr>
        <w:t xml:space="preserve">Hamlet </w:t>
      </w:r>
      <w:r>
        <w:t>Central Ideas Tracking Tool</w:t>
      </w:r>
      <w:r w:rsidR="00721797">
        <w:t xml:space="preserve"> (refer to 11.1.2 Lesson 7)</w:t>
      </w:r>
    </w:p>
    <w:p w14:paraId="4DACEC95" w14:textId="77777777" w:rsidR="00AF7B42" w:rsidRDefault="00AF7B42"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DB6B98" w:rsidRPr="001C6EA7" w14:paraId="6D3DC305" w14:textId="77777777" w:rsidTr="0093626B">
        <w:tc>
          <w:tcPr>
            <w:tcW w:w="9468" w:type="dxa"/>
            <w:gridSpan w:val="2"/>
            <w:shd w:val="clear" w:color="auto" w:fill="76923C" w:themeFill="accent3" w:themeFillShade="BF"/>
          </w:tcPr>
          <w:p w14:paraId="7DFCFB33" w14:textId="77777777" w:rsidR="00DB6B98" w:rsidRPr="001C6EA7" w:rsidRDefault="00DB6B98" w:rsidP="0093626B">
            <w:pPr>
              <w:pStyle w:val="TableHeaders"/>
            </w:pPr>
            <w:r w:rsidRPr="001C6EA7">
              <w:t>How to Use the Learning Sequence</w:t>
            </w:r>
          </w:p>
        </w:tc>
      </w:tr>
      <w:tr w:rsidR="00DB6B98" w:rsidRPr="000D6FA4" w14:paraId="2D7678FC" w14:textId="77777777" w:rsidTr="0093626B">
        <w:tc>
          <w:tcPr>
            <w:tcW w:w="894" w:type="dxa"/>
            <w:shd w:val="clear" w:color="auto" w:fill="76923C" w:themeFill="accent3" w:themeFillShade="BF"/>
          </w:tcPr>
          <w:p w14:paraId="756F7B71" w14:textId="77777777" w:rsidR="00DB6B98" w:rsidRPr="000D6FA4" w:rsidRDefault="00DB6B98" w:rsidP="0093626B">
            <w:pPr>
              <w:pStyle w:val="TableHeaders"/>
            </w:pPr>
            <w:r w:rsidRPr="000D6FA4">
              <w:t>Symbol</w:t>
            </w:r>
          </w:p>
        </w:tc>
        <w:tc>
          <w:tcPr>
            <w:tcW w:w="8574" w:type="dxa"/>
            <w:shd w:val="clear" w:color="auto" w:fill="76923C" w:themeFill="accent3" w:themeFillShade="BF"/>
          </w:tcPr>
          <w:p w14:paraId="50DF9C28" w14:textId="77777777" w:rsidR="00DB6B98" w:rsidRPr="000D6FA4" w:rsidRDefault="00DB6B98" w:rsidP="0093626B">
            <w:pPr>
              <w:pStyle w:val="TableHeaders"/>
            </w:pPr>
            <w:r w:rsidRPr="000D6FA4">
              <w:t>Type of Text &amp; Interpretation of the Symbol</w:t>
            </w:r>
          </w:p>
        </w:tc>
      </w:tr>
      <w:tr w:rsidR="00DB6B98" w:rsidRPr="00E65C14" w14:paraId="69E56AA2" w14:textId="77777777" w:rsidTr="0093626B">
        <w:tc>
          <w:tcPr>
            <w:tcW w:w="894" w:type="dxa"/>
          </w:tcPr>
          <w:p w14:paraId="350C15D8" w14:textId="77777777" w:rsidR="00DB6B98" w:rsidRPr="00E65C14" w:rsidRDefault="00DB6B98" w:rsidP="0093626B">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14:paraId="2BAEBF16" w14:textId="77777777" w:rsidR="00DB6B98" w:rsidRPr="00E65C14" w:rsidRDefault="00DB6B98" w:rsidP="0093626B">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DB6B98" w:rsidRPr="000D6FA4" w14:paraId="4CFC0E0C" w14:textId="77777777" w:rsidTr="0093626B">
        <w:tc>
          <w:tcPr>
            <w:tcW w:w="894" w:type="dxa"/>
            <w:vMerge w:val="restart"/>
            <w:vAlign w:val="center"/>
          </w:tcPr>
          <w:p w14:paraId="2138B92C" w14:textId="77777777" w:rsidR="00DB6B98" w:rsidRPr="00A948B3" w:rsidRDefault="00DB6B98" w:rsidP="0093626B">
            <w:pPr>
              <w:spacing w:before="20" w:after="20" w:line="240" w:lineRule="auto"/>
              <w:jc w:val="center"/>
              <w:rPr>
                <w:sz w:val="18"/>
              </w:rPr>
            </w:pPr>
            <w:r>
              <w:rPr>
                <w:sz w:val="18"/>
              </w:rPr>
              <w:t>n</w:t>
            </w:r>
            <w:r w:rsidRPr="00A948B3">
              <w:rPr>
                <w:sz w:val="18"/>
              </w:rPr>
              <w:t>o symbol</w:t>
            </w:r>
          </w:p>
        </w:tc>
        <w:tc>
          <w:tcPr>
            <w:tcW w:w="8574" w:type="dxa"/>
          </w:tcPr>
          <w:p w14:paraId="18248B2D" w14:textId="77777777" w:rsidR="00DB6B98" w:rsidRPr="000D6FA4" w:rsidRDefault="00DB6B98" w:rsidP="0093626B">
            <w:pPr>
              <w:spacing w:before="20" w:after="20" w:line="240" w:lineRule="auto"/>
              <w:rPr>
                <w:sz w:val="20"/>
              </w:rPr>
            </w:pPr>
            <w:r>
              <w:rPr>
                <w:sz w:val="20"/>
              </w:rPr>
              <w:t xml:space="preserve">Plain text </w:t>
            </w:r>
            <w:r w:rsidRPr="000D6FA4">
              <w:rPr>
                <w:sz w:val="20"/>
              </w:rPr>
              <w:t>indicates teacher action.</w:t>
            </w:r>
          </w:p>
        </w:tc>
      </w:tr>
      <w:tr w:rsidR="00DB6B98" w:rsidRPr="000D6FA4" w14:paraId="1368F6E1" w14:textId="77777777" w:rsidTr="0093626B">
        <w:tc>
          <w:tcPr>
            <w:tcW w:w="894" w:type="dxa"/>
            <w:vMerge/>
          </w:tcPr>
          <w:p w14:paraId="7CB3ADE2" w14:textId="77777777" w:rsidR="00DB6B98" w:rsidRPr="000D6FA4" w:rsidRDefault="00DB6B98" w:rsidP="0093626B">
            <w:pPr>
              <w:spacing w:before="20" w:after="20" w:line="240" w:lineRule="auto"/>
              <w:jc w:val="center"/>
              <w:rPr>
                <w:b/>
                <w:color w:val="000000" w:themeColor="text1"/>
                <w:sz w:val="20"/>
              </w:rPr>
            </w:pPr>
          </w:p>
        </w:tc>
        <w:tc>
          <w:tcPr>
            <w:tcW w:w="8574" w:type="dxa"/>
          </w:tcPr>
          <w:p w14:paraId="1422BAE7" w14:textId="77777777" w:rsidR="00DB6B98" w:rsidRPr="000D6FA4" w:rsidRDefault="00DB6B98" w:rsidP="0093626B">
            <w:pPr>
              <w:spacing w:before="20" w:after="20" w:line="240" w:lineRule="auto"/>
              <w:rPr>
                <w:color w:val="4F81BD" w:themeColor="accent1"/>
                <w:sz w:val="20"/>
              </w:rPr>
            </w:pPr>
            <w:r w:rsidRPr="00BA46CB">
              <w:rPr>
                <w:b/>
                <w:sz w:val="20"/>
              </w:rPr>
              <w:t>Bold text indicates questions for the teacher to ask students.</w:t>
            </w:r>
          </w:p>
        </w:tc>
      </w:tr>
      <w:tr w:rsidR="00DB6B98" w:rsidRPr="000D6FA4" w14:paraId="2AA1094B" w14:textId="77777777" w:rsidTr="0093626B">
        <w:tc>
          <w:tcPr>
            <w:tcW w:w="894" w:type="dxa"/>
            <w:vMerge/>
          </w:tcPr>
          <w:p w14:paraId="3CD3C9BD" w14:textId="77777777" w:rsidR="00DB6B98" w:rsidRPr="000D6FA4" w:rsidRDefault="00DB6B98" w:rsidP="0093626B">
            <w:pPr>
              <w:spacing w:before="20" w:after="20" w:line="240" w:lineRule="auto"/>
              <w:jc w:val="center"/>
              <w:rPr>
                <w:b/>
                <w:color w:val="000000" w:themeColor="text1"/>
                <w:sz w:val="20"/>
              </w:rPr>
            </w:pPr>
          </w:p>
        </w:tc>
        <w:tc>
          <w:tcPr>
            <w:tcW w:w="8574" w:type="dxa"/>
          </w:tcPr>
          <w:p w14:paraId="23EF33C0" w14:textId="77777777" w:rsidR="00DB6B98" w:rsidRPr="001E189E" w:rsidRDefault="00DB6B98" w:rsidP="0093626B">
            <w:pPr>
              <w:spacing w:before="20" w:after="20" w:line="240" w:lineRule="auto"/>
              <w:rPr>
                <w:i/>
                <w:sz w:val="20"/>
              </w:rPr>
            </w:pPr>
            <w:r w:rsidRPr="001E189E">
              <w:rPr>
                <w:i/>
                <w:sz w:val="20"/>
              </w:rPr>
              <w:t>Italicized text indicates a vocabulary word.</w:t>
            </w:r>
          </w:p>
        </w:tc>
      </w:tr>
      <w:tr w:rsidR="00DB6B98" w:rsidRPr="000D6FA4" w14:paraId="6A5F756A" w14:textId="77777777" w:rsidTr="00936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14:paraId="7EEE5317" w14:textId="77777777" w:rsidR="00DB6B98" w:rsidRDefault="00DB6B98" w:rsidP="0093626B">
            <w:pPr>
              <w:spacing w:before="40" w:after="0" w:line="240" w:lineRule="auto"/>
              <w:jc w:val="center"/>
              <w:rPr>
                <w:sz w:val="20"/>
              </w:rPr>
            </w:pPr>
            <w:r>
              <w:sym w:font="Webdings" w:char="F034"/>
            </w:r>
          </w:p>
        </w:tc>
        <w:tc>
          <w:tcPr>
            <w:tcW w:w="8574" w:type="dxa"/>
          </w:tcPr>
          <w:p w14:paraId="17F69930" w14:textId="77777777" w:rsidR="00DB6B98" w:rsidRPr="000C0112" w:rsidRDefault="00DB6B98" w:rsidP="0093626B">
            <w:pPr>
              <w:spacing w:before="20" w:after="20" w:line="240" w:lineRule="auto"/>
              <w:rPr>
                <w:sz w:val="20"/>
              </w:rPr>
            </w:pPr>
            <w:r w:rsidRPr="001708C2">
              <w:rPr>
                <w:sz w:val="20"/>
              </w:rPr>
              <w:t>Indicates student action(s).</w:t>
            </w:r>
          </w:p>
        </w:tc>
      </w:tr>
      <w:tr w:rsidR="00DB6B98" w:rsidRPr="000D6FA4" w14:paraId="2F44A115" w14:textId="77777777" w:rsidTr="00936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14:paraId="6B285F70" w14:textId="77777777" w:rsidR="00DB6B98" w:rsidRDefault="00DB6B98" w:rsidP="0093626B">
            <w:pPr>
              <w:spacing w:before="80" w:after="0" w:line="240" w:lineRule="auto"/>
              <w:jc w:val="center"/>
              <w:rPr>
                <w:sz w:val="20"/>
              </w:rPr>
            </w:pPr>
            <w:r>
              <w:rPr>
                <w:sz w:val="20"/>
              </w:rPr>
              <w:sym w:font="Webdings" w:char="F028"/>
            </w:r>
          </w:p>
        </w:tc>
        <w:tc>
          <w:tcPr>
            <w:tcW w:w="8574" w:type="dxa"/>
          </w:tcPr>
          <w:p w14:paraId="06E2362A" w14:textId="77777777" w:rsidR="00DB6B98" w:rsidRPr="000C0112" w:rsidRDefault="00DB6B98" w:rsidP="0093626B">
            <w:pPr>
              <w:spacing w:before="20" w:after="20" w:line="240" w:lineRule="auto"/>
              <w:rPr>
                <w:sz w:val="20"/>
              </w:rPr>
            </w:pPr>
            <w:r w:rsidRPr="001708C2">
              <w:rPr>
                <w:sz w:val="20"/>
              </w:rPr>
              <w:t>Indicates possible student response(s) to teacher questions.</w:t>
            </w:r>
          </w:p>
        </w:tc>
      </w:tr>
      <w:tr w:rsidR="00DB6B98" w:rsidRPr="000D6FA4" w14:paraId="1B35571C" w14:textId="77777777" w:rsidTr="0093626B">
        <w:tc>
          <w:tcPr>
            <w:tcW w:w="894" w:type="dxa"/>
            <w:vAlign w:val="bottom"/>
          </w:tcPr>
          <w:p w14:paraId="76E46277" w14:textId="77777777" w:rsidR="00DB6B98" w:rsidRPr="000D6FA4" w:rsidRDefault="00DB6B98" w:rsidP="0093626B">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14:paraId="32A26625" w14:textId="77777777" w:rsidR="00DB6B98" w:rsidRPr="000D6FA4" w:rsidRDefault="00DB6B98" w:rsidP="0093626B">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14:paraId="685B9374" w14:textId="77777777" w:rsidR="00AF7B42" w:rsidRDefault="00AF7B42" w:rsidP="00CE2836">
      <w:pPr>
        <w:pStyle w:val="LearningSequenceHeader"/>
      </w:pPr>
      <w:r w:rsidRPr="00A24DAB">
        <w:t>Activity 1: Introduction of Lesson Agenda</w:t>
      </w:r>
      <w:r w:rsidRPr="00A24DAB">
        <w:tab/>
        <w:t>5%</w:t>
      </w:r>
    </w:p>
    <w:p w14:paraId="1C34B185" w14:textId="0E066CF5" w:rsidR="00AF7B42" w:rsidRPr="00DB6B98" w:rsidRDefault="00AF7B42" w:rsidP="00DB6B98">
      <w:pPr>
        <w:pStyle w:val="TA"/>
      </w:pPr>
      <w:r w:rsidRPr="00DB6B98">
        <w:t>Begin by reviewing the agenda and the assessed standard for this lesson: RL.11-12.2.</w:t>
      </w:r>
      <w:r w:rsidR="0093626B">
        <w:t xml:space="preserve"> Inform </w:t>
      </w:r>
      <w:r w:rsidR="00526C27" w:rsidRPr="00DB6B98">
        <w:t>students that today they finish reading Hamlet’s “To be or not to be” soliloquy</w:t>
      </w:r>
      <w:r w:rsidR="0093626B">
        <w:t xml:space="preserve"> and consider some of the central ideas in the text</w:t>
      </w:r>
      <w:r w:rsidR="00526C27" w:rsidRPr="00DB6B98">
        <w:t>.</w:t>
      </w:r>
      <w:r w:rsidR="0093626B">
        <w:t xml:space="preserve"> After a brief whole-class discussion, students have an opportunity to work in small groups before completing a Quick Write.</w:t>
      </w:r>
    </w:p>
    <w:p w14:paraId="2C8AEFC5" w14:textId="77777777" w:rsidR="00AF7B42" w:rsidRDefault="00AF7B42" w:rsidP="000B1A06">
      <w:pPr>
        <w:pStyle w:val="SA"/>
      </w:pPr>
      <w:r>
        <w:t>Students look at the agenda.</w:t>
      </w:r>
    </w:p>
    <w:p w14:paraId="691D11BC" w14:textId="53FDA36B" w:rsidR="00526C27" w:rsidRDefault="00526C27" w:rsidP="00526C27">
      <w:pPr>
        <w:pStyle w:val="TA"/>
      </w:pPr>
      <w:r>
        <w:t xml:space="preserve">Distribute or ask students to take out their copies of the 11.1 Common Core Learning Standards Tool. Inform students that in this lesson they </w:t>
      </w:r>
      <w:r w:rsidR="00721797">
        <w:t>are</w:t>
      </w:r>
      <w:r>
        <w:t xml:space="preserve"> working with a new standard: W.11-12.2.c. Ask students to read the standard </w:t>
      </w:r>
      <w:r w:rsidR="00842B8A">
        <w:t xml:space="preserve">individually </w:t>
      </w:r>
      <w:r>
        <w:t xml:space="preserve">and assess their familiarity with and mastery of </w:t>
      </w:r>
      <w:r w:rsidR="00721797">
        <w:t>it</w:t>
      </w:r>
      <w:r>
        <w:t>.</w:t>
      </w:r>
    </w:p>
    <w:p w14:paraId="1B3E49D7" w14:textId="77777777" w:rsidR="00526C27" w:rsidRDefault="00526C27" w:rsidP="00261189">
      <w:pPr>
        <w:pStyle w:val="SA"/>
        <w:numPr>
          <w:ilvl w:val="0"/>
          <w:numId w:val="2"/>
        </w:numPr>
      </w:pPr>
      <w:r>
        <w:t xml:space="preserve">Students read and assess their understanding of standard W.11-12.2.c. </w:t>
      </w:r>
    </w:p>
    <w:p w14:paraId="3FA39034" w14:textId="44731058" w:rsidR="00526C27" w:rsidRDefault="00526C27" w:rsidP="00526C27">
      <w:pPr>
        <w:pStyle w:val="TA"/>
      </w:pPr>
      <w:r>
        <w:t>Instruct students to talk in pairs about what they think the standard means. Lead a brief discussion about this standard.</w:t>
      </w:r>
    </w:p>
    <w:p w14:paraId="00DFDF3B" w14:textId="68A096F4" w:rsidR="00526C27" w:rsidRDefault="00526C27" w:rsidP="00261189">
      <w:pPr>
        <w:pStyle w:val="SR"/>
        <w:numPr>
          <w:ilvl w:val="0"/>
          <w:numId w:val="1"/>
        </w:numPr>
        <w:ind w:left="720"/>
      </w:pPr>
      <w:r>
        <w:t>Student responses may include the following:</w:t>
      </w:r>
    </w:p>
    <w:p w14:paraId="278380B9" w14:textId="1BC8DF3C" w:rsidR="00526C27" w:rsidRPr="00DB6B98" w:rsidRDefault="00526C27" w:rsidP="00DB6B98">
      <w:pPr>
        <w:pStyle w:val="SASRBullet"/>
      </w:pPr>
      <w:r w:rsidRPr="00DB6B98">
        <w:t xml:space="preserve">The standard asks us to </w:t>
      </w:r>
      <w:r w:rsidR="00093D5E">
        <w:t>use different sentence structures</w:t>
      </w:r>
      <w:r w:rsidRPr="00DB6B98">
        <w:t>.</w:t>
      </w:r>
      <w:r w:rsidR="006C1A3F">
        <w:t xml:space="preserve"> </w:t>
      </w:r>
    </w:p>
    <w:p w14:paraId="7AEE0C13" w14:textId="258D4A6A" w:rsidR="00526C27" w:rsidRDefault="00526C27" w:rsidP="00DB6B98">
      <w:pPr>
        <w:pStyle w:val="SASRBullet"/>
      </w:pPr>
      <w:r w:rsidRPr="00DB6B98">
        <w:t xml:space="preserve">The standard asks us to use transitions in our writing to </w:t>
      </w:r>
      <w:r w:rsidR="00093D5E">
        <w:t>link ideas</w:t>
      </w:r>
      <w:r w:rsidRPr="00DB6B98">
        <w:t>.</w:t>
      </w:r>
    </w:p>
    <w:p w14:paraId="0428C390" w14:textId="6A665D75" w:rsidR="006C1A3F" w:rsidRDefault="00526C27" w:rsidP="006C1A3F">
      <w:pPr>
        <w:pStyle w:val="SASRBullet"/>
      </w:pPr>
      <w:r>
        <w:t>The standard deals with organizing writing so that it is clear.</w:t>
      </w:r>
    </w:p>
    <w:p w14:paraId="2AE318B8" w14:textId="32B03139" w:rsidR="006C1A3F" w:rsidRDefault="006C1A3F" w:rsidP="006C1A3F">
      <w:pPr>
        <w:pStyle w:val="IN"/>
      </w:pPr>
      <w:r>
        <w:t>If students need support around the meaning and use of transitions, consider explaining that a transition is a change, and in writing, a transition is a word, phrase, or sentence that signals a change in topic and connects ideas.</w:t>
      </w:r>
    </w:p>
    <w:p w14:paraId="02EA21BB" w14:textId="46BA4399" w:rsidR="00AF7B42" w:rsidRDefault="00AF7B42" w:rsidP="00CE2836">
      <w:pPr>
        <w:pStyle w:val="LearningSequenceHeader"/>
      </w:pPr>
      <w:r>
        <w:t>Activity 2</w:t>
      </w:r>
      <w:r w:rsidRPr="000B2D56">
        <w:t xml:space="preserve">: </w:t>
      </w:r>
      <w:r w:rsidR="002A253E">
        <w:t>Homework Accountability</w:t>
      </w:r>
      <w:r w:rsidR="002A253E">
        <w:tab/>
        <w:t>15</w:t>
      </w:r>
      <w:r w:rsidRPr="000B2D56">
        <w:t>%</w:t>
      </w:r>
    </w:p>
    <w:p w14:paraId="6B1CA5FF" w14:textId="72976670" w:rsidR="007A10D8" w:rsidRPr="00427129" w:rsidRDefault="007A10D8" w:rsidP="007A10D8">
      <w:pPr>
        <w:pStyle w:val="TA"/>
      </w:pPr>
      <w:r w:rsidRPr="00E51822">
        <w:t xml:space="preserve">Instruct students to talk in pairs about how they </w:t>
      </w:r>
      <w:r>
        <w:t>applied</w:t>
      </w:r>
      <w:r w:rsidRPr="00E51822">
        <w:t xml:space="preserve"> their focus standard, RL.</w:t>
      </w:r>
      <w:r>
        <w:t>11-12</w:t>
      </w:r>
      <w:r w:rsidRPr="00E51822">
        <w:t>.</w:t>
      </w:r>
      <w:r>
        <w:t>3</w:t>
      </w:r>
      <w:r w:rsidRPr="00E51822">
        <w:t xml:space="preserve">, to their text. Lead a brief share out on the </w:t>
      </w:r>
      <w:r w:rsidR="00974234">
        <w:t>previous night’s</w:t>
      </w:r>
      <w:r w:rsidR="006B6161">
        <w:t xml:space="preserve"> </w:t>
      </w:r>
      <w:r w:rsidRPr="00E51822">
        <w:t>AIR</w:t>
      </w:r>
      <w:r w:rsidR="00DB6B98">
        <w:t xml:space="preserve"> homework assignment. </w:t>
      </w:r>
      <w:r w:rsidRPr="00E51822">
        <w:t>Select several students (or student pairs) to explain how they applied their focus standard to their AIR text.</w:t>
      </w:r>
    </w:p>
    <w:p w14:paraId="45192824" w14:textId="77777777" w:rsidR="007A10D8" w:rsidRDefault="007A10D8" w:rsidP="00261189">
      <w:pPr>
        <w:pStyle w:val="SA"/>
        <w:numPr>
          <w:ilvl w:val="0"/>
          <w:numId w:val="2"/>
        </w:numPr>
      </w:pPr>
      <w:r w:rsidRPr="00E51822">
        <w:t>Students (or student pairs) discuss and share how they applied their focus standard</w:t>
      </w:r>
      <w:r>
        <w:t xml:space="preserve"> (RL.11-12.3)</w:t>
      </w:r>
      <w:r w:rsidRPr="00E51822">
        <w:t xml:space="preserve"> to their AIR text from the previous lesson’s homework.</w:t>
      </w:r>
    </w:p>
    <w:p w14:paraId="7125CB43" w14:textId="18949F11" w:rsidR="00AF7B42" w:rsidRDefault="00AF7B42" w:rsidP="000B2D56">
      <w:pPr>
        <w:pStyle w:val="TA"/>
      </w:pPr>
      <w:r>
        <w:t xml:space="preserve">Instruct students to share their assignments from the previous lesson </w:t>
      </w:r>
      <w:r w:rsidR="009341BF">
        <w:t>in pairs</w:t>
      </w:r>
      <w:r w:rsidR="003C2778">
        <w:t>. L</w:t>
      </w:r>
      <w:r>
        <w:t>ead a discussion of shared responses.</w:t>
      </w:r>
    </w:p>
    <w:p w14:paraId="51F3AF8B" w14:textId="4B808881" w:rsidR="00526C27" w:rsidRDefault="007A10D8" w:rsidP="00526C27">
      <w:pPr>
        <w:pStyle w:val="SA"/>
      </w:pPr>
      <w:r>
        <w:t xml:space="preserve">Student share their responses regarding </w:t>
      </w:r>
      <w:r w:rsidR="00974234">
        <w:t>how the statement “O God, God, / How weary, stale and unprofitable / Seem to me al</w:t>
      </w:r>
      <w:r w:rsidR="00362DFA">
        <w:t>l the uses of this world</w:t>
      </w:r>
      <w:r w:rsidR="0053372B">
        <w:t>!</w:t>
      </w:r>
      <w:r w:rsidR="00362DFA">
        <w:t xml:space="preserve">” from </w:t>
      </w:r>
      <w:r w:rsidR="00974234">
        <w:t>Hamlet’s soliloquy in Act 1.2 is further developed in Hamlet’s “To be or not to be” soliloquy in Act 3.1</w:t>
      </w:r>
      <w:r>
        <w:t>.</w:t>
      </w:r>
    </w:p>
    <w:p w14:paraId="2AA2E269" w14:textId="59F55426" w:rsidR="00974234" w:rsidRDefault="00974234" w:rsidP="00845C5F">
      <w:pPr>
        <w:pStyle w:val="SR"/>
      </w:pPr>
      <w:r>
        <w:t>Student responses may include:</w:t>
      </w:r>
    </w:p>
    <w:p w14:paraId="0CA2380C" w14:textId="77777777" w:rsidR="007A10D8" w:rsidRDefault="007A10D8" w:rsidP="007A10D8">
      <w:pPr>
        <w:pStyle w:val="SASRBullet"/>
      </w:pPr>
      <w:r>
        <w:t>The “To be or not to be” soliloquy builds on the one from Act 1.2 by expanding on Hamlet’s negative attitude toward life and the world.</w:t>
      </w:r>
    </w:p>
    <w:p w14:paraId="464CE1F3" w14:textId="18A7019B" w:rsidR="007A10D8" w:rsidRDefault="007A10D8" w:rsidP="007A10D8">
      <w:pPr>
        <w:pStyle w:val="SASRBullet"/>
      </w:pPr>
      <w:r>
        <w:t>The soliloquy in Act 1.2 also deals with suicide, which is something that the “</w:t>
      </w:r>
      <w:r w:rsidR="003C2778">
        <w:t>T</w:t>
      </w:r>
      <w:r>
        <w:t>o be or not to be” soliloquy deals with as well.</w:t>
      </w:r>
    </w:p>
    <w:p w14:paraId="03F8FBC6" w14:textId="28B64037" w:rsidR="00974234" w:rsidRDefault="00974234" w:rsidP="00845C5F">
      <w:pPr>
        <w:pStyle w:val="SA"/>
      </w:pPr>
      <w:r>
        <w:t>Students share their responses regarding how Shakespeare uses figurative language to develop central ideas.</w:t>
      </w:r>
    </w:p>
    <w:p w14:paraId="05A1BC02" w14:textId="33AA2287" w:rsidR="00974234" w:rsidRDefault="00974234" w:rsidP="00845C5F">
      <w:pPr>
        <w:pStyle w:val="SR"/>
      </w:pPr>
      <w:r>
        <w:t>Student responses may include:</w:t>
      </w:r>
    </w:p>
    <w:p w14:paraId="72CA4D40" w14:textId="478679AE" w:rsidR="00974234" w:rsidRDefault="003C3166">
      <w:pPr>
        <w:pStyle w:val="SASRBullet"/>
      </w:pPr>
      <w:r>
        <w:t>Shakespeare uses the image of sleep and dreaming to develop the central idea of mortality.</w:t>
      </w:r>
      <w:r w:rsidR="00E33FC1">
        <w:t xml:space="preserve"> He imagines death as sleep</w:t>
      </w:r>
      <w:r w:rsidR="00721797">
        <w:t>—</w:t>
      </w:r>
      <w:r w:rsidR="00E33FC1">
        <w:t>“To die, to sleep” (line 68)</w:t>
      </w:r>
      <w:r w:rsidR="00721797">
        <w:t>—</w:t>
      </w:r>
      <w:r w:rsidR="00E33FC1">
        <w:t>and the afterlife as a dream: “To die, to sleep</w:t>
      </w:r>
      <w:r w:rsidR="00721797">
        <w:t xml:space="preserve">— </w:t>
      </w:r>
      <w:r w:rsidR="00E33FC1">
        <w:t>/ To sleep, perchance to dream. Ay, there’s the rub / For in that sleep of death what dreams may come,” (lines 72</w:t>
      </w:r>
      <w:r w:rsidR="00721797">
        <w:t>–</w:t>
      </w:r>
      <w:r w:rsidR="00E33FC1">
        <w:t>74), in order to debate the merits of suicide and the possibilities of the afterlife.</w:t>
      </w:r>
    </w:p>
    <w:p w14:paraId="5F515E27" w14:textId="1D01A491" w:rsidR="003C3166" w:rsidRDefault="003C3166">
      <w:pPr>
        <w:pStyle w:val="SASRBullet"/>
      </w:pPr>
      <w:r>
        <w:t>With the image of “this mortal coil”</w:t>
      </w:r>
      <w:r w:rsidR="00E33FC1">
        <w:t xml:space="preserve"> (line 75)</w:t>
      </w:r>
      <w:r w:rsidR="0053372B">
        <w:t>,</w:t>
      </w:r>
      <w:r>
        <w:t xml:space="preserve"> Shakespeare develops the central idea of mortality</w:t>
      </w:r>
      <w:r w:rsidR="00E33FC1">
        <w:t>: Hamlet considers life as a constraint, which a man can “shuffle off” by death (line</w:t>
      </w:r>
      <w:r w:rsidR="00E90B43">
        <w:t> </w:t>
      </w:r>
      <w:r w:rsidR="00E33FC1">
        <w:t xml:space="preserve">75). </w:t>
      </w:r>
    </w:p>
    <w:p w14:paraId="1C7457F7" w14:textId="0E9879C5" w:rsidR="006C1A3F" w:rsidRDefault="00163F03" w:rsidP="00163F03">
      <w:pPr>
        <w:pStyle w:val="IN"/>
      </w:pPr>
      <w:r w:rsidRPr="00F16658">
        <w:t xml:space="preserve">Remind students that they should be keeping track of central ideas in the play using the </w:t>
      </w:r>
      <w:r w:rsidRPr="00290071">
        <w:rPr>
          <w:i/>
        </w:rPr>
        <w:t>Hamlet</w:t>
      </w:r>
      <w:r>
        <w:t xml:space="preserve"> </w:t>
      </w:r>
      <w:r w:rsidRPr="00F16658">
        <w:t>Central Ideas Tracking Tool</w:t>
      </w:r>
      <w:r>
        <w:t xml:space="preserve"> provided in 11.1.2 Lesson 7.</w:t>
      </w:r>
    </w:p>
    <w:p w14:paraId="0E850CF5" w14:textId="77777777" w:rsidR="00AF7B42" w:rsidRDefault="00AF7B42" w:rsidP="00CE2836">
      <w:pPr>
        <w:pStyle w:val="LearningSequenceHeader"/>
      </w:pPr>
      <w:r w:rsidRPr="000B2D56">
        <w:t xml:space="preserve">Activity </w:t>
      </w:r>
      <w:r>
        <w:t>3</w:t>
      </w:r>
      <w:r w:rsidRPr="000B2D56">
        <w:t xml:space="preserve">: </w:t>
      </w:r>
      <w:r>
        <w:t>Masterful Reading</w:t>
      </w:r>
      <w:r>
        <w:tab/>
        <w:t>5</w:t>
      </w:r>
      <w:r w:rsidRPr="000B2D56">
        <w:t>%</w:t>
      </w:r>
    </w:p>
    <w:p w14:paraId="2C83C677" w14:textId="77777777" w:rsidR="003C2778" w:rsidRDefault="00AF7B42" w:rsidP="00721797">
      <w:pPr>
        <w:pStyle w:val="TA"/>
      </w:pPr>
      <w:r>
        <w:t>Have students listen to a masterful reading of the “To be or not to be” soliloquy (Act 3.1 lines 64–98</w:t>
      </w:r>
      <w:r w:rsidR="002A253E">
        <w:t>, from “To be or not to be – that is the question” to “Nymph, in thy orisons / Be all my sins remembered”</w:t>
      </w:r>
      <w:r>
        <w:t>).</w:t>
      </w:r>
    </w:p>
    <w:p w14:paraId="214ED924" w14:textId="7889C487" w:rsidR="00AF7B42" w:rsidRDefault="00AF7B42" w:rsidP="00707670">
      <w:pPr>
        <w:pStyle w:val="TA"/>
      </w:pPr>
      <w:r>
        <w:t>Instruct students that they will be assessed on their ability to identify a central idea in the soliloquy and relate it to other passages and ideas in the play.</w:t>
      </w:r>
    </w:p>
    <w:p w14:paraId="68ECEE27" w14:textId="5B69CE7E" w:rsidR="007A10D8" w:rsidRDefault="00B35061" w:rsidP="007A10D8">
      <w:pPr>
        <w:pStyle w:val="SA"/>
      </w:pPr>
      <w:r>
        <w:t xml:space="preserve">Students </w:t>
      </w:r>
      <w:r w:rsidR="00973DA4">
        <w:t>follow along, reading silently</w:t>
      </w:r>
      <w:r>
        <w:t xml:space="preserve">. </w:t>
      </w:r>
    </w:p>
    <w:p w14:paraId="64793139" w14:textId="1F544638" w:rsidR="00AF7B42" w:rsidRDefault="00AF7B42" w:rsidP="000458E6">
      <w:pPr>
        <w:pStyle w:val="IN"/>
      </w:pPr>
      <w:r w:rsidRPr="00721797">
        <w:t xml:space="preserve">Consider </w:t>
      </w:r>
      <w:r>
        <w:t xml:space="preserve">playing a different version of </w:t>
      </w:r>
      <w:r w:rsidRPr="00721797">
        <w:rPr>
          <w:i/>
        </w:rPr>
        <w:t>Hamlet</w:t>
      </w:r>
      <w:r>
        <w:t xml:space="preserve"> so that students become acquainted with how different actors or readers interpret the soliloquy.</w:t>
      </w:r>
    </w:p>
    <w:p w14:paraId="1862367E" w14:textId="12CF4535" w:rsidR="00AF7B42" w:rsidRDefault="00AF7B42" w:rsidP="00707670">
      <w:pPr>
        <w:pStyle w:val="LearningSequenceHeader"/>
      </w:pPr>
      <w:r>
        <w:t>Activity 4: Lines 84</w:t>
      </w:r>
      <w:r w:rsidR="00DF40DC">
        <w:t>–</w:t>
      </w:r>
      <w:r>
        <w:t>98 Reading and Discussion</w:t>
      </w:r>
      <w:r>
        <w:tab/>
      </w:r>
      <w:r w:rsidR="002A253E">
        <w:t>55</w:t>
      </w:r>
      <w:r w:rsidRPr="00707670">
        <w:t>%</w:t>
      </w:r>
    </w:p>
    <w:p w14:paraId="0AD15100" w14:textId="1058D16D" w:rsidR="00AF7B42" w:rsidRDefault="00AF7B42" w:rsidP="009466B0">
      <w:pPr>
        <w:pStyle w:val="SA"/>
        <w:numPr>
          <w:ilvl w:val="0"/>
          <w:numId w:val="0"/>
        </w:numPr>
      </w:pPr>
      <w:r>
        <w:t xml:space="preserve">Begin by asking </w:t>
      </w:r>
      <w:r w:rsidR="00DB6B98">
        <w:t>volunteers</w:t>
      </w:r>
      <w:r>
        <w:t xml:space="preserve"> to share their </w:t>
      </w:r>
      <w:r w:rsidR="0053372B">
        <w:t xml:space="preserve">Quick Writes </w:t>
      </w:r>
      <w:r>
        <w:t xml:space="preserve">from the previous lesson. Engage students in a conversation about how Shakespeare has portrayed Hamlet’s attitude towards life and death so far. </w:t>
      </w:r>
    </w:p>
    <w:p w14:paraId="1B1D1C95" w14:textId="2978915B" w:rsidR="00AF7B42" w:rsidRDefault="00AF7B42" w:rsidP="00DB6B98">
      <w:pPr>
        <w:pStyle w:val="Q"/>
      </w:pPr>
      <w:r w:rsidRPr="00DB6B98">
        <w:t xml:space="preserve">What conclusions has Hamlet </w:t>
      </w:r>
      <w:r w:rsidR="00F622DA">
        <w:t>reached</w:t>
      </w:r>
      <w:r w:rsidRPr="00DB6B98">
        <w:t xml:space="preserve"> so far in the soliloquy?</w:t>
      </w:r>
    </w:p>
    <w:p w14:paraId="46DE40B8" w14:textId="116D1419" w:rsidR="00AF7B42" w:rsidRDefault="00AF7B42" w:rsidP="009466B0">
      <w:pPr>
        <w:pStyle w:val="SR"/>
      </w:pPr>
      <w:r>
        <w:t xml:space="preserve">Hamlet believes that the uncertainty of what happens after death forces us to live a life full of troubles. It is this fear of the </w:t>
      </w:r>
      <w:r w:rsidR="00DF40DC">
        <w:t>unknow</w:t>
      </w:r>
      <w:r w:rsidR="0093626B">
        <w:t xml:space="preserve">n that </w:t>
      </w:r>
      <w:r>
        <w:t>causes so much difficulty in life and prevents people from ending their own li</w:t>
      </w:r>
      <w:r w:rsidR="009B3E8A">
        <w:t>v</w:t>
      </w:r>
      <w:r>
        <w:t>e</w:t>
      </w:r>
      <w:r w:rsidR="009B3E8A">
        <w:t>s</w:t>
      </w:r>
      <w:r>
        <w:t>.</w:t>
      </w:r>
    </w:p>
    <w:p w14:paraId="2B3DE96D" w14:textId="77777777" w:rsidR="008E541B" w:rsidRDefault="008E541B" w:rsidP="004161B5">
      <w:pPr>
        <w:pStyle w:val="BR"/>
      </w:pPr>
    </w:p>
    <w:p w14:paraId="57659C59" w14:textId="1D9D0086" w:rsidR="00AF7B42" w:rsidRDefault="00AF7B42" w:rsidP="009466B0">
      <w:pPr>
        <w:pStyle w:val="SA"/>
        <w:numPr>
          <w:ilvl w:val="0"/>
          <w:numId w:val="0"/>
        </w:numPr>
      </w:pPr>
      <w:r>
        <w:t>Reread lines 84</w:t>
      </w:r>
      <w:r w:rsidR="00721797">
        <w:t>–</w:t>
      </w:r>
      <w:r>
        <w:t>90 with the class: “Who would fardels bear</w:t>
      </w:r>
      <w:r w:rsidR="002A253E">
        <w:t xml:space="preserve"> / To grunt and sweat” to “T</w:t>
      </w:r>
      <w:r>
        <w:t>han fly to others we know not of” and lead a class discussion of the</w:t>
      </w:r>
      <w:r w:rsidR="005040ED">
        <w:t xml:space="preserve"> following</w:t>
      </w:r>
      <w:r>
        <w:t xml:space="preserve"> questions:</w:t>
      </w:r>
    </w:p>
    <w:p w14:paraId="702BE370" w14:textId="2BDE8FDA" w:rsidR="00AF7B42" w:rsidRPr="001C5DEE" w:rsidRDefault="00AF7B42" w:rsidP="00DB6B98">
      <w:pPr>
        <w:pStyle w:val="Q"/>
      </w:pPr>
      <w:r>
        <w:t xml:space="preserve">In lines 87–88, what does </w:t>
      </w:r>
      <w:r w:rsidRPr="001C5DEE">
        <w:t>“</w:t>
      </w:r>
      <w:r>
        <w:t xml:space="preserve">the undiscovered country </w:t>
      </w:r>
      <w:r w:rsidRPr="001C5DEE">
        <w:t>from whose bourn</w:t>
      </w:r>
      <w:r w:rsidR="002A253E">
        <w:t xml:space="preserve"> / N</w:t>
      </w:r>
      <w:r w:rsidRPr="001C5DEE">
        <w:t xml:space="preserve">o traveler </w:t>
      </w:r>
      <w:r w:rsidRPr="00E90B43">
        <w:rPr>
          <w:spacing w:val="-4"/>
        </w:rPr>
        <w:t>returns” refer to?</w:t>
      </w:r>
    </w:p>
    <w:p w14:paraId="5EC1291C" w14:textId="77777777" w:rsidR="00AF7B42" w:rsidRDefault="00AF7B42">
      <w:pPr>
        <w:pStyle w:val="SR"/>
      </w:pPr>
      <w:r>
        <w:t>Death.</w:t>
      </w:r>
    </w:p>
    <w:p w14:paraId="335306E4" w14:textId="580C3A5C" w:rsidR="00AF7B42" w:rsidRPr="001C5DEE" w:rsidRDefault="00AF7B42" w:rsidP="00DB6B98">
      <w:pPr>
        <w:pStyle w:val="Q"/>
      </w:pPr>
      <w:r>
        <w:t>What does “the dread of something after death” (</w:t>
      </w:r>
      <w:r w:rsidR="008E541B">
        <w:t xml:space="preserve">line </w:t>
      </w:r>
      <w:r>
        <w:t xml:space="preserve">86) do? </w:t>
      </w:r>
      <w:r w:rsidR="005040ED">
        <w:t>Use evidence from the text to explain your response.</w:t>
      </w:r>
    </w:p>
    <w:p w14:paraId="133C2C00" w14:textId="49785648" w:rsidR="00AF7B42" w:rsidRDefault="002A253E">
      <w:pPr>
        <w:pStyle w:val="SR"/>
      </w:pPr>
      <w:r>
        <w:t>It “puzzles the will</w:t>
      </w:r>
      <w:r w:rsidR="00AF7B42">
        <w:t>”</w:t>
      </w:r>
      <w:r>
        <w:t xml:space="preserve"> (line 88).</w:t>
      </w:r>
      <w:r w:rsidR="00AF7B42">
        <w:t xml:space="preserve"> This means that it confuses people or gets in the way of acting.</w:t>
      </w:r>
    </w:p>
    <w:p w14:paraId="0670C74F" w14:textId="16114A2B" w:rsidR="00AF7B42" w:rsidRPr="00AE7964" w:rsidRDefault="00AF7B42" w:rsidP="00DB6B98">
      <w:pPr>
        <w:pStyle w:val="Q"/>
      </w:pPr>
      <w:r>
        <w:t>Paraphrase the line “ma</w:t>
      </w:r>
      <w:r w:rsidRPr="00543BB9">
        <w:t xml:space="preserve">kes us </w:t>
      </w:r>
      <w:r w:rsidR="002A253E">
        <w:t>rather bear those ills we have / T</w:t>
      </w:r>
      <w:r w:rsidRPr="00543BB9">
        <w:t>han fly to others that we know not of”</w:t>
      </w:r>
      <w:r>
        <w:t xml:space="preserve"> </w:t>
      </w:r>
      <w:r w:rsidRPr="007C7CD6">
        <w:t>(</w:t>
      </w:r>
      <w:r w:rsidR="008E541B">
        <w:t xml:space="preserve">lines </w:t>
      </w:r>
      <w:r w:rsidRPr="007C7CD6">
        <w:t>89</w:t>
      </w:r>
      <w:r>
        <w:t>–</w:t>
      </w:r>
      <w:r w:rsidRPr="007C7CD6">
        <w:t>90)</w:t>
      </w:r>
      <w:r>
        <w:t>.</w:t>
      </w:r>
    </w:p>
    <w:p w14:paraId="2F9AC3DE" w14:textId="77777777" w:rsidR="00AF7B42" w:rsidRDefault="00AF7B42">
      <w:pPr>
        <w:pStyle w:val="SR"/>
      </w:pPr>
      <w:r>
        <w:t xml:space="preserve">We would rather stick to what we know rather than go towards the unknown. </w:t>
      </w:r>
    </w:p>
    <w:p w14:paraId="20B6D032" w14:textId="77777777" w:rsidR="008E541B" w:rsidRDefault="008E541B" w:rsidP="00290071">
      <w:pPr>
        <w:pStyle w:val="BR"/>
      </w:pPr>
    </w:p>
    <w:p w14:paraId="592A7CF0" w14:textId="19FF55FC" w:rsidR="008E541B" w:rsidRDefault="00AF7B42" w:rsidP="00E710AF">
      <w:r w:rsidRPr="007C6693">
        <w:t xml:space="preserve">Ask </w:t>
      </w:r>
      <w:r w:rsidR="00DF40DC" w:rsidRPr="007C6693">
        <w:t>a</w:t>
      </w:r>
      <w:r w:rsidRPr="007C6693">
        <w:t xml:space="preserve"> volunteer to read lines 91</w:t>
      </w:r>
      <w:r w:rsidR="00290071">
        <w:t>–</w:t>
      </w:r>
      <w:r w:rsidRPr="007C6693">
        <w:t>96</w:t>
      </w:r>
      <w:r>
        <w:t xml:space="preserve"> for the class: “Thus conscience</w:t>
      </w:r>
      <w:r w:rsidR="002A253E">
        <w:t xml:space="preserve"> does make cowards of us all / A</w:t>
      </w:r>
      <w:r>
        <w:t>nd thus the native hue of resolution / is sicklied o’er with</w:t>
      </w:r>
      <w:r w:rsidR="002A253E">
        <w:t xml:space="preserve"> the pale cast of thought, / A</w:t>
      </w:r>
      <w:r>
        <w:t>nd enterpris</w:t>
      </w:r>
      <w:r w:rsidR="002A253E">
        <w:t>es of great pitch and moment / W</w:t>
      </w:r>
      <w:r>
        <w:t>ith this reg</w:t>
      </w:r>
      <w:r w:rsidR="002A253E">
        <w:t>ard their currents turn awry / A</w:t>
      </w:r>
      <w:r>
        <w:t>nd lose the name of action.”</w:t>
      </w:r>
    </w:p>
    <w:p w14:paraId="5F58EEE4" w14:textId="739268FE" w:rsidR="00AF7B42" w:rsidRPr="007C6693" w:rsidRDefault="00AF7B42" w:rsidP="00E710AF">
      <w:r>
        <w:t>Lead students in a whole class discussion of the following questions:</w:t>
      </w:r>
    </w:p>
    <w:p w14:paraId="71D19976" w14:textId="6CC8E973" w:rsidR="00AF7B42" w:rsidRPr="00543BB9" w:rsidRDefault="00B97875" w:rsidP="00DB6B98">
      <w:pPr>
        <w:pStyle w:val="Q"/>
      </w:pPr>
      <w:r>
        <w:t>What does Hamlet</w:t>
      </w:r>
      <w:r w:rsidR="00AF7B42" w:rsidRPr="00543BB9">
        <w:t xml:space="preserve"> mean that “conscience” makes </w:t>
      </w:r>
      <w:r w:rsidR="00D65DB9">
        <w:t>“</w:t>
      </w:r>
      <w:r w:rsidR="00AF7B42" w:rsidRPr="00543BB9">
        <w:t>cowards of us all</w:t>
      </w:r>
      <w:r w:rsidR="00D65DB9">
        <w:t>”</w:t>
      </w:r>
      <w:r w:rsidR="002A253E">
        <w:t xml:space="preserve"> (line 91)</w:t>
      </w:r>
      <w:r w:rsidR="00AF7B42" w:rsidRPr="00543BB9">
        <w:t xml:space="preserve">? How is he using </w:t>
      </w:r>
      <w:r w:rsidR="00AF7B42" w:rsidRPr="00290071">
        <w:rPr>
          <w:i/>
        </w:rPr>
        <w:t>conscience</w:t>
      </w:r>
      <w:r w:rsidR="00AF7B42" w:rsidRPr="00543BB9">
        <w:t xml:space="preserve"> here?</w:t>
      </w:r>
    </w:p>
    <w:p w14:paraId="10F92EA5" w14:textId="5B886C8A" w:rsidR="00AF7B42" w:rsidRDefault="00B97875">
      <w:pPr>
        <w:pStyle w:val="SR"/>
      </w:pPr>
      <w:r>
        <w:t xml:space="preserve">Hamlet </w:t>
      </w:r>
      <w:r w:rsidR="00AF7B42">
        <w:t>is saying that thinking or the fear of the unknown makes us cowardly or prevents us from acting.</w:t>
      </w:r>
      <w:r>
        <w:t xml:space="preserve"> </w:t>
      </w:r>
      <w:r w:rsidRPr="00290071">
        <w:rPr>
          <w:i/>
        </w:rPr>
        <w:t>Conscience</w:t>
      </w:r>
      <w:r>
        <w:t xml:space="preserve"> means </w:t>
      </w:r>
      <w:r w:rsidR="00290071">
        <w:t>“</w:t>
      </w:r>
      <w:r w:rsidR="00830CA1">
        <w:t xml:space="preserve">knowledge or </w:t>
      </w:r>
      <w:r>
        <w:t>consciousness</w:t>
      </w:r>
      <w:r w:rsidR="00290071">
        <w:t>”</w:t>
      </w:r>
      <w:r w:rsidR="00830CA1">
        <w:t xml:space="preserve"> </w:t>
      </w:r>
      <w:r>
        <w:t>in this context.</w:t>
      </w:r>
    </w:p>
    <w:p w14:paraId="2192DC26" w14:textId="1DCF67FD" w:rsidR="00097C4A" w:rsidRDefault="005040ED">
      <w:pPr>
        <w:pStyle w:val="TA"/>
      </w:pPr>
      <w:r>
        <w:t xml:space="preserve">Instruct </w:t>
      </w:r>
      <w:r w:rsidR="00AF7B42">
        <w:t xml:space="preserve">students to look at the </w:t>
      </w:r>
      <w:r>
        <w:t>explanatory notes</w:t>
      </w:r>
      <w:r w:rsidR="00AF7B42">
        <w:t xml:space="preserve"> for </w:t>
      </w:r>
      <w:r w:rsidR="009B3E8A">
        <w:t xml:space="preserve">the </w:t>
      </w:r>
      <w:r w:rsidR="00AF7B42">
        <w:t>meaning of unfamiliar words</w:t>
      </w:r>
      <w:r w:rsidR="00B97875">
        <w:t xml:space="preserve"> such as</w:t>
      </w:r>
      <w:r w:rsidR="009341BF">
        <w:t xml:space="preserve"> </w:t>
      </w:r>
      <w:r w:rsidR="00B97875" w:rsidRPr="00290071">
        <w:rPr>
          <w:i/>
        </w:rPr>
        <w:t>native</w:t>
      </w:r>
      <w:r w:rsidR="0053372B">
        <w:rPr>
          <w:i/>
        </w:rPr>
        <w:t> </w:t>
      </w:r>
      <w:r w:rsidR="00B97875" w:rsidRPr="00290071">
        <w:rPr>
          <w:i/>
        </w:rPr>
        <w:t>hue</w:t>
      </w:r>
      <w:r w:rsidR="009341BF">
        <w:t xml:space="preserve"> </w:t>
      </w:r>
      <w:r w:rsidR="009B3E8A">
        <w:t>and</w:t>
      </w:r>
      <w:r w:rsidR="00B97875">
        <w:t xml:space="preserve"> </w:t>
      </w:r>
      <w:r w:rsidR="00B97875" w:rsidRPr="00290071">
        <w:rPr>
          <w:i/>
        </w:rPr>
        <w:t>cast</w:t>
      </w:r>
      <w:r w:rsidR="00AF7B42">
        <w:t>.</w:t>
      </w:r>
    </w:p>
    <w:p w14:paraId="1A146FDB" w14:textId="54274AC2" w:rsidR="00B97875" w:rsidRDefault="00B97875" w:rsidP="00290071">
      <w:pPr>
        <w:pStyle w:val="TA"/>
      </w:pPr>
      <w:r>
        <w:t xml:space="preserve">Provide the definition of the word </w:t>
      </w:r>
      <w:r w:rsidRPr="00290071">
        <w:rPr>
          <w:i/>
        </w:rPr>
        <w:t>resolution</w:t>
      </w:r>
      <w:r>
        <w:t xml:space="preserve">: </w:t>
      </w:r>
      <w:r w:rsidR="00290071">
        <w:t xml:space="preserve">“a </w:t>
      </w:r>
      <w:r w:rsidRPr="00B97875">
        <w:t>decision</w:t>
      </w:r>
      <w:r w:rsidR="00DB6B98">
        <w:t xml:space="preserve"> </w:t>
      </w:r>
      <w:r w:rsidRPr="00B97875">
        <w:t>or determination; a resolve.</w:t>
      </w:r>
      <w:r w:rsidR="00290071">
        <w:t>”</w:t>
      </w:r>
    </w:p>
    <w:p w14:paraId="1D13D411" w14:textId="6AD9B10C" w:rsidR="00AF7B42" w:rsidRPr="001C5DEE" w:rsidRDefault="00AF7B42" w:rsidP="00DB6B98">
      <w:pPr>
        <w:pStyle w:val="Q"/>
      </w:pPr>
      <w:r>
        <w:t>What metaphor does Hamlet use to compare “thought”</w:t>
      </w:r>
      <w:r w:rsidR="002A253E">
        <w:t xml:space="preserve"> (line 93)</w:t>
      </w:r>
      <w:r>
        <w:t xml:space="preserve"> and “resolution”</w:t>
      </w:r>
      <w:r w:rsidR="002A253E">
        <w:t xml:space="preserve"> (</w:t>
      </w:r>
      <w:r w:rsidR="008E541B">
        <w:t xml:space="preserve">line </w:t>
      </w:r>
      <w:r w:rsidR="002A253E">
        <w:t>92)</w:t>
      </w:r>
      <w:r>
        <w:t xml:space="preserve">? </w:t>
      </w:r>
      <w:r w:rsidR="005040ED">
        <w:t>Expla</w:t>
      </w:r>
      <w:r w:rsidR="00DB6B98">
        <w:t>in the meaning of the metaphor.</w:t>
      </w:r>
    </w:p>
    <w:p w14:paraId="1CBB49CC" w14:textId="4562E6B5" w:rsidR="00AF7B42" w:rsidRDefault="00AF7B42" w:rsidP="004334D1">
      <w:pPr>
        <w:pStyle w:val="SR"/>
      </w:pPr>
      <w:r>
        <w:t xml:space="preserve">Hamlet uses a metaphor of sickness. </w:t>
      </w:r>
      <w:r w:rsidR="008E541B">
        <w:t xml:space="preserve">By </w:t>
      </w:r>
      <w:r>
        <w:t xml:space="preserve">“The native hue of resolution / Is sicklied o’er with the pale cast of </w:t>
      </w:r>
      <w:r w:rsidR="00DA0CD1">
        <w:t>thought</w:t>
      </w:r>
      <w:r w:rsidR="008E541B">
        <w:t>,</w:t>
      </w:r>
      <w:r w:rsidR="00DA0CD1">
        <w:t>” Hamlet</w:t>
      </w:r>
      <w:r w:rsidR="004334D1">
        <w:t xml:space="preserve"> means that the decision to act (resolution) is healthy, while thinking about it too much makes it seem </w:t>
      </w:r>
      <w:r w:rsidR="004334D1" w:rsidRPr="00B97875">
        <w:t>sick</w:t>
      </w:r>
      <w:r w:rsidR="004334D1" w:rsidRPr="00B97875" w:rsidDel="004334D1">
        <w:t xml:space="preserve"> </w:t>
      </w:r>
      <w:r w:rsidR="004334D1" w:rsidRPr="00B97875">
        <w:t>(the pale cast of thought).</w:t>
      </w:r>
    </w:p>
    <w:p w14:paraId="580AE4BC" w14:textId="77777777" w:rsidR="00AF7B42" w:rsidRPr="00DB6B98" w:rsidRDefault="00AF7B42" w:rsidP="00DB6B98">
      <w:pPr>
        <w:pStyle w:val="Q"/>
      </w:pPr>
      <w:r w:rsidRPr="00DB6B98">
        <w:t xml:space="preserve">How does this metaphor relate to Hamlet’s life?  </w:t>
      </w:r>
    </w:p>
    <w:p w14:paraId="34F5E108" w14:textId="77777777" w:rsidR="00AF7B42" w:rsidRDefault="00AF7B42" w:rsidP="004334D1">
      <w:pPr>
        <w:pStyle w:val="SR"/>
      </w:pPr>
      <w:r>
        <w:t>He seems to be implying that he is behaving in a sick or unnatural way by failing to act to avenge his father’s death.</w:t>
      </w:r>
    </w:p>
    <w:p w14:paraId="57C6B67D" w14:textId="77777777" w:rsidR="00AF7B42" w:rsidRDefault="00AF7B42" w:rsidP="00A248E0">
      <w:pPr>
        <w:pStyle w:val="BR"/>
      </w:pPr>
    </w:p>
    <w:p w14:paraId="7D53B74B" w14:textId="77777777" w:rsidR="00AF7B42" w:rsidRDefault="00AF7B42" w:rsidP="00EB5C7B">
      <w:pPr>
        <w:pStyle w:val="TA"/>
      </w:pPr>
      <w:r>
        <w:t>Instruct students to work together in small groups to discuss these final questions. Circulate and support as necessary.</w:t>
      </w:r>
    </w:p>
    <w:p w14:paraId="0FABA8F1" w14:textId="52F314D2" w:rsidR="00B10EA0" w:rsidRDefault="00B10EA0" w:rsidP="00DB6B98">
      <w:pPr>
        <w:pStyle w:val="Q"/>
      </w:pPr>
      <w:r>
        <w:t xml:space="preserve">What contrast does Hamlet make in the first part of this </w:t>
      </w:r>
      <w:r w:rsidR="00DA0CD1">
        <w:t>soliloquy</w:t>
      </w:r>
      <w:r>
        <w:t xml:space="preserve"> (lines 64</w:t>
      </w:r>
      <w:r w:rsidR="00290071">
        <w:t>–</w:t>
      </w:r>
      <w:r>
        <w:t>84</w:t>
      </w:r>
      <w:r w:rsidR="002A253E">
        <w:t xml:space="preserve"> from “To be or not to be</w:t>
      </w:r>
      <w:r w:rsidR="00290071">
        <w:t>—</w:t>
      </w:r>
      <w:r w:rsidR="002A253E">
        <w:t>that is the question” to “might his quietus make / With a bare bodkin”</w:t>
      </w:r>
      <w:r>
        <w:t xml:space="preserve">)? Recall the previous </w:t>
      </w:r>
      <w:r w:rsidR="00290071">
        <w:t>l</w:t>
      </w:r>
      <w:r>
        <w:t>esson</w:t>
      </w:r>
      <w:r w:rsidR="00290071">
        <w:t xml:space="preserve"> (11.1.2 Lesson </w:t>
      </w:r>
      <w:r w:rsidR="008E541B">
        <w:t>11</w:t>
      </w:r>
      <w:r w:rsidR="00290071">
        <w:t>)</w:t>
      </w:r>
      <w:r>
        <w:t>.</w:t>
      </w:r>
    </w:p>
    <w:p w14:paraId="477CE038" w14:textId="41FEFEC0" w:rsidR="00B10EA0" w:rsidRDefault="00B10EA0" w:rsidP="00B10EA0">
      <w:pPr>
        <w:pStyle w:val="SR"/>
      </w:pPr>
      <w:r>
        <w:t xml:space="preserve">He describes a contrast between life as a thing full of suffering and the </w:t>
      </w:r>
      <w:r w:rsidR="00830CA1">
        <w:t xml:space="preserve">settling </w:t>
      </w:r>
      <w:r w:rsidR="00362DFA">
        <w:t xml:space="preserve">of </w:t>
      </w:r>
      <w:r w:rsidR="00830CA1">
        <w:t>one’s account with life through</w:t>
      </w:r>
      <w:r>
        <w:t xml:space="preserve"> death.</w:t>
      </w:r>
    </w:p>
    <w:p w14:paraId="1CB2A6CD" w14:textId="3A345B29" w:rsidR="00AF7B42" w:rsidRPr="008724F0" w:rsidRDefault="00AF7B42" w:rsidP="00DB6B98">
      <w:pPr>
        <w:pStyle w:val="Q"/>
      </w:pPr>
      <w:r w:rsidRPr="008724F0">
        <w:t xml:space="preserve">What is </w:t>
      </w:r>
      <w:r w:rsidR="00B10EA0">
        <w:t>Hamlet contrasting</w:t>
      </w:r>
      <w:r>
        <w:t xml:space="preserve"> in lines 84</w:t>
      </w:r>
      <w:r w:rsidR="00290071">
        <w:t>–</w:t>
      </w:r>
      <w:r>
        <w:t>96</w:t>
      </w:r>
      <w:r w:rsidR="008E541B">
        <w:t xml:space="preserve"> </w:t>
      </w:r>
      <w:r w:rsidR="002A253E">
        <w:t>(from</w:t>
      </w:r>
      <w:r w:rsidR="00290071">
        <w:t xml:space="preserve"> </w:t>
      </w:r>
      <w:r w:rsidR="002A253E">
        <w:t>“Who would fardels bear, / To grunt and sweat” to “turn awry / And lose the name of action”</w:t>
      </w:r>
      <w:r w:rsidR="00290071">
        <w:t>)</w:t>
      </w:r>
      <w:r>
        <w:t xml:space="preserve">? </w:t>
      </w:r>
    </w:p>
    <w:p w14:paraId="0CB5D3E1" w14:textId="77777777" w:rsidR="00AF7B42" w:rsidRDefault="00AF7B42">
      <w:pPr>
        <w:pStyle w:val="SR"/>
      </w:pPr>
      <w:r>
        <w:t>The main contrast is between thought and action. Hamlet is saying that thought is bad in contrast to action.</w:t>
      </w:r>
    </w:p>
    <w:p w14:paraId="368E0434" w14:textId="77777777" w:rsidR="00AF7B42" w:rsidRPr="008724F0" w:rsidRDefault="00AF7B42" w:rsidP="00E710AF">
      <w:pPr>
        <w:rPr>
          <w:b/>
        </w:rPr>
      </w:pPr>
      <w:r>
        <w:rPr>
          <w:b/>
        </w:rPr>
        <w:t>What is the relationship between Hamlet’s two major concerns in this soliloquy</w:t>
      </w:r>
      <w:r w:rsidRPr="008724F0">
        <w:rPr>
          <w:b/>
        </w:rPr>
        <w:t>?</w:t>
      </w:r>
    </w:p>
    <w:p w14:paraId="014411D7" w14:textId="77777777" w:rsidR="00AF7B42" w:rsidRDefault="00AF7B42">
      <w:pPr>
        <w:pStyle w:val="SR"/>
      </w:pPr>
      <w:r>
        <w:t>In the first part, Hamlet considers life and death and says that the fear of death makes us suffer in this life. In the second part, he talks about how this fear (or just thinking in general) gets in the way of our willingness to act.</w:t>
      </w:r>
    </w:p>
    <w:p w14:paraId="2B6D1B81" w14:textId="77777777" w:rsidR="00AF7B42" w:rsidRPr="00DB6B98" w:rsidRDefault="00AF7B42" w:rsidP="00DB6B98">
      <w:pPr>
        <w:pStyle w:val="Q"/>
      </w:pPr>
      <w:r w:rsidRPr="00DB6B98">
        <w:t xml:space="preserve">What central ideas </w:t>
      </w:r>
      <w:r w:rsidR="004334D1" w:rsidRPr="00DB6B98">
        <w:t>are developed in this soliloquy</w:t>
      </w:r>
      <w:r w:rsidRPr="00DB6B98">
        <w:t>?</w:t>
      </w:r>
    </w:p>
    <w:p w14:paraId="65A311DF" w14:textId="7F8F93AD" w:rsidR="00362DFA" w:rsidRDefault="00AF7B42" w:rsidP="00314B60">
      <w:pPr>
        <w:pStyle w:val="SR"/>
      </w:pPr>
      <w:r>
        <w:t>Student</w:t>
      </w:r>
      <w:r w:rsidR="007C4BF7">
        <w:t xml:space="preserve"> responses </w:t>
      </w:r>
      <w:r>
        <w:t xml:space="preserve">may </w:t>
      </w:r>
      <w:r w:rsidR="007C4BF7">
        <w:t>include</w:t>
      </w:r>
      <w:r>
        <w:t xml:space="preserve"> the following: </w:t>
      </w:r>
    </w:p>
    <w:p w14:paraId="434F496B" w14:textId="42214DC2" w:rsidR="00362DFA" w:rsidRDefault="007C4BF7" w:rsidP="00362DFA">
      <w:pPr>
        <w:pStyle w:val="SASRBullet"/>
      </w:pPr>
      <w:r>
        <w:t>A</w:t>
      </w:r>
      <w:r w:rsidR="00AF7B42">
        <w:t>ction versus inaction</w:t>
      </w:r>
      <w:r w:rsidR="008E541B">
        <w:t>.</w:t>
      </w:r>
    </w:p>
    <w:p w14:paraId="13C4F8C3" w14:textId="24A84523" w:rsidR="00AF7B42" w:rsidRDefault="007C4BF7" w:rsidP="00362DFA">
      <w:pPr>
        <w:pStyle w:val="SASRBullet"/>
      </w:pPr>
      <w:r>
        <w:t>M</w:t>
      </w:r>
      <w:r w:rsidR="002A253E">
        <w:t>ortality</w:t>
      </w:r>
      <w:r w:rsidR="00AF7B42">
        <w:t>.</w:t>
      </w:r>
    </w:p>
    <w:p w14:paraId="6CF721A8" w14:textId="3FF754ED" w:rsidR="00FA6F9F" w:rsidRPr="002E7982" w:rsidRDefault="00FA6F9F" w:rsidP="00FA6F9F">
      <w:pPr>
        <w:pStyle w:val="IN"/>
        <w:rPr>
          <w:rFonts w:asciiTheme="minorHAnsi" w:hAnsiTheme="minorHAnsi"/>
        </w:rPr>
      </w:pPr>
      <w:r w:rsidRPr="00F16658">
        <w:t xml:space="preserve">Remind students that they should be keeping track of central ideas in the play using the </w:t>
      </w:r>
      <w:r w:rsidRPr="00290071">
        <w:rPr>
          <w:i/>
        </w:rPr>
        <w:t>Hamlet</w:t>
      </w:r>
      <w:r>
        <w:t xml:space="preserve"> </w:t>
      </w:r>
      <w:r w:rsidRPr="00F16658">
        <w:t>Central Ideas Tracking Tool</w:t>
      </w:r>
      <w:r>
        <w:t xml:space="preserve"> provided in 11.1.2 Lesson 7. </w:t>
      </w:r>
      <w:r w:rsidRPr="002E7982">
        <w:rPr>
          <w:rFonts w:asciiTheme="minorHAnsi" w:hAnsiTheme="minorHAnsi" w:cs="Tahoma"/>
        </w:rPr>
        <w:t xml:space="preserve">Encourage students to record related concepts in the right-hand column of the Tool, noting how these concepts support the development of larger central ideas. Related concepts that arise in this lesson include </w:t>
      </w:r>
      <w:r>
        <w:rPr>
          <w:rFonts w:asciiTheme="minorHAnsi" w:hAnsiTheme="minorHAnsi" w:cs="Tahoma"/>
        </w:rPr>
        <w:t>morality</w:t>
      </w:r>
      <w:r>
        <w:rPr>
          <w:rFonts w:asciiTheme="minorHAnsi" w:hAnsiTheme="minorHAnsi" w:cs="Tahoma"/>
          <w:color w:val="1A1A1A"/>
        </w:rPr>
        <w:t>.</w:t>
      </w:r>
    </w:p>
    <w:p w14:paraId="0688081A" w14:textId="77777777" w:rsidR="00AF7B42" w:rsidRDefault="00AF7B42" w:rsidP="00707670">
      <w:pPr>
        <w:pStyle w:val="LearningSequenceHeader"/>
      </w:pPr>
      <w:r>
        <w:t>Activity 5: Quick Write</w:t>
      </w:r>
      <w:r>
        <w:tab/>
        <w:t>15</w:t>
      </w:r>
      <w:r w:rsidRPr="00707670">
        <w:t>%</w:t>
      </w:r>
    </w:p>
    <w:p w14:paraId="2BAB9291" w14:textId="1D00CD85" w:rsidR="00AF7B42" w:rsidRDefault="00AF7B42" w:rsidP="00A248E0">
      <w:pPr>
        <w:pStyle w:val="TA"/>
      </w:pPr>
      <w:r>
        <w:t>Instruct students to respond briefly in writing to the following promp</w:t>
      </w:r>
      <w:r w:rsidR="00533BB8">
        <w:t>t</w:t>
      </w:r>
      <w:r>
        <w:t>:</w:t>
      </w:r>
    </w:p>
    <w:p w14:paraId="1DB4DEFF" w14:textId="0ADB09AE" w:rsidR="007B63A5" w:rsidRDefault="007B63A5" w:rsidP="007B63A5">
      <w:pPr>
        <w:pStyle w:val="Q"/>
      </w:pPr>
      <w:r>
        <w:t>Identify a central idea</w:t>
      </w:r>
      <w:r w:rsidR="00C72E42">
        <w:t xml:space="preserve"> </w:t>
      </w:r>
      <w:r>
        <w:t>in this soliloquy and explain how it interacts with and builds upon other central ideas from previous readings.</w:t>
      </w:r>
    </w:p>
    <w:p w14:paraId="7B856B6B" w14:textId="2310F935" w:rsidR="00AF7B42" w:rsidRPr="00DB6B98" w:rsidRDefault="00AF7B42" w:rsidP="00DB6B98">
      <w:pPr>
        <w:pStyle w:val="TA"/>
      </w:pPr>
      <w:r w:rsidRPr="00DB6B98">
        <w:t>Instruct students to look at their text and notes to find evidence. Remind students to use the Short Response Checklist and Rubric to guide their written responses.</w:t>
      </w:r>
    </w:p>
    <w:p w14:paraId="14B1F2A7" w14:textId="77777777" w:rsidR="00AF7B42" w:rsidRDefault="00AF7B42" w:rsidP="00A248E0">
      <w:pPr>
        <w:pStyle w:val="IN"/>
      </w:pPr>
      <w:r>
        <w:t>Display the</w:t>
      </w:r>
      <w:r w:rsidRPr="002C38DB">
        <w:t xml:space="preserve"> prompt for students to see</w:t>
      </w:r>
      <w:r>
        <w:t>, or provide the prompt in</w:t>
      </w:r>
      <w:r w:rsidRPr="002C38DB">
        <w:t xml:space="preserve"> hard copy</w:t>
      </w:r>
      <w:r>
        <w:t>.</w:t>
      </w:r>
    </w:p>
    <w:p w14:paraId="67BCD1DA" w14:textId="42D93445" w:rsidR="00845C5F" w:rsidRDefault="00AF7B42">
      <w:pPr>
        <w:pStyle w:val="SA"/>
      </w:pPr>
      <w:r>
        <w:t xml:space="preserve">Students independently answer the prompt using evidence from the text. </w:t>
      </w:r>
    </w:p>
    <w:p w14:paraId="3FBE05DD" w14:textId="51CB8E35" w:rsidR="00097C4A" w:rsidRDefault="00AF7B42" w:rsidP="00845C5F">
      <w:pPr>
        <w:pStyle w:val="SR"/>
      </w:pPr>
      <w:r>
        <w:t>See the High Performance Response at the beginning of this lesson.</w:t>
      </w:r>
    </w:p>
    <w:p w14:paraId="77F3BB69" w14:textId="77777777" w:rsidR="00AF7B42" w:rsidRPr="00563CB8" w:rsidRDefault="00AF7B42" w:rsidP="00CE2836">
      <w:pPr>
        <w:pStyle w:val="LearningSequenceHeader"/>
      </w:pPr>
      <w:r>
        <w:t>Activity 6</w:t>
      </w:r>
      <w:r w:rsidRPr="00563CB8">
        <w:t xml:space="preserve">: </w:t>
      </w:r>
      <w:r>
        <w:t>Closing</w:t>
      </w:r>
      <w:r w:rsidRPr="00563CB8">
        <w:tab/>
      </w:r>
      <w:r>
        <w:t>5</w:t>
      </w:r>
      <w:r w:rsidRPr="00563CB8">
        <w:t>%</w:t>
      </w:r>
    </w:p>
    <w:p w14:paraId="704AA8E2" w14:textId="4186833D" w:rsidR="000C3F65" w:rsidRDefault="00AF7B42" w:rsidP="00DB6B98">
      <w:pPr>
        <w:pStyle w:val="TA"/>
      </w:pPr>
      <w:r>
        <w:t xml:space="preserve">Display and distribute the homework assignment. For homework, instruct students </w:t>
      </w:r>
      <w:r w:rsidR="00B10EA0">
        <w:t xml:space="preserve">to reread the soliloquy and decide whether Hamlet is talking about himself </w:t>
      </w:r>
      <w:r w:rsidR="00093D5E">
        <w:t>in</w:t>
      </w:r>
      <w:r w:rsidR="00B10EA0">
        <w:t xml:space="preserve"> the line “To be or not to be</w:t>
      </w:r>
      <w:r w:rsidR="00093D5E">
        <w:t>,</w:t>
      </w:r>
      <w:r w:rsidR="00B10EA0">
        <w:t xml:space="preserve">” or asking the question </w:t>
      </w:r>
      <w:r w:rsidR="00093D5E">
        <w:t>more broadly</w:t>
      </w:r>
      <w:r w:rsidR="00B10EA0">
        <w:t>. Students should support their argument with evidence from the text.</w:t>
      </w:r>
      <w:r w:rsidR="00E167AB">
        <w:t xml:space="preserve"> </w:t>
      </w:r>
    </w:p>
    <w:p w14:paraId="103A95C7" w14:textId="3B8869A3" w:rsidR="000C3F65" w:rsidRDefault="00093D5E" w:rsidP="000C3F65">
      <w:pPr>
        <w:pStyle w:val="IN"/>
      </w:pPr>
      <w:r>
        <w:t>An iteration of this question appears in 11.1.2 Lesson 11. Students are encouraged to revisit the question here for homework, after having studied the soliloquy in its entirety.</w:t>
      </w:r>
    </w:p>
    <w:p w14:paraId="5C6999F6" w14:textId="7B3DE301" w:rsidR="00AF7B42" w:rsidRDefault="00E167AB" w:rsidP="00DB6B98">
      <w:pPr>
        <w:pStyle w:val="TA"/>
      </w:pPr>
      <w:r>
        <w:t>In addition, students should continue to read their A</w:t>
      </w:r>
      <w:r w:rsidR="00BF63DD">
        <w:t>IR</w:t>
      </w:r>
      <w:r>
        <w:t xml:space="preserve"> text through the lens of </w:t>
      </w:r>
      <w:r w:rsidR="00290071">
        <w:t>a</w:t>
      </w:r>
      <w:r>
        <w:t xml:space="preserve"> new focus standard</w:t>
      </w:r>
      <w:r w:rsidR="00290071">
        <w:t>:</w:t>
      </w:r>
      <w:r>
        <w:t xml:space="preserve"> RL.11-12.4. </w:t>
      </w:r>
    </w:p>
    <w:p w14:paraId="5A446515" w14:textId="1FAFF156" w:rsidR="00AF7B42" w:rsidRDefault="00AF7B42" w:rsidP="00DB6B98">
      <w:pPr>
        <w:pStyle w:val="TA"/>
      </w:pPr>
      <w:r>
        <w:t>Introduce standard RL.11-12.4</w:t>
      </w:r>
      <w:r w:rsidRPr="00BC77A0">
        <w:t xml:space="preserve"> as a focus standard to guide students’ </w:t>
      </w:r>
      <w:r>
        <w:t xml:space="preserve">AIR, </w:t>
      </w:r>
      <w:r w:rsidRPr="00BC77A0">
        <w:t xml:space="preserve">and model what applying a focus standard looks like. </w:t>
      </w:r>
      <w:r>
        <w:t xml:space="preserve">Explain to students that they </w:t>
      </w:r>
      <w:r w:rsidRPr="00BC77A0">
        <w:t>should prepare for a 3</w:t>
      </w:r>
      <w:r>
        <w:t>–</w:t>
      </w:r>
      <w:r w:rsidRPr="00BC77A0">
        <w:t xml:space="preserve">5 minute discussion </w:t>
      </w:r>
      <w:r w:rsidR="00290071">
        <w:t xml:space="preserve">in which they will </w:t>
      </w:r>
      <w:r w:rsidRPr="00BC77A0">
        <w:t>apply the language of the standards to their reading</w:t>
      </w:r>
      <w:r>
        <w:t xml:space="preserve">. </w:t>
      </w:r>
    </w:p>
    <w:p w14:paraId="0CE6B3FE" w14:textId="582D3475" w:rsidR="00AF7B42" w:rsidRPr="00D54BBC" w:rsidRDefault="00AF7B42" w:rsidP="00DB6B98">
      <w:pPr>
        <w:pStyle w:val="TA"/>
        <w:rPr>
          <w:rFonts w:ascii="Perpetua" w:hAnsi="Perpetua" w:cs="Perpetua"/>
          <w:sz w:val="20"/>
          <w:szCs w:val="20"/>
        </w:rPr>
      </w:pPr>
      <w:r>
        <w:t>Standard RL.11-12.4 asks students to “</w:t>
      </w:r>
      <w:r w:rsidRPr="00D54BBC">
        <w:t>Determine the meaning of words and phrases as they are used in the text, including figurative and connotative meanings; analyze the impact of specific word choices on meaning and tone, including words with multiple meanings or language that is particularly fresh, engaging, or beautiful. (Include Shakespeare as well as other authors.)</w:t>
      </w:r>
      <w:r>
        <w:t xml:space="preserve">” If students were reading </w:t>
      </w:r>
      <w:r w:rsidR="00845C5F">
        <w:rPr>
          <w:i/>
        </w:rPr>
        <w:t>Hamlet</w:t>
      </w:r>
      <w:r>
        <w:t xml:space="preserve">, they may identify the line “thus the native hue of resolution / </w:t>
      </w:r>
      <w:r w:rsidR="00290071">
        <w:t>I</w:t>
      </w:r>
      <w:r>
        <w:t>s sicklied o’er with the pale cast of thought” as a central metaphor that is particularly fresh in establishing a new perspective on the problem of thought versus action, which is dealt with throughout the play.</w:t>
      </w:r>
    </w:p>
    <w:p w14:paraId="0993D731" w14:textId="0308E248" w:rsidR="00AF7B42" w:rsidRPr="001649B8" w:rsidRDefault="00AF7B42" w:rsidP="00D54BBC">
      <w:pPr>
        <w:pStyle w:val="SA"/>
      </w:pPr>
      <w:r>
        <w:t>Students follow along</w:t>
      </w:r>
      <w:r w:rsidR="00491647">
        <w:t>.</w:t>
      </w:r>
    </w:p>
    <w:p w14:paraId="07B323F5" w14:textId="77777777" w:rsidR="00AF7B42" w:rsidRDefault="00AF7B42" w:rsidP="00E946A0">
      <w:pPr>
        <w:pStyle w:val="Heading1"/>
      </w:pPr>
      <w:r>
        <w:t>Homework</w:t>
      </w:r>
    </w:p>
    <w:p w14:paraId="7E772778" w14:textId="5C2D139F" w:rsidR="00B10EA0" w:rsidRDefault="00B10EA0" w:rsidP="00DB6B98">
      <w:r>
        <w:t xml:space="preserve">Reread the soliloquy and decide whether Hamlet is </w:t>
      </w:r>
      <w:r w:rsidR="00093D5E">
        <w:t>talking about himself in</w:t>
      </w:r>
      <w:r>
        <w:t xml:space="preserve"> the line “To be or not to be</w:t>
      </w:r>
      <w:r w:rsidR="00E07E3C">
        <w:t>,</w:t>
      </w:r>
      <w:r>
        <w:t xml:space="preserve">” or asking the </w:t>
      </w:r>
      <w:r w:rsidR="00093D5E">
        <w:t>question more broadly</w:t>
      </w:r>
      <w:r>
        <w:t>. Support your argument with evidence from the text.</w:t>
      </w:r>
    </w:p>
    <w:p w14:paraId="3C323303" w14:textId="1EADE1A4" w:rsidR="00B10EA0" w:rsidRDefault="00B10EA0" w:rsidP="00DB6B98">
      <w:r>
        <w:t>Also for homework, continue your A</w:t>
      </w:r>
      <w:r w:rsidR="00BF63DD">
        <w:t>IR</w:t>
      </w:r>
      <w:r>
        <w:t xml:space="preserve"> through the lens of your </w:t>
      </w:r>
      <w:r w:rsidR="004161B5">
        <w:t xml:space="preserve">new </w:t>
      </w:r>
      <w:r>
        <w:t>focus standard (RL.11-12.</w:t>
      </w:r>
      <w:r w:rsidR="004161B5">
        <w:t>4</w:t>
      </w:r>
      <w:r>
        <w:t>) and prepare for a 3–5 minute discussion of your text based on that standard.</w:t>
      </w:r>
    </w:p>
    <w:p w14:paraId="38D5053D" w14:textId="77777777" w:rsidR="0053372B" w:rsidRDefault="0053372B" w:rsidP="00DB6B98"/>
    <w:sectPr w:rsidR="0053372B" w:rsidSect="004713C2">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365AC3" w14:textId="77777777" w:rsidR="00A129F0" w:rsidRDefault="00A129F0" w:rsidP="00E946A0">
      <w:r>
        <w:separator/>
      </w:r>
    </w:p>
    <w:p w14:paraId="7644C9C5" w14:textId="77777777" w:rsidR="00A129F0" w:rsidRDefault="00A129F0" w:rsidP="00E946A0"/>
  </w:endnote>
  <w:endnote w:type="continuationSeparator" w:id="0">
    <w:p w14:paraId="658D9034" w14:textId="77777777" w:rsidR="00A129F0" w:rsidRDefault="00A129F0" w:rsidP="00E946A0">
      <w:r>
        <w:continuationSeparator/>
      </w:r>
    </w:p>
    <w:p w14:paraId="02E21088" w14:textId="77777777" w:rsidR="00A129F0" w:rsidRDefault="00A129F0"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5D285668-3D9B-4C74-89D7-4BFA04535570}"/>
  </w:font>
  <w:font w:name="Times New Roman">
    <w:panose1 w:val="02020603050405020304"/>
    <w:charset w:val="00"/>
    <w:family w:val="roman"/>
    <w:pitch w:val="variable"/>
    <w:sig w:usb0="E0002AFF" w:usb1="C0007841" w:usb2="00000009" w:usb3="00000000" w:csb0="000001FF" w:csb1="00000000"/>
    <w:embedRegular r:id="rId2" w:subsetted="1" w:fontKey="{FB8B9421-FC69-4E7A-9988-1A334D67F2A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7458CFB3-47BE-49EB-8A9C-48E38A53A080}"/>
    <w:embedBold r:id="rId4" w:fontKey="{E28BE3A7-15C0-4DB1-A8F8-457CF6DFE863}"/>
    <w:embedItalic r:id="rId5" w:fontKey="{EFDCE635-171E-4770-BA25-3725C0127280}"/>
    <w:embedBoldItalic r:id="rId6" w:fontKey="{A405A190-A654-4CBA-92D1-B4EF8951C5C8}"/>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22C64" w14:textId="77777777" w:rsidR="00290071" w:rsidRDefault="00290071" w:rsidP="00E946A0">
    <w:pPr>
      <w:pStyle w:val="Footer"/>
      <w:rPr>
        <w:rStyle w:val="PageNumber"/>
        <w:rFonts w:ascii="Calibri" w:hAnsi="Calibri"/>
        <w:sz w:val="22"/>
      </w:rPr>
    </w:pPr>
    <w:r>
      <w:rPr>
        <w:rStyle w:val="PageNumber"/>
      </w:rPr>
      <w:fldChar w:fldCharType="begin"/>
    </w:r>
    <w:r>
      <w:rPr>
        <w:rStyle w:val="PageNumber"/>
      </w:rPr>
      <w:instrText xml:space="preserve">PAGE  </w:instrText>
    </w:r>
    <w:r>
      <w:rPr>
        <w:rStyle w:val="PageNumber"/>
      </w:rPr>
      <w:fldChar w:fldCharType="separate"/>
    </w:r>
    <w:r w:rsidR="0053372B">
      <w:rPr>
        <w:rStyle w:val="PageNumber"/>
        <w:noProof/>
      </w:rPr>
      <w:t>8</w:t>
    </w:r>
    <w:r>
      <w:rPr>
        <w:rStyle w:val="PageNumber"/>
      </w:rPr>
      <w:fldChar w:fldCharType="end"/>
    </w:r>
  </w:p>
  <w:p w14:paraId="6F1DA402" w14:textId="77777777" w:rsidR="00290071" w:rsidRDefault="00290071" w:rsidP="00E946A0">
    <w:pPr>
      <w:pStyle w:val="Footer"/>
    </w:pPr>
  </w:p>
  <w:p w14:paraId="5F29DCF5" w14:textId="77777777" w:rsidR="00290071" w:rsidRDefault="00290071" w:rsidP="00E946A0"/>
  <w:p w14:paraId="640E8323" w14:textId="77777777" w:rsidR="00290071" w:rsidRDefault="00290071"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2C949" w14:textId="77777777" w:rsidR="00290071" w:rsidRPr="00563CB8" w:rsidRDefault="00290071" w:rsidP="00DB6B9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3"/>
      <w:gridCol w:w="611"/>
      <w:gridCol w:w="4249"/>
    </w:tblGrid>
    <w:tr w:rsidR="00290071" w14:paraId="7EB8A213" w14:textId="77777777" w:rsidTr="0093626B">
      <w:trPr>
        <w:trHeight w:val="705"/>
      </w:trPr>
      <w:tc>
        <w:tcPr>
          <w:tcW w:w="4609" w:type="dxa"/>
          <w:shd w:val="clear" w:color="auto" w:fill="auto"/>
          <w:vAlign w:val="center"/>
        </w:tcPr>
        <w:p w14:paraId="3710BCDA" w14:textId="5D008FFB" w:rsidR="00290071" w:rsidRPr="00DB6B98" w:rsidRDefault="00290071" w:rsidP="0093626B">
          <w:pPr>
            <w:pStyle w:val="FooterText"/>
            <w:rPr>
              <w:rFonts w:asciiTheme="minorHAnsi" w:hAnsiTheme="minorHAnsi"/>
              <w:szCs w:val="14"/>
            </w:rPr>
          </w:pPr>
          <w:r w:rsidRPr="00DB6B98">
            <w:rPr>
              <w:rFonts w:asciiTheme="minorHAnsi" w:hAnsiTheme="minorHAnsi"/>
              <w:szCs w:val="14"/>
            </w:rPr>
            <w:t xml:space="preserve">File: </w:t>
          </w:r>
          <w:r w:rsidRPr="00DB6B98">
            <w:rPr>
              <w:rFonts w:asciiTheme="minorHAnsi" w:hAnsiTheme="minorHAnsi"/>
              <w:b w:val="0"/>
              <w:szCs w:val="14"/>
            </w:rPr>
            <w:t xml:space="preserve">11.1.2 Lesson </w:t>
          </w:r>
          <w:r>
            <w:rPr>
              <w:rFonts w:asciiTheme="minorHAnsi" w:hAnsiTheme="minorHAnsi"/>
              <w:b w:val="0"/>
              <w:szCs w:val="14"/>
            </w:rPr>
            <w:t>12</w:t>
          </w:r>
          <w:r w:rsidRPr="00DB6B98">
            <w:rPr>
              <w:rFonts w:asciiTheme="minorHAnsi" w:hAnsiTheme="minorHAnsi"/>
              <w:szCs w:val="14"/>
            </w:rPr>
            <w:t xml:space="preserve"> Date:</w:t>
          </w:r>
          <w:r w:rsidRPr="00DB6B98">
            <w:rPr>
              <w:rFonts w:asciiTheme="minorHAnsi" w:hAnsiTheme="minorHAnsi"/>
              <w:b w:val="0"/>
              <w:szCs w:val="14"/>
            </w:rPr>
            <w:t xml:space="preserve"> </w:t>
          </w:r>
          <w:r w:rsidR="00E90B43">
            <w:rPr>
              <w:rFonts w:asciiTheme="minorHAnsi" w:hAnsiTheme="minorHAnsi"/>
              <w:b w:val="0"/>
              <w:szCs w:val="14"/>
            </w:rPr>
            <w:t>2/7</w:t>
          </w:r>
          <w:r w:rsidRPr="00DB6B98">
            <w:rPr>
              <w:rFonts w:asciiTheme="minorHAnsi" w:hAnsiTheme="minorHAnsi"/>
              <w:b w:val="0"/>
              <w:szCs w:val="14"/>
            </w:rPr>
            <w:t xml:space="preserve">/14 </w:t>
          </w:r>
          <w:r w:rsidRPr="00DB6B98">
            <w:rPr>
              <w:rFonts w:asciiTheme="minorHAnsi" w:hAnsiTheme="minorHAnsi"/>
              <w:szCs w:val="14"/>
            </w:rPr>
            <w:t>Classroom Use:</w:t>
          </w:r>
          <w:r w:rsidRPr="00DB6B98">
            <w:rPr>
              <w:rFonts w:asciiTheme="minorHAnsi" w:hAnsiTheme="minorHAnsi"/>
              <w:b w:val="0"/>
              <w:szCs w:val="14"/>
            </w:rPr>
            <w:t xml:space="preserve"> Starting 2/2014 </w:t>
          </w:r>
        </w:p>
        <w:p w14:paraId="1829CE0A" w14:textId="77777777" w:rsidR="00290071" w:rsidRPr="00DB6B98" w:rsidRDefault="00290071" w:rsidP="0093626B">
          <w:pPr>
            <w:pStyle w:val="FooterText"/>
            <w:rPr>
              <w:rFonts w:asciiTheme="minorHAnsi" w:hAnsiTheme="minorHAnsi"/>
              <w:b w:val="0"/>
              <w:i/>
              <w:sz w:val="12"/>
              <w:szCs w:val="12"/>
            </w:rPr>
          </w:pPr>
          <w:r w:rsidRPr="00DB6B98">
            <w:rPr>
              <w:rFonts w:asciiTheme="minorHAnsi" w:hAnsiTheme="minorHAnsi"/>
              <w:b w:val="0"/>
              <w:sz w:val="12"/>
              <w:szCs w:val="12"/>
            </w:rPr>
            <w:t>© 2014 Public Consulting Group.</w:t>
          </w:r>
          <w:r w:rsidRPr="00DB6B98">
            <w:rPr>
              <w:rFonts w:asciiTheme="minorHAnsi" w:hAnsiTheme="minorHAnsi"/>
              <w:b w:val="0"/>
              <w:i/>
              <w:sz w:val="12"/>
              <w:szCs w:val="12"/>
            </w:rPr>
            <w:t xml:space="preserve"> This work is licensed under a </w:t>
          </w:r>
        </w:p>
        <w:p w14:paraId="16D21D1E" w14:textId="77777777" w:rsidR="00290071" w:rsidRPr="00DB6B98" w:rsidRDefault="00290071" w:rsidP="0093626B">
          <w:pPr>
            <w:pStyle w:val="FooterText"/>
            <w:rPr>
              <w:rFonts w:asciiTheme="minorHAnsi" w:hAnsiTheme="minorHAnsi"/>
              <w:b w:val="0"/>
              <w:i/>
              <w:sz w:val="12"/>
              <w:szCs w:val="12"/>
            </w:rPr>
          </w:pPr>
          <w:r w:rsidRPr="00DB6B98">
            <w:rPr>
              <w:rFonts w:asciiTheme="minorHAnsi" w:hAnsiTheme="minorHAnsi"/>
              <w:b w:val="0"/>
              <w:i/>
              <w:sz w:val="12"/>
              <w:szCs w:val="12"/>
            </w:rPr>
            <w:t>Creative Commons Attribution-NonCommercial-ShareAlike 3.0 Unported License</w:t>
          </w:r>
        </w:p>
        <w:p w14:paraId="15B3C651" w14:textId="77777777" w:rsidR="00290071" w:rsidRPr="002E4C92" w:rsidRDefault="00A129F0" w:rsidP="0093626B">
          <w:pPr>
            <w:pStyle w:val="FooterText"/>
          </w:pPr>
          <w:hyperlink r:id="rId1" w:history="1">
            <w:r w:rsidR="00290071" w:rsidRPr="00DB6B98">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14:paraId="2CCBD0AB" w14:textId="77777777" w:rsidR="00290071" w:rsidRPr="002E4C92" w:rsidRDefault="00290071" w:rsidP="0093626B">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A129F0">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14:paraId="2210EF4A" w14:textId="77777777" w:rsidR="00290071" w:rsidRPr="002E4C92" w:rsidRDefault="00290071" w:rsidP="0093626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65B834F1" wp14:editId="66D3FA7C">
                <wp:extent cx="1697355" cy="636270"/>
                <wp:effectExtent l="19050" t="0" r="0" b="0"/>
                <wp:docPr id="1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0C2EBBF3" w14:textId="77777777" w:rsidR="00290071" w:rsidRPr="0039525B" w:rsidRDefault="00290071" w:rsidP="00DB6B98">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E3331" w14:textId="77777777" w:rsidR="00A129F0" w:rsidRDefault="00A129F0" w:rsidP="00E946A0">
      <w:r>
        <w:separator/>
      </w:r>
    </w:p>
    <w:p w14:paraId="46BEB57E" w14:textId="77777777" w:rsidR="00A129F0" w:rsidRDefault="00A129F0" w:rsidP="00E946A0"/>
  </w:footnote>
  <w:footnote w:type="continuationSeparator" w:id="0">
    <w:p w14:paraId="0EB33A3C" w14:textId="77777777" w:rsidR="00A129F0" w:rsidRDefault="00A129F0" w:rsidP="00E946A0">
      <w:r>
        <w:continuationSeparator/>
      </w:r>
    </w:p>
    <w:p w14:paraId="0CCDCE4A" w14:textId="77777777" w:rsidR="00A129F0" w:rsidRDefault="00A129F0"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290071" w:rsidRPr="00563CB8" w14:paraId="0ABA7F3F" w14:textId="77777777">
      <w:tc>
        <w:tcPr>
          <w:tcW w:w="3708" w:type="dxa"/>
        </w:tcPr>
        <w:p w14:paraId="176A7EBC" w14:textId="77777777" w:rsidR="00290071" w:rsidRPr="00563CB8" w:rsidRDefault="00290071" w:rsidP="00E946A0">
          <w:pPr>
            <w:pStyle w:val="PageHeader"/>
          </w:pPr>
          <w:r w:rsidRPr="00563CB8">
            <w:t xml:space="preserve">NYS </w:t>
          </w:r>
          <w:r w:rsidRPr="00E946A0">
            <w:t>Common</w:t>
          </w:r>
          <w:r w:rsidRPr="00563CB8">
            <w:t xml:space="preserve"> Core ELA &amp; Literacy Curriculum</w:t>
          </w:r>
        </w:p>
      </w:tc>
      <w:tc>
        <w:tcPr>
          <w:tcW w:w="2430" w:type="dxa"/>
          <w:vAlign w:val="center"/>
        </w:tcPr>
        <w:p w14:paraId="6B8CAB51" w14:textId="77777777" w:rsidR="00290071" w:rsidRPr="00563CB8" w:rsidRDefault="00290071" w:rsidP="00E946A0">
          <w:pPr>
            <w:jc w:val="center"/>
          </w:pPr>
          <w:r w:rsidRPr="00563CB8">
            <w:t>D R A F T</w:t>
          </w:r>
        </w:p>
      </w:tc>
      <w:tc>
        <w:tcPr>
          <w:tcW w:w="3438" w:type="dxa"/>
        </w:tcPr>
        <w:p w14:paraId="0E952509" w14:textId="77777777" w:rsidR="00290071" w:rsidRPr="00E946A0" w:rsidRDefault="00290071" w:rsidP="00E946A0">
          <w:pPr>
            <w:pStyle w:val="PageHeader"/>
            <w:jc w:val="right"/>
            <w:rPr>
              <w:b w:val="0"/>
            </w:rPr>
          </w:pPr>
          <w:r>
            <w:rPr>
              <w:b w:val="0"/>
            </w:rPr>
            <w:t>Grade 11 • Module 1</w:t>
          </w:r>
          <w:r w:rsidRPr="00E946A0">
            <w:rPr>
              <w:b w:val="0"/>
            </w:rPr>
            <w:t xml:space="preserve"> • Unit </w:t>
          </w:r>
          <w:r>
            <w:rPr>
              <w:b w:val="0"/>
            </w:rPr>
            <w:t>2 • Lesson 12</w:t>
          </w:r>
        </w:p>
      </w:tc>
    </w:tr>
  </w:tbl>
  <w:p w14:paraId="2FB05779" w14:textId="77777777" w:rsidR="00290071" w:rsidRDefault="00290071"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F820571"/>
    <w:multiLevelType w:val="hybridMultilevel"/>
    <w:tmpl w:val="131C6F36"/>
    <w:lvl w:ilvl="0" w:tplc="5C0236A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lvlOverride w:ilvl="0">
      <w:startOverride w:val="1"/>
    </w:lvlOverride>
  </w:num>
  <w:num w:numId="4">
    <w:abstractNumId w:val="4"/>
  </w:num>
  <w:num w:numId="5">
    <w:abstractNumId w:val="0"/>
  </w:num>
  <w:num w:numId="6">
    <w:abstractNumId w:val="6"/>
  </w:num>
  <w:num w:numId="7">
    <w:abstractNumId w:val="3"/>
    <w:lvlOverride w:ilvl="0">
      <w:startOverride w:val="1"/>
    </w:lvlOverride>
  </w:num>
  <w:num w:numId="8">
    <w:abstractNumId w:val="7"/>
  </w:num>
  <w:num w:numId="9">
    <w:abstractNumId w:val="1"/>
  </w:num>
  <w:num w:numId="10">
    <w:abstractNumId w:val="5"/>
  </w:num>
  <w:num w:numId="1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7CBA"/>
    <w:rsid w:val="00007F67"/>
    <w:rsid w:val="00011E99"/>
    <w:rsid w:val="000134DA"/>
    <w:rsid w:val="000137C5"/>
    <w:rsid w:val="000149E8"/>
    <w:rsid w:val="00014D5D"/>
    <w:rsid w:val="00020527"/>
    <w:rsid w:val="00021589"/>
    <w:rsid w:val="00027C8C"/>
    <w:rsid w:val="00034778"/>
    <w:rsid w:val="000458E6"/>
    <w:rsid w:val="0004684F"/>
    <w:rsid w:val="00053088"/>
    <w:rsid w:val="00062291"/>
    <w:rsid w:val="0006233C"/>
    <w:rsid w:val="00064850"/>
    <w:rsid w:val="00066123"/>
    <w:rsid w:val="0006776C"/>
    <w:rsid w:val="00071936"/>
    <w:rsid w:val="00072749"/>
    <w:rsid w:val="000742AA"/>
    <w:rsid w:val="00075649"/>
    <w:rsid w:val="00080A8A"/>
    <w:rsid w:val="000848B2"/>
    <w:rsid w:val="00086A06"/>
    <w:rsid w:val="00090200"/>
    <w:rsid w:val="0009139E"/>
    <w:rsid w:val="00092730"/>
    <w:rsid w:val="00092C82"/>
    <w:rsid w:val="00093D5E"/>
    <w:rsid w:val="00095BBA"/>
    <w:rsid w:val="00095CF3"/>
    <w:rsid w:val="00096A06"/>
    <w:rsid w:val="00097C4A"/>
    <w:rsid w:val="000A1206"/>
    <w:rsid w:val="000A26A7"/>
    <w:rsid w:val="000A3640"/>
    <w:rsid w:val="000B1882"/>
    <w:rsid w:val="000B1A06"/>
    <w:rsid w:val="000B2D56"/>
    <w:rsid w:val="000B3015"/>
    <w:rsid w:val="000B3836"/>
    <w:rsid w:val="000B6EA7"/>
    <w:rsid w:val="000C0112"/>
    <w:rsid w:val="000C169A"/>
    <w:rsid w:val="000C3F65"/>
    <w:rsid w:val="000C4439"/>
    <w:rsid w:val="000C4813"/>
    <w:rsid w:val="000C5656"/>
    <w:rsid w:val="000C5893"/>
    <w:rsid w:val="000D0F3D"/>
    <w:rsid w:val="000D0FAE"/>
    <w:rsid w:val="000D6FA4"/>
    <w:rsid w:val="000E0180"/>
    <w:rsid w:val="000E0B69"/>
    <w:rsid w:val="000E4DBA"/>
    <w:rsid w:val="000F192C"/>
    <w:rsid w:val="000F2414"/>
    <w:rsid w:val="000F24B0"/>
    <w:rsid w:val="000F312E"/>
    <w:rsid w:val="000F7D35"/>
    <w:rsid w:val="000F7F56"/>
    <w:rsid w:val="00101A00"/>
    <w:rsid w:val="0010235F"/>
    <w:rsid w:val="00110A04"/>
    <w:rsid w:val="00111A39"/>
    <w:rsid w:val="00113501"/>
    <w:rsid w:val="001159C2"/>
    <w:rsid w:val="00121C27"/>
    <w:rsid w:val="001258FD"/>
    <w:rsid w:val="00133528"/>
    <w:rsid w:val="001345BD"/>
    <w:rsid w:val="001352AE"/>
    <w:rsid w:val="001353D0"/>
    <w:rsid w:val="001362D4"/>
    <w:rsid w:val="00140066"/>
    <w:rsid w:val="00140413"/>
    <w:rsid w:val="00143E8D"/>
    <w:rsid w:val="001509EC"/>
    <w:rsid w:val="0015118C"/>
    <w:rsid w:val="00156124"/>
    <w:rsid w:val="00163F03"/>
    <w:rsid w:val="001649B8"/>
    <w:rsid w:val="001657A6"/>
    <w:rsid w:val="0016626A"/>
    <w:rsid w:val="001708C2"/>
    <w:rsid w:val="001723D5"/>
    <w:rsid w:val="00175B00"/>
    <w:rsid w:val="0018630D"/>
    <w:rsid w:val="00186355"/>
    <w:rsid w:val="001864E6"/>
    <w:rsid w:val="00186FDA"/>
    <w:rsid w:val="0018762C"/>
    <w:rsid w:val="001924E8"/>
    <w:rsid w:val="001945FA"/>
    <w:rsid w:val="00194F1D"/>
    <w:rsid w:val="001A47D7"/>
    <w:rsid w:val="001A5133"/>
    <w:rsid w:val="001B0794"/>
    <w:rsid w:val="001B1487"/>
    <w:rsid w:val="001C1C99"/>
    <w:rsid w:val="001C35E3"/>
    <w:rsid w:val="001C5188"/>
    <w:rsid w:val="001C5DEE"/>
    <w:rsid w:val="001C6B70"/>
    <w:rsid w:val="001C6EA7"/>
    <w:rsid w:val="001D047B"/>
    <w:rsid w:val="001D0518"/>
    <w:rsid w:val="001D641A"/>
    <w:rsid w:val="001E189E"/>
    <w:rsid w:val="001E2E5F"/>
    <w:rsid w:val="001E64FF"/>
    <w:rsid w:val="001F0991"/>
    <w:rsid w:val="001F6C4F"/>
    <w:rsid w:val="002009F7"/>
    <w:rsid w:val="0020138A"/>
    <w:rsid w:val="00207C8B"/>
    <w:rsid w:val="002175CC"/>
    <w:rsid w:val="00224590"/>
    <w:rsid w:val="002306FF"/>
    <w:rsid w:val="00231919"/>
    <w:rsid w:val="00240FF7"/>
    <w:rsid w:val="00243E65"/>
    <w:rsid w:val="0024557C"/>
    <w:rsid w:val="00245B86"/>
    <w:rsid w:val="002516D4"/>
    <w:rsid w:val="00251A7C"/>
    <w:rsid w:val="00251DAB"/>
    <w:rsid w:val="00251E38"/>
    <w:rsid w:val="00252D78"/>
    <w:rsid w:val="00261189"/>
    <w:rsid w:val="002619B1"/>
    <w:rsid w:val="002635F4"/>
    <w:rsid w:val="00263AF5"/>
    <w:rsid w:val="002661A8"/>
    <w:rsid w:val="00267E94"/>
    <w:rsid w:val="002743AD"/>
    <w:rsid w:val="002748DB"/>
    <w:rsid w:val="00274FEB"/>
    <w:rsid w:val="00276DB9"/>
    <w:rsid w:val="0028184C"/>
    <w:rsid w:val="00284B9E"/>
    <w:rsid w:val="00284FC0"/>
    <w:rsid w:val="00290071"/>
    <w:rsid w:val="00290F88"/>
    <w:rsid w:val="00291842"/>
    <w:rsid w:val="0029527C"/>
    <w:rsid w:val="00297DC5"/>
    <w:rsid w:val="002A21DE"/>
    <w:rsid w:val="002A253E"/>
    <w:rsid w:val="002A5337"/>
    <w:rsid w:val="002B7162"/>
    <w:rsid w:val="002C0245"/>
    <w:rsid w:val="002C02FB"/>
    <w:rsid w:val="002C0878"/>
    <w:rsid w:val="002C1017"/>
    <w:rsid w:val="002C10B2"/>
    <w:rsid w:val="002C38DB"/>
    <w:rsid w:val="002C401F"/>
    <w:rsid w:val="002C5F0D"/>
    <w:rsid w:val="002D5EB9"/>
    <w:rsid w:val="002D632F"/>
    <w:rsid w:val="002E27AE"/>
    <w:rsid w:val="002E4C92"/>
    <w:rsid w:val="002E6699"/>
    <w:rsid w:val="002F03D2"/>
    <w:rsid w:val="002F3D65"/>
    <w:rsid w:val="003011A5"/>
    <w:rsid w:val="003018DE"/>
    <w:rsid w:val="003067BF"/>
    <w:rsid w:val="00311E81"/>
    <w:rsid w:val="00314B60"/>
    <w:rsid w:val="00317306"/>
    <w:rsid w:val="003201AC"/>
    <w:rsid w:val="0032239A"/>
    <w:rsid w:val="00324122"/>
    <w:rsid w:val="0033392D"/>
    <w:rsid w:val="00335168"/>
    <w:rsid w:val="003368BF"/>
    <w:rsid w:val="003440A9"/>
    <w:rsid w:val="00347761"/>
    <w:rsid w:val="00347DD9"/>
    <w:rsid w:val="00350B03"/>
    <w:rsid w:val="00351804"/>
    <w:rsid w:val="00351833"/>
    <w:rsid w:val="00351F18"/>
    <w:rsid w:val="00352361"/>
    <w:rsid w:val="00353081"/>
    <w:rsid w:val="00355AED"/>
    <w:rsid w:val="00355B9E"/>
    <w:rsid w:val="00356656"/>
    <w:rsid w:val="00362010"/>
    <w:rsid w:val="00362DFA"/>
    <w:rsid w:val="00364CD8"/>
    <w:rsid w:val="00370C53"/>
    <w:rsid w:val="00372441"/>
    <w:rsid w:val="0037258B"/>
    <w:rsid w:val="00374C35"/>
    <w:rsid w:val="00376DBB"/>
    <w:rsid w:val="00381119"/>
    <w:rsid w:val="003826B0"/>
    <w:rsid w:val="0038382F"/>
    <w:rsid w:val="00383A2A"/>
    <w:rsid w:val="003851B2"/>
    <w:rsid w:val="003854D3"/>
    <w:rsid w:val="00386F2C"/>
    <w:rsid w:val="003908D2"/>
    <w:rsid w:val="003924D0"/>
    <w:rsid w:val="0039525B"/>
    <w:rsid w:val="003A08E7"/>
    <w:rsid w:val="003A3AB0"/>
    <w:rsid w:val="003A6785"/>
    <w:rsid w:val="003B3DB9"/>
    <w:rsid w:val="003B7708"/>
    <w:rsid w:val="003C2022"/>
    <w:rsid w:val="003C24AD"/>
    <w:rsid w:val="003C2778"/>
    <w:rsid w:val="003C3166"/>
    <w:rsid w:val="003D13D2"/>
    <w:rsid w:val="003D2601"/>
    <w:rsid w:val="003D27E3"/>
    <w:rsid w:val="003D28E6"/>
    <w:rsid w:val="003D3857"/>
    <w:rsid w:val="003D559B"/>
    <w:rsid w:val="003D7469"/>
    <w:rsid w:val="003E2C04"/>
    <w:rsid w:val="003E3757"/>
    <w:rsid w:val="003E693A"/>
    <w:rsid w:val="003F2833"/>
    <w:rsid w:val="003F3D65"/>
    <w:rsid w:val="003F5D78"/>
    <w:rsid w:val="003F6309"/>
    <w:rsid w:val="004031E5"/>
    <w:rsid w:val="00404D3C"/>
    <w:rsid w:val="00405198"/>
    <w:rsid w:val="004161B5"/>
    <w:rsid w:val="004179FD"/>
    <w:rsid w:val="00421157"/>
    <w:rsid w:val="0042369B"/>
    <w:rsid w:val="0042474E"/>
    <w:rsid w:val="00425E32"/>
    <w:rsid w:val="00432D7F"/>
    <w:rsid w:val="004334D1"/>
    <w:rsid w:val="00436909"/>
    <w:rsid w:val="00437FD0"/>
    <w:rsid w:val="004402AC"/>
    <w:rsid w:val="004403EE"/>
    <w:rsid w:val="00440948"/>
    <w:rsid w:val="00441FC9"/>
    <w:rsid w:val="004452D5"/>
    <w:rsid w:val="00446AFD"/>
    <w:rsid w:val="004528AF"/>
    <w:rsid w:val="004536D7"/>
    <w:rsid w:val="00455FC4"/>
    <w:rsid w:val="00456F88"/>
    <w:rsid w:val="0045725F"/>
    <w:rsid w:val="00457F98"/>
    <w:rsid w:val="00470E93"/>
    <w:rsid w:val="004713C2"/>
    <w:rsid w:val="00472F34"/>
    <w:rsid w:val="0047469B"/>
    <w:rsid w:val="00477B3D"/>
    <w:rsid w:val="00482C15"/>
    <w:rsid w:val="004838D9"/>
    <w:rsid w:val="00484822"/>
    <w:rsid w:val="00485D55"/>
    <w:rsid w:val="00491647"/>
    <w:rsid w:val="0049409E"/>
    <w:rsid w:val="004961DD"/>
    <w:rsid w:val="004A0533"/>
    <w:rsid w:val="004A3F30"/>
    <w:rsid w:val="004B22B8"/>
    <w:rsid w:val="004B33C8"/>
    <w:rsid w:val="004B3E41"/>
    <w:rsid w:val="004B552B"/>
    <w:rsid w:val="004B561E"/>
    <w:rsid w:val="004B6B43"/>
    <w:rsid w:val="004B7C07"/>
    <w:rsid w:val="004C602D"/>
    <w:rsid w:val="004C6CD8"/>
    <w:rsid w:val="004D2078"/>
    <w:rsid w:val="004D487C"/>
    <w:rsid w:val="004D4E25"/>
    <w:rsid w:val="004D5473"/>
    <w:rsid w:val="004D7029"/>
    <w:rsid w:val="004E07A8"/>
    <w:rsid w:val="004E1B0E"/>
    <w:rsid w:val="004E2646"/>
    <w:rsid w:val="004F2363"/>
    <w:rsid w:val="004F2969"/>
    <w:rsid w:val="004F353F"/>
    <w:rsid w:val="004F62CF"/>
    <w:rsid w:val="00502FAD"/>
    <w:rsid w:val="005040ED"/>
    <w:rsid w:val="00507191"/>
    <w:rsid w:val="00507DF5"/>
    <w:rsid w:val="005121D2"/>
    <w:rsid w:val="00513C73"/>
    <w:rsid w:val="00513E84"/>
    <w:rsid w:val="00517918"/>
    <w:rsid w:val="005201B3"/>
    <w:rsid w:val="0052385B"/>
    <w:rsid w:val="0052413A"/>
    <w:rsid w:val="00526C27"/>
    <w:rsid w:val="0052748A"/>
    <w:rsid w:val="0052769A"/>
    <w:rsid w:val="00527DE8"/>
    <w:rsid w:val="005324A5"/>
    <w:rsid w:val="0053372B"/>
    <w:rsid w:val="00533BB8"/>
    <w:rsid w:val="0053542D"/>
    <w:rsid w:val="005369EB"/>
    <w:rsid w:val="00541A6A"/>
    <w:rsid w:val="00542523"/>
    <w:rsid w:val="00543BB9"/>
    <w:rsid w:val="00546D71"/>
    <w:rsid w:val="0054791C"/>
    <w:rsid w:val="0055340D"/>
    <w:rsid w:val="0055385D"/>
    <w:rsid w:val="0055596C"/>
    <w:rsid w:val="00561640"/>
    <w:rsid w:val="00563CB8"/>
    <w:rsid w:val="00563DC9"/>
    <w:rsid w:val="005641F5"/>
    <w:rsid w:val="00565871"/>
    <w:rsid w:val="00567E85"/>
    <w:rsid w:val="00570139"/>
    <w:rsid w:val="00570901"/>
    <w:rsid w:val="005742C3"/>
    <w:rsid w:val="00576E4A"/>
    <w:rsid w:val="00581401"/>
    <w:rsid w:val="005837C5"/>
    <w:rsid w:val="00583FF7"/>
    <w:rsid w:val="00585771"/>
    <w:rsid w:val="00585A0D"/>
    <w:rsid w:val="005875D8"/>
    <w:rsid w:val="00592D68"/>
    <w:rsid w:val="00593697"/>
    <w:rsid w:val="00593926"/>
    <w:rsid w:val="00595905"/>
    <w:rsid w:val="005960E3"/>
    <w:rsid w:val="005A7924"/>
    <w:rsid w:val="005A7968"/>
    <w:rsid w:val="005B0703"/>
    <w:rsid w:val="005B22B2"/>
    <w:rsid w:val="005B3D78"/>
    <w:rsid w:val="005B7E6E"/>
    <w:rsid w:val="005C7B5F"/>
    <w:rsid w:val="005D7C72"/>
    <w:rsid w:val="005E0509"/>
    <w:rsid w:val="005E2E87"/>
    <w:rsid w:val="005E396D"/>
    <w:rsid w:val="005F147C"/>
    <w:rsid w:val="005F5D35"/>
    <w:rsid w:val="005F657A"/>
    <w:rsid w:val="00603970"/>
    <w:rsid w:val="006044CD"/>
    <w:rsid w:val="00607856"/>
    <w:rsid w:val="006124D5"/>
    <w:rsid w:val="0062277B"/>
    <w:rsid w:val="006261E1"/>
    <w:rsid w:val="00626E4A"/>
    <w:rsid w:val="0063653C"/>
    <w:rsid w:val="006375AF"/>
    <w:rsid w:val="00641DC5"/>
    <w:rsid w:val="00643550"/>
    <w:rsid w:val="00644540"/>
    <w:rsid w:val="00645C3F"/>
    <w:rsid w:val="00646088"/>
    <w:rsid w:val="006460F7"/>
    <w:rsid w:val="00651092"/>
    <w:rsid w:val="00653ABB"/>
    <w:rsid w:val="006611D0"/>
    <w:rsid w:val="0066211A"/>
    <w:rsid w:val="00663A00"/>
    <w:rsid w:val="006661AE"/>
    <w:rsid w:val="006667A3"/>
    <w:rsid w:val="0068018C"/>
    <w:rsid w:val="0069247E"/>
    <w:rsid w:val="00695F83"/>
    <w:rsid w:val="006A02C3"/>
    <w:rsid w:val="006A09D6"/>
    <w:rsid w:val="006A3594"/>
    <w:rsid w:val="006B0634"/>
    <w:rsid w:val="006B0965"/>
    <w:rsid w:val="006B096C"/>
    <w:rsid w:val="006B6161"/>
    <w:rsid w:val="006B61DD"/>
    <w:rsid w:val="006B7912"/>
    <w:rsid w:val="006B7CCB"/>
    <w:rsid w:val="006C1A3F"/>
    <w:rsid w:val="006C5417"/>
    <w:rsid w:val="006C7613"/>
    <w:rsid w:val="006D5208"/>
    <w:rsid w:val="006E4C84"/>
    <w:rsid w:val="006E7A67"/>
    <w:rsid w:val="006E7D3C"/>
    <w:rsid w:val="006F3BD7"/>
    <w:rsid w:val="00700A15"/>
    <w:rsid w:val="00706F7A"/>
    <w:rsid w:val="00707670"/>
    <w:rsid w:val="0071568E"/>
    <w:rsid w:val="00721797"/>
    <w:rsid w:val="0072270F"/>
    <w:rsid w:val="00722D79"/>
    <w:rsid w:val="0072440D"/>
    <w:rsid w:val="00724760"/>
    <w:rsid w:val="0072504D"/>
    <w:rsid w:val="007258CE"/>
    <w:rsid w:val="00730123"/>
    <w:rsid w:val="0073192F"/>
    <w:rsid w:val="0073211B"/>
    <w:rsid w:val="00733C74"/>
    <w:rsid w:val="00737586"/>
    <w:rsid w:val="00737EE7"/>
    <w:rsid w:val="00741955"/>
    <w:rsid w:val="0074733E"/>
    <w:rsid w:val="00753E81"/>
    <w:rsid w:val="007623AE"/>
    <w:rsid w:val="0076269D"/>
    <w:rsid w:val="00766336"/>
    <w:rsid w:val="0076658E"/>
    <w:rsid w:val="00767641"/>
    <w:rsid w:val="00772135"/>
    <w:rsid w:val="00772FCA"/>
    <w:rsid w:val="0077398D"/>
    <w:rsid w:val="00776097"/>
    <w:rsid w:val="00796D57"/>
    <w:rsid w:val="00797281"/>
    <w:rsid w:val="007A10D8"/>
    <w:rsid w:val="007B0EDD"/>
    <w:rsid w:val="007B63A5"/>
    <w:rsid w:val="007B764B"/>
    <w:rsid w:val="007C14C1"/>
    <w:rsid w:val="007C4BF7"/>
    <w:rsid w:val="007C6693"/>
    <w:rsid w:val="007C72D9"/>
    <w:rsid w:val="007C7CD6"/>
    <w:rsid w:val="007C7DB0"/>
    <w:rsid w:val="007D1715"/>
    <w:rsid w:val="007D2F12"/>
    <w:rsid w:val="007E3100"/>
    <w:rsid w:val="007E463A"/>
    <w:rsid w:val="007E4E86"/>
    <w:rsid w:val="007E7665"/>
    <w:rsid w:val="007E7802"/>
    <w:rsid w:val="007F0C41"/>
    <w:rsid w:val="007F76FC"/>
    <w:rsid w:val="00804C62"/>
    <w:rsid w:val="00807C6B"/>
    <w:rsid w:val="008139A0"/>
    <w:rsid w:val="008151E5"/>
    <w:rsid w:val="00820EF9"/>
    <w:rsid w:val="0082210F"/>
    <w:rsid w:val="008227EB"/>
    <w:rsid w:val="008228CD"/>
    <w:rsid w:val="008261D2"/>
    <w:rsid w:val="00830CA1"/>
    <w:rsid w:val="00831B4C"/>
    <w:rsid w:val="008336BE"/>
    <w:rsid w:val="00835495"/>
    <w:rsid w:val="00836BD2"/>
    <w:rsid w:val="00840953"/>
    <w:rsid w:val="00842B8A"/>
    <w:rsid w:val="008434A6"/>
    <w:rsid w:val="0084358E"/>
    <w:rsid w:val="00845C5F"/>
    <w:rsid w:val="00847A03"/>
    <w:rsid w:val="00850CE6"/>
    <w:rsid w:val="008517A8"/>
    <w:rsid w:val="00853CF3"/>
    <w:rsid w:val="008572B2"/>
    <w:rsid w:val="00860A88"/>
    <w:rsid w:val="00864A80"/>
    <w:rsid w:val="00872393"/>
    <w:rsid w:val="008724F0"/>
    <w:rsid w:val="008732CC"/>
    <w:rsid w:val="00874AF4"/>
    <w:rsid w:val="00875D0A"/>
    <w:rsid w:val="00876632"/>
    <w:rsid w:val="0087697D"/>
    <w:rsid w:val="00880AAD"/>
    <w:rsid w:val="00881A0C"/>
    <w:rsid w:val="00883761"/>
    <w:rsid w:val="00884AB6"/>
    <w:rsid w:val="008907FE"/>
    <w:rsid w:val="00891ED9"/>
    <w:rsid w:val="00893930"/>
    <w:rsid w:val="00893A85"/>
    <w:rsid w:val="008949E7"/>
    <w:rsid w:val="008A0F55"/>
    <w:rsid w:val="008A1774"/>
    <w:rsid w:val="008A2DA8"/>
    <w:rsid w:val="008A5010"/>
    <w:rsid w:val="008A6B5E"/>
    <w:rsid w:val="008A7263"/>
    <w:rsid w:val="008B1311"/>
    <w:rsid w:val="008B31CC"/>
    <w:rsid w:val="008B456C"/>
    <w:rsid w:val="008B5DE1"/>
    <w:rsid w:val="008C1826"/>
    <w:rsid w:val="008C55C4"/>
    <w:rsid w:val="008C7679"/>
    <w:rsid w:val="008D0396"/>
    <w:rsid w:val="008D3566"/>
    <w:rsid w:val="008D3BC0"/>
    <w:rsid w:val="008D5D6B"/>
    <w:rsid w:val="008E0B23"/>
    <w:rsid w:val="008E2674"/>
    <w:rsid w:val="008E541B"/>
    <w:rsid w:val="009000C9"/>
    <w:rsid w:val="00903656"/>
    <w:rsid w:val="009062ED"/>
    <w:rsid w:val="0090775D"/>
    <w:rsid w:val="00910D8E"/>
    <w:rsid w:val="009135A8"/>
    <w:rsid w:val="0091572D"/>
    <w:rsid w:val="0091722D"/>
    <w:rsid w:val="00922E34"/>
    <w:rsid w:val="00933100"/>
    <w:rsid w:val="009341BF"/>
    <w:rsid w:val="009349D0"/>
    <w:rsid w:val="0093626B"/>
    <w:rsid w:val="009403AD"/>
    <w:rsid w:val="0094277B"/>
    <w:rsid w:val="009466B0"/>
    <w:rsid w:val="00960763"/>
    <w:rsid w:val="0096199D"/>
    <w:rsid w:val="00962802"/>
    <w:rsid w:val="00963CDE"/>
    <w:rsid w:val="00966D72"/>
    <w:rsid w:val="00967678"/>
    <w:rsid w:val="0097223B"/>
    <w:rsid w:val="009732BA"/>
    <w:rsid w:val="00973DA4"/>
    <w:rsid w:val="00974234"/>
    <w:rsid w:val="00974F3E"/>
    <w:rsid w:val="0098148A"/>
    <w:rsid w:val="009859E7"/>
    <w:rsid w:val="009A0390"/>
    <w:rsid w:val="009A3159"/>
    <w:rsid w:val="009B0F30"/>
    <w:rsid w:val="009B12D0"/>
    <w:rsid w:val="009B14FE"/>
    <w:rsid w:val="009B3E8A"/>
    <w:rsid w:val="009B4FE2"/>
    <w:rsid w:val="009B7417"/>
    <w:rsid w:val="009B7C85"/>
    <w:rsid w:val="009C0391"/>
    <w:rsid w:val="009C0AAE"/>
    <w:rsid w:val="009C1AAB"/>
    <w:rsid w:val="009C2014"/>
    <w:rsid w:val="009C28BD"/>
    <w:rsid w:val="009C3C09"/>
    <w:rsid w:val="009C5540"/>
    <w:rsid w:val="009D0B7A"/>
    <w:rsid w:val="009D12CD"/>
    <w:rsid w:val="009D2572"/>
    <w:rsid w:val="009E05C6"/>
    <w:rsid w:val="009E07D2"/>
    <w:rsid w:val="009E734D"/>
    <w:rsid w:val="009F0467"/>
    <w:rsid w:val="009F31D9"/>
    <w:rsid w:val="009F3652"/>
    <w:rsid w:val="00A0163A"/>
    <w:rsid w:val="00A04B59"/>
    <w:rsid w:val="00A07A4E"/>
    <w:rsid w:val="00A129F0"/>
    <w:rsid w:val="00A14F0A"/>
    <w:rsid w:val="00A200AD"/>
    <w:rsid w:val="00A23571"/>
    <w:rsid w:val="00A248E0"/>
    <w:rsid w:val="00A24DAB"/>
    <w:rsid w:val="00A253EA"/>
    <w:rsid w:val="00A32E00"/>
    <w:rsid w:val="00A37B6C"/>
    <w:rsid w:val="00A40085"/>
    <w:rsid w:val="00A42275"/>
    <w:rsid w:val="00A4462B"/>
    <w:rsid w:val="00A4688B"/>
    <w:rsid w:val="00A46CF8"/>
    <w:rsid w:val="00A50361"/>
    <w:rsid w:val="00A64803"/>
    <w:rsid w:val="00A65ACE"/>
    <w:rsid w:val="00A65FF8"/>
    <w:rsid w:val="00A73483"/>
    <w:rsid w:val="00A75116"/>
    <w:rsid w:val="00A761C3"/>
    <w:rsid w:val="00A769BF"/>
    <w:rsid w:val="00A77308"/>
    <w:rsid w:val="00A908AC"/>
    <w:rsid w:val="00A948B3"/>
    <w:rsid w:val="00A95E92"/>
    <w:rsid w:val="00A968CA"/>
    <w:rsid w:val="00AA0831"/>
    <w:rsid w:val="00AA1DC0"/>
    <w:rsid w:val="00AA5AC3"/>
    <w:rsid w:val="00AA5F43"/>
    <w:rsid w:val="00AC1DE5"/>
    <w:rsid w:val="00AC1F67"/>
    <w:rsid w:val="00AC2AB4"/>
    <w:rsid w:val="00AC6562"/>
    <w:rsid w:val="00AD014F"/>
    <w:rsid w:val="00AD26BF"/>
    <w:rsid w:val="00AD2E2E"/>
    <w:rsid w:val="00AD440D"/>
    <w:rsid w:val="00AD4CA5"/>
    <w:rsid w:val="00AE01CA"/>
    <w:rsid w:val="00AE14E2"/>
    <w:rsid w:val="00AE3076"/>
    <w:rsid w:val="00AE7964"/>
    <w:rsid w:val="00AF1F26"/>
    <w:rsid w:val="00AF3526"/>
    <w:rsid w:val="00AF5A63"/>
    <w:rsid w:val="00AF7B42"/>
    <w:rsid w:val="00B00346"/>
    <w:rsid w:val="00B044E7"/>
    <w:rsid w:val="00B10BF2"/>
    <w:rsid w:val="00B10EA0"/>
    <w:rsid w:val="00B1409A"/>
    <w:rsid w:val="00B205E1"/>
    <w:rsid w:val="00B20B90"/>
    <w:rsid w:val="00B231AA"/>
    <w:rsid w:val="00B23AD5"/>
    <w:rsid w:val="00B27639"/>
    <w:rsid w:val="00B30BF5"/>
    <w:rsid w:val="00B31BA2"/>
    <w:rsid w:val="00B35061"/>
    <w:rsid w:val="00B46C45"/>
    <w:rsid w:val="00B50F3F"/>
    <w:rsid w:val="00B5282C"/>
    <w:rsid w:val="00B57A9F"/>
    <w:rsid w:val="00B57E5D"/>
    <w:rsid w:val="00B6092B"/>
    <w:rsid w:val="00B62FA5"/>
    <w:rsid w:val="00B66DB7"/>
    <w:rsid w:val="00B71188"/>
    <w:rsid w:val="00B7194E"/>
    <w:rsid w:val="00B75489"/>
    <w:rsid w:val="00B76D5E"/>
    <w:rsid w:val="00B77110"/>
    <w:rsid w:val="00B77411"/>
    <w:rsid w:val="00B80621"/>
    <w:rsid w:val="00B83205"/>
    <w:rsid w:val="00B97875"/>
    <w:rsid w:val="00BA4548"/>
    <w:rsid w:val="00BA536E"/>
    <w:rsid w:val="00BA5828"/>
    <w:rsid w:val="00BA6CB2"/>
    <w:rsid w:val="00BA6E05"/>
    <w:rsid w:val="00BA7D7C"/>
    <w:rsid w:val="00BA7F1C"/>
    <w:rsid w:val="00BB27BA"/>
    <w:rsid w:val="00BB3487"/>
    <w:rsid w:val="00BB459A"/>
    <w:rsid w:val="00BB4709"/>
    <w:rsid w:val="00BC1873"/>
    <w:rsid w:val="00BC3880"/>
    <w:rsid w:val="00BC4ADE"/>
    <w:rsid w:val="00BC54A9"/>
    <w:rsid w:val="00BC55AA"/>
    <w:rsid w:val="00BC77A0"/>
    <w:rsid w:val="00BD28C9"/>
    <w:rsid w:val="00BD7AD4"/>
    <w:rsid w:val="00BD7B6F"/>
    <w:rsid w:val="00BE4686"/>
    <w:rsid w:val="00BE4EBD"/>
    <w:rsid w:val="00BE6EFE"/>
    <w:rsid w:val="00BE7B04"/>
    <w:rsid w:val="00BF0BE2"/>
    <w:rsid w:val="00BF63DD"/>
    <w:rsid w:val="00BF6DF5"/>
    <w:rsid w:val="00C00CE1"/>
    <w:rsid w:val="00C018EF"/>
    <w:rsid w:val="00C02E75"/>
    <w:rsid w:val="00C02EC2"/>
    <w:rsid w:val="00C07D88"/>
    <w:rsid w:val="00C151B9"/>
    <w:rsid w:val="00C17AF0"/>
    <w:rsid w:val="00C208EA"/>
    <w:rsid w:val="00C2283A"/>
    <w:rsid w:val="00C252EF"/>
    <w:rsid w:val="00C257EC"/>
    <w:rsid w:val="00C25C43"/>
    <w:rsid w:val="00C27E34"/>
    <w:rsid w:val="00C34B83"/>
    <w:rsid w:val="00C419B4"/>
    <w:rsid w:val="00C42C58"/>
    <w:rsid w:val="00C441BE"/>
    <w:rsid w:val="00C4787C"/>
    <w:rsid w:val="00C5015B"/>
    <w:rsid w:val="00C512D6"/>
    <w:rsid w:val="00C52FD6"/>
    <w:rsid w:val="00C63FC2"/>
    <w:rsid w:val="00C7162F"/>
    <w:rsid w:val="00C72E42"/>
    <w:rsid w:val="00C745E1"/>
    <w:rsid w:val="00C920BB"/>
    <w:rsid w:val="00C9359E"/>
    <w:rsid w:val="00C94AC5"/>
    <w:rsid w:val="00C9623A"/>
    <w:rsid w:val="00CA53F8"/>
    <w:rsid w:val="00CA6CC7"/>
    <w:rsid w:val="00CB4795"/>
    <w:rsid w:val="00CC1BF8"/>
    <w:rsid w:val="00CC2982"/>
    <w:rsid w:val="00CC3C40"/>
    <w:rsid w:val="00CC605E"/>
    <w:rsid w:val="00CC6E60"/>
    <w:rsid w:val="00CD1A34"/>
    <w:rsid w:val="00CD3A81"/>
    <w:rsid w:val="00CD45B4"/>
    <w:rsid w:val="00CD4793"/>
    <w:rsid w:val="00CD61D0"/>
    <w:rsid w:val="00CE0D9A"/>
    <w:rsid w:val="00CE2836"/>
    <w:rsid w:val="00CE5BEA"/>
    <w:rsid w:val="00CE6C54"/>
    <w:rsid w:val="00CF08C2"/>
    <w:rsid w:val="00CF2582"/>
    <w:rsid w:val="00CF2986"/>
    <w:rsid w:val="00CF6C45"/>
    <w:rsid w:val="00D031FA"/>
    <w:rsid w:val="00D05BB1"/>
    <w:rsid w:val="00D066C5"/>
    <w:rsid w:val="00D16526"/>
    <w:rsid w:val="00D22B12"/>
    <w:rsid w:val="00D2326D"/>
    <w:rsid w:val="00D257AC"/>
    <w:rsid w:val="00D3179C"/>
    <w:rsid w:val="00D31C4D"/>
    <w:rsid w:val="00D3492E"/>
    <w:rsid w:val="00D36C11"/>
    <w:rsid w:val="00D374A9"/>
    <w:rsid w:val="00D41B54"/>
    <w:rsid w:val="00D4259D"/>
    <w:rsid w:val="00D4437D"/>
    <w:rsid w:val="00D44710"/>
    <w:rsid w:val="00D4700C"/>
    <w:rsid w:val="00D479EE"/>
    <w:rsid w:val="00D52801"/>
    <w:rsid w:val="00D54BBC"/>
    <w:rsid w:val="00D5676B"/>
    <w:rsid w:val="00D57066"/>
    <w:rsid w:val="00D57763"/>
    <w:rsid w:val="00D65DB9"/>
    <w:rsid w:val="00D920A6"/>
    <w:rsid w:val="00D9328F"/>
    <w:rsid w:val="00D94FAB"/>
    <w:rsid w:val="00D95A65"/>
    <w:rsid w:val="00DA030E"/>
    <w:rsid w:val="00DA0CD1"/>
    <w:rsid w:val="00DB2D29"/>
    <w:rsid w:val="00DB34C3"/>
    <w:rsid w:val="00DB3C98"/>
    <w:rsid w:val="00DB6B98"/>
    <w:rsid w:val="00DC0419"/>
    <w:rsid w:val="00DC0591"/>
    <w:rsid w:val="00DC585A"/>
    <w:rsid w:val="00DD3C91"/>
    <w:rsid w:val="00DD6609"/>
    <w:rsid w:val="00DD6BA0"/>
    <w:rsid w:val="00DF3D1C"/>
    <w:rsid w:val="00DF40DC"/>
    <w:rsid w:val="00DF5111"/>
    <w:rsid w:val="00E0286B"/>
    <w:rsid w:val="00E07E3C"/>
    <w:rsid w:val="00E11985"/>
    <w:rsid w:val="00E16070"/>
    <w:rsid w:val="00E167AB"/>
    <w:rsid w:val="00E220AC"/>
    <w:rsid w:val="00E22A24"/>
    <w:rsid w:val="00E26A26"/>
    <w:rsid w:val="00E31D9D"/>
    <w:rsid w:val="00E3245A"/>
    <w:rsid w:val="00E33FC1"/>
    <w:rsid w:val="00E34C9C"/>
    <w:rsid w:val="00E45753"/>
    <w:rsid w:val="00E46711"/>
    <w:rsid w:val="00E526FF"/>
    <w:rsid w:val="00E53E91"/>
    <w:rsid w:val="00E560AD"/>
    <w:rsid w:val="00E56C25"/>
    <w:rsid w:val="00E6036C"/>
    <w:rsid w:val="00E60525"/>
    <w:rsid w:val="00E618D5"/>
    <w:rsid w:val="00E63363"/>
    <w:rsid w:val="00E64C29"/>
    <w:rsid w:val="00E6588C"/>
    <w:rsid w:val="00E65C14"/>
    <w:rsid w:val="00E710AF"/>
    <w:rsid w:val="00E714F9"/>
    <w:rsid w:val="00E74283"/>
    <w:rsid w:val="00E7559A"/>
    <w:rsid w:val="00E7754E"/>
    <w:rsid w:val="00E866BC"/>
    <w:rsid w:val="00E90B43"/>
    <w:rsid w:val="00E91047"/>
    <w:rsid w:val="00E9190E"/>
    <w:rsid w:val="00E93803"/>
    <w:rsid w:val="00E946A0"/>
    <w:rsid w:val="00EA0C17"/>
    <w:rsid w:val="00EA3693"/>
    <w:rsid w:val="00EA44C5"/>
    <w:rsid w:val="00EA74B5"/>
    <w:rsid w:val="00EB0A53"/>
    <w:rsid w:val="00EB1EFA"/>
    <w:rsid w:val="00EB4423"/>
    <w:rsid w:val="00EB4655"/>
    <w:rsid w:val="00EB4AAC"/>
    <w:rsid w:val="00EB5C7B"/>
    <w:rsid w:val="00EB6D24"/>
    <w:rsid w:val="00EB782B"/>
    <w:rsid w:val="00EC15E4"/>
    <w:rsid w:val="00EC1E30"/>
    <w:rsid w:val="00EC238E"/>
    <w:rsid w:val="00EC3F22"/>
    <w:rsid w:val="00ED0044"/>
    <w:rsid w:val="00ED2D77"/>
    <w:rsid w:val="00ED34EC"/>
    <w:rsid w:val="00ED491F"/>
    <w:rsid w:val="00EE360E"/>
    <w:rsid w:val="00EE5F60"/>
    <w:rsid w:val="00EE66B9"/>
    <w:rsid w:val="00EF0748"/>
    <w:rsid w:val="00EF12C5"/>
    <w:rsid w:val="00F07B41"/>
    <w:rsid w:val="00F10E78"/>
    <w:rsid w:val="00F10E87"/>
    <w:rsid w:val="00F1138D"/>
    <w:rsid w:val="00F12958"/>
    <w:rsid w:val="00F143C7"/>
    <w:rsid w:val="00F219C5"/>
    <w:rsid w:val="00F21CD9"/>
    <w:rsid w:val="00F308FF"/>
    <w:rsid w:val="00F355C2"/>
    <w:rsid w:val="00F36F0E"/>
    <w:rsid w:val="00F37F20"/>
    <w:rsid w:val="00F41D88"/>
    <w:rsid w:val="00F43401"/>
    <w:rsid w:val="00F43553"/>
    <w:rsid w:val="00F4386A"/>
    <w:rsid w:val="00F44637"/>
    <w:rsid w:val="00F4480D"/>
    <w:rsid w:val="00F457A9"/>
    <w:rsid w:val="00F52488"/>
    <w:rsid w:val="00F52F9C"/>
    <w:rsid w:val="00F544D9"/>
    <w:rsid w:val="00F55F78"/>
    <w:rsid w:val="00F60C57"/>
    <w:rsid w:val="00F622DA"/>
    <w:rsid w:val="00F64807"/>
    <w:rsid w:val="00F6568B"/>
    <w:rsid w:val="00F67602"/>
    <w:rsid w:val="00F814D5"/>
    <w:rsid w:val="00F87643"/>
    <w:rsid w:val="00F92CB6"/>
    <w:rsid w:val="00F942C8"/>
    <w:rsid w:val="00FA0A05"/>
    <w:rsid w:val="00FA3204"/>
    <w:rsid w:val="00FA3976"/>
    <w:rsid w:val="00FA668A"/>
    <w:rsid w:val="00FA6AC7"/>
    <w:rsid w:val="00FA6F9F"/>
    <w:rsid w:val="00FB2878"/>
    <w:rsid w:val="00FB6A69"/>
    <w:rsid w:val="00FB71DE"/>
    <w:rsid w:val="00FB75ED"/>
    <w:rsid w:val="00FC349F"/>
    <w:rsid w:val="00FC5576"/>
    <w:rsid w:val="00FC714C"/>
    <w:rsid w:val="00FD275D"/>
    <w:rsid w:val="00FD6A91"/>
    <w:rsid w:val="00FE1003"/>
    <w:rsid w:val="00FE12D4"/>
    <w:rsid w:val="00FE28A3"/>
    <w:rsid w:val="00FE2A44"/>
    <w:rsid w:val="00FE662D"/>
    <w:rsid w:val="00FF1F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E64B03"/>
  <w15:docId w15:val="{A2E296F8-B898-4020-89C9-FA900013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lsdException w:name="heading 3" w:locked="1" w:uiPriority="0"/>
    <w:lsdException w:name="heading 4" w:locked="1"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DB6B98"/>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DB6B98"/>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rsid w:val="002B7162"/>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
    <w:locked/>
    <w:rsid w:val="00526C27"/>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2B7162"/>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2B7162"/>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2B7162"/>
    <w:rPr>
      <w:rFonts w:eastAsia="Times New Roman" w:cs="Times New Roman"/>
    </w:rPr>
  </w:style>
  <w:style w:type="paragraph" w:styleId="NormalWeb">
    <w:name w:val="Normal (Web)"/>
    <w:basedOn w:val="Normal"/>
    <w:uiPriority w:val="99"/>
    <w:rsid w:val="002B7162"/>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2B7162"/>
    <w:rPr>
      <w:rFonts w:cs="Times New Roman"/>
      <w:sz w:val="16"/>
    </w:rPr>
  </w:style>
  <w:style w:type="paragraph" w:styleId="CommentText">
    <w:name w:val="annotation text"/>
    <w:basedOn w:val="Normal"/>
    <w:link w:val="CommentTextChar"/>
    <w:uiPriority w:val="99"/>
    <w:rsid w:val="002B7162"/>
    <w:rPr>
      <w:rFonts w:eastAsia="Times New Roman"/>
      <w:sz w:val="20"/>
      <w:szCs w:val="20"/>
    </w:rPr>
  </w:style>
  <w:style w:type="character" w:customStyle="1" w:styleId="CommentTextChar">
    <w:name w:val="Comment Text Char"/>
    <w:basedOn w:val="DefaultParagraphFont"/>
    <w:link w:val="CommentText"/>
    <w:uiPriority w:val="99"/>
    <w:locked/>
    <w:rsid w:val="002B7162"/>
    <w:rPr>
      <w:rFonts w:eastAsia="Times New Roman" w:cs="Times New Roman"/>
    </w:rPr>
  </w:style>
  <w:style w:type="paragraph" w:styleId="CommentSubject">
    <w:name w:val="annotation subject"/>
    <w:basedOn w:val="CommentText"/>
    <w:next w:val="CommentText"/>
    <w:link w:val="CommentSubjectChar"/>
    <w:uiPriority w:val="99"/>
    <w:semiHidden/>
    <w:rsid w:val="002B7162"/>
    <w:rPr>
      <w:b/>
      <w:bCs/>
    </w:rPr>
  </w:style>
  <w:style w:type="character" w:customStyle="1" w:styleId="CommentSubjectChar">
    <w:name w:val="Comment Subject Char"/>
    <w:basedOn w:val="CommentTextChar"/>
    <w:link w:val="CommentSubject"/>
    <w:uiPriority w:val="99"/>
    <w:semiHidden/>
    <w:locked/>
    <w:rsid w:val="002B7162"/>
    <w:rPr>
      <w:rFonts w:eastAsia="Times New Roman" w:cs="Times New Roman"/>
      <w:b/>
    </w:rPr>
  </w:style>
  <w:style w:type="paragraph" w:styleId="BalloonText">
    <w:name w:val="Balloon Text"/>
    <w:basedOn w:val="Normal"/>
    <w:link w:val="BalloonTextChar"/>
    <w:uiPriority w:val="99"/>
    <w:semiHidden/>
    <w:rsid w:val="002B7162"/>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2B7162"/>
    <w:rPr>
      <w:rFonts w:ascii="Tahoma" w:hAnsi="Tahoma" w:cs="Times New Roman"/>
      <w:sz w:val="16"/>
    </w:rPr>
  </w:style>
  <w:style w:type="paragraph" w:customStyle="1" w:styleId="Pa4">
    <w:name w:val="Pa4"/>
    <w:basedOn w:val="Normal"/>
    <w:next w:val="Normal"/>
    <w:uiPriority w:val="99"/>
    <w:rsid w:val="002B7162"/>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2B7162"/>
    <w:rPr>
      <w:rFonts w:cs="Times New Roman"/>
      <w:color w:val="0000FF"/>
      <w:u w:val="single"/>
    </w:rPr>
  </w:style>
  <w:style w:type="table" w:styleId="TableGrid">
    <w:name w:val="Table Grid"/>
    <w:basedOn w:val="TableNormal"/>
    <w:uiPriority w:val="99"/>
    <w:rsid w:val="002B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DB6B98"/>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99"/>
    <w:rsid w:val="005F5D35"/>
    <w:pPr>
      <w:ind w:left="720"/>
      <w:contextualSpacing/>
    </w:pPr>
  </w:style>
  <w:style w:type="character" w:customStyle="1" w:styleId="LearningSequenceHeaderChar">
    <w:name w:val="*Learning Sequence Header Char"/>
    <w:basedOn w:val="Heading2Char"/>
    <w:link w:val="LearningSequenceHeader"/>
    <w:locked/>
    <w:rsid w:val="00526C27"/>
    <w:rPr>
      <w:rFonts w:asciiTheme="minorHAnsi" w:hAnsiTheme="minorHAnsi" w:cs="Times New Roman"/>
      <w:b/>
      <w:bCs/>
      <w:i/>
      <w:color w:val="4F81BD"/>
      <w:sz w:val="28"/>
      <w:szCs w:val="26"/>
    </w:rPr>
  </w:style>
  <w:style w:type="paragraph" w:customStyle="1" w:styleId="TA">
    <w:name w:val="*TA*"/>
    <w:link w:val="TAChar"/>
    <w:qFormat/>
    <w:rsid w:val="00DB6B98"/>
    <w:pPr>
      <w:spacing w:before="180" w:after="180" w:line="276" w:lineRule="auto"/>
    </w:pPr>
    <w:rPr>
      <w:sz w:val="22"/>
      <w:szCs w:val="22"/>
    </w:rPr>
  </w:style>
  <w:style w:type="character" w:customStyle="1" w:styleId="TAChar">
    <w:name w:val="*TA* Char"/>
    <w:basedOn w:val="DefaultParagraphFont"/>
    <w:link w:val="TA"/>
    <w:locked/>
    <w:rsid w:val="00DB6B98"/>
    <w:rPr>
      <w:sz w:val="22"/>
      <w:szCs w:val="22"/>
    </w:rPr>
  </w:style>
  <w:style w:type="paragraph" w:customStyle="1" w:styleId="IN">
    <w:name w:val="*IN*"/>
    <w:link w:val="INChar"/>
    <w:qFormat/>
    <w:rsid w:val="00DB6B98"/>
    <w:pPr>
      <w:numPr>
        <w:numId w:val="5"/>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qFormat/>
    <w:rsid w:val="00DB6B98"/>
    <w:pPr>
      <w:numPr>
        <w:numId w:val="4"/>
      </w:numPr>
      <w:spacing w:before="60" w:after="60" w:line="276" w:lineRule="auto"/>
      <w:ind w:left="360"/>
    </w:pPr>
    <w:rPr>
      <w:sz w:val="22"/>
      <w:szCs w:val="22"/>
    </w:rPr>
  </w:style>
  <w:style w:type="character" w:customStyle="1" w:styleId="INChar">
    <w:name w:val="*IN* Char"/>
    <w:basedOn w:val="DefaultParagraphFont"/>
    <w:link w:val="IN"/>
    <w:locked/>
    <w:rsid w:val="00DB6B98"/>
    <w:rPr>
      <w:color w:val="4F81BD" w:themeColor="accent1"/>
      <w:sz w:val="22"/>
      <w:szCs w:val="22"/>
    </w:rPr>
  </w:style>
  <w:style w:type="paragraph" w:customStyle="1" w:styleId="NumberedList">
    <w:name w:val="*Numbered List"/>
    <w:link w:val="NumberedListChar"/>
    <w:qFormat/>
    <w:rsid w:val="00DB6B98"/>
    <w:pPr>
      <w:numPr>
        <w:numId w:val="7"/>
      </w:numPr>
      <w:spacing w:after="60"/>
    </w:pPr>
    <w:rPr>
      <w:sz w:val="22"/>
      <w:szCs w:val="22"/>
    </w:r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DB6B98"/>
    <w:rPr>
      <w:rFonts w:cs="Times New Roman"/>
      <w:sz w:val="22"/>
      <w:szCs w:val="22"/>
    </w:rPr>
  </w:style>
  <w:style w:type="paragraph" w:customStyle="1" w:styleId="TableHeaders">
    <w:name w:val="*TableHeaders"/>
    <w:basedOn w:val="Normal"/>
    <w:link w:val="TableHeadersChar"/>
    <w:qFormat/>
    <w:rsid w:val="00DB6B98"/>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526C27"/>
    <w:rPr>
      <w:rFonts w:cs="Times New Roman"/>
      <w:sz w:val="22"/>
      <w:szCs w:val="22"/>
    </w:rPr>
  </w:style>
  <w:style w:type="paragraph" w:customStyle="1" w:styleId="PageHeader">
    <w:name w:val="*PageHeader"/>
    <w:link w:val="PageHeaderChar"/>
    <w:qFormat/>
    <w:rsid w:val="00DB6B98"/>
    <w:pPr>
      <w:spacing w:before="120"/>
    </w:pPr>
    <w:rPr>
      <w:b/>
      <w:sz w:val="18"/>
      <w:szCs w:val="22"/>
    </w:rPr>
  </w:style>
  <w:style w:type="character" w:customStyle="1" w:styleId="TableHeadersChar">
    <w:name w:val="*TableHeaders Char"/>
    <w:basedOn w:val="DefaultParagraphFont"/>
    <w:link w:val="TableHeaders"/>
    <w:locked/>
    <w:rsid w:val="00526C27"/>
    <w:rPr>
      <w:b/>
      <w:color w:val="FFFFFF" w:themeColor="background1"/>
      <w:sz w:val="22"/>
      <w:szCs w:val="22"/>
    </w:rPr>
  </w:style>
  <w:style w:type="paragraph" w:customStyle="1" w:styleId="Q">
    <w:name w:val="*Q*"/>
    <w:link w:val="QChar"/>
    <w:qFormat/>
    <w:rsid w:val="00DB6B98"/>
    <w:pPr>
      <w:spacing w:before="240" w:line="276" w:lineRule="auto"/>
    </w:pPr>
    <w:rPr>
      <w:b/>
      <w:sz w:val="22"/>
      <w:szCs w:val="22"/>
    </w:rPr>
  </w:style>
  <w:style w:type="character" w:customStyle="1" w:styleId="PageHeaderChar">
    <w:name w:val="*PageHeader Char"/>
    <w:basedOn w:val="BodyTextChar"/>
    <w:link w:val="PageHeader"/>
    <w:locked/>
    <w:rsid w:val="00526C27"/>
    <w:rPr>
      <w:rFonts w:cs="Times New Roman"/>
      <w:b/>
      <w:sz w:val="18"/>
      <w:szCs w:val="22"/>
    </w:rPr>
  </w:style>
  <w:style w:type="character" w:customStyle="1" w:styleId="QChar">
    <w:name w:val="*Q* Char"/>
    <w:basedOn w:val="ListParagraphChar"/>
    <w:link w:val="Q"/>
    <w:locked/>
    <w:rsid w:val="00526C27"/>
    <w:rPr>
      <w:rFonts w:eastAsia="Times New Roman" w:cs="Times New Roman"/>
      <w:b/>
      <w:sz w:val="22"/>
      <w:szCs w:val="22"/>
    </w:rPr>
  </w:style>
  <w:style w:type="paragraph" w:customStyle="1" w:styleId="SASRBullet">
    <w:name w:val="*SA/SR Bullet"/>
    <w:basedOn w:val="Normal"/>
    <w:link w:val="SASRBulletChar"/>
    <w:qFormat/>
    <w:rsid w:val="00DB6B98"/>
    <w:pPr>
      <w:numPr>
        <w:ilvl w:val="1"/>
        <w:numId w:val="9"/>
      </w:numPr>
      <w:spacing w:before="120"/>
      <w:ind w:left="1080"/>
      <w:contextualSpacing/>
    </w:pPr>
  </w:style>
  <w:style w:type="paragraph" w:customStyle="1" w:styleId="INBullet">
    <w:name w:val="*IN* Bullet"/>
    <w:link w:val="INBulletChar"/>
    <w:qFormat/>
    <w:rsid w:val="00DB6B98"/>
    <w:pPr>
      <w:numPr>
        <w:numId w:val="6"/>
      </w:numPr>
      <w:spacing w:after="60" w:line="276" w:lineRule="auto"/>
    </w:pPr>
    <w:rPr>
      <w:color w:val="4F81BD" w:themeColor="accent1"/>
      <w:sz w:val="22"/>
      <w:szCs w:val="22"/>
    </w:rPr>
  </w:style>
  <w:style w:type="character" w:customStyle="1" w:styleId="SASRBulletChar">
    <w:name w:val="*SA/SR Bullet Char"/>
    <w:basedOn w:val="DefaultParagraphFont"/>
    <w:link w:val="SASRBullet"/>
    <w:locked/>
    <w:rsid w:val="00DB6B98"/>
    <w:rPr>
      <w:sz w:val="22"/>
      <w:szCs w:val="22"/>
    </w:rPr>
  </w:style>
  <w:style w:type="character" w:customStyle="1" w:styleId="INBulletChar">
    <w:name w:val="*IN* Bullet Char"/>
    <w:basedOn w:val="BulletedListChar"/>
    <w:link w:val="INBullet"/>
    <w:locked/>
    <w:rsid w:val="00526C27"/>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DB6B98"/>
    <w:pPr>
      <w:numPr>
        <w:numId w:val="8"/>
      </w:numPr>
      <w:spacing w:before="120" w:line="276" w:lineRule="auto"/>
    </w:pPr>
    <w:rPr>
      <w:sz w:val="22"/>
      <w:szCs w:val="22"/>
    </w:rPr>
  </w:style>
  <w:style w:type="paragraph" w:customStyle="1" w:styleId="SR">
    <w:name w:val="*SR*"/>
    <w:link w:val="SRChar"/>
    <w:autoRedefine/>
    <w:qFormat/>
    <w:rsid w:val="00DB6B98"/>
    <w:pPr>
      <w:numPr>
        <w:numId w:val="10"/>
      </w:numPr>
      <w:spacing w:before="120" w:line="276" w:lineRule="auto"/>
      <w:ind w:left="720"/>
    </w:pPr>
    <w:rPr>
      <w:sz w:val="22"/>
      <w:szCs w:val="22"/>
    </w:rPr>
  </w:style>
  <w:style w:type="character" w:customStyle="1" w:styleId="SAChar">
    <w:name w:val="*SA* Char"/>
    <w:basedOn w:val="ListParagraphChar"/>
    <w:link w:val="SA"/>
    <w:locked/>
    <w:rsid w:val="00526C27"/>
    <w:rPr>
      <w:rFonts w:eastAsia="Times New Roman" w:cs="Times New Roman"/>
      <w:sz w:val="22"/>
      <w:szCs w:val="22"/>
    </w:rPr>
  </w:style>
  <w:style w:type="character" w:customStyle="1" w:styleId="SRChar">
    <w:name w:val="*SR* Char"/>
    <w:basedOn w:val="ListParagraphChar"/>
    <w:link w:val="SR"/>
    <w:locked/>
    <w:rsid w:val="00DB6B98"/>
    <w:rPr>
      <w:rFonts w:eastAsia="Times New Roman" w:cs="Times New Roman"/>
      <w:sz w:val="22"/>
      <w:szCs w:val="22"/>
    </w:rPr>
  </w:style>
  <w:style w:type="paragraph" w:customStyle="1" w:styleId="BR">
    <w:name w:val="*BR*"/>
    <w:link w:val="BRChar"/>
    <w:qFormat/>
    <w:rsid w:val="00DB6B98"/>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DB6B98"/>
    <w:pPr>
      <w:spacing w:line="200" w:lineRule="exact"/>
    </w:pPr>
    <w:rPr>
      <w:rFonts w:eastAsia="Verdana" w:cs="Calibri"/>
      <w:b/>
      <w:color w:val="595959"/>
      <w:sz w:val="14"/>
      <w:szCs w:val="22"/>
    </w:rPr>
  </w:style>
  <w:style w:type="character" w:customStyle="1" w:styleId="BRChar">
    <w:name w:val="*BR* Char"/>
    <w:basedOn w:val="DefaultParagraphFont"/>
    <w:link w:val="BR"/>
    <w:locked/>
    <w:rsid w:val="00526C27"/>
    <w:rPr>
      <w:sz w:val="18"/>
      <w:szCs w:val="22"/>
    </w:rPr>
  </w:style>
  <w:style w:type="character" w:customStyle="1" w:styleId="folioChar">
    <w:name w:val="folio Char"/>
    <w:basedOn w:val="DefaultParagraphFont"/>
    <w:link w:val="folio"/>
    <w:locked/>
    <w:rsid w:val="00880AAD"/>
    <w:rPr>
      <w:rFonts w:ascii="Verdana" w:hAnsi="Verdana" w:cs="Verdana"/>
      <w:color w:val="595959"/>
      <w:sz w:val="22"/>
      <w:szCs w:val="22"/>
    </w:rPr>
  </w:style>
  <w:style w:type="character" w:customStyle="1" w:styleId="FooterTextChar">
    <w:name w:val="FooterText Char"/>
    <w:basedOn w:val="folioChar"/>
    <w:link w:val="FooterText"/>
    <w:locked/>
    <w:rsid w:val="00526C27"/>
    <w:rPr>
      <w:rFonts w:ascii="Verdana" w:eastAsia="Verdana" w:hAnsi="Verdana" w:cs="Calibri"/>
      <w:b/>
      <w:color w:val="595959"/>
      <w:sz w:val="14"/>
      <w:szCs w:val="22"/>
    </w:rPr>
  </w:style>
  <w:style w:type="paragraph" w:customStyle="1" w:styleId="TableText">
    <w:name w:val="*TableText"/>
    <w:link w:val="TableTextChar"/>
    <w:qFormat/>
    <w:rsid w:val="00DB6B98"/>
    <w:pPr>
      <w:spacing w:before="40" w:after="40" w:line="276" w:lineRule="auto"/>
    </w:pPr>
    <w:rPr>
      <w:sz w:val="22"/>
      <w:szCs w:val="22"/>
    </w:rPr>
  </w:style>
  <w:style w:type="character" w:customStyle="1" w:styleId="TableTextChar">
    <w:name w:val="*TableText Char"/>
    <w:basedOn w:val="DefaultParagraphFont"/>
    <w:link w:val="TableText"/>
    <w:locked/>
    <w:rsid w:val="00526C27"/>
    <w:rPr>
      <w:sz w:val="22"/>
      <w:szCs w:val="22"/>
    </w:rPr>
  </w:style>
  <w:style w:type="paragraph" w:customStyle="1" w:styleId="ToolHeader">
    <w:name w:val="*ToolHeader"/>
    <w:qFormat/>
    <w:rsid w:val="00DB6B98"/>
    <w:pPr>
      <w:spacing w:after="120"/>
    </w:pPr>
    <w:rPr>
      <w:rFonts w:asciiTheme="minorHAnsi" w:hAnsiTheme="minorHAnsi"/>
      <w:b/>
      <w:bCs/>
      <w:color w:val="365F91"/>
      <w:sz w:val="32"/>
      <w:szCs w:val="28"/>
    </w:rPr>
  </w:style>
  <w:style w:type="paragraph" w:customStyle="1" w:styleId="ToolTableText">
    <w:name w:val="*ToolTableText"/>
    <w:qFormat/>
    <w:rsid w:val="00DB6B98"/>
    <w:pPr>
      <w:spacing w:before="40" w:after="120"/>
    </w:pPr>
    <w:rPr>
      <w:sz w:val="22"/>
      <w:szCs w:val="22"/>
    </w:rPr>
  </w:style>
  <w:style w:type="paragraph" w:customStyle="1" w:styleId="Normal1">
    <w:name w:val="Normal1"/>
    <w:uiPriority w:val="99"/>
    <w:rsid w:val="00E710AF"/>
    <w:pPr>
      <w:contextualSpacing/>
    </w:pPr>
    <w:rPr>
      <w:rFonts w:ascii="Cambria" w:eastAsia="Times New Roman" w:hAnsi="Cambria" w:cs="Cambria"/>
      <w:color w:val="000000"/>
      <w:sz w:val="24"/>
      <w:szCs w:val="24"/>
      <w:lang w:eastAsia="ja-JP"/>
    </w:rPr>
  </w:style>
  <w:style w:type="paragraph" w:customStyle="1" w:styleId="ExcerptAuthor">
    <w:name w:val="*ExcerptAuthor"/>
    <w:basedOn w:val="Normal"/>
    <w:qFormat/>
    <w:rsid w:val="00DB6B98"/>
    <w:pPr>
      <w:jc w:val="center"/>
    </w:pPr>
    <w:rPr>
      <w:rFonts w:asciiTheme="majorHAnsi" w:hAnsiTheme="majorHAnsi"/>
      <w:b/>
    </w:rPr>
  </w:style>
  <w:style w:type="paragraph" w:customStyle="1" w:styleId="ExcerptBody">
    <w:name w:val="*ExcerptBody"/>
    <w:basedOn w:val="Normal"/>
    <w:qFormat/>
    <w:rsid w:val="00DB6B98"/>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DB6B98"/>
    <w:pPr>
      <w:jc w:val="center"/>
    </w:pPr>
    <w:rPr>
      <w:rFonts w:asciiTheme="majorHAnsi" w:hAnsiTheme="majorHAnsi"/>
      <w:b/>
      <w:smallCap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697084">
      <w:marLeft w:val="0"/>
      <w:marRight w:val="0"/>
      <w:marTop w:val="0"/>
      <w:marBottom w:val="0"/>
      <w:divBdr>
        <w:top w:val="none" w:sz="0" w:space="0" w:color="auto"/>
        <w:left w:val="none" w:sz="0" w:space="0" w:color="auto"/>
        <w:bottom w:val="none" w:sz="0" w:space="0" w:color="auto"/>
        <w:right w:val="none" w:sz="0" w:space="0" w:color="auto"/>
      </w:divBdr>
      <w:divsChild>
        <w:div w:id="389697076">
          <w:marLeft w:val="0"/>
          <w:marRight w:val="0"/>
          <w:marTop w:val="0"/>
          <w:marBottom w:val="0"/>
          <w:divBdr>
            <w:top w:val="none" w:sz="0" w:space="0" w:color="auto"/>
            <w:left w:val="none" w:sz="0" w:space="0" w:color="auto"/>
            <w:bottom w:val="none" w:sz="0" w:space="0" w:color="auto"/>
            <w:right w:val="none" w:sz="0" w:space="0" w:color="auto"/>
          </w:divBdr>
        </w:div>
        <w:div w:id="389697077">
          <w:marLeft w:val="0"/>
          <w:marRight w:val="0"/>
          <w:marTop w:val="0"/>
          <w:marBottom w:val="0"/>
          <w:divBdr>
            <w:top w:val="none" w:sz="0" w:space="0" w:color="auto"/>
            <w:left w:val="none" w:sz="0" w:space="0" w:color="auto"/>
            <w:bottom w:val="none" w:sz="0" w:space="0" w:color="auto"/>
            <w:right w:val="none" w:sz="0" w:space="0" w:color="auto"/>
          </w:divBdr>
        </w:div>
        <w:div w:id="389697078">
          <w:marLeft w:val="0"/>
          <w:marRight w:val="0"/>
          <w:marTop w:val="0"/>
          <w:marBottom w:val="0"/>
          <w:divBdr>
            <w:top w:val="none" w:sz="0" w:space="0" w:color="auto"/>
            <w:left w:val="none" w:sz="0" w:space="0" w:color="auto"/>
            <w:bottom w:val="none" w:sz="0" w:space="0" w:color="auto"/>
            <w:right w:val="none" w:sz="0" w:space="0" w:color="auto"/>
          </w:divBdr>
        </w:div>
        <w:div w:id="389697079">
          <w:marLeft w:val="0"/>
          <w:marRight w:val="0"/>
          <w:marTop w:val="0"/>
          <w:marBottom w:val="0"/>
          <w:divBdr>
            <w:top w:val="none" w:sz="0" w:space="0" w:color="auto"/>
            <w:left w:val="none" w:sz="0" w:space="0" w:color="auto"/>
            <w:bottom w:val="none" w:sz="0" w:space="0" w:color="auto"/>
            <w:right w:val="none" w:sz="0" w:space="0" w:color="auto"/>
          </w:divBdr>
        </w:div>
        <w:div w:id="389697080">
          <w:marLeft w:val="0"/>
          <w:marRight w:val="0"/>
          <w:marTop w:val="0"/>
          <w:marBottom w:val="0"/>
          <w:divBdr>
            <w:top w:val="none" w:sz="0" w:space="0" w:color="auto"/>
            <w:left w:val="none" w:sz="0" w:space="0" w:color="auto"/>
            <w:bottom w:val="none" w:sz="0" w:space="0" w:color="auto"/>
            <w:right w:val="none" w:sz="0" w:space="0" w:color="auto"/>
          </w:divBdr>
        </w:div>
        <w:div w:id="389697081">
          <w:marLeft w:val="0"/>
          <w:marRight w:val="0"/>
          <w:marTop w:val="0"/>
          <w:marBottom w:val="0"/>
          <w:divBdr>
            <w:top w:val="none" w:sz="0" w:space="0" w:color="auto"/>
            <w:left w:val="none" w:sz="0" w:space="0" w:color="auto"/>
            <w:bottom w:val="none" w:sz="0" w:space="0" w:color="auto"/>
            <w:right w:val="none" w:sz="0" w:space="0" w:color="auto"/>
          </w:divBdr>
        </w:div>
        <w:div w:id="389697082">
          <w:marLeft w:val="0"/>
          <w:marRight w:val="0"/>
          <w:marTop w:val="0"/>
          <w:marBottom w:val="0"/>
          <w:divBdr>
            <w:top w:val="none" w:sz="0" w:space="0" w:color="auto"/>
            <w:left w:val="none" w:sz="0" w:space="0" w:color="auto"/>
            <w:bottom w:val="none" w:sz="0" w:space="0" w:color="auto"/>
            <w:right w:val="none" w:sz="0" w:space="0" w:color="auto"/>
          </w:divBdr>
        </w:div>
        <w:div w:id="389697083">
          <w:marLeft w:val="0"/>
          <w:marRight w:val="0"/>
          <w:marTop w:val="0"/>
          <w:marBottom w:val="0"/>
          <w:divBdr>
            <w:top w:val="none" w:sz="0" w:space="0" w:color="auto"/>
            <w:left w:val="none" w:sz="0" w:space="0" w:color="auto"/>
            <w:bottom w:val="none" w:sz="0" w:space="0" w:color="auto"/>
            <w:right w:val="none" w:sz="0" w:space="0" w:color="auto"/>
          </w:divBdr>
        </w:div>
        <w:div w:id="389697085">
          <w:marLeft w:val="0"/>
          <w:marRight w:val="0"/>
          <w:marTop w:val="0"/>
          <w:marBottom w:val="0"/>
          <w:divBdr>
            <w:top w:val="none" w:sz="0" w:space="0" w:color="auto"/>
            <w:left w:val="none" w:sz="0" w:space="0" w:color="auto"/>
            <w:bottom w:val="none" w:sz="0" w:space="0" w:color="auto"/>
            <w:right w:val="none" w:sz="0" w:space="0" w:color="auto"/>
          </w:divBdr>
        </w:div>
        <w:div w:id="389697086">
          <w:marLeft w:val="0"/>
          <w:marRight w:val="0"/>
          <w:marTop w:val="0"/>
          <w:marBottom w:val="0"/>
          <w:divBdr>
            <w:top w:val="none" w:sz="0" w:space="0" w:color="auto"/>
            <w:left w:val="none" w:sz="0" w:space="0" w:color="auto"/>
            <w:bottom w:val="none" w:sz="0" w:space="0" w:color="auto"/>
            <w:right w:val="none" w:sz="0" w:space="0" w:color="auto"/>
          </w:divBdr>
        </w:div>
        <w:div w:id="389697087">
          <w:marLeft w:val="0"/>
          <w:marRight w:val="0"/>
          <w:marTop w:val="0"/>
          <w:marBottom w:val="0"/>
          <w:divBdr>
            <w:top w:val="none" w:sz="0" w:space="0" w:color="auto"/>
            <w:left w:val="none" w:sz="0" w:space="0" w:color="auto"/>
            <w:bottom w:val="none" w:sz="0" w:space="0" w:color="auto"/>
            <w:right w:val="none" w:sz="0" w:space="0" w:color="auto"/>
          </w:divBdr>
        </w:div>
        <w:div w:id="389697089">
          <w:marLeft w:val="0"/>
          <w:marRight w:val="0"/>
          <w:marTop w:val="0"/>
          <w:marBottom w:val="0"/>
          <w:divBdr>
            <w:top w:val="none" w:sz="0" w:space="0" w:color="auto"/>
            <w:left w:val="none" w:sz="0" w:space="0" w:color="auto"/>
            <w:bottom w:val="none" w:sz="0" w:space="0" w:color="auto"/>
            <w:right w:val="none" w:sz="0" w:space="0" w:color="auto"/>
          </w:divBdr>
        </w:div>
        <w:div w:id="389697090">
          <w:marLeft w:val="0"/>
          <w:marRight w:val="0"/>
          <w:marTop w:val="0"/>
          <w:marBottom w:val="0"/>
          <w:divBdr>
            <w:top w:val="none" w:sz="0" w:space="0" w:color="auto"/>
            <w:left w:val="none" w:sz="0" w:space="0" w:color="auto"/>
            <w:bottom w:val="none" w:sz="0" w:space="0" w:color="auto"/>
            <w:right w:val="none" w:sz="0" w:space="0" w:color="auto"/>
          </w:divBdr>
        </w:div>
        <w:div w:id="389697091">
          <w:marLeft w:val="0"/>
          <w:marRight w:val="0"/>
          <w:marTop w:val="0"/>
          <w:marBottom w:val="0"/>
          <w:divBdr>
            <w:top w:val="none" w:sz="0" w:space="0" w:color="auto"/>
            <w:left w:val="none" w:sz="0" w:space="0" w:color="auto"/>
            <w:bottom w:val="none" w:sz="0" w:space="0" w:color="auto"/>
            <w:right w:val="none" w:sz="0" w:space="0" w:color="auto"/>
          </w:divBdr>
        </w:div>
        <w:div w:id="389697093">
          <w:marLeft w:val="0"/>
          <w:marRight w:val="0"/>
          <w:marTop w:val="0"/>
          <w:marBottom w:val="0"/>
          <w:divBdr>
            <w:top w:val="none" w:sz="0" w:space="0" w:color="auto"/>
            <w:left w:val="none" w:sz="0" w:space="0" w:color="auto"/>
            <w:bottom w:val="none" w:sz="0" w:space="0" w:color="auto"/>
            <w:right w:val="none" w:sz="0" w:space="0" w:color="auto"/>
          </w:divBdr>
        </w:div>
        <w:div w:id="389697094">
          <w:marLeft w:val="0"/>
          <w:marRight w:val="0"/>
          <w:marTop w:val="0"/>
          <w:marBottom w:val="0"/>
          <w:divBdr>
            <w:top w:val="none" w:sz="0" w:space="0" w:color="auto"/>
            <w:left w:val="none" w:sz="0" w:space="0" w:color="auto"/>
            <w:bottom w:val="none" w:sz="0" w:space="0" w:color="auto"/>
            <w:right w:val="none" w:sz="0" w:space="0" w:color="auto"/>
          </w:divBdr>
        </w:div>
        <w:div w:id="389697096">
          <w:marLeft w:val="0"/>
          <w:marRight w:val="0"/>
          <w:marTop w:val="0"/>
          <w:marBottom w:val="0"/>
          <w:divBdr>
            <w:top w:val="none" w:sz="0" w:space="0" w:color="auto"/>
            <w:left w:val="none" w:sz="0" w:space="0" w:color="auto"/>
            <w:bottom w:val="none" w:sz="0" w:space="0" w:color="auto"/>
            <w:right w:val="none" w:sz="0" w:space="0" w:color="auto"/>
          </w:divBdr>
        </w:div>
        <w:div w:id="389697097">
          <w:marLeft w:val="0"/>
          <w:marRight w:val="0"/>
          <w:marTop w:val="0"/>
          <w:marBottom w:val="0"/>
          <w:divBdr>
            <w:top w:val="none" w:sz="0" w:space="0" w:color="auto"/>
            <w:left w:val="none" w:sz="0" w:space="0" w:color="auto"/>
            <w:bottom w:val="none" w:sz="0" w:space="0" w:color="auto"/>
            <w:right w:val="none" w:sz="0" w:space="0" w:color="auto"/>
          </w:divBdr>
        </w:div>
        <w:div w:id="389697098">
          <w:marLeft w:val="0"/>
          <w:marRight w:val="0"/>
          <w:marTop w:val="0"/>
          <w:marBottom w:val="0"/>
          <w:divBdr>
            <w:top w:val="none" w:sz="0" w:space="0" w:color="auto"/>
            <w:left w:val="none" w:sz="0" w:space="0" w:color="auto"/>
            <w:bottom w:val="none" w:sz="0" w:space="0" w:color="auto"/>
            <w:right w:val="none" w:sz="0" w:space="0" w:color="auto"/>
          </w:divBdr>
        </w:div>
        <w:div w:id="389697099">
          <w:marLeft w:val="0"/>
          <w:marRight w:val="0"/>
          <w:marTop w:val="0"/>
          <w:marBottom w:val="0"/>
          <w:divBdr>
            <w:top w:val="none" w:sz="0" w:space="0" w:color="auto"/>
            <w:left w:val="none" w:sz="0" w:space="0" w:color="auto"/>
            <w:bottom w:val="none" w:sz="0" w:space="0" w:color="auto"/>
            <w:right w:val="none" w:sz="0" w:space="0" w:color="auto"/>
          </w:divBdr>
        </w:div>
        <w:div w:id="389697100">
          <w:marLeft w:val="0"/>
          <w:marRight w:val="0"/>
          <w:marTop w:val="0"/>
          <w:marBottom w:val="0"/>
          <w:divBdr>
            <w:top w:val="none" w:sz="0" w:space="0" w:color="auto"/>
            <w:left w:val="none" w:sz="0" w:space="0" w:color="auto"/>
            <w:bottom w:val="none" w:sz="0" w:space="0" w:color="auto"/>
            <w:right w:val="none" w:sz="0" w:space="0" w:color="auto"/>
          </w:divBdr>
        </w:div>
        <w:div w:id="389697101">
          <w:marLeft w:val="0"/>
          <w:marRight w:val="0"/>
          <w:marTop w:val="0"/>
          <w:marBottom w:val="0"/>
          <w:divBdr>
            <w:top w:val="none" w:sz="0" w:space="0" w:color="auto"/>
            <w:left w:val="none" w:sz="0" w:space="0" w:color="auto"/>
            <w:bottom w:val="none" w:sz="0" w:space="0" w:color="auto"/>
            <w:right w:val="none" w:sz="0" w:space="0" w:color="auto"/>
          </w:divBdr>
        </w:div>
        <w:div w:id="389697102">
          <w:marLeft w:val="0"/>
          <w:marRight w:val="0"/>
          <w:marTop w:val="0"/>
          <w:marBottom w:val="0"/>
          <w:divBdr>
            <w:top w:val="none" w:sz="0" w:space="0" w:color="auto"/>
            <w:left w:val="none" w:sz="0" w:space="0" w:color="auto"/>
            <w:bottom w:val="none" w:sz="0" w:space="0" w:color="auto"/>
            <w:right w:val="none" w:sz="0" w:space="0" w:color="auto"/>
          </w:divBdr>
        </w:div>
        <w:div w:id="389697103">
          <w:marLeft w:val="0"/>
          <w:marRight w:val="0"/>
          <w:marTop w:val="0"/>
          <w:marBottom w:val="0"/>
          <w:divBdr>
            <w:top w:val="none" w:sz="0" w:space="0" w:color="auto"/>
            <w:left w:val="none" w:sz="0" w:space="0" w:color="auto"/>
            <w:bottom w:val="none" w:sz="0" w:space="0" w:color="auto"/>
            <w:right w:val="none" w:sz="0" w:space="0" w:color="auto"/>
          </w:divBdr>
        </w:div>
        <w:div w:id="389697104">
          <w:marLeft w:val="0"/>
          <w:marRight w:val="0"/>
          <w:marTop w:val="0"/>
          <w:marBottom w:val="0"/>
          <w:divBdr>
            <w:top w:val="none" w:sz="0" w:space="0" w:color="auto"/>
            <w:left w:val="none" w:sz="0" w:space="0" w:color="auto"/>
            <w:bottom w:val="none" w:sz="0" w:space="0" w:color="auto"/>
            <w:right w:val="none" w:sz="0" w:space="0" w:color="auto"/>
          </w:divBdr>
        </w:div>
        <w:div w:id="389697105">
          <w:marLeft w:val="0"/>
          <w:marRight w:val="0"/>
          <w:marTop w:val="0"/>
          <w:marBottom w:val="0"/>
          <w:divBdr>
            <w:top w:val="none" w:sz="0" w:space="0" w:color="auto"/>
            <w:left w:val="none" w:sz="0" w:space="0" w:color="auto"/>
            <w:bottom w:val="none" w:sz="0" w:space="0" w:color="auto"/>
            <w:right w:val="none" w:sz="0" w:space="0" w:color="auto"/>
          </w:divBdr>
        </w:div>
        <w:div w:id="389697106">
          <w:marLeft w:val="0"/>
          <w:marRight w:val="0"/>
          <w:marTop w:val="0"/>
          <w:marBottom w:val="0"/>
          <w:divBdr>
            <w:top w:val="none" w:sz="0" w:space="0" w:color="auto"/>
            <w:left w:val="none" w:sz="0" w:space="0" w:color="auto"/>
            <w:bottom w:val="none" w:sz="0" w:space="0" w:color="auto"/>
            <w:right w:val="none" w:sz="0" w:space="0" w:color="auto"/>
          </w:divBdr>
        </w:div>
        <w:div w:id="389697107">
          <w:marLeft w:val="0"/>
          <w:marRight w:val="0"/>
          <w:marTop w:val="0"/>
          <w:marBottom w:val="0"/>
          <w:divBdr>
            <w:top w:val="none" w:sz="0" w:space="0" w:color="auto"/>
            <w:left w:val="none" w:sz="0" w:space="0" w:color="auto"/>
            <w:bottom w:val="none" w:sz="0" w:space="0" w:color="auto"/>
            <w:right w:val="none" w:sz="0" w:space="0" w:color="auto"/>
          </w:divBdr>
        </w:div>
        <w:div w:id="389697109">
          <w:marLeft w:val="0"/>
          <w:marRight w:val="0"/>
          <w:marTop w:val="0"/>
          <w:marBottom w:val="0"/>
          <w:divBdr>
            <w:top w:val="none" w:sz="0" w:space="0" w:color="auto"/>
            <w:left w:val="none" w:sz="0" w:space="0" w:color="auto"/>
            <w:bottom w:val="none" w:sz="0" w:space="0" w:color="auto"/>
            <w:right w:val="none" w:sz="0" w:space="0" w:color="auto"/>
          </w:divBdr>
        </w:div>
        <w:div w:id="389697111">
          <w:marLeft w:val="0"/>
          <w:marRight w:val="0"/>
          <w:marTop w:val="0"/>
          <w:marBottom w:val="0"/>
          <w:divBdr>
            <w:top w:val="none" w:sz="0" w:space="0" w:color="auto"/>
            <w:left w:val="none" w:sz="0" w:space="0" w:color="auto"/>
            <w:bottom w:val="none" w:sz="0" w:space="0" w:color="auto"/>
            <w:right w:val="none" w:sz="0" w:space="0" w:color="auto"/>
          </w:divBdr>
        </w:div>
      </w:divsChild>
    </w:div>
    <w:div w:id="389697092">
      <w:marLeft w:val="0"/>
      <w:marRight w:val="0"/>
      <w:marTop w:val="0"/>
      <w:marBottom w:val="0"/>
      <w:divBdr>
        <w:top w:val="none" w:sz="0" w:space="0" w:color="auto"/>
        <w:left w:val="none" w:sz="0" w:space="0" w:color="auto"/>
        <w:bottom w:val="none" w:sz="0" w:space="0" w:color="auto"/>
        <w:right w:val="none" w:sz="0" w:space="0" w:color="auto"/>
      </w:divBdr>
      <w:divsChild>
        <w:div w:id="389697095">
          <w:marLeft w:val="0"/>
          <w:marRight w:val="0"/>
          <w:marTop w:val="0"/>
          <w:marBottom w:val="0"/>
          <w:divBdr>
            <w:top w:val="none" w:sz="0" w:space="0" w:color="auto"/>
            <w:left w:val="none" w:sz="0" w:space="0" w:color="auto"/>
            <w:bottom w:val="none" w:sz="0" w:space="0" w:color="auto"/>
            <w:right w:val="none" w:sz="0" w:space="0" w:color="auto"/>
          </w:divBdr>
        </w:div>
      </w:divsChild>
    </w:div>
    <w:div w:id="389697108">
      <w:marLeft w:val="0"/>
      <w:marRight w:val="0"/>
      <w:marTop w:val="0"/>
      <w:marBottom w:val="0"/>
      <w:divBdr>
        <w:top w:val="none" w:sz="0" w:space="0" w:color="auto"/>
        <w:left w:val="none" w:sz="0" w:space="0" w:color="auto"/>
        <w:bottom w:val="none" w:sz="0" w:space="0" w:color="auto"/>
        <w:right w:val="none" w:sz="0" w:space="0" w:color="auto"/>
      </w:divBdr>
      <w:divsChild>
        <w:div w:id="389697110">
          <w:marLeft w:val="720"/>
          <w:marRight w:val="720"/>
          <w:marTop w:val="100"/>
          <w:marBottom w:val="100"/>
          <w:divBdr>
            <w:top w:val="none" w:sz="0" w:space="0" w:color="auto"/>
            <w:left w:val="none" w:sz="0" w:space="0" w:color="auto"/>
            <w:bottom w:val="none" w:sz="0" w:space="0" w:color="auto"/>
            <w:right w:val="none" w:sz="0" w:space="0" w:color="auto"/>
          </w:divBdr>
          <w:divsChild>
            <w:div w:id="3896970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2B5805-7645-4DD0-A581-E7C4E2D42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2321</Words>
  <Characters>12515</Characters>
  <Application>Microsoft Office Word</Application>
  <DocSecurity>0</DocSecurity>
  <Lines>347</Lines>
  <Paragraphs>192</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14644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PCG Education</dc:creator>
  <cp:lastModifiedBy>Kelley, Nora</cp:lastModifiedBy>
  <cp:revision>3</cp:revision>
  <cp:lastPrinted>2014-02-06T18:00:00Z</cp:lastPrinted>
  <dcterms:created xsi:type="dcterms:W3CDTF">2014-02-08T01:01:00Z</dcterms:created>
  <dcterms:modified xsi:type="dcterms:W3CDTF">2014-02-08T01:14:00Z</dcterms:modified>
</cp:coreProperties>
</file>