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60" w:type="dxa"/>
        <w:tblBorders>
          <w:insideH w:val="single" w:sz="18" w:space="0" w:color="FFFFFF"/>
          <w:insideV w:val="single" w:sz="18" w:space="0" w:color="FFFFFF"/>
        </w:tblBorders>
        <w:tblLook w:val="00A0" w:firstRow="1" w:lastRow="0" w:firstColumn="1" w:lastColumn="0" w:noHBand="0" w:noVBand="0"/>
      </w:tblPr>
      <w:tblGrid>
        <w:gridCol w:w="2088"/>
        <w:gridCol w:w="7372"/>
      </w:tblGrid>
      <w:tr w:rsidR="00AC5E54" w:rsidRPr="00DB34C3" w:rsidTr="00B569BE">
        <w:trPr>
          <w:trHeight w:val="1008"/>
        </w:trPr>
        <w:tc>
          <w:tcPr>
            <w:tcW w:w="2088" w:type="dxa"/>
            <w:shd w:val="clear" w:color="auto" w:fill="385623"/>
            <w:vAlign w:val="center"/>
          </w:tcPr>
          <w:p w:rsidR="00AC5E54" w:rsidRPr="00DB34C3" w:rsidRDefault="00AC5E54" w:rsidP="00B231AA">
            <w:pPr>
              <w:pStyle w:val="Header-banner"/>
              <w:rPr>
                <w:rFonts w:ascii="Calibri" w:hAnsi="Calibri"/>
              </w:rPr>
            </w:pPr>
            <w:r>
              <w:rPr>
                <w:rFonts w:ascii="Calibri" w:hAnsi="Calibri"/>
              </w:rPr>
              <w:t>11.1</w:t>
            </w:r>
            <w:r w:rsidRPr="00DB34C3">
              <w:rPr>
                <w:rFonts w:ascii="Calibri" w:hAnsi="Calibri"/>
              </w:rPr>
              <w:t>.</w:t>
            </w:r>
            <w:r>
              <w:rPr>
                <w:rFonts w:ascii="Calibri" w:hAnsi="Calibri"/>
              </w:rPr>
              <w:t>2</w:t>
            </w:r>
          </w:p>
        </w:tc>
        <w:tc>
          <w:tcPr>
            <w:tcW w:w="7372" w:type="dxa"/>
            <w:shd w:val="clear" w:color="auto" w:fill="76923C"/>
            <w:vAlign w:val="center"/>
          </w:tcPr>
          <w:p w:rsidR="00AC5E54" w:rsidRPr="00DB34C3" w:rsidRDefault="00AC5E54" w:rsidP="00C3402F">
            <w:pPr>
              <w:pStyle w:val="Header2banner"/>
              <w:spacing w:line="240" w:lineRule="auto"/>
              <w:rPr>
                <w:rFonts w:ascii="Calibri" w:hAnsi="Calibri"/>
              </w:rPr>
            </w:pPr>
            <w:r w:rsidRPr="00DB34C3">
              <w:rPr>
                <w:rFonts w:ascii="Calibri" w:hAnsi="Calibri"/>
              </w:rPr>
              <w:t xml:space="preserve">Lesson </w:t>
            </w:r>
            <w:r>
              <w:rPr>
                <w:rFonts w:ascii="Calibri" w:hAnsi="Calibri"/>
              </w:rPr>
              <w:t>3</w:t>
            </w:r>
          </w:p>
        </w:tc>
      </w:tr>
    </w:tbl>
    <w:p w:rsidR="00AC5E54" w:rsidRDefault="00AC5E54" w:rsidP="00E946A0">
      <w:pPr>
        <w:pStyle w:val="Heading1"/>
      </w:pPr>
      <w:r w:rsidRPr="00263AF5">
        <w:t>Introduction</w:t>
      </w:r>
    </w:p>
    <w:p w:rsidR="00AC5E54" w:rsidRDefault="00AC5E54" w:rsidP="00EC75E2">
      <w:r>
        <w:t>In this lesson, students read the end of Claudius’s monologu</w:t>
      </w:r>
      <w:bookmarkStart w:id="0" w:name="_GoBack"/>
      <w:bookmarkEnd w:id="0"/>
      <w:r>
        <w:t>e to Hamlet, in which he instructs Hamlet to “throw to earth” his grief and to remain at the court of Denmark rather than return to his studies in Wittenberg (Act 1.2, lines 110–121 from “We pray you, throw to earth</w:t>
      </w:r>
      <w:r w:rsidR="00B34065">
        <w:t xml:space="preserve"> / This unprevailing woe</w:t>
      </w:r>
      <w:r>
        <w:t>” to “Our chiefest courtier, cousin, and our son”). Having previously focused on the development of Hamlet’s character, students now shift their focus to the development of Claudius in this monologue. After reading the new addressed standard SL.11</w:t>
      </w:r>
      <w:r w:rsidR="00EC75E2">
        <w:t>-12.a, c, students listen to a Masterful R</w:t>
      </w:r>
      <w:r>
        <w:t>eading of an excerpt of Claudius’s monologue and engage in small-group discussion focused on the development of Claudius. After this discussion, they work in pairs to combine their notes and evidence on the ch</w:t>
      </w:r>
      <w:r w:rsidR="0060160F">
        <w:t>aracters of Claudius and Hamlet</w:t>
      </w:r>
      <w:r>
        <w:t xml:space="preserve">. </w:t>
      </w:r>
    </w:p>
    <w:p w:rsidR="00AC5E54" w:rsidRPr="006E7D3C" w:rsidRDefault="00AC5E54" w:rsidP="009F724A">
      <w:r>
        <w:t>Student learning in this lesson will be assessed through a Quick Write on Shakespeare’s development of Claudius’s character in the monologue. For homework, students continue with their AIR through the lens of focus standard RL.11-12.2</w:t>
      </w:r>
      <w:r w:rsidR="008818A5">
        <w:t xml:space="preserve"> or RI.11-12.2</w:t>
      </w:r>
      <w:r>
        <w:t xml:space="preserve"> and consider in writing how this section of the monologue develops their views of Hamlet. </w:t>
      </w:r>
    </w:p>
    <w:p w:rsidR="00AC5E54" w:rsidRDefault="00AC5E54" w:rsidP="00E946A0">
      <w:pPr>
        <w:pStyle w:val="Heading1"/>
      </w:pPr>
      <w:r>
        <w:t xml:space="preserve">Standards </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442"/>
        <w:gridCol w:w="7910"/>
      </w:tblGrid>
      <w:tr w:rsidR="00AC5E54" w:rsidRPr="002E4C92" w:rsidTr="00B569BE">
        <w:tc>
          <w:tcPr>
            <w:tcW w:w="9352" w:type="dxa"/>
            <w:gridSpan w:val="2"/>
            <w:shd w:val="clear" w:color="auto" w:fill="76923C"/>
          </w:tcPr>
          <w:p w:rsidR="00AC5E54" w:rsidRPr="00C213B5" w:rsidRDefault="00AC5E54" w:rsidP="00B00346">
            <w:pPr>
              <w:pStyle w:val="TableHeaders"/>
            </w:pPr>
            <w:r w:rsidRPr="00C213B5">
              <w:t>Assessed Standard(s)</w:t>
            </w:r>
          </w:p>
        </w:tc>
      </w:tr>
      <w:tr w:rsidR="00AC5E54" w:rsidRPr="0053542D" w:rsidTr="00B569BE">
        <w:tc>
          <w:tcPr>
            <w:tcW w:w="1442" w:type="dxa"/>
          </w:tcPr>
          <w:p w:rsidR="00AC5E54" w:rsidRPr="009F724A" w:rsidRDefault="00AC5E54" w:rsidP="009F724A">
            <w:pPr>
              <w:pStyle w:val="TableText"/>
            </w:pPr>
            <w:r w:rsidRPr="009F724A">
              <w:t>RL.11-12.3</w:t>
            </w:r>
          </w:p>
        </w:tc>
        <w:tc>
          <w:tcPr>
            <w:tcW w:w="7910" w:type="dxa"/>
          </w:tcPr>
          <w:p w:rsidR="00AC5E54" w:rsidRPr="009F724A" w:rsidRDefault="00AC5E54" w:rsidP="009F724A">
            <w:pPr>
              <w:pStyle w:val="TableText"/>
            </w:pPr>
            <w:r w:rsidRPr="009F724A">
              <w:t>Analyze the impact of the author’s choices regarding how to develop and relate elements of a story or drama (e.g., where a story is set, how the action is ordered, how the characters are introduced and developed).</w:t>
            </w:r>
          </w:p>
        </w:tc>
      </w:tr>
      <w:tr w:rsidR="00AC5E54" w:rsidRPr="00CF2582" w:rsidTr="00B569BE">
        <w:tc>
          <w:tcPr>
            <w:tcW w:w="9352" w:type="dxa"/>
            <w:gridSpan w:val="2"/>
            <w:shd w:val="clear" w:color="auto" w:fill="76923C"/>
          </w:tcPr>
          <w:p w:rsidR="00AC5E54" w:rsidRPr="00C213B5" w:rsidRDefault="00AC5E54" w:rsidP="00B00346">
            <w:pPr>
              <w:pStyle w:val="TableHeaders"/>
            </w:pPr>
            <w:r w:rsidRPr="00C213B5">
              <w:t>Addressed Standard(s)</w:t>
            </w:r>
          </w:p>
        </w:tc>
      </w:tr>
      <w:tr w:rsidR="00AC5E54" w:rsidRPr="0053542D" w:rsidTr="00B569BE">
        <w:tc>
          <w:tcPr>
            <w:tcW w:w="1442" w:type="dxa"/>
          </w:tcPr>
          <w:p w:rsidR="00AC5E54" w:rsidRPr="004514E1" w:rsidRDefault="00AC5E54" w:rsidP="009F724A">
            <w:pPr>
              <w:pStyle w:val="TableText"/>
              <w:rPr>
                <w:rFonts w:ascii="Times" w:hAnsi="Times"/>
                <w:sz w:val="20"/>
                <w:szCs w:val="20"/>
              </w:rPr>
            </w:pPr>
            <w:r w:rsidRPr="004514E1">
              <w:t>SL.11-12.1.a, c</w:t>
            </w:r>
          </w:p>
        </w:tc>
        <w:tc>
          <w:tcPr>
            <w:tcW w:w="7910" w:type="dxa"/>
          </w:tcPr>
          <w:p w:rsidR="00AC5E54" w:rsidRDefault="00AC5E54" w:rsidP="009F724A">
            <w:pPr>
              <w:pStyle w:val="TableText"/>
            </w:pPr>
            <w:r>
              <w:t xml:space="preserve">Initiate and participate effectively in a range of collaborative discussions (one-on-one, in groups, and teacher-led) with diverse partners on </w:t>
            </w:r>
            <w:r>
              <w:rPr>
                <w:i/>
              </w:rPr>
              <w:t>grades 11–12 topics, texts, and issues</w:t>
            </w:r>
            <w:r>
              <w:t xml:space="preserve">, building on others’ ideas and expressing their own clearly and persuasively. </w:t>
            </w:r>
          </w:p>
          <w:p w:rsidR="00AC5E54" w:rsidRPr="009D3D8A" w:rsidRDefault="00AC5E54" w:rsidP="00732189">
            <w:pPr>
              <w:pStyle w:val="TableText"/>
              <w:numPr>
                <w:ilvl w:val="0"/>
                <w:numId w:val="9"/>
              </w:numPr>
              <w:ind w:left="360"/>
            </w:pPr>
            <w:r w:rsidRPr="009D3D8A">
              <w:t xml:space="preserve">Come to discussions prepared, having read and researched material under study; explicitly draw on that preparation by referring to evidence from texts and other research on the topic or issue to stimulate a thoughtful, well-reasoned exchange of ideas. </w:t>
            </w:r>
          </w:p>
          <w:p w:rsidR="00AC5E54" w:rsidRDefault="00AC5E54" w:rsidP="00732189">
            <w:pPr>
              <w:pStyle w:val="TableText"/>
              <w:numPr>
                <w:ilvl w:val="0"/>
                <w:numId w:val="10"/>
              </w:numPr>
              <w:ind w:left="360"/>
              <w:rPr>
                <w:rFonts w:ascii="Cambria" w:eastAsia="MS ????" w:hAnsi="Cambria"/>
                <w:i/>
                <w:iCs/>
                <w:color w:val="404040"/>
                <w:sz w:val="20"/>
                <w:szCs w:val="20"/>
              </w:rPr>
            </w:pPr>
            <w:r w:rsidRPr="009D3D8A">
              <w:t xml:space="preserve">Propel conversations by posing and responding to questions that probe reasoning and evidence; ensure a hearing for a full range of positions on a topic or issue; </w:t>
            </w:r>
            <w:r w:rsidRPr="009D3D8A">
              <w:lastRenderedPageBreak/>
              <w:t>clarify, verify</w:t>
            </w:r>
            <w:r>
              <w:t>,</w:t>
            </w:r>
            <w:r w:rsidRPr="009D3D8A">
              <w:t xml:space="preserve"> or challenge ideas and conclusions; and promote divergent and creative perspectives.</w:t>
            </w:r>
            <w:r>
              <w:t xml:space="preserve"> </w:t>
            </w:r>
          </w:p>
        </w:tc>
      </w:tr>
    </w:tbl>
    <w:p w:rsidR="00AC5E54" w:rsidRDefault="00AC5E54" w:rsidP="00E946A0">
      <w:pPr>
        <w:pStyle w:val="Heading1"/>
      </w:pPr>
      <w:r>
        <w:lastRenderedPageBreak/>
        <w:t>Assessment</w:t>
      </w:r>
    </w:p>
    <w:tbl>
      <w:tblPr>
        <w:tblW w:w="94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0"/>
      </w:tblGrid>
      <w:tr w:rsidR="00AC5E54" w:rsidRPr="002E4C92" w:rsidTr="00B569BE">
        <w:tc>
          <w:tcPr>
            <w:tcW w:w="9460" w:type="dxa"/>
            <w:shd w:val="clear" w:color="auto" w:fill="76923C"/>
          </w:tcPr>
          <w:p w:rsidR="00AC5E54" w:rsidRPr="00C213B5" w:rsidRDefault="00AC5E54" w:rsidP="00B00346">
            <w:pPr>
              <w:pStyle w:val="TableHeaders"/>
            </w:pPr>
            <w:r w:rsidRPr="00C213B5">
              <w:t>Assessment(s)</w:t>
            </w:r>
          </w:p>
        </w:tc>
      </w:tr>
      <w:tr w:rsidR="00AC5E54" w:rsidTr="00B569BE">
        <w:tc>
          <w:tcPr>
            <w:tcW w:w="9460" w:type="dxa"/>
          </w:tcPr>
          <w:p w:rsidR="00AC5E54" w:rsidRDefault="00211727" w:rsidP="00EC75E2">
            <w:pPr>
              <w:pStyle w:val="TableText"/>
            </w:pPr>
            <w:r w:rsidRPr="00211727">
              <w:t>Student learning will be assessed via a Quick Write at the end of the lesson. Students answer the following prompt, citing textual evidence to support analysis and inferences drawn from the text.</w:t>
            </w:r>
          </w:p>
          <w:p w:rsidR="008E5EF5" w:rsidRPr="00634373" w:rsidRDefault="00AC5E54" w:rsidP="00634373">
            <w:pPr>
              <w:pStyle w:val="BulletedList"/>
              <w:rPr>
                <w:rFonts w:ascii="Times New Roman" w:eastAsia="Times New Roman" w:hAnsi="Times New Roman" w:cstheme="majorBidi"/>
                <w:i/>
                <w:iCs/>
                <w:color w:val="243F60" w:themeColor="accent1" w:themeShade="7F"/>
              </w:rPr>
            </w:pPr>
            <w:r w:rsidRPr="009F724A">
              <w:t>How does Shakespeare develop the character of Claudius in lines 110–121?</w:t>
            </w:r>
          </w:p>
        </w:tc>
      </w:tr>
      <w:tr w:rsidR="00AC5E54" w:rsidRPr="00B00346" w:rsidTr="00B569BE">
        <w:tc>
          <w:tcPr>
            <w:tcW w:w="9460" w:type="dxa"/>
            <w:shd w:val="clear" w:color="auto" w:fill="76923C"/>
          </w:tcPr>
          <w:p w:rsidR="00AC5E54" w:rsidRPr="00C213B5" w:rsidRDefault="00AC5E54" w:rsidP="00B00346">
            <w:pPr>
              <w:pStyle w:val="TableHeaders"/>
            </w:pPr>
            <w:r w:rsidRPr="00C213B5">
              <w:t>High Performance Response(s)</w:t>
            </w:r>
          </w:p>
        </w:tc>
      </w:tr>
      <w:tr w:rsidR="00AC5E54" w:rsidTr="00B569BE">
        <w:tc>
          <w:tcPr>
            <w:tcW w:w="9460" w:type="dxa"/>
          </w:tcPr>
          <w:p w:rsidR="00AC5E54" w:rsidRPr="00871EAB" w:rsidRDefault="00AC5E54" w:rsidP="00EC75E2">
            <w:pPr>
              <w:pStyle w:val="TableText"/>
            </w:pPr>
            <w:r w:rsidRPr="00871EAB">
              <w:t xml:space="preserve">A </w:t>
            </w:r>
            <w:r w:rsidR="0068529C">
              <w:t>H</w:t>
            </w:r>
            <w:r w:rsidRPr="00871EAB">
              <w:t xml:space="preserve">igh </w:t>
            </w:r>
            <w:r w:rsidR="0068529C">
              <w:t>P</w:t>
            </w:r>
            <w:r w:rsidRPr="00871EAB">
              <w:t xml:space="preserve">erformance </w:t>
            </w:r>
            <w:r w:rsidR="0068529C">
              <w:t>R</w:t>
            </w:r>
            <w:r w:rsidRPr="00871EAB">
              <w:t>esponse should:</w:t>
            </w:r>
          </w:p>
          <w:p w:rsidR="00AC5E54" w:rsidRPr="00871EAB" w:rsidRDefault="00AC5E54" w:rsidP="009F724A">
            <w:pPr>
              <w:pStyle w:val="BulletedList"/>
            </w:pPr>
            <w:r w:rsidRPr="00871EAB">
              <w:t>Identify an important aspect of Claudius’s character such as benevolence, arrogance</w:t>
            </w:r>
            <w:r w:rsidR="00710CB9">
              <w:t xml:space="preserve">, </w:t>
            </w:r>
            <w:r w:rsidR="00067B7B">
              <w:t>manipulation</w:t>
            </w:r>
            <w:r w:rsidR="000D04C5">
              <w:t>,</w:t>
            </w:r>
            <w:r w:rsidRPr="00871EAB">
              <w:t xml:space="preserve"> or his authoritative nature.</w:t>
            </w:r>
          </w:p>
          <w:p w:rsidR="00AC5E54" w:rsidRPr="00871EAB" w:rsidRDefault="00AC5E54" w:rsidP="00067B7B">
            <w:pPr>
              <w:pStyle w:val="BulletedList"/>
              <w:rPr>
                <w:rFonts w:ascii="Cambria" w:hAnsi="Cambria"/>
              </w:rPr>
            </w:pPr>
            <w:r w:rsidRPr="00871EAB">
              <w:t>Demonstrate how Shakespeare develops this aspect in lines 110</w:t>
            </w:r>
            <w:r w:rsidR="00067B7B">
              <w:t>–</w:t>
            </w:r>
            <w:r w:rsidRPr="00871EAB">
              <w:t>121.</w:t>
            </w:r>
          </w:p>
        </w:tc>
      </w:tr>
    </w:tbl>
    <w:p w:rsidR="00AC5E54" w:rsidRDefault="00AC5E54" w:rsidP="009D6965">
      <w:pPr>
        <w:pStyle w:val="Heading1"/>
        <w:spacing w:before="360"/>
      </w:pPr>
      <w:r>
        <w:t>Vocabulary</w:t>
      </w:r>
    </w:p>
    <w:tbl>
      <w:tblPr>
        <w:tblW w:w="93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7"/>
      </w:tblGrid>
      <w:tr w:rsidR="00AC5E54" w:rsidRPr="00B00346" w:rsidTr="00B569BE">
        <w:tc>
          <w:tcPr>
            <w:tcW w:w="9347" w:type="dxa"/>
            <w:shd w:val="clear" w:color="auto" w:fill="76923C"/>
          </w:tcPr>
          <w:p w:rsidR="00AC5E54" w:rsidRPr="00C213B5" w:rsidRDefault="00AC5E54" w:rsidP="00B00346">
            <w:pPr>
              <w:pStyle w:val="TableHeaders"/>
            </w:pPr>
            <w:r w:rsidRPr="00C213B5">
              <w:t>Vocabulary to provide directly (will not include extended instruction)</w:t>
            </w:r>
          </w:p>
        </w:tc>
      </w:tr>
      <w:tr w:rsidR="00AC5E54" w:rsidTr="00B569BE">
        <w:tc>
          <w:tcPr>
            <w:tcW w:w="9347" w:type="dxa"/>
          </w:tcPr>
          <w:p w:rsidR="00AC5E54" w:rsidRDefault="00AC5E54" w:rsidP="00C03D4A">
            <w:pPr>
              <w:pStyle w:val="BulletedList"/>
            </w:pPr>
            <w:r>
              <w:t>unprevailing (adj</w:t>
            </w:r>
            <w:r w:rsidRPr="000B2D56">
              <w:t xml:space="preserve">.) – </w:t>
            </w:r>
            <w:r w:rsidR="00DD438E">
              <w:t>futile, useless</w:t>
            </w:r>
          </w:p>
          <w:p w:rsidR="00AC5E54" w:rsidRPr="00B231AA" w:rsidRDefault="00AC5E54" w:rsidP="00C25BDA">
            <w:pPr>
              <w:pStyle w:val="BulletedList"/>
            </w:pPr>
            <w:r>
              <w:t>retrograde (adj.) – (in this context) opposite</w:t>
            </w:r>
            <w:r w:rsidR="00C25BDA">
              <w:t>, contrary</w:t>
            </w:r>
          </w:p>
        </w:tc>
      </w:tr>
      <w:tr w:rsidR="00AC5E54" w:rsidRPr="00F308FF" w:rsidTr="00B569BE">
        <w:tc>
          <w:tcPr>
            <w:tcW w:w="9347" w:type="dxa"/>
            <w:shd w:val="clear" w:color="auto" w:fill="76923C"/>
          </w:tcPr>
          <w:p w:rsidR="00AC5E54" w:rsidRPr="00C213B5" w:rsidRDefault="00AC5E54" w:rsidP="009F724A">
            <w:pPr>
              <w:pStyle w:val="TableHeaders"/>
            </w:pPr>
            <w:r w:rsidRPr="00C213B5">
              <w:t>Vocabulary to teach (may include direct word work and/or questions)</w:t>
            </w:r>
          </w:p>
        </w:tc>
      </w:tr>
      <w:tr w:rsidR="00AC5E54" w:rsidTr="00B569BE">
        <w:tc>
          <w:tcPr>
            <w:tcW w:w="9347" w:type="dxa"/>
          </w:tcPr>
          <w:p w:rsidR="00AC5E54" w:rsidRDefault="00AC5E54" w:rsidP="00DD383B">
            <w:pPr>
              <w:pStyle w:val="BulletedList"/>
            </w:pPr>
            <w:r>
              <w:t xml:space="preserve">immediate (adj.) – </w:t>
            </w:r>
            <w:r w:rsidR="00DD438E" w:rsidRPr="00DD438E">
              <w:rPr>
                <w:rFonts w:asciiTheme="minorHAnsi" w:hAnsiTheme="minorHAnsi" w:cs="Verdana"/>
                <w:color w:val="262626"/>
              </w:rPr>
              <w:t>following or preceding without a lapse of</w:t>
            </w:r>
            <w:r w:rsidR="00DD438E">
              <w:rPr>
                <w:rFonts w:asciiTheme="minorHAnsi" w:hAnsiTheme="minorHAnsi" w:cs="Verdana"/>
                <w:color w:val="262626"/>
              </w:rPr>
              <w:t xml:space="preserve"> time</w:t>
            </w:r>
          </w:p>
          <w:p w:rsidR="00AC5E54" w:rsidRPr="00772AE0" w:rsidRDefault="00AC5E54" w:rsidP="00C03D4A">
            <w:pPr>
              <w:pStyle w:val="BulletedList"/>
            </w:pPr>
            <w:r>
              <w:t xml:space="preserve">chiefest (adj.) – </w:t>
            </w:r>
            <w:r w:rsidR="00772AE0" w:rsidRPr="00772AE0">
              <w:t>highest in rank or authority; most important; principal</w:t>
            </w:r>
          </w:p>
          <w:p w:rsidR="00AC5E54" w:rsidRPr="00B231AA" w:rsidRDefault="00AC5E54" w:rsidP="00DD438E">
            <w:pPr>
              <w:pStyle w:val="BulletedList"/>
            </w:pPr>
            <w:r>
              <w:t xml:space="preserve">courtier (n.) – </w:t>
            </w:r>
            <w:r w:rsidR="00DD438E">
              <w:t>a person who is often in attendance at the court of a king or other royal personage</w:t>
            </w:r>
          </w:p>
        </w:tc>
      </w:tr>
    </w:tbl>
    <w:p w:rsidR="00AC5E54" w:rsidRDefault="00AC5E54" w:rsidP="009D6965">
      <w:pPr>
        <w:pStyle w:val="Heading1"/>
        <w:spacing w:before="360"/>
      </w:pPr>
      <w:r>
        <w:t>Lesson Agenda/Overview</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40"/>
        <w:gridCol w:w="1615"/>
      </w:tblGrid>
      <w:tr w:rsidR="00AC5E54" w:rsidRPr="00C02EC2" w:rsidTr="00B569BE">
        <w:tc>
          <w:tcPr>
            <w:tcW w:w="7740" w:type="dxa"/>
            <w:shd w:val="clear" w:color="auto" w:fill="76923C"/>
          </w:tcPr>
          <w:p w:rsidR="00AC5E54" w:rsidRPr="00C213B5" w:rsidRDefault="00AC5E54" w:rsidP="00B00346">
            <w:pPr>
              <w:pStyle w:val="TableHeaders"/>
            </w:pPr>
            <w:r w:rsidRPr="00C213B5">
              <w:t>Student-Facing Agenda</w:t>
            </w:r>
          </w:p>
        </w:tc>
        <w:tc>
          <w:tcPr>
            <w:tcW w:w="1615" w:type="dxa"/>
            <w:shd w:val="clear" w:color="auto" w:fill="76923C"/>
          </w:tcPr>
          <w:p w:rsidR="00AC5E54" w:rsidRPr="00C213B5" w:rsidRDefault="00AC5E54" w:rsidP="00B00346">
            <w:pPr>
              <w:pStyle w:val="TableHeaders"/>
            </w:pPr>
            <w:r w:rsidRPr="00C213B5">
              <w:t>% of Lesson</w:t>
            </w:r>
          </w:p>
        </w:tc>
      </w:tr>
      <w:tr w:rsidR="00AC5E54" w:rsidTr="009D6965">
        <w:trPr>
          <w:trHeight w:val="576"/>
        </w:trPr>
        <w:tc>
          <w:tcPr>
            <w:tcW w:w="7740" w:type="dxa"/>
          </w:tcPr>
          <w:p w:rsidR="00AC5E54" w:rsidRPr="000B2D56" w:rsidRDefault="00AC5E54" w:rsidP="009F724A">
            <w:pPr>
              <w:pStyle w:val="TableText"/>
              <w:rPr>
                <w:b/>
              </w:rPr>
            </w:pPr>
            <w:r w:rsidRPr="000B2D56">
              <w:rPr>
                <w:b/>
              </w:rPr>
              <w:t>Standards &amp; Text:</w:t>
            </w:r>
          </w:p>
          <w:p w:rsidR="00AC5E54" w:rsidRDefault="00AC5E54" w:rsidP="008151E5">
            <w:pPr>
              <w:pStyle w:val="BulletedList"/>
            </w:pPr>
            <w:r>
              <w:t>Standards: RL.11-12.3</w:t>
            </w:r>
            <w:r w:rsidR="00067B7B">
              <w:t>,</w:t>
            </w:r>
            <w:r>
              <w:t xml:space="preserve"> </w:t>
            </w:r>
            <w:r w:rsidRPr="004514E1">
              <w:rPr>
                <w:bCs/>
                <w:color w:val="000000"/>
                <w:sz w:val="23"/>
                <w:szCs w:val="23"/>
              </w:rPr>
              <w:t>SL.11-12.1.a, c</w:t>
            </w:r>
          </w:p>
          <w:p w:rsidR="00AC5E54" w:rsidRDefault="00AC5E54" w:rsidP="00211727">
            <w:pPr>
              <w:pStyle w:val="BulletedList"/>
            </w:pPr>
            <w:r>
              <w:t xml:space="preserve">Text: </w:t>
            </w:r>
            <w:r>
              <w:rPr>
                <w:i/>
              </w:rPr>
              <w:t>Hamlet</w:t>
            </w:r>
            <w:r>
              <w:t xml:space="preserve">, </w:t>
            </w:r>
            <w:r w:rsidR="003D7B7C">
              <w:t xml:space="preserve">Act </w:t>
            </w:r>
            <w:r>
              <w:t xml:space="preserve">1.2, </w:t>
            </w:r>
            <w:r w:rsidR="00F7589B">
              <w:t>l</w:t>
            </w:r>
            <w:r>
              <w:t>ines 110–121</w:t>
            </w:r>
            <w:r w:rsidR="00F7589B">
              <w:t xml:space="preserve"> (Masterful Reading: l</w:t>
            </w:r>
            <w:r w:rsidR="00211727">
              <w:t xml:space="preserve">ines </w:t>
            </w:r>
            <w:r w:rsidR="00211727" w:rsidRPr="00211727">
              <w:t>110–133</w:t>
            </w:r>
            <w:r w:rsidR="00211727">
              <w:t>)</w:t>
            </w:r>
          </w:p>
          <w:p w:rsidR="00211727" w:rsidRDefault="00211727" w:rsidP="00211727">
            <w:pPr>
              <w:pStyle w:val="IN"/>
            </w:pPr>
            <w:r>
              <w:t>In order to provide additional context, the Masterful Reading extends beyond the lines students read and discuss during the lesson.</w:t>
            </w:r>
          </w:p>
        </w:tc>
        <w:tc>
          <w:tcPr>
            <w:tcW w:w="1615" w:type="dxa"/>
          </w:tcPr>
          <w:p w:rsidR="00AC5E54" w:rsidRPr="00C02EC2" w:rsidRDefault="00AC5E54" w:rsidP="00E946A0"/>
          <w:p w:rsidR="00AC5E54" w:rsidRDefault="00AC5E54" w:rsidP="00546D71">
            <w:pPr>
              <w:pStyle w:val="NumberedList"/>
              <w:numPr>
                <w:ilvl w:val="0"/>
                <w:numId w:val="0"/>
              </w:numPr>
            </w:pPr>
          </w:p>
        </w:tc>
      </w:tr>
      <w:tr w:rsidR="00AC5E54" w:rsidTr="009D6965">
        <w:tc>
          <w:tcPr>
            <w:tcW w:w="7740" w:type="dxa"/>
          </w:tcPr>
          <w:p w:rsidR="00AC5E54" w:rsidRPr="000B2D56" w:rsidRDefault="00AC5E54" w:rsidP="009F724A">
            <w:pPr>
              <w:pStyle w:val="TableText"/>
              <w:rPr>
                <w:b/>
              </w:rPr>
            </w:pPr>
            <w:r w:rsidRPr="000B2D56">
              <w:rPr>
                <w:b/>
              </w:rPr>
              <w:t>Learning Sequence:</w:t>
            </w:r>
          </w:p>
          <w:p w:rsidR="00AC5E54" w:rsidRDefault="00AC5E54" w:rsidP="00546D71">
            <w:pPr>
              <w:pStyle w:val="NumberedList"/>
            </w:pPr>
            <w:r w:rsidRPr="00F21CD9">
              <w:t>Introduction</w:t>
            </w:r>
            <w:r>
              <w:t xml:space="preserve"> of Lesson Agenda</w:t>
            </w:r>
          </w:p>
          <w:p w:rsidR="00AC5E54" w:rsidRDefault="00AC5E54" w:rsidP="00546D71">
            <w:pPr>
              <w:pStyle w:val="NumberedList"/>
            </w:pPr>
            <w:r>
              <w:t>Homework Accountability</w:t>
            </w:r>
          </w:p>
          <w:p w:rsidR="00AC5E54" w:rsidRDefault="00AC5E54" w:rsidP="00546D71">
            <w:pPr>
              <w:pStyle w:val="NumberedList"/>
            </w:pPr>
            <w:r>
              <w:t xml:space="preserve">Masterful Reading </w:t>
            </w:r>
          </w:p>
          <w:p w:rsidR="00AC5E54" w:rsidRDefault="003D7B7C" w:rsidP="00546D71">
            <w:pPr>
              <w:pStyle w:val="NumberedList"/>
            </w:pPr>
            <w:r w:rsidRPr="003D7B7C">
              <w:rPr>
                <w:i/>
              </w:rPr>
              <w:t>Hamlet</w:t>
            </w:r>
            <w:r>
              <w:t xml:space="preserve">, </w:t>
            </w:r>
            <w:r w:rsidR="00AC5E54">
              <w:t>Act 1.2, Lines 110–121 Reading and Discussion</w:t>
            </w:r>
          </w:p>
          <w:p w:rsidR="00AC5E54" w:rsidRDefault="00092792" w:rsidP="00546D71">
            <w:pPr>
              <w:pStyle w:val="NumberedList"/>
            </w:pPr>
            <w:r>
              <w:t>Group Discussion</w:t>
            </w:r>
          </w:p>
          <w:p w:rsidR="00AC5E54" w:rsidRDefault="00AC5E54" w:rsidP="00546D71">
            <w:pPr>
              <w:pStyle w:val="NumberedList"/>
            </w:pPr>
            <w:r>
              <w:t>Quick Write</w:t>
            </w:r>
          </w:p>
          <w:p w:rsidR="00AC5E54" w:rsidRPr="00546D71" w:rsidRDefault="00AC5E54" w:rsidP="00546D71">
            <w:pPr>
              <w:pStyle w:val="NumberedList"/>
            </w:pPr>
            <w:r>
              <w:t>Closing</w:t>
            </w:r>
          </w:p>
        </w:tc>
        <w:tc>
          <w:tcPr>
            <w:tcW w:w="1615" w:type="dxa"/>
          </w:tcPr>
          <w:p w:rsidR="00AC5E54" w:rsidRDefault="00AC5E54" w:rsidP="000B2D56">
            <w:pPr>
              <w:pStyle w:val="TableText"/>
            </w:pPr>
          </w:p>
          <w:p w:rsidR="00AC5E54" w:rsidRDefault="00AC5E54" w:rsidP="00732189">
            <w:pPr>
              <w:pStyle w:val="NumberedList"/>
              <w:numPr>
                <w:ilvl w:val="0"/>
                <w:numId w:val="1"/>
              </w:numPr>
            </w:pPr>
            <w:r>
              <w:t>10%</w:t>
            </w:r>
          </w:p>
          <w:p w:rsidR="00AC5E54" w:rsidRDefault="00AC5E54" w:rsidP="00546D71">
            <w:pPr>
              <w:pStyle w:val="NumberedList"/>
            </w:pPr>
            <w:r>
              <w:t>10%</w:t>
            </w:r>
          </w:p>
          <w:p w:rsidR="00AC5E54" w:rsidRDefault="00AC5E54" w:rsidP="00546D71">
            <w:pPr>
              <w:pStyle w:val="NumberedList"/>
            </w:pPr>
            <w:r>
              <w:t>5%</w:t>
            </w:r>
          </w:p>
          <w:p w:rsidR="00AC5E54" w:rsidRDefault="00AC5E54" w:rsidP="007E0E13">
            <w:pPr>
              <w:pStyle w:val="NumberedList"/>
            </w:pPr>
            <w:r>
              <w:t>40%</w:t>
            </w:r>
          </w:p>
          <w:p w:rsidR="00AC5E54" w:rsidRDefault="00AC5E54" w:rsidP="00546D71">
            <w:pPr>
              <w:pStyle w:val="NumberedList"/>
            </w:pPr>
            <w:r>
              <w:t>20%</w:t>
            </w:r>
          </w:p>
          <w:p w:rsidR="00AC5E54" w:rsidRDefault="00AC5E54" w:rsidP="00546D71">
            <w:pPr>
              <w:pStyle w:val="NumberedList"/>
            </w:pPr>
            <w:r>
              <w:t>10%</w:t>
            </w:r>
          </w:p>
          <w:p w:rsidR="00AC5E54" w:rsidRPr="00C02EC2" w:rsidRDefault="00AC5E54" w:rsidP="00546D71">
            <w:pPr>
              <w:pStyle w:val="NumberedList"/>
            </w:pPr>
            <w:r>
              <w:t>5%</w:t>
            </w:r>
          </w:p>
        </w:tc>
      </w:tr>
    </w:tbl>
    <w:p w:rsidR="00AC5E54" w:rsidRDefault="00AC5E54" w:rsidP="00E946A0">
      <w:pPr>
        <w:pStyle w:val="Heading1"/>
      </w:pPr>
      <w:r>
        <w:t>Materials</w:t>
      </w:r>
    </w:p>
    <w:p w:rsidR="00AC5E54" w:rsidRPr="006E7D3C" w:rsidRDefault="00AC5E54" w:rsidP="007E0E13">
      <w:pPr>
        <w:pStyle w:val="BulletedList"/>
      </w:pPr>
      <w:r>
        <w:t xml:space="preserve">Student copies of the </w:t>
      </w:r>
      <w:r w:rsidRPr="0068235A">
        <w:t>Short Response Rubric</w:t>
      </w:r>
      <w:r w:rsidR="009F724A">
        <w:t xml:space="preserve"> </w:t>
      </w:r>
      <w:r w:rsidR="003D7B7C">
        <w:t xml:space="preserve">and Checklist </w:t>
      </w:r>
      <w:r>
        <w:t>(refer to 11.1.1 Lesson 1)</w:t>
      </w:r>
    </w:p>
    <w:p w:rsidR="00AC5E54" w:rsidRDefault="00AC5E54" w:rsidP="001637EB">
      <w:pPr>
        <w:pStyle w:val="BulletedList"/>
      </w:pPr>
      <w:r>
        <w:t xml:space="preserve">Student copies of </w:t>
      </w:r>
      <w:r w:rsidR="009F724A">
        <w:t xml:space="preserve">the </w:t>
      </w:r>
      <w:r w:rsidR="009F724A" w:rsidRPr="0068235A">
        <w:t xml:space="preserve">11.1 </w:t>
      </w:r>
      <w:r w:rsidRPr="0068235A">
        <w:t>Common Core Learning Standards Tool</w:t>
      </w:r>
      <w:r w:rsidR="009F724A">
        <w:t xml:space="preserve"> </w:t>
      </w:r>
      <w:r>
        <w:t>(refer to 11.1.1 Lesson 1)</w:t>
      </w:r>
    </w:p>
    <w:p w:rsidR="00AC5E54" w:rsidRDefault="00AC5E54" w:rsidP="00064850">
      <w:pPr>
        <w:pStyle w:val="BulletedList"/>
      </w:pPr>
      <w:r>
        <w:t xml:space="preserve">Copies of the </w:t>
      </w:r>
      <w:r w:rsidRPr="0068235A">
        <w:t>Character Evidence Gathering Tool</w:t>
      </w:r>
      <w:r>
        <w:t xml:space="preserve"> for each student</w:t>
      </w:r>
      <w:r w:rsidR="00906581">
        <w:t xml:space="preserve"> (optional)</w:t>
      </w:r>
    </w:p>
    <w:p w:rsidR="00AC5E54" w:rsidRDefault="00AC5E54" w:rsidP="00E946A0">
      <w:pPr>
        <w:pStyle w:val="Heading1"/>
      </w:pPr>
      <w:r w:rsidRPr="00A24DAB">
        <w:t>Learning Sequence</w:t>
      </w:r>
    </w:p>
    <w:tbl>
      <w:tblPr>
        <w:tblStyle w:val="TableGrid"/>
        <w:tblW w:w="9581"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007"/>
        <w:gridCol w:w="8574"/>
      </w:tblGrid>
      <w:tr w:rsidR="009F724A" w:rsidRPr="001C6EA7" w:rsidTr="00B569BE">
        <w:tc>
          <w:tcPr>
            <w:tcW w:w="9581" w:type="dxa"/>
            <w:gridSpan w:val="2"/>
            <w:shd w:val="clear" w:color="auto" w:fill="76923C" w:themeFill="accent3" w:themeFillShade="BF"/>
          </w:tcPr>
          <w:p w:rsidR="009F724A" w:rsidRPr="001C6EA7" w:rsidRDefault="009F724A" w:rsidP="007B1338">
            <w:pPr>
              <w:pStyle w:val="TableHeaders"/>
            </w:pPr>
            <w:r w:rsidRPr="001C6EA7">
              <w:t>How to Use the Learning Sequence</w:t>
            </w:r>
          </w:p>
        </w:tc>
      </w:tr>
      <w:tr w:rsidR="009F724A" w:rsidRPr="000D6FA4" w:rsidTr="00B569BE">
        <w:tc>
          <w:tcPr>
            <w:tcW w:w="1007" w:type="dxa"/>
            <w:shd w:val="clear" w:color="auto" w:fill="76923C" w:themeFill="accent3" w:themeFillShade="BF"/>
          </w:tcPr>
          <w:p w:rsidR="009F724A" w:rsidRPr="000D6FA4" w:rsidRDefault="009F724A" w:rsidP="007B1338">
            <w:pPr>
              <w:pStyle w:val="TableHeaders"/>
            </w:pPr>
            <w:r w:rsidRPr="000D6FA4">
              <w:t>Symbol</w:t>
            </w:r>
          </w:p>
        </w:tc>
        <w:tc>
          <w:tcPr>
            <w:tcW w:w="8574" w:type="dxa"/>
            <w:shd w:val="clear" w:color="auto" w:fill="76923C" w:themeFill="accent3" w:themeFillShade="BF"/>
          </w:tcPr>
          <w:p w:rsidR="009F724A" w:rsidRPr="000D6FA4" w:rsidRDefault="009F724A" w:rsidP="007B1338">
            <w:pPr>
              <w:pStyle w:val="TableHeaders"/>
            </w:pPr>
            <w:r w:rsidRPr="000D6FA4">
              <w:t>Type of Text &amp; Interpretation of the Symbol</w:t>
            </w:r>
          </w:p>
        </w:tc>
      </w:tr>
      <w:tr w:rsidR="009F724A" w:rsidRPr="00E65C14" w:rsidTr="00B569BE">
        <w:tc>
          <w:tcPr>
            <w:tcW w:w="1007" w:type="dxa"/>
          </w:tcPr>
          <w:p w:rsidR="009F724A" w:rsidRPr="00E65C14" w:rsidRDefault="009F724A" w:rsidP="007B1338">
            <w:pPr>
              <w:spacing w:before="20" w:after="20" w:line="240" w:lineRule="auto"/>
              <w:jc w:val="center"/>
              <w:rPr>
                <w:rFonts w:asciiTheme="minorHAnsi" w:hAnsiTheme="minorHAnsi"/>
                <w:b/>
                <w:color w:val="4F81BD" w:themeColor="accent1"/>
                <w:sz w:val="20"/>
              </w:rPr>
            </w:pPr>
            <w:r w:rsidRPr="00E65C14">
              <w:rPr>
                <w:rFonts w:asciiTheme="minorHAnsi" w:hAnsiTheme="minorHAnsi"/>
                <w:b/>
                <w:color w:val="4F81BD" w:themeColor="accent1"/>
                <w:sz w:val="20"/>
              </w:rPr>
              <w:t>10%</w:t>
            </w:r>
          </w:p>
        </w:tc>
        <w:tc>
          <w:tcPr>
            <w:tcW w:w="8574" w:type="dxa"/>
          </w:tcPr>
          <w:p w:rsidR="009F724A" w:rsidRPr="00E65C14" w:rsidRDefault="009F724A" w:rsidP="007B1338">
            <w:pPr>
              <w:spacing w:before="20" w:after="20" w:line="240" w:lineRule="auto"/>
              <w:rPr>
                <w:rFonts w:asciiTheme="minorHAnsi" w:hAnsiTheme="minorHAnsi"/>
                <w:b/>
                <w:color w:val="4F81BD" w:themeColor="accent1"/>
                <w:sz w:val="20"/>
              </w:rPr>
            </w:pPr>
            <w:r w:rsidRPr="00E65C14">
              <w:rPr>
                <w:rFonts w:asciiTheme="minorHAnsi" w:hAnsiTheme="minorHAnsi"/>
                <w:b/>
                <w:color w:val="4F81BD" w:themeColor="accent1"/>
                <w:sz w:val="20"/>
              </w:rPr>
              <w:t>Percentage indicates the percentage of lesson time each activity should take.</w:t>
            </w:r>
          </w:p>
        </w:tc>
      </w:tr>
      <w:tr w:rsidR="009F724A" w:rsidRPr="000D6FA4" w:rsidTr="00B569BE">
        <w:tc>
          <w:tcPr>
            <w:tcW w:w="1007" w:type="dxa"/>
            <w:vMerge w:val="restart"/>
            <w:vAlign w:val="center"/>
          </w:tcPr>
          <w:p w:rsidR="009F724A" w:rsidRPr="00A948B3" w:rsidRDefault="009F724A" w:rsidP="007B1338">
            <w:pPr>
              <w:spacing w:before="20" w:after="20" w:line="240" w:lineRule="auto"/>
              <w:jc w:val="center"/>
              <w:rPr>
                <w:sz w:val="18"/>
              </w:rPr>
            </w:pPr>
            <w:r>
              <w:rPr>
                <w:sz w:val="18"/>
              </w:rPr>
              <w:t>n</w:t>
            </w:r>
            <w:r w:rsidRPr="00A948B3">
              <w:rPr>
                <w:sz w:val="18"/>
              </w:rPr>
              <w:t>o symbol</w:t>
            </w:r>
          </w:p>
        </w:tc>
        <w:tc>
          <w:tcPr>
            <w:tcW w:w="8574" w:type="dxa"/>
          </w:tcPr>
          <w:p w:rsidR="009F724A" w:rsidRPr="000D6FA4" w:rsidRDefault="009F724A" w:rsidP="007B1338">
            <w:pPr>
              <w:spacing w:before="20" w:after="20" w:line="240" w:lineRule="auto"/>
              <w:rPr>
                <w:sz w:val="20"/>
              </w:rPr>
            </w:pPr>
            <w:r>
              <w:rPr>
                <w:sz w:val="20"/>
              </w:rPr>
              <w:t xml:space="preserve">Plain text </w:t>
            </w:r>
            <w:r w:rsidRPr="000D6FA4">
              <w:rPr>
                <w:sz w:val="20"/>
              </w:rPr>
              <w:t>indicates teacher action.</w:t>
            </w:r>
          </w:p>
        </w:tc>
      </w:tr>
      <w:tr w:rsidR="009F724A" w:rsidRPr="000D6FA4" w:rsidTr="00B569BE">
        <w:tc>
          <w:tcPr>
            <w:tcW w:w="1007" w:type="dxa"/>
            <w:vMerge/>
          </w:tcPr>
          <w:p w:rsidR="009F724A" w:rsidRPr="000D6FA4" w:rsidRDefault="009F724A" w:rsidP="007B1338">
            <w:pPr>
              <w:spacing w:before="20" w:after="20" w:line="240" w:lineRule="auto"/>
              <w:jc w:val="center"/>
              <w:rPr>
                <w:b/>
                <w:color w:val="000000" w:themeColor="text1"/>
                <w:sz w:val="20"/>
              </w:rPr>
            </w:pPr>
          </w:p>
        </w:tc>
        <w:tc>
          <w:tcPr>
            <w:tcW w:w="8574" w:type="dxa"/>
          </w:tcPr>
          <w:p w:rsidR="009F724A" w:rsidRPr="000D6FA4" w:rsidRDefault="009F724A" w:rsidP="007B1338">
            <w:pPr>
              <w:spacing w:before="20" w:after="20" w:line="240" w:lineRule="auto"/>
              <w:rPr>
                <w:color w:val="4F81BD" w:themeColor="accent1"/>
                <w:sz w:val="20"/>
              </w:rPr>
            </w:pPr>
            <w:r w:rsidRPr="00BA46CB">
              <w:rPr>
                <w:b/>
                <w:sz w:val="20"/>
              </w:rPr>
              <w:t>Bold text indicates questions for the teacher to ask students.</w:t>
            </w:r>
          </w:p>
        </w:tc>
      </w:tr>
      <w:tr w:rsidR="009F724A" w:rsidRPr="000D6FA4" w:rsidTr="00B569BE">
        <w:tc>
          <w:tcPr>
            <w:tcW w:w="1007" w:type="dxa"/>
            <w:vMerge/>
          </w:tcPr>
          <w:p w:rsidR="009F724A" w:rsidRPr="000D6FA4" w:rsidRDefault="009F724A" w:rsidP="007B1338">
            <w:pPr>
              <w:spacing w:before="20" w:after="20" w:line="240" w:lineRule="auto"/>
              <w:jc w:val="center"/>
              <w:rPr>
                <w:b/>
                <w:color w:val="000000" w:themeColor="text1"/>
                <w:sz w:val="20"/>
              </w:rPr>
            </w:pPr>
          </w:p>
        </w:tc>
        <w:tc>
          <w:tcPr>
            <w:tcW w:w="8574" w:type="dxa"/>
          </w:tcPr>
          <w:p w:rsidR="009F724A" w:rsidRPr="001E189E" w:rsidRDefault="009F724A" w:rsidP="007B1338">
            <w:pPr>
              <w:spacing w:before="20" w:after="20" w:line="240" w:lineRule="auto"/>
              <w:rPr>
                <w:i/>
                <w:sz w:val="20"/>
              </w:rPr>
            </w:pPr>
            <w:r w:rsidRPr="001E189E">
              <w:rPr>
                <w:i/>
                <w:sz w:val="20"/>
              </w:rPr>
              <w:t>Italicized text indicates a vocabulary word.</w:t>
            </w:r>
          </w:p>
        </w:tc>
      </w:tr>
      <w:tr w:rsidR="009F724A" w:rsidRPr="000D6FA4" w:rsidTr="00B569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7" w:type="dxa"/>
            <w:vAlign w:val="bottom"/>
          </w:tcPr>
          <w:p w:rsidR="009F724A" w:rsidRDefault="009F724A" w:rsidP="007B1338">
            <w:pPr>
              <w:spacing w:before="40" w:after="0" w:line="240" w:lineRule="auto"/>
              <w:jc w:val="center"/>
              <w:rPr>
                <w:sz w:val="20"/>
              </w:rPr>
            </w:pPr>
            <w:r>
              <w:sym w:font="Webdings" w:char="F034"/>
            </w:r>
          </w:p>
        </w:tc>
        <w:tc>
          <w:tcPr>
            <w:tcW w:w="8574" w:type="dxa"/>
          </w:tcPr>
          <w:p w:rsidR="009F724A" w:rsidRPr="000C0112" w:rsidRDefault="009F724A" w:rsidP="007B1338">
            <w:pPr>
              <w:spacing w:before="20" w:after="20" w:line="240" w:lineRule="auto"/>
              <w:rPr>
                <w:sz w:val="20"/>
              </w:rPr>
            </w:pPr>
            <w:r w:rsidRPr="001708C2">
              <w:rPr>
                <w:sz w:val="20"/>
              </w:rPr>
              <w:t>Indicates student action(s).</w:t>
            </w:r>
          </w:p>
        </w:tc>
      </w:tr>
      <w:tr w:rsidR="009F724A" w:rsidRPr="000D6FA4" w:rsidTr="00B569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7" w:type="dxa"/>
            <w:vAlign w:val="center"/>
          </w:tcPr>
          <w:p w:rsidR="009F724A" w:rsidRDefault="009F724A" w:rsidP="007B1338">
            <w:pPr>
              <w:spacing w:before="80" w:after="0" w:line="240" w:lineRule="auto"/>
              <w:jc w:val="center"/>
              <w:rPr>
                <w:sz w:val="20"/>
              </w:rPr>
            </w:pPr>
            <w:r>
              <w:rPr>
                <w:sz w:val="20"/>
              </w:rPr>
              <w:sym w:font="Webdings" w:char="F028"/>
            </w:r>
          </w:p>
        </w:tc>
        <w:tc>
          <w:tcPr>
            <w:tcW w:w="8574" w:type="dxa"/>
          </w:tcPr>
          <w:p w:rsidR="009F724A" w:rsidRPr="000C0112" w:rsidRDefault="009F724A" w:rsidP="007B1338">
            <w:pPr>
              <w:spacing w:before="20" w:after="20" w:line="240" w:lineRule="auto"/>
              <w:rPr>
                <w:sz w:val="20"/>
              </w:rPr>
            </w:pPr>
            <w:r w:rsidRPr="001708C2">
              <w:rPr>
                <w:sz w:val="20"/>
              </w:rPr>
              <w:t>Indicates possible student response(s) to teacher questions.</w:t>
            </w:r>
          </w:p>
        </w:tc>
      </w:tr>
      <w:tr w:rsidR="009F724A" w:rsidRPr="000D6FA4" w:rsidTr="00B569BE">
        <w:tc>
          <w:tcPr>
            <w:tcW w:w="1007" w:type="dxa"/>
            <w:vAlign w:val="bottom"/>
          </w:tcPr>
          <w:p w:rsidR="009F724A" w:rsidRPr="000D6FA4" w:rsidRDefault="009F724A" w:rsidP="007B1338">
            <w:pPr>
              <w:spacing w:after="0" w:line="240" w:lineRule="auto"/>
              <w:jc w:val="center"/>
              <w:rPr>
                <w:color w:val="4F81BD" w:themeColor="accent1"/>
                <w:sz w:val="20"/>
              </w:rPr>
            </w:pPr>
            <w:r w:rsidRPr="000D6FA4">
              <w:rPr>
                <w:color w:val="4F81BD" w:themeColor="accent1"/>
                <w:sz w:val="20"/>
              </w:rPr>
              <w:sym w:font="Webdings" w:char="F069"/>
            </w:r>
          </w:p>
        </w:tc>
        <w:tc>
          <w:tcPr>
            <w:tcW w:w="8574" w:type="dxa"/>
          </w:tcPr>
          <w:p w:rsidR="009F724A" w:rsidRPr="000D6FA4" w:rsidRDefault="009F724A" w:rsidP="007B1338">
            <w:pPr>
              <w:spacing w:before="20" w:after="20" w:line="240" w:lineRule="auto"/>
              <w:rPr>
                <w:color w:val="4F81BD" w:themeColor="accent1"/>
                <w:sz w:val="20"/>
              </w:rPr>
            </w:pPr>
            <w:r>
              <w:rPr>
                <w:color w:val="4F81BD" w:themeColor="accent1"/>
                <w:sz w:val="20"/>
              </w:rPr>
              <w:t>I</w:t>
            </w:r>
            <w:r w:rsidRPr="000D6FA4">
              <w:rPr>
                <w:color w:val="4F81BD" w:themeColor="accent1"/>
                <w:sz w:val="20"/>
              </w:rPr>
              <w:t>ndicates instructional notes for the teacher.</w:t>
            </w:r>
          </w:p>
        </w:tc>
      </w:tr>
    </w:tbl>
    <w:p w:rsidR="00AC5E54" w:rsidRPr="00B34065" w:rsidRDefault="00AC5E54" w:rsidP="00CE2836">
      <w:pPr>
        <w:pStyle w:val="LearningSequenceHeader"/>
        <w:rPr>
          <w:i w:val="0"/>
        </w:rPr>
      </w:pPr>
      <w:r w:rsidRPr="00B34065">
        <w:rPr>
          <w:i w:val="0"/>
        </w:rPr>
        <w:t>Activity 1: Introduction of Lesson Agenda</w:t>
      </w:r>
      <w:r w:rsidRPr="00B34065">
        <w:rPr>
          <w:i w:val="0"/>
        </w:rPr>
        <w:tab/>
        <w:t>10%</w:t>
      </w:r>
    </w:p>
    <w:p w:rsidR="00AC5E54" w:rsidRPr="009F724A" w:rsidRDefault="00AC5E54" w:rsidP="009F724A">
      <w:pPr>
        <w:pStyle w:val="TA"/>
      </w:pPr>
      <w:r w:rsidRPr="009F724A">
        <w:t>Begin by reviewing the agenda and sharing the assessed standard for this lesson</w:t>
      </w:r>
      <w:r w:rsidR="003C3668">
        <w:t>:</w:t>
      </w:r>
      <w:r w:rsidRPr="009F724A">
        <w:t xml:space="preserve"> RL.11-12.3. Students</w:t>
      </w:r>
      <w:r w:rsidR="00A504D5">
        <w:t xml:space="preserve"> </w:t>
      </w:r>
      <w:r w:rsidRPr="009F724A">
        <w:t xml:space="preserve">continue their reading of Claudius’s monologue to Hamlet. They consider how this latter section of the monologue develops the character of Claudius. </w:t>
      </w:r>
    </w:p>
    <w:p w:rsidR="00AC5E54" w:rsidRDefault="00AC5E54" w:rsidP="00164976">
      <w:pPr>
        <w:pStyle w:val="SA"/>
      </w:pPr>
      <w:r>
        <w:t xml:space="preserve">Students listen. </w:t>
      </w:r>
    </w:p>
    <w:p w:rsidR="00AC5E54" w:rsidRDefault="00AC5E54" w:rsidP="00164976">
      <w:pPr>
        <w:pStyle w:val="TA"/>
      </w:pPr>
      <w:r>
        <w:t>Remind students that th</w:t>
      </w:r>
      <w:r w:rsidR="00B15387">
        <w:t>ey were introduced to standard SL.11-12.1 and substandard S</w:t>
      </w:r>
      <w:r>
        <w:t xml:space="preserve">L.11-12.1.b in 11.1.1 Lesson 2. Inform students that they will begin addressing two new substandards in this lesson: SL.11-12.1.a, c. Ask students to individually read standard SL.11-12.1.a, c on the 11.1 Common Core Learning Standards Tool and assess their familiarity with and mastery of this standard. </w:t>
      </w:r>
    </w:p>
    <w:p w:rsidR="00AC5E54" w:rsidRDefault="00AC5E54" w:rsidP="00164976">
      <w:pPr>
        <w:pStyle w:val="SA"/>
      </w:pPr>
      <w:r>
        <w:t xml:space="preserve">Students read standard SL.11-12.1.a, c and assess their familiarity with and mastery of this standard. </w:t>
      </w:r>
    </w:p>
    <w:p w:rsidR="00E860CF" w:rsidRDefault="00E860CF" w:rsidP="00E860CF">
      <w:pPr>
        <w:pStyle w:val="TA"/>
      </w:pPr>
      <w:r>
        <w:t xml:space="preserve">Instruct students to focus on SL.11-12.1.a, c and to talk in pairs about what they think this standard means. Lead a brief discussion about the standard. </w:t>
      </w:r>
    </w:p>
    <w:p w:rsidR="00E860CF" w:rsidRPr="009F724A" w:rsidRDefault="00E860CF" w:rsidP="009F724A">
      <w:pPr>
        <w:pStyle w:val="SR"/>
      </w:pPr>
      <w:r w:rsidRPr="009F724A">
        <w:t>Student responses may include the following:</w:t>
      </w:r>
    </w:p>
    <w:p w:rsidR="00E860CF" w:rsidRPr="009F724A" w:rsidRDefault="00E860CF" w:rsidP="009F724A">
      <w:pPr>
        <w:pStyle w:val="SASRBullet"/>
      </w:pPr>
      <w:r w:rsidRPr="009F724A">
        <w:t>Coming to discussions prepared.</w:t>
      </w:r>
    </w:p>
    <w:p w:rsidR="00E860CF" w:rsidRPr="009F724A" w:rsidRDefault="00E860CF" w:rsidP="009F724A">
      <w:pPr>
        <w:pStyle w:val="SASRBullet"/>
      </w:pPr>
      <w:r w:rsidRPr="009F724A">
        <w:t>Showing preparedness by producing evidence gained from reading and research.</w:t>
      </w:r>
    </w:p>
    <w:p w:rsidR="00E860CF" w:rsidRPr="009F724A" w:rsidRDefault="00E860CF" w:rsidP="009F724A">
      <w:pPr>
        <w:pStyle w:val="SASRBullet"/>
      </w:pPr>
      <w:r w:rsidRPr="009F724A">
        <w:t>Challenging our own and others’ thinking</w:t>
      </w:r>
      <w:r w:rsidR="000465C4">
        <w:t>.</w:t>
      </w:r>
    </w:p>
    <w:p w:rsidR="00E860CF" w:rsidRPr="009F724A" w:rsidRDefault="00E860CF" w:rsidP="009F724A">
      <w:pPr>
        <w:pStyle w:val="SASRBullet"/>
      </w:pPr>
      <w:r w:rsidRPr="009F724A">
        <w:t>Ensuring that different and inte</w:t>
      </w:r>
      <w:r w:rsidR="009F724A">
        <w:t>resting perspectives are heard.</w:t>
      </w:r>
    </w:p>
    <w:p w:rsidR="00AC5E54" w:rsidRPr="00B34065" w:rsidRDefault="00AC5E54" w:rsidP="00CE2836">
      <w:pPr>
        <w:pStyle w:val="LearningSequenceHeader"/>
        <w:rPr>
          <w:i w:val="0"/>
        </w:rPr>
      </w:pPr>
      <w:r w:rsidRPr="00B34065">
        <w:rPr>
          <w:i w:val="0"/>
        </w:rPr>
        <w:t>Activity 2: Homework Accountability</w:t>
      </w:r>
      <w:r w:rsidRPr="00B34065">
        <w:rPr>
          <w:i w:val="0"/>
        </w:rPr>
        <w:tab/>
        <w:t>10%</w:t>
      </w:r>
    </w:p>
    <w:p w:rsidR="00AC5E54" w:rsidRPr="00427129" w:rsidRDefault="00AC5E54" w:rsidP="008E1A53">
      <w:pPr>
        <w:pStyle w:val="TA"/>
      </w:pPr>
      <w:r w:rsidRPr="00E51822">
        <w:t xml:space="preserve">Instruct students to </w:t>
      </w:r>
      <w:r w:rsidR="007B624D">
        <w:t xml:space="preserve">talk in pairs about how they applied </w:t>
      </w:r>
      <w:r>
        <w:t>their focus standard, RL.11-12.2</w:t>
      </w:r>
      <w:r w:rsidR="00E851F3">
        <w:t xml:space="preserve"> or RI.11-12.2</w:t>
      </w:r>
      <w:r w:rsidR="003D7B7C">
        <w:t xml:space="preserve">, to their </w:t>
      </w:r>
      <w:r w:rsidR="00C04C19" w:rsidRPr="00E51822">
        <w:t xml:space="preserve">AIR </w:t>
      </w:r>
      <w:r w:rsidRPr="00E51822">
        <w:t xml:space="preserve">text. Lead a brief share out on the previous lesson’s </w:t>
      </w:r>
      <w:r w:rsidR="00C04C19">
        <w:t xml:space="preserve">AIR </w:t>
      </w:r>
      <w:r w:rsidR="003D7B7C">
        <w:t>homework assignment. S</w:t>
      </w:r>
      <w:r w:rsidRPr="00E51822">
        <w:t>elect several students (or student pairs) to explain how they applied their focus standard to their AIR text.</w:t>
      </w:r>
    </w:p>
    <w:p w:rsidR="00AC5E54" w:rsidRDefault="00AC5E54" w:rsidP="008E1A53">
      <w:pPr>
        <w:pStyle w:val="SA"/>
      </w:pPr>
      <w:r>
        <w:t xml:space="preserve">Student pairs </w:t>
      </w:r>
      <w:r w:rsidRPr="00E51822">
        <w:t>discuss and share how they applied their focus standard</w:t>
      </w:r>
      <w:r>
        <w:t xml:space="preserve"> (RL.11-12.2</w:t>
      </w:r>
      <w:r w:rsidR="00E851F3">
        <w:t xml:space="preserve"> or RI.11-12.2</w:t>
      </w:r>
      <w:r>
        <w:t>) to their AIR text from the previous lesson’s homework.</w:t>
      </w:r>
    </w:p>
    <w:p w:rsidR="00C9059D" w:rsidRDefault="00C9059D" w:rsidP="00C9059D">
      <w:pPr>
        <w:pStyle w:val="BR"/>
      </w:pPr>
    </w:p>
    <w:p w:rsidR="00AC5E54" w:rsidRDefault="00AC5E54" w:rsidP="008E1A53">
      <w:pPr>
        <w:pStyle w:val="TA"/>
      </w:pPr>
      <w:r>
        <w:t>Instruct students to form a new pair and</w:t>
      </w:r>
      <w:r w:rsidR="00227297">
        <w:t xml:space="preserve"> </w:t>
      </w:r>
      <w:r>
        <w:t xml:space="preserve">discuss </w:t>
      </w:r>
      <w:r w:rsidR="00227297">
        <w:t>the standards to which Claudius holds Hamlet</w:t>
      </w:r>
      <w:r>
        <w:t xml:space="preserve"> in the first part of his monologue</w:t>
      </w:r>
      <w:r w:rsidR="000465C4">
        <w:t>.</w:t>
      </w:r>
    </w:p>
    <w:p w:rsidR="00AC5E54" w:rsidRDefault="00AC5E54" w:rsidP="008E1A53">
      <w:pPr>
        <w:pStyle w:val="SA"/>
      </w:pPr>
      <w:r>
        <w:t>Students discuss and share to what standards Claudius is holding Hamlet in the first part of his monologue</w:t>
      </w:r>
      <w:r w:rsidR="00A504D5">
        <w:t>.</w:t>
      </w:r>
    </w:p>
    <w:p w:rsidR="00AC5E54" w:rsidRDefault="00AC5E54" w:rsidP="008E1A53">
      <w:pPr>
        <w:pStyle w:val="SR"/>
      </w:pPr>
      <w:r>
        <w:t>Student responses may include:</w:t>
      </w:r>
    </w:p>
    <w:p w:rsidR="00AC5E54" w:rsidRDefault="00AC5E54" w:rsidP="008E1A53">
      <w:pPr>
        <w:pStyle w:val="SASRBullet"/>
      </w:pPr>
      <w:r>
        <w:t>Hamlet is being held to the notion of filial duty: Claudius makes it clear that while a period of “obsequious sorrow” (</w:t>
      </w:r>
      <w:r w:rsidR="00B15387">
        <w:t xml:space="preserve">line </w:t>
      </w:r>
      <w:r>
        <w:t>96) is a “filial obligation” (</w:t>
      </w:r>
      <w:r w:rsidR="00B15387">
        <w:t xml:space="preserve">line </w:t>
      </w:r>
      <w:r>
        <w:t>95), it is “impious stubbornness” (</w:t>
      </w:r>
      <w:r w:rsidR="00B15387">
        <w:t xml:space="preserve">line </w:t>
      </w:r>
      <w:r>
        <w:t>98) to continue to mourn in this way.</w:t>
      </w:r>
    </w:p>
    <w:p w:rsidR="00AC5E54" w:rsidRDefault="00AC5E54" w:rsidP="008E1A53">
      <w:pPr>
        <w:pStyle w:val="SASRBullet"/>
      </w:pPr>
      <w:r>
        <w:t>Claudius implies that Hamlet is being less than a man when he speaks of “unmanly” grief (</w:t>
      </w:r>
      <w:r w:rsidR="00B15387">
        <w:t xml:space="preserve">line </w:t>
      </w:r>
      <w:r>
        <w:t xml:space="preserve">98). He is holding him to standards of “manliness” not only in </w:t>
      </w:r>
      <w:r w:rsidR="00B34065">
        <w:t>opposition to expectations of</w:t>
      </w:r>
      <w:r>
        <w:t xml:space="preserve"> gender roles but also to expectations of adulthood. A man who persists with his grief as Hamlet does is behaving childishly and not as a man, showing “an understanding simple and unschooled” (</w:t>
      </w:r>
      <w:r w:rsidR="00B15387">
        <w:t xml:space="preserve">line </w:t>
      </w:r>
      <w:r>
        <w:t>101).</w:t>
      </w:r>
    </w:p>
    <w:p w:rsidR="00AC5E54" w:rsidRDefault="00AC5E54" w:rsidP="008E1A53">
      <w:pPr>
        <w:pStyle w:val="SASRBullet"/>
      </w:pPr>
      <w:r>
        <w:t>Claudius is holding Hamlet to standards of reason, which presents</w:t>
      </w:r>
      <w:r w:rsidR="00B15387">
        <w:t xml:space="preserve"> death as “what we know must be</w:t>
      </w:r>
      <w:r>
        <w:t>”</w:t>
      </w:r>
      <w:r w:rsidR="00B15387">
        <w:t xml:space="preserve"> (line 102).</w:t>
      </w:r>
    </w:p>
    <w:p w:rsidR="00AC5E54" w:rsidRDefault="00AC5E54" w:rsidP="008E1A53">
      <w:pPr>
        <w:pStyle w:val="SASRBullet"/>
      </w:pPr>
      <w:r>
        <w:t xml:space="preserve">In Act 1.2, lines 105–106, he holds him to the laws of religion and nature as well as to his duty to the dead: “‘tis a fault to heaven / A fault against the dead, a fault to nature.” </w:t>
      </w:r>
    </w:p>
    <w:p w:rsidR="00AC5E54" w:rsidRPr="00B34065" w:rsidRDefault="00AC5E54" w:rsidP="00707670">
      <w:pPr>
        <w:pStyle w:val="LearningSequenceHeader"/>
        <w:rPr>
          <w:i w:val="0"/>
        </w:rPr>
      </w:pPr>
      <w:r w:rsidRPr="00B34065">
        <w:rPr>
          <w:i w:val="0"/>
        </w:rPr>
        <w:t>Activity 3: Masterful Reading</w:t>
      </w:r>
      <w:r w:rsidRPr="00B34065">
        <w:rPr>
          <w:i w:val="0"/>
        </w:rPr>
        <w:tab/>
        <w:t>5%</w:t>
      </w:r>
    </w:p>
    <w:p w:rsidR="00AC5E54" w:rsidRDefault="00AC5E54" w:rsidP="009F724A">
      <w:pPr>
        <w:pStyle w:val="TA"/>
      </w:pPr>
      <w:r w:rsidRPr="0012633A">
        <w:t xml:space="preserve">Transition students to </w:t>
      </w:r>
      <w:r>
        <w:t xml:space="preserve">a </w:t>
      </w:r>
      <w:r w:rsidR="00EC75E2">
        <w:t>M</w:t>
      </w:r>
      <w:r w:rsidRPr="0012633A">
        <w:t xml:space="preserve">asterful </w:t>
      </w:r>
      <w:r w:rsidR="00EC75E2">
        <w:t>R</w:t>
      </w:r>
      <w:r w:rsidRPr="0012633A">
        <w:t xml:space="preserve">eading of lines </w:t>
      </w:r>
      <w:r>
        <w:t>110–133</w:t>
      </w:r>
      <w:r w:rsidR="00B34065">
        <w:t xml:space="preserve"> (from “We pray you, throw to earth</w:t>
      </w:r>
      <w:r w:rsidR="00F4326C">
        <w:t xml:space="preserve"> </w:t>
      </w:r>
      <w:r w:rsidR="00B34065">
        <w:t>/</w:t>
      </w:r>
      <w:r w:rsidR="00F4326C">
        <w:t xml:space="preserve"> </w:t>
      </w:r>
      <w:r w:rsidR="00B34065">
        <w:t>This unprevailing woe” to “the heaven shall bruit again / Respeaking earthly thunder. Come away”</w:t>
      </w:r>
      <w:r w:rsidR="00227297">
        <w:t>.</w:t>
      </w:r>
      <w:r>
        <w:t xml:space="preserve"> </w:t>
      </w:r>
      <w:r w:rsidRPr="0012633A">
        <w:t xml:space="preserve">Instruct students to pay attention to how </w:t>
      </w:r>
      <w:r>
        <w:t xml:space="preserve">Shakespeare develops </w:t>
      </w:r>
      <w:r w:rsidRPr="0012633A">
        <w:t xml:space="preserve">the </w:t>
      </w:r>
      <w:r>
        <w:t xml:space="preserve">character of Claudius. </w:t>
      </w:r>
    </w:p>
    <w:p w:rsidR="00AC5E54" w:rsidRPr="0012633A" w:rsidRDefault="00AC5E54" w:rsidP="009A7BB3">
      <w:pPr>
        <w:pStyle w:val="SA"/>
      </w:pPr>
      <w:r>
        <w:t xml:space="preserve">Students </w:t>
      </w:r>
      <w:r w:rsidR="00405717">
        <w:t>follow along, reading silently</w:t>
      </w:r>
      <w:r>
        <w:t>.</w:t>
      </w:r>
    </w:p>
    <w:p w:rsidR="00AC5E54" w:rsidRPr="00B34065" w:rsidRDefault="00AC5E54" w:rsidP="008D2ABA">
      <w:pPr>
        <w:pStyle w:val="LearningSequenceHeader"/>
        <w:rPr>
          <w:i w:val="0"/>
        </w:rPr>
      </w:pPr>
      <w:r w:rsidRPr="00B34065">
        <w:rPr>
          <w:i w:val="0"/>
        </w:rPr>
        <w:t xml:space="preserve">Activity 4: </w:t>
      </w:r>
      <w:r w:rsidR="003D7B7C" w:rsidRPr="003D7B7C">
        <w:t>Hamlet</w:t>
      </w:r>
      <w:r w:rsidR="003D7B7C">
        <w:rPr>
          <w:i w:val="0"/>
        </w:rPr>
        <w:t xml:space="preserve">, </w:t>
      </w:r>
      <w:r w:rsidRPr="00B34065">
        <w:rPr>
          <w:i w:val="0"/>
        </w:rPr>
        <w:t xml:space="preserve">Act 1.2, Lines 110–121 Reading and Discussion </w:t>
      </w:r>
      <w:r w:rsidRPr="00B34065">
        <w:rPr>
          <w:i w:val="0"/>
        </w:rPr>
        <w:tab/>
        <w:t>40%</w:t>
      </w:r>
    </w:p>
    <w:p w:rsidR="00B34065" w:rsidRDefault="00725407" w:rsidP="00DE36C4">
      <w:pPr>
        <w:pStyle w:val="TA"/>
      </w:pPr>
      <w:r>
        <w:t>Instruct students to re</w:t>
      </w:r>
      <w:r w:rsidR="00513A84">
        <w:t>re</w:t>
      </w:r>
      <w:r>
        <w:t>ad lines 110</w:t>
      </w:r>
      <w:r w:rsidR="00513A84">
        <w:t>–</w:t>
      </w:r>
      <w:r>
        <w:t>121 independently.</w:t>
      </w:r>
      <w:r w:rsidR="00513A84">
        <w:t xml:space="preserve"> Then, t</w:t>
      </w:r>
      <w:r w:rsidR="00AC5E54">
        <w:t xml:space="preserve">ransition students to </w:t>
      </w:r>
      <w:r w:rsidR="00513A84">
        <w:t xml:space="preserve">a full-class </w:t>
      </w:r>
      <w:r w:rsidR="00AC5E54">
        <w:t>discussion of lines 110–121</w:t>
      </w:r>
      <w:r w:rsidR="00B34065">
        <w:t xml:space="preserve"> (from “We pray you, throw to earth</w:t>
      </w:r>
      <w:r w:rsidR="00621269">
        <w:t xml:space="preserve"> </w:t>
      </w:r>
      <w:r w:rsidR="00B34065">
        <w:t>/ This unprevailing woe” to “Our chiefest courtier, cousin, and our son”)</w:t>
      </w:r>
      <w:r w:rsidR="00AC5E54">
        <w:t xml:space="preserve">. </w:t>
      </w:r>
    </w:p>
    <w:p w:rsidR="00AC5E54" w:rsidRDefault="00AC5E54" w:rsidP="00DE36C4">
      <w:pPr>
        <w:pStyle w:val="TA"/>
      </w:pPr>
      <w:r>
        <w:t>Instruct students to look at line 110 and</w:t>
      </w:r>
      <w:r w:rsidR="000465C4">
        <w:t>,</w:t>
      </w:r>
      <w:r>
        <w:t xml:space="preserve"> in particular</w:t>
      </w:r>
      <w:r w:rsidR="000465C4">
        <w:t>,</w:t>
      </w:r>
      <w:r>
        <w:t xml:space="preserve"> the phrase “we pray you</w:t>
      </w:r>
      <w:r w:rsidR="00227297">
        <w:t>.”</w:t>
      </w:r>
    </w:p>
    <w:p w:rsidR="00AC5E54" w:rsidRDefault="00AC5E54" w:rsidP="00CC30E0">
      <w:pPr>
        <w:pStyle w:val="Q"/>
      </w:pPr>
      <w:r>
        <w:t>Why might Claudius refer to himself as “we” here?</w:t>
      </w:r>
    </w:p>
    <w:p w:rsidR="00AC5E54" w:rsidRDefault="00AC5E54" w:rsidP="00CC30E0">
      <w:pPr>
        <w:pStyle w:val="SR"/>
      </w:pPr>
      <w:r>
        <w:t>He may be emphasizing his own power and authority.</w:t>
      </w:r>
    </w:p>
    <w:p w:rsidR="00AC5E54" w:rsidRDefault="00AC5E54" w:rsidP="00573DBA">
      <w:pPr>
        <w:pStyle w:val="TA"/>
      </w:pPr>
      <w:r>
        <w:t>Explain that the “royal we” is used by monarchs and other figures of authority as a marker of their status. For example, Queen Victoria is famously quoted as saying, “We are not amused.”</w:t>
      </w:r>
    </w:p>
    <w:p w:rsidR="00AC5E54" w:rsidRDefault="00AC5E54" w:rsidP="008F74EC">
      <w:pPr>
        <w:pStyle w:val="BR"/>
      </w:pPr>
    </w:p>
    <w:p w:rsidR="00AC5E54" w:rsidRDefault="00AC5E54" w:rsidP="00DE36C4">
      <w:pPr>
        <w:pStyle w:val="TA"/>
      </w:pPr>
      <w:r>
        <w:t xml:space="preserve">Direct students to form small groups in order to discuss the following questions on the text. </w:t>
      </w:r>
    </w:p>
    <w:p w:rsidR="00AC5E54" w:rsidRDefault="00AC5E54" w:rsidP="00513432">
      <w:pPr>
        <w:pStyle w:val="Q"/>
      </w:pPr>
      <w:r>
        <w:t xml:space="preserve">The word </w:t>
      </w:r>
      <w:r>
        <w:rPr>
          <w:i/>
        </w:rPr>
        <w:t>unprevailing</w:t>
      </w:r>
      <w:r w:rsidR="00B34065">
        <w:t xml:space="preserve"> (line 111)</w:t>
      </w:r>
      <w:r>
        <w:rPr>
          <w:i/>
        </w:rPr>
        <w:t xml:space="preserve"> </w:t>
      </w:r>
      <w:r w:rsidR="00A8509C">
        <w:t xml:space="preserve">means </w:t>
      </w:r>
      <w:r w:rsidR="00513A84">
        <w:t>“</w:t>
      </w:r>
      <w:r w:rsidR="00A8509C" w:rsidRPr="00513A84">
        <w:t>f</w:t>
      </w:r>
      <w:r w:rsidRPr="00513A84">
        <w:t>utile</w:t>
      </w:r>
      <w:r w:rsidR="00B34065" w:rsidRPr="00513A84">
        <w:t>, useless</w:t>
      </w:r>
      <w:r w:rsidR="00A8509C">
        <w:t>.</w:t>
      </w:r>
      <w:r w:rsidR="00513A84">
        <w:t>”</w:t>
      </w:r>
      <w:r>
        <w:t xml:space="preserve"> Given this definition, what is the meaning of Claudius’s phrase “unprevailing woe”?</w:t>
      </w:r>
    </w:p>
    <w:p w:rsidR="00AC5E54" w:rsidRPr="00CC30E0" w:rsidRDefault="00AC5E54" w:rsidP="00513432">
      <w:pPr>
        <w:pStyle w:val="SR"/>
      </w:pPr>
      <w:r>
        <w:t>It means “useless sadness,” referring to Hamlet’s grief for his father.</w:t>
      </w:r>
    </w:p>
    <w:p w:rsidR="00AC5E54" w:rsidRDefault="00AC5E54" w:rsidP="00815BEC">
      <w:pPr>
        <w:pStyle w:val="Q"/>
      </w:pPr>
      <w:r>
        <w:t>What does Claudius ask Hamlet to do in lines 110–111</w:t>
      </w:r>
      <w:r w:rsidR="00A8509C">
        <w:t xml:space="preserve"> (“We pray you, throw to earth</w:t>
      </w:r>
      <w:r w:rsidR="00621269">
        <w:t xml:space="preserve"> </w:t>
      </w:r>
      <w:r w:rsidR="00A8509C">
        <w:t>/</w:t>
      </w:r>
      <w:r w:rsidR="00621269">
        <w:t xml:space="preserve"> </w:t>
      </w:r>
      <w:r w:rsidR="00A8509C">
        <w:t>This unprevailing woe”)</w:t>
      </w:r>
      <w:r>
        <w:t>?</w:t>
      </w:r>
    </w:p>
    <w:p w:rsidR="00AC5E54" w:rsidRDefault="00AC5E54" w:rsidP="00513432">
      <w:pPr>
        <w:pStyle w:val="SR"/>
      </w:pPr>
      <w:r>
        <w:t>He asks him to stop mourning his father, to “throw to earth / This unprevailing woe.”</w:t>
      </w:r>
    </w:p>
    <w:p w:rsidR="00AC5E54" w:rsidRPr="000C75CD" w:rsidRDefault="00AC5E54" w:rsidP="00AA44C1">
      <w:pPr>
        <w:pStyle w:val="Q"/>
      </w:pPr>
      <w:r w:rsidRPr="00AA44C1">
        <w:t>What does “We pray you”</w:t>
      </w:r>
      <w:r w:rsidR="00B34065">
        <w:t xml:space="preserve"> (line 110)</w:t>
      </w:r>
      <w:r w:rsidRPr="00AA44C1">
        <w:t xml:space="preserve"> mean? </w:t>
      </w:r>
      <w:r w:rsidRPr="00D025BC">
        <w:t>What is the impact of “We</w:t>
      </w:r>
      <w:r w:rsidRPr="000C75CD">
        <w:t xml:space="preserve"> pray you” upon Claudius’s speech?</w:t>
      </w:r>
    </w:p>
    <w:p w:rsidR="00AC5E54" w:rsidRDefault="00AC5E54" w:rsidP="00815BEC">
      <w:pPr>
        <w:pStyle w:val="SR"/>
      </w:pPr>
      <w:r>
        <w:t xml:space="preserve">“We pray you” means “we ask you.” It softens the request, making it less of a command. </w:t>
      </w:r>
    </w:p>
    <w:p w:rsidR="00AC5E54" w:rsidRDefault="00AC5E54" w:rsidP="0039403B">
      <w:pPr>
        <w:pStyle w:val="IN"/>
      </w:pPr>
      <w:r>
        <w:t>To help scaffold students’ understanding of the impact of these words, consider asking them to eliminate those three words or to substitute another such as “command.”</w:t>
      </w:r>
    </w:p>
    <w:p w:rsidR="00AC5E54" w:rsidRPr="003D7B7C" w:rsidRDefault="00AC5E54" w:rsidP="003D7B7C">
      <w:pPr>
        <w:pStyle w:val="Q"/>
      </w:pPr>
      <w:r w:rsidRPr="003D7B7C">
        <w:t xml:space="preserve">How does </w:t>
      </w:r>
      <w:r w:rsidR="00D56118" w:rsidRPr="003D7B7C">
        <w:t xml:space="preserve">Claudius </w:t>
      </w:r>
      <w:r w:rsidRPr="003D7B7C">
        <w:t xml:space="preserve">develop </w:t>
      </w:r>
      <w:r w:rsidR="00D56118" w:rsidRPr="003D7B7C">
        <w:t>the</w:t>
      </w:r>
      <w:r w:rsidRPr="003D7B7C">
        <w:t xml:space="preserve"> central idea </w:t>
      </w:r>
      <w:r w:rsidR="00D56118" w:rsidRPr="003D7B7C">
        <w:t xml:space="preserve">of </w:t>
      </w:r>
      <w:r w:rsidRPr="003D7B7C">
        <w:t xml:space="preserve">mortality </w:t>
      </w:r>
      <w:r w:rsidR="00BA4437" w:rsidRPr="003D7B7C">
        <w:t>in line 111</w:t>
      </w:r>
      <w:r w:rsidR="00D56118" w:rsidRPr="003D7B7C">
        <w:t>?</w:t>
      </w:r>
      <w:r w:rsidRPr="003D7B7C">
        <w:t xml:space="preserve"> </w:t>
      </w:r>
      <w:r w:rsidR="00BA4437" w:rsidRPr="003D7B7C">
        <w:t>Where have we seen him make a similar argument before?</w:t>
      </w:r>
    </w:p>
    <w:p w:rsidR="00BA4437" w:rsidRDefault="00BA4437" w:rsidP="00815BEC">
      <w:pPr>
        <w:pStyle w:val="SR"/>
      </w:pPr>
      <w:r>
        <w:t>With the phrase “unprevailing woe</w:t>
      </w:r>
      <w:r w:rsidR="00384008">
        <w:t>,</w:t>
      </w:r>
      <w:r>
        <w:t>”</w:t>
      </w:r>
      <w:r w:rsidR="00AC5E54">
        <w:t xml:space="preserve"> Claudius </w:t>
      </w:r>
      <w:r>
        <w:t xml:space="preserve">emphasizes </w:t>
      </w:r>
      <w:r w:rsidR="00AC5E54">
        <w:t>the inevitability of mortality and the foolishness of refusing to accept it.</w:t>
      </w:r>
      <w:r>
        <w:t xml:space="preserve"> </w:t>
      </w:r>
      <w:r w:rsidR="00946212">
        <w:t xml:space="preserve">He makes a similar point in the first part of his monologue, when he points out to Hamlet that his father and his father’s father also lost their fathers. </w:t>
      </w:r>
    </w:p>
    <w:p w:rsidR="00AC5E54" w:rsidRDefault="003D7B7C" w:rsidP="00946212">
      <w:pPr>
        <w:pStyle w:val="TA"/>
      </w:pPr>
      <w:r>
        <w:t>Lead a brief full</w:t>
      </w:r>
      <w:r w:rsidR="00AC5E54">
        <w:t>-class discussion to check for comprehension in which student groups share out their responses to the questions. Note ideas on the board.</w:t>
      </w:r>
    </w:p>
    <w:p w:rsidR="00AC5E54" w:rsidRDefault="00AC5E54" w:rsidP="008F74EC">
      <w:pPr>
        <w:pStyle w:val="BR"/>
      </w:pPr>
    </w:p>
    <w:p w:rsidR="00AC5E54" w:rsidRDefault="00AC5E54" w:rsidP="00513432">
      <w:pPr>
        <w:pStyle w:val="TA"/>
      </w:pPr>
      <w:r>
        <w:t xml:space="preserve">Instruct students to return to their groups in order to answer further questions on the text. </w:t>
      </w:r>
    </w:p>
    <w:p w:rsidR="00AC5E54" w:rsidRDefault="00AC5E54" w:rsidP="00CE0821">
      <w:pPr>
        <w:pStyle w:val="Q"/>
      </w:pPr>
      <w:r>
        <w:t>What does it mean for Hamlet to be “the most immediate to our throne”</w:t>
      </w:r>
      <w:r w:rsidR="00B34065">
        <w:t xml:space="preserve"> (line 113)</w:t>
      </w:r>
      <w:r>
        <w:t>?</w:t>
      </w:r>
    </w:p>
    <w:p w:rsidR="00AC5E54" w:rsidRDefault="00AC5E54" w:rsidP="00CE0821">
      <w:pPr>
        <w:pStyle w:val="SR"/>
      </w:pPr>
      <w:r>
        <w:t>He is the heir to the throne; he will beco</w:t>
      </w:r>
      <w:r w:rsidR="00996B90">
        <w:t>me k</w:t>
      </w:r>
      <w:r>
        <w:t>ing after Claudius.</w:t>
      </w:r>
    </w:p>
    <w:p w:rsidR="00AC5E54" w:rsidRDefault="00AC5E54" w:rsidP="00CE0821">
      <w:pPr>
        <w:pStyle w:val="IN"/>
      </w:pPr>
      <w:r>
        <w:t>If students struggle</w:t>
      </w:r>
      <w:r w:rsidR="00C25BDA">
        <w:t xml:space="preserve"> with this, ask them to define </w:t>
      </w:r>
      <w:r w:rsidR="00C25BDA" w:rsidRPr="00C25BDA">
        <w:rPr>
          <w:i/>
        </w:rPr>
        <w:t>immediate</w:t>
      </w:r>
      <w:r>
        <w:t xml:space="preserve"> in the context of the phrase “immediate futu</w:t>
      </w:r>
      <w:r w:rsidR="00C25BDA">
        <w:t xml:space="preserve">re”; here, </w:t>
      </w:r>
      <w:r w:rsidR="00C25BDA" w:rsidRPr="00C25BDA">
        <w:rPr>
          <w:i/>
        </w:rPr>
        <w:t>immediate</w:t>
      </w:r>
      <w:r w:rsidR="00C25BDA">
        <w:t xml:space="preserve"> means </w:t>
      </w:r>
      <w:r w:rsidR="00D379A0">
        <w:t>“</w:t>
      </w:r>
      <w:r w:rsidR="00C25BDA" w:rsidRPr="00D379A0">
        <w:rPr>
          <w:rFonts w:asciiTheme="minorHAnsi" w:hAnsiTheme="minorHAnsi" w:cs="Verdana"/>
        </w:rPr>
        <w:t>following or preceding without a lapse of time</w:t>
      </w:r>
      <w:r>
        <w:t>.</w:t>
      </w:r>
      <w:r w:rsidR="00D379A0">
        <w:t>”</w:t>
      </w:r>
      <w:r>
        <w:t xml:space="preserve"> </w:t>
      </w:r>
    </w:p>
    <w:p w:rsidR="00AC5E54" w:rsidRPr="00154978" w:rsidRDefault="00AC5E54" w:rsidP="00154978">
      <w:pPr>
        <w:pStyle w:val="TA"/>
      </w:pPr>
      <w:r>
        <w:t xml:space="preserve">Explain to students that the word </w:t>
      </w:r>
      <w:r>
        <w:rPr>
          <w:i/>
        </w:rPr>
        <w:t>retrograde</w:t>
      </w:r>
      <w:r>
        <w:t xml:space="preserve"> here means “opposite, contrary.” </w:t>
      </w:r>
    </w:p>
    <w:p w:rsidR="00AC5E54" w:rsidRDefault="00AC5E54" w:rsidP="007352CF">
      <w:pPr>
        <w:pStyle w:val="Q"/>
      </w:pPr>
      <w:r>
        <w:t xml:space="preserve">How does Claudius react to Hamlet’s intention to return to school? How does the word </w:t>
      </w:r>
      <w:r w:rsidRPr="00534E62">
        <w:rPr>
          <w:i/>
        </w:rPr>
        <w:t>retrograde</w:t>
      </w:r>
      <w:r>
        <w:t xml:space="preserve"> </w:t>
      </w:r>
      <w:r w:rsidR="00A8509C">
        <w:t xml:space="preserve">(line 118) </w:t>
      </w:r>
      <w:r>
        <w:t>help you to understand his reaction?</w:t>
      </w:r>
    </w:p>
    <w:p w:rsidR="00AC5E54" w:rsidRDefault="00AC5E54" w:rsidP="004C20C9">
      <w:pPr>
        <w:pStyle w:val="SR"/>
      </w:pPr>
      <w:r>
        <w:t xml:space="preserve">He is displeased. The word </w:t>
      </w:r>
      <w:r w:rsidRPr="00534E62">
        <w:rPr>
          <w:i/>
        </w:rPr>
        <w:t>retrograde</w:t>
      </w:r>
      <w:r>
        <w:t xml:space="preserve"> indicates that he</w:t>
      </w:r>
      <w:r w:rsidR="00C91A4B">
        <w:t xml:space="preserve"> does not want Hamlet to leave.</w:t>
      </w:r>
    </w:p>
    <w:p w:rsidR="00AC5E54" w:rsidRDefault="00AC5E54" w:rsidP="008F74EC">
      <w:pPr>
        <w:pStyle w:val="Q"/>
        <w:rPr>
          <w:color w:val="000000"/>
          <w:sz w:val="23"/>
          <w:szCs w:val="23"/>
        </w:rPr>
      </w:pPr>
      <w:r>
        <w:rPr>
          <w:color w:val="000000"/>
          <w:sz w:val="23"/>
          <w:szCs w:val="23"/>
        </w:rPr>
        <w:t>What position does Claudius offer Hamlet</w:t>
      </w:r>
      <w:r w:rsidR="00B34065">
        <w:rPr>
          <w:color w:val="000000"/>
          <w:sz w:val="23"/>
          <w:szCs w:val="23"/>
        </w:rPr>
        <w:t xml:space="preserve"> in line 121</w:t>
      </w:r>
      <w:r w:rsidR="00A8509C">
        <w:rPr>
          <w:color w:val="000000"/>
          <w:sz w:val="23"/>
          <w:szCs w:val="23"/>
        </w:rPr>
        <w:t xml:space="preserve"> (“Our chiefest courtier, cousin and our son”)</w:t>
      </w:r>
      <w:r>
        <w:rPr>
          <w:color w:val="000000"/>
          <w:sz w:val="23"/>
          <w:szCs w:val="23"/>
        </w:rPr>
        <w:t>?</w:t>
      </w:r>
    </w:p>
    <w:p w:rsidR="00AC5E54" w:rsidRDefault="00AC5E54" w:rsidP="00534E62">
      <w:pPr>
        <w:pStyle w:val="SR"/>
      </w:pPr>
      <w:r>
        <w:t>He offers him the highest position at court, as a prominent courtier, nobleman</w:t>
      </w:r>
      <w:r w:rsidR="009568D6">
        <w:t>,</w:t>
      </w:r>
      <w:r>
        <w:t xml:space="preserve"> and Claudius’s son.</w:t>
      </w:r>
    </w:p>
    <w:p w:rsidR="00AC5E54" w:rsidRDefault="00AC5E54" w:rsidP="004C20C9">
      <w:pPr>
        <w:pStyle w:val="Q"/>
      </w:pPr>
      <w:r>
        <w:t xml:space="preserve">Explain the meaning of </w:t>
      </w:r>
      <w:r w:rsidRPr="00513432">
        <w:rPr>
          <w:i/>
        </w:rPr>
        <w:t>chiefest courtier</w:t>
      </w:r>
      <w:r w:rsidR="009F724A">
        <w:t>.</w:t>
      </w:r>
    </w:p>
    <w:p w:rsidR="00AC5E54" w:rsidRDefault="00AC5E54" w:rsidP="00C25BDA">
      <w:pPr>
        <w:pStyle w:val="SR"/>
      </w:pPr>
      <w:r>
        <w:t xml:space="preserve">It means to be the </w:t>
      </w:r>
      <w:r w:rsidR="00772AE0">
        <w:t>most important person in attendance at the court of a king or other royal personage</w:t>
      </w:r>
      <w:r>
        <w:t xml:space="preserve">. </w:t>
      </w:r>
    </w:p>
    <w:p w:rsidR="00C25BDA" w:rsidRPr="00C25BDA" w:rsidRDefault="00597FFD" w:rsidP="00227297">
      <w:pPr>
        <w:pStyle w:val="IN"/>
      </w:pPr>
      <w:r w:rsidRPr="003B6FB7">
        <w:rPr>
          <w:b/>
        </w:rPr>
        <w:t>Differentiation Consideration</w:t>
      </w:r>
      <w:r>
        <w:t>:</w:t>
      </w:r>
      <w:r w:rsidR="00AC5E54">
        <w:t xml:space="preserve"> </w:t>
      </w:r>
      <w:r w:rsidR="00384008">
        <w:t>A</w:t>
      </w:r>
      <w:r w:rsidR="00AC5E54">
        <w:t>sk students</w:t>
      </w:r>
      <w:r w:rsidR="00C25BDA">
        <w:t xml:space="preserve"> which common word they see in </w:t>
      </w:r>
      <w:r w:rsidR="00C25BDA" w:rsidRPr="00C25BDA">
        <w:rPr>
          <w:i/>
        </w:rPr>
        <w:t>courtier</w:t>
      </w:r>
      <w:r w:rsidR="00C25BDA">
        <w:t xml:space="preserve">. They should see </w:t>
      </w:r>
      <w:r w:rsidR="00AC5E54" w:rsidRPr="00C25BDA">
        <w:rPr>
          <w:i/>
        </w:rPr>
        <w:t>c</w:t>
      </w:r>
      <w:r w:rsidR="00C25BDA" w:rsidRPr="00C25BDA">
        <w:rPr>
          <w:i/>
        </w:rPr>
        <w:t>ourt</w:t>
      </w:r>
      <w:r w:rsidR="00C25BDA">
        <w:t>.</w:t>
      </w:r>
      <w:r w:rsidR="00AC5E54">
        <w:t xml:space="preserve"> Ask for definitions of a court, which can mean </w:t>
      </w:r>
      <w:r w:rsidR="009568D6">
        <w:t>“</w:t>
      </w:r>
      <w:r w:rsidR="00AC5E54" w:rsidRPr="009568D6">
        <w:t xml:space="preserve">a place </w:t>
      </w:r>
      <w:r w:rsidR="00C25BDA" w:rsidRPr="009568D6">
        <w:t>where</w:t>
      </w:r>
      <w:r w:rsidR="00AC5E54" w:rsidRPr="009568D6">
        <w:t xml:space="preserve"> justice</w:t>
      </w:r>
      <w:r w:rsidR="00C25BDA" w:rsidRPr="009568D6">
        <w:t xml:space="preserve"> is administered</w:t>
      </w:r>
      <w:r w:rsidR="00AC5E54" w:rsidRPr="009568D6">
        <w:t xml:space="preserve">, </w:t>
      </w:r>
      <w:r w:rsidR="00C25BDA" w:rsidRPr="009568D6">
        <w:t>an area open to the sky and mostly or entirely surrounded by buildings</w:t>
      </w:r>
      <w:r w:rsidR="009568D6">
        <w:t>”</w:t>
      </w:r>
      <w:r w:rsidR="00AC5E54" w:rsidRPr="009568D6">
        <w:t xml:space="preserve"> or, here </w:t>
      </w:r>
      <w:r w:rsidR="009568D6">
        <w:t>“</w:t>
      </w:r>
      <w:r w:rsidR="00AC5E54" w:rsidRPr="009568D6">
        <w:t xml:space="preserve">the </w:t>
      </w:r>
      <w:r w:rsidR="003B6FB7" w:rsidRPr="009568D6">
        <w:t>family and retinue of a sovereign</w:t>
      </w:r>
      <w:r w:rsidR="00AC5E54">
        <w:t>.</w:t>
      </w:r>
      <w:r w:rsidR="009568D6">
        <w:t>”</w:t>
      </w:r>
      <w:r w:rsidR="00AC5E54">
        <w:t xml:space="preserve"> A </w:t>
      </w:r>
      <w:r w:rsidR="00AC5E54" w:rsidRPr="00C25BDA">
        <w:rPr>
          <w:i/>
        </w:rPr>
        <w:t>courtier</w:t>
      </w:r>
      <w:r w:rsidR="00AC5E54">
        <w:t xml:space="preserve"> is </w:t>
      </w:r>
      <w:r w:rsidR="009568D6">
        <w:t>“</w:t>
      </w:r>
      <w:r w:rsidR="00C25BDA" w:rsidRPr="009568D6">
        <w:t>a person who is often in attendance at the court of a king or other royal personage</w:t>
      </w:r>
      <w:r w:rsidR="00C25BDA">
        <w:t>.</w:t>
      </w:r>
      <w:r w:rsidR="009568D6">
        <w:t>”</w:t>
      </w:r>
      <w:r w:rsidR="00C25BDA" w:rsidRPr="00C25BDA">
        <w:t xml:space="preserve"> </w:t>
      </w:r>
    </w:p>
    <w:p w:rsidR="00DD23DC" w:rsidRDefault="00597FFD" w:rsidP="00227297">
      <w:pPr>
        <w:pStyle w:val="IN"/>
      </w:pPr>
      <w:r w:rsidRPr="003B6FB7">
        <w:rPr>
          <w:b/>
        </w:rPr>
        <w:t>Differentiation Consideration</w:t>
      </w:r>
      <w:r>
        <w:t xml:space="preserve">: </w:t>
      </w:r>
      <w:r w:rsidR="00DD23DC">
        <w:t>A</w:t>
      </w:r>
      <w:r w:rsidR="00AC5E54">
        <w:t xml:space="preserve">sk students which common word they see in </w:t>
      </w:r>
      <w:r w:rsidR="00AC5E54" w:rsidRPr="00C25BDA">
        <w:rPr>
          <w:i/>
        </w:rPr>
        <w:t>chiefest</w:t>
      </w:r>
      <w:r w:rsidR="00AC5E54">
        <w:t xml:space="preserve">. They should identify </w:t>
      </w:r>
      <w:r w:rsidR="00AC5E54" w:rsidRPr="00C25BDA">
        <w:rPr>
          <w:i/>
        </w:rPr>
        <w:t>chief</w:t>
      </w:r>
      <w:r w:rsidR="00AC5E54">
        <w:t xml:space="preserve">. </w:t>
      </w:r>
      <w:r w:rsidR="00DD23DC">
        <w:t xml:space="preserve">Ask students to infer the meaning of </w:t>
      </w:r>
      <w:r w:rsidR="00DD23DC">
        <w:rPr>
          <w:i/>
        </w:rPr>
        <w:t>chiefest</w:t>
      </w:r>
      <w:r w:rsidR="00DD23DC">
        <w:t xml:space="preserve"> as </w:t>
      </w:r>
      <w:r w:rsidR="003A0B2E">
        <w:t>“</w:t>
      </w:r>
      <w:r w:rsidR="00DD23DC" w:rsidRPr="003A0B2E">
        <w:t>most important</w:t>
      </w:r>
      <w:r w:rsidR="00DD23DC">
        <w:t>.</w:t>
      </w:r>
      <w:r w:rsidR="003A0B2E">
        <w:t>”</w:t>
      </w:r>
    </w:p>
    <w:p w:rsidR="00AC5E54" w:rsidRPr="00DD383B" w:rsidRDefault="00DD23DC" w:rsidP="00227297">
      <w:pPr>
        <w:pStyle w:val="IN"/>
      </w:pPr>
      <w:r>
        <w:rPr>
          <w:b/>
        </w:rPr>
        <w:t xml:space="preserve">Differentiation Consideration: </w:t>
      </w:r>
      <w:r>
        <w:t>If students continue to struggle, e</w:t>
      </w:r>
      <w:r w:rsidR="00AC5E54">
        <w:t xml:space="preserve">xplain that </w:t>
      </w:r>
      <w:r w:rsidR="00AC5E54" w:rsidRPr="00772AE0">
        <w:rPr>
          <w:i/>
        </w:rPr>
        <w:t>chief</w:t>
      </w:r>
      <w:r w:rsidR="00AC5E54">
        <w:t xml:space="preserve"> is being used here as an adjective</w:t>
      </w:r>
      <w:r w:rsidR="00772AE0">
        <w:t xml:space="preserve">, meaning </w:t>
      </w:r>
      <w:r w:rsidR="00516EB8">
        <w:t>“</w:t>
      </w:r>
      <w:r w:rsidR="00772AE0" w:rsidRPr="00516EB8">
        <w:t>highest in rank or authority; most important; principal</w:t>
      </w:r>
      <w:r w:rsidR="00AC5E54">
        <w:t>.</w:t>
      </w:r>
      <w:r w:rsidR="00516EB8">
        <w:t>”</w:t>
      </w:r>
      <w:r w:rsidR="00AC5E54">
        <w:t xml:space="preserve"> Ask students to identify the function of the suffix </w:t>
      </w:r>
      <w:r w:rsidR="00AC5E54" w:rsidRPr="00C25BDA">
        <w:rPr>
          <w:i/>
        </w:rPr>
        <w:t>–est</w:t>
      </w:r>
      <w:r w:rsidR="00AC5E54">
        <w:t xml:space="preserve">. They should recognize that it indicates a superlative. </w:t>
      </w:r>
      <w:r w:rsidR="00AC5E54" w:rsidRPr="00C25BDA">
        <w:rPr>
          <w:i/>
        </w:rPr>
        <w:t>Chiefest</w:t>
      </w:r>
      <w:r w:rsidR="00AC5E54">
        <w:t xml:space="preserve"> here means </w:t>
      </w:r>
      <w:r w:rsidR="00516EB8">
        <w:t>“</w:t>
      </w:r>
      <w:r w:rsidR="00AC5E54" w:rsidRPr="00516EB8">
        <w:t>most important</w:t>
      </w:r>
      <w:r w:rsidR="00AC5E54">
        <w:t>.</w:t>
      </w:r>
      <w:r w:rsidR="00516EB8">
        <w:t>”</w:t>
      </w:r>
      <w:r w:rsidR="00AC5E54">
        <w:t xml:space="preserve"> </w:t>
      </w:r>
    </w:p>
    <w:p w:rsidR="00AC5E54" w:rsidRDefault="00AC5E54" w:rsidP="00513432">
      <w:pPr>
        <w:pStyle w:val="IN"/>
      </w:pPr>
      <w:r>
        <w:t>Explain that in Elizabethan times, it was common for noblemen of the same or similar rank to address each other as “cousin.”</w:t>
      </w:r>
    </w:p>
    <w:p w:rsidR="00AC5E54" w:rsidRDefault="00AC5E54" w:rsidP="00DD383B">
      <w:pPr>
        <w:pStyle w:val="Q"/>
      </w:pPr>
      <w:r>
        <w:t>What is the impact of placing the word “son” at the end of both the line and the speech itself</w:t>
      </w:r>
      <w:r w:rsidR="00B34065">
        <w:t xml:space="preserve"> in line 121</w:t>
      </w:r>
      <w:r>
        <w:t>?</w:t>
      </w:r>
    </w:p>
    <w:p w:rsidR="00AC5E54" w:rsidRDefault="00AC5E54" w:rsidP="00DE36C4">
      <w:pPr>
        <w:pStyle w:val="SR"/>
      </w:pPr>
      <w:r>
        <w:t xml:space="preserve">It emphasizes the word “son” by making it the climax of the line, the sentence and the entire speech by someone who isn’t Hamlet’s father but is attempting to take his place. </w:t>
      </w:r>
    </w:p>
    <w:p w:rsidR="00502717" w:rsidRDefault="00990A37" w:rsidP="00502717">
      <w:pPr>
        <w:pStyle w:val="Q"/>
      </w:pPr>
      <w:r>
        <w:t>How does</w:t>
      </w:r>
      <w:r w:rsidR="00502717">
        <w:t xml:space="preserve"> Claudius’</w:t>
      </w:r>
      <w:r>
        <w:t>s use of language</w:t>
      </w:r>
      <w:r w:rsidR="00502717">
        <w:t xml:space="preserve"> </w:t>
      </w:r>
      <w:r>
        <w:t xml:space="preserve">demonstrate his </w:t>
      </w:r>
      <w:r w:rsidR="00502717">
        <w:t>level of comfort with his new position as king?</w:t>
      </w:r>
    </w:p>
    <w:p w:rsidR="00EC69CD" w:rsidRDefault="00EC69CD" w:rsidP="00502717">
      <w:pPr>
        <w:pStyle w:val="SR"/>
      </w:pPr>
      <w:r>
        <w:t>Student responses may include:</w:t>
      </w:r>
    </w:p>
    <w:p w:rsidR="00502717" w:rsidRDefault="00502717" w:rsidP="00EC69CD">
      <w:pPr>
        <w:pStyle w:val="SASRBullet"/>
      </w:pPr>
      <w:r>
        <w:t xml:space="preserve">Claudius’s use of the “royal we” suggests he is a very authoritative figure, comfortable in his role as king. </w:t>
      </w:r>
    </w:p>
    <w:p w:rsidR="00502717" w:rsidRDefault="00502717" w:rsidP="0039403B">
      <w:pPr>
        <w:pStyle w:val="SASRBullet"/>
      </w:pPr>
      <w:r>
        <w:t>He uses language of authority, for example “let the world take note”</w:t>
      </w:r>
      <w:r w:rsidR="00A77B3D">
        <w:t xml:space="preserve"> (line 112)</w:t>
      </w:r>
      <w:r w:rsidR="00DA2118">
        <w:t>.</w:t>
      </w:r>
    </w:p>
    <w:p w:rsidR="00990A37" w:rsidRDefault="00990A37" w:rsidP="0039403B">
      <w:pPr>
        <w:pStyle w:val="SASRBullet"/>
      </w:pPr>
      <w:r>
        <w:t>He “imparts” love to Hamlet, as though it were a privilege or honor</w:t>
      </w:r>
      <w:r w:rsidR="00A77B3D">
        <w:t xml:space="preserve"> (line 116)</w:t>
      </w:r>
      <w:r>
        <w:t>.</w:t>
      </w:r>
    </w:p>
    <w:p w:rsidR="00502717" w:rsidRDefault="00990A37" w:rsidP="0039403B">
      <w:pPr>
        <w:pStyle w:val="SASRBullet"/>
      </w:pPr>
      <w:r>
        <w:t>He offers Hamlet a position, a reminder of his power.</w:t>
      </w:r>
    </w:p>
    <w:p w:rsidR="00662D2E" w:rsidRDefault="00662D2E" w:rsidP="0039403B">
      <w:pPr>
        <w:pStyle w:val="Q"/>
      </w:pPr>
      <w:r>
        <w:t xml:space="preserve">What kind of relationship does Claudius attempt to establish with </w:t>
      </w:r>
      <w:r w:rsidR="00502717">
        <w:t>Hamlet in lines 111</w:t>
      </w:r>
      <w:r w:rsidR="00EC69CD">
        <w:t>–</w:t>
      </w:r>
      <w:r w:rsidR="00502717">
        <w:t>121?</w:t>
      </w:r>
    </w:p>
    <w:p w:rsidR="00EC69CD" w:rsidRDefault="00EC69CD" w:rsidP="00DE36C4">
      <w:pPr>
        <w:pStyle w:val="SR"/>
      </w:pPr>
      <w:r>
        <w:t>Student responses may include:</w:t>
      </w:r>
    </w:p>
    <w:p w:rsidR="00990A37" w:rsidRDefault="00990A37" w:rsidP="00EC69CD">
      <w:pPr>
        <w:pStyle w:val="SASRBullet"/>
      </w:pPr>
      <w:r>
        <w:t>He a</w:t>
      </w:r>
      <w:r w:rsidR="00502717">
        <w:t>sks h</w:t>
      </w:r>
      <w:r>
        <w:t>im to think of him as a father, and offers him the highest place at court, suggesting he wants a close and affectionate relationship</w:t>
      </w:r>
      <w:r w:rsidR="00DA2118">
        <w:t>.</w:t>
      </w:r>
    </w:p>
    <w:p w:rsidR="00990A37" w:rsidRDefault="00990A37" w:rsidP="0039403B">
      <w:pPr>
        <w:pStyle w:val="SASRBullet"/>
      </w:pPr>
      <w:r>
        <w:t xml:space="preserve">He is being manipulative, trying to exercise power over Hamlet: he </w:t>
      </w:r>
      <w:r w:rsidR="00502717">
        <w:t xml:space="preserve">asks him not to go back to school, </w:t>
      </w:r>
      <w:r>
        <w:t>offering a position of power as a bribe. He is trying to take the place of Hamlet’s</w:t>
      </w:r>
      <w:r w:rsidR="00830E23">
        <w:t xml:space="preserve"> father</w:t>
      </w:r>
      <w:r>
        <w:t>.</w:t>
      </w:r>
    </w:p>
    <w:p w:rsidR="00AC5E54" w:rsidRPr="00B34065" w:rsidRDefault="00AC5E54" w:rsidP="008D2ABA">
      <w:pPr>
        <w:pStyle w:val="LearningSequenceHeader"/>
        <w:rPr>
          <w:i w:val="0"/>
        </w:rPr>
      </w:pPr>
      <w:r w:rsidRPr="00B34065">
        <w:rPr>
          <w:i w:val="0"/>
        </w:rPr>
        <w:t xml:space="preserve">Activity 5: </w:t>
      </w:r>
      <w:r w:rsidR="00092792" w:rsidRPr="00B34065">
        <w:rPr>
          <w:i w:val="0"/>
        </w:rPr>
        <w:t>Group Discussion</w:t>
      </w:r>
      <w:r w:rsidRPr="00B34065">
        <w:rPr>
          <w:i w:val="0"/>
        </w:rPr>
        <w:tab/>
        <w:t>20%</w:t>
      </w:r>
    </w:p>
    <w:p w:rsidR="00906581" w:rsidRDefault="00092792" w:rsidP="00B74AA7">
      <w:pPr>
        <w:pStyle w:val="TA"/>
      </w:pPr>
      <w:r>
        <w:t xml:space="preserve">Direct students to form new small groups in order to discuss the following question: </w:t>
      </w:r>
    </w:p>
    <w:p w:rsidR="00531A8A" w:rsidRDefault="00531A8A" w:rsidP="0039403B">
      <w:pPr>
        <w:pStyle w:val="Q"/>
      </w:pPr>
      <w:r>
        <w:t>How does Claudius’s monologue set up a conflict between the characters of Hamlet and Claudius? Cite textual evidence to support your response.</w:t>
      </w:r>
    </w:p>
    <w:p w:rsidR="00BB542E" w:rsidRDefault="00BB542E" w:rsidP="0039403B">
      <w:pPr>
        <w:pStyle w:val="SR"/>
      </w:pPr>
      <w:r>
        <w:t xml:space="preserve">Student responses </w:t>
      </w:r>
      <w:r w:rsidR="00CB62CE">
        <w:t>may include the following</w:t>
      </w:r>
    </w:p>
    <w:p w:rsidR="00CB62CE" w:rsidRDefault="00CB62CE" w:rsidP="000B5DD2">
      <w:pPr>
        <w:pStyle w:val="SASRBullet"/>
      </w:pPr>
      <w:r>
        <w:t>Claudius criticizes Hamlet severely in his monologue: he calls his continued mourning for his father “obstinate condolement”</w:t>
      </w:r>
      <w:r w:rsidR="00B15387">
        <w:t xml:space="preserve"> (line 97)</w:t>
      </w:r>
      <w:r>
        <w:t xml:space="preserve"> and “impious stubbornness”</w:t>
      </w:r>
      <w:r w:rsidR="00B15387">
        <w:t>(line 98)</w:t>
      </w:r>
      <w:r>
        <w:t xml:space="preserve"> and cl</w:t>
      </w:r>
      <w:r w:rsidR="00B15387">
        <w:t>aims that his grief is “unmanly</w:t>
      </w:r>
      <w:r>
        <w:t>”</w:t>
      </w:r>
      <w:r w:rsidR="00B15387">
        <w:t xml:space="preserve"> (line 98).</w:t>
      </w:r>
    </w:p>
    <w:p w:rsidR="00CB62CE" w:rsidRDefault="00830E23" w:rsidP="0039403B">
      <w:pPr>
        <w:pStyle w:val="SASRBullet"/>
      </w:pPr>
      <w:r>
        <w:t>Claudius is attempting to exert his authority over Hamlet: he uses authoritarian language and tells Hamlet that his desire to return to Wittenberg is</w:t>
      </w:r>
      <w:r w:rsidR="00B15387">
        <w:t xml:space="preserve"> “most retrograde to our desire</w:t>
      </w:r>
      <w:r>
        <w:t>”</w:t>
      </w:r>
      <w:r w:rsidR="00B15387">
        <w:t xml:space="preserve"> (line 118)</w:t>
      </w:r>
      <w:r w:rsidR="003A20DD">
        <w:t>.</w:t>
      </w:r>
      <w:r>
        <w:t xml:space="preserve"> </w:t>
      </w:r>
    </w:p>
    <w:p w:rsidR="00830E23" w:rsidRDefault="00830E23" w:rsidP="0039403B">
      <w:pPr>
        <w:pStyle w:val="SASRBullet"/>
      </w:pPr>
      <w:r>
        <w:t xml:space="preserve">Claudius is trying to take the place of Hamlet’s father, having already taken his place as King. </w:t>
      </w:r>
    </w:p>
    <w:p w:rsidR="00830E23" w:rsidRDefault="00830E23" w:rsidP="0039403B">
      <w:pPr>
        <w:pStyle w:val="SASRBullet"/>
      </w:pPr>
      <w:r>
        <w:t xml:space="preserve">Claudius is manipulative: he wants Hamlet </w:t>
      </w:r>
      <w:r w:rsidR="00B15387">
        <w:t>to think of him “</w:t>
      </w:r>
      <w:r w:rsidR="00FD708D">
        <w:t xml:space="preserve">as </w:t>
      </w:r>
      <w:r w:rsidR="00B15387">
        <w:t>of a father</w:t>
      </w:r>
      <w:r>
        <w:t>”</w:t>
      </w:r>
      <w:r w:rsidR="00B15387">
        <w:t xml:space="preserve"> (line 112)</w:t>
      </w:r>
      <w:r>
        <w:t xml:space="preserve"> so that he can control him, for example by offering him a place at court in return for his obedience. </w:t>
      </w:r>
    </w:p>
    <w:p w:rsidR="00AC5E54" w:rsidRDefault="00830E23" w:rsidP="0039403B">
      <w:pPr>
        <w:pStyle w:val="IN"/>
      </w:pPr>
      <w:r>
        <w:t xml:space="preserve">If students struggle, consider using the Character Evidence Gathering Tool as scaffolding. </w:t>
      </w:r>
      <w:r w:rsidR="00AC5E54">
        <w:t xml:space="preserve">Instruct students to </w:t>
      </w:r>
      <w:r w:rsidR="00FD708D">
        <w:t>note characteristics on</w:t>
      </w:r>
      <w:r w:rsidR="00AC5E54">
        <w:t xml:space="preserve"> the </w:t>
      </w:r>
      <w:r w:rsidR="00FD708D">
        <w:t>t</w:t>
      </w:r>
      <w:r w:rsidR="00AC5E54">
        <w:t>ool. For each characteristic they note, students must explain their observation and justify it with textual evidence.</w:t>
      </w:r>
    </w:p>
    <w:p w:rsidR="00AC5E54" w:rsidRPr="00B34065" w:rsidRDefault="00AC5E54" w:rsidP="008D2ABA">
      <w:pPr>
        <w:pStyle w:val="LearningSequenceHeader"/>
        <w:rPr>
          <w:i w:val="0"/>
        </w:rPr>
      </w:pPr>
      <w:r w:rsidRPr="00B34065">
        <w:rPr>
          <w:i w:val="0"/>
        </w:rPr>
        <w:t xml:space="preserve">Activity 6: Quick Write </w:t>
      </w:r>
      <w:r w:rsidRPr="00B34065">
        <w:rPr>
          <w:i w:val="0"/>
        </w:rPr>
        <w:tab/>
        <w:t>10%</w:t>
      </w:r>
    </w:p>
    <w:p w:rsidR="00AC5E54" w:rsidRDefault="00AC5E54" w:rsidP="004141DF">
      <w:pPr>
        <w:pStyle w:val="TA"/>
      </w:pPr>
      <w:r>
        <w:t>Instruct students to respond briefly in</w:t>
      </w:r>
      <w:r w:rsidRPr="00683015">
        <w:t xml:space="preserve"> </w:t>
      </w:r>
      <w:r>
        <w:t xml:space="preserve">writing </w:t>
      </w:r>
      <w:r w:rsidRPr="00683015">
        <w:t>to the following prompt:</w:t>
      </w:r>
      <w:r>
        <w:t xml:space="preserve"> </w:t>
      </w:r>
    </w:p>
    <w:p w:rsidR="00AC5E54" w:rsidRPr="004141DF" w:rsidRDefault="00AC5E54" w:rsidP="004141DF">
      <w:pPr>
        <w:pStyle w:val="TA"/>
        <w:rPr>
          <w:b/>
        </w:rPr>
      </w:pPr>
      <w:r w:rsidRPr="004141DF">
        <w:rPr>
          <w:b/>
        </w:rPr>
        <w:t>How does Shakespeare develop the character of Claudius in lines 110</w:t>
      </w:r>
      <w:r>
        <w:rPr>
          <w:b/>
        </w:rPr>
        <w:t>–</w:t>
      </w:r>
      <w:r w:rsidRPr="004141DF">
        <w:rPr>
          <w:b/>
        </w:rPr>
        <w:t>121?</w:t>
      </w:r>
    </w:p>
    <w:p w:rsidR="00AC5E54" w:rsidRDefault="00AC5E54" w:rsidP="004141DF">
      <w:pPr>
        <w:pStyle w:val="TA"/>
      </w:pPr>
      <w:r>
        <w:t>Instruct students to look at their text and notes to find evidence. Remind students to use the Short Response Rubric</w:t>
      </w:r>
      <w:r w:rsidR="00D544ED">
        <w:t xml:space="preserve"> and Checklist</w:t>
      </w:r>
      <w:r>
        <w:t xml:space="preserve"> to guide their written response. </w:t>
      </w:r>
    </w:p>
    <w:p w:rsidR="00AC5E54" w:rsidRDefault="00AC5E54" w:rsidP="004141DF">
      <w:pPr>
        <w:pStyle w:val="SA"/>
      </w:pPr>
      <w:r>
        <w:t>Students listen and read the Quick Write prompt.</w:t>
      </w:r>
    </w:p>
    <w:p w:rsidR="00AC5E54" w:rsidRDefault="00AC5E54" w:rsidP="004141DF">
      <w:pPr>
        <w:pStyle w:val="IN"/>
      </w:pPr>
      <w:r>
        <w:t>Display the prompt for students to see</w:t>
      </w:r>
      <w:r w:rsidR="00FD708D">
        <w:t>,</w:t>
      </w:r>
      <w:r>
        <w:t xml:space="preserve"> or provide the prompt in hard copy.</w:t>
      </w:r>
    </w:p>
    <w:p w:rsidR="00AC5E54" w:rsidRDefault="00AC5E54" w:rsidP="004141DF">
      <w:pPr>
        <w:pStyle w:val="TA"/>
      </w:pPr>
      <w:r>
        <w:t>Transition students to the independent Quick Write.</w:t>
      </w:r>
    </w:p>
    <w:p w:rsidR="00FD708D" w:rsidRDefault="00AC5E54" w:rsidP="00707670">
      <w:pPr>
        <w:pStyle w:val="SA"/>
      </w:pPr>
      <w:r>
        <w:t xml:space="preserve">Students independently answer the prompt, using evidence from the text. </w:t>
      </w:r>
    </w:p>
    <w:p w:rsidR="00AC5E54" w:rsidRDefault="00AC5E54" w:rsidP="00FD708D">
      <w:pPr>
        <w:pStyle w:val="SR"/>
      </w:pPr>
      <w:r>
        <w:t xml:space="preserve">See the High Performance Response at the beginning of this lesson. </w:t>
      </w:r>
    </w:p>
    <w:p w:rsidR="00583DB9" w:rsidRPr="00286C6B" w:rsidRDefault="00583DB9" w:rsidP="00583DB9">
      <w:pPr>
        <w:pStyle w:val="IN"/>
      </w:pPr>
      <w:r>
        <w:t>Keep Quick Writes from this lesson, because students will refer back to them in 11.1.2 Lesson 4.</w:t>
      </w:r>
    </w:p>
    <w:p w:rsidR="00AC5E54" w:rsidRPr="00B34065" w:rsidRDefault="00AC5E54" w:rsidP="00CE2836">
      <w:pPr>
        <w:pStyle w:val="LearningSequenceHeader"/>
        <w:rPr>
          <w:i w:val="0"/>
        </w:rPr>
      </w:pPr>
      <w:r w:rsidRPr="00B34065">
        <w:rPr>
          <w:i w:val="0"/>
        </w:rPr>
        <w:t>Activity 7: Closing</w:t>
      </w:r>
      <w:r w:rsidRPr="00B34065">
        <w:rPr>
          <w:i w:val="0"/>
        </w:rPr>
        <w:tab/>
        <w:t>5%</w:t>
      </w:r>
    </w:p>
    <w:p w:rsidR="005B388D" w:rsidRDefault="00AC5E54" w:rsidP="00D544ED">
      <w:pPr>
        <w:pStyle w:val="TA"/>
      </w:pPr>
      <w:r>
        <w:t xml:space="preserve">Display and distribute the homework assignment. For homework, instruct students to reread the text and respond in writing to the following prompt: </w:t>
      </w:r>
    </w:p>
    <w:p w:rsidR="00AC5E54" w:rsidRDefault="00AC5E54" w:rsidP="005B388D">
      <w:pPr>
        <w:pStyle w:val="Q"/>
      </w:pPr>
      <w:r>
        <w:t>How does this section develop your view of</w:t>
      </w:r>
      <w:r w:rsidRPr="00D405EA">
        <w:t xml:space="preserve"> Hamlet?</w:t>
      </w:r>
      <w:r>
        <w:t xml:space="preserve"> Cite at least two pieces of evidence from the text </w:t>
      </w:r>
      <w:r w:rsidR="0060160F">
        <w:t>to support</w:t>
      </w:r>
      <w:r>
        <w:t xml:space="preserve"> your claim.</w:t>
      </w:r>
    </w:p>
    <w:p w:rsidR="00AC5E54" w:rsidRPr="00D544ED" w:rsidRDefault="00AC5E54" w:rsidP="00D544ED">
      <w:pPr>
        <w:pStyle w:val="TA"/>
      </w:pPr>
      <w:r w:rsidRPr="00D544ED">
        <w:t xml:space="preserve">Also for homework, </w:t>
      </w:r>
      <w:r w:rsidR="00B34065" w:rsidRPr="00D544ED">
        <w:t xml:space="preserve">students </w:t>
      </w:r>
      <w:r w:rsidRPr="00D544ED">
        <w:t>continue t</w:t>
      </w:r>
      <w:r w:rsidR="00B34065" w:rsidRPr="00D544ED">
        <w:t>o read t</w:t>
      </w:r>
      <w:r w:rsidR="00D544ED">
        <w:t>heir A</w:t>
      </w:r>
      <w:r w:rsidRPr="00D544ED">
        <w:t>I</w:t>
      </w:r>
      <w:r w:rsidR="00D544ED">
        <w:t>R</w:t>
      </w:r>
      <w:r w:rsidRPr="00D544ED">
        <w:t xml:space="preserve"> </w:t>
      </w:r>
      <w:r w:rsidR="005B388D" w:rsidRPr="00D544ED">
        <w:t xml:space="preserve">text </w:t>
      </w:r>
      <w:r w:rsidRPr="00D544ED">
        <w:t>through the lens of their focus standard (RL.11-12.2</w:t>
      </w:r>
      <w:r w:rsidR="008818A5" w:rsidRPr="00D544ED">
        <w:t xml:space="preserve"> or RI.11-12.2</w:t>
      </w:r>
      <w:r w:rsidRPr="00D544ED">
        <w:t xml:space="preserve">) and prepare for a 3–5 minute discussion of their text based on that standard. </w:t>
      </w:r>
    </w:p>
    <w:p w:rsidR="00AC5E54" w:rsidRPr="00BC092E" w:rsidRDefault="00AC5E54" w:rsidP="00F34A57">
      <w:pPr>
        <w:pStyle w:val="SA"/>
        <w:rPr>
          <w:rFonts w:ascii="Times" w:hAnsi="Times"/>
          <w:sz w:val="20"/>
          <w:szCs w:val="20"/>
        </w:rPr>
      </w:pPr>
      <w:r>
        <w:t>Students follow along.</w:t>
      </w:r>
    </w:p>
    <w:p w:rsidR="00AC5E54" w:rsidRDefault="00AC5E54" w:rsidP="00F34A57">
      <w:pPr>
        <w:pStyle w:val="Heading1"/>
      </w:pPr>
      <w:r>
        <w:t>Homework</w:t>
      </w:r>
    </w:p>
    <w:p w:rsidR="005B388D" w:rsidRDefault="00AC5E54" w:rsidP="00F34A57">
      <w:pPr>
        <w:pStyle w:val="TA"/>
        <w:rPr>
          <w:shd w:val="clear" w:color="auto" w:fill="FFFFFF"/>
        </w:rPr>
      </w:pPr>
      <w:r>
        <w:rPr>
          <w:shd w:val="clear" w:color="auto" w:fill="FFFFFF"/>
        </w:rPr>
        <w:t xml:space="preserve">Reread the text and respond in writing to the following prompt: </w:t>
      </w:r>
    </w:p>
    <w:p w:rsidR="00AC5E54" w:rsidRDefault="00AC5E54" w:rsidP="005B388D">
      <w:pPr>
        <w:pStyle w:val="Q"/>
        <w:rPr>
          <w:shd w:val="clear" w:color="auto" w:fill="FFFFFF"/>
        </w:rPr>
      </w:pPr>
      <w:r>
        <w:rPr>
          <w:shd w:val="clear" w:color="auto" w:fill="FFFFFF"/>
        </w:rPr>
        <w:t>How does this section develop your view of Hamlet</w:t>
      </w:r>
      <w:r w:rsidR="00DA2118">
        <w:rPr>
          <w:shd w:val="clear" w:color="auto" w:fill="FFFFFF"/>
        </w:rPr>
        <w:t>?</w:t>
      </w:r>
      <w:r>
        <w:rPr>
          <w:shd w:val="clear" w:color="auto" w:fill="FFFFFF"/>
        </w:rPr>
        <w:t xml:space="preserve"> Cite at least two pieces of evidence from the text in support of your claim. </w:t>
      </w:r>
    </w:p>
    <w:p w:rsidR="00AC5E54" w:rsidRPr="007A79E9" w:rsidRDefault="00AC5E54" w:rsidP="00F34A57">
      <w:pPr>
        <w:pStyle w:val="TA"/>
        <w:rPr>
          <w:rFonts w:ascii="Times" w:hAnsi="Times"/>
          <w:sz w:val="20"/>
          <w:szCs w:val="20"/>
        </w:rPr>
      </w:pPr>
      <w:r w:rsidRPr="007A79E9">
        <w:rPr>
          <w:shd w:val="clear" w:color="auto" w:fill="FFFFFF"/>
        </w:rPr>
        <w:t>Continue AIR</w:t>
      </w:r>
      <w:r>
        <w:rPr>
          <w:shd w:val="clear" w:color="auto" w:fill="FFFFFF"/>
        </w:rPr>
        <w:t xml:space="preserve"> through the lens of focus standard </w:t>
      </w:r>
      <w:r w:rsidRPr="007A79E9">
        <w:rPr>
          <w:color w:val="000000"/>
          <w:sz w:val="23"/>
          <w:szCs w:val="23"/>
        </w:rPr>
        <w:t>RL.11-12.2</w:t>
      </w:r>
      <w:r w:rsidR="008818A5">
        <w:rPr>
          <w:color w:val="000000"/>
          <w:sz w:val="23"/>
          <w:szCs w:val="23"/>
        </w:rPr>
        <w:t xml:space="preserve"> or RI.11-12.2</w:t>
      </w:r>
      <w:r>
        <w:rPr>
          <w:color w:val="000000"/>
          <w:sz w:val="23"/>
          <w:szCs w:val="23"/>
        </w:rPr>
        <w:t>.</w:t>
      </w:r>
    </w:p>
    <w:p w:rsidR="00AC5E54" w:rsidRPr="009F724A" w:rsidRDefault="00AC5E54" w:rsidP="009F724A">
      <w:pPr>
        <w:pStyle w:val="ToolHeader"/>
      </w:pPr>
      <w:r w:rsidRPr="0070453D">
        <w:br w:type="page"/>
      </w:r>
      <w:r w:rsidRPr="009F724A">
        <w:t xml:space="preserve">Character </w:t>
      </w:r>
      <w:r w:rsidR="00710CB9" w:rsidRPr="009F724A">
        <w:t>Evidence Gathering Tool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0"/>
        <w:gridCol w:w="2736"/>
        <w:gridCol w:w="732"/>
        <w:gridCol w:w="2991"/>
        <w:gridCol w:w="720"/>
        <w:gridCol w:w="1351"/>
      </w:tblGrid>
      <w:tr w:rsidR="00AC5E54" w:rsidRPr="00707670">
        <w:trPr>
          <w:trHeight w:val="557"/>
        </w:trPr>
        <w:tc>
          <w:tcPr>
            <w:tcW w:w="816" w:type="dxa"/>
            <w:shd w:val="clear" w:color="auto" w:fill="D9D9D9" w:themeFill="background1" w:themeFillShade="D9"/>
            <w:vAlign w:val="center"/>
          </w:tcPr>
          <w:p w:rsidR="00AC5E54" w:rsidRPr="00C213B5" w:rsidRDefault="00AC5E54" w:rsidP="00707670">
            <w:pPr>
              <w:pStyle w:val="TableText"/>
              <w:rPr>
                <w:b/>
              </w:rPr>
            </w:pPr>
            <w:r w:rsidRPr="00C213B5">
              <w:rPr>
                <w:b/>
              </w:rPr>
              <w:t>Name:</w:t>
            </w:r>
          </w:p>
        </w:tc>
        <w:tc>
          <w:tcPr>
            <w:tcW w:w="2786" w:type="dxa"/>
            <w:vAlign w:val="center"/>
          </w:tcPr>
          <w:p w:rsidR="00AC5E54" w:rsidRPr="00C213B5" w:rsidRDefault="00AC5E54" w:rsidP="00707670">
            <w:pPr>
              <w:pStyle w:val="TableText"/>
              <w:rPr>
                <w:b/>
              </w:rPr>
            </w:pPr>
          </w:p>
        </w:tc>
        <w:tc>
          <w:tcPr>
            <w:tcW w:w="728" w:type="dxa"/>
            <w:shd w:val="clear" w:color="auto" w:fill="D9D9D9" w:themeFill="background1" w:themeFillShade="D9"/>
            <w:vAlign w:val="center"/>
          </w:tcPr>
          <w:p w:rsidR="00AC5E54" w:rsidRPr="00C213B5" w:rsidRDefault="00AC5E54" w:rsidP="00707670">
            <w:pPr>
              <w:pStyle w:val="TableText"/>
              <w:rPr>
                <w:b/>
              </w:rPr>
            </w:pPr>
            <w:r w:rsidRPr="00C213B5">
              <w:rPr>
                <w:b/>
              </w:rPr>
              <w:t>Class:</w:t>
            </w:r>
          </w:p>
        </w:tc>
        <w:tc>
          <w:tcPr>
            <w:tcW w:w="3045" w:type="dxa"/>
            <w:vAlign w:val="center"/>
          </w:tcPr>
          <w:p w:rsidR="00AC5E54" w:rsidRPr="00C213B5" w:rsidRDefault="00AC5E54" w:rsidP="00707670">
            <w:pPr>
              <w:pStyle w:val="TableText"/>
              <w:rPr>
                <w:b/>
              </w:rPr>
            </w:pPr>
          </w:p>
        </w:tc>
        <w:tc>
          <w:tcPr>
            <w:tcW w:w="720" w:type="dxa"/>
            <w:shd w:val="clear" w:color="auto" w:fill="D9D9D9" w:themeFill="background1" w:themeFillShade="D9"/>
            <w:vAlign w:val="center"/>
          </w:tcPr>
          <w:p w:rsidR="00AC5E54" w:rsidRPr="00C213B5" w:rsidRDefault="00AC5E54" w:rsidP="00707670">
            <w:pPr>
              <w:pStyle w:val="TableText"/>
              <w:rPr>
                <w:b/>
              </w:rPr>
            </w:pPr>
            <w:r w:rsidRPr="00C213B5">
              <w:rPr>
                <w:b/>
              </w:rPr>
              <w:t>Date:</w:t>
            </w:r>
          </w:p>
        </w:tc>
        <w:tc>
          <w:tcPr>
            <w:tcW w:w="1373" w:type="dxa"/>
            <w:vAlign w:val="center"/>
          </w:tcPr>
          <w:p w:rsidR="00AC5E54" w:rsidRPr="00C213B5" w:rsidRDefault="00AC5E54" w:rsidP="00707670">
            <w:pPr>
              <w:pStyle w:val="TableText"/>
              <w:rPr>
                <w:b/>
              </w:rPr>
            </w:pPr>
          </w:p>
        </w:tc>
      </w:tr>
    </w:tbl>
    <w:p w:rsidR="00AC5E54" w:rsidRPr="00646088" w:rsidRDefault="00AC5E54" w:rsidP="00646088">
      <w:pPr>
        <w:spacing w:before="0" w:after="0"/>
        <w:rPr>
          <w:sz w:val="10"/>
        </w:rPr>
      </w:pPr>
    </w:p>
    <w:tbl>
      <w:tblPr>
        <w:tblW w:w="9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0"/>
        <w:gridCol w:w="2392"/>
        <w:gridCol w:w="2390"/>
        <w:gridCol w:w="2392"/>
      </w:tblGrid>
      <w:tr w:rsidR="00AC5E54" w:rsidRPr="00646088" w:rsidTr="00EC75E2">
        <w:trPr>
          <w:trHeight w:val="463"/>
        </w:trPr>
        <w:tc>
          <w:tcPr>
            <w:tcW w:w="4782" w:type="dxa"/>
            <w:gridSpan w:val="2"/>
            <w:tcBorders>
              <w:right w:val="single" w:sz="4" w:space="0" w:color="auto"/>
            </w:tcBorders>
            <w:shd w:val="clear" w:color="auto" w:fill="D9D9D9" w:themeFill="background1" w:themeFillShade="D9"/>
          </w:tcPr>
          <w:p w:rsidR="00AC5E54" w:rsidRPr="00C213B5" w:rsidRDefault="00AC5E54" w:rsidP="00646088">
            <w:pPr>
              <w:pStyle w:val="ToolTableText"/>
              <w:rPr>
                <w:b/>
              </w:rPr>
            </w:pPr>
            <w:r w:rsidRPr="00C213B5">
              <w:rPr>
                <w:b/>
              </w:rPr>
              <w:t>Claudius</w:t>
            </w:r>
          </w:p>
        </w:tc>
        <w:tc>
          <w:tcPr>
            <w:tcW w:w="4782" w:type="dxa"/>
            <w:gridSpan w:val="2"/>
            <w:tcBorders>
              <w:left w:val="single" w:sz="4" w:space="0" w:color="auto"/>
            </w:tcBorders>
            <w:shd w:val="clear" w:color="auto" w:fill="D9D9D9" w:themeFill="background1" w:themeFillShade="D9"/>
          </w:tcPr>
          <w:p w:rsidR="00AC5E54" w:rsidRPr="00C213B5" w:rsidRDefault="00AC5E54" w:rsidP="00646088">
            <w:pPr>
              <w:pStyle w:val="ToolTableText"/>
              <w:rPr>
                <w:b/>
              </w:rPr>
            </w:pPr>
            <w:r w:rsidRPr="00C213B5">
              <w:rPr>
                <w:b/>
              </w:rPr>
              <w:t>Hamlet</w:t>
            </w:r>
          </w:p>
        </w:tc>
      </w:tr>
      <w:tr w:rsidR="00AC5E54">
        <w:trPr>
          <w:trHeight w:val="595"/>
        </w:trPr>
        <w:tc>
          <w:tcPr>
            <w:tcW w:w="2390" w:type="dxa"/>
          </w:tcPr>
          <w:p w:rsidR="00AC5E54" w:rsidRPr="002B4596" w:rsidRDefault="00AC5E54" w:rsidP="002B4596">
            <w:pPr>
              <w:pStyle w:val="ToolTableText"/>
              <w:rPr>
                <w:b/>
              </w:rPr>
            </w:pPr>
            <w:r w:rsidRPr="002B4596">
              <w:rPr>
                <w:b/>
              </w:rPr>
              <w:t>Characteristic</w:t>
            </w:r>
          </w:p>
        </w:tc>
        <w:tc>
          <w:tcPr>
            <w:tcW w:w="2392" w:type="dxa"/>
          </w:tcPr>
          <w:p w:rsidR="00AC5E54" w:rsidRPr="002B4596" w:rsidRDefault="00AC5E54" w:rsidP="002B4596">
            <w:pPr>
              <w:pStyle w:val="ToolTableText"/>
              <w:rPr>
                <w:b/>
              </w:rPr>
            </w:pPr>
            <w:r w:rsidRPr="002B4596">
              <w:rPr>
                <w:b/>
              </w:rPr>
              <w:t>Explanation and Textual Evidence</w:t>
            </w:r>
          </w:p>
        </w:tc>
        <w:tc>
          <w:tcPr>
            <w:tcW w:w="2390" w:type="dxa"/>
          </w:tcPr>
          <w:p w:rsidR="00AC5E54" w:rsidRPr="002B4596" w:rsidRDefault="00AC5E54" w:rsidP="002B4596">
            <w:pPr>
              <w:pStyle w:val="ToolTableText"/>
              <w:rPr>
                <w:b/>
              </w:rPr>
            </w:pPr>
            <w:r w:rsidRPr="002B4596">
              <w:rPr>
                <w:b/>
              </w:rPr>
              <w:t>Characteristic</w:t>
            </w:r>
          </w:p>
        </w:tc>
        <w:tc>
          <w:tcPr>
            <w:tcW w:w="2392" w:type="dxa"/>
          </w:tcPr>
          <w:p w:rsidR="00AC5E54" w:rsidRPr="002B4596" w:rsidRDefault="00AC5E54" w:rsidP="002B4596">
            <w:pPr>
              <w:pStyle w:val="ToolTableText"/>
              <w:rPr>
                <w:b/>
              </w:rPr>
            </w:pPr>
            <w:r w:rsidRPr="002B4596">
              <w:rPr>
                <w:b/>
              </w:rPr>
              <w:t>Explanation and Textual Evidence</w:t>
            </w:r>
          </w:p>
        </w:tc>
      </w:tr>
      <w:tr w:rsidR="00AC5E54">
        <w:trPr>
          <w:trHeight w:val="488"/>
        </w:trPr>
        <w:tc>
          <w:tcPr>
            <w:tcW w:w="2390" w:type="dxa"/>
          </w:tcPr>
          <w:p w:rsidR="00AC5E54" w:rsidRPr="002B4596" w:rsidRDefault="00AC5E54" w:rsidP="002B4596">
            <w:pPr>
              <w:pStyle w:val="ToolTableText"/>
            </w:pPr>
          </w:p>
        </w:tc>
        <w:tc>
          <w:tcPr>
            <w:tcW w:w="2392" w:type="dxa"/>
          </w:tcPr>
          <w:p w:rsidR="00AC5E54" w:rsidRPr="002B4596" w:rsidRDefault="00AC5E54" w:rsidP="002B4596">
            <w:pPr>
              <w:pStyle w:val="ToolTableText"/>
            </w:pPr>
          </w:p>
        </w:tc>
        <w:tc>
          <w:tcPr>
            <w:tcW w:w="2390" w:type="dxa"/>
          </w:tcPr>
          <w:p w:rsidR="00AC5E54" w:rsidRPr="002B4596" w:rsidRDefault="00AC5E54" w:rsidP="002B4596">
            <w:pPr>
              <w:pStyle w:val="ToolTableText"/>
            </w:pPr>
          </w:p>
        </w:tc>
        <w:tc>
          <w:tcPr>
            <w:tcW w:w="2392" w:type="dxa"/>
          </w:tcPr>
          <w:p w:rsidR="00AC5E54" w:rsidRPr="002B4596" w:rsidRDefault="00AC5E54" w:rsidP="002B4596">
            <w:pPr>
              <w:pStyle w:val="ToolTableText"/>
            </w:pPr>
          </w:p>
          <w:p w:rsidR="00AC5E54" w:rsidRDefault="00AC5E54" w:rsidP="002B4596">
            <w:pPr>
              <w:pStyle w:val="ToolTableText"/>
            </w:pPr>
          </w:p>
          <w:p w:rsidR="00EC75E2" w:rsidRDefault="00EC75E2" w:rsidP="002B4596">
            <w:pPr>
              <w:pStyle w:val="ToolTableText"/>
            </w:pPr>
          </w:p>
          <w:p w:rsidR="00EC75E2" w:rsidRDefault="00EC75E2" w:rsidP="002B4596">
            <w:pPr>
              <w:pStyle w:val="ToolTableText"/>
            </w:pPr>
          </w:p>
          <w:p w:rsidR="00EC75E2" w:rsidRPr="002B4596" w:rsidRDefault="00EC75E2" w:rsidP="002B4596">
            <w:pPr>
              <w:pStyle w:val="ToolTableText"/>
            </w:pPr>
          </w:p>
          <w:p w:rsidR="00710CB9" w:rsidRPr="002B4596" w:rsidRDefault="00710CB9" w:rsidP="002B4596">
            <w:pPr>
              <w:pStyle w:val="ToolTableText"/>
            </w:pPr>
          </w:p>
        </w:tc>
      </w:tr>
      <w:tr w:rsidR="00AC5E54">
        <w:trPr>
          <w:trHeight w:val="488"/>
        </w:trPr>
        <w:tc>
          <w:tcPr>
            <w:tcW w:w="2390" w:type="dxa"/>
          </w:tcPr>
          <w:p w:rsidR="00AC5E54" w:rsidRPr="002B4596" w:rsidRDefault="00AC5E54" w:rsidP="002B4596">
            <w:pPr>
              <w:pStyle w:val="ToolTableText"/>
            </w:pPr>
          </w:p>
        </w:tc>
        <w:tc>
          <w:tcPr>
            <w:tcW w:w="2392" w:type="dxa"/>
          </w:tcPr>
          <w:p w:rsidR="00AC5E54" w:rsidRPr="002B4596" w:rsidRDefault="00AC5E54" w:rsidP="002B4596">
            <w:pPr>
              <w:pStyle w:val="ToolTableText"/>
            </w:pPr>
          </w:p>
        </w:tc>
        <w:tc>
          <w:tcPr>
            <w:tcW w:w="2390" w:type="dxa"/>
          </w:tcPr>
          <w:p w:rsidR="00AC5E54" w:rsidRPr="002B4596" w:rsidRDefault="00AC5E54" w:rsidP="002B4596">
            <w:pPr>
              <w:pStyle w:val="ToolTableText"/>
            </w:pPr>
          </w:p>
        </w:tc>
        <w:tc>
          <w:tcPr>
            <w:tcW w:w="2392" w:type="dxa"/>
          </w:tcPr>
          <w:p w:rsidR="00AC5E54" w:rsidRDefault="00AC5E54" w:rsidP="002B4596">
            <w:pPr>
              <w:pStyle w:val="ToolTableText"/>
            </w:pPr>
          </w:p>
          <w:p w:rsidR="00EC75E2" w:rsidRDefault="00EC75E2" w:rsidP="002B4596">
            <w:pPr>
              <w:pStyle w:val="ToolTableText"/>
            </w:pPr>
          </w:p>
          <w:p w:rsidR="00EC75E2" w:rsidRDefault="00EC75E2" w:rsidP="002B4596">
            <w:pPr>
              <w:pStyle w:val="ToolTableText"/>
            </w:pPr>
          </w:p>
          <w:p w:rsidR="00EC75E2" w:rsidRPr="002B4596" w:rsidRDefault="00EC75E2" w:rsidP="002B4596">
            <w:pPr>
              <w:pStyle w:val="ToolTableText"/>
            </w:pPr>
          </w:p>
          <w:p w:rsidR="00AC5E54" w:rsidRPr="002B4596" w:rsidRDefault="00AC5E54" w:rsidP="002B4596">
            <w:pPr>
              <w:pStyle w:val="ToolTableText"/>
            </w:pPr>
          </w:p>
          <w:p w:rsidR="00AC5E54" w:rsidRPr="002B4596" w:rsidRDefault="00AC5E54" w:rsidP="002B4596">
            <w:pPr>
              <w:pStyle w:val="ToolTableText"/>
            </w:pPr>
          </w:p>
        </w:tc>
      </w:tr>
      <w:tr w:rsidR="00AC5E54">
        <w:trPr>
          <w:trHeight w:val="488"/>
        </w:trPr>
        <w:tc>
          <w:tcPr>
            <w:tcW w:w="2390" w:type="dxa"/>
          </w:tcPr>
          <w:p w:rsidR="00AC5E54" w:rsidRPr="002B4596" w:rsidRDefault="00AC5E54" w:rsidP="002B4596">
            <w:pPr>
              <w:pStyle w:val="ToolTableText"/>
            </w:pPr>
          </w:p>
        </w:tc>
        <w:tc>
          <w:tcPr>
            <w:tcW w:w="2392" w:type="dxa"/>
          </w:tcPr>
          <w:p w:rsidR="00AC5E54" w:rsidRPr="002B4596" w:rsidRDefault="00AC5E54" w:rsidP="002B4596">
            <w:pPr>
              <w:pStyle w:val="ToolTableText"/>
            </w:pPr>
          </w:p>
        </w:tc>
        <w:tc>
          <w:tcPr>
            <w:tcW w:w="2390" w:type="dxa"/>
          </w:tcPr>
          <w:p w:rsidR="00AC5E54" w:rsidRPr="002B4596" w:rsidRDefault="00AC5E54" w:rsidP="002B4596">
            <w:pPr>
              <w:pStyle w:val="ToolTableText"/>
            </w:pPr>
          </w:p>
        </w:tc>
        <w:tc>
          <w:tcPr>
            <w:tcW w:w="2392" w:type="dxa"/>
          </w:tcPr>
          <w:p w:rsidR="00AC5E54" w:rsidRDefault="00AC5E54" w:rsidP="002B4596">
            <w:pPr>
              <w:pStyle w:val="ToolTableText"/>
            </w:pPr>
          </w:p>
          <w:p w:rsidR="00EC75E2" w:rsidRDefault="00EC75E2" w:rsidP="002B4596">
            <w:pPr>
              <w:pStyle w:val="ToolTableText"/>
            </w:pPr>
          </w:p>
          <w:p w:rsidR="00EC75E2" w:rsidRDefault="00EC75E2" w:rsidP="002B4596">
            <w:pPr>
              <w:pStyle w:val="ToolTableText"/>
            </w:pPr>
          </w:p>
          <w:p w:rsidR="00EC75E2" w:rsidRPr="002B4596" w:rsidRDefault="00EC75E2" w:rsidP="002B4596">
            <w:pPr>
              <w:pStyle w:val="ToolTableText"/>
            </w:pPr>
          </w:p>
          <w:p w:rsidR="00AC5E54" w:rsidRPr="002B4596" w:rsidRDefault="00AC5E54" w:rsidP="002B4596">
            <w:pPr>
              <w:pStyle w:val="ToolTableText"/>
            </w:pPr>
          </w:p>
          <w:p w:rsidR="00AC5E54" w:rsidRPr="002B4596" w:rsidRDefault="00AC5E54" w:rsidP="002B4596">
            <w:pPr>
              <w:pStyle w:val="ToolTableText"/>
            </w:pPr>
          </w:p>
        </w:tc>
      </w:tr>
      <w:tr w:rsidR="00710CB9">
        <w:trPr>
          <w:trHeight w:val="488"/>
        </w:trPr>
        <w:tc>
          <w:tcPr>
            <w:tcW w:w="2390" w:type="dxa"/>
          </w:tcPr>
          <w:p w:rsidR="00710CB9" w:rsidRPr="002B4596" w:rsidRDefault="00710CB9" w:rsidP="002B4596">
            <w:pPr>
              <w:pStyle w:val="ToolTableText"/>
            </w:pPr>
          </w:p>
        </w:tc>
        <w:tc>
          <w:tcPr>
            <w:tcW w:w="2392" w:type="dxa"/>
          </w:tcPr>
          <w:p w:rsidR="00710CB9" w:rsidRPr="002B4596" w:rsidRDefault="00710CB9" w:rsidP="002B4596">
            <w:pPr>
              <w:pStyle w:val="ToolTableText"/>
            </w:pPr>
          </w:p>
        </w:tc>
        <w:tc>
          <w:tcPr>
            <w:tcW w:w="2390" w:type="dxa"/>
          </w:tcPr>
          <w:p w:rsidR="00710CB9" w:rsidRPr="002B4596" w:rsidRDefault="00710CB9" w:rsidP="002B4596">
            <w:pPr>
              <w:pStyle w:val="ToolTableText"/>
            </w:pPr>
          </w:p>
        </w:tc>
        <w:tc>
          <w:tcPr>
            <w:tcW w:w="2392" w:type="dxa"/>
          </w:tcPr>
          <w:p w:rsidR="00710CB9" w:rsidRDefault="00710CB9" w:rsidP="002B4596">
            <w:pPr>
              <w:pStyle w:val="ToolTableText"/>
            </w:pPr>
          </w:p>
          <w:p w:rsidR="00EC75E2" w:rsidRDefault="00EC75E2" w:rsidP="002B4596">
            <w:pPr>
              <w:pStyle w:val="ToolTableText"/>
            </w:pPr>
          </w:p>
          <w:p w:rsidR="00EC75E2" w:rsidRPr="002B4596" w:rsidRDefault="00EC75E2" w:rsidP="002B4596">
            <w:pPr>
              <w:pStyle w:val="ToolTableText"/>
            </w:pPr>
          </w:p>
          <w:p w:rsidR="00710CB9" w:rsidRDefault="00710CB9" w:rsidP="002B4596">
            <w:pPr>
              <w:pStyle w:val="ToolTableText"/>
            </w:pPr>
          </w:p>
          <w:p w:rsidR="00EC75E2" w:rsidRDefault="00EC75E2" w:rsidP="002B4596">
            <w:pPr>
              <w:pStyle w:val="ToolTableText"/>
            </w:pPr>
          </w:p>
          <w:p w:rsidR="00EC75E2" w:rsidRPr="002B4596" w:rsidRDefault="00EC75E2" w:rsidP="002B4596">
            <w:pPr>
              <w:pStyle w:val="ToolTableText"/>
            </w:pPr>
          </w:p>
        </w:tc>
      </w:tr>
    </w:tbl>
    <w:p w:rsidR="00AC5E54" w:rsidRDefault="00AC5E54" w:rsidP="00E12C92">
      <w:pPr>
        <w:pStyle w:val="ToolHeader"/>
      </w:pPr>
      <w:r>
        <w:t xml:space="preserve">Model Character </w:t>
      </w:r>
      <w:r w:rsidR="00710CB9">
        <w:t>Evidence Gathering Tool</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2393"/>
        <w:gridCol w:w="2392"/>
        <w:gridCol w:w="2393"/>
      </w:tblGrid>
      <w:tr w:rsidR="00AC5E54" w:rsidRPr="00C213B5">
        <w:trPr>
          <w:trHeight w:val="431"/>
        </w:trPr>
        <w:tc>
          <w:tcPr>
            <w:tcW w:w="4785" w:type="dxa"/>
            <w:gridSpan w:val="2"/>
            <w:shd w:val="clear" w:color="auto" w:fill="D9D9D9" w:themeFill="background1" w:themeFillShade="D9"/>
          </w:tcPr>
          <w:p w:rsidR="00AC5E54" w:rsidRPr="00C213B5" w:rsidRDefault="00AC5E54" w:rsidP="00FB5AAD">
            <w:pPr>
              <w:pStyle w:val="ToolTableText"/>
              <w:rPr>
                <w:b/>
              </w:rPr>
            </w:pPr>
            <w:r w:rsidRPr="00C213B5">
              <w:rPr>
                <w:b/>
              </w:rPr>
              <w:t>Claudius</w:t>
            </w:r>
          </w:p>
        </w:tc>
        <w:tc>
          <w:tcPr>
            <w:tcW w:w="4785" w:type="dxa"/>
            <w:gridSpan w:val="2"/>
            <w:shd w:val="clear" w:color="auto" w:fill="D9D9D9" w:themeFill="background1" w:themeFillShade="D9"/>
          </w:tcPr>
          <w:p w:rsidR="00AC5E54" w:rsidRPr="00C213B5" w:rsidRDefault="00AC5E54" w:rsidP="00FB5AAD">
            <w:pPr>
              <w:pStyle w:val="ToolTableText"/>
              <w:rPr>
                <w:b/>
              </w:rPr>
            </w:pPr>
            <w:r w:rsidRPr="00C213B5">
              <w:rPr>
                <w:b/>
              </w:rPr>
              <w:t>Hamlet</w:t>
            </w:r>
          </w:p>
        </w:tc>
      </w:tr>
      <w:tr w:rsidR="00AC5E54">
        <w:trPr>
          <w:trHeight w:val="554"/>
        </w:trPr>
        <w:tc>
          <w:tcPr>
            <w:tcW w:w="2392" w:type="dxa"/>
          </w:tcPr>
          <w:p w:rsidR="00AC5E54" w:rsidRPr="002B4596" w:rsidRDefault="00AC5E54" w:rsidP="002B4596">
            <w:pPr>
              <w:pStyle w:val="ToolTableText"/>
              <w:rPr>
                <w:b/>
              </w:rPr>
            </w:pPr>
            <w:r w:rsidRPr="002B4596">
              <w:rPr>
                <w:b/>
              </w:rPr>
              <w:t>Characteristic</w:t>
            </w:r>
          </w:p>
        </w:tc>
        <w:tc>
          <w:tcPr>
            <w:tcW w:w="2393" w:type="dxa"/>
          </w:tcPr>
          <w:p w:rsidR="00AC5E54" w:rsidRPr="002B4596" w:rsidRDefault="00AC5E54" w:rsidP="002B4596">
            <w:pPr>
              <w:pStyle w:val="ToolTableText"/>
              <w:rPr>
                <w:b/>
              </w:rPr>
            </w:pPr>
            <w:r w:rsidRPr="002B4596">
              <w:rPr>
                <w:b/>
              </w:rPr>
              <w:t>Explanation and Textual Evidence</w:t>
            </w:r>
          </w:p>
        </w:tc>
        <w:tc>
          <w:tcPr>
            <w:tcW w:w="2392" w:type="dxa"/>
          </w:tcPr>
          <w:p w:rsidR="00AC5E54" w:rsidRPr="002B4596" w:rsidRDefault="00AC5E54" w:rsidP="002B4596">
            <w:pPr>
              <w:pStyle w:val="ToolTableText"/>
              <w:rPr>
                <w:b/>
              </w:rPr>
            </w:pPr>
            <w:r w:rsidRPr="002B4596">
              <w:rPr>
                <w:b/>
              </w:rPr>
              <w:t>Characteristic</w:t>
            </w:r>
          </w:p>
        </w:tc>
        <w:tc>
          <w:tcPr>
            <w:tcW w:w="2393" w:type="dxa"/>
          </w:tcPr>
          <w:p w:rsidR="00AC5E54" w:rsidRPr="002B4596" w:rsidRDefault="00AC5E54" w:rsidP="002B4596">
            <w:pPr>
              <w:pStyle w:val="ToolTableText"/>
              <w:rPr>
                <w:b/>
              </w:rPr>
            </w:pPr>
            <w:r w:rsidRPr="002B4596">
              <w:rPr>
                <w:b/>
              </w:rPr>
              <w:t>Explanation and Textual Evidence</w:t>
            </w:r>
          </w:p>
        </w:tc>
      </w:tr>
      <w:tr w:rsidR="00AC5E54">
        <w:trPr>
          <w:trHeight w:val="454"/>
        </w:trPr>
        <w:tc>
          <w:tcPr>
            <w:tcW w:w="2392" w:type="dxa"/>
          </w:tcPr>
          <w:p w:rsidR="00AC5E54" w:rsidRPr="002B4596" w:rsidRDefault="00AC5E54" w:rsidP="002B4596">
            <w:pPr>
              <w:pStyle w:val="ToolTableText"/>
              <w:rPr>
                <w:b/>
              </w:rPr>
            </w:pPr>
            <w:r w:rsidRPr="002B4596">
              <w:rPr>
                <w:b/>
              </w:rPr>
              <w:t>Kind/Munificent</w:t>
            </w:r>
          </w:p>
          <w:p w:rsidR="00AC5E54" w:rsidRDefault="00AC5E54" w:rsidP="00531A8A">
            <w:pPr>
              <w:pStyle w:val="IN"/>
            </w:pPr>
            <w:r>
              <w:rPr>
                <w:i/>
              </w:rPr>
              <w:t xml:space="preserve">Munificent </w:t>
            </w:r>
            <w:r>
              <w:t xml:space="preserve">is a vocabulary word </w:t>
            </w:r>
            <w:r w:rsidR="00531A8A">
              <w:t xml:space="preserve">that </w:t>
            </w:r>
            <w:r>
              <w:t>students should know</w:t>
            </w:r>
            <w:r w:rsidR="00531A8A">
              <w:t xml:space="preserve"> from Unit 1 Lesson 5</w:t>
            </w:r>
            <w:r>
              <w:t>.</w:t>
            </w:r>
          </w:p>
        </w:tc>
        <w:tc>
          <w:tcPr>
            <w:tcW w:w="2393" w:type="dxa"/>
          </w:tcPr>
          <w:p w:rsidR="00AC5E54" w:rsidRDefault="00AC5E54" w:rsidP="002B4596">
            <w:pPr>
              <w:pStyle w:val="ToolTableText"/>
            </w:pPr>
            <w:r>
              <w:t>Repeatedly offers to be a father figure to Hamlet: “think of us / As of a father” (</w:t>
            </w:r>
            <w:r w:rsidR="00D544ED">
              <w:t xml:space="preserve">Act </w:t>
            </w:r>
            <w:r>
              <w:t xml:space="preserve">1.2, </w:t>
            </w:r>
            <w:r w:rsidR="00D544ED">
              <w:t xml:space="preserve">lines </w:t>
            </w:r>
            <w:r>
              <w:t>111–112); offers Hamlet prominent place at court as “Our chiefest courtier, cousin and our son” (</w:t>
            </w:r>
            <w:r w:rsidR="00D544ED">
              <w:t xml:space="preserve">Act </w:t>
            </w:r>
            <w:r>
              <w:t xml:space="preserve">1.2, </w:t>
            </w:r>
            <w:r w:rsidR="00D544ED">
              <w:t xml:space="preserve">line </w:t>
            </w:r>
            <w:r>
              <w:t>121)</w:t>
            </w:r>
          </w:p>
        </w:tc>
        <w:tc>
          <w:tcPr>
            <w:tcW w:w="2392" w:type="dxa"/>
          </w:tcPr>
          <w:p w:rsidR="00AC5E54" w:rsidRDefault="00AC5E54" w:rsidP="002B4596">
            <w:pPr>
              <w:pStyle w:val="ToolTableText"/>
            </w:pPr>
            <w:r>
              <w:t>Emotional</w:t>
            </w:r>
          </w:p>
        </w:tc>
        <w:tc>
          <w:tcPr>
            <w:tcW w:w="2393" w:type="dxa"/>
          </w:tcPr>
          <w:p w:rsidR="00AC5E54" w:rsidRDefault="00AC5E54" w:rsidP="002B4596">
            <w:pPr>
              <w:pStyle w:val="ToolTableText"/>
            </w:pPr>
            <w:r>
              <w:t>Overcome by grief at loss of his father: Claudius describes him as “sweet” in nature (</w:t>
            </w:r>
            <w:r w:rsidR="00D544ED">
              <w:t xml:space="preserve">Act </w:t>
            </w:r>
            <w:r>
              <w:t xml:space="preserve">1.2, </w:t>
            </w:r>
            <w:r w:rsidR="00D544ED">
              <w:t xml:space="preserve">line </w:t>
            </w:r>
            <w:r>
              <w:t>90) and begs him to set down his “unprevailing woe” (</w:t>
            </w:r>
            <w:r w:rsidR="00D544ED">
              <w:t xml:space="preserve">Act </w:t>
            </w:r>
            <w:r>
              <w:t xml:space="preserve">1.2, </w:t>
            </w:r>
            <w:r w:rsidR="00D544ED">
              <w:t xml:space="preserve">line </w:t>
            </w:r>
            <w:r>
              <w:t>111)</w:t>
            </w:r>
          </w:p>
        </w:tc>
      </w:tr>
      <w:tr w:rsidR="00AC5E54">
        <w:trPr>
          <w:trHeight w:val="454"/>
        </w:trPr>
        <w:tc>
          <w:tcPr>
            <w:tcW w:w="2392" w:type="dxa"/>
          </w:tcPr>
          <w:p w:rsidR="00AC5E54" w:rsidRDefault="00AC5E54" w:rsidP="002B4596">
            <w:pPr>
              <w:pStyle w:val="ToolTableText"/>
            </w:pPr>
            <w:r>
              <w:t>Authoritative</w:t>
            </w:r>
          </w:p>
        </w:tc>
        <w:tc>
          <w:tcPr>
            <w:tcW w:w="2393" w:type="dxa"/>
          </w:tcPr>
          <w:p w:rsidR="00AC5E54" w:rsidRDefault="00AC5E54" w:rsidP="002B4596">
            <w:pPr>
              <w:pStyle w:val="ToolTableText"/>
            </w:pPr>
            <w:r>
              <w:t>He uses the “royal we,” for example “we pray you” (</w:t>
            </w:r>
            <w:r w:rsidR="00D544ED">
              <w:t xml:space="preserve">Act </w:t>
            </w:r>
            <w:r>
              <w:t xml:space="preserve">1.2, </w:t>
            </w:r>
            <w:r w:rsidR="00D544ED">
              <w:t xml:space="preserve">line </w:t>
            </w:r>
            <w:r>
              <w:t>110); he flaunts his power with the phrase “let the world take note” (</w:t>
            </w:r>
            <w:r w:rsidR="00D544ED">
              <w:t xml:space="preserve">Act </w:t>
            </w:r>
            <w:r>
              <w:t xml:space="preserve">1.2, </w:t>
            </w:r>
            <w:r w:rsidR="00D544ED">
              <w:t xml:space="preserve">line </w:t>
            </w:r>
            <w:r>
              <w:t>112)</w:t>
            </w:r>
          </w:p>
        </w:tc>
        <w:tc>
          <w:tcPr>
            <w:tcW w:w="2392" w:type="dxa"/>
          </w:tcPr>
          <w:p w:rsidR="00AC5E54" w:rsidRDefault="00AC5E54" w:rsidP="002B4596">
            <w:pPr>
              <w:pStyle w:val="ToolTableText"/>
            </w:pPr>
            <w:r>
              <w:t>Stubborn</w:t>
            </w:r>
          </w:p>
        </w:tc>
        <w:tc>
          <w:tcPr>
            <w:tcW w:w="2393" w:type="dxa"/>
          </w:tcPr>
          <w:p w:rsidR="00AC5E54" w:rsidRDefault="00AC5E54" w:rsidP="002B4596">
            <w:pPr>
              <w:pStyle w:val="ToolTableText"/>
            </w:pPr>
            <w:r>
              <w:t>Claudius criticizes him for his persistence in mourning his father: referring to “impious stubbornness” (</w:t>
            </w:r>
            <w:r w:rsidR="00D544ED">
              <w:t xml:space="preserve">Act </w:t>
            </w:r>
            <w:r>
              <w:t xml:space="preserve">1.2, </w:t>
            </w:r>
            <w:r w:rsidR="00D544ED">
              <w:t xml:space="preserve">line </w:t>
            </w:r>
            <w:r>
              <w:t>98); he refuses to accept the place he is offered as “chiefest courtier, our cousin and our son,” (</w:t>
            </w:r>
            <w:r w:rsidR="00D544ED">
              <w:t xml:space="preserve">Act </w:t>
            </w:r>
            <w:r>
              <w:t>1.2,</w:t>
            </w:r>
            <w:r w:rsidR="00D544ED">
              <w:t xml:space="preserve"> line</w:t>
            </w:r>
            <w:r>
              <w:t xml:space="preserve"> 121) </w:t>
            </w:r>
          </w:p>
        </w:tc>
      </w:tr>
      <w:tr w:rsidR="00AC5E54">
        <w:trPr>
          <w:trHeight w:val="454"/>
        </w:trPr>
        <w:tc>
          <w:tcPr>
            <w:tcW w:w="2392" w:type="dxa"/>
          </w:tcPr>
          <w:p w:rsidR="00AC5E54" w:rsidRDefault="00AC5E54" w:rsidP="002B4596">
            <w:pPr>
              <w:pStyle w:val="ToolTableText"/>
            </w:pPr>
            <w:r>
              <w:t>Arrogant</w:t>
            </w:r>
          </w:p>
        </w:tc>
        <w:tc>
          <w:tcPr>
            <w:tcW w:w="2393" w:type="dxa"/>
          </w:tcPr>
          <w:p w:rsidR="00AC5E54" w:rsidRDefault="00AC5E54" w:rsidP="002B4596">
            <w:pPr>
              <w:pStyle w:val="ToolTableText"/>
            </w:pPr>
            <w:r>
              <w:t>He attempts to take the place of Hamlet’s recently-dead father.</w:t>
            </w:r>
          </w:p>
        </w:tc>
        <w:tc>
          <w:tcPr>
            <w:tcW w:w="2392" w:type="dxa"/>
          </w:tcPr>
          <w:p w:rsidR="00AC5E54" w:rsidRDefault="00AC5E54" w:rsidP="002B4596">
            <w:pPr>
              <w:pStyle w:val="ToolTableText"/>
            </w:pPr>
            <w:r>
              <w:t>Childish</w:t>
            </w:r>
          </w:p>
        </w:tc>
        <w:tc>
          <w:tcPr>
            <w:tcW w:w="2393" w:type="dxa"/>
          </w:tcPr>
          <w:p w:rsidR="00AC5E54" w:rsidRDefault="00AC5E54" w:rsidP="002B4596">
            <w:pPr>
              <w:pStyle w:val="ToolTableText"/>
            </w:pPr>
            <w:r>
              <w:t>Claudius criticizes him for “unmanly grief” (</w:t>
            </w:r>
            <w:r w:rsidR="00D544ED">
              <w:t xml:space="preserve">Act </w:t>
            </w:r>
            <w:r>
              <w:t xml:space="preserve">1.2, </w:t>
            </w:r>
            <w:r w:rsidR="00D544ED">
              <w:t xml:space="preserve">line </w:t>
            </w:r>
            <w:r>
              <w:t>98); his instinct is to flee back to school in Wittenberg (</w:t>
            </w:r>
            <w:r w:rsidR="00D544ED">
              <w:t xml:space="preserve">Act </w:t>
            </w:r>
            <w:r>
              <w:t xml:space="preserve">1.2, </w:t>
            </w:r>
            <w:r w:rsidR="00D544ED">
              <w:t xml:space="preserve">line </w:t>
            </w:r>
            <w:r>
              <w:t>117)</w:t>
            </w:r>
          </w:p>
        </w:tc>
      </w:tr>
      <w:tr w:rsidR="00710CB9">
        <w:trPr>
          <w:trHeight w:val="454"/>
        </w:trPr>
        <w:tc>
          <w:tcPr>
            <w:tcW w:w="2392" w:type="dxa"/>
          </w:tcPr>
          <w:p w:rsidR="00710CB9" w:rsidRDefault="00710CB9" w:rsidP="002B4596">
            <w:pPr>
              <w:pStyle w:val="ToolTableText"/>
            </w:pPr>
            <w:r>
              <w:t>Manipulative</w:t>
            </w:r>
          </w:p>
        </w:tc>
        <w:tc>
          <w:tcPr>
            <w:tcW w:w="2393" w:type="dxa"/>
          </w:tcPr>
          <w:p w:rsidR="00710CB9" w:rsidRDefault="00710CB9" w:rsidP="002B4596">
            <w:pPr>
              <w:pStyle w:val="ToolTableText"/>
            </w:pPr>
            <w:r>
              <w:t>He asks Hamlet to “think of us</w:t>
            </w:r>
            <w:r w:rsidR="00621269">
              <w:t xml:space="preserve"> </w:t>
            </w:r>
            <w:r>
              <w:t>/</w:t>
            </w:r>
            <w:r w:rsidR="00621269">
              <w:t xml:space="preserve"> </w:t>
            </w:r>
            <w:r>
              <w:t>As of a father.</w:t>
            </w:r>
            <w:r w:rsidR="00DA2118">
              <w:t>”</w:t>
            </w:r>
            <w:r>
              <w:t xml:space="preserve"> He offers him a position at court in return for obedience. </w:t>
            </w:r>
          </w:p>
        </w:tc>
        <w:tc>
          <w:tcPr>
            <w:tcW w:w="2392" w:type="dxa"/>
          </w:tcPr>
          <w:p w:rsidR="00710CB9" w:rsidRDefault="00710CB9" w:rsidP="002B4596">
            <w:pPr>
              <w:pStyle w:val="ToolTableText"/>
            </w:pPr>
          </w:p>
        </w:tc>
        <w:tc>
          <w:tcPr>
            <w:tcW w:w="2393" w:type="dxa"/>
          </w:tcPr>
          <w:p w:rsidR="00710CB9" w:rsidRDefault="00710CB9" w:rsidP="002B4596">
            <w:pPr>
              <w:pStyle w:val="ToolTableText"/>
            </w:pPr>
          </w:p>
        </w:tc>
      </w:tr>
    </w:tbl>
    <w:p w:rsidR="00AC5E54" w:rsidRPr="00FB5AAD" w:rsidRDefault="00AC5E54" w:rsidP="002B4596"/>
    <w:sectPr w:rsidR="00AC5E54" w:rsidRPr="00FB5AAD" w:rsidSect="004713C2">
      <w:headerReference w:type="default" r:id="rId7"/>
      <w:footerReference w:type="even" r:id="rId8"/>
      <w:footerReference w:type="default" r:id="rId9"/>
      <w:pgSz w:w="12240" w:h="15840"/>
      <w:pgMar w:top="1440" w:right="1440" w:bottom="1440" w:left="1440" w:header="432" w:footer="64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120D" w:rsidRDefault="0039120D" w:rsidP="00E946A0">
      <w:r>
        <w:separator/>
      </w:r>
    </w:p>
    <w:p w:rsidR="0039120D" w:rsidRDefault="0039120D" w:rsidP="00E946A0"/>
  </w:endnote>
  <w:endnote w:type="continuationSeparator" w:id="0">
    <w:p w:rsidR="0039120D" w:rsidRDefault="0039120D" w:rsidP="00E946A0">
      <w:r>
        <w:continuationSeparator/>
      </w:r>
    </w:p>
    <w:p w:rsidR="0039120D" w:rsidRDefault="0039120D" w:rsidP="00E946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4932FCF5-3A93-4B42-8310-D63A6DD3328A}"/>
    <w:embedBold r:id="rId2" w:fontKey="{7AE90F8B-AC5F-47A1-B744-9448BBB0F5B2}"/>
    <w:embedItalic r:id="rId3" w:fontKey="{F46E11B4-B5BE-4D83-8538-3976139065B2}"/>
    <w:embedBoldItalic r:id="rId4" w:fontKey="{7172333E-B7F8-4216-AB01-F6576466CD9C}"/>
  </w:font>
  <w:font w:name="Times New Roman">
    <w:panose1 w:val="02020603050405020304"/>
    <w:charset w:val="00"/>
    <w:family w:val="roman"/>
    <w:pitch w:val="variable"/>
    <w:sig w:usb0="E0002AFF" w:usb1="C0007841" w:usb2="00000009" w:usb3="00000000" w:csb0="000001FF" w:csb1="00000000"/>
    <w:embedRegular r:id="rId5" w:subsetted="1" w:fontKey="{9706E284-680E-4BCB-B88F-AE7A84220DF8}"/>
  </w:font>
  <w:font w:name="Webdings">
    <w:panose1 w:val="05030102010509060703"/>
    <w:charset w:val="02"/>
    <w:family w:val="roman"/>
    <w:pitch w:val="variable"/>
    <w:sig w:usb0="00000000" w:usb1="10000000" w:usb2="00000000" w:usb3="00000000" w:csb0="80000000" w:csb1="00000000"/>
    <w:embedRegular r:id="rId6" w:fontKey="{C5043B49-E362-425C-8A48-41410136178F}"/>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MS ????">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59D" w:rsidRDefault="0005643F" w:rsidP="00E946A0">
    <w:pPr>
      <w:pStyle w:val="Footer"/>
      <w:rPr>
        <w:rStyle w:val="PageNumber"/>
        <w:rFonts w:ascii="Calibri" w:eastAsia="Calibri" w:hAnsi="Calibri"/>
        <w:sz w:val="22"/>
        <w:szCs w:val="22"/>
      </w:rPr>
    </w:pPr>
    <w:r>
      <w:rPr>
        <w:rStyle w:val="PageNumber"/>
      </w:rPr>
      <w:fldChar w:fldCharType="begin"/>
    </w:r>
    <w:r w:rsidR="00C9059D">
      <w:rPr>
        <w:rStyle w:val="PageNumber"/>
      </w:rPr>
      <w:instrText xml:space="preserve">PAGE  </w:instrText>
    </w:r>
    <w:r w:rsidR="009D6965">
      <w:rPr>
        <w:rStyle w:val="PageNumber"/>
      </w:rPr>
      <w:fldChar w:fldCharType="separate"/>
    </w:r>
    <w:r w:rsidR="009D6965">
      <w:rPr>
        <w:rStyle w:val="PageNumber"/>
        <w:noProof/>
      </w:rPr>
      <w:t>1</w:t>
    </w:r>
    <w:r>
      <w:rPr>
        <w:rStyle w:val="PageNumber"/>
      </w:rPr>
      <w:fldChar w:fldCharType="end"/>
    </w:r>
  </w:p>
  <w:p w:rsidR="00C9059D" w:rsidRDefault="00C9059D" w:rsidP="00E946A0">
    <w:pPr>
      <w:pStyle w:val="Footer"/>
    </w:pPr>
  </w:p>
  <w:p w:rsidR="00C9059D" w:rsidRDefault="00C9059D" w:rsidP="00E946A0"/>
  <w:p w:rsidR="00C9059D" w:rsidRDefault="00C9059D" w:rsidP="00E946A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59D" w:rsidRPr="00563CB8" w:rsidRDefault="00C9059D" w:rsidP="009F724A">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482"/>
      <w:gridCol w:w="611"/>
      <w:gridCol w:w="4250"/>
    </w:tblGrid>
    <w:tr w:rsidR="00C9059D">
      <w:trPr>
        <w:trHeight w:val="705"/>
      </w:trPr>
      <w:tc>
        <w:tcPr>
          <w:tcW w:w="4609" w:type="dxa"/>
          <w:shd w:val="clear" w:color="auto" w:fill="auto"/>
          <w:vAlign w:val="center"/>
        </w:tcPr>
        <w:p w:rsidR="00C9059D" w:rsidRPr="009F724A" w:rsidRDefault="00C9059D" w:rsidP="007B1338">
          <w:pPr>
            <w:pStyle w:val="FooterText"/>
            <w:rPr>
              <w:rFonts w:asciiTheme="minorHAnsi" w:hAnsiTheme="minorHAnsi"/>
              <w:sz w:val="14"/>
              <w:szCs w:val="14"/>
            </w:rPr>
          </w:pPr>
          <w:r w:rsidRPr="003D7B7C">
            <w:rPr>
              <w:rFonts w:asciiTheme="minorHAnsi" w:hAnsiTheme="minorHAnsi"/>
              <w:b/>
              <w:sz w:val="14"/>
              <w:szCs w:val="14"/>
            </w:rPr>
            <w:t>File:</w:t>
          </w:r>
          <w:r w:rsidRPr="009F724A">
            <w:rPr>
              <w:rFonts w:asciiTheme="minorHAnsi" w:hAnsiTheme="minorHAnsi"/>
              <w:sz w:val="14"/>
              <w:szCs w:val="14"/>
            </w:rPr>
            <w:t xml:space="preserve"> </w:t>
          </w:r>
          <w:r w:rsidRPr="003D7B7C">
            <w:rPr>
              <w:rFonts w:asciiTheme="minorHAnsi" w:hAnsiTheme="minorHAnsi"/>
              <w:sz w:val="14"/>
              <w:szCs w:val="14"/>
            </w:rPr>
            <w:t>11.1.2 Lesson 3</w:t>
          </w:r>
          <w:r w:rsidRPr="009F724A">
            <w:rPr>
              <w:rFonts w:asciiTheme="minorHAnsi" w:hAnsiTheme="minorHAnsi"/>
              <w:sz w:val="14"/>
              <w:szCs w:val="14"/>
            </w:rPr>
            <w:t xml:space="preserve"> </w:t>
          </w:r>
          <w:r w:rsidRPr="003D7B7C">
            <w:rPr>
              <w:rFonts w:asciiTheme="minorHAnsi" w:hAnsiTheme="minorHAnsi"/>
              <w:b/>
              <w:sz w:val="14"/>
              <w:szCs w:val="14"/>
            </w:rPr>
            <w:t>Date:</w:t>
          </w:r>
          <w:r w:rsidRPr="009F724A">
            <w:rPr>
              <w:rFonts w:asciiTheme="minorHAnsi" w:hAnsiTheme="minorHAnsi"/>
              <w:b/>
              <w:sz w:val="14"/>
              <w:szCs w:val="14"/>
            </w:rPr>
            <w:t xml:space="preserve"> </w:t>
          </w:r>
          <w:r w:rsidR="00EC75E2" w:rsidRPr="003D7B7C">
            <w:rPr>
              <w:rFonts w:asciiTheme="minorHAnsi" w:hAnsiTheme="minorHAnsi"/>
              <w:sz w:val="14"/>
              <w:szCs w:val="14"/>
            </w:rPr>
            <w:t>2/7</w:t>
          </w:r>
          <w:r w:rsidRPr="003D7B7C">
            <w:rPr>
              <w:rFonts w:asciiTheme="minorHAnsi" w:hAnsiTheme="minorHAnsi"/>
              <w:sz w:val="14"/>
              <w:szCs w:val="14"/>
            </w:rPr>
            <w:t>/14</w:t>
          </w:r>
          <w:r w:rsidRPr="009F724A">
            <w:rPr>
              <w:rFonts w:asciiTheme="minorHAnsi" w:hAnsiTheme="minorHAnsi"/>
              <w:b/>
              <w:sz w:val="14"/>
              <w:szCs w:val="14"/>
            </w:rPr>
            <w:t xml:space="preserve"> </w:t>
          </w:r>
          <w:r w:rsidRPr="003D7B7C">
            <w:rPr>
              <w:rFonts w:asciiTheme="minorHAnsi" w:hAnsiTheme="minorHAnsi"/>
              <w:b/>
              <w:sz w:val="14"/>
              <w:szCs w:val="14"/>
            </w:rPr>
            <w:t>Classroom Use:</w:t>
          </w:r>
          <w:r w:rsidRPr="009F724A">
            <w:rPr>
              <w:rFonts w:asciiTheme="minorHAnsi" w:hAnsiTheme="minorHAnsi"/>
              <w:b/>
              <w:sz w:val="14"/>
              <w:szCs w:val="14"/>
            </w:rPr>
            <w:t xml:space="preserve"> </w:t>
          </w:r>
          <w:r w:rsidRPr="003D7B7C">
            <w:rPr>
              <w:rFonts w:asciiTheme="minorHAnsi" w:hAnsiTheme="minorHAnsi"/>
              <w:sz w:val="14"/>
              <w:szCs w:val="14"/>
            </w:rPr>
            <w:t>Starting 2/2014</w:t>
          </w:r>
          <w:r w:rsidRPr="009F724A">
            <w:rPr>
              <w:rFonts w:asciiTheme="minorHAnsi" w:hAnsiTheme="minorHAnsi"/>
              <w:b/>
              <w:sz w:val="14"/>
              <w:szCs w:val="14"/>
            </w:rPr>
            <w:t xml:space="preserve"> </w:t>
          </w:r>
        </w:p>
        <w:p w:rsidR="00C9059D" w:rsidRPr="009F724A" w:rsidRDefault="00C9059D" w:rsidP="007B1338">
          <w:pPr>
            <w:pStyle w:val="FooterText"/>
            <w:rPr>
              <w:rFonts w:asciiTheme="minorHAnsi" w:hAnsiTheme="minorHAnsi"/>
              <w:b/>
              <w:i/>
              <w:sz w:val="12"/>
              <w:szCs w:val="12"/>
            </w:rPr>
          </w:pPr>
          <w:r w:rsidRPr="009F724A">
            <w:rPr>
              <w:rFonts w:asciiTheme="minorHAnsi" w:hAnsiTheme="minorHAnsi"/>
              <w:b/>
              <w:sz w:val="12"/>
              <w:szCs w:val="12"/>
            </w:rPr>
            <w:t>© 2014 Public Consulting Group.</w:t>
          </w:r>
          <w:r w:rsidRPr="009F724A">
            <w:rPr>
              <w:rFonts w:asciiTheme="minorHAnsi" w:hAnsiTheme="minorHAnsi"/>
              <w:b/>
              <w:i/>
              <w:sz w:val="12"/>
              <w:szCs w:val="12"/>
            </w:rPr>
            <w:t xml:space="preserve"> This work is licensed under a </w:t>
          </w:r>
        </w:p>
        <w:p w:rsidR="00C9059D" w:rsidRPr="009F724A" w:rsidRDefault="00C9059D" w:rsidP="007B1338">
          <w:pPr>
            <w:pStyle w:val="FooterText"/>
            <w:rPr>
              <w:rFonts w:asciiTheme="minorHAnsi" w:hAnsiTheme="minorHAnsi"/>
              <w:b/>
              <w:i/>
              <w:sz w:val="12"/>
              <w:szCs w:val="12"/>
            </w:rPr>
          </w:pPr>
          <w:r w:rsidRPr="009F724A">
            <w:rPr>
              <w:rFonts w:asciiTheme="minorHAnsi" w:hAnsiTheme="minorHAnsi"/>
              <w:b/>
              <w:i/>
              <w:sz w:val="12"/>
              <w:szCs w:val="12"/>
            </w:rPr>
            <w:t>Creative Commons Attribution-NonCommercial-ShareAlike 3.0 Unported License</w:t>
          </w:r>
        </w:p>
        <w:p w:rsidR="00C9059D" w:rsidRPr="002E4C92" w:rsidRDefault="0039120D" w:rsidP="007B1338">
          <w:pPr>
            <w:pStyle w:val="FooterText"/>
          </w:pPr>
          <w:hyperlink r:id="rId1" w:history="1">
            <w:r w:rsidR="00C9059D" w:rsidRPr="009F724A">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rsidR="00C9059D" w:rsidRPr="002E4C92" w:rsidRDefault="0005643F" w:rsidP="007B1338">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C9059D"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39120D">
            <w:rPr>
              <w:rFonts w:ascii="Calibri" w:hAnsi="Calibri" w:cs="Calibri"/>
              <w:b/>
              <w:noProof/>
              <w:color w:val="1F4E79"/>
              <w:sz w:val="28"/>
            </w:rPr>
            <w:t>1</w:t>
          </w:r>
          <w:r w:rsidRPr="002E4C92">
            <w:rPr>
              <w:rFonts w:ascii="Calibri" w:hAnsi="Calibri" w:cs="Calibri"/>
              <w:b/>
              <w:color w:val="1F4E79"/>
              <w:sz w:val="28"/>
            </w:rPr>
            <w:fldChar w:fldCharType="end"/>
          </w:r>
        </w:p>
      </w:tc>
      <w:tc>
        <w:tcPr>
          <w:tcW w:w="4325" w:type="dxa"/>
          <w:shd w:val="clear" w:color="auto" w:fill="auto"/>
          <w:vAlign w:val="bottom"/>
        </w:tcPr>
        <w:p w:rsidR="00C9059D" w:rsidRPr="002E4C92" w:rsidRDefault="00C9059D" w:rsidP="007B1338">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4"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C9059D" w:rsidRPr="0039525B" w:rsidRDefault="00C9059D" w:rsidP="009F724A">
    <w:pPr>
      <w:pStyle w:val="Footer"/>
      <w:spacing w:before="0" w:after="0" w:line="240" w:lineRule="auto"/>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120D" w:rsidRDefault="0039120D" w:rsidP="00E946A0">
      <w:r>
        <w:separator/>
      </w:r>
    </w:p>
    <w:p w:rsidR="0039120D" w:rsidRDefault="0039120D" w:rsidP="00E946A0"/>
  </w:footnote>
  <w:footnote w:type="continuationSeparator" w:id="0">
    <w:p w:rsidR="0039120D" w:rsidRDefault="0039120D" w:rsidP="00E946A0">
      <w:r>
        <w:continuationSeparator/>
      </w:r>
    </w:p>
    <w:p w:rsidR="0039120D" w:rsidRDefault="0039120D" w:rsidP="00E946A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3630"/>
      <w:gridCol w:w="2369"/>
      <w:gridCol w:w="3361"/>
    </w:tblGrid>
    <w:tr w:rsidR="00C9059D" w:rsidRPr="00563CB8">
      <w:tc>
        <w:tcPr>
          <w:tcW w:w="3708" w:type="dxa"/>
        </w:tcPr>
        <w:p w:rsidR="00C9059D" w:rsidRPr="00563CB8" w:rsidRDefault="00C9059D" w:rsidP="00E946A0">
          <w:pPr>
            <w:pStyle w:val="PageHeader"/>
          </w:pPr>
          <w:r w:rsidRPr="00563CB8">
            <w:t xml:space="preserve">NYS </w:t>
          </w:r>
          <w:r w:rsidRPr="00E946A0">
            <w:t>Common</w:t>
          </w:r>
          <w:r w:rsidRPr="00563CB8">
            <w:t xml:space="preserve"> Core ELA &amp; Literacy Curriculum</w:t>
          </w:r>
        </w:p>
      </w:tc>
      <w:tc>
        <w:tcPr>
          <w:tcW w:w="2430" w:type="dxa"/>
          <w:vAlign w:val="center"/>
        </w:tcPr>
        <w:p w:rsidR="00C9059D" w:rsidRPr="00563CB8" w:rsidRDefault="00C9059D" w:rsidP="00E946A0">
          <w:pPr>
            <w:jc w:val="center"/>
          </w:pPr>
          <w:r w:rsidRPr="00563CB8">
            <w:t>D R A F T</w:t>
          </w:r>
        </w:p>
      </w:tc>
      <w:tc>
        <w:tcPr>
          <w:tcW w:w="3438" w:type="dxa"/>
        </w:tcPr>
        <w:p w:rsidR="00C9059D" w:rsidRPr="00E946A0" w:rsidRDefault="00C9059D" w:rsidP="004141DF">
          <w:pPr>
            <w:pStyle w:val="PageHeader"/>
            <w:jc w:val="right"/>
            <w:rPr>
              <w:b w:val="0"/>
            </w:rPr>
          </w:pPr>
          <w:r>
            <w:rPr>
              <w:b w:val="0"/>
            </w:rPr>
            <w:t>Grade 11 • Module 1 • Unit 2</w:t>
          </w:r>
          <w:r w:rsidRPr="00E946A0">
            <w:rPr>
              <w:b w:val="0"/>
            </w:rPr>
            <w:t xml:space="preserve"> • Lesson </w:t>
          </w:r>
          <w:r>
            <w:rPr>
              <w:b w:val="0"/>
            </w:rPr>
            <w:t>3</w:t>
          </w:r>
        </w:p>
      </w:tc>
    </w:tr>
  </w:tbl>
  <w:p w:rsidR="00C9059D" w:rsidRDefault="00C9059D" w:rsidP="00E946A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D7AAE"/>
    <w:multiLevelType w:val="hybridMultilevel"/>
    <w:tmpl w:val="62EC7086"/>
    <w:lvl w:ilvl="0" w:tplc="2E246352">
      <w:start w:val="3"/>
      <w:numFmt w:val="lowerLetter"/>
      <w:lvlText w:val="%1."/>
      <w:lvlJc w:val="left"/>
      <w:pPr>
        <w:ind w:left="720" w:hanging="360"/>
      </w:pPr>
      <w:rPr>
        <w:rFonts w:asciiTheme="minorHAnsi" w:hAnsiTheme="minorHAnsi" w:hint="default"/>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C911EE"/>
    <w:multiLevelType w:val="hybridMultilevel"/>
    <w:tmpl w:val="2CEA737A"/>
    <w:lvl w:ilvl="0" w:tplc="8BF26D30">
      <w:start w:val="1"/>
      <w:numFmt w:val="bullet"/>
      <w:pStyle w:val="IN"/>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88466A8"/>
    <w:multiLevelType w:val="hybridMultilevel"/>
    <w:tmpl w:val="25A8162E"/>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4CF5478"/>
    <w:multiLevelType w:val="hybridMultilevel"/>
    <w:tmpl w:val="82BE4B16"/>
    <w:lvl w:ilvl="0" w:tplc="D830595C">
      <w:start w:val="1"/>
      <w:numFmt w:val="decimal"/>
      <w:pStyle w:val="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ACD5F79"/>
    <w:multiLevelType w:val="hybridMultilevel"/>
    <w:tmpl w:val="ED1C0C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AC57447"/>
    <w:multiLevelType w:val="hybridMultilevel"/>
    <w:tmpl w:val="3E7A38EC"/>
    <w:lvl w:ilvl="0" w:tplc="23E44AD0">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F4939C6"/>
    <w:multiLevelType w:val="hybridMultilevel"/>
    <w:tmpl w:val="E73C6760"/>
    <w:lvl w:ilvl="0" w:tplc="66BEF364">
      <w:start w:val="1"/>
      <w:numFmt w:val="bullet"/>
      <w:pStyle w:val="SR"/>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7171F0E"/>
    <w:multiLevelType w:val="hybridMultilevel"/>
    <w:tmpl w:val="889E8C6E"/>
    <w:lvl w:ilvl="0" w:tplc="D122B6BA">
      <w:start w:val="1"/>
      <w:numFmt w:val="bullet"/>
      <w:pStyle w:val="INBullet"/>
      <w:lvlText w:val="o"/>
      <w:lvlJc w:val="left"/>
      <w:pPr>
        <w:ind w:left="1440" w:hanging="360"/>
      </w:pPr>
      <w:rPr>
        <w:rFonts w:ascii="Courier New" w:hAnsi="Courier New" w:cs="Aria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6CB34FA9"/>
    <w:multiLevelType w:val="hybridMultilevel"/>
    <w:tmpl w:val="079E7E3C"/>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num>
  <w:num w:numId="2">
    <w:abstractNumId w:val="1"/>
  </w:num>
  <w:num w:numId="3">
    <w:abstractNumId w:val="5"/>
  </w:num>
  <w:num w:numId="4">
    <w:abstractNumId w:val="3"/>
    <w:lvlOverride w:ilvl="0">
      <w:startOverride w:val="1"/>
    </w:lvlOverride>
  </w:num>
  <w:num w:numId="5">
    <w:abstractNumId w:val="2"/>
  </w:num>
  <w:num w:numId="6">
    <w:abstractNumId w:val="7"/>
  </w:num>
  <w:num w:numId="7">
    <w:abstractNumId w:val="8"/>
  </w:num>
  <w:num w:numId="8">
    <w:abstractNumId w:val="6"/>
  </w:num>
  <w:num w:numId="9">
    <w:abstractNumId w:val="4"/>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saveSubsetFonts/>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88B"/>
    <w:rsid w:val="00007CBA"/>
    <w:rsid w:val="00007F67"/>
    <w:rsid w:val="00011E99"/>
    <w:rsid w:val="000134DA"/>
    <w:rsid w:val="000137C5"/>
    <w:rsid w:val="00014D5D"/>
    <w:rsid w:val="00020499"/>
    <w:rsid w:val="00020527"/>
    <w:rsid w:val="00020A8D"/>
    <w:rsid w:val="00021589"/>
    <w:rsid w:val="00034778"/>
    <w:rsid w:val="000465C4"/>
    <w:rsid w:val="00053088"/>
    <w:rsid w:val="0005643F"/>
    <w:rsid w:val="00062291"/>
    <w:rsid w:val="0006233C"/>
    <w:rsid w:val="00064850"/>
    <w:rsid w:val="00066123"/>
    <w:rsid w:val="00066923"/>
    <w:rsid w:val="00066D88"/>
    <w:rsid w:val="00067063"/>
    <w:rsid w:val="0006776C"/>
    <w:rsid w:val="00067B7B"/>
    <w:rsid w:val="0007043A"/>
    <w:rsid w:val="000711DA"/>
    <w:rsid w:val="00071936"/>
    <w:rsid w:val="0007261C"/>
    <w:rsid w:val="00072749"/>
    <w:rsid w:val="000742AA"/>
    <w:rsid w:val="00075649"/>
    <w:rsid w:val="00080A8A"/>
    <w:rsid w:val="000848B2"/>
    <w:rsid w:val="00086A06"/>
    <w:rsid w:val="00090200"/>
    <w:rsid w:val="00092730"/>
    <w:rsid w:val="00092792"/>
    <w:rsid w:val="00092C82"/>
    <w:rsid w:val="00095BBA"/>
    <w:rsid w:val="00096A06"/>
    <w:rsid w:val="000A1206"/>
    <w:rsid w:val="000A26A7"/>
    <w:rsid w:val="000A3640"/>
    <w:rsid w:val="000B1882"/>
    <w:rsid w:val="000B2D56"/>
    <w:rsid w:val="000B3015"/>
    <w:rsid w:val="000B3836"/>
    <w:rsid w:val="000B5DD2"/>
    <w:rsid w:val="000B6EA7"/>
    <w:rsid w:val="000C0112"/>
    <w:rsid w:val="000C169A"/>
    <w:rsid w:val="000C4439"/>
    <w:rsid w:val="000C4813"/>
    <w:rsid w:val="000C5656"/>
    <w:rsid w:val="000C5893"/>
    <w:rsid w:val="000C75CD"/>
    <w:rsid w:val="000D04C5"/>
    <w:rsid w:val="000D0F3D"/>
    <w:rsid w:val="000D0FAE"/>
    <w:rsid w:val="000D6FA4"/>
    <w:rsid w:val="000E0B69"/>
    <w:rsid w:val="000E4DBA"/>
    <w:rsid w:val="000F192C"/>
    <w:rsid w:val="000F2414"/>
    <w:rsid w:val="000F7D35"/>
    <w:rsid w:val="000F7F56"/>
    <w:rsid w:val="0010235F"/>
    <w:rsid w:val="001066F9"/>
    <w:rsid w:val="00110A04"/>
    <w:rsid w:val="00111A39"/>
    <w:rsid w:val="001128F3"/>
    <w:rsid w:val="00113501"/>
    <w:rsid w:val="001159C2"/>
    <w:rsid w:val="00121C27"/>
    <w:rsid w:val="00123757"/>
    <w:rsid w:val="001258FD"/>
    <w:rsid w:val="0012633A"/>
    <w:rsid w:val="001270E3"/>
    <w:rsid w:val="00133528"/>
    <w:rsid w:val="001352AE"/>
    <w:rsid w:val="00135F3B"/>
    <w:rsid w:val="001362D4"/>
    <w:rsid w:val="00137701"/>
    <w:rsid w:val="00140413"/>
    <w:rsid w:val="001465F8"/>
    <w:rsid w:val="001474CA"/>
    <w:rsid w:val="001509EC"/>
    <w:rsid w:val="0015118C"/>
    <w:rsid w:val="00153B97"/>
    <w:rsid w:val="00154978"/>
    <w:rsid w:val="00156124"/>
    <w:rsid w:val="00157B69"/>
    <w:rsid w:val="001637EB"/>
    <w:rsid w:val="00164976"/>
    <w:rsid w:val="001657A6"/>
    <w:rsid w:val="001708C2"/>
    <w:rsid w:val="001723D5"/>
    <w:rsid w:val="00175B00"/>
    <w:rsid w:val="00176F2A"/>
    <w:rsid w:val="001837B3"/>
    <w:rsid w:val="00185977"/>
    <w:rsid w:val="0018630D"/>
    <w:rsid w:val="00186355"/>
    <w:rsid w:val="001864E6"/>
    <w:rsid w:val="00186FDA"/>
    <w:rsid w:val="0018762C"/>
    <w:rsid w:val="001945FA"/>
    <w:rsid w:val="00194F1D"/>
    <w:rsid w:val="001A5133"/>
    <w:rsid w:val="001B0794"/>
    <w:rsid w:val="001B1487"/>
    <w:rsid w:val="001C11DF"/>
    <w:rsid w:val="001C1C99"/>
    <w:rsid w:val="001C35E3"/>
    <w:rsid w:val="001C5188"/>
    <w:rsid w:val="001C6B70"/>
    <w:rsid w:val="001C6EA7"/>
    <w:rsid w:val="001D047B"/>
    <w:rsid w:val="001D0518"/>
    <w:rsid w:val="001D3D85"/>
    <w:rsid w:val="001D641A"/>
    <w:rsid w:val="001E02A9"/>
    <w:rsid w:val="001E189E"/>
    <w:rsid w:val="001F0991"/>
    <w:rsid w:val="001F2AB8"/>
    <w:rsid w:val="001F4915"/>
    <w:rsid w:val="001F6C4F"/>
    <w:rsid w:val="002009F7"/>
    <w:rsid w:val="0020138A"/>
    <w:rsid w:val="00207C8B"/>
    <w:rsid w:val="00211727"/>
    <w:rsid w:val="00213C10"/>
    <w:rsid w:val="00222F1F"/>
    <w:rsid w:val="00224590"/>
    <w:rsid w:val="00227297"/>
    <w:rsid w:val="002306FF"/>
    <w:rsid w:val="00231919"/>
    <w:rsid w:val="00235EB6"/>
    <w:rsid w:val="0023734C"/>
    <w:rsid w:val="00240FF7"/>
    <w:rsid w:val="0024557C"/>
    <w:rsid w:val="00245B86"/>
    <w:rsid w:val="002516D4"/>
    <w:rsid w:val="00251A7C"/>
    <w:rsid w:val="00251DAB"/>
    <w:rsid w:val="00252D78"/>
    <w:rsid w:val="002619B1"/>
    <w:rsid w:val="002635F4"/>
    <w:rsid w:val="00263AF5"/>
    <w:rsid w:val="002661A8"/>
    <w:rsid w:val="002748DB"/>
    <w:rsid w:val="00274FEB"/>
    <w:rsid w:val="00276DB9"/>
    <w:rsid w:val="0028184C"/>
    <w:rsid w:val="00284B9E"/>
    <w:rsid w:val="00284FC0"/>
    <w:rsid w:val="00286BF2"/>
    <w:rsid w:val="00286C6B"/>
    <w:rsid w:val="00290F88"/>
    <w:rsid w:val="0029159F"/>
    <w:rsid w:val="0029527C"/>
    <w:rsid w:val="00297DC5"/>
    <w:rsid w:val="002A09A7"/>
    <w:rsid w:val="002A21DE"/>
    <w:rsid w:val="002A3044"/>
    <w:rsid w:val="002A5337"/>
    <w:rsid w:val="002B4596"/>
    <w:rsid w:val="002C0245"/>
    <w:rsid w:val="002C02FB"/>
    <w:rsid w:val="002C5F0D"/>
    <w:rsid w:val="002D5EB9"/>
    <w:rsid w:val="002D632F"/>
    <w:rsid w:val="002E27AE"/>
    <w:rsid w:val="002E2856"/>
    <w:rsid w:val="002E4C92"/>
    <w:rsid w:val="002F03D2"/>
    <w:rsid w:val="002F3D65"/>
    <w:rsid w:val="002F7596"/>
    <w:rsid w:val="00301E39"/>
    <w:rsid w:val="003067BF"/>
    <w:rsid w:val="00307920"/>
    <w:rsid w:val="00311E81"/>
    <w:rsid w:val="00317306"/>
    <w:rsid w:val="003201AC"/>
    <w:rsid w:val="00321C2E"/>
    <w:rsid w:val="0032239A"/>
    <w:rsid w:val="00331E60"/>
    <w:rsid w:val="00332B85"/>
    <w:rsid w:val="003339A0"/>
    <w:rsid w:val="003341CF"/>
    <w:rsid w:val="00335168"/>
    <w:rsid w:val="003368BF"/>
    <w:rsid w:val="003440A9"/>
    <w:rsid w:val="00347761"/>
    <w:rsid w:val="00347DD9"/>
    <w:rsid w:val="00350B03"/>
    <w:rsid w:val="00351804"/>
    <w:rsid w:val="00351F18"/>
    <w:rsid w:val="00352361"/>
    <w:rsid w:val="00353081"/>
    <w:rsid w:val="00355B9E"/>
    <w:rsid w:val="00356656"/>
    <w:rsid w:val="00362010"/>
    <w:rsid w:val="00364CD8"/>
    <w:rsid w:val="00370C53"/>
    <w:rsid w:val="00372441"/>
    <w:rsid w:val="0037258B"/>
    <w:rsid w:val="00374C35"/>
    <w:rsid w:val="00375D18"/>
    <w:rsid w:val="00376D8F"/>
    <w:rsid w:val="00376DBB"/>
    <w:rsid w:val="003826B0"/>
    <w:rsid w:val="0038382F"/>
    <w:rsid w:val="00383A2A"/>
    <w:rsid w:val="00384008"/>
    <w:rsid w:val="003851B2"/>
    <w:rsid w:val="003854D3"/>
    <w:rsid w:val="003908D2"/>
    <w:rsid w:val="0039120D"/>
    <w:rsid w:val="003924D0"/>
    <w:rsid w:val="0039403B"/>
    <w:rsid w:val="0039525B"/>
    <w:rsid w:val="003A0B2E"/>
    <w:rsid w:val="003A20DD"/>
    <w:rsid w:val="003A3AB0"/>
    <w:rsid w:val="003A6785"/>
    <w:rsid w:val="003A7B45"/>
    <w:rsid w:val="003B2C38"/>
    <w:rsid w:val="003B3DB9"/>
    <w:rsid w:val="003B574C"/>
    <w:rsid w:val="003B6FB7"/>
    <w:rsid w:val="003B7708"/>
    <w:rsid w:val="003C2022"/>
    <w:rsid w:val="003C24AD"/>
    <w:rsid w:val="003C2EC9"/>
    <w:rsid w:val="003C3668"/>
    <w:rsid w:val="003D2601"/>
    <w:rsid w:val="003D27E3"/>
    <w:rsid w:val="003D28E6"/>
    <w:rsid w:val="003D531A"/>
    <w:rsid w:val="003D7469"/>
    <w:rsid w:val="003D7B7C"/>
    <w:rsid w:val="003E2C04"/>
    <w:rsid w:val="003E3757"/>
    <w:rsid w:val="003E693A"/>
    <w:rsid w:val="003E6B35"/>
    <w:rsid w:val="003F1CC3"/>
    <w:rsid w:val="003F2833"/>
    <w:rsid w:val="003F3D65"/>
    <w:rsid w:val="00402AB0"/>
    <w:rsid w:val="00405198"/>
    <w:rsid w:val="00405717"/>
    <w:rsid w:val="00410875"/>
    <w:rsid w:val="004141DF"/>
    <w:rsid w:val="004179FD"/>
    <w:rsid w:val="00421157"/>
    <w:rsid w:val="00421B0B"/>
    <w:rsid w:val="0042474E"/>
    <w:rsid w:val="00425E32"/>
    <w:rsid w:val="00427129"/>
    <w:rsid w:val="004321A2"/>
    <w:rsid w:val="00432D7F"/>
    <w:rsid w:val="00436909"/>
    <w:rsid w:val="00437FD0"/>
    <w:rsid w:val="004402AC"/>
    <w:rsid w:val="004403EE"/>
    <w:rsid w:val="00440948"/>
    <w:rsid w:val="0044222D"/>
    <w:rsid w:val="00443E6E"/>
    <w:rsid w:val="004452D5"/>
    <w:rsid w:val="00446AFD"/>
    <w:rsid w:val="004504BD"/>
    <w:rsid w:val="004514E1"/>
    <w:rsid w:val="004528AF"/>
    <w:rsid w:val="004536D7"/>
    <w:rsid w:val="00455FC4"/>
    <w:rsid w:val="00456F88"/>
    <w:rsid w:val="0045725F"/>
    <w:rsid w:val="00457F98"/>
    <w:rsid w:val="00466E9E"/>
    <w:rsid w:val="004671E1"/>
    <w:rsid w:val="00467A25"/>
    <w:rsid w:val="00470E93"/>
    <w:rsid w:val="004713C2"/>
    <w:rsid w:val="00472F34"/>
    <w:rsid w:val="0047469B"/>
    <w:rsid w:val="00477B3D"/>
    <w:rsid w:val="00482C15"/>
    <w:rsid w:val="004838D9"/>
    <w:rsid w:val="00484822"/>
    <w:rsid w:val="00485D55"/>
    <w:rsid w:val="0049409E"/>
    <w:rsid w:val="00495ED5"/>
    <w:rsid w:val="004A3F30"/>
    <w:rsid w:val="004B22B8"/>
    <w:rsid w:val="004B3E41"/>
    <w:rsid w:val="004B552B"/>
    <w:rsid w:val="004B7C07"/>
    <w:rsid w:val="004C20C9"/>
    <w:rsid w:val="004C602D"/>
    <w:rsid w:val="004C6CD8"/>
    <w:rsid w:val="004D487C"/>
    <w:rsid w:val="004D5409"/>
    <w:rsid w:val="004D5473"/>
    <w:rsid w:val="004D7029"/>
    <w:rsid w:val="004E1B0E"/>
    <w:rsid w:val="004F2363"/>
    <w:rsid w:val="004F2969"/>
    <w:rsid w:val="004F348A"/>
    <w:rsid w:val="004F353F"/>
    <w:rsid w:val="004F62CF"/>
    <w:rsid w:val="00502717"/>
    <w:rsid w:val="00502FAD"/>
    <w:rsid w:val="00507DF5"/>
    <w:rsid w:val="005121D2"/>
    <w:rsid w:val="00512D8D"/>
    <w:rsid w:val="00513432"/>
    <w:rsid w:val="00513A84"/>
    <w:rsid w:val="00513C73"/>
    <w:rsid w:val="00513E84"/>
    <w:rsid w:val="00516E46"/>
    <w:rsid w:val="00516EB8"/>
    <w:rsid w:val="00517918"/>
    <w:rsid w:val="0052385B"/>
    <w:rsid w:val="00523C29"/>
    <w:rsid w:val="0052413A"/>
    <w:rsid w:val="00525274"/>
    <w:rsid w:val="0052748A"/>
    <w:rsid w:val="0052769A"/>
    <w:rsid w:val="00527DE8"/>
    <w:rsid w:val="00531A8A"/>
    <w:rsid w:val="005324A5"/>
    <w:rsid w:val="00534E62"/>
    <w:rsid w:val="0053542D"/>
    <w:rsid w:val="00541A6A"/>
    <w:rsid w:val="00542523"/>
    <w:rsid w:val="00544837"/>
    <w:rsid w:val="00546D71"/>
    <w:rsid w:val="0054791C"/>
    <w:rsid w:val="0055340D"/>
    <w:rsid w:val="0055385D"/>
    <w:rsid w:val="00561640"/>
    <w:rsid w:val="00563CB8"/>
    <w:rsid w:val="00563DC9"/>
    <w:rsid w:val="005641F5"/>
    <w:rsid w:val="00565871"/>
    <w:rsid w:val="00567E85"/>
    <w:rsid w:val="00570901"/>
    <w:rsid w:val="00570F07"/>
    <w:rsid w:val="00573DBA"/>
    <w:rsid w:val="00576E4A"/>
    <w:rsid w:val="00581401"/>
    <w:rsid w:val="005837C5"/>
    <w:rsid w:val="00583DB9"/>
    <w:rsid w:val="00583FF7"/>
    <w:rsid w:val="00585771"/>
    <w:rsid w:val="00585A0D"/>
    <w:rsid w:val="005875D8"/>
    <w:rsid w:val="00592D68"/>
    <w:rsid w:val="00593697"/>
    <w:rsid w:val="00595905"/>
    <w:rsid w:val="005960E3"/>
    <w:rsid w:val="00596931"/>
    <w:rsid w:val="00597FFD"/>
    <w:rsid w:val="005A7968"/>
    <w:rsid w:val="005B1B9F"/>
    <w:rsid w:val="005B22B2"/>
    <w:rsid w:val="005B248C"/>
    <w:rsid w:val="005B388D"/>
    <w:rsid w:val="005B3D78"/>
    <w:rsid w:val="005B7E6E"/>
    <w:rsid w:val="005C1AE5"/>
    <w:rsid w:val="005C26CB"/>
    <w:rsid w:val="005C291F"/>
    <w:rsid w:val="005C7B5F"/>
    <w:rsid w:val="005D7C72"/>
    <w:rsid w:val="005E2E87"/>
    <w:rsid w:val="005F0A35"/>
    <w:rsid w:val="005F147C"/>
    <w:rsid w:val="005F5D35"/>
    <w:rsid w:val="005F657A"/>
    <w:rsid w:val="0060160F"/>
    <w:rsid w:val="00603970"/>
    <w:rsid w:val="006044CD"/>
    <w:rsid w:val="00606C92"/>
    <w:rsid w:val="00607856"/>
    <w:rsid w:val="006124D5"/>
    <w:rsid w:val="006202DD"/>
    <w:rsid w:val="00621269"/>
    <w:rsid w:val="0062277B"/>
    <w:rsid w:val="006261E1"/>
    <w:rsid w:val="00626E4A"/>
    <w:rsid w:val="00634373"/>
    <w:rsid w:val="0063653C"/>
    <w:rsid w:val="006375AF"/>
    <w:rsid w:val="00641DC5"/>
    <w:rsid w:val="00643550"/>
    <w:rsid w:val="00644540"/>
    <w:rsid w:val="00644CE8"/>
    <w:rsid w:val="00645C3F"/>
    <w:rsid w:val="00646088"/>
    <w:rsid w:val="00651092"/>
    <w:rsid w:val="00653ABB"/>
    <w:rsid w:val="0066211A"/>
    <w:rsid w:val="00662D2E"/>
    <w:rsid w:val="00663A00"/>
    <w:rsid w:val="006661AE"/>
    <w:rsid w:val="006667A3"/>
    <w:rsid w:val="0067076C"/>
    <w:rsid w:val="0068018C"/>
    <w:rsid w:val="006816CC"/>
    <w:rsid w:val="0068235A"/>
    <w:rsid w:val="00683015"/>
    <w:rsid w:val="0068438A"/>
    <w:rsid w:val="0068529C"/>
    <w:rsid w:val="0069247E"/>
    <w:rsid w:val="006952F2"/>
    <w:rsid w:val="006A09D6"/>
    <w:rsid w:val="006A198F"/>
    <w:rsid w:val="006A1A21"/>
    <w:rsid w:val="006A2795"/>
    <w:rsid w:val="006A3594"/>
    <w:rsid w:val="006B0965"/>
    <w:rsid w:val="006B0AC4"/>
    <w:rsid w:val="006B61DD"/>
    <w:rsid w:val="006B7CCB"/>
    <w:rsid w:val="006C0C4F"/>
    <w:rsid w:val="006D3B78"/>
    <w:rsid w:val="006D5208"/>
    <w:rsid w:val="006E4C84"/>
    <w:rsid w:val="006E7A67"/>
    <w:rsid w:val="006E7D3C"/>
    <w:rsid w:val="006F3BD7"/>
    <w:rsid w:val="007032FB"/>
    <w:rsid w:val="0070453D"/>
    <w:rsid w:val="0070472E"/>
    <w:rsid w:val="00706F7A"/>
    <w:rsid w:val="00707670"/>
    <w:rsid w:val="00710CB9"/>
    <w:rsid w:val="00715389"/>
    <w:rsid w:val="0071568E"/>
    <w:rsid w:val="00717B05"/>
    <w:rsid w:val="00721CAE"/>
    <w:rsid w:val="0072440D"/>
    <w:rsid w:val="00724760"/>
    <w:rsid w:val="00725407"/>
    <w:rsid w:val="00730123"/>
    <w:rsid w:val="0073192F"/>
    <w:rsid w:val="00732189"/>
    <w:rsid w:val="00733C74"/>
    <w:rsid w:val="007352CF"/>
    <w:rsid w:val="0073797A"/>
    <w:rsid w:val="00737EE7"/>
    <w:rsid w:val="00741955"/>
    <w:rsid w:val="0075654A"/>
    <w:rsid w:val="007623AE"/>
    <w:rsid w:val="0076269D"/>
    <w:rsid w:val="00766336"/>
    <w:rsid w:val="0076658E"/>
    <w:rsid w:val="00766EF8"/>
    <w:rsid w:val="00767641"/>
    <w:rsid w:val="00772135"/>
    <w:rsid w:val="00772AE0"/>
    <w:rsid w:val="00772FCA"/>
    <w:rsid w:val="00773958"/>
    <w:rsid w:val="0077398D"/>
    <w:rsid w:val="00786A8A"/>
    <w:rsid w:val="00796D57"/>
    <w:rsid w:val="00797281"/>
    <w:rsid w:val="007A22DE"/>
    <w:rsid w:val="007A79E9"/>
    <w:rsid w:val="007B0784"/>
    <w:rsid w:val="007B0EDD"/>
    <w:rsid w:val="007B1338"/>
    <w:rsid w:val="007B57B4"/>
    <w:rsid w:val="007B624D"/>
    <w:rsid w:val="007B764B"/>
    <w:rsid w:val="007C14C1"/>
    <w:rsid w:val="007C2AF8"/>
    <w:rsid w:val="007C4481"/>
    <w:rsid w:val="007C7DB0"/>
    <w:rsid w:val="007D1715"/>
    <w:rsid w:val="007D2F12"/>
    <w:rsid w:val="007E0455"/>
    <w:rsid w:val="007E0E13"/>
    <w:rsid w:val="007E463A"/>
    <w:rsid w:val="007E4E86"/>
    <w:rsid w:val="007E7665"/>
    <w:rsid w:val="007F32A2"/>
    <w:rsid w:val="007F76FC"/>
    <w:rsid w:val="00804C62"/>
    <w:rsid w:val="00807C6B"/>
    <w:rsid w:val="008139A0"/>
    <w:rsid w:val="008151E5"/>
    <w:rsid w:val="008156D8"/>
    <w:rsid w:val="00815BEC"/>
    <w:rsid w:val="00816630"/>
    <w:rsid w:val="00816EA4"/>
    <w:rsid w:val="00820EF9"/>
    <w:rsid w:val="0082210F"/>
    <w:rsid w:val="008228CD"/>
    <w:rsid w:val="008261D2"/>
    <w:rsid w:val="00826803"/>
    <w:rsid w:val="00830E23"/>
    <w:rsid w:val="00831B4C"/>
    <w:rsid w:val="008336BE"/>
    <w:rsid w:val="00835495"/>
    <w:rsid w:val="00835F5E"/>
    <w:rsid w:val="00837302"/>
    <w:rsid w:val="008434A6"/>
    <w:rsid w:val="0084358E"/>
    <w:rsid w:val="00847A03"/>
    <w:rsid w:val="00850CE6"/>
    <w:rsid w:val="008522F9"/>
    <w:rsid w:val="00853CF3"/>
    <w:rsid w:val="008572B2"/>
    <w:rsid w:val="00860A88"/>
    <w:rsid w:val="00864A80"/>
    <w:rsid w:val="00871EAB"/>
    <w:rsid w:val="00872393"/>
    <w:rsid w:val="008732CC"/>
    <w:rsid w:val="00874AF4"/>
    <w:rsid w:val="00875D0A"/>
    <w:rsid w:val="00876632"/>
    <w:rsid w:val="00876F69"/>
    <w:rsid w:val="00880AAD"/>
    <w:rsid w:val="008818A5"/>
    <w:rsid w:val="00883761"/>
    <w:rsid w:val="00884AB6"/>
    <w:rsid w:val="008858A0"/>
    <w:rsid w:val="008907FE"/>
    <w:rsid w:val="00893930"/>
    <w:rsid w:val="00893A85"/>
    <w:rsid w:val="008A0F55"/>
    <w:rsid w:val="008A1774"/>
    <w:rsid w:val="008A2DA8"/>
    <w:rsid w:val="008A5010"/>
    <w:rsid w:val="008A7263"/>
    <w:rsid w:val="008B1311"/>
    <w:rsid w:val="008B31CC"/>
    <w:rsid w:val="008B456C"/>
    <w:rsid w:val="008B5DE1"/>
    <w:rsid w:val="008C1826"/>
    <w:rsid w:val="008C7679"/>
    <w:rsid w:val="008D0396"/>
    <w:rsid w:val="008D2ABA"/>
    <w:rsid w:val="008D3566"/>
    <w:rsid w:val="008D3BC0"/>
    <w:rsid w:val="008D5D6B"/>
    <w:rsid w:val="008E1A53"/>
    <w:rsid w:val="008E21F7"/>
    <w:rsid w:val="008E2674"/>
    <w:rsid w:val="008E5107"/>
    <w:rsid w:val="008E5EF5"/>
    <w:rsid w:val="008E722C"/>
    <w:rsid w:val="008F12C8"/>
    <w:rsid w:val="008F74EC"/>
    <w:rsid w:val="009000C9"/>
    <w:rsid w:val="00900D9C"/>
    <w:rsid w:val="00900ECC"/>
    <w:rsid w:val="00903656"/>
    <w:rsid w:val="00903EA9"/>
    <w:rsid w:val="009062ED"/>
    <w:rsid w:val="00906581"/>
    <w:rsid w:val="0090775D"/>
    <w:rsid w:val="00910D8E"/>
    <w:rsid w:val="009135A8"/>
    <w:rsid w:val="0091722D"/>
    <w:rsid w:val="00922E34"/>
    <w:rsid w:val="009231D3"/>
    <w:rsid w:val="009238F7"/>
    <w:rsid w:val="00933100"/>
    <w:rsid w:val="00935B4D"/>
    <w:rsid w:val="009403AD"/>
    <w:rsid w:val="00940924"/>
    <w:rsid w:val="0094277B"/>
    <w:rsid w:val="00946212"/>
    <w:rsid w:val="009568D6"/>
    <w:rsid w:val="0096199D"/>
    <w:rsid w:val="00962802"/>
    <w:rsid w:val="00963CDE"/>
    <w:rsid w:val="00966D72"/>
    <w:rsid w:val="00967678"/>
    <w:rsid w:val="0097223B"/>
    <w:rsid w:val="009732BA"/>
    <w:rsid w:val="0098148A"/>
    <w:rsid w:val="009859E7"/>
    <w:rsid w:val="00990A37"/>
    <w:rsid w:val="009931CA"/>
    <w:rsid w:val="00996B90"/>
    <w:rsid w:val="009A0390"/>
    <w:rsid w:val="009A3159"/>
    <w:rsid w:val="009A7BB3"/>
    <w:rsid w:val="009B0F30"/>
    <w:rsid w:val="009B12D0"/>
    <w:rsid w:val="009B14FE"/>
    <w:rsid w:val="009B4FE2"/>
    <w:rsid w:val="009B7417"/>
    <w:rsid w:val="009B7C85"/>
    <w:rsid w:val="009C0391"/>
    <w:rsid w:val="009C2014"/>
    <w:rsid w:val="009C3C09"/>
    <w:rsid w:val="009D0B7A"/>
    <w:rsid w:val="009D12CD"/>
    <w:rsid w:val="009D2572"/>
    <w:rsid w:val="009D3D8A"/>
    <w:rsid w:val="009D6965"/>
    <w:rsid w:val="009E05C6"/>
    <w:rsid w:val="009E07D2"/>
    <w:rsid w:val="009E4256"/>
    <w:rsid w:val="009E734D"/>
    <w:rsid w:val="009F31D9"/>
    <w:rsid w:val="009F3652"/>
    <w:rsid w:val="009F56AF"/>
    <w:rsid w:val="009F724A"/>
    <w:rsid w:val="00A0163A"/>
    <w:rsid w:val="00A07A4E"/>
    <w:rsid w:val="00A14F0A"/>
    <w:rsid w:val="00A24DAB"/>
    <w:rsid w:val="00A253EA"/>
    <w:rsid w:val="00A27B1D"/>
    <w:rsid w:val="00A32E00"/>
    <w:rsid w:val="00A4462B"/>
    <w:rsid w:val="00A4688B"/>
    <w:rsid w:val="00A504D5"/>
    <w:rsid w:val="00A60AC4"/>
    <w:rsid w:val="00A62437"/>
    <w:rsid w:val="00A65FF8"/>
    <w:rsid w:val="00A71F41"/>
    <w:rsid w:val="00A75116"/>
    <w:rsid w:val="00A77308"/>
    <w:rsid w:val="00A77B3D"/>
    <w:rsid w:val="00A81BA3"/>
    <w:rsid w:val="00A8509C"/>
    <w:rsid w:val="00A850EB"/>
    <w:rsid w:val="00A908AC"/>
    <w:rsid w:val="00A948B3"/>
    <w:rsid w:val="00A95E92"/>
    <w:rsid w:val="00A968CA"/>
    <w:rsid w:val="00AA0831"/>
    <w:rsid w:val="00AA1444"/>
    <w:rsid w:val="00AA1ACC"/>
    <w:rsid w:val="00AA1DC0"/>
    <w:rsid w:val="00AA44C1"/>
    <w:rsid w:val="00AA569E"/>
    <w:rsid w:val="00AA5F43"/>
    <w:rsid w:val="00AB339D"/>
    <w:rsid w:val="00AC1DE5"/>
    <w:rsid w:val="00AC1F67"/>
    <w:rsid w:val="00AC2AB4"/>
    <w:rsid w:val="00AC5E54"/>
    <w:rsid w:val="00AC6562"/>
    <w:rsid w:val="00AD26BF"/>
    <w:rsid w:val="00AD2E2E"/>
    <w:rsid w:val="00AD440D"/>
    <w:rsid w:val="00AD79B7"/>
    <w:rsid w:val="00AD7E94"/>
    <w:rsid w:val="00AE01CA"/>
    <w:rsid w:val="00AE14E2"/>
    <w:rsid w:val="00AE293F"/>
    <w:rsid w:val="00AE3076"/>
    <w:rsid w:val="00AE47D2"/>
    <w:rsid w:val="00AF1F26"/>
    <w:rsid w:val="00AF3526"/>
    <w:rsid w:val="00AF5A63"/>
    <w:rsid w:val="00AF650E"/>
    <w:rsid w:val="00B00346"/>
    <w:rsid w:val="00B044E7"/>
    <w:rsid w:val="00B05C6D"/>
    <w:rsid w:val="00B10BF2"/>
    <w:rsid w:val="00B1409A"/>
    <w:rsid w:val="00B15387"/>
    <w:rsid w:val="00B15578"/>
    <w:rsid w:val="00B17000"/>
    <w:rsid w:val="00B205E1"/>
    <w:rsid w:val="00B20B90"/>
    <w:rsid w:val="00B22AB0"/>
    <w:rsid w:val="00B231AA"/>
    <w:rsid w:val="00B23AD5"/>
    <w:rsid w:val="00B27639"/>
    <w:rsid w:val="00B30BF5"/>
    <w:rsid w:val="00B31BA2"/>
    <w:rsid w:val="00B32849"/>
    <w:rsid w:val="00B34065"/>
    <w:rsid w:val="00B43677"/>
    <w:rsid w:val="00B46C45"/>
    <w:rsid w:val="00B5282C"/>
    <w:rsid w:val="00B569BE"/>
    <w:rsid w:val="00B57A9F"/>
    <w:rsid w:val="00B6092B"/>
    <w:rsid w:val="00B6131B"/>
    <w:rsid w:val="00B66DB7"/>
    <w:rsid w:val="00B71188"/>
    <w:rsid w:val="00B7194E"/>
    <w:rsid w:val="00B74AA7"/>
    <w:rsid w:val="00B75489"/>
    <w:rsid w:val="00B76D5E"/>
    <w:rsid w:val="00B77FF2"/>
    <w:rsid w:val="00B80621"/>
    <w:rsid w:val="00B85FE6"/>
    <w:rsid w:val="00BA4437"/>
    <w:rsid w:val="00BA4548"/>
    <w:rsid w:val="00BA52EB"/>
    <w:rsid w:val="00BA536E"/>
    <w:rsid w:val="00BA6CB2"/>
    <w:rsid w:val="00BA6E05"/>
    <w:rsid w:val="00BA7D7C"/>
    <w:rsid w:val="00BA7F1C"/>
    <w:rsid w:val="00BB27BA"/>
    <w:rsid w:val="00BB3487"/>
    <w:rsid w:val="00BB459A"/>
    <w:rsid w:val="00BB4709"/>
    <w:rsid w:val="00BB542E"/>
    <w:rsid w:val="00BC092E"/>
    <w:rsid w:val="00BC1873"/>
    <w:rsid w:val="00BC2479"/>
    <w:rsid w:val="00BC3880"/>
    <w:rsid w:val="00BC4ADE"/>
    <w:rsid w:val="00BC54A9"/>
    <w:rsid w:val="00BC55AA"/>
    <w:rsid w:val="00BD28C9"/>
    <w:rsid w:val="00BD5B13"/>
    <w:rsid w:val="00BD7AD4"/>
    <w:rsid w:val="00BD7B6F"/>
    <w:rsid w:val="00BE4EBD"/>
    <w:rsid w:val="00BE6EFE"/>
    <w:rsid w:val="00BF6DF5"/>
    <w:rsid w:val="00BF7814"/>
    <w:rsid w:val="00C02E75"/>
    <w:rsid w:val="00C02EC2"/>
    <w:rsid w:val="00C02F4A"/>
    <w:rsid w:val="00C03D4A"/>
    <w:rsid w:val="00C04C19"/>
    <w:rsid w:val="00C07D88"/>
    <w:rsid w:val="00C151B9"/>
    <w:rsid w:val="00C17AF0"/>
    <w:rsid w:val="00C208EA"/>
    <w:rsid w:val="00C213B5"/>
    <w:rsid w:val="00C2283A"/>
    <w:rsid w:val="00C252EF"/>
    <w:rsid w:val="00C25BDA"/>
    <w:rsid w:val="00C25C43"/>
    <w:rsid w:val="00C27E34"/>
    <w:rsid w:val="00C3402F"/>
    <w:rsid w:val="00C34B83"/>
    <w:rsid w:val="00C36FAB"/>
    <w:rsid w:val="00C419B4"/>
    <w:rsid w:val="00C42C58"/>
    <w:rsid w:val="00C441BE"/>
    <w:rsid w:val="00C4787C"/>
    <w:rsid w:val="00C5015B"/>
    <w:rsid w:val="00C512D6"/>
    <w:rsid w:val="00C52FD6"/>
    <w:rsid w:val="00C67598"/>
    <w:rsid w:val="00C7162F"/>
    <w:rsid w:val="00C745E1"/>
    <w:rsid w:val="00C77A50"/>
    <w:rsid w:val="00C836DA"/>
    <w:rsid w:val="00C9059D"/>
    <w:rsid w:val="00C91A4B"/>
    <w:rsid w:val="00C920BB"/>
    <w:rsid w:val="00C9359E"/>
    <w:rsid w:val="00C94AC5"/>
    <w:rsid w:val="00C9623A"/>
    <w:rsid w:val="00CA2CD4"/>
    <w:rsid w:val="00CA53F8"/>
    <w:rsid w:val="00CA6CC7"/>
    <w:rsid w:val="00CB3171"/>
    <w:rsid w:val="00CB4795"/>
    <w:rsid w:val="00CB62CE"/>
    <w:rsid w:val="00CC1BF8"/>
    <w:rsid w:val="00CC2982"/>
    <w:rsid w:val="00CC30E0"/>
    <w:rsid w:val="00CC3C40"/>
    <w:rsid w:val="00CC4332"/>
    <w:rsid w:val="00CC605E"/>
    <w:rsid w:val="00CC6E60"/>
    <w:rsid w:val="00CD1A34"/>
    <w:rsid w:val="00CD3A81"/>
    <w:rsid w:val="00CD4793"/>
    <w:rsid w:val="00CD61D0"/>
    <w:rsid w:val="00CD7112"/>
    <w:rsid w:val="00CE0821"/>
    <w:rsid w:val="00CE0D9A"/>
    <w:rsid w:val="00CE2836"/>
    <w:rsid w:val="00CE5BEA"/>
    <w:rsid w:val="00CE6C54"/>
    <w:rsid w:val="00CF08C2"/>
    <w:rsid w:val="00CF2582"/>
    <w:rsid w:val="00CF2986"/>
    <w:rsid w:val="00D0180F"/>
    <w:rsid w:val="00D025BC"/>
    <w:rsid w:val="00D031FA"/>
    <w:rsid w:val="00D066C5"/>
    <w:rsid w:val="00D173E2"/>
    <w:rsid w:val="00D22B12"/>
    <w:rsid w:val="00D2326D"/>
    <w:rsid w:val="00D257AC"/>
    <w:rsid w:val="00D264F5"/>
    <w:rsid w:val="00D3179C"/>
    <w:rsid w:val="00D31C4D"/>
    <w:rsid w:val="00D3492E"/>
    <w:rsid w:val="00D36C11"/>
    <w:rsid w:val="00D374A9"/>
    <w:rsid w:val="00D379A0"/>
    <w:rsid w:val="00D37BD5"/>
    <w:rsid w:val="00D405EA"/>
    <w:rsid w:val="00D41B54"/>
    <w:rsid w:val="00D4259D"/>
    <w:rsid w:val="00D43ECD"/>
    <w:rsid w:val="00D44710"/>
    <w:rsid w:val="00D4700C"/>
    <w:rsid w:val="00D479EE"/>
    <w:rsid w:val="00D52801"/>
    <w:rsid w:val="00D534CA"/>
    <w:rsid w:val="00D544ED"/>
    <w:rsid w:val="00D56118"/>
    <w:rsid w:val="00D5676B"/>
    <w:rsid w:val="00D57066"/>
    <w:rsid w:val="00D60AB9"/>
    <w:rsid w:val="00D77CB2"/>
    <w:rsid w:val="00D848E0"/>
    <w:rsid w:val="00D920A6"/>
    <w:rsid w:val="00D9328F"/>
    <w:rsid w:val="00D94FAB"/>
    <w:rsid w:val="00D95A65"/>
    <w:rsid w:val="00DA030E"/>
    <w:rsid w:val="00DA2118"/>
    <w:rsid w:val="00DB34C3"/>
    <w:rsid w:val="00DB3C98"/>
    <w:rsid w:val="00DC0419"/>
    <w:rsid w:val="00DC0591"/>
    <w:rsid w:val="00DC7D32"/>
    <w:rsid w:val="00DD01CE"/>
    <w:rsid w:val="00DD23DC"/>
    <w:rsid w:val="00DD383B"/>
    <w:rsid w:val="00DD438E"/>
    <w:rsid w:val="00DD506C"/>
    <w:rsid w:val="00DD6609"/>
    <w:rsid w:val="00DD6BA0"/>
    <w:rsid w:val="00DE36C4"/>
    <w:rsid w:val="00DF3D1C"/>
    <w:rsid w:val="00DF5111"/>
    <w:rsid w:val="00DF65D1"/>
    <w:rsid w:val="00E0070D"/>
    <w:rsid w:val="00E0286B"/>
    <w:rsid w:val="00E03FEB"/>
    <w:rsid w:val="00E12C92"/>
    <w:rsid w:val="00E16070"/>
    <w:rsid w:val="00E2090F"/>
    <w:rsid w:val="00E22A24"/>
    <w:rsid w:val="00E26A26"/>
    <w:rsid w:val="00E31D9D"/>
    <w:rsid w:val="00E3245A"/>
    <w:rsid w:val="00E45753"/>
    <w:rsid w:val="00E46711"/>
    <w:rsid w:val="00E46FA8"/>
    <w:rsid w:val="00E51822"/>
    <w:rsid w:val="00E53E91"/>
    <w:rsid w:val="00E54A6F"/>
    <w:rsid w:val="00E56018"/>
    <w:rsid w:val="00E560AD"/>
    <w:rsid w:val="00E56C25"/>
    <w:rsid w:val="00E6036C"/>
    <w:rsid w:val="00E60525"/>
    <w:rsid w:val="00E618D5"/>
    <w:rsid w:val="00E63363"/>
    <w:rsid w:val="00E6588C"/>
    <w:rsid w:val="00E65C14"/>
    <w:rsid w:val="00E7559A"/>
    <w:rsid w:val="00E7754E"/>
    <w:rsid w:val="00E83254"/>
    <w:rsid w:val="00E851F3"/>
    <w:rsid w:val="00E85D9D"/>
    <w:rsid w:val="00E860CF"/>
    <w:rsid w:val="00E9190E"/>
    <w:rsid w:val="00E93803"/>
    <w:rsid w:val="00E946A0"/>
    <w:rsid w:val="00E9564A"/>
    <w:rsid w:val="00EA0C17"/>
    <w:rsid w:val="00EA326C"/>
    <w:rsid w:val="00EA3693"/>
    <w:rsid w:val="00EA44C5"/>
    <w:rsid w:val="00EA74B5"/>
    <w:rsid w:val="00EB4655"/>
    <w:rsid w:val="00EB4AAC"/>
    <w:rsid w:val="00EB6D24"/>
    <w:rsid w:val="00EB782B"/>
    <w:rsid w:val="00EC15E4"/>
    <w:rsid w:val="00EC1E30"/>
    <w:rsid w:val="00EC238E"/>
    <w:rsid w:val="00EC3F22"/>
    <w:rsid w:val="00EC69CD"/>
    <w:rsid w:val="00EC75E2"/>
    <w:rsid w:val="00ED0044"/>
    <w:rsid w:val="00ED34EC"/>
    <w:rsid w:val="00ED491F"/>
    <w:rsid w:val="00ED5470"/>
    <w:rsid w:val="00EE0CF8"/>
    <w:rsid w:val="00EE360E"/>
    <w:rsid w:val="00EE5883"/>
    <w:rsid w:val="00EE5F60"/>
    <w:rsid w:val="00EE66B9"/>
    <w:rsid w:val="00EF12C5"/>
    <w:rsid w:val="00EF283F"/>
    <w:rsid w:val="00F079B5"/>
    <w:rsid w:val="00F07B41"/>
    <w:rsid w:val="00F10E78"/>
    <w:rsid w:val="00F10E87"/>
    <w:rsid w:val="00F12958"/>
    <w:rsid w:val="00F143C7"/>
    <w:rsid w:val="00F15C63"/>
    <w:rsid w:val="00F21CD9"/>
    <w:rsid w:val="00F233A6"/>
    <w:rsid w:val="00F2701E"/>
    <w:rsid w:val="00F308FF"/>
    <w:rsid w:val="00F34A57"/>
    <w:rsid w:val="00F355C2"/>
    <w:rsid w:val="00F37F20"/>
    <w:rsid w:val="00F41D88"/>
    <w:rsid w:val="00F4326C"/>
    <w:rsid w:val="00F43401"/>
    <w:rsid w:val="00F43553"/>
    <w:rsid w:val="00F4386A"/>
    <w:rsid w:val="00F44637"/>
    <w:rsid w:val="00F4480D"/>
    <w:rsid w:val="00F457A9"/>
    <w:rsid w:val="00F52488"/>
    <w:rsid w:val="00F544D9"/>
    <w:rsid w:val="00F552C6"/>
    <w:rsid w:val="00F55F78"/>
    <w:rsid w:val="00F56625"/>
    <w:rsid w:val="00F60C57"/>
    <w:rsid w:val="00F62109"/>
    <w:rsid w:val="00F64807"/>
    <w:rsid w:val="00F6568B"/>
    <w:rsid w:val="00F7589B"/>
    <w:rsid w:val="00F814D5"/>
    <w:rsid w:val="00F85E0B"/>
    <w:rsid w:val="00F87643"/>
    <w:rsid w:val="00F92CB6"/>
    <w:rsid w:val="00F942C8"/>
    <w:rsid w:val="00F94F36"/>
    <w:rsid w:val="00F97CBF"/>
    <w:rsid w:val="00FA0A05"/>
    <w:rsid w:val="00FA3204"/>
    <w:rsid w:val="00FA3976"/>
    <w:rsid w:val="00FB2878"/>
    <w:rsid w:val="00FB317B"/>
    <w:rsid w:val="00FB3415"/>
    <w:rsid w:val="00FB56E4"/>
    <w:rsid w:val="00FB5AAD"/>
    <w:rsid w:val="00FB71CD"/>
    <w:rsid w:val="00FB75ED"/>
    <w:rsid w:val="00FC349F"/>
    <w:rsid w:val="00FC714C"/>
    <w:rsid w:val="00FD0EE4"/>
    <w:rsid w:val="00FD275D"/>
    <w:rsid w:val="00FD6A91"/>
    <w:rsid w:val="00FD708D"/>
    <w:rsid w:val="00FE12D4"/>
    <w:rsid w:val="00FE28A3"/>
    <w:rsid w:val="00FE2A44"/>
    <w:rsid w:val="00FE662D"/>
    <w:rsid w:val="00FF161C"/>
    <w:rsid w:val="00FF1FA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42DCC2A-AD3E-4E26-8BCD-CFBAE58B6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8E21F7"/>
    <w:pPr>
      <w:spacing w:before="60" w:after="180" w:line="276" w:lineRule="auto"/>
    </w:pPr>
    <w:rPr>
      <w:sz w:val="22"/>
      <w:szCs w:val="22"/>
    </w:rPr>
  </w:style>
  <w:style w:type="paragraph" w:styleId="Heading1">
    <w:name w:val="heading 1"/>
    <w:aliases w:val="*Headers"/>
    <w:basedOn w:val="Normal"/>
    <w:next w:val="Normal"/>
    <w:link w:val="Heading1Char"/>
    <w:uiPriority w:val="9"/>
    <w:qFormat/>
    <w:rsid w:val="008E21F7"/>
    <w:pPr>
      <w:keepNext/>
      <w:keepLines/>
      <w:spacing w:before="480" w:after="120"/>
      <w:outlineLvl w:val="0"/>
    </w:pPr>
    <w:rPr>
      <w:rFonts w:asciiTheme="minorHAnsi" w:hAnsiTheme="minorHAnsi"/>
      <w:b/>
      <w:bCs/>
      <w:color w:val="365F91"/>
      <w:sz w:val="32"/>
      <w:szCs w:val="28"/>
    </w:rPr>
  </w:style>
  <w:style w:type="paragraph" w:styleId="Heading2">
    <w:name w:val="heading 2"/>
    <w:basedOn w:val="Normal"/>
    <w:next w:val="Normal"/>
    <w:link w:val="Heading2Char"/>
    <w:uiPriority w:val="99"/>
    <w:rsid w:val="00A4688B"/>
    <w:pPr>
      <w:keepNext/>
      <w:keepLines/>
      <w:spacing w:before="360"/>
      <w:outlineLvl w:val="1"/>
    </w:pPr>
    <w:rPr>
      <w:rFonts w:ascii="Cambria" w:eastAsia="Times New Roman" w:hAnsi="Cambria"/>
      <w:b/>
      <w:bCs/>
      <w:i/>
      <w:color w:val="4F81BD"/>
      <w:sz w:val="26"/>
      <w:szCs w:val="26"/>
    </w:rPr>
  </w:style>
  <w:style w:type="paragraph" w:styleId="Heading3">
    <w:name w:val="heading 3"/>
    <w:basedOn w:val="Normal"/>
    <w:next w:val="Normal"/>
    <w:link w:val="Heading3Char"/>
    <w:uiPriority w:val="99"/>
    <w:rsid w:val="00375D18"/>
    <w:pPr>
      <w:keepNext/>
      <w:keepLines/>
      <w:pBdr>
        <w:top w:val="dotted" w:sz="4" w:space="1" w:color="808080"/>
      </w:pBdr>
      <w:spacing w:before="200" w:after="120"/>
      <w:outlineLvl w:val="2"/>
    </w:pPr>
    <w:rPr>
      <w:rFonts w:ascii="Cambria" w:eastAsia="Times New Roman" w:hAnsi="Cambria"/>
      <w:b/>
      <w:bCs/>
      <w:i/>
      <w:color w:val="7F7F7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ers Char"/>
    <w:link w:val="Heading1"/>
    <w:uiPriority w:val="9"/>
    <w:locked/>
    <w:rsid w:val="008E21F7"/>
    <w:rPr>
      <w:rFonts w:asciiTheme="minorHAnsi" w:hAnsiTheme="minorHAnsi"/>
      <w:b/>
      <w:bCs/>
      <w:color w:val="365F91"/>
      <w:sz w:val="32"/>
      <w:szCs w:val="28"/>
    </w:rPr>
  </w:style>
  <w:style w:type="character" w:customStyle="1" w:styleId="Heading2Char">
    <w:name w:val="Heading 2 Char"/>
    <w:basedOn w:val="DefaultParagraphFont"/>
    <w:link w:val="Heading2"/>
    <w:uiPriority w:val="99"/>
    <w:locked/>
    <w:rsid w:val="00A4688B"/>
    <w:rPr>
      <w:rFonts w:ascii="Cambria" w:hAnsi="Cambria" w:cs="Times New Roman"/>
      <w:b/>
      <w:i/>
      <w:color w:val="4F81BD"/>
      <w:sz w:val="26"/>
    </w:rPr>
  </w:style>
  <w:style w:type="character" w:customStyle="1" w:styleId="Heading3Char">
    <w:name w:val="Heading 3 Char"/>
    <w:basedOn w:val="DefaultParagraphFont"/>
    <w:link w:val="Heading3"/>
    <w:uiPriority w:val="99"/>
    <w:locked/>
    <w:rsid w:val="00375D18"/>
    <w:rPr>
      <w:rFonts w:ascii="Cambria" w:hAnsi="Cambria" w:cs="Times New Roman"/>
      <w:b/>
      <w:i/>
      <w:color w:val="7F7F7F"/>
    </w:rPr>
  </w:style>
  <w:style w:type="paragraph" w:styleId="Footer">
    <w:name w:val="footer"/>
    <w:basedOn w:val="Normal"/>
    <w:link w:val="FooterChar"/>
    <w:uiPriority w:val="99"/>
    <w:rsid w:val="00A4688B"/>
    <w:pPr>
      <w:tabs>
        <w:tab w:val="center" w:pos="4320"/>
        <w:tab w:val="right" w:pos="8640"/>
      </w:tabs>
    </w:pPr>
    <w:rPr>
      <w:rFonts w:ascii="Times New Roman" w:eastAsia="Times New Roman" w:hAnsi="Times New Roman"/>
      <w:sz w:val="20"/>
      <w:szCs w:val="20"/>
    </w:rPr>
  </w:style>
  <w:style w:type="character" w:customStyle="1" w:styleId="FooterChar">
    <w:name w:val="Footer Char"/>
    <w:basedOn w:val="DefaultParagraphFont"/>
    <w:link w:val="Footer"/>
    <w:uiPriority w:val="99"/>
    <w:locked/>
    <w:rsid w:val="00A4688B"/>
    <w:rPr>
      <w:rFonts w:ascii="Times New Roman" w:hAnsi="Times New Roman" w:cs="Times New Roman"/>
      <w:sz w:val="20"/>
    </w:rPr>
  </w:style>
  <w:style w:type="character" w:styleId="PageNumber">
    <w:name w:val="page number"/>
    <w:basedOn w:val="DefaultParagraphFont"/>
    <w:uiPriority w:val="99"/>
    <w:rsid w:val="00A4688B"/>
    <w:rPr>
      <w:rFonts w:cs="Times New Roman"/>
    </w:rPr>
  </w:style>
  <w:style w:type="character" w:customStyle="1" w:styleId="apple-converted-space">
    <w:name w:val="apple-converted-space"/>
    <w:uiPriority w:val="99"/>
    <w:rsid w:val="00A4688B"/>
  </w:style>
  <w:style w:type="paragraph" w:styleId="Title">
    <w:name w:val="Title"/>
    <w:basedOn w:val="Normal"/>
    <w:next w:val="Normal"/>
    <w:link w:val="TitleChar"/>
    <w:uiPriority w:val="99"/>
    <w:rsid w:val="00A4688B"/>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A4688B"/>
    <w:rPr>
      <w:rFonts w:ascii="Cambria" w:hAnsi="Cambria" w:cs="Times New Roman"/>
      <w:color w:val="17365D"/>
      <w:spacing w:val="5"/>
      <w:kern w:val="28"/>
      <w:sz w:val="52"/>
    </w:rPr>
  </w:style>
  <w:style w:type="paragraph" w:customStyle="1" w:styleId="MediumGrid1-Accent21">
    <w:name w:val="Medium Grid 1 - Accent 21"/>
    <w:basedOn w:val="Normal"/>
    <w:uiPriority w:val="99"/>
    <w:rsid w:val="00A4688B"/>
    <w:pPr>
      <w:ind w:left="720"/>
      <w:contextualSpacing/>
    </w:pPr>
  </w:style>
  <w:style w:type="paragraph" w:styleId="Header">
    <w:name w:val="header"/>
    <w:basedOn w:val="Normal"/>
    <w:link w:val="HeaderChar"/>
    <w:uiPriority w:val="99"/>
    <w:rsid w:val="00375D18"/>
    <w:pPr>
      <w:tabs>
        <w:tab w:val="center" w:pos="4680"/>
        <w:tab w:val="right" w:pos="9360"/>
      </w:tabs>
    </w:pPr>
    <w:rPr>
      <w:rFonts w:eastAsia="Times New Roman"/>
      <w:sz w:val="20"/>
      <w:szCs w:val="20"/>
    </w:rPr>
  </w:style>
  <w:style w:type="character" w:customStyle="1" w:styleId="HeaderChar">
    <w:name w:val="Header Char"/>
    <w:basedOn w:val="DefaultParagraphFont"/>
    <w:link w:val="Header"/>
    <w:uiPriority w:val="99"/>
    <w:locked/>
    <w:rsid w:val="00375D18"/>
    <w:rPr>
      <w:rFonts w:eastAsia="Times New Roman" w:cs="Times New Roman"/>
    </w:rPr>
  </w:style>
  <w:style w:type="paragraph" w:styleId="NormalWeb">
    <w:name w:val="Normal (Web)"/>
    <w:basedOn w:val="Normal"/>
    <w:uiPriority w:val="99"/>
    <w:rsid w:val="00375D18"/>
    <w:pPr>
      <w:spacing w:before="100" w:beforeAutospacing="1" w:after="100" w:afterAutospacing="1"/>
    </w:pPr>
    <w:rPr>
      <w:rFonts w:ascii="Times New Roman" w:hAnsi="Times New Roman"/>
      <w:sz w:val="24"/>
      <w:szCs w:val="24"/>
    </w:rPr>
  </w:style>
  <w:style w:type="character" w:styleId="CommentReference">
    <w:name w:val="annotation reference"/>
    <w:basedOn w:val="DefaultParagraphFont"/>
    <w:uiPriority w:val="99"/>
    <w:semiHidden/>
    <w:rsid w:val="00375D18"/>
    <w:rPr>
      <w:rFonts w:cs="Times New Roman"/>
      <w:sz w:val="16"/>
    </w:rPr>
  </w:style>
  <w:style w:type="paragraph" w:styleId="CommentText">
    <w:name w:val="annotation text"/>
    <w:basedOn w:val="Normal"/>
    <w:link w:val="CommentTextChar"/>
    <w:uiPriority w:val="99"/>
    <w:rsid w:val="00375D18"/>
    <w:rPr>
      <w:rFonts w:eastAsia="Times New Roman"/>
      <w:sz w:val="20"/>
      <w:szCs w:val="20"/>
    </w:rPr>
  </w:style>
  <w:style w:type="character" w:customStyle="1" w:styleId="CommentTextChar">
    <w:name w:val="Comment Text Char"/>
    <w:basedOn w:val="DefaultParagraphFont"/>
    <w:link w:val="CommentText"/>
    <w:uiPriority w:val="99"/>
    <w:locked/>
    <w:rsid w:val="00375D18"/>
    <w:rPr>
      <w:rFonts w:eastAsia="Times New Roman" w:cs="Times New Roman"/>
    </w:rPr>
  </w:style>
  <w:style w:type="paragraph" w:styleId="CommentSubject">
    <w:name w:val="annotation subject"/>
    <w:basedOn w:val="CommentText"/>
    <w:next w:val="CommentText"/>
    <w:link w:val="CommentSubjectChar"/>
    <w:uiPriority w:val="99"/>
    <w:semiHidden/>
    <w:rsid w:val="00375D18"/>
    <w:rPr>
      <w:b/>
      <w:bCs/>
    </w:rPr>
  </w:style>
  <w:style w:type="character" w:customStyle="1" w:styleId="CommentSubjectChar">
    <w:name w:val="Comment Subject Char"/>
    <w:basedOn w:val="CommentTextChar"/>
    <w:link w:val="CommentSubject"/>
    <w:uiPriority w:val="99"/>
    <w:semiHidden/>
    <w:locked/>
    <w:rsid w:val="00375D18"/>
    <w:rPr>
      <w:rFonts w:eastAsia="Times New Roman" w:cs="Times New Roman"/>
      <w:b/>
    </w:rPr>
  </w:style>
  <w:style w:type="paragraph" w:styleId="BalloonText">
    <w:name w:val="Balloon Text"/>
    <w:basedOn w:val="Normal"/>
    <w:link w:val="BalloonTextChar"/>
    <w:uiPriority w:val="99"/>
    <w:semiHidden/>
    <w:rsid w:val="00375D18"/>
    <w:rPr>
      <w:rFonts w:ascii="Tahoma" w:eastAsia="Times New Roman" w:hAnsi="Tahoma"/>
      <w:sz w:val="16"/>
      <w:szCs w:val="16"/>
    </w:rPr>
  </w:style>
  <w:style w:type="character" w:customStyle="1" w:styleId="BalloonTextChar">
    <w:name w:val="Balloon Text Char"/>
    <w:basedOn w:val="DefaultParagraphFont"/>
    <w:link w:val="BalloonText"/>
    <w:uiPriority w:val="99"/>
    <w:semiHidden/>
    <w:locked/>
    <w:rsid w:val="00375D18"/>
    <w:rPr>
      <w:rFonts w:ascii="Tahoma" w:hAnsi="Tahoma" w:cs="Times New Roman"/>
      <w:sz w:val="16"/>
    </w:rPr>
  </w:style>
  <w:style w:type="paragraph" w:customStyle="1" w:styleId="Pa4">
    <w:name w:val="Pa4"/>
    <w:basedOn w:val="Normal"/>
    <w:next w:val="Normal"/>
    <w:uiPriority w:val="99"/>
    <w:rsid w:val="00375D18"/>
    <w:pPr>
      <w:autoSpaceDE w:val="0"/>
      <w:autoSpaceDN w:val="0"/>
      <w:adjustRightInd w:val="0"/>
      <w:spacing w:line="241" w:lineRule="atLeast"/>
    </w:pPr>
    <w:rPr>
      <w:rFonts w:ascii="Garamond" w:hAnsi="Garamond"/>
      <w:sz w:val="24"/>
      <w:szCs w:val="24"/>
    </w:rPr>
  </w:style>
  <w:style w:type="character" w:styleId="Hyperlink">
    <w:name w:val="Hyperlink"/>
    <w:basedOn w:val="DefaultParagraphFont"/>
    <w:uiPriority w:val="99"/>
    <w:rsid w:val="00375D18"/>
    <w:rPr>
      <w:rFonts w:cs="Times New Roman"/>
      <w:color w:val="0000FF"/>
      <w:u w:val="single"/>
    </w:rPr>
  </w:style>
  <w:style w:type="table" w:styleId="TableGrid">
    <w:name w:val="Table Grid"/>
    <w:basedOn w:val="TableNormal"/>
    <w:uiPriority w:val="99"/>
    <w:rsid w:val="00375D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List2-Accent41">
    <w:name w:val="Medium List 2 - Accent 41"/>
    <w:basedOn w:val="Normal"/>
    <w:link w:val="MediumList2-Accent41Char"/>
    <w:uiPriority w:val="99"/>
    <w:rsid w:val="00E3245A"/>
    <w:pPr>
      <w:spacing w:after="200"/>
      <w:ind w:left="720"/>
      <w:contextualSpacing/>
    </w:pPr>
  </w:style>
  <w:style w:type="paragraph" w:styleId="BodyText">
    <w:name w:val="Body Text"/>
    <w:basedOn w:val="Normal"/>
    <w:link w:val="BodyTextChar"/>
    <w:uiPriority w:val="99"/>
    <w:rsid w:val="00BB3487"/>
    <w:pPr>
      <w:spacing w:after="120"/>
    </w:pPr>
  </w:style>
  <w:style w:type="character" w:customStyle="1" w:styleId="BodyTextChar">
    <w:name w:val="Body Text Char"/>
    <w:basedOn w:val="DefaultParagraphFont"/>
    <w:link w:val="BodyText"/>
    <w:uiPriority w:val="99"/>
    <w:locked/>
    <w:rsid w:val="00BB3487"/>
    <w:rPr>
      <w:rFonts w:cs="Times New Roman"/>
      <w:sz w:val="22"/>
    </w:rPr>
  </w:style>
  <w:style w:type="paragraph" w:customStyle="1" w:styleId="Header-banner">
    <w:name w:val="Header-banner"/>
    <w:uiPriority w:val="99"/>
    <w:rsid w:val="00F814D5"/>
    <w:pPr>
      <w:ind w:left="43" w:right="43"/>
      <w:jc w:val="center"/>
    </w:pPr>
    <w:rPr>
      <w:rFonts w:ascii="Cambria" w:hAnsi="Cambria" w:cs="Calibri"/>
      <w:b/>
      <w:bCs/>
      <w:caps/>
      <w:color w:val="FFFFFF"/>
      <w:sz w:val="44"/>
    </w:rPr>
  </w:style>
  <w:style w:type="paragraph" w:customStyle="1" w:styleId="Header2banner">
    <w:name w:val="Header2_banner"/>
    <w:basedOn w:val="Header-banner"/>
    <w:uiPriority w:val="99"/>
    <w:rsid w:val="00F814D5"/>
    <w:pPr>
      <w:spacing w:line="440" w:lineRule="exact"/>
      <w:jc w:val="left"/>
    </w:pPr>
    <w:rPr>
      <w:caps w:val="0"/>
    </w:rPr>
  </w:style>
  <w:style w:type="paragraph" w:customStyle="1" w:styleId="folio">
    <w:name w:val="folio"/>
    <w:basedOn w:val="Normal"/>
    <w:link w:val="folioChar"/>
    <w:rsid w:val="00730123"/>
    <w:pPr>
      <w:pBdr>
        <w:top w:val="single" w:sz="8" w:space="4" w:color="244061"/>
      </w:pBdr>
      <w:tabs>
        <w:tab w:val="center" w:pos="6480"/>
        <w:tab w:val="right" w:pos="10080"/>
      </w:tabs>
    </w:pPr>
    <w:rPr>
      <w:rFonts w:ascii="Verdana" w:hAnsi="Verdana" w:cs="Verdana"/>
      <w:color w:val="595959"/>
      <w:sz w:val="16"/>
    </w:rPr>
  </w:style>
  <w:style w:type="paragraph" w:customStyle="1" w:styleId="ColorfulList-Accent11">
    <w:name w:val="Colorful List - Accent 11"/>
    <w:basedOn w:val="Normal"/>
    <w:uiPriority w:val="99"/>
    <w:rsid w:val="00E22A24"/>
    <w:pPr>
      <w:ind w:left="720"/>
      <w:contextualSpacing/>
    </w:pPr>
  </w:style>
  <w:style w:type="character" w:styleId="FollowedHyperlink">
    <w:name w:val="FollowedHyperlink"/>
    <w:basedOn w:val="DefaultParagraphFont"/>
    <w:uiPriority w:val="99"/>
    <w:semiHidden/>
    <w:rsid w:val="0020138A"/>
    <w:rPr>
      <w:rFonts w:cs="Times New Roman"/>
      <w:color w:val="954F72"/>
      <w:u w:val="single"/>
    </w:rPr>
  </w:style>
  <w:style w:type="paragraph" w:customStyle="1" w:styleId="NoSpacing1">
    <w:name w:val="No Spacing1"/>
    <w:link w:val="NoSpacingChar"/>
    <w:uiPriority w:val="99"/>
    <w:rsid w:val="00820EF9"/>
    <w:rPr>
      <w:rFonts w:ascii="Tahoma" w:hAnsi="Tahoma"/>
    </w:rPr>
  </w:style>
  <w:style w:type="character" w:customStyle="1" w:styleId="NoSpacingChar">
    <w:name w:val="No Spacing Char"/>
    <w:link w:val="NoSpacing1"/>
    <w:uiPriority w:val="99"/>
    <w:locked/>
    <w:rsid w:val="00820EF9"/>
    <w:rPr>
      <w:rFonts w:ascii="Tahoma" w:hAnsi="Tahoma"/>
      <w:sz w:val="22"/>
    </w:rPr>
  </w:style>
  <w:style w:type="paragraph" w:styleId="FootnoteText">
    <w:name w:val="footnote text"/>
    <w:basedOn w:val="Normal"/>
    <w:link w:val="FootnoteTextChar"/>
    <w:uiPriority w:val="99"/>
    <w:semiHidden/>
    <w:rsid w:val="007D1715"/>
    <w:rPr>
      <w:sz w:val="20"/>
    </w:rPr>
  </w:style>
  <w:style w:type="character" w:customStyle="1" w:styleId="FootnoteTextChar">
    <w:name w:val="Footnote Text Char"/>
    <w:basedOn w:val="DefaultParagraphFont"/>
    <w:link w:val="FootnoteText"/>
    <w:uiPriority w:val="99"/>
    <w:semiHidden/>
    <w:locked/>
    <w:rsid w:val="007D1715"/>
    <w:rPr>
      <w:rFonts w:eastAsia="Times New Roman" w:cs="Times New Roman"/>
    </w:rPr>
  </w:style>
  <w:style w:type="character" w:styleId="FootnoteReference">
    <w:name w:val="footnote reference"/>
    <w:basedOn w:val="DefaultParagraphFont"/>
    <w:uiPriority w:val="99"/>
    <w:semiHidden/>
    <w:rsid w:val="007D1715"/>
    <w:rPr>
      <w:rFonts w:cs="Times New Roman"/>
      <w:vertAlign w:val="superscript"/>
    </w:rPr>
  </w:style>
  <w:style w:type="paragraph" w:customStyle="1" w:styleId="LearningSequenceHeader">
    <w:name w:val="*Learning Sequence Header"/>
    <w:next w:val="TA"/>
    <w:link w:val="LearningSequenceHeaderChar"/>
    <w:qFormat/>
    <w:rsid w:val="008E21F7"/>
    <w:pPr>
      <w:pBdr>
        <w:bottom w:val="single" w:sz="12" w:space="1" w:color="9BBB59" w:themeColor="accent3"/>
      </w:pBdr>
      <w:tabs>
        <w:tab w:val="right" w:pos="9360"/>
      </w:tabs>
      <w:spacing w:before="480"/>
    </w:pPr>
    <w:rPr>
      <w:rFonts w:asciiTheme="minorHAnsi" w:hAnsiTheme="minorHAnsi"/>
      <w:b/>
      <w:bCs/>
      <w:i/>
      <w:color w:val="4F81BD"/>
      <w:sz w:val="28"/>
      <w:szCs w:val="26"/>
    </w:rPr>
  </w:style>
  <w:style w:type="paragraph" w:styleId="ListParagraph">
    <w:name w:val="List Paragraph"/>
    <w:basedOn w:val="Normal"/>
    <w:link w:val="ListParagraphChar"/>
    <w:uiPriority w:val="99"/>
    <w:qFormat/>
    <w:rsid w:val="005F5D35"/>
    <w:pPr>
      <w:ind w:left="720"/>
      <w:contextualSpacing/>
    </w:pPr>
  </w:style>
  <w:style w:type="character" w:customStyle="1" w:styleId="LearningSequenceHeaderChar">
    <w:name w:val="*Learning Sequence Header Char"/>
    <w:basedOn w:val="Heading2Char"/>
    <w:link w:val="LearningSequenceHeader"/>
    <w:locked/>
    <w:rsid w:val="008E21F7"/>
    <w:rPr>
      <w:rFonts w:asciiTheme="minorHAnsi" w:hAnsiTheme="minorHAnsi" w:cs="Times New Roman"/>
      <w:b/>
      <w:bCs/>
      <w:i/>
      <w:color w:val="4F81BD"/>
      <w:sz w:val="28"/>
      <w:szCs w:val="26"/>
    </w:rPr>
  </w:style>
  <w:style w:type="paragraph" w:customStyle="1" w:styleId="TA">
    <w:name w:val="*TA*"/>
    <w:link w:val="TAChar"/>
    <w:qFormat/>
    <w:rsid w:val="003D7B7C"/>
    <w:pPr>
      <w:spacing w:before="180" w:after="180" w:line="276" w:lineRule="auto"/>
    </w:pPr>
    <w:rPr>
      <w:sz w:val="22"/>
      <w:szCs w:val="22"/>
    </w:rPr>
  </w:style>
  <w:style w:type="character" w:customStyle="1" w:styleId="TAChar">
    <w:name w:val="*TA* Char"/>
    <w:basedOn w:val="DefaultParagraphFont"/>
    <w:link w:val="TA"/>
    <w:locked/>
    <w:rsid w:val="003D7B7C"/>
    <w:rPr>
      <w:sz w:val="22"/>
      <w:szCs w:val="22"/>
    </w:rPr>
  </w:style>
  <w:style w:type="paragraph" w:customStyle="1" w:styleId="IN">
    <w:name w:val="*IN*"/>
    <w:link w:val="INChar"/>
    <w:qFormat/>
    <w:rsid w:val="009F724A"/>
    <w:pPr>
      <w:numPr>
        <w:numId w:val="2"/>
      </w:numPr>
      <w:spacing w:before="120" w:after="60" w:line="276" w:lineRule="auto"/>
      <w:ind w:left="360"/>
    </w:pPr>
    <w:rPr>
      <w:color w:val="4F81BD" w:themeColor="accent1"/>
      <w:sz w:val="22"/>
      <w:szCs w:val="22"/>
    </w:rPr>
  </w:style>
  <w:style w:type="character" w:customStyle="1" w:styleId="ListParagraphChar">
    <w:name w:val="List Paragraph Char"/>
    <w:basedOn w:val="DefaultParagraphFont"/>
    <w:link w:val="ListParagraph"/>
    <w:uiPriority w:val="99"/>
    <w:locked/>
    <w:rsid w:val="005F5D35"/>
    <w:rPr>
      <w:rFonts w:eastAsia="Times New Roman" w:cs="Times New Roman"/>
      <w:sz w:val="22"/>
    </w:rPr>
  </w:style>
  <w:style w:type="paragraph" w:customStyle="1" w:styleId="BulletedList">
    <w:name w:val="*Bulleted List"/>
    <w:link w:val="BulletedListChar"/>
    <w:autoRedefine/>
    <w:qFormat/>
    <w:rsid w:val="009F724A"/>
    <w:pPr>
      <w:numPr>
        <w:numId w:val="3"/>
      </w:numPr>
      <w:spacing w:before="60" w:after="60" w:line="276" w:lineRule="auto"/>
      <w:ind w:left="360"/>
    </w:pPr>
    <w:rPr>
      <w:sz w:val="22"/>
      <w:szCs w:val="22"/>
    </w:rPr>
  </w:style>
  <w:style w:type="character" w:customStyle="1" w:styleId="INChar">
    <w:name w:val="*IN* Char"/>
    <w:basedOn w:val="DefaultParagraphFont"/>
    <w:link w:val="IN"/>
    <w:locked/>
    <w:rsid w:val="009F724A"/>
    <w:rPr>
      <w:color w:val="4F81BD" w:themeColor="accent1"/>
      <w:sz w:val="22"/>
      <w:szCs w:val="22"/>
    </w:rPr>
  </w:style>
  <w:style w:type="paragraph" w:customStyle="1" w:styleId="NumberedList">
    <w:name w:val="*Numbered List"/>
    <w:link w:val="NumberedListChar"/>
    <w:qFormat/>
    <w:rsid w:val="008E21F7"/>
    <w:pPr>
      <w:numPr>
        <w:numId w:val="4"/>
      </w:numPr>
      <w:spacing w:after="60"/>
    </w:pPr>
    <w:rPr>
      <w:sz w:val="22"/>
      <w:szCs w:val="22"/>
    </w:rPr>
  </w:style>
  <w:style w:type="character" w:customStyle="1" w:styleId="MediumList2-Accent41Char">
    <w:name w:val="Medium List 2 - Accent 41 Char"/>
    <w:basedOn w:val="DefaultParagraphFont"/>
    <w:link w:val="MediumList2-Accent41"/>
    <w:uiPriority w:val="99"/>
    <w:locked/>
    <w:rsid w:val="00C02EC2"/>
    <w:rPr>
      <w:rFonts w:cs="Times New Roman"/>
      <w:sz w:val="22"/>
      <w:szCs w:val="22"/>
    </w:rPr>
  </w:style>
  <w:style w:type="character" w:customStyle="1" w:styleId="BulletedListChar">
    <w:name w:val="*Bulleted List Char"/>
    <w:basedOn w:val="MediumList2-Accent41Char"/>
    <w:link w:val="BulletedList"/>
    <w:locked/>
    <w:rsid w:val="009F724A"/>
    <w:rPr>
      <w:rFonts w:cs="Times New Roman"/>
      <w:sz w:val="22"/>
      <w:szCs w:val="22"/>
    </w:rPr>
  </w:style>
  <w:style w:type="paragraph" w:customStyle="1" w:styleId="TableHeaders">
    <w:name w:val="*TableHeaders"/>
    <w:basedOn w:val="Normal"/>
    <w:link w:val="TableHeadersChar"/>
    <w:qFormat/>
    <w:rsid w:val="008E21F7"/>
    <w:pPr>
      <w:spacing w:before="40" w:after="40" w:line="240" w:lineRule="auto"/>
    </w:pPr>
    <w:rPr>
      <w:b/>
      <w:color w:val="FFFFFF" w:themeColor="background1"/>
    </w:rPr>
  </w:style>
  <w:style w:type="character" w:customStyle="1" w:styleId="NumberedListChar">
    <w:name w:val="*Numbered List Char"/>
    <w:basedOn w:val="BulletedListChar"/>
    <w:link w:val="NumberedList"/>
    <w:locked/>
    <w:rsid w:val="008E21F7"/>
    <w:rPr>
      <w:rFonts w:cs="Times New Roman"/>
      <w:sz w:val="22"/>
      <w:szCs w:val="22"/>
    </w:rPr>
  </w:style>
  <w:style w:type="paragraph" w:customStyle="1" w:styleId="PageHeader">
    <w:name w:val="*PageHeader"/>
    <w:link w:val="PageHeaderChar"/>
    <w:qFormat/>
    <w:rsid w:val="008E21F7"/>
    <w:pPr>
      <w:spacing w:before="120"/>
    </w:pPr>
    <w:rPr>
      <w:rFonts w:cs="Calibri"/>
      <w:b/>
      <w:sz w:val="18"/>
      <w:szCs w:val="22"/>
    </w:rPr>
  </w:style>
  <w:style w:type="character" w:customStyle="1" w:styleId="TableHeadersChar">
    <w:name w:val="*TableHeaders Char"/>
    <w:basedOn w:val="DefaultParagraphFont"/>
    <w:link w:val="TableHeaders"/>
    <w:locked/>
    <w:rsid w:val="008E21F7"/>
    <w:rPr>
      <w:b/>
      <w:color w:val="FFFFFF" w:themeColor="background1"/>
      <w:sz w:val="22"/>
      <w:szCs w:val="22"/>
    </w:rPr>
  </w:style>
  <w:style w:type="paragraph" w:customStyle="1" w:styleId="Q">
    <w:name w:val="*Q*"/>
    <w:link w:val="QChar"/>
    <w:qFormat/>
    <w:rsid w:val="008E21F7"/>
    <w:pPr>
      <w:spacing w:before="240" w:line="276" w:lineRule="auto"/>
    </w:pPr>
    <w:rPr>
      <w:b/>
      <w:sz w:val="22"/>
      <w:szCs w:val="22"/>
    </w:rPr>
  </w:style>
  <w:style w:type="character" w:customStyle="1" w:styleId="PageHeaderChar">
    <w:name w:val="*PageHeader Char"/>
    <w:basedOn w:val="BodyTextChar"/>
    <w:link w:val="PageHeader"/>
    <w:locked/>
    <w:rsid w:val="008E21F7"/>
    <w:rPr>
      <w:rFonts w:cs="Calibri"/>
      <w:b/>
      <w:sz w:val="18"/>
      <w:szCs w:val="22"/>
    </w:rPr>
  </w:style>
  <w:style w:type="character" w:customStyle="1" w:styleId="QChar">
    <w:name w:val="*Q* Char"/>
    <w:basedOn w:val="ListParagraphChar"/>
    <w:link w:val="Q"/>
    <w:locked/>
    <w:rsid w:val="008E21F7"/>
    <w:rPr>
      <w:rFonts w:eastAsia="Times New Roman" w:cs="Times New Roman"/>
      <w:b/>
      <w:sz w:val="22"/>
      <w:szCs w:val="22"/>
    </w:rPr>
  </w:style>
  <w:style w:type="paragraph" w:customStyle="1" w:styleId="SASRBullet">
    <w:name w:val="*SA/SR Bullet"/>
    <w:basedOn w:val="Normal"/>
    <w:link w:val="SASRBulletChar"/>
    <w:qFormat/>
    <w:rsid w:val="009F724A"/>
    <w:pPr>
      <w:numPr>
        <w:ilvl w:val="1"/>
        <w:numId w:val="5"/>
      </w:numPr>
      <w:spacing w:before="120"/>
      <w:ind w:left="1080"/>
      <w:contextualSpacing/>
    </w:pPr>
  </w:style>
  <w:style w:type="paragraph" w:customStyle="1" w:styleId="INBullet">
    <w:name w:val="*IN* Bullet"/>
    <w:link w:val="INBulletChar"/>
    <w:qFormat/>
    <w:rsid w:val="008E21F7"/>
    <w:pPr>
      <w:numPr>
        <w:numId w:val="6"/>
      </w:numPr>
      <w:spacing w:after="60" w:line="276" w:lineRule="auto"/>
    </w:pPr>
    <w:rPr>
      <w:color w:val="4F81BD" w:themeColor="accent1"/>
      <w:sz w:val="22"/>
      <w:szCs w:val="22"/>
    </w:rPr>
  </w:style>
  <w:style w:type="character" w:customStyle="1" w:styleId="SASRBulletChar">
    <w:name w:val="*SA/SR Bullet Char"/>
    <w:basedOn w:val="DefaultParagraphFont"/>
    <w:link w:val="SASRBullet"/>
    <w:locked/>
    <w:rsid w:val="009F724A"/>
    <w:rPr>
      <w:sz w:val="22"/>
      <w:szCs w:val="22"/>
    </w:rPr>
  </w:style>
  <w:style w:type="character" w:customStyle="1" w:styleId="INBulletChar">
    <w:name w:val="*IN* Bullet Char"/>
    <w:basedOn w:val="BulletedListChar"/>
    <w:link w:val="INBullet"/>
    <w:locked/>
    <w:rsid w:val="008E21F7"/>
    <w:rPr>
      <w:rFonts w:cs="Times New Roman"/>
      <w:color w:val="4F81BD" w:themeColor="accent1"/>
      <w:sz w:val="22"/>
      <w:szCs w:val="22"/>
    </w:rPr>
  </w:style>
  <w:style w:type="character" w:customStyle="1" w:styleId="reference-text">
    <w:name w:val="reference-text"/>
    <w:uiPriority w:val="99"/>
    <w:rsid w:val="00BE4EBD"/>
  </w:style>
  <w:style w:type="paragraph" w:customStyle="1" w:styleId="SA">
    <w:name w:val="*SA*"/>
    <w:link w:val="SAChar"/>
    <w:qFormat/>
    <w:rsid w:val="008E21F7"/>
    <w:pPr>
      <w:numPr>
        <w:numId w:val="7"/>
      </w:numPr>
      <w:spacing w:before="120" w:line="276" w:lineRule="auto"/>
    </w:pPr>
    <w:rPr>
      <w:sz w:val="22"/>
      <w:szCs w:val="22"/>
    </w:rPr>
  </w:style>
  <w:style w:type="paragraph" w:customStyle="1" w:styleId="SR">
    <w:name w:val="*SR*"/>
    <w:link w:val="SRChar"/>
    <w:autoRedefine/>
    <w:qFormat/>
    <w:rsid w:val="009F724A"/>
    <w:pPr>
      <w:numPr>
        <w:numId w:val="8"/>
      </w:numPr>
      <w:spacing w:before="120" w:line="276" w:lineRule="auto"/>
      <w:ind w:left="720"/>
    </w:pPr>
    <w:rPr>
      <w:sz w:val="22"/>
      <w:szCs w:val="22"/>
    </w:rPr>
  </w:style>
  <w:style w:type="character" w:customStyle="1" w:styleId="SAChar">
    <w:name w:val="*SA* Char"/>
    <w:basedOn w:val="ListParagraphChar"/>
    <w:link w:val="SA"/>
    <w:locked/>
    <w:rsid w:val="008E21F7"/>
    <w:rPr>
      <w:rFonts w:eastAsia="Times New Roman" w:cs="Times New Roman"/>
      <w:sz w:val="22"/>
      <w:szCs w:val="22"/>
    </w:rPr>
  </w:style>
  <w:style w:type="character" w:customStyle="1" w:styleId="SRChar">
    <w:name w:val="*SR* Char"/>
    <w:basedOn w:val="ListParagraphChar"/>
    <w:link w:val="SR"/>
    <w:locked/>
    <w:rsid w:val="009F724A"/>
    <w:rPr>
      <w:rFonts w:eastAsia="Times New Roman" w:cs="Times New Roman"/>
      <w:sz w:val="22"/>
      <w:szCs w:val="22"/>
    </w:rPr>
  </w:style>
  <w:style w:type="paragraph" w:customStyle="1" w:styleId="BR">
    <w:name w:val="*BR*"/>
    <w:link w:val="BRChar"/>
    <w:qFormat/>
    <w:rsid w:val="008E21F7"/>
    <w:pPr>
      <w:pBdr>
        <w:bottom w:val="single" w:sz="12" w:space="1" w:color="7F7F7F" w:themeColor="text1" w:themeTint="80"/>
      </w:pBdr>
      <w:spacing w:after="360"/>
      <w:ind w:left="2880" w:right="2880"/>
    </w:pPr>
    <w:rPr>
      <w:sz w:val="18"/>
      <w:szCs w:val="22"/>
    </w:rPr>
  </w:style>
  <w:style w:type="paragraph" w:customStyle="1" w:styleId="FooterText">
    <w:name w:val="*FooterText"/>
    <w:link w:val="FooterTextChar"/>
    <w:qFormat/>
    <w:rsid w:val="008E21F7"/>
    <w:pPr>
      <w:spacing w:line="200" w:lineRule="exact"/>
    </w:pPr>
    <w:rPr>
      <w:rFonts w:ascii="Verdana" w:eastAsia="Verdana" w:hAnsi="Verdana" w:cs="Verdana"/>
      <w:color w:val="595959"/>
      <w:sz w:val="16"/>
      <w:szCs w:val="22"/>
    </w:rPr>
  </w:style>
  <w:style w:type="character" w:customStyle="1" w:styleId="BRChar">
    <w:name w:val="*BR* Char"/>
    <w:basedOn w:val="DefaultParagraphFont"/>
    <w:link w:val="BR"/>
    <w:locked/>
    <w:rsid w:val="008E21F7"/>
    <w:rPr>
      <w:sz w:val="18"/>
      <w:szCs w:val="22"/>
    </w:rPr>
  </w:style>
  <w:style w:type="character" w:customStyle="1" w:styleId="folioChar">
    <w:name w:val="folio Char"/>
    <w:basedOn w:val="DefaultParagraphFont"/>
    <w:link w:val="folio"/>
    <w:locked/>
    <w:rsid w:val="00880AAD"/>
    <w:rPr>
      <w:rFonts w:ascii="Verdana" w:hAnsi="Verdana" w:cs="Verdana"/>
      <w:color w:val="595959"/>
      <w:sz w:val="22"/>
      <w:szCs w:val="22"/>
    </w:rPr>
  </w:style>
  <w:style w:type="character" w:customStyle="1" w:styleId="FooterTextChar">
    <w:name w:val="FooterText Char"/>
    <w:basedOn w:val="folioChar"/>
    <w:link w:val="FooterText"/>
    <w:locked/>
    <w:rsid w:val="008E21F7"/>
    <w:rPr>
      <w:rFonts w:ascii="Verdana" w:eastAsia="Verdana" w:hAnsi="Verdana" w:cs="Verdana"/>
      <w:color w:val="595959"/>
      <w:sz w:val="16"/>
      <w:szCs w:val="22"/>
    </w:rPr>
  </w:style>
  <w:style w:type="paragraph" w:customStyle="1" w:styleId="TableText">
    <w:name w:val="*TableText"/>
    <w:link w:val="TableTextChar"/>
    <w:qFormat/>
    <w:rsid w:val="008E21F7"/>
    <w:pPr>
      <w:spacing w:before="40" w:after="40" w:line="276" w:lineRule="auto"/>
    </w:pPr>
    <w:rPr>
      <w:sz w:val="22"/>
      <w:szCs w:val="22"/>
    </w:rPr>
  </w:style>
  <w:style w:type="character" w:customStyle="1" w:styleId="TableTextChar">
    <w:name w:val="*TableText Char"/>
    <w:basedOn w:val="DefaultParagraphFont"/>
    <w:link w:val="TableText"/>
    <w:locked/>
    <w:rsid w:val="008E21F7"/>
    <w:rPr>
      <w:sz w:val="22"/>
      <w:szCs w:val="22"/>
    </w:rPr>
  </w:style>
  <w:style w:type="paragraph" w:customStyle="1" w:styleId="ToolHeader">
    <w:name w:val="*ToolHeader"/>
    <w:link w:val="ToolHeaderChar"/>
    <w:qFormat/>
    <w:rsid w:val="008E21F7"/>
    <w:pPr>
      <w:spacing w:after="120"/>
    </w:pPr>
    <w:rPr>
      <w:rFonts w:asciiTheme="minorHAnsi" w:hAnsiTheme="minorHAnsi"/>
      <w:b/>
      <w:bCs/>
      <w:color w:val="365F91"/>
      <w:sz w:val="32"/>
      <w:szCs w:val="28"/>
    </w:rPr>
  </w:style>
  <w:style w:type="paragraph" w:customStyle="1" w:styleId="ToolTableText">
    <w:name w:val="*ToolTableText"/>
    <w:qFormat/>
    <w:rsid w:val="008E21F7"/>
    <w:pPr>
      <w:spacing w:before="40" w:after="120"/>
    </w:pPr>
    <w:rPr>
      <w:sz w:val="22"/>
      <w:szCs w:val="22"/>
    </w:rPr>
  </w:style>
  <w:style w:type="paragraph" w:styleId="Revision">
    <w:name w:val="Revision"/>
    <w:hidden/>
    <w:uiPriority w:val="99"/>
    <w:semiHidden/>
    <w:rsid w:val="008E1A53"/>
  </w:style>
  <w:style w:type="character" w:customStyle="1" w:styleId="ToolHeaderChar">
    <w:name w:val="*ToolHeader Char"/>
    <w:basedOn w:val="DefaultParagraphFont"/>
    <w:link w:val="ToolHeader"/>
    <w:locked/>
    <w:rsid w:val="00935B4D"/>
    <w:rPr>
      <w:rFonts w:asciiTheme="minorHAnsi" w:hAnsiTheme="minorHAnsi"/>
      <w:b/>
      <w:bCs/>
      <w:color w:val="365F91"/>
      <w:sz w:val="3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5762932">
      <w:marLeft w:val="0"/>
      <w:marRight w:val="0"/>
      <w:marTop w:val="0"/>
      <w:marBottom w:val="0"/>
      <w:divBdr>
        <w:top w:val="none" w:sz="0" w:space="0" w:color="auto"/>
        <w:left w:val="none" w:sz="0" w:space="0" w:color="auto"/>
        <w:bottom w:val="none" w:sz="0" w:space="0" w:color="auto"/>
        <w:right w:val="none" w:sz="0" w:space="0" w:color="auto"/>
      </w:divBdr>
      <w:divsChild>
        <w:div w:id="1745762967">
          <w:marLeft w:val="0"/>
          <w:marRight w:val="0"/>
          <w:marTop w:val="0"/>
          <w:marBottom w:val="0"/>
          <w:divBdr>
            <w:top w:val="none" w:sz="0" w:space="0" w:color="auto"/>
            <w:left w:val="none" w:sz="0" w:space="0" w:color="auto"/>
            <w:bottom w:val="none" w:sz="0" w:space="0" w:color="auto"/>
            <w:right w:val="none" w:sz="0" w:space="0" w:color="auto"/>
          </w:divBdr>
        </w:div>
      </w:divsChild>
    </w:div>
    <w:div w:id="1745762940">
      <w:marLeft w:val="0"/>
      <w:marRight w:val="0"/>
      <w:marTop w:val="0"/>
      <w:marBottom w:val="0"/>
      <w:divBdr>
        <w:top w:val="none" w:sz="0" w:space="0" w:color="auto"/>
        <w:left w:val="none" w:sz="0" w:space="0" w:color="auto"/>
        <w:bottom w:val="none" w:sz="0" w:space="0" w:color="auto"/>
        <w:right w:val="none" w:sz="0" w:space="0" w:color="auto"/>
      </w:divBdr>
      <w:divsChild>
        <w:div w:id="1745762931">
          <w:marLeft w:val="0"/>
          <w:marRight w:val="0"/>
          <w:marTop w:val="0"/>
          <w:marBottom w:val="0"/>
          <w:divBdr>
            <w:top w:val="none" w:sz="0" w:space="0" w:color="auto"/>
            <w:left w:val="none" w:sz="0" w:space="0" w:color="auto"/>
            <w:bottom w:val="none" w:sz="0" w:space="0" w:color="auto"/>
            <w:right w:val="none" w:sz="0" w:space="0" w:color="auto"/>
          </w:divBdr>
        </w:div>
        <w:div w:id="1745762933">
          <w:marLeft w:val="0"/>
          <w:marRight w:val="0"/>
          <w:marTop w:val="0"/>
          <w:marBottom w:val="0"/>
          <w:divBdr>
            <w:top w:val="none" w:sz="0" w:space="0" w:color="auto"/>
            <w:left w:val="none" w:sz="0" w:space="0" w:color="auto"/>
            <w:bottom w:val="none" w:sz="0" w:space="0" w:color="auto"/>
            <w:right w:val="none" w:sz="0" w:space="0" w:color="auto"/>
          </w:divBdr>
        </w:div>
        <w:div w:id="1745762934">
          <w:marLeft w:val="0"/>
          <w:marRight w:val="0"/>
          <w:marTop w:val="0"/>
          <w:marBottom w:val="0"/>
          <w:divBdr>
            <w:top w:val="none" w:sz="0" w:space="0" w:color="auto"/>
            <w:left w:val="none" w:sz="0" w:space="0" w:color="auto"/>
            <w:bottom w:val="none" w:sz="0" w:space="0" w:color="auto"/>
            <w:right w:val="none" w:sz="0" w:space="0" w:color="auto"/>
          </w:divBdr>
        </w:div>
        <w:div w:id="1745762935">
          <w:marLeft w:val="0"/>
          <w:marRight w:val="0"/>
          <w:marTop w:val="0"/>
          <w:marBottom w:val="0"/>
          <w:divBdr>
            <w:top w:val="none" w:sz="0" w:space="0" w:color="auto"/>
            <w:left w:val="none" w:sz="0" w:space="0" w:color="auto"/>
            <w:bottom w:val="none" w:sz="0" w:space="0" w:color="auto"/>
            <w:right w:val="none" w:sz="0" w:space="0" w:color="auto"/>
          </w:divBdr>
        </w:div>
        <w:div w:id="1745762936">
          <w:marLeft w:val="0"/>
          <w:marRight w:val="0"/>
          <w:marTop w:val="0"/>
          <w:marBottom w:val="0"/>
          <w:divBdr>
            <w:top w:val="none" w:sz="0" w:space="0" w:color="auto"/>
            <w:left w:val="none" w:sz="0" w:space="0" w:color="auto"/>
            <w:bottom w:val="none" w:sz="0" w:space="0" w:color="auto"/>
            <w:right w:val="none" w:sz="0" w:space="0" w:color="auto"/>
          </w:divBdr>
        </w:div>
        <w:div w:id="1745762937">
          <w:marLeft w:val="0"/>
          <w:marRight w:val="0"/>
          <w:marTop w:val="0"/>
          <w:marBottom w:val="0"/>
          <w:divBdr>
            <w:top w:val="none" w:sz="0" w:space="0" w:color="auto"/>
            <w:left w:val="none" w:sz="0" w:space="0" w:color="auto"/>
            <w:bottom w:val="none" w:sz="0" w:space="0" w:color="auto"/>
            <w:right w:val="none" w:sz="0" w:space="0" w:color="auto"/>
          </w:divBdr>
        </w:div>
        <w:div w:id="1745762938">
          <w:marLeft w:val="0"/>
          <w:marRight w:val="0"/>
          <w:marTop w:val="0"/>
          <w:marBottom w:val="0"/>
          <w:divBdr>
            <w:top w:val="none" w:sz="0" w:space="0" w:color="auto"/>
            <w:left w:val="none" w:sz="0" w:space="0" w:color="auto"/>
            <w:bottom w:val="none" w:sz="0" w:space="0" w:color="auto"/>
            <w:right w:val="none" w:sz="0" w:space="0" w:color="auto"/>
          </w:divBdr>
        </w:div>
        <w:div w:id="1745762939">
          <w:marLeft w:val="0"/>
          <w:marRight w:val="0"/>
          <w:marTop w:val="0"/>
          <w:marBottom w:val="0"/>
          <w:divBdr>
            <w:top w:val="none" w:sz="0" w:space="0" w:color="auto"/>
            <w:left w:val="none" w:sz="0" w:space="0" w:color="auto"/>
            <w:bottom w:val="none" w:sz="0" w:space="0" w:color="auto"/>
            <w:right w:val="none" w:sz="0" w:space="0" w:color="auto"/>
          </w:divBdr>
        </w:div>
        <w:div w:id="1745762942">
          <w:marLeft w:val="0"/>
          <w:marRight w:val="0"/>
          <w:marTop w:val="0"/>
          <w:marBottom w:val="0"/>
          <w:divBdr>
            <w:top w:val="none" w:sz="0" w:space="0" w:color="auto"/>
            <w:left w:val="none" w:sz="0" w:space="0" w:color="auto"/>
            <w:bottom w:val="none" w:sz="0" w:space="0" w:color="auto"/>
            <w:right w:val="none" w:sz="0" w:space="0" w:color="auto"/>
          </w:divBdr>
        </w:div>
        <w:div w:id="1745762943">
          <w:marLeft w:val="0"/>
          <w:marRight w:val="0"/>
          <w:marTop w:val="0"/>
          <w:marBottom w:val="0"/>
          <w:divBdr>
            <w:top w:val="none" w:sz="0" w:space="0" w:color="auto"/>
            <w:left w:val="none" w:sz="0" w:space="0" w:color="auto"/>
            <w:bottom w:val="none" w:sz="0" w:space="0" w:color="auto"/>
            <w:right w:val="none" w:sz="0" w:space="0" w:color="auto"/>
          </w:divBdr>
        </w:div>
        <w:div w:id="1745762944">
          <w:marLeft w:val="0"/>
          <w:marRight w:val="0"/>
          <w:marTop w:val="0"/>
          <w:marBottom w:val="0"/>
          <w:divBdr>
            <w:top w:val="none" w:sz="0" w:space="0" w:color="auto"/>
            <w:left w:val="none" w:sz="0" w:space="0" w:color="auto"/>
            <w:bottom w:val="none" w:sz="0" w:space="0" w:color="auto"/>
            <w:right w:val="none" w:sz="0" w:space="0" w:color="auto"/>
          </w:divBdr>
        </w:div>
        <w:div w:id="1745762946">
          <w:marLeft w:val="0"/>
          <w:marRight w:val="0"/>
          <w:marTop w:val="0"/>
          <w:marBottom w:val="0"/>
          <w:divBdr>
            <w:top w:val="none" w:sz="0" w:space="0" w:color="auto"/>
            <w:left w:val="none" w:sz="0" w:space="0" w:color="auto"/>
            <w:bottom w:val="none" w:sz="0" w:space="0" w:color="auto"/>
            <w:right w:val="none" w:sz="0" w:space="0" w:color="auto"/>
          </w:divBdr>
        </w:div>
        <w:div w:id="1745762948">
          <w:marLeft w:val="0"/>
          <w:marRight w:val="0"/>
          <w:marTop w:val="0"/>
          <w:marBottom w:val="0"/>
          <w:divBdr>
            <w:top w:val="none" w:sz="0" w:space="0" w:color="auto"/>
            <w:left w:val="none" w:sz="0" w:space="0" w:color="auto"/>
            <w:bottom w:val="none" w:sz="0" w:space="0" w:color="auto"/>
            <w:right w:val="none" w:sz="0" w:space="0" w:color="auto"/>
          </w:divBdr>
        </w:div>
        <w:div w:id="1745762949">
          <w:marLeft w:val="0"/>
          <w:marRight w:val="0"/>
          <w:marTop w:val="0"/>
          <w:marBottom w:val="0"/>
          <w:divBdr>
            <w:top w:val="none" w:sz="0" w:space="0" w:color="auto"/>
            <w:left w:val="none" w:sz="0" w:space="0" w:color="auto"/>
            <w:bottom w:val="none" w:sz="0" w:space="0" w:color="auto"/>
            <w:right w:val="none" w:sz="0" w:space="0" w:color="auto"/>
          </w:divBdr>
        </w:div>
        <w:div w:id="1745762951">
          <w:marLeft w:val="0"/>
          <w:marRight w:val="0"/>
          <w:marTop w:val="0"/>
          <w:marBottom w:val="0"/>
          <w:divBdr>
            <w:top w:val="none" w:sz="0" w:space="0" w:color="auto"/>
            <w:left w:val="none" w:sz="0" w:space="0" w:color="auto"/>
            <w:bottom w:val="none" w:sz="0" w:space="0" w:color="auto"/>
            <w:right w:val="none" w:sz="0" w:space="0" w:color="auto"/>
          </w:divBdr>
        </w:div>
        <w:div w:id="1745762952">
          <w:marLeft w:val="0"/>
          <w:marRight w:val="0"/>
          <w:marTop w:val="0"/>
          <w:marBottom w:val="0"/>
          <w:divBdr>
            <w:top w:val="none" w:sz="0" w:space="0" w:color="auto"/>
            <w:left w:val="none" w:sz="0" w:space="0" w:color="auto"/>
            <w:bottom w:val="none" w:sz="0" w:space="0" w:color="auto"/>
            <w:right w:val="none" w:sz="0" w:space="0" w:color="auto"/>
          </w:divBdr>
        </w:div>
        <w:div w:id="1745762954">
          <w:marLeft w:val="0"/>
          <w:marRight w:val="0"/>
          <w:marTop w:val="0"/>
          <w:marBottom w:val="0"/>
          <w:divBdr>
            <w:top w:val="none" w:sz="0" w:space="0" w:color="auto"/>
            <w:left w:val="none" w:sz="0" w:space="0" w:color="auto"/>
            <w:bottom w:val="none" w:sz="0" w:space="0" w:color="auto"/>
            <w:right w:val="none" w:sz="0" w:space="0" w:color="auto"/>
          </w:divBdr>
        </w:div>
        <w:div w:id="1745762955">
          <w:marLeft w:val="0"/>
          <w:marRight w:val="0"/>
          <w:marTop w:val="0"/>
          <w:marBottom w:val="0"/>
          <w:divBdr>
            <w:top w:val="none" w:sz="0" w:space="0" w:color="auto"/>
            <w:left w:val="none" w:sz="0" w:space="0" w:color="auto"/>
            <w:bottom w:val="none" w:sz="0" w:space="0" w:color="auto"/>
            <w:right w:val="none" w:sz="0" w:space="0" w:color="auto"/>
          </w:divBdr>
        </w:div>
        <w:div w:id="1745762956">
          <w:marLeft w:val="0"/>
          <w:marRight w:val="0"/>
          <w:marTop w:val="0"/>
          <w:marBottom w:val="0"/>
          <w:divBdr>
            <w:top w:val="none" w:sz="0" w:space="0" w:color="auto"/>
            <w:left w:val="none" w:sz="0" w:space="0" w:color="auto"/>
            <w:bottom w:val="none" w:sz="0" w:space="0" w:color="auto"/>
            <w:right w:val="none" w:sz="0" w:space="0" w:color="auto"/>
          </w:divBdr>
        </w:div>
        <w:div w:id="1745762957">
          <w:marLeft w:val="0"/>
          <w:marRight w:val="0"/>
          <w:marTop w:val="0"/>
          <w:marBottom w:val="0"/>
          <w:divBdr>
            <w:top w:val="none" w:sz="0" w:space="0" w:color="auto"/>
            <w:left w:val="none" w:sz="0" w:space="0" w:color="auto"/>
            <w:bottom w:val="none" w:sz="0" w:space="0" w:color="auto"/>
            <w:right w:val="none" w:sz="0" w:space="0" w:color="auto"/>
          </w:divBdr>
        </w:div>
        <w:div w:id="1745762958">
          <w:marLeft w:val="0"/>
          <w:marRight w:val="0"/>
          <w:marTop w:val="0"/>
          <w:marBottom w:val="0"/>
          <w:divBdr>
            <w:top w:val="none" w:sz="0" w:space="0" w:color="auto"/>
            <w:left w:val="none" w:sz="0" w:space="0" w:color="auto"/>
            <w:bottom w:val="none" w:sz="0" w:space="0" w:color="auto"/>
            <w:right w:val="none" w:sz="0" w:space="0" w:color="auto"/>
          </w:divBdr>
        </w:div>
        <w:div w:id="1745762959">
          <w:marLeft w:val="0"/>
          <w:marRight w:val="0"/>
          <w:marTop w:val="0"/>
          <w:marBottom w:val="0"/>
          <w:divBdr>
            <w:top w:val="none" w:sz="0" w:space="0" w:color="auto"/>
            <w:left w:val="none" w:sz="0" w:space="0" w:color="auto"/>
            <w:bottom w:val="none" w:sz="0" w:space="0" w:color="auto"/>
            <w:right w:val="none" w:sz="0" w:space="0" w:color="auto"/>
          </w:divBdr>
        </w:div>
        <w:div w:id="1745762960">
          <w:marLeft w:val="0"/>
          <w:marRight w:val="0"/>
          <w:marTop w:val="0"/>
          <w:marBottom w:val="0"/>
          <w:divBdr>
            <w:top w:val="none" w:sz="0" w:space="0" w:color="auto"/>
            <w:left w:val="none" w:sz="0" w:space="0" w:color="auto"/>
            <w:bottom w:val="none" w:sz="0" w:space="0" w:color="auto"/>
            <w:right w:val="none" w:sz="0" w:space="0" w:color="auto"/>
          </w:divBdr>
        </w:div>
        <w:div w:id="1745762962">
          <w:marLeft w:val="0"/>
          <w:marRight w:val="0"/>
          <w:marTop w:val="0"/>
          <w:marBottom w:val="0"/>
          <w:divBdr>
            <w:top w:val="none" w:sz="0" w:space="0" w:color="auto"/>
            <w:left w:val="none" w:sz="0" w:space="0" w:color="auto"/>
            <w:bottom w:val="none" w:sz="0" w:space="0" w:color="auto"/>
            <w:right w:val="none" w:sz="0" w:space="0" w:color="auto"/>
          </w:divBdr>
        </w:div>
        <w:div w:id="1745762963">
          <w:marLeft w:val="0"/>
          <w:marRight w:val="0"/>
          <w:marTop w:val="0"/>
          <w:marBottom w:val="0"/>
          <w:divBdr>
            <w:top w:val="none" w:sz="0" w:space="0" w:color="auto"/>
            <w:left w:val="none" w:sz="0" w:space="0" w:color="auto"/>
            <w:bottom w:val="none" w:sz="0" w:space="0" w:color="auto"/>
            <w:right w:val="none" w:sz="0" w:space="0" w:color="auto"/>
          </w:divBdr>
        </w:div>
        <w:div w:id="1745762964">
          <w:marLeft w:val="0"/>
          <w:marRight w:val="0"/>
          <w:marTop w:val="0"/>
          <w:marBottom w:val="0"/>
          <w:divBdr>
            <w:top w:val="none" w:sz="0" w:space="0" w:color="auto"/>
            <w:left w:val="none" w:sz="0" w:space="0" w:color="auto"/>
            <w:bottom w:val="none" w:sz="0" w:space="0" w:color="auto"/>
            <w:right w:val="none" w:sz="0" w:space="0" w:color="auto"/>
          </w:divBdr>
        </w:div>
        <w:div w:id="1745762966">
          <w:marLeft w:val="0"/>
          <w:marRight w:val="0"/>
          <w:marTop w:val="0"/>
          <w:marBottom w:val="0"/>
          <w:divBdr>
            <w:top w:val="none" w:sz="0" w:space="0" w:color="auto"/>
            <w:left w:val="none" w:sz="0" w:space="0" w:color="auto"/>
            <w:bottom w:val="none" w:sz="0" w:space="0" w:color="auto"/>
            <w:right w:val="none" w:sz="0" w:space="0" w:color="auto"/>
          </w:divBdr>
        </w:div>
        <w:div w:id="1745762968">
          <w:marLeft w:val="0"/>
          <w:marRight w:val="0"/>
          <w:marTop w:val="0"/>
          <w:marBottom w:val="0"/>
          <w:divBdr>
            <w:top w:val="none" w:sz="0" w:space="0" w:color="auto"/>
            <w:left w:val="none" w:sz="0" w:space="0" w:color="auto"/>
            <w:bottom w:val="none" w:sz="0" w:space="0" w:color="auto"/>
            <w:right w:val="none" w:sz="0" w:space="0" w:color="auto"/>
          </w:divBdr>
        </w:div>
        <w:div w:id="1745762970">
          <w:marLeft w:val="0"/>
          <w:marRight w:val="0"/>
          <w:marTop w:val="0"/>
          <w:marBottom w:val="0"/>
          <w:divBdr>
            <w:top w:val="none" w:sz="0" w:space="0" w:color="auto"/>
            <w:left w:val="none" w:sz="0" w:space="0" w:color="auto"/>
            <w:bottom w:val="none" w:sz="0" w:space="0" w:color="auto"/>
            <w:right w:val="none" w:sz="0" w:space="0" w:color="auto"/>
          </w:divBdr>
        </w:div>
        <w:div w:id="1745762973">
          <w:marLeft w:val="0"/>
          <w:marRight w:val="0"/>
          <w:marTop w:val="0"/>
          <w:marBottom w:val="0"/>
          <w:divBdr>
            <w:top w:val="none" w:sz="0" w:space="0" w:color="auto"/>
            <w:left w:val="none" w:sz="0" w:space="0" w:color="auto"/>
            <w:bottom w:val="none" w:sz="0" w:space="0" w:color="auto"/>
            <w:right w:val="none" w:sz="0" w:space="0" w:color="auto"/>
          </w:divBdr>
        </w:div>
      </w:divsChild>
    </w:div>
    <w:div w:id="1745762947">
      <w:marLeft w:val="0"/>
      <w:marRight w:val="0"/>
      <w:marTop w:val="0"/>
      <w:marBottom w:val="0"/>
      <w:divBdr>
        <w:top w:val="none" w:sz="0" w:space="0" w:color="auto"/>
        <w:left w:val="none" w:sz="0" w:space="0" w:color="auto"/>
        <w:bottom w:val="none" w:sz="0" w:space="0" w:color="auto"/>
        <w:right w:val="none" w:sz="0" w:space="0" w:color="auto"/>
      </w:divBdr>
      <w:divsChild>
        <w:div w:id="1745762941">
          <w:marLeft w:val="0"/>
          <w:marRight w:val="0"/>
          <w:marTop w:val="0"/>
          <w:marBottom w:val="0"/>
          <w:divBdr>
            <w:top w:val="none" w:sz="0" w:space="0" w:color="auto"/>
            <w:left w:val="none" w:sz="0" w:space="0" w:color="auto"/>
            <w:bottom w:val="none" w:sz="0" w:space="0" w:color="auto"/>
            <w:right w:val="none" w:sz="0" w:space="0" w:color="auto"/>
          </w:divBdr>
        </w:div>
      </w:divsChild>
    </w:div>
    <w:div w:id="1745762950">
      <w:marLeft w:val="0"/>
      <w:marRight w:val="0"/>
      <w:marTop w:val="0"/>
      <w:marBottom w:val="0"/>
      <w:divBdr>
        <w:top w:val="none" w:sz="0" w:space="0" w:color="auto"/>
        <w:left w:val="none" w:sz="0" w:space="0" w:color="auto"/>
        <w:bottom w:val="none" w:sz="0" w:space="0" w:color="auto"/>
        <w:right w:val="none" w:sz="0" w:space="0" w:color="auto"/>
      </w:divBdr>
      <w:divsChild>
        <w:div w:id="1745762953">
          <w:marLeft w:val="0"/>
          <w:marRight w:val="0"/>
          <w:marTop w:val="0"/>
          <w:marBottom w:val="0"/>
          <w:divBdr>
            <w:top w:val="none" w:sz="0" w:space="0" w:color="auto"/>
            <w:left w:val="none" w:sz="0" w:space="0" w:color="auto"/>
            <w:bottom w:val="none" w:sz="0" w:space="0" w:color="auto"/>
            <w:right w:val="none" w:sz="0" w:space="0" w:color="auto"/>
          </w:divBdr>
        </w:div>
      </w:divsChild>
    </w:div>
    <w:div w:id="1745762961">
      <w:marLeft w:val="0"/>
      <w:marRight w:val="0"/>
      <w:marTop w:val="0"/>
      <w:marBottom w:val="0"/>
      <w:divBdr>
        <w:top w:val="none" w:sz="0" w:space="0" w:color="auto"/>
        <w:left w:val="none" w:sz="0" w:space="0" w:color="auto"/>
        <w:bottom w:val="none" w:sz="0" w:space="0" w:color="auto"/>
        <w:right w:val="none" w:sz="0" w:space="0" w:color="auto"/>
      </w:divBdr>
    </w:div>
    <w:div w:id="1745762965">
      <w:marLeft w:val="0"/>
      <w:marRight w:val="0"/>
      <w:marTop w:val="0"/>
      <w:marBottom w:val="0"/>
      <w:divBdr>
        <w:top w:val="none" w:sz="0" w:space="0" w:color="auto"/>
        <w:left w:val="none" w:sz="0" w:space="0" w:color="auto"/>
        <w:bottom w:val="none" w:sz="0" w:space="0" w:color="auto"/>
        <w:right w:val="none" w:sz="0" w:space="0" w:color="auto"/>
      </w:divBdr>
    </w:div>
    <w:div w:id="1745762969">
      <w:marLeft w:val="0"/>
      <w:marRight w:val="0"/>
      <w:marTop w:val="0"/>
      <w:marBottom w:val="0"/>
      <w:divBdr>
        <w:top w:val="none" w:sz="0" w:space="0" w:color="auto"/>
        <w:left w:val="none" w:sz="0" w:space="0" w:color="auto"/>
        <w:bottom w:val="none" w:sz="0" w:space="0" w:color="auto"/>
        <w:right w:val="none" w:sz="0" w:space="0" w:color="auto"/>
      </w:divBdr>
      <w:divsChild>
        <w:div w:id="1745762971">
          <w:marLeft w:val="720"/>
          <w:marRight w:val="720"/>
          <w:marTop w:val="100"/>
          <w:marBottom w:val="100"/>
          <w:divBdr>
            <w:top w:val="none" w:sz="0" w:space="0" w:color="auto"/>
            <w:left w:val="none" w:sz="0" w:space="0" w:color="auto"/>
            <w:bottom w:val="none" w:sz="0" w:space="0" w:color="auto"/>
            <w:right w:val="none" w:sz="0" w:space="0" w:color="auto"/>
          </w:divBdr>
          <w:divsChild>
            <w:div w:id="174576294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4576297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11</Pages>
  <Words>2784</Words>
  <Characters>15010</Characters>
  <Application>Microsoft Office Word</Application>
  <DocSecurity>0</DocSecurity>
  <Lines>416</Lines>
  <Paragraphs>231</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11</vt:lpstr>
      <vt:lpstr>Introduction</vt:lpstr>
      <vt:lpstr>Standards </vt:lpstr>
      <vt:lpstr>Assessment</vt:lpstr>
      <vt:lpstr>Vocabulary</vt:lpstr>
      <vt:lpstr>Lesson Agenda/Overview</vt:lpstr>
      <vt:lpstr>Materials</vt:lpstr>
      <vt:lpstr>Learning Sequence</vt:lpstr>
      <vt:lpstr>Homework</vt:lpstr>
    </vt:vector>
  </TitlesOfParts>
  <Company>Public Consulting Group</Company>
  <LinksUpToDate>false</LinksUpToDate>
  <CharactersWithSpaces>17563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dc:title>
  <dc:creator>PCG Education</dc:creator>
  <cp:lastModifiedBy>Kelley, Nora</cp:lastModifiedBy>
  <cp:revision>4</cp:revision>
  <cp:lastPrinted>2014-02-08T00:37:00Z</cp:lastPrinted>
  <dcterms:created xsi:type="dcterms:W3CDTF">2014-02-08T00:24:00Z</dcterms:created>
  <dcterms:modified xsi:type="dcterms:W3CDTF">2014-02-08T00:42:00Z</dcterms:modified>
</cp:coreProperties>
</file>