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967386"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3</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967386">
              <w:rPr>
                <w:rFonts w:asciiTheme="minorHAnsi" w:hAnsiTheme="minorHAnsi"/>
              </w:rPr>
              <w:t>2</w:t>
            </w:r>
          </w:p>
        </w:tc>
      </w:tr>
    </w:tbl>
    <w:p w:rsidR="005C4572" w:rsidRDefault="00C4787C" w:rsidP="00E946A0">
      <w:pPr>
        <w:pStyle w:val="Heading1"/>
      </w:pPr>
      <w:r w:rsidRPr="00263AF5">
        <w:t>Introduction</w:t>
      </w:r>
    </w:p>
    <w:p w:rsidR="005C4572" w:rsidRDefault="009924AE" w:rsidP="002539E9">
      <w:r>
        <w:t>In this lesson</w:t>
      </w:r>
      <w:r w:rsidR="00DC6DF2">
        <w:t>,</w:t>
      </w:r>
      <w:r>
        <w:t xml:space="preserve"> stude</w:t>
      </w:r>
      <w:r w:rsidR="0069202E">
        <w:t>nts continue to</w:t>
      </w:r>
      <w:r w:rsidR="00DC6DF2">
        <w:t xml:space="preserve"> plan for their </w:t>
      </w:r>
      <w:r w:rsidR="008567CD">
        <w:t>r</w:t>
      </w:r>
      <w:r w:rsidR="006C5464">
        <w:t>esearch</w:t>
      </w:r>
      <w:r w:rsidR="008567CD">
        <w:t>-b</w:t>
      </w:r>
      <w:r>
        <w:t xml:space="preserve">ased </w:t>
      </w:r>
      <w:r w:rsidR="008567CD">
        <w:t>a</w:t>
      </w:r>
      <w:r w:rsidR="006C5464">
        <w:t xml:space="preserve">rgument </w:t>
      </w:r>
      <w:r w:rsidR="008567CD">
        <w:t>p</w:t>
      </w:r>
      <w:r w:rsidR="001B04E0">
        <w:t>aper</w:t>
      </w:r>
      <w:r w:rsidR="002C40EB">
        <w:t>s</w:t>
      </w:r>
      <w:r w:rsidR="001B04E0">
        <w:t xml:space="preserve"> by completing</w:t>
      </w:r>
      <w:r w:rsidR="00DC6DF2">
        <w:t xml:space="preserve"> the</w:t>
      </w:r>
      <w:r>
        <w:t xml:space="preserve"> Outline Tool introduced in the previous lesson. </w:t>
      </w:r>
      <w:r w:rsidR="002C40EB">
        <w:t>Using the Outline Tool, s</w:t>
      </w:r>
      <w:r w:rsidR="00DC6DF2">
        <w:t>tudents develop</w:t>
      </w:r>
      <w:r w:rsidR="00FB2DC0">
        <w:t xml:space="preserve"> a</w:t>
      </w:r>
      <w:r w:rsidR="00DC6DF2">
        <w:t xml:space="preserve"> counterclaim </w:t>
      </w:r>
      <w:r w:rsidR="00FB2DC0">
        <w:t>in opposition to their central claim</w:t>
      </w:r>
      <w:r w:rsidR="002C40EB">
        <w:t>s</w:t>
      </w:r>
      <w:r w:rsidR="00FB2DC0">
        <w:t xml:space="preserve"> developed in the previous lesson.</w:t>
      </w:r>
      <w:r w:rsidR="00DC6DF2">
        <w:t xml:space="preserve"> Students </w:t>
      </w:r>
      <w:r w:rsidR="00FB2DC0">
        <w:t>address the strengths and limitations of their central claim</w:t>
      </w:r>
      <w:r w:rsidR="002C40EB">
        <w:t>s</w:t>
      </w:r>
      <w:r w:rsidR="00FB2DC0">
        <w:t xml:space="preserve"> by develo</w:t>
      </w:r>
      <w:r w:rsidR="002C40EB">
        <w:t>ping supporting claims for the</w:t>
      </w:r>
      <w:r w:rsidR="00FB2DC0">
        <w:t xml:space="preserve"> counterclaim. </w:t>
      </w:r>
      <w:r w:rsidR="00AC0BAC">
        <w:t>For the</w:t>
      </w:r>
      <w:r w:rsidR="00DC6DF2">
        <w:t xml:space="preserve"> lesson</w:t>
      </w:r>
      <w:r w:rsidR="00AC0BAC">
        <w:t xml:space="preserve"> assessment, students complete the</w:t>
      </w:r>
      <w:r w:rsidR="00FB2DC0">
        <w:t xml:space="preserve"> counterclaim portions of the</w:t>
      </w:r>
      <w:r w:rsidR="00DC6DF2">
        <w:t xml:space="preserve"> Outline Tool</w:t>
      </w:r>
      <w:r w:rsidR="00C35B4A">
        <w:t>,</w:t>
      </w:r>
      <w:r w:rsidR="00DC6DF2">
        <w:t xml:space="preserve"> which </w:t>
      </w:r>
      <w:r w:rsidR="00453BB8">
        <w:t xml:space="preserve">is </w:t>
      </w:r>
      <w:r w:rsidR="00BE5AAE">
        <w:t>evaluated</w:t>
      </w:r>
      <w:r w:rsidR="00DC6DF2">
        <w:t xml:space="preserve"> using the</w:t>
      </w:r>
      <w:r w:rsidR="002539E9">
        <w:t xml:space="preserve"> </w:t>
      </w:r>
      <w:r w:rsidR="006B6294" w:rsidRPr="005651D4">
        <w:t>Evidence-Based Claims</w:t>
      </w:r>
      <w:r w:rsidR="002539E9">
        <w:t xml:space="preserve"> Criteria Checklist.</w:t>
      </w:r>
    </w:p>
    <w:p w:rsidR="008D031E" w:rsidRPr="002539E9" w:rsidRDefault="008D031E" w:rsidP="002539E9">
      <w:r>
        <w:t>For homework,</w:t>
      </w:r>
      <w:r w:rsidRPr="0036486C">
        <w:t xml:space="preserve"> </w:t>
      </w:r>
      <w:r>
        <w:t xml:space="preserve">students conduct a search </w:t>
      </w:r>
      <w:r w:rsidR="00453BB8">
        <w:t>for</w:t>
      </w:r>
      <w:r>
        <w:t xml:space="preserve"> another source to </w:t>
      </w:r>
      <w:r w:rsidR="00453BB8">
        <w:t xml:space="preserve">gather </w:t>
      </w:r>
      <w:r>
        <w:t>stronger or more relevant evidence for</w:t>
      </w:r>
      <w:r w:rsidR="00B670E4">
        <w:t xml:space="preserve"> their</w:t>
      </w:r>
      <w:r>
        <w:t xml:space="preserve"> counterclaim on the Outline Tool</w:t>
      </w:r>
      <w:r w:rsidR="00453BB8">
        <w:t>,</w:t>
      </w:r>
      <w:r>
        <w:t xml:space="preserve"> and analyze how this evidence </w:t>
      </w:r>
      <w:r w:rsidR="00035C9E">
        <w:t xml:space="preserve">provides additional support for </w:t>
      </w:r>
      <w:r>
        <w:t>the counterclaim o</w:t>
      </w:r>
      <w:r w:rsidR="002539E9">
        <w:t>n the Additional Evidence Tool.</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2A1ABB" w:rsidRPr="0053542D">
        <w:tc>
          <w:tcPr>
            <w:tcW w:w="1344" w:type="dxa"/>
          </w:tcPr>
          <w:p w:rsidR="002A1ABB" w:rsidRDefault="002A1ABB" w:rsidP="002539E9">
            <w:pPr>
              <w:pStyle w:val="TableText"/>
            </w:pPr>
            <w:r>
              <w:t>W.9-10.5</w:t>
            </w:r>
          </w:p>
        </w:tc>
        <w:tc>
          <w:tcPr>
            <w:tcW w:w="8124" w:type="dxa"/>
          </w:tcPr>
          <w:p w:rsidR="002A1ABB" w:rsidRDefault="002A1ABB" w:rsidP="002539E9">
            <w:pPr>
              <w:pStyle w:val="TableText"/>
            </w:pPr>
            <w:r>
              <w:t xml:space="preserve">Develop and strengthen writing as needed by planning, revising, editing, rewriting, or trying a new approach, focusing on addressing what is most significant for a specific purpose and audience. </w:t>
            </w:r>
          </w:p>
        </w:tc>
      </w:tr>
      <w:tr w:rsidR="002A1ABB" w:rsidRPr="0053542D">
        <w:tc>
          <w:tcPr>
            <w:tcW w:w="1344" w:type="dxa"/>
          </w:tcPr>
          <w:p w:rsidR="002A1ABB" w:rsidRDefault="002A1ABB" w:rsidP="002539E9">
            <w:pPr>
              <w:pStyle w:val="TableText"/>
            </w:pPr>
            <w:r>
              <w:t>W.9-10.9</w:t>
            </w:r>
          </w:p>
        </w:tc>
        <w:tc>
          <w:tcPr>
            <w:tcW w:w="8124" w:type="dxa"/>
          </w:tcPr>
          <w:p w:rsidR="002A1ABB" w:rsidRDefault="002A1ABB" w:rsidP="002539E9">
            <w:pPr>
              <w:pStyle w:val="TableText"/>
            </w:pPr>
            <w:r>
              <w:t>Draw evidence from literary or informational texts to support analysis, reflection, and research.</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2539E9" w:rsidRDefault="00967386" w:rsidP="002539E9">
            <w:pPr>
              <w:pStyle w:val="TableText"/>
            </w:pPr>
            <w:r w:rsidRPr="002539E9">
              <w:t>W.9-10.1.b</w:t>
            </w:r>
          </w:p>
        </w:tc>
        <w:tc>
          <w:tcPr>
            <w:tcW w:w="8124" w:type="dxa"/>
          </w:tcPr>
          <w:p w:rsidR="000B2D56" w:rsidRPr="002539E9" w:rsidRDefault="00C52A04" w:rsidP="002539E9">
            <w:pPr>
              <w:pStyle w:val="TableText"/>
            </w:pPr>
            <w:r w:rsidRPr="002539E9">
              <w:t>Write arguments to support claims in an analysis of substantive topics or texts, using valid reasoning and relevant and sufficient evidence.</w:t>
            </w:r>
            <w:r w:rsidR="00453BB8">
              <w:t xml:space="preserve"> Explore and inquire into areas of interest to formulate an argument</w:t>
            </w:r>
          </w:p>
          <w:p w:rsidR="00C52A04" w:rsidRPr="002539E9" w:rsidRDefault="00C52A04" w:rsidP="002539E9">
            <w:pPr>
              <w:pStyle w:val="SubStandard"/>
            </w:pPr>
            <w:r w:rsidRPr="002539E9">
              <w:t>Develop claim(s) and counterclaims fairly, supplying evidence for each while pointing out the strengths and limitations of both in a manner that anticipates the audience’s knowledge level and concerns.</w:t>
            </w:r>
          </w:p>
        </w:tc>
      </w:tr>
      <w:tr w:rsidR="00967386" w:rsidRPr="0053542D">
        <w:tc>
          <w:tcPr>
            <w:tcW w:w="1344" w:type="dxa"/>
          </w:tcPr>
          <w:p w:rsidR="00967386" w:rsidRPr="002539E9" w:rsidRDefault="00967386" w:rsidP="002539E9">
            <w:pPr>
              <w:pStyle w:val="TableText"/>
            </w:pPr>
            <w:r w:rsidRPr="002539E9">
              <w:t>W.9-10.7</w:t>
            </w:r>
          </w:p>
        </w:tc>
        <w:tc>
          <w:tcPr>
            <w:tcW w:w="8124" w:type="dxa"/>
          </w:tcPr>
          <w:p w:rsidR="00967386" w:rsidRPr="009C28BD" w:rsidRDefault="002A1ABB" w:rsidP="000B2D56">
            <w:pPr>
              <w:pStyle w:val="TableText"/>
            </w:pPr>
            <w:r>
              <w:t xml:space="preserve">Conduct short as well as more sustained research projects to answer a question (including a self-generated question) or solve a problem; narrow or broaden the inquiry when appropriate; synthesize multiple sources on the subject, demonstrating </w:t>
            </w:r>
            <w:r>
              <w:lastRenderedPageBreak/>
              <w:t>understanding of the subject under investigation.</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E1673B" w:rsidRPr="002539E9" w:rsidRDefault="002C40EB" w:rsidP="002539E9">
            <w:pPr>
              <w:pStyle w:val="TableText"/>
              <w:rPr>
                <w:rStyle w:val="BulletedListChar"/>
              </w:rPr>
            </w:pPr>
            <w:r>
              <w:t>Student learning in this lesson is assessed via</w:t>
            </w:r>
            <w:r w:rsidR="00E1673B" w:rsidRPr="002539E9">
              <w:t xml:space="preserve"> the counterclaims portion of the Outline Tool.</w:t>
            </w:r>
          </w:p>
          <w:p w:rsidR="00B231AA" w:rsidRPr="003908D2" w:rsidRDefault="00453BB8" w:rsidP="00E1673B">
            <w:pPr>
              <w:pStyle w:val="IN"/>
            </w:pPr>
            <w:r>
              <w:t xml:space="preserve">This assessment will be evaluated </w:t>
            </w:r>
            <w:r w:rsidR="00E1673B">
              <w:t>using the Evidence-Based Claims Criteria Checklist.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8567CD" w:rsidP="008151E5">
            <w:pPr>
              <w:pStyle w:val="TableText"/>
            </w:pPr>
            <w:r>
              <w:t>A H</w:t>
            </w:r>
            <w:r w:rsidR="00BE4EBD">
              <w:t xml:space="preserve">igh </w:t>
            </w:r>
            <w:r>
              <w:t>P</w:t>
            </w:r>
            <w:r w:rsidR="00BE4EBD">
              <w:t xml:space="preserve">erformance </w:t>
            </w:r>
            <w:r>
              <w:t>R</w:t>
            </w:r>
            <w:r w:rsidR="00850CE6">
              <w:t>esponse</w:t>
            </w:r>
            <w:r w:rsidR="00BE4EBD">
              <w:t xml:space="preserve"> </w:t>
            </w:r>
            <w:r w:rsidR="00553ACA">
              <w:t>should</w:t>
            </w:r>
            <w:r w:rsidR="00BE4EBD">
              <w:t>:</w:t>
            </w:r>
          </w:p>
          <w:p w:rsidR="00622552" w:rsidRDefault="00622552" w:rsidP="00064850">
            <w:pPr>
              <w:pStyle w:val="BulletedList"/>
            </w:pPr>
            <w:r>
              <w:t>Include a counterclaim to the central claim as well as supporting claims for the counterclaim (e.g.</w:t>
            </w:r>
            <w:r w:rsidR="00453BB8">
              <w:t>,</w:t>
            </w:r>
            <w:r>
              <w:t xml:space="preserve"> </w:t>
            </w:r>
            <w:r>
              <w:rPr>
                <w:bCs/>
              </w:rPr>
              <w:t xml:space="preserve">All tissue should be available for an individual to sell if it does not endanger the individual’s life and would improve his or her financial situation; </w:t>
            </w:r>
            <w:r w:rsidR="00521599">
              <w:t>c</w:t>
            </w:r>
            <w:r>
              <w:t>ompensation is necessary to get tissue donations).</w:t>
            </w:r>
          </w:p>
          <w:p w:rsidR="00622552" w:rsidRDefault="00622552" w:rsidP="00064850">
            <w:pPr>
              <w:pStyle w:val="BulletedList"/>
            </w:pPr>
            <w:r>
              <w:t>Provide evidence for the supporting claims (e.g.</w:t>
            </w:r>
            <w:r w:rsidR="00453BB8">
              <w:t>,</w:t>
            </w:r>
            <w:r>
              <w:t xml:space="preserve"> </w:t>
            </w:r>
            <w:r>
              <w:rPr>
                <w:bCs/>
              </w:rPr>
              <w:t>“</w:t>
            </w:r>
            <w:r w:rsidRPr="00B82A8B">
              <w:rPr>
                <w:bCs/>
              </w:rPr>
              <w:t>With about 114,000 people waiting for organs in the U.S. alone on any given day, and only 3,300 donors, the urgent medical need runs up against moral standards of the value of human life</w:t>
            </w:r>
            <w:r>
              <w:rPr>
                <w:bCs/>
              </w:rPr>
              <w:t>” (Park</w:t>
            </w:r>
            <w:r w:rsidR="00521599">
              <w:rPr>
                <w:bCs/>
              </w:rPr>
              <w:t>, par. 6</w:t>
            </w:r>
            <w:r>
              <w:rPr>
                <w:bCs/>
              </w:rPr>
              <w:t>))</w:t>
            </w:r>
            <w:r>
              <w:t>.</w:t>
            </w:r>
          </w:p>
          <w:p w:rsidR="00622552" w:rsidRDefault="00622552" w:rsidP="00622552">
            <w:pPr>
              <w:pStyle w:val="BulletedList"/>
            </w:pPr>
            <w:r>
              <w:t>Include analysis and limitations of the evidence for the supporting claims (e.g.</w:t>
            </w:r>
            <w:r w:rsidR="006B6294">
              <w:t>,</w:t>
            </w:r>
            <w:r>
              <w:t xml:space="preserve"> This evidence demonstrates that there is a high need for donors and a lack of people donating tissue for the purpose of organ transplants. If people were paid for their tissue, they would be much more willing to donate</w:t>
            </w:r>
            <w:r w:rsidR="00453BB8">
              <w:t>.</w:t>
            </w:r>
            <w:r>
              <w:t xml:space="preserve"> Though this evidence shows that there are many people who require organ donations it does not say whether enough people have been made aware of this information. There could also be those who are suspicious given the confusing practices of tissue donation). </w:t>
            </w:r>
          </w:p>
          <w:p w:rsidR="00D920A6" w:rsidRPr="003908D2" w:rsidRDefault="00E1673B" w:rsidP="00453BB8">
            <w:pPr>
              <w:pStyle w:val="IN"/>
            </w:pPr>
            <w:r>
              <w:t xml:space="preserve">See </w:t>
            </w:r>
            <w:r w:rsidR="00521599">
              <w:t xml:space="preserve">the </w:t>
            </w:r>
            <w:r w:rsidR="0011637C">
              <w:t>M</w:t>
            </w:r>
            <w:r>
              <w:t xml:space="preserve">odel Outline Tool </w:t>
            </w:r>
            <w:r w:rsidR="0011637C">
              <w:t xml:space="preserve">and the annotated Evidence-Based Claims Criteria Checklist </w:t>
            </w:r>
            <w:r>
              <w:t xml:space="preserve">at the end of this lesson. </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2C40EB" w:rsidP="000B2D56">
            <w:pPr>
              <w:pStyle w:val="BulletedList"/>
            </w:pPr>
            <w:r>
              <w:t>None.</w:t>
            </w:r>
            <w:r w:rsidR="00434CA3">
              <w:t>*</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B231AA" w:rsidRPr="00B231AA" w:rsidRDefault="00841A75" w:rsidP="000B2D56">
            <w:pPr>
              <w:pStyle w:val="BulletedList"/>
            </w:pPr>
            <w:r>
              <w:t>None.*</w:t>
            </w:r>
          </w:p>
        </w:tc>
      </w:tr>
    </w:tbl>
    <w:p w:rsidR="00841A75" w:rsidRPr="00521599" w:rsidRDefault="006B6294" w:rsidP="00453BB8">
      <w:pPr>
        <w:rPr>
          <w:sz w:val="18"/>
          <w:szCs w:val="18"/>
        </w:rPr>
      </w:pPr>
      <w:r w:rsidRPr="00521599">
        <w:rPr>
          <w:sz w:val="18"/>
          <w:szCs w:val="18"/>
        </w:rPr>
        <w:t>*</w:t>
      </w:r>
      <w:r w:rsidR="00453BB8" w:rsidRPr="00521599">
        <w:rPr>
          <w:rFonts w:cs="Calibri"/>
          <w:sz w:val="18"/>
          <w:szCs w:val="18"/>
        </w:rPr>
        <w:t xml:space="preserve"> Students should use their vocabulary journals to incorporate domain-specific vocabulary from Unit 10.3.2 into their research paper, as well as to record process-oriented vocabulary defined in the lesson.</w:t>
      </w:r>
      <w:r w:rsidR="00F87B84" w:rsidRPr="00521599">
        <w:rPr>
          <w:sz w:val="18"/>
          <w:szCs w:val="18"/>
        </w:rPr>
        <w:t xml:space="preserve"> </w:t>
      </w:r>
    </w:p>
    <w:p w:rsidR="00C4787C" w:rsidRDefault="00C4787C" w:rsidP="00453BB8">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rsidTr="002539E9">
        <w:trPr>
          <w:trHeight w:val="773"/>
        </w:trPr>
        <w:tc>
          <w:tcPr>
            <w:tcW w:w="7830" w:type="dxa"/>
            <w:tcBorders>
              <w:bottom w:val="nil"/>
            </w:tcBorders>
          </w:tcPr>
          <w:p w:rsidR="005F5D35" w:rsidRPr="000B2D56" w:rsidRDefault="005F5D35" w:rsidP="000B2D56">
            <w:pPr>
              <w:pStyle w:val="TableText"/>
              <w:rPr>
                <w:b/>
              </w:rPr>
            </w:pPr>
            <w:r w:rsidRPr="000B2D56">
              <w:rPr>
                <w:b/>
              </w:rPr>
              <w:t>Standards &amp; Text:</w:t>
            </w:r>
          </w:p>
          <w:p w:rsidR="00730123" w:rsidRDefault="00BE4EBD" w:rsidP="00E657DC">
            <w:pPr>
              <w:pStyle w:val="BulletedList"/>
            </w:pPr>
            <w:r>
              <w:t xml:space="preserve">Standards: </w:t>
            </w:r>
            <w:r w:rsidR="00E030AA">
              <w:t>W.9-10.5, W.9-10.9</w:t>
            </w:r>
            <w:r w:rsidR="00E657DC">
              <w:t>, W.9-10.1.b, W.9-10.7</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1B04E0" w:rsidP="00546D71">
            <w:pPr>
              <w:pStyle w:val="NumberedList"/>
            </w:pPr>
            <w:r>
              <w:t>Developing Counterclaims</w:t>
            </w:r>
          </w:p>
          <w:p w:rsidR="00546D71" w:rsidRPr="00F706F3" w:rsidRDefault="001B04E0" w:rsidP="00546D71">
            <w:pPr>
              <w:pStyle w:val="NumberedList"/>
            </w:pPr>
            <w:r w:rsidRPr="00F706F3">
              <w:t>Strengths and Limitations</w:t>
            </w:r>
          </w:p>
          <w:p w:rsidR="00546D71" w:rsidRDefault="00521599" w:rsidP="00546D71">
            <w:pPr>
              <w:pStyle w:val="NumberedList"/>
            </w:pPr>
            <w:r>
              <w:t>Outline Tool and</w:t>
            </w:r>
            <w:r w:rsidR="001B04E0">
              <w:t xml:space="preserve"> Assessment</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546D71">
            <w:pPr>
              <w:pStyle w:val="NumberedList"/>
              <w:numPr>
                <w:ilvl w:val="0"/>
                <w:numId w:val="34"/>
              </w:numPr>
            </w:pPr>
            <w:r>
              <w:t>5%</w:t>
            </w:r>
          </w:p>
          <w:p w:rsidR="00546D71" w:rsidRDefault="00E030AA" w:rsidP="00546D71">
            <w:pPr>
              <w:pStyle w:val="NumberedList"/>
            </w:pPr>
            <w:r>
              <w:t>15</w:t>
            </w:r>
            <w:r w:rsidR="00546D71">
              <w:t>%</w:t>
            </w:r>
          </w:p>
          <w:p w:rsidR="00546D71" w:rsidRDefault="009E7DB3" w:rsidP="00546D71">
            <w:pPr>
              <w:pStyle w:val="NumberedList"/>
            </w:pPr>
            <w:r>
              <w:t>2</w:t>
            </w:r>
            <w:r w:rsidR="001639D8">
              <w:t>5</w:t>
            </w:r>
            <w:r w:rsidR="00546D71">
              <w:t>%</w:t>
            </w:r>
          </w:p>
          <w:p w:rsidR="00546D71" w:rsidRDefault="001639D8" w:rsidP="00546D71">
            <w:pPr>
              <w:pStyle w:val="NumberedList"/>
            </w:pPr>
            <w:r>
              <w:t>15</w:t>
            </w:r>
            <w:r w:rsidR="00546D71">
              <w:t>%</w:t>
            </w:r>
          </w:p>
          <w:p w:rsidR="00546D71" w:rsidRDefault="009E7DB3" w:rsidP="00546D71">
            <w:pPr>
              <w:pStyle w:val="NumberedList"/>
            </w:pPr>
            <w:r>
              <w:t>3</w:t>
            </w:r>
            <w:r w:rsidR="00E030AA">
              <w:t>5</w:t>
            </w:r>
            <w:r w:rsidR="00546D71">
              <w:t>%</w:t>
            </w:r>
          </w:p>
          <w:p w:rsidR="00546D71" w:rsidRPr="00C02EC2" w:rsidRDefault="00546D71" w:rsidP="00546D71">
            <w:pPr>
              <w:pStyle w:val="NumberedList"/>
            </w:pPr>
            <w:r>
              <w:t>5%</w:t>
            </w:r>
          </w:p>
        </w:tc>
      </w:tr>
    </w:tbl>
    <w:p w:rsidR="003368BF" w:rsidRDefault="00F308FF" w:rsidP="00E946A0">
      <w:pPr>
        <w:pStyle w:val="Heading1"/>
      </w:pPr>
      <w:r>
        <w:t>Materials</w:t>
      </w:r>
    </w:p>
    <w:p w:rsidR="006E7D3C" w:rsidRPr="00367AC7" w:rsidRDefault="00CD1398" w:rsidP="00367AC7">
      <w:pPr>
        <w:pStyle w:val="BulletedList"/>
      </w:pPr>
      <w:r w:rsidRPr="00367AC7">
        <w:t>Student copies of the Outline Tool (refer to 10.3.3 Lesson 1)</w:t>
      </w:r>
    </w:p>
    <w:p w:rsidR="00CD1398" w:rsidRPr="00367AC7" w:rsidRDefault="00367AC7" w:rsidP="00367AC7">
      <w:pPr>
        <w:pStyle w:val="BulletedList"/>
      </w:pPr>
      <w:r w:rsidRPr="00367AC7">
        <w:t>Student copies</w:t>
      </w:r>
      <w:r w:rsidR="00CD1398" w:rsidRPr="00367AC7">
        <w:t xml:space="preserve"> of the Additional Evidence Tool (refer to 10.3.3 Lesson 1) </w:t>
      </w:r>
    </w:p>
    <w:p w:rsidR="00947E73" w:rsidRDefault="00947E73" w:rsidP="00367AC7">
      <w:pPr>
        <w:pStyle w:val="BulletedList"/>
      </w:pPr>
      <w:r w:rsidRPr="00367AC7">
        <w:t>Student copies of Evidence-Based Claims Criteria Checklist (refer to 10.3.2 Lesson 11)</w:t>
      </w:r>
    </w:p>
    <w:p w:rsidR="008B2DF0" w:rsidRPr="00367AC7" w:rsidRDefault="008B2DF0" w:rsidP="008B2DF0">
      <w:pPr>
        <w:pStyle w:val="BulletedList"/>
        <w:ind w:left="360" w:hanging="360"/>
      </w:pPr>
      <w:r>
        <w:t>Annotated copies of Evidence-Based Claims Criteria Checklist (teacher use only – see end of lesson)</w:t>
      </w:r>
      <w:bookmarkStart w:id="0" w:name="_GoBack"/>
      <w:bookmarkEnd w:id="0"/>
    </w:p>
    <w:p w:rsidR="00CD1398" w:rsidRPr="00367AC7" w:rsidRDefault="00947E73" w:rsidP="00367AC7">
      <w:pPr>
        <w:pStyle w:val="BulletedList"/>
      </w:pPr>
      <w:r w:rsidRPr="00367AC7">
        <w:t>Research Portfolio (</w:t>
      </w:r>
      <w:r w:rsidR="001D7411" w:rsidRPr="00367AC7">
        <w:t>refer to 10.3.2 Lesson 1</w:t>
      </w:r>
      <w:r w:rsidRPr="00367AC7">
        <w:t>)</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967386">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967386">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967386">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967386">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967386">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967386">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967386">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967386">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8B2DF0">
      <w:pPr>
        <w:pStyle w:val="LearningSequenceHeader"/>
        <w:keepNext/>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4B6F45" w:rsidRPr="002539E9" w:rsidRDefault="004B6F45" w:rsidP="002539E9">
      <w:pPr>
        <w:pStyle w:val="TA"/>
      </w:pPr>
      <w:r w:rsidRPr="002539E9">
        <w:t>Begin by introducing the agenda and assessed standard</w:t>
      </w:r>
      <w:r w:rsidR="00ED3854" w:rsidRPr="002539E9">
        <w:t>s</w:t>
      </w:r>
      <w:r w:rsidRPr="002539E9">
        <w:t xml:space="preserve"> for this lesson: W.9-10.5 and W.9-10.9. Explain that in this lesson students are integrating additional evidence into their outline, developing counterclaims, and completing the Outline Tool.</w:t>
      </w:r>
    </w:p>
    <w:p w:rsidR="004E5428" w:rsidRDefault="004E5428" w:rsidP="004E5428">
      <w:pPr>
        <w:pStyle w:val="SA"/>
      </w:pPr>
      <w:r>
        <w:t>Students look at the agenda.</w:t>
      </w:r>
    </w:p>
    <w:p w:rsidR="000B2D56" w:rsidRDefault="000B2D56" w:rsidP="00CE2836">
      <w:pPr>
        <w:pStyle w:val="LearningSequenceHeader"/>
      </w:pPr>
      <w:r>
        <w:t>Activity 2</w:t>
      </w:r>
      <w:r w:rsidRPr="000B2D56">
        <w:t xml:space="preserve">: </w:t>
      </w:r>
      <w:r w:rsidR="004B6F45">
        <w:t>Homework Accountability</w:t>
      </w:r>
      <w:r w:rsidR="004B6F45">
        <w:tab/>
      </w:r>
      <w:r w:rsidR="00E030AA">
        <w:t>15</w:t>
      </w:r>
      <w:r w:rsidRPr="000B2D56">
        <w:t>%</w:t>
      </w:r>
    </w:p>
    <w:p w:rsidR="002C40EB" w:rsidRDefault="004B6F45" w:rsidP="002C40EB">
      <w:pPr>
        <w:pStyle w:val="TA"/>
      </w:pPr>
      <w:r w:rsidRPr="002539E9">
        <w:t>Instruct students to get out their Additional Evidence Tools from the previous lesson</w:t>
      </w:r>
      <w:r w:rsidR="00AF67CC" w:rsidRPr="002539E9">
        <w:t>’s homework</w:t>
      </w:r>
      <w:r w:rsidR="0066632C">
        <w:t>:</w:t>
      </w:r>
      <w:r w:rsidR="002C40EB">
        <w:t xml:space="preserve"> Conduct a search to find another source to glean stronger or more relevant evidence for a claim on your outline and analyze how this evidence provides additional support for your claim. Record the evidence and analysis on the Additional Evidence Tool.</w:t>
      </w:r>
    </w:p>
    <w:p w:rsidR="004B6F45" w:rsidRDefault="00A119BF" w:rsidP="002C40EB">
      <w:pPr>
        <w:pStyle w:val="TA"/>
      </w:pPr>
      <w:r w:rsidRPr="002539E9">
        <w:t xml:space="preserve">Ask students to form pairs to share what resource and evidence they found </w:t>
      </w:r>
      <w:r w:rsidR="001622D8" w:rsidRPr="002539E9">
        <w:t>and recorded on the Additional Evidence Tool</w:t>
      </w:r>
      <w:r w:rsidRPr="002539E9">
        <w:t>.</w:t>
      </w:r>
    </w:p>
    <w:p w:rsidR="004B6F45" w:rsidRDefault="004B6F45" w:rsidP="004B6F45">
      <w:pPr>
        <w:pStyle w:val="SA"/>
      </w:pPr>
      <w:r>
        <w:t xml:space="preserve">Students form pairs </w:t>
      </w:r>
      <w:r w:rsidR="0066632C">
        <w:t>and</w:t>
      </w:r>
      <w:r w:rsidR="00021DC5">
        <w:t xml:space="preserve"> discuss the resource and evidence they found and recorded on the</w:t>
      </w:r>
      <w:r>
        <w:t xml:space="preserve"> </w:t>
      </w:r>
      <w:r w:rsidR="00A119BF">
        <w:t>Additional Evidence Tool</w:t>
      </w:r>
      <w:r>
        <w:t xml:space="preserve">. </w:t>
      </w:r>
    </w:p>
    <w:p w:rsidR="004B6F45" w:rsidRDefault="004B6F45" w:rsidP="004B6F45">
      <w:pPr>
        <w:pStyle w:val="SR"/>
      </w:pPr>
      <w:r w:rsidRPr="00DD2CB6">
        <w:t>Student responses will vary based on their individual research</w:t>
      </w:r>
      <w:r w:rsidR="006D7347">
        <w:t xml:space="preserve"> and outline.</w:t>
      </w:r>
    </w:p>
    <w:p w:rsidR="006D7347" w:rsidRDefault="002A3831" w:rsidP="006D7347">
      <w:pPr>
        <w:pStyle w:val="IN"/>
      </w:pPr>
      <w:r>
        <w:t>Consider posting the M</w:t>
      </w:r>
      <w:r w:rsidR="006D7347">
        <w:t xml:space="preserve">odel Additional Evidence Tool as a reminder of an exemplar response. </w:t>
      </w:r>
    </w:p>
    <w:p w:rsidR="00C47A11" w:rsidRPr="000B2D56" w:rsidRDefault="00C47A11" w:rsidP="00C47A11">
      <w:pPr>
        <w:pStyle w:val="BR"/>
      </w:pPr>
    </w:p>
    <w:p w:rsidR="000B2D56" w:rsidRDefault="0066632C" w:rsidP="002539E9">
      <w:pPr>
        <w:pStyle w:val="TA"/>
      </w:pPr>
      <w:r>
        <w:t>Return</w:t>
      </w:r>
      <w:r w:rsidR="00C47A11">
        <w:t xml:space="preserve"> the previous lesson’s assessment, </w:t>
      </w:r>
      <w:r w:rsidR="00C47A11" w:rsidRPr="002539E9">
        <w:t>the</w:t>
      </w:r>
      <w:r w:rsidR="00C47A11">
        <w:t xml:space="preserve"> Outline Tool</w:t>
      </w:r>
      <w:r>
        <w:t>,</w:t>
      </w:r>
      <w:r w:rsidR="00C47A11">
        <w:t xml:space="preserve"> to students. Instruct students to revis</w:t>
      </w:r>
      <w:r>
        <w:t xml:space="preserve">e a claim on their Outline Tool, </w:t>
      </w:r>
      <w:r w:rsidR="00C47A11">
        <w:t xml:space="preserve">incorporating the additional evidence they found for homework. </w:t>
      </w:r>
    </w:p>
    <w:p w:rsidR="00C47A11" w:rsidRPr="000B2D56" w:rsidRDefault="00C47A11" w:rsidP="00C47A11">
      <w:pPr>
        <w:pStyle w:val="SA"/>
      </w:pPr>
      <w:r>
        <w:t xml:space="preserve">Students revise the Outline Tool. </w:t>
      </w:r>
    </w:p>
    <w:p w:rsidR="00A05EA7" w:rsidRDefault="000B2D56" w:rsidP="00A05EA7">
      <w:pPr>
        <w:pStyle w:val="LearningSequenceHeader"/>
      </w:pPr>
      <w:r w:rsidRPr="000B2D56">
        <w:t xml:space="preserve">Activity </w:t>
      </w:r>
      <w:r>
        <w:t>3</w:t>
      </w:r>
      <w:r w:rsidRPr="000B2D56">
        <w:t xml:space="preserve">: </w:t>
      </w:r>
      <w:r w:rsidR="00E030AA">
        <w:t>Developing Counterclaims</w:t>
      </w:r>
      <w:r w:rsidR="005772DE">
        <w:tab/>
      </w:r>
      <w:r w:rsidR="009E7DB3">
        <w:t>2</w:t>
      </w:r>
      <w:r w:rsidR="005772DE">
        <w:t>5</w:t>
      </w:r>
      <w:r w:rsidRPr="000B2D56">
        <w:t>%</w:t>
      </w:r>
    </w:p>
    <w:p w:rsidR="001D0FEE" w:rsidRDefault="00DE6856" w:rsidP="002539E9">
      <w:pPr>
        <w:pStyle w:val="TA"/>
      </w:pPr>
      <w:proofErr w:type="gramStart"/>
      <w:r>
        <w:t>Direct students to th</w:t>
      </w:r>
      <w:r w:rsidR="001639D8">
        <w:t>e counterclaims portion of the</w:t>
      </w:r>
      <w:r>
        <w:t xml:space="preserve"> Outline Tool</w:t>
      </w:r>
      <w:r w:rsidR="00F706F3">
        <w:t>.</w:t>
      </w:r>
      <w:proofErr w:type="gramEnd"/>
      <w:r w:rsidR="00F706F3">
        <w:t xml:space="preserve"> Explain to students that in</w:t>
      </w:r>
      <w:r w:rsidR="002C40EB">
        <w:t xml:space="preserve"> this lesson</w:t>
      </w:r>
      <w:r w:rsidR="0066632C">
        <w:t>,</w:t>
      </w:r>
      <w:r w:rsidR="002C40EB">
        <w:t xml:space="preserve"> they will develop</w:t>
      </w:r>
      <w:r w:rsidR="009556E8">
        <w:t xml:space="preserve"> </w:t>
      </w:r>
      <w:r w:rsidR="0066632C">
        <w:t xml:space="preserve">both </w:t>
      </w:r>
      <w:r w:rsidR="00F706F3">
        <w:t>counterclaim</w:t>
      </w:r>
      <w:r w:rsidR="002C40EB">
        <w:t>s</w:t>
      </w:r>
      <w:r w:rsidR="00F706F3">
        <w:t xml:space="preserve"> to </w:t>
      </w:r>
      <w:r w:rsidR="009556E8">
        <w:t>their central claim</w:t>
      </w:r>
      <w:r w:rsidR="002C40EB">
        <w:t>s</w:t>
      </w:r>
      <w:r w:rsidR="009556E8">
        <w:t xml:space="preserve"> </w:t>
      </w:r>
      <w:r w:rsidR="0066632C">
        <w:t>and</w:t>
      </w:r>
      <w:r w:rsidR="001B10D7">
        <w:t xml:space="preserve"> </w:t>
      </w:r>
      <w:r w:rsidR="009556E8">
        <w:t>supporting claims for the counterclaim</w:t>
      </w:r>
      <w:r w:rsidR="00F706F3">
        <w:t xml:space="preserve">. </w:t>
      </w:r>
    </w:p>
    <w:p w:rsidR="00DE6856" w:rsidRDefault="00F706F3" w:rsidP="001D0FEE">
      <w:pPr>
        <w:pStyle w:val="IN"/>
      </w:pPr>
      <w:r>
        <w:t>Remind students that</w:t>
      </w:r>
      <w:r w:rsidR="001D0FEE">
        <w:t xml:space="preserve"> they developed</w:t>
      </w:r>
      <w:r>
        <w:t xml:space="preserve"> counterclaims in the previous unit</w:t>
      </w:r>
      <w:r w:rsidR="001D0FEE">
        <w:t>, 10.3.2 Lesson 1</w:t>
      </w:r>
      <w:r w:rsidR="00443110">
        <w:t>2</w:t>
      </w:r>
      <w:r>
        <w:t xml:space="preserve">. </w:t>
      </w:r>
      <w:r w:rsidR="007B72A0">
        <w:t>Consider</w:t>
      </w:r>
      <w:r w:rsidR="00021DC5">
        <w:t xml:space="preserve"> reviewing standard W.9-10.1.b and </w:t>
      </w:r>
      <w:r w:rsidR="007B72A0">
        <w:t>using the Forming Counterclaims Tool from 10.3.2 Lesson 12 to support student understanding in this lesson.</w:t>
      </w:r>
    </w:p>
    <w:p w:rsidR="00DE6856" w:rsidRDefault="00DE6856" w:rsidP="00DE6856">
      <w:pPr>
        <w:pStyle w:val="SA"/>
      </w:pPr>
      <w:r>
        <w:t xml:space="preserve">Students follow along. </w:t>
      </w:r>
      <w:r w:rsidR="00FD3DCB">
        <w:t xml:space="preserve"> </w:t>
      </w:r>
    </w:p>
    <w:p w:rsidR="009556E8" w:rsidRDefault="0066632C" w:rsidP="002539E9">
      <w:pPr>
        <w:pStyle w:val="TA"/>
      </w:pPr>
      <w:r>
        <w:t xml:space="preserve">Explain to </w:t>
      </w:r>
      <w:r w:rsidR="00835462">
        <w:t>students that i</w:t>
      </w:r>
      <w:r w:rsidR="00F706F3">
        <w:t xml:space="preserve">n order to present </w:t>
      </w:r>
      <w:r w:rsidR="00426214">
        <w:t>a balanced p</w:t>
      </w:r>
      <w:r w:rsidR="00835462">
        <w:t>erspective</w:t>
      </w:r>
      <w:r w:rsidR="00426214">
        <w:t xml:space="preserve"> in the</w:t>
      </w:r>
      <w:r w:rsidR="00F706F3">
        <w:t xml:space="preserve"> </w:t>
      </w:r>
      <w:r>
        <w:t>r</w:t>
      </w:r>
      <w:r w:rsidR="00F706F3">
        <w:t>esearch-</w:t>
      </w:r>
      <w:r>
        <w:t>b</w:t>
      </w:r>
      <w:r w:rsidR="00F706F3">
        <w:t xml:space="preserve">ased </w:t>
      </w:r>
      <w:r>
        <w:t>a</w:t>
      </w:r>
      <w:r w:rsidR="00F706F3">
        <w:t xml:space="preserve">rgument </w:t>
      </w:r>
      <w:r>
        <w:t>p</w:t>
      </w:r>
      <w:r w:rsidR="00F706F3">
        <w:t>aper</w:t>
      </w:r>
      <w:r w:rsidR="00835462">
        <w:t>,</w:t>
      </w:r>
      <w:r w:rsidR="00F706F3">
        <w:t xml:space="preserve"> it is necessary to develop</w:t>
      </w:r>
      <w:r w:rsidR="002E2AD6">
        <w:t xml:space="preserve"> fairly</w:t>
      </w:r>
      <w:r w:rsidR="00F706F3">
        <w:t xml:space="preserve"> </w:t>
      </w:r>
      <w:r w:rsidR="009556E8">
        <w:t xml:space="preserve">a </w:t>
      </w:r>
      <w:r w:rsidR="00F706F3">
        <w:t>counterclaim</w:t>
      </w:r>
      <w:r w:rsidR="002C40EB">
        <w:t xml:space="preserve"> to an</w:t>
      </w:r>
      <w:r w:rsidR="00294F2D">
        <w:t xml:space="preserve"> existing </w:t>
      </w:r>
      <w:r w:rsidR="009556E8">
        <w:t xml:space="preserve">central </w:t>
      </w:r>
      <w:r w:rsidR="00294F2D">
        <w:t>claim</w:t>
      </w:r>
      <w:r w:rsidR="00F706F3">
        <w:t>.</w:t>
      </w:r>
      <w:r w:rsidR="00DE6856">
        <w:t xml:space="preserve"> Incorporating </w:t>
      </w:r>
      <w:r w:rsidR="009556E8">
        <w:t xml:space="preserve">a </w:t>
      </w:r>
      <w:r w:rsidR="003840D9">
        <w:t xml:space="preserve">strong </w:t>
      </w:r>
      <w:r w:rsidR="00DE6856">
        <w:t>counterclai</w:t>
      </w:r>
      <w:r w:rsidR="009556E8">
        <w:t>m</w:t>
      </w:r>
      <w:r w:rsidR="002C40EB">
        <w:t xml:space="preserve"> in</w:t>
      </w:r>
      <w:r w:rsidR="00DE6856">
        <w:t xml:space="preserve"> the </w:t>
      </w:r>
      <w:r>
        <w:t>r</w:t>
      </w:r>
      <w:r w:rsidR="003840D9">
        <w:t>esearch-</w:t>
      </w:r>
      <w:r>
        <w:t>b</w:t>
      </w:r>
      <w:r w:rsidR="003840D9">
        <w:t xml:space="preserve">ased </w:t>
      </w:r>
      <w:r>
        <w:t>a</w:t>
      </w:r>
      <w:r w:rsidR="003840D9">
        <w:t xml:space="preserve">rgument </w:t>
      </w:r>
      <w:r>
        <w:t>p</w:t>
      </w:r>
      <w:r w:rsidR="00DE6856">
        <w:t xml:space="preserve">aper </w:t>
      </w:r>
      <w:r w:rsidR="003840D9">
        <w:t>demonstrates to</w:t>
      </w:r>
      <w:r w:rsidR="00DE6856">
        <w:t xml:space="preserve"> the audience that the writer has </w:t>
      </w:r>
      <w:r w:rsidR="009556E8">
        <w:t>addressed</w:t>
      </w:r>
      <w:r w:rsidR="002C40EB">
        <w:t xml:space="preserve"> opposing or divergent perspectives</w:t>
      </w:r>
      <w:r w:rsidR="005772DE">
        <w:t xml:space="preserve">. </w:t>
      </w:r>
    </w:p>
    <w:p w:rsidR="00DE6856" w:rsidRDefault="005772DE" w:rsidP="002539E9">
      <w:pPr>
        <w:pStyle w:val="TA"/>
      </w:pPr>
      <w:r>
        <w:t xml:space="preserve">Display the </w:t>
      </w:r>
      <w:r w:rsidR="009556E8">
        <w:t xml:space="preserve">model central claim </w:t>
      </w:r>
      <w:r w:rsidR="0066632C">
        <w:t>and</w:t>
      </w:r>
      <w:r w:rsidR="009556E8">
        <w:t xml:space="preserve"> counterclaim portions of the</w:t>
      </w:r>
      <w:r>
        <w:t xml:space="preserve"> </w:t>
      </w:r>
      <w:r w:rsidR="00DE6856">
        <w:t>Model Outline Tool.</w:t>
      </w:r>
      <w:r w:rsidR="001D0FEE">
        <w:t xml:space="preserve"> Ask students to briefly Turn-and-Talk </w:t>
      </w:r>
      <w:r w:rsidR="005712B2">
        <w:t>in pairs</w:t>
      </w:r>
      <w:r w:rsidR="0066632C">
        <w:t xml:space="preserve"> to discuss the following question about </w:t>
      </w:r>
      <w:r w:rsidR="001D0FEE">
        <w:t xml:space="preserve">the relationship between the claim </w:t>
      </w:r>
      <w:r>
        <w:t>and counterclaim.</w:t>
      </w:r>
    </w:p>
    <w:p w:rsidR="009556E8" w:rsidRDefault="009556E8" w:rsidP="00BA4142">
      <w:pPr>
        <w:pStyle w:val="Q"/>
      </w:pPr>
      <w:r>
        <w:t>What is the view of the counterclaim? How is it refuting the central claim?</w:t>
      </w:r>
    </w:p>
    <w:p w:rsidR="005772DE" w:rsidRDefault="005772DE" w:rsidP="0066632C">
      <w:pPr>
        <w:pStyle w:val="SR"/>
      </w:pPr>
      <w:r>
        <w:t>The</w:t>
      </w:r>
      <w:r w:rsidR="009556E8">
        <w:t xml:space="preserve"> counterclaim is that </w:t>
      </w:r>
      <w:r w:rsidR="00D773D0">
        <w:t>people should be able to sell their tissue</w:t>
      </w:r>
      <w:r w:rsidR="00452E40">
        <w:t xml:space="preserve"> if it will make their </w:t>
      </w:r>
      <w:r w:rsidR="0021765B">
        <w:t xml:space="preserve">lives </w:t>
      </w:r>
      <w:r w:rsidR="00452E40">
        <w:t>better. I</w:t>
      </w:r>
      <w:r w:rsidR="009556E8">
        <w:t>t is opposed to the idea in the central claim</w:t>
      </w:r>
      <w:r w:rsidR="00D773D0">
        <w:t xml:space="preserve"> that there should be no profit made by anyone from selling their tissue</w:t>
      </w:r>
      <w:r>
        <w:t xml:space="preserve">. </w:t>
      </w:r>
    </w:p>
    <w:p w:rsidR="0066632C" w:rsidRDefault="0066632C" w:rsidP="003840D9">
      <w:pPr>
        <w:pStyle w:val="TA"/>
      </w:pPr>
      <w:r>
        <w:t>Lead a brief whole-class discussion on student responses.</w:t>
      </w:r>
    </w:p>
    <w:p w:rsidR="0066632C" w:rsidRDefault="0066632C" w:rsidP="0066632C">
      <w:pPr>
        <w:pStyle w:val="BR"/>
      </w:pPr>
    </w:p>
    <w:p w:rsidR="009E7DB3" w:rsidRDefault="00402633" w:rsidP="003840D9">
      <w:pPr>
        <w:pStyle w:val="TA"/>
      </w:pPr>
      <w:r w:rsidRPr="002539E9">
        <w:t xml:space="preserve">Instruct students to form pairs </w:t>
      </w:r>
      <w:r w:rsidR="0066632C">
        <w:t xml:space="preserve">to </w:t>
      </w:r>
      <w:r w:rsidRPr="002539E9">
        <w:t xml:space="preserve">review their central claims on the Outline Tool and form a counterclaim to their central claim. Remind students to refer to their Research Portfolios if necessary </w:t>
      </w:r>
      <w:r w:rsidR="001B10D7" w:rsidRPr="002539E9">
        <w:t xml:space="preserve">because </w:t>
      </w:r>
      <w:r w:rsidRPr="002539E9">
        <w:t>over the course of their research</w:t>
      </w:r>
      <w:r w:rsidR="001B10D7" w:rsidRPr="002539E9">
        <w:t>,</w:t>
      </w:r>
      <w:r w:rsidRPr="002539E9">
        <w:t xml:space="preserve"> they have encountered opposing p</w:t>
      </w:r>
      <w:r w:rsidR="00676B6B" w:rsidRPr="002539E9">
        <w:t>erspectives</w:t>
      </w:r>
      <w:r w:rsidRPr="002539E9">
        <w:t xml:space="preserve"> </w:t>
      </w:r>
      <w:r w:rsidR="001B10D7" w:rsidRPr="002539E9">
        <w:t>concerning</w:t>
      </w:r>
      <w:r w:rsidRPr="002539E9">
        <w:t xml:space="preserve"> their issue</w:t>
      </w:r>
      <w:r w:rsidR="002C40EB">
        <w:t>s</w:t>
      </w:r>
      <w:r w:rsidRPr="002539E9">
        <w:t>.</w:t>
      </w:r>
      <w:r w:rsidR="00A270FA" w:rsidRPr="002539E9">
        <w:t xml:space="preserve"> Remind students that</w:t>
      </w:r>
      <w:r w:rsidR="001B10D7" w:rsidRPr="002539E9">
        <w:t xml:space="preserve"> if they have several counterclaims to consider, they</w:t>
      </w:r>
      <w:r w:rsidR="00A270FA" w:rsidRPr="002539E9">
        <w:t xml:space="preserve"> should </w:t>
      </w:r>
      <w:r w:rsidR="001B10D7" w:rsidRPr="002539E9">
        <w:t>think about</w:t>
      </w:r>
      <w:r w:rsidR="001B10D7">
        <w:t xml:space="preserve"> </w:t>
      </w:r>
      <w:r w:rsidR="002C40EB">
        <w:t xml:space="preserve">which </w:t>
      </w:r>
      <w:r w:rsidR="00A270FA">
        <w:t xml:space="preserve">counterclaim </w:t>
      </w:r>
      <w:r w:rsidR="00452E40">
        <w:t>would provide a more interesting or compelling exploration of the topic</w:t>
      </w:r>
      <w:r w:rsidR="002539E9">
        <w:t>.</w:t>
      </w:r>
    </w:p>
    <w:p w:rsidR="00452E40" w:rsidRDefault="00452E40" w:rsidP="005651D4">
      <w:pPr>
        <w:pStyle w:val="IN"/>
      </w:pPr>
      <w:r>
        <w:t xml:space="preserve">Consider directing students back to the model example </w:t>
      </w:r>
      <w:r w:rsidR="002C40EB">
        <w:t>to explain</w:t>
      </w:r>
      <w:r>
        <w:t xml:space="preserve"> that a counterclaim s</w:t>
      </w:r>
      <w:r w:rsidR="00676B6B">
        <w:t>tating</w:t>
      </w:r>
      <w:r>
        <w:t xml:space="preserve"> that people have a right to profit from their own tissue is compelling because </w:t>
      </w:r>
      <w:r w:rsidR="00676B6B">
        <w:t>many</w:t>
      </w:r>
      <w:r>
        <w:t xml:space="preserve"> people have the desire to make more money</w:t>
      </w:r>
      <w:r w:rsidR="0011637C">
        <w:t xml:space="preserve"> and</w:t>
      </w:r>
      <w:r w:rsidR="003A30B1">
        <w:t xml:space="preserve"> </w:t>
      </w:r>
      <w:r w:rsidR="00B500DE">
        <w:t xml:space="preserve">there </w:t>
      </w:r>
      <w:r w:rsidR="003A30B1">
        <w:t>are</w:t>
      </w:r>
      <w:r w:rsidR="00B500DE">
        <w:t xml:space="preserve"> no ethical issues around people </w:t>
      </w:r>
      <w:r w:rsidR="002C40EB">
        <w:t>determining the use of their own</w:t>
      </w:r>
      <w:r w:rsidR="00B500DE">
        <w:t xml:space="preserve"> tissue.</w:t>
      </w:r>
      <w:r>
        <w:t xml:space="preserve"> </w:t>
      </w:r>
      <w:r w:rsidR="002C40EB">
        <w:t>Additionally,</w:t>
      </w:r>
      <w:r w:rsidR="003668EF">
        <w:t xml:space="preserve"> </w:t>
      </w:r>
      <w:r w:rsidR="002C40EB">
        <w:t xml:space="preserve">some people may not </w:t>
      </w:r>
      <w:r w:rsidR="00FF700A">
        <w:t xml:space="preserve">profit from their tissue </w:t>
      </w:r>
      <w:r w:rsidR="003668EF">
        <w:t>due to lack of informed consent</w:t>
      </w:r>
      <w:r w:rsidR="002C40EB">
        <w:t xml:space="preserve"> (as in the case of Henrietta Lacks), while others</w:t>
      </w:r>
      <w:r w:rsidR="003668EF">
        <w:t xml:space="preserve"> </w:t>
      </w:r>
      <w:r w:rsidR="002C40EB">
        <w:t>who do</w:t>
      </w:r>
      <w:r w:rsidR="003668EF">
        <w:t xml:space="preserve"> kn</w:t>
      </w:r>
      <w:r w:rsidR="002C40EB">
        <w:t>ow the value of their cells may be</w:t>
      </w:r>
      <w:r w:rsidR="003668EF">
        <w:t xml:space="preserve"> able to profit from their use.</w:t>
      </w:r>
    </w:p>
    <w:p w:rsidR="00402633" w:rsidRDefault="00402633" w:rsidP="00BA4142">
      <w:pPr>
        <w:pStyle w:val="SA"/>
      </w:pPr>
      <w:r>
        <w:t>Students form pairs</w:t>
      </w:r>
      <w:r w:rsidR="001B10D7">
        <w:t>,</w:t>
      </w:r>
      <w:r>
        <w:t xml:space="preserve"> review their </w:t>
      </w:r>
      <w:r w:rsidR="0066632C">
        <w:t>R</w:t>
      </w:r>
      <w:r>
        <w:t xml:space="preserve">esearch </w:t>
      </w:r>
      <w:r w:rsidR="0066632C">
        <w:t>P</w:t>
      </w:r>
      <w:r>
        <w:t>ortfolio</w:t>
      </w:r>
      <w:r w:rsidR="001B10D7">
        <w:t>, and develop a counterclaim on their Outline Tool</w:t>
      </w:r>
      <w:r>
        <w:t xml:space="preserve">. </w:t>
      </w:r>
    </w:p>
    <w:p w:rsidR="00402633" w:rsidRDefault="00402633" w:rsidP="00BA4142">
      <w:pPr>
        <w:pStyle w:val="SR"/>
      </w:pPr>
      <w:r>
        <w:t xml:space="preserve">Student responses will vary based on individual research. See the Model Outline Tool for a potential counterclaim. </w:t>
      </w:r>
    </w:p>
    <w:p w:rsidR="009E7DB3" w:rsidRDefault="00294F2D" w:rsidP="003840D9">
      <w:pPr>
        <w:pStyle w:val="TA"/>
      </w:pPr>
      <w:r>
        <w:t xml:space="preserve">Explain to </w:t>
      </w:r>
      <w:proofErr w:type="gramStart"/>
      <w:r>
        <w:t>students that presenting a counterclaim</w:t>
      </w:r>
      <w:r w:rsidR="002E2AD6">
        <w:t xml:space="preserve"> fairly</w:t>
      </w:r>
      <w:r>
        <w:t xml:space="preserve"> means</w:t>
      </w:r>
      <w:proofErr w:type="gramEnd"/>
      <w:r>
        <w:t xml:space="preserve"> </w:t>
      </w:r>
      <w:r w:rsidR="004F41A3">
        <w:t xml:space="preserve">developing supporting claims and providing </w:t>
      </w:r>
      <w:r>
        <w:t xml:space="preserve">evidence as they would when developing a </w:t>
      </w:r>
      <w:r w:rsidR="009E7DB3">
        <w:t xml:space="preserve">central </w:t>
      </w:r>
      <w:r>
        <w:t xml:space="preserve">claim. </w:t>
      </w:r>
    </w:p>
    <w:p w:rsidR="00676B6B" w:rsidRDefault="00676B6B" w:rsidP="005651D4">
      <w:pPr>
        <w:pStyle w:val="SA"/>
      </w:pPr>
      <w:r>
        <w:t>Students listen.</w:t>
      </w:r>
    </w:p>
    <w:p w:rsidR="00470544" w:rsidRDefault="00470544" w:rsidP="003840D9">
      <w:pPr>
        <w:pStyle w:val="TA"/>
      </w:pPr>
      <w:r>
        <w:t>Display the following supporting claims for students.</w:t>
      </w:r>
    </w:p>
    <w:p w:rsidR="007C0547" w:rsidRDefault="007C0547" w:rsidP="007C0547">
      <w:pPr>
        <w:pStyle w:val="BulletedList"/>
      </w:pPr>
      <w:r>
        <w:t xml:space="preserve">Model Counterclaim: </w:t>
      </w:r>
      <w:r>
        <w:rPr>
          <w:bCs/>
        </w:rPr>
        <w:t>All tissue should be available for an individual to sell if it does not endanger the individual’s life and would improve his or her financial situation.</w:t>
      </w:r>
    </w:p>
    <w:p w:rsidR="003A5834" w:rsidRDefault="007C0547" w:rsidP="00BA4142">
      <w:pPr>
        <w:pStyle w:val="BulletedList"/>
      </w:pPr>
      <w:r>
        <w:t>C</w:t>
      </w:r>
      <w:r w:rsidR="003A5834">
        <w:t>laim:</w:t>
      </w:r>
      <w:r w:rsidR="00996751">
        <w:t xml:space="preserve"> If an individual has a way to profit from their bod</w:t>
      </w:r>
      <w:r w:rsidR="00620AFE">
        <w:t>y,</w:t>
      </w:r>
      <w:r w:rsidR="00996751">
        <w:t xml:space="preserve"> they can put themselves in a position to make a lot of money.</w:t>
      </w:r>
    </w:p>
    <w:p w:rsidR="003A5834" w:rsidRDefault="007C0547" w:rsidP="00BA4142">
      <w:pPr>
        <w:pStyle w:val="BulletedList"/>
      </w:pPr>
      <w:r>
        <w:t>C</w:t>
      </w:r>
      <w:r w:rsidR="003A5834">
        <w:t>laim:</w:t>
      </w:r>
      <w:r w:rsidR="00B55E79" w:rsidRPr="00B55E79">
        <w:t xml:space="preserve"> </w:t>
      </w:r>
      <w:r w:rsidR="00B55E79">
        <w:t>Compensation is necessary to get tissue donations.</w:t>
      </w:r>
    </w:p>
    <w:p w:rsidR="00470544" w:rsidRDefault="007C0547" w:rsidP="00BA4142">
      <w:pPr>
        <w:pStyle w:val="BulletedList"/>
      </w:pPr>
      <w:r>
        <w:t>C</w:t>
      </w:r>
      <w:r w:rsidR="003A5834">
        <w:t>laim</w:t>
      </w:r>
      <w:r w:rsidR="00393B54">
        <w:t>:</w:t>
      </w:r>
      <w:r w:rsidR="00996751">
        <w:t xml:space="preserve"> Researchers should not be the only ones profiting from sale of human tissue.</w:t>
      </w:r>
    </w:p>
    <w:p w:rsidR="003840D9" w:rsidRDefault="003840D9" w:rsidP="003840D9">
      <w:pPr>
        <w:pStyle w:val="TA"/>
      </w:pPr>
      <w:r>
        <w:t>Ask student</w:t>
      </w:r>
      <w:r w:rsidR="00644C07">
        <w:t xml:space="preserve"> pairs to discuss</w:t>
      </w:r>
      <w:r w:rsidR="005712B2">
        <w:t xml:space="preserve"> the following question</w:t>
      </w:r>
      <w:r>
        <w:t>:</w:t>
      </w:r>
    </w:p>
    <w:p w:rsidR="003840D9" w:rsidRDefault="003A5834" w:rsidP="003840D9">
      <w:pPr>
        <w:pStyle w:val="Q"/>
      </w:pPr>
      <w:r>
        <w:t xml:space="preserve">Which of the claims best </w:t>
      </w:r>
      <w:r w:rsidR="007C0547">
        <w:t>supports the</w:t>
      </w:r>
      <w:r>
        <w:t xml:space="preserve"> counterclaim</w:t>
      </w:r>
      <w:r w:rsidR="00620AFE">
        <w:t xml:space="preserve"> and why</w:t>
      </w:r>
      <w:r>
        <w:t>? Which supporting claim does not</w:t>
      </w:r>
      <w:r w:rsidR="007C0547">
        <w:t xml:space="preserve"> effectively support the counterclaim</w:t>
      </w:r>
      <w:r>
        <w:t xml:space="preserve"> and why? </w:t>
      </w:r>
    </w:p>
    <w:p w:rsidR="003A5834" w:rsidRDefault="003A5834" w:rsidP="00393B54">
      <w:pPr>
        <w:pStyle w:val="IN"/>
      </w:pPr>
      <w:r>
        <w:t xml:space="preserve">Consider reminding students that developing a chain of reasoning to support the counterclaim is the same as the exercise in 10.3.3 Lesson 1 </w:t>
      </w:r>
      <w:r w:rsidR="007C0547">
        <w:t>in which</w:t>
      </w:r>
      <w:r>
        <w:t xml:space="preserve"> they developed a chain of reasoning to support their central claim. </w:t>
      </w:r>
    </w:p>
    <w:p w:rsidR="005712B2" w:rsidRDefault="003840D9" w:rsidP="00317739">
      <w:pPr>
        <w:pStyle w:val="SR"/>
      </w:pPr>
      <w:r>
        <w:t xml:space="preserve">Student responses </w:t>
      </w:r>
      <w:r w:rsidR="003A5834">
        <w:t xml:space="preserve">should </w:t>
      </w:r>
      <w:r>
        <w:t>include:</w:t>
      </w:r>
      <w:r w:rsidR="003A5834">
        <w:t xml:space="preserve"> </w:t>
      </w:r>
    </w:p>
    <w:p w:rsidR="003840D9" w:rsidRDefault="00996751" w:rsidP="00093747">
      <w:pPr>
        <w:pStyle w:val="SASRBullet"/>
      </w:pPr>
      <w:r>
        <w:t>Compensation is necessary to get tissue donations</w:t>
      </w:r>
      <w:r w:rsidR="00E259B9">
        <w:t>. Additionally,</w:t>
      </w:r>
      <w:r w:rsidR="003A5834">
        <w:t xml:space="preserve"> </w:t>
      </w:r>
      <w:r w:rsidR="00E259B9">
        <w:t>i</w:t>
      </w:r>
      <w:r>
        <w:t xml:space="preserve">f an individual has a way to profit from their bodies they can put themselves in a </w:t>
      </w:r>
      <w:r w:rsidR="00E259B9">
        <w:t xml:space="preserve">position to make a lot of </w:t>
      </w:r>
      <w:proofErr w:type="gramStart"/>
      <w:r w:rsidR="00E259B9">
        <w:t>money</w:t>
      </w:r>
      <w:r w:rsidR="005712B2">
        <w:t>,</w:t>
      </w:r>
      <w:proofErr w:type="gramEnd"/>
      <w:r w:rsidR="00E259B9">
        <w:t xml:space="preserve"> both</w:t>
      </w:r>
      <w:r>
        <w:t xml:space="preserve"> </w:t>
      </w:r>
      <w:r w:rsidR="003A5834">
        <w:t xml:space="preserve">validate the reasoning of the counterclaim. </w:t>
      </w:r>
      <w:r w:rsidR="00620AFE">
        <w:t xml:space="preserve">Both of these supporting claims are logical and sound because they could be supported by evidence. </w:t>
      </w:r>
    </w:p>
    <w:p w:rsidR="00620AFE" w:rsidRDefault="00620AFE" w:rsidP="00093747">
      <w:pPr>
        <w:pStyle w:val="SASRBullet"/>
      </w:pPr>
      <w:r>
        <w:t xml:space="preserve">The </w:t>
      </w:r>
      <w:r w:rsidR="007C0547">
        <w:t>c</w:t>
      </w:r>
      <w:r>
        <w:t xml:space="preserve">laim about researchers not being the only ones to profit from tissue is a weaker </w:t>
      </w:r>
      <w:r w:rsidR="007C0547">
        <w:t xml:space="preserve">claim that may not </w:t>
      </w:r>
      <w:r>
        <w:t>be supported by evidence.</w:t>
      </w:r>
    </w:p>
    <w:p w:rsidR="00644C07" w:rsidRDefault="00FD3DCB" w:rsidP="00644C07">
      <w:pPr>
        <w:pStyle w:val="IN"/>
      </w:pPr>
      <w:r>
        <w:t xml:space="preserve">Consider instructing students to review their </w:t>
      </w:r>
      <w:r w:rsidR="00B97591" w:rsidRPr="005651D4">
        <w:t>Evidence-Based Claims</w:t>
      </w:r>
      <w:r>
        <w:t xml:space="preserve"> Criteria Checklist in order to provide more scaffolding to determine if the claim and counterclaim are well developed. </w:t>
      </w:r>
    </w:p>
    <w:p w:rsidR="00644C07" w:rsidRDefault="00644C07" w:rsidP="00393B54">
      <w:pPr>
        <w:pStyle w:val="TA"/>
      </w:pPr>
      <w:r>
        <w:t>Remind students that their claims</w:t>
      </w:r>
      <w:r w:rsidR="007C0547">
        <w:t xml:space="preserve"> in support of the counterclaim</w:t>
      </w:r>
      <w:r>
        <w:t xml:space="preserve"> should use evidence from their Research Portfolios</w:t>
      </w:r>
      <w:r w:rsidR="007C0547">
        <w:t>, and demonstrate reasoning</w:t>
      </w:r>
      <w:r>
        <w:t xml:space="preserve">. </w:t>
      </w:r>
      <w:r w:rsidR="00A270FA">
        <w:t xml:space="preserve">Explain to students </w:t>
      </w:r>
      <w:r w:rsidR="00093747">
        <w:t>that developing</w:t>
      </w:r>
      <w:r w:rsidR="00A270FA">
        <w:t xml:space="preserve"> supporting claims for the counterclaim </w:t>
      </w:r>
      <w:r w:rsidR="00093747">
        <w:t>is part of</w:t>
      </w:r>
      <w:r w:rsidR="00A270FA">
        <w:t xml:space="preserve"> the lesson assessment.</w:t>
      </w:r>
    </w:p>
    <w:p w:rsidR="00A270FA" w:rsidRDefault="00A270FA" w:rsidP="00393B54">
      <w:pPr>
        <w:pStyle w:val="SA"/>
      </w:pPr>
      <w:r>
        <w:t>Students follow along.</w:t>
      </w:r>
    </w:p>
    <w:p w:rsidR="00707670" w:rsidRDefault="00707670" w:rsidP="00707670">
      <w:pPr>
        <w:pStyle w:val="LearningSequenceHeader"/>
      </w:pPr>
      <w:r>
        <w:t>Activity 4</w:t>
      </w:r>
      <w:r w:rsidR="00B15418">
        <w:t>: Strengths and Limitations</w:t>
      </w:r>
      <w:r w:rsidR="005772DE">
        <w:tab/>
        <w:t>15</w:t>
      </w:r>
      <w:r w:rsidRPr="00707670">
        <w:t>%</w:t>
      </w:r>
    </w:p>
    <w:p w:rsidR="00A270FA" w:rsidRDefault="00895B85" w:rsidP="00393B54">
      <w:pPr>
        <w:pStyle w:val="TA"/>
      </w:pPr>
      <w:r>
        <w:t xml:space="preserve">Explain to students that as they develop </w:t>
      </w:r>
      <w:r w:rsidR="00A270FA">
        <w:t xml:space="preserve">their </w:t>
      </w:r>
      <w:r>
        <w:t xml:space="preserve">counterclaims they are also assessing the strengths and limitations of </w:t>
      </w:r>
      <w:r w:rsidR="007C0547">
        <w:t>the</w:t>
      </w:r>
      <w:r w:rsidR="00A270FA">
        <w:t xml:space="preserve"> counterclaim in relation to their own central claim</w:t>
      </w:r>
      <w:r>
        <w:t>.</w:t>
      </w:r>
      <w:r w:rsidR="00A270FA">
        <w:t xml:space="preserve"> While it is important to use the counterclaim to demonstrate an opposing</w:t>
      </w:r>
      <w:r w:rsidR="00620AFE">
        <w:t xml:space="preserve"> perspective</w:t>
      </w:r>
      <w:r w:rsidR="00A270FA">
        <w:t xml:space="preserve">, ultimately the </w:t>
      </w:r>
      <w:r w:rsidR="00093747">
        <w:t xml:space="preserve">paper’s </w:t>
      </w:r>
      <w:r w:rsidR="00A270FA">
        <w:t xml:space="preserve">central claim is what is argued </w:t>
      </w:r>
      <w:r w:rsidR="00093747">
        <w:t xml:space="preserve">for </w:t>
      </w:r>
      <w:r w:rsidR="00A270FA">
        <w:t xml:space="preserve">and the counterclaim </w:t>
      </w:r>
      <w:r w:rsidR="00093747">
        <w:t>must</w:t>
      </w:r>
      <w:r w:rsidR="00A270FA">
        <w:t xml:space="preserve"> be </w:t>
      </w:r>
      <w:r w:rsidR="00A270FA" w:rsidRPr="00093747">
        <w:rPr>
          <w:i/>
        </w:rPr>
        <w:t>refuted</w:t>
      </w:r>
      <w:r w:rsidR="00A270FA">
        <w:t>. This demonstrate</w:t>
      </w:r>
      <w:r w:rsidR="00B97591">
        <w:t>s</w:t>
      </w:r>
      <w:r w:rsidR="00A270FA">
        <w:t xml:space="preserve"> to the audience or reader that the central claim of the paper is the </w:t>
      </w:r>
      <w:r w:rsidR="007C0547">
        <w:t>strongest</w:t>
      </w:r>
      <w:r w:rsidR="00A270FA">
        <w:t xml:space="preserve"> p</w:t>
      </w:r>
      <w:r w:rsidR="00620AFE">
        <w:t>erspective</w:t>
      </w:r>
      <w:r w:rsidR="00A270FA">
        <w:t xml:space="preserve"> </w:t>
      </w:r>
      <w:r w:rsidR="00A47FDF">
        <w:t>concerning</w:t>
      </w:r>
      <w:r w:rsidR="00A270FA">
        <w:t xml:space="preserve"> the issue. </w:t>
      </w:r>
      <w:r>
        <w:t xml:space="preserve"> </w:t>
      </w:r>
    </w:p>
    <w:p w:rsidR="00F0141F" w:rsidRDefault="00093747" w:rsidP="00093747">
      <w:pPr>
        <w:pStyle w:val="TA"/>
      </w:pPr>
      <w:r>
        <w:t>P</w:t>
      </w:r>
      <w:r w:rsidR="00F0141F">
        <w:t>rovid</w:t>
      </w:r>
      <w:r>
        <w:t>e</w:t>
      </w:r>
      <w:r w:rsidR="00F0141F">
        <w:t xml:space="preserve"> </w:t>
      </w:r>
      <w:r>
        <w:t xml:space="preserve">students with </w:t>
      </w:r>
      <w:r w:rsidR="00F0141F">
        <w:t xml:space="preserve">the </w:t>
      </w:r>
      <w:r w:rsidR="00B97591">
        <w:t xml:space="preserve">following </w:t>
      </w:r>
      <w:r w:rsidR="00F0141F">
        <w:t>definition</w:t>
      </w:r>
      <w:r w:rsidR="00B97591">
        <w:t xml:space="preserve">: </w:t>
      </w:r>
      <w:r w:rsidR="00F0141F" w:rsidRPr="00093747">
        <w:rPr>
          <w:i/>
        </w:rPr>
        <w:t>refuted</w:t>
      </w:r>
      <w:r w:rsidR="00F0141F">
        <w:t xml:space="preserve"> </w:t>
      </w:r>
      <w:r w:rsidR="00B97591">
        <w:t>means “</w:t>
      </w:r>
      <w:r w:rsidR="00F0141F">
        <w:t>proved to be false or in error.</w:t>
      </w:r>
      <w:r w:rsidR="00B97591">
        <w:t>”</w:t>
      </w:r>
    </w:p>
    <w:p w:rsidR="00B97591" w:rsidRDefault="00B97591" w:rsidP="00093747">
      <w:pPr>
        <w:pStyle w:val="SA"/>
      </w:pPr>
      <w:r>
        <w:rPr>
          <w:shd w:val="clear" w:color="auto" w:fill="FFFFFF"/>
        </w:rPr>
        <w:t> Students write the definition of</w:t>
      </w:r>
      <w:r>
        <w:rPr>
          <w:rStyle w:val="apple-converted-space"/>
          <w:color w:val="222222"/>
          <w:sz w:val="23"/>
          <w:szCs w:val="23"/>
          <w:shd w:val="clear" w:color="auto" w:fill="FFFFFF"/>
        </w:rPr>
        <w:t> </w:t>
      </w:r>
      <w:r>
        <w:rPr>
          <w:i/>
          <w:iCs/>
          <w:shd w:val="clear" w:color="auto" w:fill="FFFFFF"/>
        </w:rPr>
        <w:t>refuted</w:t>
      </w:r>
      <w:r>
        <w:rPr>
          <w:rStyle w:val="apple-converted-space"/>
          <w:color w:val="222222"/>
          <w:sz w:val="23"/>
          <w:szCs w:val="23"/>
          <w:shd w:val="clear" w:color="auto" w:fill="FFFFFF"/>
        </w:rPr>
        <w:t> </w:t>
      </w:r>
      <w:r>
        <w:rPr>
          <w:shd w:val="clear" w:color="auto" w:fill="FFFFFF"/>
        </w:rPr>
        <w:t xml:space="preserve">in </w:t>
      </w:r>
      <w:r w:rsidR="00093747">
        <w:rPr>
          <w:shd w:val="clear" w:color="auto" w:fill="FFFFFF"/>
        </w:rPr>
        <w:t>their</w:t>
      </w:r>
      <w:r>
        <w:rPr>
          <w:shd w:val="clear" w:color="auto" w:fill="FFFFFF"/>
        </w:rPr>
        <w:t xml:space="preserve"> vocabulary journal</w:t>
      </w:r>
      <w:r w:rsidR="00093747">
        <w:rPr>
          <w:shd w:val="clear" w:color="auto" w:fill="FFFFFF"/>
        </w:rPr>
        <w:t>s</w:t>
      </w:r>
      <w:r>
        <w:rPr>
          <w:shd w:val="clear" w:color="auto" w:fill="FFFFFF"/>
        </w:rPr>
        <w:t>.</w:t>
      </w:r>
    </w:p>
    <w:p w:rsidR="00555481" w:rsidRDefault="00A05EA7" w:rsidP="00555481">
      <w:pPr>
        <w:pStyle w:val="TA"/>
      </w:pPr>
      <w:r>
        <w:t>Explain to students that as they develop</w:t>
      </w:r>
      <w:r w:rsidR="00DF32B8">
        <w:t xml:space="preserve"> the supporting</w:t>
      </w:r>
      <w:r>
        <w:t xml:space="preserve"> </w:t>
      </w:r>
      <w:r w:rsidR="00DF32B8">
        <w:t>claims for the counterclaim</w:t>
      </w:r>
      <w:r w:rsidR="00A47FDF">
        <w:t>,</w:t>
      </w:r>
      <w:r w:rsidR="00DF32B8">
        <w:t xml:space="preserve"> </w:t>
      </w:r>
      <w:r>
        <w:t xml:space="preserve">they will be questioning their original </w:t>
      </w:r>
      <w:r w:rsidR="00DF32B8">
        <w:t>central claim</w:t>
      </w:r>
      <w:r>
        <w:t xml:space="preserve">. </w:t>
      </w:r>
      <w:r w:rsidR="00DF32B8">
        <w:t>In the “</w:t>
      </w:r>
      <w:r w:rsidR="005B5CDF">
        <w:t>Reasoning</w:t>
      </w:r>
      <w:r w:rsidR="00DF32B8">
        <w:t>” portion of the Outline Tool for the supporting claims of the counterclaim</w:t>
      </w:r>
      <w:r w:rsidR="00C02E3C">
        <w:t>,</w:t>
      </w:r>
      <w:r w:rsidR="00DF32B8">
        <w:t xml:space="preserve"> </w:t>
      </w:r>
      <w:r w:rsidR="00093747">
        <w:t xml:space="preserve">instruct </w:t>
      </w:r>
      <w:r w:rsidR="00DF32B8">
        <w:t xml:space="preserve">students to consider how this evidence is limited compared to the evidence they have for their supporting claims for their central claim. </w:t>
      </w:r>
    </w:p>
    <w:p w:rsidR="00DF32B8" w:rsidRDefault="00DF32B8" w:rsidP="00555481">
      <w:pPr>
        <w:pStyle w:val="TA"/>
      </w:pPr>
      <w:r>
        <w:t xml:space="preserve">Display </w:t>
      </w:r>
      <w:r w:rsidR="007C0547">
        <w:t xml:space="preserve">and discuss </w:t>
      </w:r>
      <w:r>
        <w:t>a model supporting claim for the counterclaim fr</w:t>
      </w:r>
      <w:r w:rsidR="007C0547">
        <w:t xml:space="preserve">om the </w:t>
      </w:r>
      <w:r w:rsidR="00093747">
        <w:t xml:space="preserve">Model </w:t>
      </w:r>
      <w:r w:rsidR="007C0547">
        <w:t>Outline Tool:</w:t>
      </w:r>
    </w:p>
    <w:p w:rsidR="00996751" w:rsidRDefault="007C0547" w:rsidP="00F428C0">
      <w:pPr>
        <w:pStyle w:val="BulletedList"/>
      </w:pPr>
      <w:r>
        <w:t xml:space="preserve">The </w:t>
      </w:r>
      <w:r w:rsidR="00044012">
        <w:t>m</w:t>
      </w:r>
      <w:r w:rsidR="00DF32B8">
        <w:t>odel supporting claim</w:t>
      </w:r>
      <w:r>
        <w:t xml:space="preserve"> is</w:t>
      </w:r>
      <w:r w:rsidR="00093747">
        <w:t xml:space="preserve"> “</w:t>
      </w:r>
      <w:r w:rsidR="00996751">
        <w:t>Compensation is necessary to get tissue donations</w:t>
      </w:r>
      <w:r>
        <w:t>.</w:t>
      </w:r>
      <w:r w:rsidR="00093747">
        <w:t>”</w:t>
      </w:r>
      <w:r w:rsidR="00481679">
        <w:t xml:space="preserve"> </w:t>
      </w:r>
      <w:r>
        <w:t>T</w:t>
      </w:r>
      <w:r w:rsidR="00044012">
        <w:t>he e</w:t>
      </w:r>
      <w:r w:rsidR="00481679">
        <w:t>vidence supporting this claim</w:t>
      </w:r>
      <w:r>
        <w:t xml:space="preserve"> is</w:t>
      </w:r>
      <w:r w:rsidR="00044012">
        <w:t>:</w:t>
      </w:r>
      <w:r w:rsidR="00996751">
        <w:t xml:space="preserve"> </w:t>
      </w:r>
      <w:r w:rsidR="00996751">
        <w:rPr>
          <w:bCs/>
        </w:rPr>
        <w:t>“</w:t>
      </w:r>
      <w:r w:rsidR="00996751" w:rsidRPr="00B82A8B">
        <w:rPr>
          <w:bCs/>
        </w:rPr>
        <w:t>With about 114,000 people waiting for organs in the U.S. alone on any given day, and only 3,300 donors, the urgent medical need runs up against moral standards of the value of human life.</w:t>
      </w:r>
      <w:r w:rsidR="00996751">
        <w:rPr>
          <w:bCs/>
        </w:rPr>
        <w:t>” (Park</w:t>
      </w:r>
      <w:r w:rsidR="00521599">
        <w:rPr>
          <w:bCs/>
        </w:rPr>
        <w:t>, par. 6</w:t>
      </w:r>
      <w:r w:rsidR="00996751">
        <w:rPr>
          <w:bCs/>
        </w:rPr>
        <w:t>)</w:t>
      </w:r>
      <w:r w:rsidR="00044012">
        <w:t xml:space="preserve">. </w:t>
      </w:r>
    </w:p>
    <w:p w:rsidR="00996751" w:rsidRDefault="007C0547" w:rsidP="005651D4">
      <w:pPr>
        <w:pStyle w:val="BulletedList"/>
      </w:pPr>
      <w:r>
        <w:t xml:space="preserve">Provide reasoning to connect the evidence to the claim: </w:t>
      </w:r>
      <w:r w:rsidR="00996751">
        <w:t>This evidence demonstrates that there is a high need for donors and a lack of people donating tissue for the purpose of organ transplants. If people were paid for their tissue</w:t>
      </w:r>
      <w:r w:rsidR="00C02E3C">
        <w:t>,</w:t>
      </w:r>
      <w:r w:rsidR="00996751">
        <w:t xml:space="preserve"> they would be much more willing to donate.</w:t>
      </w:r>
    </w:p>
    <w:p w:rsidR="00DF32B8" w:rsidRDefault="007C0547">
      <w:pPr>
        <w:pStyle w:val="BulletedList"/>
      </w:pPr>
      <w:r>
        <w:t xml:space="preserve">Explain how the evidence is limited in relation to the central claim: </w:t>
      </w:r>
      <w:r w:rsidR="00996751">
        <w:t>Though this evidence shows that there are a lot of people who require organ donations</w:t>
      </w:r>
      <w:r w:rsidR="00221ABD">
        <w:t>,</w:t>
      </w:r>
      <w:r w:rsidR="00996751">
        <w:t xml:space="preserve"> it does</w:t>
      </w:r>
      <w:r w:rsidR="00C02E3C">
        <w:t xml:space="preserve"> </w:t>
      </w:r>
      <w:r w:rsidR="00996751">
        <w:t>n</w:t>
      </w:r>
      <w:r w:rsidR="00C02E3C">
        <w:t>o</w:t>
      </w:r>
      <w:r w:rsidR="00996751">
        <w:t>t say whether enough people have been made aware of this information. There could also be those who are suspicious given the confusing practices of tissue donation.</w:t>
      </w:r>
    </w:p>
    <w:p w:rsidR="008B74F7" w:rsidRDefault="00B97591" w:rsidP="002539E9">
      <w:pPr>
        <w:pStyle w:val="TA"/>
      </w:pPr>
      <w:r>
        <w:t xml:space="preserve">Inform </w:t>
      </w:r>
      <w:r w:rsidR="008B74F7">
        <w:t>students that pointing out the limitations of the counterclaim’s evidence is like finding flaws or weaknesses in the evidence</w:t>
      </w:r>
      <w:r w:rsidR="00093747">
        <w:t>. I</w:t>
      </w:r>
      <w:r>
        <w:t>t is</w:t>
      </w:r>
      <w:r w:rsidR="008B74F7">
        <w:t xml:space="preserve"> important to do this thinking o</w:t>
      </w:r>
      <w:r w:rsidR="00093747">
        <w:t>n the Outline Tool so students can easily integrate it</w:t>
      </w:r>
      <w:r w:rsidR="008B74F7">
        <w:t xml:space="preserve"> into the paper in subsequent lessons.</w:t>
      </w:r>
    </w:p>
    <w:p w:rsidR="008B74F7" w:rsidRDefault="00093747" w:rsidP="005651D4">
      <w:pPr>
        <w:pStyle w:val="SA"/>
      </w:pPr>
      <w:r w:rsidRPr="00044012">
        <w:t xml:space="preserve">Students </w:t>
      </w:r>
      <w:r>
        <w:t xml:space="preserve">listen and </w:t>
      </w:r>
      <w:r w:rsidRPr="00044012">
        <w:t>follow along</w:t>
      </w:r>
      <w:r>
        <w:t xml:space="preserve"> with the modeling</w:t>
      </w:r>
      <w:r w:rsidR="008B74F7">
        <w:t>.</w:t>
      </w:r>
    </w:p>
    <w:p w:rsidR="00E17E4A" w:rsidRPr="00044012" w:rsidRDefault="00E17E4A" w:rsidP="005651D4">
      <w:pPr>
        <w:pStyle w:val="IN"/>
      </w:pPr>
      <w:r>
        <w:t xml:space="preserve">Consider </w:t>
      </w:r>
      <w:r w:rsidR="0074477A">
        <w:t>reminding students of the definition of</w:t>
      </w:r>
      <w:r w:rsidR="005B5CDF">
        <w:t xml:space="preserve"> </w:t>
      </w:r>
      <w:r w:rsidR="005B5CDF" w:rsidRPr="00093747">
        <w:rPr>
          <w:i/>
        </w:rPr>
        <w:t>limitations</w:t>
      </w:r>
      <w:r w:rsidR="00093747">
        <w:rPr>
          <w:i/>
        </w:rPr>
        <w:t xml:space="preserve"> </w:t>
      </w:r>
      <w:r w:rsidR="00093747">
        <w:t>(“</w:t>
      </w:r>
      <w:r w:rsidR="00093747" w:rsidRPr="00093747">
        <w:t>real or imaginary points beyond which a person or thing cannot go</w:t>
      </w:r>
      <w:r w:rsidR="00093747">
        <w:t>”)</w:t>
      </w:r>
      <w:r w:rsidR="005B5CDF">
        <w:t xml:space="preserve">, which was </w:t>
      </w:r>
      <w:r w:rsidR="0074477A">
        <w:t xml:space="preserve">introduced in 10.3.2 Lesson 12. </w:t>
      </w:r>
    </w:p>
    <w:p w:rsidR="00707670" w:rsidRDefault="00707670" w:rsidP="00707670">
      <w:pPr>
        <w:pStyle w:val="LearningSequenceHeader"/>
      </w:pPr>
      <w:r>
        <w:t>Activity 5</w:t>
      </w:r>
      <w:r w:rsidR="00521599">
        <w:t>: Outline Tool and</w:t>
      </w:r>
      <w:r w:rsidR="00B15418">
        <w:t xml:space="preserve"> Assessment</w:t>
      </w:r>
      <w:r w:rsidR="005772DE">
        <w:tab/>
      </w:r>
      <w:r w:rsidR="00DF32B8">
        <w:t>3</w:t>
      </w:r>
      <w:r w:rsidR="000D3499">
        <w:t>5</w:t>
      </w:r>
      <w:r w:rsidRPr="00707670">
        <w:t>%</w:t>
      </w:r>
    </w:p>
    <w:p w:rsidR="00044012" w:rsidRPr="002539E9" w:rsidRDefault="000D3499" w:rsidP="002539E9">
      <w:pPr>
        <w:pStyle w:val="TA"/>
      </w:pPr>
      <w:r w:rsidRPr="002539E9">
        <w:t xml:space="preserve">Explain to students the Outline Tool is the lesson assessment. They will be assessed on the counterclaim as well as the </w:t>
      </w:r>
      <w:r w:rsidR="00044012" w:rsidRPr="002539E9">
        <w:t xml:space="preserve">supporting claims, evidence, and </w:t>
      </w:r>
      <w:r w:rsidR="005B5CDF">
        <w:t>reasoning</w:t>
      </w:r>
      <w:r w:rsidR="00044012" w:rsidRPr="002539E9">
        <w:t xml:space="preserve"> for the counterclaim. Instruct students to record the supporting claims </w:t>
      </w:r>
      <w:r w:rsidR="001C6E1A">
        <w:t xml:space="preserve">for the counterclaim </w:t>
      </w:r>
      <w:r w:rsidR="00044012" w:rsidRPr="002539E9">
        <w:t xml:space="preserve">on the </w:t>
      </w:r>
      <w:r w:rsidR="00B06BF7" w:rsidRPr="002539E9">
        <w:t>“Supporting Claim</w:t>
      </w:r>
      <w:r w:rsidR="00B97591">
        <w:t>”</w:t>
      </w:r>
      <w:r w:rsidR="001C6E1A">
        <w:t xml:space="preserve"> </w:t>
      </w:r>
      <w:r w:rsidR="00044012" w:rsidRPr="002539E9">
        <w:t>portion of the Outline Tool, the evidence on the “Evidence” portion of the Outline Tool</w:t>
      </w:r>
      <w:r w:rsidR="00453BB8">
        <w:t>,</w:t>
      </w:r>
      <w:r w:rsidR="00044012" w:rsidRPr="002539E9">
        <w:t xml:space="preserve"> and the </w:t>
      </w:r>
      <w:r w:rsidR="00453BB8">
        <w:t>reasoning</w:t>
      </w:r>
      <w:r w:rsidR="00044012" w:rsidRPr="002539E9">
        <w:t xml:space="preserve"> on the “</w:t>
      </w:r>
      <w:r w:rsidR="00B97591">
        <w:t>Reasoning</w:t>
      </w:r>
      <w:r w:rsidR="00044012" w:rsidRPr="002539E9">
        <w:t xml:space="preserve">” portion of the Outline Tool. </w:t>
      </w:r>
      <w:r w:rsidR="006E35E6" w:rsidRPr="002539E9">
        <w:t>Remind students that when completing the “</w:t>
      </w:r>
      <w:r w:rsidR="00453BB8">
        <w:t>Reasoning</w:t>
      </w:r>
      <w:r w:rsidR="006E35E6" w:rsidRPr="002539E9">
        <w:t xml:space="preserve">” portion of the Outline Tool that they should </w:t>
      </w:r>
      <w:r w:rsidR="005B5CDF">
        <w:t>explain</w:t>
      </w:r>
      <w:r w:rsidR="006E35E6" w:rsidRPr="002539E9">
        <w:t xml:space="preserve"> how the evidence supports the counterclaim </w:t>
      </w:r>
      <w:r w:rsidR="005B5CDF">
        <w:t>and</w:t>
      </w:r>
      <w:r w:rsidR="006E35E6" w:rsidRPr="002539E9">
        <w:t xml:space="preserve"> how the evidence is limited.  </w:t>
      </w:r>
    </w:p>
    <w:p w:rsidR="000D3499" w:rsidRPr="002539E9" w:rsidRDefault="000D3499" w:rsidP="002539E9">
      <w:pPr>
        <w:pStyle w:val="TA"/>
      </w:pPr>
      <w:r w:rsidRPr="002539E9">
        <w:t>Inform students that the Evidence-Based Claims Criteria Checklist guide</w:t>
      </w:r>
      <w:r w:rsidR="00B97591">
        <w:t>s</w:t>
      </w:r>
      <w:r w:rsidRPr="002539E9">
        <w:t xml:space="preserve"> the evaluation of this assessment, and </w:t>
      </w:r>
      <w:r w:rsidR="00B97591">
        <w:t xml:space="preserve">that </w:t>
      </w:r>
      <w:r w:rsidRPr="002539E9">
        <w:t xml:space="preserve">students should refer to their checklists while completing their Outline Tool. </w:t>
      </w:r>
    </w:p>
    <w:p w:rsidR="00E259B9" w:rsidRDefault="001C6E1A" w:rsidP="000D3499">
      <w:pPr>
        <w:pStyle w:val="IN"/>
      </w:pPr>
      <w:r>
        <w:t>C</w:t>
      </w:r>
      <w:r w:rsidR="00E259B9">
        <w:t xml:space="preserve">onsider reminding students of the research writing skills inherent in W.9-10.7. </w:t>
      </w:r>
    </w:p>
    <w:p w:rsidR="000D3499" w:rsidRDefault="000D3499" w:rsidP="000D3499">
      <w:pPr>
        <w:pStyle w:val="SA"/>
      </w:pPr>
      <w:r>
        <w:t>Students complete the</w:t>
      </w:r>
      <w:r w:rsidR="00644C07">
        <w:t xml:space="preserve"> </w:t>
      </w:r>
      <w:r w:rsidR="001C6E1A">
        <w:t>following portions of the Outline Tool: “C</w:t>
      </w:r>
      <w:r w:rsidR="00644C07">
        <w:t>ounterclaim</w:t>
      </w:r>
      <w:r w:rsidR="001C6E1A">
        <w:t>,” “S</w:t>
      </w:r>
      <w:r w:rsidR="00644C07">
        <w:t xml:space="preserve">upporting </w:t>
      </w:r>
      <w:r w:rsidR="001C6E1A">
        <w:t>C</w:t>
      </w:r>
      <w:r w:rsidR="00644C07">
        <w:t xml:space="preserve">laims </w:t>
      </w:r>
      <w:r w:rsidR="001C6E1A">
        <w:t>(</w:t>
      </w:r>
      <w:r w:rsidR="00644C07">
        <w:t>for the counterclaim</w:t>
      </w:r>
      <w:r w:rsidR="001C6E1A">
        <w:t xml:space="preserve">),” </w:t>
      </w:r>
      <w:r w:rsidR="00B06BF7">
        <w:t xml:space="preserve"> </w:t>
      </w:r>
      <w:r w:rsidR="00453BB8">
        <w:t>“Evidence”</w:t>
      </w:r>
      <w:r w:rsidR="00B06BF7">
        <w:t xml:space="preserve"> and </w:t>
      </w:r>
      <w:r w:rsidR="00453BB8">
        <w:t>“Reasoning</w:t>
      </w:r>
      <w:r w:rsidR="001C6E1A">
        <w:t>.</w:t>
      </w:r>
      <w:r w:rsidR="00453BB8">
        <w:t>”</w:t>
      </w:r>
      <w:r>
        <w:t xml:space="preserve"> </w:t>
      </w:r>
    </w:p>
    <w:p w:rsidR="00457425" w:rsidRPr="002539E9" w:rsidRDefault="00457425" w:rsidP="002539E9">
      <w:pPr>
        <w:pStyle w:val="TA"/>
      </w:pPr>
      <w:r w:rsidRPr="002539E9">
        <w:t xml:space="preserve">Distribute the Additional Evidence Tool and instruct students to record </w:t>
      </w:r>
      <w:r w:rsidR="0030245C" w:rsidRPr="002539E9">
        <w:t xml:space="preserve">their </w:t>
      </w:r>
      <w:r w:rsidRPr="002539E9">
        <w:t>counterclaim</w:t>
      </w:r>
      <w:r w:rsidR="0030245C" w:rsidRPr="002539E9">
        <w:t xml:space="preserve"> on the A</w:t>
      </w:r>
      <w:r w:rsidRPr="002539E9">
        <w:t xml:space="preserve">dditional </w:t>
      </w:r>
      <w:r w:rsidR="0030245C" w:rsidRPr="002539E9">
        <w:t>E</w:t>
      </w:r>
      <w:r w:rsidRPr="002539E9">
        <w:t>vidence</w:t>
      </w:r>
      <w:r w:rsidR="0030245C" w:rsidRPr="002539E9">
        <w:t xml:space="preserve"> Tool</w:t>
      </w:r>
      <w:r w:rsidRPr="002539E9">
        <w:t xml:space="preserve">. </w:t>
      </w:r>
    </w:p>
    <w:p w:rsidR="00707670" w:rsidRPr="00707670" w:rsidRDefault="00457425" w:rsidP="00707670">
      <w:pPr>
        <w:pStyle w:val="SA"/>
      </w:pPr>
      <w:r>
        <w:t xml:space="preserve">Students turn in their Outline Tool after recording </w:t>
      </w:r>
      <w:r w:rsidR="0030245C">
        <w:t>the</w:t>
      </w:r>
      <w:r w:rsidR="008F43EF">
        <w:t xml:space="preserve">ir </w:t>
      </w:r>
      <w:r>
        <w:t>counterclaim on the Additional Evidence Tool.</w:t>
      </w:r>
    </w:p>
    <w:p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rsidR="00457425" w:rsidRPr="002539E9" w:rsidRDefault="00457425" w:rsidP="002539E9">
      <w:pPr>
        <w:pStyle w:val="TA"/>
      </w:pPr>
      <w:r w:rsidRPr="002539E9">
        <w:t xml:space="preserve">Display and distribute the homework assignment. For homework, instruct students to </w:t>
      </w:r>
      <w:r w:rsidR="001C6E1A">
        <w:t xml:space="preserve">search for </w:t>
      </w:r>
      <w:r w:rsidRPr="002539E9">
        <w:t xml:space="preserve">another source to </w:t>
      </w:r>
      <w:r w:rsidR="001C6E1A">
        <w:t xml:space="preserve">gather </w:t>
      </w:r>
      <w:r w:rsidRPr="002539E9">
        <w:t>stronger or more relevant evidence for a counterclaim on their outline</w:t>
      </w:r>
      <w:r w:rsidR="001C6E1A">
        <w:t>,</w:t>
      </w:r>
      <w:r w:rsidRPr="002539E9">
        <w:t xml:space="preserve"> and analyze how this evidence </w:t>
      </w:r>
      <w:r w:rsidR="008777D8" w:rsidRPr="002539E9">
        <w:t>provides additional support for</w:t>
      </w:r>
      <w:r w:rsidRPr="002539E9">
        <w:t xml:space="preserve"> their counterclaim. Instruct students to record their evidence and analysis on the Additional Evidence Tool. </w:t>
      </w:r>
    </w:p>
    <w:p w:rsidR="009403AD" w:rsidRDefault="00457425" w:rsidP="00BA4142">
      <w:pPr>
        <w:pStyle w:val="SA"/>
      </w:pPr>
      <w:r>
        <w:t xml:space="preserve">Students follow along. </w:t>
      </w:r>
    </w:p>
    <w:p w:rsidR="00C4787C" w:rsidRDefault="00C4787C" w:rsidP="00E946A0">
      <w:pPr>
        <w:pStyle w:val="Heading1"/>
      </w:pPr>
      <w:r>
        <w:t>Homework</w:t>
      </w:r>
    </w:p>
    <w:p w:rsidR="00912258" w:rsidRDefault="00457425" w:rsidP="00457425">
      <w:r>
        <w:t>For homework,</w:t>
      </w:r>
      <w:r w:rsidRPr="0036486C">
        <w:t xml:space="preserve"> </w:t>
      </w:r>
      <w:r w:rsidR="001C6E1A">
        <w:t>search for</w:t>
      </w:r>
      <w:r>
        <w:t xml:space="preserve"> another source to </w:t>
      </w:r>
      <w:r w:rsidR="001C6E1A">
        <w:t>gather</w:t>
      </w:r>
      <w:r>
        <w:t xml:space="preserve"> stronger or more relevant evidence for a counterclaim on your outline</w:t>
      </w:r>
      <w:r w:rsidR="001C6E1A">
        <w:t>,</w:t>
      </w:r>
      <w:r>
        <w:t xml:space="preserve"> and analyze how this evidence </w:t>
      </w:r>
      <w:r w:rsidR="008777D8">
        <w:t xml:space="preserve">provides additional support for </w:t>
      </w:r>
      <w:r>
        <w:t xml:space="preserve">your counterclaim. Record the evidence and analysis on the Additional Evidence Tool. </w:t>
      </w:r>
    </w:p>
    <w:p w:rsidR="00912258" w:rsidRDefault="00912258">
      <w:pPr>
        <w:spacing w:before="0" w:after="0" w:line="240" w:lineRule="auto"/>
      </w:pPr>
      <w:r>
        <w:br w:type="page"/>
      </w:r>
    </w:p>
    <w:p w:rsidR="00093CFC" w:rsidRPr="003510B8" w:rsidRDefault="00CF401C" w:rsidP="00093CFC">
      <w:pPr>
        <w:pStyle w:val="ToolHeader"/>
      </w:pPr>
      <w:r>
        <w:t xml:space="preserve">Model </w:t>
      </w:r>
      <w:r w:rsidR="00093CFC" w:rsidRPr="003510B8">
        <w:t>Outline Tool</w:t>
      </w:r>
    </w:p>
    <w:tbl>
      <w:tblPr>
        <w:tblStyle w:val="TableGrid"/>
        <w:tblW w:w="0" w:type="auto"/>
        <w:tblLook w:val="04A0"/>
      </w:tblPr>
      <w:tblGrid>
        <w:gridCol w:w="820"/>
        <w:gridCol w:w="2786"/>
        <w:gridCol w:w="732"/>
        <w:gridCol w:w="3045"/>
        <w:gridCol w:w="720"/>
        <w:gridCol w:w="1373"/>
      </w:tblGrid>
      <w:tr w:rsidR="00093CFC" w:rsidRPr="00707670" w:rsidTr="00661765">
        <w:trPr>
          <w:trHeight w:val="557"/>
        </w:trPr>
        <w:tc>
          <w:tcPr>
            <w:tcW w:w="816" w:type="dxa"/>
            <w:shd w:val="clear" w:color="auto" w:fill="D9D9D9" w:themeFill="background1" w:themeFillShade="D9"/>
            <w:vAlign w:val="center"/>
          </w:tcPr>
          <w:p w:rsidR="00093CFC" w:rsidRPr="00707670" w:rsidRDefault="00093CFC" w:rsidP="00661765">
            <w:pPr>
              <w:pStyle w:val="TableText"/>
              <w:rPr>
                <w:b/>
              </w:rPr>
            </w:pPr>
            <w:r w:rsidRPr="00707670">
              <w:rPr>
                <w:b/>
              </w:rPr>
              <w:t>Name:</w:t>
            </w:r>
          </w:p>
        </w:tc>
        <w:tc>
          <w:tcPr>
            <w:tcW w:w="2786" w:type="dxa"/>
            <w:vAlign w:val="center"/>
          </w:tcPr>
          <w:p w:rsidR="00093CFC" w:rsidRPr="00707670" w:rsidRDefault="00093CFC" w:rsidP="00661765">
            <w:pPr>
              <w:pStyle w:val="TableText"/>
              <w:rPr>
                <w:b/>
              </w:rPr>
            </w:pPr>
          </w:p>
        </w:tc>
        <w:tc>
          <w:tcPr>
            <w:tcW w:w="728" w:type="dxa"/>
            <w:shd w:val="clear" w:color="auto" w:fill="D9D9D9" w:themeFill="background1" w:themeFillShade="D9"/>
            <w:vAlign w:val="center"/>
          </w:tcPr>
          <w:p w:rsidR="00093CFC" w:rsidRPr="00707670" w:rsidRDefault="00093CFC" w:rsidP="00661765">
            <w:pPr>
              <w:pStyle w:val="TableText"/>
              <w:rPr>
                <w:b/>
              </w:rPr>
            </w:pPr>
            <w:r w:rsidRPr="00707670">
              <w:rPr>
                <w:b/>
              </w:rPr>
              <w:t>Class:</w:t>
            </w:r>
          </w:p>
        </w:tc>
        <w:tc>
          <w:tcPr>
            <w:tcW w:w="3045" w:type="dxa"/>
            <w:vAlign w:val="center"/>
          </w:tcPr>
          <w:p w:rsidR="00093CFC" w:rsidRPr="00707670" w:rsidRDefault="00093CFC" w:rsidP="00661765">
            <w:pPr>
              <w:pStyle w:val="TableText"/>
              <w:rPr>
                <w:b/>
              </w:rPr>
            </w:pPr>
          </w:p>
        </w:tc>
        <w:tc>
          <w:tcPr>
            <w:tcW w:w="720" w:type="dxa"/>
            <w:shd w:val="clear" w:color="auto" w:fill="D9D9D9" w:themeFill="background1" w:themeFillShade="D9"/>
            <w:vAlign w:val="center"/>
          </w:tcPr>
          <w:p w:rsidR="00093CFC" w:rsidRPr="00707670" w:rsidRDefault="00093CFC" w:rsidP="00661765">
            <w:pPr>
              <w:pStyle w:val="TableText"/>
              <w:rPr>
                <w:b/>
              </w:rPr>
            </w:pPr>
            <w:r w:rsidRPr="00707670">
              <w:rPr>
                <w:b/>
              </w:rPr>
              <w:t>Date:</w:t>
            </w:r>
          </w:p>
        </w:tc>
        <w:tc>
          <w:tcPr>
            <w:tcW w:w="1373" w:type="dxa"/>
            <w:vAlign w:val="center"/>
          </w:tcPr>
          <w:p w:rsidR="00093CFC" w:rsidRPr="00707670" w:rsidRDefault="00093CFC" w:rsidP="00661765">
            <w:pPr>
              <w:pStyle w:val="TableText"/>
              <w:rPr>
                <w:b/>
              </w:rPr>
            </w:pPr>
          </w:p>
        </w:tc>
      </w:tr>
    </w:tbl>
    <w:p w:rsidR="00093CFC" w:rsidRPr="00646088" w:rsidRDefault="00093CFC" w:rsidP="00093CFC">
      <w:pPr>
        <w:spacing w:before="0" w:after="0"/>
        <w:rPr>
          <w:sz w:val="10"/>
        </w:rPr>
      </w:pPr>
    </w:p>
    <w:tbl>
      <w:tblPr>
        <w:tblStyle w:val="TableGrid"/>
        <w:tblW w:w="0" w:type="auto"/>
        <w:tblLook w:val="04A0"/>
      </w:tblPr>
      <w:tblGrid>
        <w:gridCol w:w="4968"/>
        <w:gridCol w:w="270"/>
        <w:gridCol w:w="4230"/>
      </w:tblGrid>
      <w:tr w:rsidR="00093CFC" w:rsidTr="00661765">
        <w:tc>
          <w:tcPr>
            <w:tcW w:w="9468" w:type="dxa"/>
            <w:gridSpan w:val="3"/>
          </w:tcPr>
          <w:p w:rsidR="00093CFC" w:rsidRDefault="00093CFC" w:rsidP="00661765">
            <w:r>
              <w:t xml:space="preserve">[Introduction] </w:t>
            </w:r>
          </w:p>
          <w:p w:rsidR="00093CFC" w:rsidRPr="00954773" w:rsidRDefault="00093CFC" w:rsidP="0079626B">
            <w:pPr>
              <w:pStyle w:val="ToolTableText"/>
              <w:rPr>
                <w:b/>
              </w:rPr>
            </w:pPr>
            <w:r>
              <w:rPr>
                <w:b/>
              </w:rPr>
              <w:t>Problem-Based</w:t>
            </w:r>
            <w:r w:rsidRPr="00954773">
              <w:rPr>
                <w:b/>
              </w:rPr>
              <w:t xml:space="preserve"> Question:</w:t>
            </w:r>
            <w:r>
              <w:t xml:space="preserve"> </w:t>
            </w:r>
            <w:r w:rsidRPr="00784DD2">
              <w:t>Who should own tissue</w:t>
            </w:r>
            <w:r>
              <w:t>, or profit from tissue</w:t>
            </w:r>
            <w:r w:rsidRPr="00784DD2">
              <w:t xml:space="preserve"> after it has been surgically removed from a patient's body? </w:t>
            </w:r>
          </w:p>
          <w:p w:rsidR="00093CFC" w:rsidRDefault="00093CFC" w:rsidP="0048514F">
            <w:pPr>
              <w:pStyle w:val="ToolTableText"/>
            </w:pPr>
            <w:r w:rsidRPr="00954773">
              <w:rPr>
                <w:b/>
              </w:rPr>
              <w:t>Central Claim:</w:t>
            </w:r>
            <w:r w:rsidRPr="00CA7484">
              <w:t xml:space="preserve"> </w:t>
            </w:r>
            <w:r>
              <w:t>G</w:t>
            </w:r>
            <w:r w:rsidRPr="00CA7484">
              <w:t>ranting anyone the rights to sell human tissue is morally and ethically questiona</w:t>
            </w:r>
            <w:r>
              <w:t>ble; neither researchers nor</w:t>
            </w:r>
            <w:r w:rsidRPr="00CA7484">
              <w:t xml:space="preserve"> patients should have rights to sell </w:t>
            </w:r>
            <w:r>
              <w:t>any human tissue.</w:t>
            </w:r>
          </w:p>
        </w:tc>
      </w:tr>
      <w:tr w:rsidR="00093CFC" w:rsidTr="00661765">
        <w:trPr>
          <w:trHeight w:val="881"/>
        </w:trPr>
        <w:tc>
          <w:tcPr>
            <w:tcW w:w="9468" w:type="dxa"/>
            <w:gridSpan w:val="3"/>
          </w:tcPr>
          <w:p w:rsidR="00093CFC" w:rsidRDefault="00093CFC" w:rsidP="0079626B">
            <w:pPr>
              <w:pStyle w:val="ToolTableText"/>
            </w:pPr>
            <w:r>
              <w:t>[Body]</w:t>
            </w:r>
            <w:r w:rsidRPr="00202588">
              <w:rPr>
                <w:b/>
              </w:rPr>
              <w:t xml:space="preserve"> Supporting</w:t>
            </w:r>
            <w:r>
              <w:t xml:space="preserve"> </w:t>
            </w:r>
            <w:r w:rsidRPr="00954773">
              <w:rPr>
                <w:b/>
              </w:rPr>
              <w:t>Claim</w:t>
            </w:r>
            <w:r>
              <w:t xml:space="preserve">: Patients </w:t>
            </w:r>
            <w:r w:rsidRPr="0056150E">
              <w:t>granting permission to a research institution</w:t>
            </w:r>
            <w:r>
              <w:t xml:space="preserve"> to use donated tissue</w:t>
            </w:r>
            <w:r w:rsidRPr="0056150E">
              <w:t xml:space="preserve"> can </w:t>
            </w:r>
            <w:r>
              <w:t>confuse</w:t>
            </w:r>
            <w:r w:rsidRPr="0056150E">
              <w:t xml:space="preserve"> who actually owns the donated tissue</w:t>
            </w:r>
            <w:r>
              <w:t>.</w:t>
            </w:r>
          </w:p>
        </w:tc>
      </w:tr>
      <w:tr w:rsidR="00093CFC" w:rsidTr="00661765">
        <w:trPr>
          <w:trHeight w:val="2735"/>
        </w:trPr>
        <w:tc>
          <w:tcPr>
            <w:tcW w:w="4968" w:type="dxa"/>
          </w:tcPr>
          <w:p w:rsidR="00093CFC" w:rsidRDefault="00093CFC" w:rsidP="00661765">
            <w:pPr>
              <w:pStyle w:val="ToolTableText"/>
            </w:pPr>
            <w:r w:rsidRPr="00954773">
              <w:rPr>
                <w:b/>
              </w:rPr>
              <w:t>Evidence:</w:t>
            </w:r>
            <w:r>
              <w:t xml:space="preserve"> </w:t>
            </w:r>
          </w:p>
          <w:p w:rsidR="00093CFC" w:rsidRDefault="00093CFC" w:rsidP="0048514F">
            <w:pPr>
              <w:pStyle w:val="ToolTableText"/>
            </w:pPr>
            <w:r>
              <w:t>“</w:t>
            </w:r>
            <w:r w:rsidRPr="00F95F46">
              <w:t>As it stands now, tissue banks appear to have de facto ownership over sample inventories and the right to use them as they wish.”</w:t>
            </w:r>
            <w:r>
              <w:t>(Sc</w:t>
            </w:r>
            <w:r w:rsidR="001D7411">
              <w:t>h</w:t>
            </w:r>
            <w:r>
              <w:t>midt</w:t>
            </w:r>
            <w:r w:rsidR="00521599">
              <w:t>, par. 3</w:t>
            </w:r>
            <w:r>
              <w:t>)</w:t>
            </w:r>
          </w:p>
          <w:p w:rsidR="00093CFC" w:rsidRDefault="00093CFC" w:rsidP="00661765"/>
        </w:tc>
        <w:tc>
          <w:tcPr>
            <w:tcW w:w="4500" w:type="dxa"/>
            <w:gridSpan w:val="2"/>
          </w:tcPr>
          <w:p w:rsidR="00093CFC" w:rsidRPr="00954773" w:rsidRDefault="005B5CDF" w:rsidP="00661765">
            <w:pPr>
              <w:rPr>
                <w:b/>
              </w:rPr>
            </w:pPr>
            <w:r>
              <w:rPr>
                <w:b/>
              </w:rPr>
              <w:t>Reasoning:</w:t>
            </w:r>
            <w:r w:rsidR="00093CFC" w:rsidRPr="00954773">
              <w:rPr>
                <w:b/>
              </w:rPr>
              <w:t xml:space="preserve"> </w:t>
            </w:r>
            <w:r w:rsidR="00093CFC" w:rsidRPr="00954773">
              <w:rPr>
                <w:i/>
              </w:rPr>
              <w:t>How does the evidence support your claim?</w:t>
            </w:r>
            <w:r w:rsidR="00093CFC" w:rsidRPr="00954773">
              <w:rPr>
                <w:b/>
              </w:rPr>
              <w:t xml:space="preserve"> </w:t>
            </w:r>
          </w:p>
          <w:p w:rsidR="00093CFC" w:rsidRDefault="00093CFC" w:rsidP="0048514F">
            <w:pPr>
              <w:pStyle w:val="ToolTableText"/>
            </w:pPr>
            <w:r>
              <w:t xml:space="preserve">This evidence clearly supports the claim because it states that the tissue banks have inherent ownership over donated tissues even though patients might still think they have ownership over their tissue. </w:t>
            </w:r>
          </w:p>
          <w:p w:rsidR="00093CFC" w:rsidRDefault="00093CFC" w:rsidP="00661765"/>
        </w:tc>
      </w:tr>
      <w:tr w:rsidR="00093CFC" w:rsidTr="00661765">
        <w:trPr>
          <w:trHeight w:val="989"/>
        </w:trPr>
        <w:tc>
          <w:tcPr>
            <w:tcW w:w="9468" w:type="dxa"/>
            <w:gridSpan w:val="3"/>
          </w:tcPr>
          <w:p w:rsidR="00093CFC" w:rsidRPr="00D051FD" w:rsidRDefault="00093CFC" w:rsidP="0079626B">
            <w:pPr>
              <w:pStyle w:val="ToolTableText"/>
              <w:rPr>
                <w:b/>
                <w:u w:val="single"/>
              </w:rPr>
            </w:pPr>
            <w:r w:rsidRPr="00863905">
              <w:rPr>
                <w:b/>
              </w:rPr>
              <w:t xml:space="preserve">Supporting </w:t>
            </w:r>
            <w:r w:rsidRPr="000B6C0F">
              <w:rPr>
                <w:b/>
              </w:rPr>
              <w:t>Claim</w:t>
            </w:r>
            <w:r>
              <w:t>: The sale or resale of human tissue is dehumanizing and exacts a psychological toll on the patient or the patient’s family.</w:t>
            </w:r>
          </w:p>
        </w:tc>
      </w:tr>
      <w:tr w:rsidR="00093CFC" w:rsidTr="00661765">
        <w:trPr>
          <w:trHeight w:val="251"/>
        </w:trPr>
        <w:tc>
          <w:tcPr>
            <w:tcW w:w="5238" w:type="dxa"/>
            <w:gridSpan w:val="2"/>
          </w:tcPr>
          <w:p w:rsidR="00093CFC" w:rsidRDefault="00093CFC" w:rsidP="00661765">
            <w:pPr>
              <w:pStyle w:val="ToolTableText"/>
            </w:pPr>
            <w:r w:rsidRPr="00954773">
              <w:rPr>
                <w:b/>
              </w:rPr>
              <w:t>Evidence:</w:t>
            </w:r>
            <w:r>
              <w:t xml:space="preserve"> </w:t>
            </w:r>
          </w:p>
          <w:p w:rsidR="00093CFC" w:rsidRDefault="00093CFC" w:rsidP="0079626B">
            <w:pPr>
              <w:pStyle w:val="ToolTableText"/>
            </w:pPr>
            <w:r>
              <w:t>“When Moore found out that he was Patent No. 4,438,032, he felt that his integrity had been violated, his body exploited and his tissue turned into a product.” (</w:t>
            </w:r>
            <w:r w:rsidR="00A403A4">
              <w:t>Andrews, par. 6</w:t>
            </w:r>
            <w:r>
              <w:t>)</w:t>
            </w:r>
          </w:p>
        </w:tc>
        <w:tc>
          <w:tcPr>
            <w:tcW w:w="4230" w:type="dxa"/>
          </w:tcPr>
          <w:p w:rsidR="00093CFC" w:rsidRDefault="00B97591" w:rsidP="00661765">
            <w:r>
              <w:rPr>
                <w:b/>
              </w:rPr>
              <w:t>Reasoning</w:t>
            </w:r>
            <w:r w:rsidR="00093CFC" w:rsidRPr="00954773">
              <w:rPr>
                <w:b/>
              </w:rPr>
              <w:t>:</w:t>
            </w:r>
            <w:r w:rsidR="00093CFC">
              <w:t xml:space="preserve"> </w:t>
            </w:r>
            <w:r w:rsidR="00093CFC" w:rsidRPr="00954773">
              <w:rPr>
                <w:i/>
              </w:rPr>
              <w:t>How does the evidence support your claim?</w:t>
            </w:r>
            <w:r w:rsidR="00093CFC">
              <w:t xml:space="preserve"> </w:t>
            </w:r>
          </w:p>
          <w:p w:rsidR="00093CFC" w:rsidRDefault="00093CFC" w:rsidP="0079626B">
            <w:pPr>
              <w:pStyle w:val="ToolTableText"/>
            </w:pPr>
            <w:r>
              <w:t>This evidence demonstrates how a patient felt after their tissue had been sold. This evidence clearly shows that there are damaging effects, emotionally and mentally, for patients whose tissues are sold. This is compelling evidence to support the central claim that no one should be allowed</w:t>
            </w:r>
            <w:r w:rsidR="0048514F">
              <w:t xml:space="preserve"> to profit from human tissues. </w:t>
            </w:r>
          </w:p>
        </w:tc>
      </w:tr>
      <w:tr w:rsidR="00093CFC" w:rsidRPr="00D051FD" w:rsidTr="00661765">
        <w:trPr>
          <w:trHeight w:val="863"/>
        </w:trPr>
        <w:tc>
          <w:tcPr>
            <w:tcW w:w="9468" w:type="dxa"/>
            <w:gridSpan w:val="3"/>
          </w:tcPr>
          <w:p w:rsidR="00093CFC" w:rsidRPr="00D051FD" w:rsidRDefault="00093CFC" w:rsidP="0079626B">
            <w:pPr>
              <w:pStyle w:val="ToolTableText"/>
              <w:rPr>
                <w:b/>
                <w:u w:val="single"/>
              </w:rPr>
            </w:pPr>
            <w:r w:rsidRPr="00863905">
              <w:rPr>
                <w:b/>
              </w:rPr>
              <w:t xml:space="preserve">Supporting </w:t>
            </w:r>
            <w:r w:rsidRPr="000B6C0F">
              <w:rPr>
                <w:b/>
              </w:rPr>
              <w:t>Claim</w:t>
            </w:r>
            <w:r w:rsidRPr="00954773">
              <w:rPr>
                <w:b/>
              </w:rPr>
              <w:t>:</w:t>
            </w:r>
            <w:r>
              <w:t xml:space="preserve"> The legal issues that deal with patients’ rights to tissue removed during surgery need to be clearly defined because doctors and researchers can profit from tissue taken during surgery.</w:t>
            </w:r>
          </w:p>
        </w:tc>
      </w:tr>
      <w:tr w:rsidR="00093CFC" w:rsidTr="00661765">
        <w:trPr>
          <w:trHeight w:val="2582"/>
        </w:trPr>
        <w:tc>
          <w:tcPr>
            <w:tcW w:w="5238" w:type="dxa"/>
            <w:gridSpan w:val="2"/>
          </w:tcPr>
          <w:p w:rsidR="00093CFC" w:rsidRDefault="00093CFC" w:rsidP="00661765">
            <w:pPr>
              <w:pStyle w:val="ToolTableText"/>
            </w:pPr>
            <w:r w:rsidRPr="00954773">
              <w:rPr>
                <w:b/>
              </w:rPr>
              <w:t>Evidence</w:t>
            </w:r>
            <w:r>
              <w:t>:</w:t>
            </w:r>
          </w:p>
          <w:p w:rsidR="00093CFC" w:rsidRPr="00A43C81" w:rsidRDefault="00093CFC" w:rsidP="0079626B">
            <w:pPr>
              <w:pStyle w:val="ToolTableText"/>
            </w:pPr>
            <w:r>
              <w:t>“</w:t>
            </w:r>
            <w:proofErr w:type="gramStart"/>
            <w:r w:rsidRPr="00434C89">
              <w:t>tissue</w:t>
            </w:r>
            <w:proofErr w:type="gramEnd"/>
            <w:r w:rsidRPr="00434C89">
              <w:t xml:space="preserve"> banking is big business and the law is readily side-stepped by invoking </w:t>
            </w:r>
            <w:r>
              <w:t>‘</w:t>
            </w:r>
            <w:r w:rsidRPr="00434C89">
              <w:t>p</w:t>
            </w:r>
            <w:r>
              <w:t>rocessing and handling fees’</w:t>
            </w:r>
            <w:r w:rsidRPr="00434C89">
              <w:t xml:space="preserve"> so that the tissue itself is not officially sold</w:t>
            </w:r>
            <w:r w:rsidR="00522916">
              <w:t>.</w:t>
            </w:r>
            <w:r w:rsidRPr="00785C53">
              <w:t>”</w:t>
            </w:r>
            <w:r>
              <w:t xml:space="preserve"> (Josefson</w:t>
            </w:r>
            <w:r w:rsidR="00521599">
              <w:t>, par. 7</w:t>
            </w:r>
            <w:r>
              <w:t>)</w:t>
            </w:r>
          </w:p>
        </w:tc>
        <w:tc>
          <w:tcPr>
            <w:tcW w:w="4230" w:type="dxa"/>
          </w:tcPr>
          <w:p w:rsidR="00093CFC" w:rsidRDefault="00B97591" w:rsidP="00661765">
            <w:r>
              <w:rPr>
                <w:b/>
              </w:rPr>
              <w:t>Reasoning</w:t>
            </w:r>
            <w:r w:rsidR="00093CFC" w:rsidRPr="00954773">
              <w:rPr>
                <w:b/>
              </w:rPr>
              <w:t>:</w:t>
            </w:r>
            <w:r w:rsidR="00093CFC">
              <w:t xml:space="preserve"> </w:t>
            </w:r>
            <w:r w:rsidR="00093CFC" w:rsidRPr="00954773">
              <w:rPr>
                <w:i/>
              </w:rPr>
              <w:t>How does the evidence support your claim?</w:t>
            </w:r>
            <w:r w:rsidR="00093CFC">
              <w:t xml:space="preserve"> </w:t>
            </w:r>
          </w:p>
          <w:p w:rsidR="00093CFC" w:rsidRDefault="00093CFC" w:rsidP="0079626B">
            <w:pPr>
              <w:pStyle w:val="ToolTableText"/>
            </w:pPr>
            <w:r>
              <w:t xml:space="preserve">This evidence shows the questionable activity involved in the tissue banking system. This is one way for doctors to profit and biotechnology companies to get access to human tissue samples. This is the sort of behavior that takes place when tissues can be sold for profit. </w:t>
            </w:r>
          </w:p>
        </w:tc>
      </w:tr>
      <w:tr w:rsidR="00093CFC" w:rsidRPr="00D051FD" w:rsidTr="00661765">
        <w:trPr>
          <w:trHeight w:val="1070"/>
        </w:trPr>
        <w:tc>
          <w:tcPr>
            <w:tcW w:w="9468" w:type="dxa"/>
            <w:gridSpan w:val="3"/>
          </w:tcPr>
          <w:p w:rsidR="00093CFC" w:rsidRPr="00D051FD" w:rsidRDefault="00093CFC" w:rsidP="0079626B">
            <w:pPr>
              <w:pStyle w:val="ToolTableText"/>
              <w:rPr>
                <w:b/>
                <w:u w:val="single"/>
              </w:rPr>
            </w:pPr>
            <w:r w:rsidRPr="009077BE">
              <w:rPr>
                <w:b/>
              </w:rPr>
              <w:t xml:space="preserve">Supporting </w:t>
            </w:r>
            <w:r w:rsidRPr="000B6C0F">
              <w:rPr>
                <w:b/>
              </w:rPr>
              <w:t>Claim</w:t>
            </w:r>
            <w:r w:rsidRPr="00954773">
              <w:rPr>
                <w:b/>
              </w:rPr>
              <w:t>:</w:t>
            </w:r>
            <w:r>
              <w:rPr>
                <w:b/>
              </w:rPr>
              <w:t xml:space="preserve"> </w:t>
            </w:r>
            <w:r>
              <w:t>Giving researchers legal ownership of others’ genes, cells, or tissues infringes on individuals' rights to privacy and control over their unique genetic information.</w:t>
            </w:r>
          </w:p>
        </w:tc>
      </w:tr>
      <w:tr w:rsidR="00093CFC" w:rsidTr="00661765">
        <w:trPr>
          <w:trHeight w:val="3050"/>
        </w:trPr>
        <w:tc>
          <w:tcPr>
            <w:tcW w:w="5238" w:type="dxa"/>
            <w:gridSpan w:val="2"/>
          </w:tcPr>
          <w:p w:rsidR="00093CFC" w:rsidRDefault="00093CFC" w:rsidP="00661765">
            <w:pPr>
              <w:pStyle w:val="ToolTableText"/>
            </w:pPr>
            <w:r w:rsidRPr="00954773">
              <w:rPr>
                <w:b/>
              </w:rPr>
              <w:t>Evidence</w:t>
            </w:r>
            <w:r>
              <w:t>:</w:t>
            </w:r>
          </w:p>
          <w:p w:rsidR="00093CFC" w:rsidRPr="00A43C81" w:rsidRDefault="00093CFC" w:rsidP="00522916">
            <w:pPr>
              <w:pStyle w:val="ToolTableText"/>
            </w:pPr>
            <w:r>
              <w:t>“</w:t>
            </w:r>
            <w:r w:rsidRPr="00C55065">
              <w:t>In a study of potential tissue donors, 32 percent said they would be offended by the patenting of products of research with their DNA</w:t>
            </w:r>
            <w:r w:rsidR="00522916">
              <w:t>.</w:t>
            </w:r>
            <w:r>
              <w:t>” (Andrews</w:t>
            </w:r>
            <w:r w:rsidR="00521599">
              <w:t>, par. 11</w:t>
            </w:r>
            <w:r>
              <w:t>)</w:t>
            </w:r>
          </w:p>
        </w:tc>
        <w:tc>
          <w:tcPr>
            <w:tcW w:w="4230" w:type="dxa"/>
          </w:tcPr>
          <w:p w:rsidR="00093CFC" w:rsidRDefault="00B97591" w:rsidP="00661765">
            <w:r>
              <w:rPr>
                <w:b/>
              </w:rPr>
              <w:t>Reasoning</w:t>
            </w:r>
            <w:r w:rsidR="00093CFC" w:rsidRPr="00954773">
              <w:rPr>
                <w:b/>
              </w:rPr>
              <w:t>:</w:t>
            </w:r>
            <w:r w:rsidR="00093CFC">
              <w:t xml:space="preserve"> </w:t>
            </w:r>
            <w:r w:rsidR="00093CFC" w:rsidRPr="00954773">
              <w:rPr>
                <w:i/>
              </w:rPr>
              <w:t>How does the evidence support your claim?</w:t>
            </w:r>
            <w:r w:rsidR="00093CFC">
              <w:t xml:space="preserve"> </w:t>
            </w:r>
          </w:p>
          <w:p w:rsidR="00093CFC" w:rsidRDefault="00093CFC" w:rsidP="0079626B">
            <w:pPr>
              <w:pStyle w:val="ToolTableText"/>
            </w:pPr>
            <w:r>
              <w:t xml:space="preserve">This evidence supports the claim because it clearly states that there are large portions of people who do not want their unique DNA being used by companies. Since everyone’s DNA is unique this would violate their privacy because it would be clear where the genetic material came from and may disclose information about themselves or their family. </w:t>
            </w:r>
          </w:p>
        </w:tc>
      </w:tr>
      <w:tr w:rsidR="00093CFC" w:rsidTr="0048514F">
        <w:trPr>
          <w:trHeight w:val="908"/>
        </w:trPr>
        <w:tc>
          <w:tcPr>
            <w:tcW w:w="9468" w:type="dxa"/>
            <w:gridSpan w:val="3"/>
          </w:tcPr>
          <w:p w:rsidR="00093CFC" w:rsidRPr="00954773" w:rsidRDefault="00093CFC" w:rsidP="0079626B">
            <w:pPr>
              <w:pStyle w:val="ToolTableText"/>
              <w:rPr>
                <w:b/>
              </w:rPr>
            </w:pPr>
            <w:r w:rsidRPr="00D051FD">
              <w:rPr>
                <w:b/>
                <w:u w:val="single"/>
              </w:rPr>
              <w:t>Counterclaim</w:t>
            </w:r>
            <w:r>
              <w:rPr>
                <w:b/>
              </w:rPr>
              <w:t xml:space="preserve"> (</w:t>
            </w:r>
            <w:r>
              <w:rPr>
                <w:b/>
                <w:i/>
              </w:rPr>
              <w:t>to the central claim)</w:t>
            </w:r>
            <w:r>
              <w:rPr>
                <w:b/>
              </w:rPr>
              <w:t xml:space="preserve">: </w:t>
            </w:r>
            <w:r w:rsidR="00086EF9">
              <w:t>All tissue should be available for an individual to sell if it does not endanger the individual’s life and would improve his or her financial situation.</w:t>
            </w:r>
          </w:p>
        </w:tc>
      </w:tr>
      <w:tr w:rsidR="00093CFC" w:rsidTr="00661765">
        <w:trPr>
          <w:trHeight w:val="800"/>
        </w:trPr>
        <w:tc>
          <w:tcPr>
            <w:tcW w:w="9468" w:type="dxa"/>
            <w:gridSpan w:val="3"/>
          </w:tcPr>
          <w:p w:rsidR="00093CFC" w:rsidRPr="00E056F2" w:rsidRDefault="00093CFC" w:rsidP="0079626B">
            <w:pPr>
              <w:pStyle w:val="ToolTableText"/>
            </w:pPr>
            <w:r>
              <w:rPr>
                <w:b/>
                <w:u w:val="single"/>
              </w:rPr>
              <w:t>Supporting Claim (for the counterclaim):</w:t>
            </w:r>
            <w:r w:rsidR="00086EF9" w:rsidRPr="00521599">
              <w:rPr>
                <w:b/>
              </w:rPr>
              <w:t xml:space="preserve"> </w:t>
            </w:r>
            <w:r w:rsidR="00E056F2">
              <w:t>Compensation is necessary to get</w:t>
            </w:r>
            <w:r w:rsidR="00B55E79">
              <w:t xml:space="preserve"> tissue</w:t>
            </w:r>
            <w:r w:rsidR="00E056F2">
              <w:t xml:space="preserve"> donations.</w:t>
            </w:r>
          </w:p>
        </w:tc>
      </w:tr>
      <w:tr w:rsidR="00093CFC" w:rsidRPr="00D051FD" w:rsidTr="00661765">
        <w:trPr>
          <w:trHeight w:val="2717"/>
        </w:trPr>
        <w:tc>
          <w:tcPr>
            <w:tcW w:w="5238" w:type="dxa"/>
            <w:gridSpan w:val="2"/>
          </w:tcPr>
          <w:p w:rsidR="00093CFC" w:rsidRDefault="00093CFC" w:rsidP="00661765">
            <w:pPr>
              <w:pStyle w:val="ToolTableText"/>
              <w:rPr>
                <w:b/>
              </w:rPr>
            </w:pPr>
            <w:r w:rsidRPr="00D051FD">
              <w:rPr>
                <w:b/>
                <w:u w:val="single"/>
              </w:rPr>
              <w:t>Evidence</w:t>
            </w:r>
            <w:r>
              <w:rPr>
                <w:b/>
              </w:rPr>
              <w:t>:</w:t>
            </w:r>
          </w:p>
          <w:p w:rsidR="00E056F2" w:rsidRPr="0079626B" w:rsidRDefault="00E056F2" w:rsidP="0079626B">
            <w:pPr>
              <w:pStyle w:val="ToolTableText"/>
            </w:pPr>
            <w:r w:rsidRPr="0079626B">
              <w:t>“With about 114,000 people waiting for organs in the U.S. alone on any given day, and only 3,300 donors, the urgent medical need runs up against moral standards of the value of human life.” (Park</w:t>
            </w:r>
            <w:r w:rsidR="00521599" w:rsidRPr="0079626B">
              <w:t>, par. 6</w:t>
            </w:r>
            <w:r w:rsidRPr="0079626B">
              <w:t>)</w:t>
            </w:r>
          </w:p>
        </w:tc>
        <w:tc>
          <w:tcPr>
            <w:tcW w:w="4230" w:type="dxa"/>
          </w:tcPr>
          <w:p w:rsidR="00093CFC" w:rsidRDefault="00B97591" w:rsidP="00661765">
            <w:pPr>
              <w:rPr>
                <w:b/>
              </w:rPr>
            </w:pPr>
            <w:r>
              <w:rPr>
                <w:b/>
              </w:rPr>
              <w:t>Reasoning</w:t>
            </w:r>
            <w:r w:rsidR="00093CFC" w:rsidRPr="00521599">
              <w:rPr>
                <w:b/>
              </w:rPr>
              <w:t>:</w:t>
            </w:r>
            <w:r w:rsidR="00093CFC" w:rsidRPr="00D051FD">
              <w:rPr>
                <w:i/>
                <w:u w:val="single"/>
              </w:rPr>
              <w:t xml:space="preserve"> How does this evidence support the counterclaim</w:t>
            </w:r>
            <w:r w:rsidR="004E377B">
              <w:rPr>
                <w:i/>
                <w:u w:val="single"/>
              </w:rPr>
              <w:t>?</w:t>
            </w:r>
          </w:p>
          <w:p w:rsidR="00E056F2" w:rsidRDefault="00661765" w:rsidP="0079626B">
            <w:pPr>
              <w:pStyle w:val="ToolTableText"/>
            </w:pPr>
            <w:r>
              <w:t>This evidence demonstrates that there is a high need for donors and a lack of people donating tissue for the purpose of organ transplants. If people were paid for their tissue</w:t>
            </w:r>
            <w:r w:rsidR="0066558B">
              <w:t>,</w:t>
            </w:r>
            <w:r>
              <w:t xml:space="preserve"> they would be much more willing to donate.</w:t>
            </w:r>
          </w:p>
          <w:p w:rsidR="00996751" w:rsidRPr="00E056F2" w:rsidRDefault="00996751" w:rsidP="0079626B">
            <w:pPr>
              <w:pStyle w:val="ToolTableText"/>
            </w:pPr>
            <w:r>
              <w:t xml:space="preserve">Though this evidence shows that there are </w:t>
            </w:r>
            <w:r w:rsidR="0066558B">
              <w:t xml:space="preserve">many </w:t>
            </w:r>
            <w:r>
              <w:t>people who require organ donations it does</w:t>
            </w:r>
            <w:r w:rsidR="0066558B">
              <w:t xml:space="preserve"> </w:t>
            </w:r>
            <w:r>
              <w:t>n</w:t>
            </w:r>
            <w:r w:rsidR="0066558B">
              <w:t>o</w:t>
            </w:r>
            <w:r>
              <w:t>t say whether enough people have been made aware of this information. There could also be those who are suspicious given the confusing practices of tissue donation.</w:t>
            </w:r>
          </w:p>
        </w:tc>
      </w:tr>
      <w:tr w:rsidR="00093CFC" w:rsidRPr="00D051FD" w:rsidTr="00661765">
        <w:trPr>
          <w:trHeight w:val="1052"/>
        </w:trPr>
        <w:tc>
          <w:tcPr>
            <w:tcW w:w="9468" w:type="dxa"/>
            <w:gridSpan w:val="3"/>
          </w:tcPr>
          <w:p w:rsidR="00093CFC" w:rsidRPr="00E056F2" w:rsidRDefault="00093CFC" w:rsidP="0079626B">
            <w:pPr>
              <w:pStyle w:val="ToolTableText"/>
            </w:pPr>
            <w:r>
              <w:rPr>
                <w:b/>
                <w:u w:val="single"/>
              </w:rPr>
              <w:t>Supporting Claim (for the counterclaim):</w:t>
            </w:r>
            <w:r w:rsidR="00E056F2">
              <w:t xml:space="preserve"> </w:t>
            </w:r>
            <w:r w:rsidR="007A5BB8">
              <w:t>If a</w:t>
            </w:r>
            <w:r w:rsidR="00661765">
              <w:t xml:space="preserve">n individual </w:t>
            </w:r>
            <w:r w:rsidR="007A5BB8">
              <w:t>has a way to profit from their bod</w:t>
            </w:r>
            <w:r w:rsidR="0066558B">
              <w:t>y,</w:t>
            </w:r>
            <w:r w:rsidR="007A5BB8">
              <w:t xml:space="preserve"> they can put themselves in a position to make a lot of money.</w:t>
            </w:r>
          </w:p>
        </w:tc>
      </w:tr>
      <w:tr w:rsidR="00093CFC" w:rsidRPr="00D051FD" w:rsidTr="00235FFF">
        <w:trPr>
          <w:trHeight w:val="989"/>
        </w:trPr>
        <w:tc>
          <w:tcPr>
            <w:tcW w:w="5238" w:type="dxa"/>
            <w:gridSpan w:val="2"/>
          </w:tcPr>
          <w:p w:rsidR="00093CFC" w:rsidRDefault="00093CFC" w:rsidP="00661765">
            <w:pPr>
              <w:pStyle w:val="ToolTableText"/>
            </w:pPr>
            <w:r>
              <w:rPr>
                <w:b/>
                <w:u w:val="single"/>
              </w:rPr>
              <w:t>Evidence:</w:t>
            </w:r>
          </w:p>
          <w:p w:rsidR="00E056F2" w:rsidRPr="00E056F2" w:rsidRDefault="00661765" w:rsidP="00661765">
            <w:pPr>
              <w:pStyle w:val="ToolTableText"/>
            </w:pPr>
            <w:r>
              <w:rPr>
                <w:bCs/>
              </w:rPr>
              <w:t>“</w:t>
            </w:r>
            <w:r>
              <w:t>Even if patients lack such property rights,</w:t>
            </w:r>
            <w:r w:rsidR="007A5BB8">
              <w:t xml:space="preserve"> </w:t>
            </w:r>
            <w:r>
              <w:t xml:space="preserve">there are many examples of individuals receiving financial compensation for donating tissue. A striking case was that of Ted Slavin, a man with hemophilia who developed extremely high antibody titers </w:t>
            </w:r>
            <w:r w:rsidR="00521599">
              <w:t>after contracting hepatitis B (</w:t>
            </w:r>
            <w:r>
              <w:t>4). When his physician informed him that his blood might be valuable to medical researchers, he was able to sell his serum for as much as $10,000 per liter, providing himself with a source of income for the rest of his life.</w:t>
            </w:r>
            <w:r w:rsidR="009A593D">
              <w:t>” (Truog, Kesselheim, and Joffe</w:t>
            </w:r>
            <w:r w:rsidR="00521599">
              <w:t>, p. 37</w:t>
            </w:r>
            <w:r w:rsidR="009A593D">
              <w:t>)</w:t>
            </w:r>
          </w:p>
        </w:tc>
        <w:tc>
          <w:tcPr>
            <w:tcW w:w="4230" w:type="dxa"/>
          </w:tcPr>
          <w:p w:rsidR="00093CFC" w:rsidRDefault="00B97591" w:rsidP="00661765">
            <w:pPr>
              <w:rPr>
                <w:u w:val="single"/>
              </w:rPr>
            </w:pPr>
            <w:r>
              <w:rPr>
                <w:b/>
              </w:rPr>
              <w:t>Reasoning</w:t>
            </w:r>
            <w:r w:rsidR="00093CFC">
              <w:rPr>
                <w:b/>
                <w:u w:val="single"/>
              </w:rPr>
              <w:t xml:space="preserve">: </w:t>
            </w:r>
            <w:r w:rsidR="00093CFC" w:rsidRPr="00E056F2">
              <w:rPr>
                <w:i/>
                <w:u w:val="single"/>
              </w:rPr>
              <w:t>How does this evidence support the counterclaim?</w:t>
            </w:r>
            <w:r w:rsidR="004E377B">
              <w:rPr>
                <w:i/>
                <w:u w:val="single"/>
              </w:rPr>
              <w:t xml:space="preserve"> </w:t>
            </w:r>
          </w:p>
          <w:p w:rsidR="00E056F2" w:rsidRPr="00E056F2" w:rsidRDefault="007A5BB8" w:rsidP="0079626B">
            <w:pPr>
              <w:pStyle w:val="ToolTableText"/>
            </w:pPr>
            <w:r>
              <w:t>This is an example of someone who was able to support himself for his entire life because of his blood. If he was</w:t>
            </w:r>
            <w:r w:rsidR="0066558B">
              <w:t xml:space="preserve"> </w:t>
            </w:r>
            <w:r>
              <w:t>n</w:t>
            </w:r>
            <w:r w:rsidR="0066558B">
              <w:t>o</w:t>
            </w:r>
            <w:r>
              <w:t>t allowed to sell his tissue he never would have been able to make so much money a</w:t>
            </w:r>
            <w:r w:rsidR="00521599">
              <w:t>nd this evidence shows that there</w:t>
            </w:r>
            <w:r>
              <w:t xml:space="preserve"> is a lot of money to be made from selling human tissue.</w:t>
            </w:r>
          </w:p>
          <w:p w:rsidR="00E056F2" w:rsidRPr="00E056F2" w:rsidRDefault="00F43207" w:rsidP="0079626B">
            <w:pPr>
              <w:pStyle w:val="ToolTableText"/>
            </w:pPr>
            <w:r>
              <w:t>This example makes a good point about there being a potential for individuals to make a lot of money from their body. But this is not available to everyone and it is also likely that cases are very rare where people could make as much as Slavin from their tissue.</w:t>
            </w:r>
            <w:r w:rsidR="0039650C">
              <w:t xml:space="preserve"> There is the added problem of informed consent</w:t>
            </w:r>
            <w:r w:rsidR="00521599">
              <w:t>:</w:t>
            </w:r>
            <w:r w:rsidR="0039650C">
              <w:t xml:space="preserve"> what is to be done in </w:t>
            </w:r>
            <w:r w:rsidR="00521599">
              <w:t>such cases</w:t>
            </w:r>
            <w:r w:rsidR="0039650C">
              <w:t xml:space="preserve"> as Henrietta Lacks whose family did not have the benefit of the knowledge of the cells or their value? In order to profit as Slavin did it seems that it is even </w:t>
            </w:r>
            <w:r w:rsidR="00521599">
              <w:t>rarer</w:t>
            </w:r>
            <w:r w:rsidR="0039650C">
              <w:t xml:space="preserve"> to be able to not only have tissue of</w:t>
            </w:r>
            <w:r w:rsidR="00521599">
              <w:t xml:space="preserve"> this value but also to know it</w:t>
            </w:r>
            <w:r w:rsidR="0039650C">
              <w:t xml:space="preserve">s value and use it to make a profit. </w:t>
            </w:r>
          </w:p>
        </w:tc>
      </w:tr>
      <w:tr w:rsidR="00093CFC" w:rsidRPr="00D051FD" w:rsidTr="0048514F">
        <w:trPr>
          <w:trHeight w:val="1250"/>
        </w:trPr>
        <w:tc>
          <w:tcPr>
            <w:tcW w:w="9468" w:type="dxa"/>
            <w:gridSpan w:val="3"/>
          </w:tcPr>
          <w:p w:rsidR="00093CFC" w:rsidRDefault="00093CFC" w:rsidP="00661765">
            <w:r>
              <w:t>[Conclusion]</w:t>
            </w:r>
          </w:p>
          <w:p w:rsidR="00093CFC" w:rsidRPr="00D051FD" w:rsidRDefault="00093CFC" w:rsidP="0079626B">
            <w:pPr>
              <w:pStyle w:val="ToolTableText"/>
              <w:rPr>
                <w:b/>
                <w:u w:val="single"/>
              </w:rPr>
            </w:pPr>
            <w:r>
              <w:rPr>
                <w:b/>
              </w:rPr>
              <w:t>Restate Central Claim:</w:t>
            </w:r>
            <w:r>
              <w:t xml:space="preserve"> In order to protect the rights of patients and the privacy and dignity of individual human beings, </w:t>
            </w:r>
            <w:r>
              <w:rPr>
                <w:bCs/>
              </w:rPr>
              <w:t>neither researchers nor</w:t>
            </w:r>
            <w:r w:rsidRPr="00CA7484">
              <w:rPr>
                <w:bCs/>
              </w:rPr>
              <w:t xml:space="preserve"> patients shoul</w:t>
            </w:r>
            <w:r>
              <w:rPr>
                <w:bCs/>
              </w:rPr>
              <w:t xml:space="preserve">d have rights to sell tissue. </w:t>
            </w:r>
          </w:p>
        </w:tc>
      </w:tr>
    </w:tbl>
    <w:p w:rsidR="002539E9" w:rsidRDefault="00093CFC" w:rsidP="002539E9">
      <w:pPr>
        <w:pStyle w:val="FootnoteText"/>
      </w:pPr>
      <w:r w:rsidRPr="002539E9">
        <w:rPr>
          <w:sz w:val="18"/>
        </w:rPr>
        <w:t xml:space="preserve">From Outline Tool, by Odell Education, www.odelleducation.com. </w:t>
      </w:r>
      <w:proofErr w:type="gramStart"/>
      <w:r w:rsidRPr="002539E9">
        <w:rPr>
          <w:sz w:val="18"/>
        </w:rPr>
        <w:t>Copyright</w:t>
      </w:r>
      <w:r w:rsidR="00521599">
        <w:rPr>
          <w:sz w:val="18"/>
        </w:rPr>
        <w:t xml:space="preserve"> (2013</w:t>
      </w:r>
      <w:r w:rsidRPr="002539E9">
        <w:rPr>
          <w:sz w:val="18"/>
        </w:rPr>
        <w:t>) by Odell Education.</w:t>
      </w:r>
      <w:proofErr w:type="gramEnd"/>
      <w:r w:rsidRPr="002539E9">
        <w:rPr>
          <w:sz w:val="18"/>
        </w:rPr>
        <w:t xml:space="preserve"> </w:t>
      </w:r>
      <w:proofErr w:type="gramStart"/>
      <w:r w:rsidRPr="002539E9">
        <w:rPr>
          <w:sz w:val="18"/>
        </w:rPr>
        <w:t xml:space="preserve">Adapted with permission under an Attribution-NonCommercial 3.0 Unported license: </w:t>
      </w:r>
      <w:hyperlink r:id="rId8" w:history="1">
        <w:r w:rsidRPr="002539E9">
          <w:rPr>
            <w:rStyle w:val="Hyperlink"/>
            <w:sz w:val="18"/>
          </w:rPr>
          <w:t>http://creativecommons.org/licenses/by-nc/3.0/</w:t>
        </w:r>
      </w:hyperlink>
      <w:r w:rsidRPr="00D966E0">
        <w:t>.</w:t>
      </w:r>
      <w:proofErr w:type="gramEnd"/>
    </w:p>
    <w:p w:rsidR="00B55E79" w:rsidRPr="002539E9" w:rsidRDefault="00B55E79" w:rsidP="002539E9">
      <w:r>
        <w:br w:type="page"/>
      </w:r>
    </w:p>
    <w:p w:rsidR="000433A2" w:rsidRDefault="0045610B" w:rsidP="000433A2">
      <w:pPr>
        <w:pStyle w:val="ToolHeader"/>
      </w:pPr>
      <w:r>
        <w:t xml:space="preserve">Model </w:t>
      </w:r>
      <w:r w:rsidR="000433A2">
        <w:t>Additional Evidence Tool</w:t>
      </w:r>
    </w:p>
    <w:tbl>
      <w:tblPr>
        <w:tblStyle w:val="TableGrid"/>
        <w:tblW w:w="0" w:type="auto"/>
        <w:tblLook w:val="04A0"/>
      </w:tblPr>
      <w:tblGrid>
        <w:gridCol w:w="820"/>
        <w:gridCol w:w="2786"/>
        <w:gridCol w:w="732"/>
        <w:gridCol w:w="3045"/>
        <w:gridCol w:w="720"/>
        <w:gridCol w:w="1455"/>
      </w:tblGrid>
      <w:tr w:rsidR="000433A2" w:rsidRPr="00707670" w:rsidTr="0048514F">
        <w:trPr>
          <w:trHeight w:val="557"/>
        </w:trPr>
        <w:tc>
          <w:tcPr>
            <w:tcW w:w="820" w:type="dxa"/>
            <w:shd w:val="clear" w:color="auto" w:fill="D9D9D9" w:themeFill="background1" w:themeFillShade="D9"/>
            <w:vAlign w:val="center"/>
          </w:tcPr>
          <w:p w:rsidR="000433A2" w:rsidRPr="00707670" w:rsidRDefault="000433A2" w:rsidP="000433A2">
            <w:pPr>
              <w:pStyle w:val="TableText"/>
              <w:rPr>
                <w:b/>
              </w:rPr>
            </w:pPr>
            <w:r w:rsidRPr="00707670">
              <w:rPr>
                <w:b/>
              </w:rPr>
              <w:t>Name:</w:t>
            </w:r>
          </w:p>
        </w:tc>
        <w:tc>
          <w:tcPr>
            <w:tcW w:w="2786" w:type="dxa"/>
            <w:vAlign w:val="center"/>
          </w:tcPr>
          <w:p w:rsidR="000433A2" w:rsidRPr="00707670" w:rsidRDefault="000433A2" w:rsidP="000433A2">
            <w:pPr>
              <w:pStyle w:val="TableText"/>
              <w:rPr>
                <w:b/>
              </w:rPr>
            </w:pPr>
          </w:p>
        </w:tc>
        <w:tc>
          <w:tcPr>
            <w:tcW w:w="732" w:type="dxa"/>
            <w:shd w:val="clear" w:color="auto" w:fill="D9D9D9" w:themeFill="background1" w:themeFillShade="D9"/>
            <w:vAlign w:val="center"/>
          </w:tcPr>
          <w:p w:rsidR="000433A2" w:rsidRPr="00707670" w:rsidRDefault="000433A2" w:rsidP="000433A2">
            <w:pPr>
              <w:pStyle w:val="TableText"/>
              <w:rPr>
                <w:b/>
              </w:rPr>
            </w:pPr>
            <w:r w:rsidRPr="00707670">
              <w:rPr>
                <w:b/>
              </w:rPr>
              <w:t>Class:</w:t>
            </w:r>
          </w:p>
        </w:tc>
        <w:tc>
          <w:tcPr>
            <w:tcW w:w="3045" w:type="dxa"/>
            <w:vAlign w:val="center"/>
          </w:tcPr>
          <w:p w:rsidR="000433A2" w:rsidRPr="00707670" w:rsidRDefault="000433A2" w:rsidP="000433A2">
            <w:pPr>
              <w:pStyle w:val="TableText"/>
              <w:rPr>
                <w:b/>
              </w:rPr>
            </w:pPr>
          </w:p>
        </w:tc>
        <w:tc>
          <w:tcPr>
            <w:tcW w:w="720" w:type="dxa"/>
            <w:shd w:val="clear" w:color="auto" w:fill="D9D9D9" w:themeFill="background1" w:themeFillShade="D9"/>
            <w:vAlign w:val="center"/>
          </w:tcPr>
          <w:p w:rsidR="000433A2" w:rsidRPr="00707670" w:rsidRDefault="000433A2" w:rsidP="000433A2">
            <w:pPr>
              <w:pStyle w:val="TableText"/>
              <w:rPr>
                <w:b/>
              </w:rPr>
            </w:pPr>
            <w:r w:rsidRPr="00707670">
              <w:rPr>
                <w:b/>
              </w:rPr>
              <w:t>Date:</w:t>
            </w:r>
          </w:p>
        </w:tc>
        <w:tc>
          <w:tcPr>
            <w:tcW w:w="1455" w:type="dxa"/>
            <w:vAlign w:val="center"/>
          </w:tcPr>
          <w:p w:rsidR="000433A2" w:rsidRPr="00707670" w:rsidRDefault="000433A2" w:rsidP="000433A2">
            <w:pPr>
              <w:pStyle w:val="TableText"/>
              <w:rPr>
                <w:b/>
              </w:rPr>
            </w:pPr>
          </w:p>
        </w:tc>
      </w:tr>
    </w:tbl>
    <w:p w:rsidR="000433A2" w:rsidRPr="00646088" w:rsidRDefault="000433A2" w:rsidP="000433A2">
      <w:pPr>
        <w:spacing w:before="0" w:after="0"/>
        <w:rPr>
          <w:sz w:val="10"/>
        </w:rPr>
      </w:pPr>
    </w:p>
    <w:tbl>
      <w:tblPr>
        <w:tblStyle w:val="TableGrid"/>
        <w:tblW w:w="9558" w:type="dxa"/>
        <w:tblLook w:val="04A0"/>
      </w:tblPr>
      <w:tblGrid>
        <w:gridCol w:w="4338"/>
        <w:gridCol w:w="5220"/>
      </w:tblGrid>
      <w:tr w:rsidR="000433A2" w:rsidTr="002539E9">
        <w:trPr>
          <w:trHeight w:val="836"/>
        </w:trPr>
        <w:tc>
          <w:tcPr>
            <w:tcW w:w="9558" w:type="dxa"/>
            <w:gridSpan w:val="2"/>
          </w:tcPr>
          <w:p w:rsidR="000433A2" w:rsidRPr="00954773" w:rsidRDefault="00912258" w:rsidP="0079626B">
            <w:pPr>
              <w:pStyle w:val="ToolTableText"/>
              <w:rPr>
                <w:b/>
              </w:rPr>
            </w:pPr>
            <w:r>
              <w:rPr>
                <w:b/>
              </w:rPr>
              <w:t>Counterc</w:t>
            </w:r>
            <w:r w:rsidRPr="00954773">
              <w:rPr>
                <w:b/>
              </w:rPr>
              <w:t>laim</w:t>
            </w:r>
            <w:r>
              <w:t>:</w:t>
            </w:r>
            <w:r w:rsidR="00976CC5">
              <w:t xml:space="preserve"> </w:t>
            </w:r>
            <w:r w:rsidR="00976CC5" w:rsidRPr="00976CC5">
              <w:t>All tissue should be available for an individual to sell if it does not endanger the individual’s life and would improve his or her financial situation.</w:t>
            </w:r>
          </w:p>
        </w:tc>
      </w:tr>
      <w:tr w:rsidR="000433A2" w:rsidTr="002539E9">
        <w:trPr>
          <w:trHeight w:val="791"/>
        </w:trPr>
        <w:tc>
          <w:tcPr>
            <w:tcW w:w="9558" w:type="dxa"/>
            <w:gridSpan w:val="2"/>
          </w:tcPr>
          <w:p w:rsidR="000433A2" w:rsidRPr="007C0122" w:rsidRDefault="00912258" w:rsidP="0079626B">
            <w:pPr>
              <w:pStyle w:val="ToolTableText"/>
            </w:pPr>
            <w:r w:rsidRPr="0048514F">
              <w:rPr>
                <w:b/>
              </w:rPr>
              <w:t>Source</w:t>
            </w:r>
            <w:r w:rsidRPr="0079626B">
              <w:t>:</w:t>
            </w:r>
            <w:r w:rsidR="007C0122" w:rsidRPr="0079626B">
              <w:t xml:space="preserve"> “</w:t>
            </w:r>
            <w:r w:rsidR="003F3BC0" w:rsidRPr="0079626B">
              <w:t xml:space="preserve">A Court Allows Payment for Bone Marrow. Should People </w:t>
            </w:r>
            <w:r w:rsidR="0079626B">
              <w:t xml:space="preserve">Be Able to Sell Their Parts?” </w:t>
            </w:r>
            <w:r w:rsidR="0079626B">
              <w:br/>
            </w:r>
            <w:r w:rsidR="007C0122" w:rsidRPr="0079626B">
              <w:t xml:space="preserve">Alice Park, </w:t>
            </w:r>
            <w:hyperlink r:id="rId9" w:history="1">
              <w:r w:rsidR="00521599" w:rsidRPr="0079626B">
                <w:rPr>
                  <w:rStyle w:val="Hyperlink"/>
                  <w:color w:val="auto"/>
                  <w:u w:val="none"/>
                </w:rPr>
                <w:t>http://healthland.time.com/2012/07/02/a-court-allows-payment-for-bone-marrow-should-people-be-able-to-sell-their-parts/</w:t>
              </w:r>
            </w:hyperlink>
            <w:r w:rsidR="00521599" w:rsidRPr="0079626B">
              <w:t>.</w:t>
            </w:r>
            <w:r w:rsidR="00521599">
              <w:t xml:space="preserve"> </w:t>
            </w:r>
          </w:p>
        </w:tc>
      </w:tr>
      <w:tr w:rsidR="000433A2" w:rsidTr="002539E9">
        <w:trPr>
          <w:trHeight w:val="7361"/>
        </w:trPr>
        <w:tc>
          <w:tcPr>
            <w:tcW w:w="4338" w:type="dxa"/>
          </w:tcPr>
          <w:p w:rsidR="000433A2" w:rsidRDefault="000433A2" w:rsidP="000433A2">
            <w:r w:rsidRPr="00954773">
              <w:rPr>
                <w:b/>
              </w:rPr>
              <w:t>Evidence:</w:t>
            </w:r>
            <w:r>
              <w:t xml:space="preserve"> </w:t>
            </w:r>
          </w:p>
          <w:p w:rsidR="009A593D" w:rsidRPr="009A593D" w:rsidRDefault="008235CD" w:rsidP="0079626B">
            <w:pPr>
              <w:pStyle w:val="ToolTableText"/>
            </w:pPr>
            <w:r>
              <w:t>“Still, the benefits of compensating people for providing cells like bone marrow</w:t>
            </w:r>
            <w:r w:rsidR="001C6E1A">
              <w:t>—</w:t>
            </w:r>
            <w:r>
              <w:t>which the body replaces and which involv</w:t>
            </w:r>
            <w:r w:rsidR="001C6E1A">
              <w:t>es a relatively safe extraction—</w:t>
            </w:r>
            <w:r>
              <w:t>may be wide-reaching, as Flynn and the plaintiffs argue.</w:t>
            </w:r>
            <w:r w:rsidR="00310219">
              <w:t xml:space="preserve"> ‘</w:t>
            </w:r>
            <w:r>
              <w:t>In some sense, this is a policy experiment, and it could potentially be groundbreaking," says Jeffrey Kahn, professor of bioethics and public policy at the Johns Hopkins</w:t>
            </w:r>
            <w:r w:rsidR="00310219">
              <w:t xml:space="preserve"> Berman Institute of Bioethics.’ </w:t>
            </w:r>
            <w:r>
              <w:t>If we compensate donors who give by apheresis and more people end up receiving [blood-] stem-cell transplants, maybe we should think about this for other kinds of donations."</w:t>
            </w:r>
            <w:r w:rsidR="00521599">
              <w:t xml:space="preserve"> (par. 8)</w:t>
            </w:r>
          </w:p>
        </w:tc>
        <w:tc>
          <w:tcPr>
            <w:tcW w:w="5220" w:type="dxa"/>
          </w:tcPr>
          <w:p w:rsidR="000433A2" w:rsidRPr="004E377B" w:rsidRDefault="00B97591" w:rsidP="000433A2">
            <w:pPr>
              <w:rPr>
                <w:i/>
              </w:rPr>
            </w:pPr>
            <w:r>
              <w:rPr>
                <w:b/>
              </w:rPr>
              <w:t>Reasoning</w:t>
            </w:r>
            <w:r w:rsidR="000433A2" w:rsidRPr="00954773">
              <w:rPr>
                <w:b/>
              </w:rPr>
              <w:t xml:space="preserve">: </w:t>
            </w:r>
            <w:r w:rsidR="000433A2" w:rsidRPr="00954773">
              <w:rPr>
                <w:i/>
              </w:rPr>
              <w:t xml:space="preserve">How does the evidence </w:t>
            </w:r>
            <w:r w:rsidR="00093CFC">
              <w:rPr>
                <w:i/>
              </w:rPr>
              <w:t>provide additional</w:t>
            </w:r>
            <w:r w:rsidR="000433A2">
              <w:rPr>
                <w:i/>
              </w:rPr>
              <w:t xml:space="preserve"> </w:t>
            </w:r>
            <w:r w:rsidR="000433A2" w:rsidRPr="00954773">
              <w:rPr>
                <w:i/>
              </w:rPr>
              <w:t xml:space="preserve">support </w:t>
            </w:r>
            <w:r w:rsidR="00093CFC">
              <w:rPr>
                <w:i/>
              </w:rPr>
              <w:t xml:space="preserve">for </w:t>
            </w:r>
            <w:r w:rsidR="000433A2" w:rsidRPr="00954773">
              <w:rPr>
                <w:i/>
              </w:rPr>
              <w:t xml:space="preserve">your </w:t>
            </w:r>
            <w:r w:rsidR="0029391F">
              <w:rPr>
                <w:i/>
              </w:rPr>
              <w:t>counter</w:t>
            </w:r>
            <w:r w:rsidR="000433A2" w:rsidRPr="00954773">
              <w:rPr>
                <w:i/>
              </w:rPr>
              <w:t>claim?</w:t>
            </w:r>
            <w:r w:rsidR="000433A2" w:rsidRPr="00954773">
              <w:rPr>
                <w:b/>
              </w:rPr>
              <w:t xml:space="preserve"> </w:t>
            </w:r>
            <w:r w:rsidR="004E377B">
              <w:rPr>
                <w:i/>
              </w:rPr>
              <w:t>What are the limitations of the evidence?</w:t>
            </w:r>
          </w:p>
          <w:p w:rsidR="000433A2" w:rsidRDefault="004E377B" w:rsidP="0079626B">
            <w:pPr>
              <w:pStyle w:val="ToolTableText"/>
            </w:pPr>
            <w:r>
              <w:t>This evidence provides additional support for the counterclaim because it references procedures that are already taking place that are safe and compensate individuals for their tissue. If a professor of bioethics thinks that it is a good idea</w:t>
            </w:r>
            <w:r w:rsidR="00FC246A">
              <w:t xml:space="preserve"> to pay for donations, then</w:t>
            </w:r>
            <w:r>
              <w:t xml:space="preserve"> this is a strong piece of evidence to use to support the perspective of the counterclaim. This kind of transaction would benefit those who need donations and those who are giving the donations.</w:t>
            </w:r>
          </w:p>
          <w:p w:rsidR="004E377B" w:rsidRDefault="004E377B" w:rsidP="0079626B">
            <w:pPr>
              <w:pStyle w:val="ToolTableText"/>
            </w:pPr>
          </w:p>
          <w:p w:rsidR="000433A2" w:rsidRDefault="003A0D41" w:rsidP="0079626B">
            <w:pPr>
              <w:pStyle w:val="ToolTableText"/>
            </w:pPr>
            <w:r>
              <w:t xml:space="preserve">Not all </w:t>
            </w:r>
            <w:r w:rsidR="00F428C0">
              <w:t>tissues</w:t>
            </w:r>
            <w:r>
              <w:t xml:space="preserve"> are like bone marrow</w:t>
            </w:r>
            <w:r w:rsidR="00F428C0">
              <w:t>. There could be</w:t>
            </w:r>
            <w:r>
              <w:t xml:space="preserve"> potentially dangerous procedures practiced if compensation is the main reason </w:t>
            </w:r>
            <w:r w:rsidR="00F84776">
              <w:t>individuals are donating tissue.</w:t>
            </w:r>
          </w:p>
        </w:tc>
      </w:tr>
    </w:tbl>
    <w:p w:rsidR="00367AC7" w:rsidRDefault="00367AC7" w:rsidP="002539E9">
      <w:pPr>
        <w:sectPr w:rsidR="00367AC7" w:rsidSect="004713C2">
          <w:headerReference w:type="default" r:id="rId10"/>
          <w:footerReference w:type="even" r:id="rId11"/>
          <w:footerReference w:type="default" r:id="rId12"/>
          <w:pgSz w:w="12240" w:h="15840"/>
          <w:pgMar w:top="1440" w:right="1440" w:bottom="1440" w:left="1440" w:header="432" w:footer="648" w:gutter="0"/>
          <w:cols w:space="720"/>
          <w:docGrid w:linePitch="299"/>
        </w:sectPr>
      </w:pPr>
    </w:p>
    <w:p w:rsidR="002041CD" w:rsidRPr="002539E9" w:rsidRDefault="00367AC7" w:rsidP="002539E9">
      <w:r>
        <w:rPr>
          <w:noProof/>
        </w:rPr>
        <w:drawing>
          <wp:anchor distT="0" distB="0" distL="114300" distR="114300" simplePos="0" relativeHeight="251659264" behindDoc="0" locked="0" layoutInCell="1" allowOverlap="1">
            <wp:simplePos x="0" y="0"/>
            <wp:positionH relativeFrom="column">
              <wp:posOffset>197792</wp:posOffset>
            </wp:positionH>
            <wp:positionV relativeFrom="paragraph">
              <wp:posOffset>-163244</wp:posOffset>
            </wp:positionV>
            <wp:extent cx="9116060" cy="7040880"/>
            <wp:effectExtent l="0" t="0" r="889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2_L11_EBC Criteria Checklist_MJ.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116060" cy="7040880"/>
                    </a:xfrm>
                    <a:prstGeom prst="rect">
                      <a:avLst/>
                    </a:prstGeom>
                  </pic:spPr>
                </pic:pic>
              </a:graphicData>
            </a:graphic>
          </wp:anchor>
        </w:drawing>
      </w:r>
    </w:p>
    <w:sectPr w:rsidR="002041CD" w:rsidRPr="002539E9" w:rsidSect="00367AC7">
      <w:headerReference w:type="default" r:id="rId14"/>
      <w:footerReference w:type="default" r:id="rId15"/>
      <w:pgSz w:w="15840" w:h="12240" w:orient="landscape"/>
      <w:pgMar w:top="432" w:right="432" w:bottom="432" w:left="432"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A10" w:rsidRDefault="00EF5A10" w:rsidP="00E946A0">
      <w:r>
        <w:separator/>
      </w:r>
    </w:p>
    <w:p w:rsidR="00EF5A10" w:rsidRDefault="00EF5A10" w:rsidP="00E946A0"/>
  </w:endnote>
  <w:endnote w:type="continuationSeparator" w:id="0">
    <w:p w:rsidR="00EF5A10" w:rsidRDefault="00EF5A10" w:rsidP="00E946A0">
      <w:r>
        <w:continuationSeparator/>
      </w:r>
    </w:p>
    <w:p w:rsidR="00EF5A10" w:rsidRDefault="00EF5A10" w:rsidP="00E946A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embedRegular r:id="rId1" w:subsetted="1" w:fontKey="{8CDFFE49-1B7D-40D8-9F91-170F2744B783}"/>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embedRegular r:id="rId2" w:subsetted="1" w:fontKey="{7F02BABF-8061-449B-AC3F-C115451AB313}"/>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E1A" w:rsidRDefault="003967FE" w:rsidP="00E946A0">
    <w:pPr>
      <w:pStyle w:val="Footer"/>
      <w:rPr>
        <w:rStyle w:val="PageNumber"/>
        <w:rFonts w:ascii="Calibri" w:hAnsi="Calibri"/>
        <w:sz w:val="22"/>
      </w:rPr>
    </w:pPr>
    <w:r>
      <w:rPr>
        <w:rStyle w:val="PageNumber"/>
      </w:rPr>
      <w:fldChar w:fldCharType="begin"/>
    </w:r>
    <w:r w:rsidR="001C6E1A">
      <w:rPr>
        <w:rStyle w:val="PageNumber"/>
      </w:rPr>
      <w:instrText xml:space="preserve">PAGE  </w:instrText>
    </w:r>
    <w:r>
      <w:rPr>
        <w:rStyle w:val="PageNumber"/>
      </w:rPr>
      <w:fldChar w:fldCharType="end"/>
    </w:r>
  </w:p>
  <w:p w:rsidR="001C6E1A" w:rsidRDefault="001C6E1A" w:rsidP="00E946A0">
    <w:pPr>
      <w:pStyle w:val="Footer"/>
    </w:pPr>
  </w:p>
  <w:p w:rsidR="001C6E1A" w:rsidRDefault="001C6E1A" w:rsidP="00E946A0"/>
  <w:p w:rsidR="001C6E1A" w:rsidRDefault="001C6E1A"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4C" w:rsidRPr="00563CB8" w:rsidRDefault="0078334C" w:rsidP="0078334C">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78334C" w:rsidTr="00E23D81">
      <w:trPr>
        <w:trHeight w:val="705"/>
      </w:trPr>
      <w:tc>
        <w:tcPr>
          <w:tcW w:w="4609" w:type="dxa"/>
          <w:shd w:val="clear" w:color="auto" w:fill="auto"/>
          <w:vAlign w:val="center"/>
        </w:tcPr>
        <w:p w:rsidR="0078334C" w:rsidRPr="002E4C92" w:rsidRDefault="0078334C" w:rsidP="0078334C">
          <w:pPr>
            <w:pStyle w:val="FooterText"/>
          </w:pPr>
          <w:r w:rsidRPr="002E4C92">
            <w:t>File:</w:t>
          </w:r>
          <w:r w:rsidRPr="0039525B">
            <w:rPr>
              <w:b w:val="0"/>
            </w:rPr>
            <w:t xml:space="preserve"> </w:t>
          </w:r>
          <w:r>
            <w:rPr>
              <w:b w:val="0"/>
            </w:rPr>
            <w:t>10.3.3</w:t>
          </w:r>
          <w:r w:rsidRPr="0039525B">
            <w:rPr>
              <w:b w:val="0"/>
            </w:rPr>
            <w:t xml:space="preserve"> Lesson </w:t>
          </w:r>
          <w:r>
            <w:rPr>
              <w:b w:val="0"/>
            </w:rPr>
            <w:t>1</w:t>
          </w:r>
          <w:r w:rsidRPr="002E4C92">
            <w:t xml:space="preserve"> Date:</w:t>
          </w:r>
          <w:r>
            <w:rPr>
              <w:b w:val="0"/>
            </w:rPr>
            <w:t xml:space="preserve"> 4</w:t>
          </w:r>
          <w:r w:rsidRPr="0039525B">
            <w:rPr>
              <w:b w:val="0"/>
            </w:rPr>
            <w:t>/</w:t>
          </w:r>
          <w:r w:rsidR="008B2DF0">
            <w:rPr>
              <w:b w:val="0"/>
            </w:rPr>
            <w:t>18</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4</w:t>
          </w:r>
          <w:r w:rsidRPr="0039525B">
            <w:rPr>
              <w:b w:val="0"/>
            </w:rPr>
            <w:t>/201</w:t>
          </w:r>
          <w:r>
            <w:rPr>
              <w:b w:val="0"/>
            </w:rPr>
            <w:t>4</w:t>
          </w:r>
          <w:r w:rsidRPr="0039525B">
            <w:rPr>
              <w:b w:val="0"/>
            </w:rPr>
            <w:t xml:space="preserve"> </w:t>
          </w:r>
        </w:p>
        <w:p w:rsidR="0078334C" w:rsidRPr="0039525B" w:rsidRDefault="0078334C" w:rsidP="0078334C">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rsidR="0078334C" w:rsidRPr="0039525B" w:rsidRDefault="0078334C" w:rsidP="0078334C">
          <w:pPr>
            <w:pStyle w:val="FooterText"/>
            <w:rPr>
              <w:b w:val="0"/>
              <w:i/>
            </w:rPr>
          </w:pPr>
          <w:r w:rsidRPr="0039525B">
            <w:rPr>
              <w:b w:val="0"/>
              <w:i/>
              <w:sz w:val="12"/>
            </w:rPr>
            <w:t>Creative Commons Attribution-NonCommercial-ShareAlike 3.0 Unported License</w:t>
          </w:r>
        </w:p>
        <w:p w:rsidR="0078334C" w:rsidRPr="002E4C92" w:rsidRDefault="003967FE" w:rsidP="0078334C">
          <w:pPr>
            <w:pStyle w:val="FooterText"/>
          </w:pPr>
          <w:hyperlink r:id="rId1" w:history="1">
            <w:r w:rsidR="0078334C"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78334C" w:rsidRPr="002E4C92" w:rsidRDefault="003967FE" w:rsidP="0078334C">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78334C"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F855A5">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78334C" w:rsidRPr="002E4C92" w:rsidRDefault="0078334C" w:rsidP="0078334C">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78334C" w:rsidRDefault="0078334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334C" w:rsidRDefault="007833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A10" w:rsidRDefault="00EF5A10" w:rsidP="00E946A0">
      <w:r>
        <w:separator/>
      </w:r>
    </w:p>
    <w:p w:rsidR="00EF5A10" w:rsidRDefault="00EF5A10" w:rsidP="00E946A0"/>
  </w:footnote>
  <w:footnote w:type="continuationSeparator" w:id="0">
    <w:p w:rsidR="00EF5A10" w:rsidRDefault="00EF5A10" w:rsidP="00E946A0">
      <w:r>
        <w:continuationSeparator/>
      </w:r>
    </w:p>
    <w:p w:rsidR="00EF5A10" w:rsidRDefault="00EF5A10"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1C6E1A" w:rsidRPr="00563CB8">
      <w:tc>
        <w:tcPr>
          <w:tcW w:w="3708" w:type="dxa"/>
          <w:shd w:val="clear" w:color="auto" w:fill="auto"/>
        </w:tcPr>
        <w:p w:rsidR="001C6E1A" w:rsidRPr="00563CB8" w:rsidRDefault="001C6E1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1C6E1A" w:rsidRPr="00563CB8" w:rsidRDefault="001C6E1A" w:rsidP="00E946A0">
          <w:pPr>
            <w:jc w:val="center"/>
          </w:pPr>
          <w:r w:rsidRPr="00563CB8">
            <w:t>D R A F T</w:t>
          </w:r>
        </w:p>
      </w:tc>
      <w:tc>
        <w:tcPr>
          <w:tcW w:w="3438" w:type="dxa"/>
          <w:shd w:val="clear" w:color="auto" w:fill="auto"/>
        </w:tcPr>
        <w:p w:rsidR="001C6E1A" w:rsidRPr="00E946A0" w:rsidRDefault="001C6E1A" w:rsidP="00E946A0">
          <w:pPr>
            <w:pStyle w:val="PageHeader"/>
            <w:jc w:val="right"/>
            <w:rPr>
              <w:b w:val="0"/>
            </w:rPr>
          </w:pPr>
          <w:r>
            <w:rPr>
              <w:b w:val="0"/>
            </w:rPr>
            <w:t>Grade 10 • Module 3</w:t>
          </w:r>
          <w:r w:rsidRPr="00E946A0">
            <w:rPr>
              <w:b w:val="0"/>
            </w:rPr>
            <w:t xml:space="preserve"> • Unit </w:t>
          </w:r>
          <w:r>
            <w:rPr>
              <w:b w:val="0"/>
            </w:rPr>
            <w:t>3 • Lesson 2</w:t>
          </w:r>
        </w:p>
      </w:tc>
    </w:tr>
  </w:tbl>
  <w:p w:rsidR="001C6E1A" w:rsidRDefault="001C6E1A" w:rsidP="00E946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AC7" w:rsidRPr="00367AC7" w:rsidRDefault="00367AC7" w:rsidP="00367A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756"/>
    <w:multiLevelType w:val="hybridMultilevel"/>
    <w:tmpl w:val="42A4F5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3">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B34FA9"/>
    <w:multiLevelType w:val="hybridMultilevel"/>
    <w:tmpl w:val="079E7E3C"/>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B1732A"/>
    <w:multiLevelType w:val="hybridMultilevel"/>
    <w:tmpl w:val="172C5FC6"/>
    <w:lvl w:ilvl="0" w:tplc="C4F21A94">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18"/>
  </w:num>
  <w:num w:numId="2">
    <w:abstractNumId w:val="3"/>
  </w:num>
  <w:num w:numId="3">
    <w:abstractNumId w:val="2"/>
  </w:num>
  <w:num w:numId="4">
    <w:abstractNumId w:val="9"/>
    <w:lvlOverride w:ilvl="0">
      <w:startOverride w:val="1"/>
    </w:lvlOverride>
  </w:num>
  <w:num w:numId="5">
    <w:abstractNumId w:val="8"/>
  </w:num>
  <w:num w:numId="6">
    <w:abstractNumId w:val="8"/>
  </w:num>
  <w:num w:numId="7">
    <w:abstractNumId w:val="8"/>
    <w:lvlOverride w:ilvl="0">
      <w:startOverride w:val="1"/>
    </w:lvlOverride>
  </w:num>
  <w:num w:numId="8">
    <w:abstractNumId w:val="9"/>
  </w:num>
  <w:num w:numId="9">
    <w:abstractNumId w:val="9"/>
    <w:lvlOverride w:ilvl="0">
      <w:startOverride w:val="1"/>
    </w:lvlOverride>
  </w:num>
  <w:num w:numId="10">
    <w:abstractNumId w:val="8"/>
    <w:lvlOverride w:ilvl="0">
      <w:startOverride w:val="1"/>
    </w:lvlOverride>
  </w:num>
  <w:num w:numId="11">
    <w:abstractNumId w:val="1"/>
  </w:num>
  <w:num w:numId="12">
    <w:abstractNumId w:val="28"/>
  </w:num>
  <w:num w:numId="13">
    <w:abstractNumId w:val="8"/>
    <w:lvlOverride w:ilvl="0">
      <w:startOverride w:val="1"/>
    </w:lvlOverride>
  </w:num>
  <w:num w:numId="14">
    <w:abstractNumId w:val="7"/>
  </w:num>
  <w:num w:numId="15">
    <w:abstractNumId w:val="4"/>
  </w:num>
  <w:num w:numId="16">
    <w:abstractNumId w:val="23"/>
  </w:num>
  <w:num w:numId="17">
    <w:abstractNumId w:val="14"/>
  </w:num>
  <w:num w:numId="18">
    <w:abstractNumId w:val="15"/>
  </w:num>
  <w:num w:numId="19">
    <w:abstractNumId w:val="12"/>
  </w:num>
  <w:num w:numId="20">
    <w:abstractNumId w:val="5"/>
  </w:num>
  <w:num w:numId="21">
    <w:abstractNumId w:val="9"/>
    <w:lvlOverride w:ilvl="0">
      <w:startOverride w:val="1"/>
    </w:lvlOverride>
  </w:num>
  <w:num w:numId="22">
    <w:abstractNumId w:val="2"/>
    <w:lvlOverride w:ilvl="0">
      <w:startOverride w:val="1"/>
    </w:lvlOverride>
  </w:num>
  <w:num w:numId="23">
    <w:abstractNumId w:val="25"/>
  </w:num>
  <w:num w:numId="24">
    <w:abstractNumId w:val="6"/>
  </w:num>
  <w:num w:numId="25">
    <w:abstractNumId w:val="22"/>
  </w:num>
  <w:num w:numId="26">
    <w:abstractNumId w:val="16"/>
  </w:num>
  <w:num w:numId="27">
    <w:abstractNumId w:val="3"/>
    <w:lvlOverride w:ilvl="0">
      <w:startOverride w:val="1"/>
    </w:lvlOverride>
  </w:num>
  <w:num w:numId="28">
    <w:abstractNumId w:val="19"/>
  </w:num>
  <w:num w:numId="29">
    <w:abstractNumId w:val="11"/>
  </w:num>
  <w:num w:numId="30">
    <w:abstractNumId w:val="17"/>
  </w:num>
  <w:num w:numId="31">
    <w:abstractNumId w:val="27"/>
  </w:num>
  <w:num w:numId="32">
    <w:abstractNumId w:val="20"/>
  </w:num>
  <w:num w:numId="33">
    <w:abstractNumId w:val="24"/>
  </w:num>
  <w:num w:numId="34">
    <w:abstractNumId w:val="9"/>
    <w:lvlOverride w:ilvl="0">
      <w:startOverride w:val="1"/>
    </w:lvlOverride>
  </w:num>
  <w:num w:numId="35">
    <w:abstractNumId w:val="21"/>
  </w:num>
  <w:num w:numId="36">
    <w:abstractNumId w:val="10"/>
  </w:num>
  <w:num w:numId="37">
    <w:abstractNumId w:val="13"/>
  </w:num>
  <w:num w:numId="38">
    <w:abstractNumId w:val="26"/>
  </w:num>
  <w:num w:numId="39">
    <w:abstractNumId w:val="0"/>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TrueTypeFonts/>
  <w:embedSystemFonts/>
  <w:saveSubsetFonts/>
  <w:proofState w:grammar="clean"/>
  <w:stylePaneFormatFilter w:val="1001"/>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7CBA"/>
    <w:rsid w:val="00007F67"/>
    <w:rsid w:val="00011E99"/>
    <w:rsid w:val="000134DA"/>
    <w:rsid w:val="000137C5"/>
    <w:rsid w:val="00014D5D"/>
    <w:rsid w:val="00020527"/>
    <w:rsid w:val="00021589"/>
    <w:rsid w:val="00021DC5"/>
    <w:rsid w:val="0002335F"/>
    <w:rsid w:val="00034778"/>
    <w:rsid w:val="00035C9E"/>
    <w:rsid w:val="00035E3C"/>
    <w:rsid w:val="000433A2"/>
    <w:rsid w:val="00044012"/>
    <w:rsid w:val="00053088"/>
    <w:rsid w:val="00062291"/>
    <w:rsid w:val="0006233C"/>
    <w:rsid w:val="00064850"/>
    <w:rsid w:val="00066123"/>
    <w:rsid w:val="00067088"/>
    <w:rsid w:val="0006776C"/>
    <w:rsid w:val="00070708"/>
    <w:rsid w:val="000713DB"/>
    <w:rsid w:val="00071936"/>
    <w:rsid w:val="00072749"/>
    <w:rsid w:val="000742AA"/>
    <w:rsid w:val="00075649"/>
    <w:rsid w:val="00080A8A"/>
    <w:rsid w:val="000848B2"/>
    <w:rsid w:val="00086A06"/>
    <w:rsid w:val="00086EF9"/>
    <w:rsid w:val="00090200"/>
    <w:rsid w:val="00092730"/>
    <w:rsid w:val="00092C82"/>
    <w:rsid w:val="00093747"/>
    <w:rsid w:val="00093CFC"/>
    <w:rsid w:val="00095BBA"/>
    <w:rsid w:val="00096A06"/>
    <w:rsid w:val="000A1206"/>
    <w:rsid w:val="000A26A7"/>
    <w:rsid w:val="000A3640"/>
    <w:rsid w:val="000B1882"/>
    <w:rsid w:val="000B2D56"/>
    <w:rsid w:val="000B3015"/>
    <w:rsid w:val="000B3836"/>
    <w:rsid w:val="000B6EA7"/>
    <w:rsid w:val="000C0112"/>
    <w:rsid w:val="000C169A"/>
    <w:rsid w:val="000C4439"/>
    <w:rsid w:val="000C4813"/>
    <w:rsid w:val="000C5656"/>
    <w:rsid w:val="000C5893"/>
    <w:rsid w:val="000D0F3D"/>
    <w:rsid w:val="000D0FAE"/>
    <w:rsid w:val="000D3499"/>
    <w:rsid w:val="000E0B69"/>
    <w:rsid w:val="000E4DBA"/>
    <w:rsid w:val="000F192C"/>
    <w:rsid w:val="000F2414"/>
    <w:rsid w:val="000F3CD6"/>
    <w:rsid w:val="000F5B71"/>
    <w:rsid w:val="000F7D35"/>
    <w:rsid w:val="000F7F56"/>
    <w:rsid w:val="0010235F"/>
    <w:rsid w:val="00110A04"/>
    <w:rsid w:val="00111A39"/>
    <w:rsid w:val="00113501"/>
    <w:rsid w:val="001159C2"/>
    <w:rsid w:val="0011637C"/>
    <w:rsid w:val="001215F2"/>
    <w:rsid w:val="00121C27"/>
    <w:rsid w:val="001258FD"/>
    <w:rsid w:val="00125AC9"/>
    <w:rsid w:val="00133528"/>
    <w:rsid w:val="001352AE"/>
    <w:rsid w:val="001362D4"/>
    <w:rsid w:val="00140413"/>
    <w:rsid w:val="001422D4"/>
    <w:rsid w:val="001509EC"/>
    <w:rsid w:val="0015118C"/>
    <w:rsid w:val="00156124"/>
    <w:rsid w:val="001622D8"/>
    <w:rsid w:val="001639D8"/>
    <w:rsid w:val="001657A6"/>
    <w:rsid w:val="001677F7"/>
    <w:rsid w:val="001708C2"/>
    <w:rsid w:val="001723D5"/>
    <w:rsid w:val="00173EA0"/>
    <w:rsid w:val="00175B00"/>
    <w:rsid w:val="0018630D"/>
    <w:rsid w:val="00186355"/>
    <w:rsid w:val="001864E6"/>
    <w:rsid w:val="00186FDA"/>
    <w:rsid w:val="0018762C"/>
    <w:rsid w:val="001945FA"/>
    <w:rsid w:val="00194F1D"/>
    <w:rsid w:val="001A5133"/>
    <w:rsid w:val="001B038E"/>
    <w:rsid w:val="001B04E0"/>
    <w:rsid w:val="001B0794"/>
    <w:rsid w:val="001B10D7"/>
    <w:rsid w:val="001B1487"/>
    <w:rsid w:val="001C1C99"/>
    <w:rsid w:val="001C35E3"/>
    <w:rsid w:val="001C5188"/>
    <w:rsid w:val="001C6B70"/>
    <w:rsid w:val="001C6E1A"/>
    <w:rsid w:val="001D047B"/>
    <w:rsid w:val="001D0518"/>
    <w:rsid w:val="001D0FEE"/>
    <w:rsid w:val="001D641A"/>
    <w:rsid w:val="001D7411"/>
    <w:rsid w:val="001E189E"/>
    <w:rsid w:val="001F0991"/>
    <w:rsid w:val="001F6C4F"/>
    <w:rsid w:val="002009F7"/>
    <w:rsid w:val="0020138A"/>
    <w:rsid w:val="002041CD"/>
    <w:rsid w:val="00206C8D"/>
    <w:rsid w:val="00207C8B"/>
    <w:rsid w:val="0021765B"/>
    <w:rsid w:val="00221ABD"/>
    <w:rsid w:val="00224590"/>
    <w:rsid w:val="002306FF"/>
    <w:rsid w:val="00231919"/>
    <w:rsid w:val="002325B6"/>
    <w:rsid w:val="00235FFF"/>
    <w:rsid w:val="00240FF7"/>
    <w:rsid w:val="0024557C"/>
    <w:rsid w:val="00245B86"/>
    <w:rsid w:val="002516D4"/>
    <w:rsid w:val="00251A7C"/>
    <w:rsid w:val="00251DAB"/>
    <w:rsid w:val="00252656"/>
    <w:rsid w:val="00252D78"/>
    <w:rsid w:val="002539E9"/>
    <w:rsid w:val="002619B1"/>
    <w:rsid w:val="002635F4"/>
    <w:rsid w:val="00263AF5"/>
    <w:rsid w:val="002661A8"/>
    <w:rsid w:val="002748DB"/>
    <w:rsid w:val="00274FEB"/>
    <w:rsid w:val="00276DB9"/>
    <w:rsid w:val="0028184C"/>
    <w:rsid w:val="00284B9E"/>
    <w:rsid w:val="00284FC0"/>
    <w:rsid w:val="00290F88"/>
    <w:rsid w:val="0029391F"/>
    <w:rsid w:val="00294F2D"/>
    <w:rsid w:val="0029527C"/>
    <w:rsid w:val="00297DC5"/>
    <w:rsid w:val="002A1ABB"/>
    <w:rsid w:val="002A21DE"/>
    <w:rsid w:val="002A3831"/>
    <w:rsid w:val="002A5337"/>
    <w:rsid w:val="002C0245"/>
    <w:rsid w:val="002C02FB"/>
    <w:rsid w:val="002C40EB"/>
    <w:rsid w:val="002C5F0D"/>
    <w:rsid w:val="002D5EB9"/>
    <w:rsid w:val="002D632F"/>
    <w:rsid w:val="002E27AE"/>
    <w:rsid w:val="002E2AD6"/>
    <w:rsid w:val="002E4C92"/>
    <w:rsid w:val="002F03D2"/>
    <w:rsid w:val="002F1F06"/>
    <w:rsid w:val="002F3D65"/>
    <w:rsid w:val="0030245C"/>
    <w:rsid w:val="003067BF"/>
    <w:rsid w:val="00310219"/>
    <w:rsid w:val="00311E81"/>
    <w:rsid w:val="00317306"/>
    <w:rsid w:val="00317739"/>
    <w:rsid w:val="003201AC"/>
    <w:rsid w:val="0032239A"/>
    <w:rsid w:val="00324E2A"/>
    <w:rsid w:val="00335168"/>
    <w:rsid w:val="003368BF"/>
    <w:rsid w:val="003440A9"/>
    <w:rsid w:val="00347761"/>
    <w:rsid w:val="00347DD9"/>
    <w:rsid w:val="00350B03"/>
    <w:rsid w:val="00351804"/>
    <w:rsid w:val="00351F18"/>
    <w:rsid w:val="00352361"/>
    <w:rsid w:val="00353081"/>
    <w:rsid w:val="00355B9E"/>
    <w:rsid w:val="00356656"/>
    <w:rsid w:val="00362010"/>
    <w:rsid w:val="00364CD8"/>
    <w:rsid w:val="003668EF"/>
    <w:rsid w:val="00367AC7"/>
    <w:rsid w:val="00370C53"/>
    <w:rsid w:val="00372441"/>
    <w:rsid w:val="0037258B"/>
    <w:rsid w:val="00374C35"/>
    <w:rsid w:val="00376DBB"/>
    <w:rsid w:val="003822E1"/>
    <w:rsid w:val="003826B0"/>
    <w:rsid w:val="0038382F"/>
    <w:rsid w:val="00383A2A"/>
    <w:rsid w:val="003840D9"/>
    <w:rsid w:val="003851B2"/>
    <w:rsid w:val="003854D3"/>
    <w:rsid w:val="0038635E"/>
    <w:rsid w:val="003908D2"/>
    <w:rsid w:val="003924D0"/>
    <w:rsid w:val="00393B54"/>
    <w:rsid w:val="0039469E"/>
    <w:rsid w:val="0039525B"/>
    <w:rsid w:val="0039650C"/>
    <w:rsid w:val="003967FE"/>
    <w:rsid w:val="003A0D41"/>
    <w:rsid w:val="003A30B1"/>
    <w:rsid w:val="003A3AB0"/>
    <w:rsid w:val="003A5834"/>
    <w:rsid w:val="003A6785"/>
    <w:rsid w:val="003B3DB9"/>
    <w:rsid w:val="003B7708"/>
    <w:rsid w:val="003C2022"/>
    <w:rsid w:val="003C24AD"/>
    <w:rsid w:val="003D2601"/>
    <w:rsid w:val="003D27E3"/>
    <w:rsid w:val="003D28E6"/>
    <w:rsid w:val="003D7469"/>
    <w:rsid w:val="003E2C04"/>
    <w:rsid w:val="003E3757"/>
    <w:rsid w:val="003E693A"/>
    <w:rsid w:val="003F2240"/>
    <w:rsid w:val="003F2833"/>
    <w:rsid w:val="003F3BC0"/>
    <w:rsid w:val="003F3D65"/>
    <w:rsid w:val="003F71D4"/>
    <w:rsid w:val="00402633"/>
    <w:rsid w:val="00405198"/>
    <w:rsid w:val="00412A7D"/>
    <w:rsid w:val="004179FD"/>
    <w:rsid w:val="00421157"/>
    <w:rsid w:val="0042474E"/>
    <w:rsid w:val="00425E32"/>
    <w:rsid w:val="00426214"/>
    <w:rsid w:val="00432D7F"/>
    <w:rsid w:val="00434CA3"/>
    <w:rsid w:val="00436909"/>
    <w:rsid w:val="00437FD0"/>
    <w:rsid w:val="004402AC"/>
    <w:rsid w:val="004403EE"/>
    <w:rsid w:val="00440948"/>
    <w:rsid w:val="00443110"/>
    <w:rsid w:val="0044462C"/>
    <w:rsid w:val="004452D5"/>
    <w:rsid w:val="00446AFD"/>
    <w:rsid w:val="004528AF"/>
    <w:rsid w:val="00452E40"/>
    <w:rsid w:val="004536D7"/>
    <w:rsid w:val="00453BB8"/>
    <w:rsid w:val="00455FC4"/>
    <w:rsid w:val="0045610B"/>
    <w:rsid w:val="00456F88"/>
    <w:rsid w:val="0045725F"/>
    <w:rsid w:val="00457425"/>
    <w:rsid w:val="00457F98"/>
    <w:rsid w:val="00470544"/>
    <w:rsid w:val="00470E93"/>
    <w:rsid w:val="004713C2"/>
    <w:rsid w:val="00472F34"/>
    <w:rsid w:val="004743A2"/>
    <w:rsid w:val="0047469B"/>
    <w:rsid w:val="00477B3D"/>
    <w:rsid w:val="00481679"/>
    <w:rsid w:val="00482C15"/>
    <w:rsid w:val="004838D9"/>
    <w:rsid w:val="00484822"/>
    <w:rsid w:val="0048514F"/>
    <w:rsid w:val="00485D55"/>
    <w:rsid w:val="0049409E"/>
    <w:rsid w:val="004A3F30"/>
    <w:rsid w:val="004B22B8"/>
    <w:rsid w:val="004B3E41"/>
    <w:rsid w:val="004B552B"/>
    <w:rsid w:val="004B5E22"/>
    <w:rsid w:val="004B6F45"/>
    <w:rsid w:val="004B7C07"/>
    <w:rsid w:val="004C602D"/>
    <w:rsid w:val="004C6CD8"/>
    <w:rsid w:val="004D2E40"/>
    <w:rsid w:val="004D487C"/>
    <w:rsid w:val="004D5473"/>
    <w:rsid w:val="004D7029"/>
    <w:rsid w:val="004E1B0E"/>
    <w:rsid w:val="004E377B"/>
    <w:rsid w:val="004E5428"/>
    <w:rsid w:val="004F2363"/>
    <w:rsid w:val="004F2969"/>
    <w:rsid w:val="004F353F"/>
    <w:rsid w:val="004F41A3"/>
    <w:rsid w:val="004F62CF"/>
    <w:rsid w:val="004F65DA"/>
    <w:rsid w:val="00501BE3"/>
    <w:rsid w:val="00502FAD"/>
    <w:rsid w:val="00507DF5"/>
    <w:rsid w:val="00510606"/>
    <w:rsid w:val="005121D2"/>
    <w:rsid w:val="00513C73"/>
    <w:rsid w:val="00513E84"/>
    <w:rsid w:val="00517918"/>
    <w:rsid w:val="00521599"/>
    <w:rsid w:val="00522916"/>
    <w:rsid w:val="0052385B"/>
    <w:rsid w:val="0052413A"/>
    <w:rsid w:val="0052748A"/>
    <w:rsid w:val="0052769A"/>
    <w:rsid w:val="00527DE8"/>
    <w:rsid w:val="005324A5"/>
    <w:rsid w:val="00533F10"/>
    <w:rsid w:val="00541A6A"/>
    <w:rsid w:val="00542523"/>
    <w:rsid w:val="00546D71"/>
    <w:rsid w:val="0054791C"/>
    <w:rsid w:val="0055340D"/>
    <w:rsid w:val="0055385D"/>
    <w:rsid w:val="00553ACA"/>
    <w:rsid w:val="00555481"/>
    <w:rsid w:val="00561640"/>
    <w:rsid w:val="00563CB8"/>
    <w:rsid w:val="00563DC9"/>
    <w:rsid w:val="005641F5"/>
    <w:rsid w:val="005651D4"/>
    <w:rsid w:val="00565871"/>
    <w:rsid w:val="00567E85"/>
    <w:rsid w:val="00570901"/>
    <w:rsid w:val="005712B2"/>
    <w:rsid w:val="00576E4A"/>
    <w:rsid w:val="005772DE"/>
    <w:rsid w:val="00581401"/>
    <w:rsid w:val="005837C5"/>
    <w:rsid w:val="00583FF7"/>
    <w:rsid w:val="00585771"/>
    <w:rsid w:val="00585A0D"/>
    <w:rsid w:val="005875D8"/>
    <w:rsid w:val="00592D68"/>
    <w:rsid w:val="00593697"/>
    <w:rsid w:val="00595905"/>
    <w:rsid w:val="005960E3"/>
    <w:rsid w:val="005A10A3"/>
    <w:rsid w:val="005A7968"/>
    <w:rsid w:val="005B22B2"/>
    <w:rsid w:val="005B3D78"/>
    <w:rsid w:val="005B423C"/>
    <w:rsid w:val="005B5CDF"/>
    <w:rsid w:val="005B7E6E"/>
    <w:rsid w:val="005C4572"/>
    <w:rsid w:val="005C7B5F"/>
    <w:rsid w:val="005D7C72"/>
    <w:rsid w:val="005E2E87"/>
    <w:rsid w:val="005F147C"/>
    <w:rsid w:val="005F5D35"/>
    <w:rsid w:val="005F657A"/>
    <w:rsid w:val="00603970"/>
    <w:rsid w:val="006044CD"/>
    <w:rsid w:val="00607856"/>
    <w:rsid w:val="006124D5"/>
    <w:rsid w:val="00620AFE"/>
    <w:rsid w:val="00622552"/>
    <w:rsid w:val="0062277B"/>
    <w:rsid w:val="006261E1"/>
    <w:rsid w:val="00626E4A"/>
    <w:rsid w:val="0063653C"/>
    <w:rsid w:val="006375AF"/>
    <w:rsid w:val="00641DC5"/>
    <w:rsid w:val="00643550"/>
    <w:rsid w:val="00644540"/>
    <w:rsid w:val="0064499E"/>
    <w:rsid w:val="00644C07"/>
    <w:rsid w:val="00645C3F"/>
    <w:rsid w:val="00646088"/>
    <w:rsid w:val="00651092"/>
    <w:rsid w:val="00653ABB"/>
    <w:rsid w:val="00657D7E"/>
    <w:rsid w:val="00661765"/>
    <w:rsid w:val="0066211A"/>
    <w:rsid w:val="00663A00"/>
    <w:rsid w:val="0066558B"/>
    <w:rsid w:val="006661AE"/>
    <w:rsid w:val="0066632C"/>
    <w:rsid w:val="006667A3"/>
    <w:rsid w:val="006748AF"/>
    <w:rsid w:val="00676B6B"/>
    <w:rsid w:val="0068018C"/>
    <w:rsid w:val="00684179"/>
    <w:rsid w:val="0069202E"/>
    <w:rsid w:val="0069247E"/>
    <w:rsid w:val="00696173"/>
    <w:rsid w:val="006A09D6"/>
    <w:rsid w:val="006A3594"/>
    <w:rsid w:val="006A619D"/>
    <w:rsid w:val="006B0965"/>
    <w:rsid w:val="006B61DD"/>
    <w:rsid w:val="006B6294"/>
    <w:rsid w:val="006B7CCB"/>
    <w:rsid w:val="006C5464"/>
    <w:rsid w:val="006D5208"/>
    <w:rsid w:val="006D7347"/>
    <w:rsid w:val="006E35E6"/>
    <w:rsid w:val="006E4C84"/>
    <w:rsid w:val="006E7A67"/>
    <w:rsid w:val="006E7D3C"/>
    <w:rsid w:val="006F3BD7"/>
    <w:rsid w:val="00706F7A"/>
    <w:rsid w:val="0070723C"/>
    <w:rsid w:val="00707670"/>
    <w:rsid w:val="0071568E"/>
    <w:rsid w:val="0072068C"/>
    <w:rsid w:val="0072440D"/>
    <w:rsid w:val="00724760"/>
    <w:rsid w:val="00730123"/>
    <w:rsid w:val="0073192F"/>
    <w:rsid w:val="00733C74"/>
    <w:rsid w:val="00737EE7"/>
    <w:rsid w:val="00741955"/>
    <w:rsid w:val="0074477A"/>
    <w:rsid w:val="007623AE"/>
    <w:rsid w:val="0076269D"/>
    <w:rsid w:val="00766336"/>
    <w:rsid w:val="0076658E"/>
    <w:rsid w:val="00767641"/>
    <w:rsid w:val="00770F21"/>
    <w:rsid w:val="00772135"/>
    <w:rsid w:val="00772FCA"/>
    <w:rsid w:val="0077398D"/>
    <w:rsid w:val="0078334C"/>
    <w:rsid w:val="0079626B"/>
    <w:rsid w:val="00796D57"/>
    <w:rsid w:val="00797281"/>
    <w:rsid w:val="007977E1"/>
    <w:rsid w:val="007A5BB8"/>
    <w:rsid w:val="007B0EDD"/>
    <w:rsid w:val="007B72A0"/>
    <w:rsid w:val="007B764B"/>
    <w:rsid w:val="007C0122"/>
    <w:rsid w:val="007C0547"/>
    <w:rsid w:val="007C14C1"/>
    <w:rsid w:val="007C7DB0"/>
    <w:rsid w:val="007D1715"/>
    <w:rsid w:val="007D2F12"/>
    <w:rsid w:val="007E30CA"/>
    <w:rsid w:val="007E463A"/>
    <w:rsid w:val="007E4E86"/>
    <w:rsid w:val="007E7665"/>
    <w:rsid w:val="007F76FC"/>
    <w:rsid w:val="00804C62"/>
    <w:rsid w:val="00805271"/>
    <w:rsid w:val="00807C6B"/>
    <w:rsid w:val="008139A0"/>
    <w:rsid w:val="008151E5"/>
    <w:rsid w:val="00820EF9"/>
    <w:rsid w:val="0082210F"/>
    <w:rsid w:val="008228CD"/>
    <w:rsid w:val="008235CD"/>
    <w:rsid w:val="008261D2"/>
    <w:rsid w:val="00831B4C"/>
    <w:rsid w:val="008336BE"/>
    <w:rsid w:val="00835462"/>
    <w:rsid w:val="00835495"/>
    <w:rsid w:val="00841A75"/>
    <w:rsid w:val="008434A6"/>
    <w:rsid w:val="0084358E"/>
    <w:rsid w:val="00847A03"/>
    <w:rsid w:val="00850CE6"/>
    <w:rsid w:val="00853CF3"/>
    <w:rsid w:val="008567CD"/>
    <w:rsid w:val="008572B2"/>
    <w:rsid w:val="00860A88"/>
    <w:rsid w:val="00864A80"/>
    <w:rsid w:val="00872393"/>
    <w:rsid w:val="008732CC"/>
    <w:rsid w:val="00874AF4"/>
    <w:rsid w:val="00875D0A"/>
    <w:rsid w:val="00876632"/>
    <w:rsid w:val="008777D8"/>
    <w:rsid w:val="00880AAD"/>
    <w:rsid w:val="00883761"/>
    <w:rsid w:val="00884AB6"/>
    <w:rsid w:val="00885B52"/>
    <w:rsid w:val="008907FE"/>
    <w:rsid w:val="00893930"/>
    <w:rsid w:val="00893A85"/>
    <w:rsid w:val="00895B85"/>
    <w:rsid w:val="00897E18"/>
    <w:rsid w:val="008A0F55"/>
    <w:rsid w:val="008A1774"/>
    <w:rsid w:val="008A2DA8"/>
    <w:rsid w:val="008A5010"/>
    <w:rsid w:val="008A7263"/>
    <w:rsid w:val="008B1311"/>
    <w:rsid w:val="008B2DF0"/>
    <w:rsid w:val="008B31CC"/>
    <w:rsid w:val="008B456C"/>
    <w:rsid w:val="008B5DE1"/>
    <w:rsid w:val="008B74F7"/>
    <w:rsid w:val="008C1826"/>
    <w:rsid w:val="008C64B2"/>
    <w:rsid w:val="008C74B4"/>
    <w:rsid w:val="008C7679"/>
    <w:rsid w:val="008D031E"/>
    <w:rsid w:val="008D0396"/>
    <w:rsid w:val="008D3566"/>
    <w:rsid w:val="008D3BC0"/>
    <w:rsid w:val="008D5D6B"/>
    <w:rsid w:val="008E2674"/>
    <w:rsid w:val="008F1F85"/>
    <w:rsid w:val="008F43EF"/>
    <w:rsid w:val="009000C9"/>
    <w:rsid w:val="00903656"/>
    <w:rsid w:val="009062ED"/>
    <w:rsid w:val="0090775D"/>
    <w:rsid w:val="00910D8E"/>
    <w:rsid w:val="00912258"/>
    <w:rsid w:val="009135A8"/>
    <w:rsid w:val="0091722D"/>
    <w:rsid w:val="00922E34"/>
    <w:rsid w:val="0092693F"/>
    <w:rsid w:val="00933100"/>
    <w:rsid w:val="009403AD"/>
    <w:rsid w:val="0094277B"/>
    <w:rsid w:val="00943326"/>
    <w:rsid w:val="0094759F"/>
    <w:rsid w:val="00947E73"/>
    <w:rsid w:val="009556E8"/>
    <w:rsid w:val="0096199D"/>
    <w:rsid w:val="00962802"/>
    <w:rsid w:val="009636A0"/>
    <w:rsid w:val="00963CDE"/>
    <w:rsid w:val="00966D72"/>
    <w:rsid w:val="00967386"/>
    <w:rsid w:val="00967678"/>
    <w:rsid w:val="0097223B"/>
    <w:rsid w:val="009732BA"/>
    <w:rsid w:val="00976CC5"/>
    <w:rsid w:val="0098148A"/>
    <w:rsid w:val="009859E7"/>
    <w:rsid w:val="009910E7"/>
    <w:rsid w:val="009924AE"/>
    <w:rsid w:val="00996751"/>
    <w:rsid w:val="009A0390"/>
    <w:rsid w:val="009A3159"/>
    <w:rsid w:val="009A593D"/>
    <w:rsid w:val="009B0F30"/>
    <w:rsid w:val="009B12D0"/>
    <w:rsid w:val="009B14FE"/>
    <w:rsid w:val="009B4FE2"/>
    <w:rsid w:val="009B7417"/>
    <w:rsid w:val="009B7C85"/>
    <w:rsid w:val="009C0391"/>
    <w:rsid w:val="009C1A61"/>
    <w:rsid w:val="009C2014"/>
    <w:rsid w:val="009C3C09"/>
    <w:rsid w:val="009D0B7A"/>
    <w:rsid w:val="009D12CD"/>
    <w:rsid w:val="009D2572"/>
    <w:rsid w:val="009E05C6"/>
    <w:rsid w:val="009E07D2"/>
    <w:rsid w:val="009E734D"/>
    <w:rsid w:val="009E7DB3"/>
    <w:rsid w:val="009F31D9"/>
    <w:rsid w:val="009F3652"/>
    <w:rsid w:val="00A0163A"/>
    <w:rsid w:val="00A05EA7"/>
    <w:rsid w:val="00A07A4E"/>
    <w:rsid w:val="00A119BF"/>
    <w:rsid w:val="00A129A0"/>
    <w:rsid w:val="00A14F0A"/>
    <w:rsid w:val="00A2208C"/>
    <w:rsid w:val="00A24DAB"/>
    <w:rsid w:val="00A253EA"/>
    <w:rsid w:val="00A270FA"/>
    <w:rsid w:val="00A32E00"/>
    <w:rsid w:val="00A403A4"/>
    <w:rsid w:val="00A4462B"/>
    <w:rsid w:val="00A4688B"/>
    <w:rsid w:val="00A47FDF"/>
    <w:rsid w:val="00A65FF8"/>
    <w:rsid w:val="00A75116"/>
    <w:rsid w:val="00A75F67"/>
    <w:rsid w:val="00A77308"/>
    <w:rsid w:val="00A908AC"/>
    <w:rsid w:val="00A948B3"/>
    <w:rsid w:val="00A95E92"/>
    <w:rsid w:val="00A968CA"/>
    <w:rsid w:val="00AA0831"/>
    <w:rsid w:val="00AA1DC0"/>
    <w:rsid w:val="00AA5F43"/>
    <w:rsid w:val="00AB4DDB"/>
    <w:rsid w:val="00AB7C83"/>
    <w:rsid w:val="00AC0BAC"/>
    <w:rsid w:val="00AC1DE5"/>
    <w:rsid w:val="00AC1F67"/>
    <w:rsid w:val="00AC2AB4"/>
    <w:rsid w:val="00AC6562"/>
    <w:rsid w:val="00AD26BF"/>
    <w:rsid w:val="00AD2E2E"/>
    <w:rsid w:val="00AD440D"/>
    <w:rsid w:val="00AE01CA"/>
    <w:rsid w:val="00AE14E2"/>
    <w:rsid w:val="00AE3076"/>
    <w:rsid w:val="00AF1F26"/>
    <w:rsid w:val="00AF3526"/>
    <w:rsid w:val="00AF5A63"/>
    <w:rsid w:val="00AF67CC"/>
    <w:rsid w:val="00B00346"/>
    <w:rsid w:val="00B01708"/>
    <w:rsid w:val="00B044E7"/>
    <w:rsid w:val="00B06BF7"/>
    <w:rsid w:val="00B10BF2"/>
    <w:rsid w:val="00B1409A"/>
    <w:rsid w:val="00B15418"/>
    <w:rsid w:val="00B205E1"/>
    <w:rsid w:val="00B20B90"/>
    <w:rsid w:val="00B231AA"/>
    <w:rsid w:val="00B23AD5"/>
    <w:rsid w:val="00B27639"/>
    <w:rsid w:val="00B30BF5"/>
    <w:rsid w:val="00B31BA2"/>
    <w:rsid w:val="00B46C45"/>
    <w:rsid w:val="00B500DE"/>
    <w:rsid w:val="00B51BA7"/>
    <w:rsid w:val="00B5282C"/>
    <w:rsid w:val="00B55E79"/>
    <w:rsid w:val="00B57A9F"/>
    <w:rsid w:val="00B6092B"/>
    <w:rsid w:val="00B66DB7"/>
    <w:rsid w:val="00B670E4"/>
    <w:rsid w:val="00B71188"/>
    <w:rsid w:val="00B7194E"/>
    <w:rsid w:val="00B75489"/>
    <w:rsid w:val="00B76D5E"/>
    <w:rsid w:val="00B80621"/>
    <w:rsid w:val="00B83F06"/>
    <w:rsid w:val="00B94134"/>
    <w:rsid w:val="00B97591"/>
    <w:rsid w:val="00BA15C4"/>
    <w:rsid w:val="00BA4142"/>
    <w:rsid w:val="00BA4548"/>
    <w:rsid w:val="00BA46CB"/>
    <w:rsid w:val="00BA536E"/>
    <w:rsid w:val="00BA5F50"/>
    <w:rsid w:val="00BA6CB2"/>
    <w:rsid w:val="00BA6E05"/>
    <w:rsid w:val="00BA7D7C"/>
    <w:rsid w:val="00BA7F1C"/>
    <w:rsid w:val="00BB27BA"/>
    <w:rsid w:val="00BB3487"/>
    <w:rsid w:val="00BB459A"/>
    <w:rsid w:val="00BB4709"/>
    <w:rsid w:val="00BC1873"/>
    <w:rsid w:val="00BC3880"/>
    <w:rsid w:val="00BC4ADE"/>
    <w:rsid w:val="00BC54A9"/>
    <w:rsid w:val="00BC55AA"/>
    <w:rsid w:val="00BD28C9"/>
    <w:rsid w:val="00BD7AD4"/>
    <w:rsid w:val="00BD7B6F"/>
    <w:rsid w:val="00BE4EBD"/>
    <w:rsid w:val="00BE5AAE"/>
    <w:rsid w:val="00BE6EFE"/>
    <w:rsid w:val="00BF6DF5"/>
    <w:rsid w:val="00C02E3C"/>
    <w:rsid w:val="00C02E75"/>
    <w:rsid w:val="00C02EC2"/>
    <w:rsid w:val="00C07D88"/>
    <w:rsid w:val="00C151B9"/>
    <w:rsid w:val="00C17AF0"/>
    <w:rsid w:val="00C208EA"/>
    <w:rsid w:val="00C2283A"/>
    <w:rsid w:val="00C252EF"/>
    <w:rsid w:val="00C25C43"/>
    <w:rsid w:val="00C27E34"/>
    <w:rsid w:val="00C34470"/>
    <w:rsid w:val="00C34B83"/>
    <w:rsid w:val="00C35B4A"/>
    <w:rsid w:val="00C419B4"/>
    <w:rsid w:val="00C424C5"/>
    <w:rsid w:val="00C42C58"/>
    <w:rsid w:val="00C441BE"/>
    <w:rsid w:val="00C4439B"/>
    <w:rsid w:val="00C4787C"/>
    <w:rsid w:val="00C47A11"/>
    <w:rsid w:val="00C5015B"/>
    <w:rsid w:val="00C512D6"/>
    <w:rsid w:val="00C52A04"/>
    <w:rsid w:val="00C52FD6"/>
    <w:rsid w:val="00C672A0"/>
    <w:rsid w:val="00C7162F"/>
    <w:rsid w:val="00C729E1"/>
    <w:rsid w:val="00C745E1"/>
    <w:rsid w:val="00C7489A"/>
    <w:rsid w:val="00C80912"/>
    <w:rsid w:val="00C920BB"/>
    <w:rsid w:val="00C9359E"/>
    <w:rsid w:val="00C94AC5"/>
    <w:rsid w:val="00C9623A"/>
    <w:rsid w:val="00CA53F8"/>
    <w:rsid w:val="00CA6CC7"/>
    <w:rsid w:val="00CB4795"/>
    <w:rsid w:val="00CC0211"/>
    <w:rsid w:val="00CC1BF8"/>
    <w:rsid w:val="00CC2982"/>
    <w:rsid w:val="00CC3C40"/>
    <w:rsid w:val="00CC5966"/>
    <w:rsid w:val="00CC605E"/>
    <w:rsid w:val="00CC6E60"/>
    <w:rsid w:val="00CD1398"/>
    <w:rsid w:val="00CD1A34"/>
    <w:rsid w:val="00CD3A81"/>
    <w:rsid w:val="00CD4793"/>
    <w:rsid w:val="00CD61D0"/>
    <w:rsid w:val="00CD7B76"/>
    <w:rsid w:val="00CE0D9A"/>
    <w:rsid w:val="00CE2836"/>
    <w:rsid w:val="00CE5BEA"/>
    <w:rsid w:val="00CE6C54"/>
    <w:rsid w:val="00CF08C2"/>
    <w:rsid w:val="00CF2582"/>
    <w:rsid w:val="00CF2986"/>
    <w:rsid w:val="00CF401C"/>
    <w:rsid w:val="00CF498D"/>
    <w:rsid w:val="00D031FA"/>
    <w:rsid w:val="00D066C5"/>
    <w:rsid w:val="00D1086C"/>
    <w:rsid w:val="00D22B12"/>
    <w:rsid w:val="00D2326D"/>
    <w:rsid w:val="00D257AC"/>
    <w:rsid w:val="00D3179C"/>
    <w:rsid w:val="00D31C4D"/>
    <w:rsid w:val="00D32F52"/>
    <w:rsid w:val="00D3492E"/>
    <w:rsid w:val="00D36C11"/>
    <w:rsid w:val="00D374A9"/>
    <w:rsid w:val="00D41B54"/>
    <w:rsid w:val="00D4259D"/>
    <w:rsid w:val="00D44710"/>
    <w:rsid w:val="00D4700C"/>
    <w:rsid w:val="00D479EE"/>
    <w:rsid w:val="00D50EB7"/>
    <w:rsid w:val="00D5175F"/>
    <w:rsid w:val="00D52801"/>
    <w:rsid w:val="00D5676B"/>
    <w:rsid w:val="00D57066"/>
    <w:rsid w:val="00D64BBE"/>
    <w:rsid w:val="00D773D0"/>
    <w:rsid w:val="00D920A6"/>
    <w:rsid w:val="00D9328F"/>
    <w:rsid w:val="00D94FAB"/>
    <w:rsid w:val="00D95A65"/>
    <w:rsid w:val="00DA030E"/>
    <w:rsid w:val="00DB102B"/>
    <w:rsid w:val="00DB34C3"/>
    <w:rsid w:val="00DB3C98"/>
    <w:rsid w:val="00DB6C2A"/>
    <w:rsid w:val="00DC0419"/>
    <w:rsid w:val="00DC0591"/>
    <w:rsid w:val="00DC6DF2"/>
    <w:rsid w:val="00DC7604"/>
    <w:rsid w:val="00DD207B"/>
    <w:rsid w:val="00DD6609"/>
    <w:rsid w:val="00DD6BA0"/>
    <w:rsid w:val="00DD77A9"/>
    <w:rsid w:val="00DE6856"/>
    <w:rsid w:val="00DF2242"/>
    <w:rsid w:val="00DF32B8"/>
    <w:rsid w:val="00DF3D1C"/>
    <w:rsid w:val="00DF5111"/>
    <w:rsid w:val="00E01DE5"/>
    <w:rsid w:val="00E0286B"/>
    <w:rsid w:val="00E02E47"/>
    <w:rsid w:val="00E030AA"/>
    <w:rsid w:val="00E04E52"/>
    <w:rsid w:val="00E056F2"/>
    <w:rsid w:val="00E10843"/>
    <w:rsid w:val="00E16070"/>
    <w:rsid w:val="00E1673B"/>
    <w:rsid w:val="00E173B3"/>
    <w:rsid w:val="00E17E4A"/>
    <w:rsid w:val="00E20C4D"/>
    <w:rsid w:val="00E223DA"/>
    <w:rsid w:val="00E22A24"/>
    <w:rsid w:val="00E259B9"/>
    <w:rsid w:val="00E26A26"/>
    <w:rsid w:val="00E31D9D"/>
    <w:rsid w:val="00E3245A"/>
    <w:rsid w:val="00E45753"/>
    <w:rsid w:val="00E46711"/>
    <w:rsid w:val="00E53E91"/>
    <w:rsid w:val="00E560AD"/>
    <w:rsid w:val="00E56C25"/>
    <w:rsid w:val="00E6036C"/>
    <w:rsid w:val="00E60525"/>
    <w:rsid w:val="00E618D5"/>
    <w:rsid w:val="00E63363"/>
    <w:rsid w:val="00E657DC"/>
    <w:rsid w:val="00E6588C"/>
    <w:rsid w:val="00E65C14"/>
    <w:rsid w:val="00E7403A"/>
    <w:rsid w:val="00E75011"/>
    <w:rsid w:val="00E7559A"/>
    <w:rsid w:val="00E7754E"/>
    <w:rsid w:val="00E816E3"/>
    <w:rsid w:val="00E9190E"/>
    <w:rsid w:val="00E93803"/>
    <w:rsid w:val="00E946A0"/>
    <w:rsid w:val="00E9749C"/>
    <w:rsid w:val="00EA0C17"/>
    <w:rsid w:val="00EA2EB5"/>
    <w:rsid w:val="00EA3693"/>
    <w:rsid w:val="00EA44C5"/>
    <w:rsid w:val="00EA74B5"/>
    <w:rsid w:val="00EB4655"/>
    <w:rsid w:val="00EB4AAC"/>
    <w:rsid w:val="00EB6D24"/>
    <w:rsid w:val="00EB782B"/>
    <w:rsid w:val="00EC15E4"/>
    <w:rsid w:val="00EC1E30"/>
    <w:rsid w:val="00EC238E"/>
    <w:rsid w:val="00EC3F22"/>
    <w:rsid w:val="00ED0044"/>
    <w:rsid w:val="00ED34EC"/>
    <w:rsid w:val="00ED3854"/>
    <w:rsid w:val="00ED491F"/>
    <w:rsid w:val="00EE360E"/>
    <w:rsid w:val="00EE5F60"/>
    <w:rsid w:val="00EE66B9"/>
    <w:rsid w:val="00EF12C5"/>
    <w:rsid w:val="00EF5A10"/>
    <w:rsid w:val="00F0141F"/>
    <w:rsid w:val="00F07B41"/>
    <w:rsid w:val="00F10E78"/>
    <w:rsid w:val="00F10E87"/>
    <w:rsid w:val="00F12958"/>
    <w:rsid w:val="00F143C7"/>
    <w:rsid w:val="00F21CD9"/>
    <w:rsid w:val="00F2646A"/>
    <w:rsid w:val="00F308FF"/>
    <w:rsid w:val="00F355C2"/>
    <w:rsid w:val="00F36D38"/>
    <w:rsid w:val="00F37F20"/>
    <w:rsid w:val="00F41D88"/>
    <w:rsid w:val="00F428C0"/>
    <w:rsid w:val="00F43207"/>
    <w:rsid w:val="00F43401"/>
    <w:rsid w:val="00F43553"/>
    <w:rsid w:val="00F4386A"/>
    <w:rsid w:val="00F44637"/>
    <w:rsid w:val="00F4480D"/>
    <w:rsid w:val="00F457A9"/>
    <w:rsid w:val="00F52488"/>
    <w:rsid w:val="00F544D9"/>
    <w:rsid w:val="00F55F78"/>
    <w:rsid w:val="00F60C57"/>
    <w:rsid w:val="00F64807"/>
    <w:rsid w:val="00F6568B"/>
    <w:rsid w:val="00F706F3"/>
    <w:rsid w:val="00F814D5"/>
    <w:rsid w:val="00F84776"/>
    <w:rsid w:val="00F855A5"/>
    <w:rsid w:val="00F87643"/>
    <w:rsid w:val="00F87B84"/>
    <w:rsid w:val="00F92CB6"/>
    <w:rsid w:val="00F92D0F"/>
    <w:rsid w:val="00F93111"/>
    <w:rsid w:val="00F942C8"/>
    <w:rsid w:val="00FA0A05"/>
    <w:rsid w:val="00FA3204"/>
    <w:rsid w:val="00FA3976"/>
    <w:rsid w:val="00FB2878"/>
    <w:rsid w:val="00FB2DC0"/>
    <w:rsid w:val="00FB75ED"/>
    <w:rsid w:val="00FC246A"/>
    <w:rsid w:val="00FC349F"/>
    <w:rsid w:val="00FC3F32"/>
    <w:rsid w:val="00FC714C"/>
    <w:rsid w:val="00FD275D"/>
    <w:rsid w:val="00FD3DCB"/>
    <w:rsid w:val="00FD6A91"/>
    <w:rsid w:val="00FE06D2"/>
    <w:rsid w:val="00FE12D4"/>
    <w:rsid w:val="00FE28A3"/>
    <w:rsid w:val="00FE2A44"/>
    <w:rsid w:val="00FE662D"/>
    <w:rsid w:val="00FF02DE"/>
    <w:rsid w:val="00FF1FA1"/>
    <w:rsid w:val="00FF3C43"/>
    <w:rsid w:val="00FF70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unhideWhenUsed/>
    <w:rsid w:val="007D1715"/>
    <w:rPr>
      <w:sz w:val="20"/>
    </w:rPr>
  </w:style>
  <w:style w:type="character" w:customStyle="1" w:styleId="FootnoteTextChar">
    <w:name w:val="Footnote Text Char"/>
    <w:basedOn w:val="DefaultParagraphFont"/>
    <w:link w:val="FootnoteText"/>
    <w:uiPriority w:val="99"/>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CE2836"/>
    <w:rPr>
      <w:rFonts w:asciiTheme="minorHAnsi" w:eastAsia="Times New Roman" w:hAnsiTheme="minorHAns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basedOn w:val="DefaultParagraphFont"/>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064850"/>
    <w:pPr>
      <w:numPr>
        <w:numId w:val="1"/>
      </w:numPr>
      <w:spacing w:before="60" w:after="60" w:line="276" w:lineRule="auto"/>
      <w:ind w:left="317" w:hanging="317"/>
    </w:pPr>
    <w:rPr>
      <w:sz w:val="22"/>
      <w:szCs w:val="22"/>
    </w:rPr>
  </w:style>
  <w:style w:type="character" w:customStyle="1" w:styleId="INChar">
    <w:name w:val="*IN* Char"/>
    <w:basedOn w:val="DefaultParagraphFont"/>
    <w:link w:val="IN"/>
    <w:rsid w:val="00207C8B"/>
    <w:rPr>
      <w:color w:val="4F81BD" w:themeColor="accent1"/>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themeColor="background1"/>
    </w:rPr>
  </w:style>
  <w:style w:type="character" w:customStyle="1" w:styleId="NumberedListChar">
    <w:name w:val="*Numbered List Char"/>
    <w:basedOn w:val="BulletedList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basedOn w:val="DefaultParagraphFont"/>
    <w:link w:val="TableHeaders"/>
    <w:rsid w:val="00B00346"/>
    <w:rPr>
      <w:b/>
      <w:color w:val="FFFFFF" w:themeColor="background1"/>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basedOn w:val="BodyTextChar"/>
    <w:link w:val="PageHeader"/>
    <w:rsid w:val="00E946A0"/>
    <w:rPr>
      <w:rFonts w:cs="Calibri"/>
      <w:b/>
      <w:sz w:val="18"/>
      <w:szCs w:val="22"/>
    </w:rPr>
  </w:style>
  <w:style w:type="character" w:customStyle="1" w:styleId="QChar">
    <w:name w:val="*Q* Char"/>
    <w:basedOn w:val="ListParagraph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207C8B"/>
    <w:rPr>
      <w:rFonts w:eastAsia="Times New Roman"/>
      <w:sz w:val="22"/>
      <w:szCs w:val="22"/>
    </w:rPr>
  </w:style>
  <w:style w:type="character" w:customStyle="1" w:styleId="INBulletChar">
    <w:name w:val="*IN* Bullet Char"/>
    <w:basedOn w:val="BulletedListChar"/>
    <w:link w:val="INBullet"/>
    <w:rsid w:val="00356656"/>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F21CD9"/>
    <w:pPr>
      <w:numPr>
        <w:numId w:val="33"/>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basedOn w:val="ListParagraphChar"/>
    <w:link w:val="SA"/>
    <w:rsid w:val="00F21CD9"/>
    <w:rPr>
      <w:rFonts w:eastAsia="Times New Roman"/>
      <w:sz w:val="22"/>
      <w:szCs w:val="22"/>
    </w:rPr>
  </w:style>
  <w:style w:type="character" w:customStyle="1" w:styleId="SRChar">
    <w:name w:val="*SR* Char"/>
    <w:basedOn w:val="ListParagraphChar"/>
    <w:link w:val="SR"/>
    <w:rsid w:val="00F21CD9"/>
    <w:rPr>
      <w:rFonts w:eastAsia="Times New Roman"/>
      <w:sz w:val="22"/>
      <w:szCs w:val="22"/>
    </w:rPr>
  </w:style>
  <w:style w:type="paragraph" w:customStyle="1" w:styleId="BR">
    <w:name w:val="*BR*"/>
    <w:link w:val="BRChar"/>
    <w:qFormat/>
    <w:rsid w:val="00EA3693"/>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basedOn w:val="DefaultParagraphFont"/>
    <w:link w:val="BR"/>
    <w:rsid w:val="00EA3693"/>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basedOn w:val="DefaultParagraphFont"/>
    <w:link w:val="TableText"/>
    <w:rsid w:val="008151E5"/>
    <w:rPr>
      <w:sz w:val="22"/>
      <w:szCs w:val="22"/>
    </w:rPr>
  </w:style>
  <w:style w:type="paragraph" w:customStyle="1" w:styleId="ToolHeader">
    <w:name w:val="*ToolHeader"/>
    <w:qFormat/>
    <w:rsid w:val="00F55F78"/>
    <w:pPr>
      <w:spacing w:after="120"/>
    </w:pPr>
    <w:rPr>
      <w:rFonts w:asciiTheme="minorHAnsi" w:hAnsiTheme="minorHAnsi"/>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Theme="majorHAnsi" w:hAnsiTheme="majorHAnsi"/>
      <w:b/>
      <w:smallCaps/>
      <w:sz w:val="32"/>
    </w:rPr>
  </w:style>
  <w:style w:type="paragraph" w:customStyle="1" w:styleId="ExcerptAuthor">
    <w:name w:val="*ExcerptAuthor"/>
    <w:basedOn w:val="Normal"/>
    <w:link w:val="ExcerptAuthorChar"/>
    <w:qFormat/>
    <w:rsid w:val="00DC7604"/>
    <w:pPr>
      <w:jc w:val="center"/>
    </w:pPr>
    <w:rPr>
      <w:rFonts w:asciiTheme="majorHAnsi" w:hAnsiTheme="majorHAnsi"/>
      <w:b/>
    </w:rPr>
  </w:style>
  <w:style w:type="character" w:customStyle="1" w:styleId="ExcerptTitleChar">
    <w:name w:val="*ExcerptTitle Char"/>
    <w:basedOn w:val="DefaultParagraphFont"/>
    <w:link w:val="ExcerptTitle"/>
    <w:rsid w:val="00DC7604"/>
    <w:rPr>
      <w:rFonts w:asciiTheme="majorHAnsi" w:hAnsiTheme="majorHAnsi"/>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DC7604"/>
    <w:rPr>
      <w:rFonts w:asciiTheme="majorHAnsi" w:hAnsiTheme="majorHAnsi"/>
      <w:b/>
      <w:sz w:val="22"/>
      <w:szCs w:val="22"/>
    </w:rPr>
  </w:style>
  <w:style w:type="character" w:customStyle="1" w:styleId="ExcerptBodyChar">
    <w:name w:val="*ExcerptBody Char"/>
    <w:basedOn w:val="DefaultParagraphFont"/>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basedOn w:val="TableTextChar"/>
    <w:link w:val="SubStandard"/>
    <w:rsid w:val="00CF498D"/>
    <w:rPr>
      <w:sz w:val="22"/>
      <w:szCs w:val="22"/>
    </w:rPr>
  </w:style>
  <w:style w:type="paragraph" w:styleId="Revision">
    <w:name w:val="Revision"/>
    <w:hidden/>
    <w:uiPriority w:val="71"/>
    <w:rsid w:val="001622D8"/>
    <w:rPr>
      <w:sz w:val="22"/>
      <w:szCs w:val="22"/>
    </w:rPr>
  </w:style>
  <w:style w:type="paragraph" w:styleId="DocumentMap">
    <w:name w:val="Document Map"/>
    <w:basedOn w:val="Normal"/>
    <w:link w:val="DocumentMapChar"/>
    <w:uiPriority w:val="99"/>
    <w:semiHidden/>
    <w:unhideWhenUsed/>
    <w:rsid w:val="00C34470"/>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C34470"/>
    <w:rPr>
      <w:rFonts w:ascii="Lucida Grande" w:hAnsi="Lucida Grande" w:cs="Lucida Grande"/>
      <w:sz w:val="24"/>
      <w:szCs w:val="24"/>
    </w:rPr>
  </w:style>
</w:styles>
</file>

<file path=word/webSettings.xml><?xml version="1.0" encoding="utf-8"?>
<w:webSettings xmlns:r="http://schemas.openxmlformats.org/officeDocument/2006/relationships" xmlns:w="http://schemas.openxmlformats.org/wordprocessingml/2006/main">
  <w:divs>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668338408">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16259190">
      <w:bodyDiv w:val="1"/>
      <w:marLeft w:val="0"/>
      <w:marRight w:val="0"/>
      <w:marTop w:val="0"/>
      <w:marBottom w:val="0"/>
      <w:divBdr>
        <w:top w:val="none" w:sz="0" w:space="0" w:color="auto"/>
        <w:left w:val="none" w:sz="0" w:space="0" w:color="auto"/>
        <w:bottom w:val="none" w:sz="0" w:space="0" w:color="auto"/>
        <w:right w:val="none" w:sz="0" w:space="0" w:color="auto"/>
      </w:divBdr>
    </w:div>
    <w:div w:id="995567633">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ealthland.time.com/2012/07/02/a-court-allows-payment-for-bone-marrow-should-people-be-able-to-sell-their-parts/"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2D835-7E1A-47B4-9A41-7A969BBE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3586</Words>
  <Characters>20441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23980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2014-04-09T21:09:00Z</cp:lastPrinted>
  <dcterms:created xsi:type="dcterms:W3CDTF">2014-04-17T18:39:00Z</dcterms:created>
  <dcterms:modified xsi:type="dcterms:W3CDTF">2014-04-17T18:39:00Z</dcterms:modified>
</cp:coreProperties>
</file>