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DB0BC9" w:rsidP="00B231AA">
            <w:pPr>
              <w:pStyle w:val="Header-banner"/>
              <w:rPr>
                <w:rFonts w:asciiTheme="minorHAnsi" w:hAnsiTheme="minorHAnsi"/>
              </w:rPr>
            </w:pPr>
            <w:r>
              <w:rPr>
                <w:rFonts w:asciiTheme="minorHAnsi" w:hAnsiTheme="minorHAnsi"/>
              </w:rPr>
              <w:t>10.3.2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DB0BC9">
              <w:rPr>
                <w:rFonts w:asciiTheme="minorHAnsi" w:hAnsiTheme="minorHAnsi"/>
              </w:rPr>
              <w:t>13</w:t>
            </w:r>
          </w:p>
        </w:tc>
      </w:tr>
    </w:tbl>
    <w:p w:rsidR="005C4572" w:rsidRDefault="00C4787C" w:rsidP="00E946A0">
      <w:pPr>
        <w:pStyle w:val="Heading1"/>
      </w:pPr>
      <w:r w:rsidRPr="00263AF5">
        <w:t>Introduction</w:t>
      </w:r>
    </w:p>
    <w:p w:rsidR="00DB0BC9" w:rsidRPr="00CD399A" w:rsidRDefault="00CD399A" w:rsidP="00DB0BC9">
      <w:r w:rsidRPr="00CD399A">
        <w:t>In this final lesson of the unit, the End-of-Unit Assessment</w:t>
      </w:r>
      <w:r w:rsidR="006A14D6">
        <w:t>,</w:t>
      </w:r>
      <w:r w:rsidRPr="00CD399A">
        <w:t xml:space="preserve"> </w:t>
      </w:r>
      <w:r w:rsidR="00DB0BC9" w:rsidRPr="00CD399A">
        <w:t>students complete a final review of the Research Portfolio and writ</w:t>
      </w:r>
      <w:r>
        <w:t>e</w:t>
      </w:r>
      <w:r w:rsidR="00DB0BC9" w:rsidRPr="00CD399A">
        <w:t xml:space="preserve"> an Evidence-Based </w:t>
      </w:r>
      <w:r w:rsidR="00083C0E">
        <w:t>Perspective</w:t>
      </w:r>
      <w:r w:rsidRPr="00CD399A">
        <w:t xml:space="preserve"> </w:t>
      </w:r>
      <w:r>
        <w:t>that synthesi</w:t>
      </w:r>
      <w:r w:rsidR="006A14D6">
        <w:t xml:space="preserve">zes </w:t>
      </w:r>
      <w:r>
        <w:t xml:space="preserve">the evidence collection and research work </w:t>
      </w:r>
      <w:r w:rsidR="00CC48FD">
        <w:t>completed</w:t>
      </w:r>
      <w:r>
        <w:t xml:space="preserve"> in this unit</w:t>
      </w:r>
      <w:r w:rsidR="00DB0BC9" w:rsidRPr="00CD399A">
        <w:t>.</w:t>
      </w:r>
      <w:r>
        <w:t xml:space="preserve"> </w:t>
      </w:r>
      <w:r w:rsidRPr="00CD399A">
        <w:t>This lesson asks students to apply standards</w:t>
      </w:r>
      <w:r>
        <w:t xml:space="preserve"> </w:t>
      </w:r>
      <w:r w:rsidRPr="00CD399A">
        <w:t>W.9</w:t>
      </w:r>
      <w:r>
        <w:t>-10.7 and W.9-10.9 as they craft a short re</w:t>
      </w:r>
      <w:r w:rsidR="006A14D6">
        <w:t xml:space="preserve">sponse that displays understanding of their </w:t>
      </w:r>
      <w:r w:rsidR="00E323FE">
        <w:t xml:space="preserve">problem-based question </w:t>
      </w:r>
      <w:r w:rsidR="006A14D6">
        <w:t>as well as their ability to draw evidence from the</w:t>
      </w:r>
      <w:r w:rsidR="00E323FE">
        <w:t>ir sources</w:t>
      </w:r>
      <w:r w:rsidR="006A14D6">
        <w:t xml:space="preserve"> to support research</w:t>
      </w:r>
      <w:r w:rsidR="00E323FE">
        <w:t xml:space="preserve"> analysis</w:t>
      </w:r>
      <w:r w:rsidR="006A14D6">
        <w:t>.</w:t>
      </w:r>
    </w:p>
    <w:p w:rsidR="00DB0BC9" w:rsidRPr="00CD399A" w:rsidRDefault="00DB0BC9" w:rsidP="00DB0BC9">
      <w:r w:rsidRPr="00CD399A">
        <w:t>Students begin the lesson by finalizing the Research Portfolio for assessment purposes. Students review all of the Organizing Evidence-Based Claims Tools from the previous lesson</w:t>
      </w:r>
      <w:r w:rsidR="00860F46">
        <w:t>s</w:t>
      </w:r>
      <w:r w:rsidRPr="00CD399A">
        <w:t xml:space="preserve"> and discuss their developing </w:t>
      </w:r>
      <w:r w:rsidR="00083C0E">
        <w:t>perspective</w:t>
      </w:r>
      <w:r w:rsidR="00326FEE">
        <w:t>s</w:t>
      </w:r>
      <w:r w:rsidRPr="00CD399A">
        <w:t xml:space="preserve"> o</w:t>
      </w:r>
      <w:r w:rsidR="00CC48FD">
        <w:t>n</w:t>
      </w:r>
      <w:r w:rsidRPr="00CD399A">
        <w:t xml:space="preserve"> the</w:t>
      </w:r>
      <w:r w:rsidR="00E323FE">
        <w:t>ir</w:t>
      </w:r>
      <w:r w:rsidRPr="00CD399A">
        <w:t xml:space="preserve"> </w:t>
      </w:r>
      <w:r w:rsidR="00E323FE">
        <w:t>problem-based question</w:t>
      </w:r>
      <w:r w:rsidR="00326FEE">
        <w:t>s</w:t>
      </w:r>
      <w:r w:rsidR="00E323FE">
        <w:t xml:space="preserve"> </w:t>
      </w:r>
      <w:r w:rsidRPr="00CD399A">
        <w:t xml:space="preserve">in small groups. Next, students write an Evidence-Based </w:t>
      </w:r>
      <w:r w:rsidR="00083C0E">
        <w:t>Perspective</w:t>
      </w:r>
      <w:r w:rsidRPr="00CD399A">
        <w:t xml:space="preserve"> (</w:t>
      </w:r>
      <w:r w:rsidR="00326FEE">
        <w:t xml:space="preserve">a </w:t>
      </w:r>
      <w:r w:rsidRPr="00CD399A">
        <w:t xml:space="preserve">one-page synthesis) using the Organizing </w:t>
      </w:r>
      <w:r w:rsidR="00326FEE">
        <w:t xml:space="preserve">Evidence-Based Claims Tools, </w:t>
      </w:r>
      <w:r w:rsidRPr="00CD399A">
        <w:t xml:space="preserve">supporting their </w:t>
      </w:r>
      <w:r w:rsidR="00083C0E">
        <w:t>perspective</w:t>
      </w:r>
      <w:r w:rsidR="00326FEE">
        <w:t>s</w:t>
      </w:r>
      <w:r w:rsidRPr="00CD399A">
        <w:t xml:space="preserve"> with relevant</w:t>
      </w:r>
      <w:r w:rsidR="00F90143">
        <w:t xml:space="preserve"> </w:t>
      </w:r>
      <w:r w:rsidRPr="00CD399A">
        <w:t xml:space="preserve">evidence from the research. Students submit the finalized Research Portfolio and the Evidence-Based </w:t>
      </w:r>
      <w:r w:rsidR="00083C0E">
        <w:t>Perspective</w:t>
      </w:r>
      <w:r w:rsidR="00A718C0">
        <w:t xml:space="preserve"> for assessment purposes.</w:t>
      </w:r>
      <w:r w:rsidRPr="00CD399A">
        <w:t xml:space="preserve"> The Evidence-Based </w:t>
      </w:r>
      <w:r w:rsidR="00083C0E">
        <w:t>Perspective</w:t>
      </w:r>
      <w:r w:rsidRPr="00CD399A">
        <w:t xml:space="preserve"> is assessed using a rubric based on the Research Portfolio content. For homework, students complete a vocabulary activity using the </w:t>
      </w:r>
      <w:r w:rsidR="00CC48FD">
        <w:t>v</w:t>
      </w:r>
      <w:r w:rsidRPr="00CD399A">
        <w:t xml:space="preserve">ocabulary </w:t>
      </w:r>
      <w:r w:rsidR="00CC48FD">
        <w:t>j</w:t>
      </w:r>
      <w:r w:rsidRPr="00CD399A">
        <w:t xml:space="preserve">ournal work from the unit. </w:t>
      </w:r>
    </w:p>
    <w:p w:rsidR="00C4787C" w:rsidRDefault="00C4787C" w:rsidP="005A6484">
      <w:pPr>
        <w:pStyle w:val="Heading1"/>
        <w:spacing w:before="24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A92E0E" w:rsidRPr="0053542D" w:rsidTr="00E22A24">
        <w:tc>
          <w:tcPr>
            <w:tcW w:w="1344" w:type="dxa"/>
          </w:tcPr>
          <w:p w:rsidR="00A92E0E" w:rsidRDefault="00A92E0E" w:rsidP="000B2D56">
            <w:pPr>
              <w:pStyle w:val="TableText"/>
            </w:pPr>
            <w:r>
              <w:t>W.9-10.7</w:t>
            </w:r>
          </w:p>
        </w:tc>
        <w:tc>
          <w:tcPr>
            <w:tcW w:w="8124" w:type="dxa"/>
          </w:tcPr>
          <w:p w:rsidR="00A92E0E" w:rsidRDefault="00A92E0E" w:rsidP="00A92E0E">
            <w:pPr>
              <w:pStyle w:val="TableText"/>
            </w:pPr>
            <w:r w:rsidRPr="00625EF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92E0E" w:rsidRPr="0053542D" w:rsidTr="00E22A24">
        <w:tc>
          <w:tcPr>
            <w:tcW w:w="1344" w:type="dxa"/>
          </w:tcPr>
          <w:p w:rsidR="00A92E0E" w:rsidRDefault="00A92E0E" w:rsidP="000B2D56">
            <w:pPr>
              <w:pStyle w:val="TableText"/>
            </w:pPr>
            <w:r>
              <w:t>W.9-10.9</w:t>
            </w:r>
          </w:p>
        </w:tc>
        <w:tc>
          <w:tcPr>
            <w:tcW w:w="8124" w:type="dxa"/>
          </w:tcPr>
          <w:p w:rsidR="00A92E0E" w:rsidRPr="00625EFD" w:rsidRDefault="00A92E0E" w:rsidP="00A92E0E">
            <w:pPr>
              <w:pStyle w:val="TableText"/>
            </w:pPr>
            <w:r>
              <w:t>Draw evidence from literary or informational texts to support analysis, reflection, and research.</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A92E0E" w:rsidP="000B2D56">
            <w:pPr>
              <w:pStyle w:val="TableText"/>
            </w:pPr>
            <w:r>
              <w:t>W.9-10.1</w:t>
            </w:r>
          </w:p>
        </w:tc>
        <w:tc>
          <w:tcPr>
            <w:tcW w:w="8124" w:type="dxa"/>
          </w:tcPr>
          <w:p w:rsidR="000B2D56" w:rsidRDefault="00A92E0E" w:rsidP="000B2D56">
            <w:pPr>
              <w:pStyle w:val="TableText"/>
            </w:pPr>
            <w:r>
              <w:t>Write arguments to support claims in the analysis of substantive topics or text, using valid reasoning and relevant and sufficient evidence. Explore and inquire into areas of interest to formulate an argument.</w:t>
            </w:r>
          </w:p>
        </w:tc>
      </w:tr>
      <w:tr w:rsidR="00A92E0E" w:rsidRPr="0053542D" w:rsidTr="00E22A24">
        <w:tc>
          <w:tcPr>
            <w:tcW w:w="1344" w:type="dxa"/>
          </w:tcPr>
          <w:p w:rsidR="00A92E0E" w:rsidRPr="009C28BD" w:rsidRDefault="00A92E0E" w:rsidP="000B2D56">
            <w:pPr>
              <w:pStyle w:val="TableText"/>
            </w:pPr>
            <w:r>
              <w:t>SL.9-10.1</w:t>
            </w:r>
          </w:p>
        </w:tc>
        <w:tc>
          <w:tcPr>
            <w:tcW w:w="8124" w:type="dxa"/>
          </w:tcPr>
          <w:p w:rsidR="00A92E0E" w:rsidRDefault="00A92E0E" w:rsidP="00A92E0E">
            <w:pPr>
              <w:pStyle w:val="TableText"/>
            </w:pPr>
            <w:r w:rsidRPr="00931161">
              <w:rPr>
                <w:shd w:val="clear" w:color="auto" w:fill="FFFFFF"/>
              </w:rPr>
              <w:t xml:space="preserve">Initiate and participate effectively in a range of collaborative discussions (one-on-one, in groups, and teacher-led) with diverse partners on </w:t>
            </w:r>
            <w:r w:rsidRPr="003F5CC9">
              <w:rPr>
                <w:i/>
                <w:shd w:val="clear" w:color="auto" w:fill="FFFFFF"/>
              </w:rPr>
              <w:t>grades 9–10 topics, texts, and issues</w:t>
            </w:r>
            <w:r w:rsidRPr="00931161">
              <w:rPr>
                <w:shd w:val="clear" w:color="auto" w:fill="FFFFFF"/>
              </w:rPr>
              <w:t>, building on others’ ideas and expressing their own clearly and persuasively.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813811" w:rsidRDefault="00CC48FD" w:rsidP="00813811">
            <w:pPr>
              <w:pStyle w:val="TableText"/>
            </w:pPr>
            <w:r>
              <w:t xml:space="preserve">Student learning is assessed via an </w:t>
            </w:r>
            <w:r w:rsidR="00813811">
              <w:t>End-of-Unit Assessment</w:t>
            </w:r>
            <w:r>
              <w:t xml:space="preserve"> that</w:t>
            </w:r>
            <w:r w:rsidR="00326FEE">
              <w:t xml:space="preserve"> </w:t>
            </w:r>
            <w:r w:rsidR="00813811">
              <w:t xml:space="preserve">consists of the </w:t>
            </w:r>
            <w:r>
              <w:t>elements below.</w:t>
            </w:r>
          </w:p>
          <w:p w:rsidR="00813811" w:rsidRDefault="00813811" w:rsidP="00813811">
            <w:pPr>
              <w:pStyle w:val="BulletedList"/>
            </w:pPr>
            <w:r>
              <w:t>Completed Research Portfolio: Students submit a completed Research Portfolio with the four sections organized including 1. Defining an Area of Investigation, 2. Gathering and Analyzing Information, 3. Drawing Conclusions, 4. Discarded Material.</w:t>
            </w:r>
          </w:p>
          <w:p w:rsidR="00813811" w:rsidRDefault="00AF139B" w:rsidP="00813811">
            <w:pPr>
              <w:pStyle w:val="BulletedList"/>
            </w:pPr>
            <w:r>
              <w:t xml:space="preserve">Evidence-Based </w:t>
            </w:r>
            <w:r w:rsidR="00083C0E">
              <w:t>Perspective</w:t>
            </w:r>
            <w:r w:rsidR="00813811">
              <w:t xml:space="preserve">: Students write a one-page synthesis </w:t>
            </w:r>
            <w:r>
              <w:t xml:space="preserve">that </w:t>
            </w:r>
            <w:r w:rsidR="00CD399A">
              <w:t xml:space="preserve">articulates a specific </w:t>
            </w:r>
            <w:r w:rsidR="00083C0E">
              <w:t>perspective</w:t>
            </w:r>
            <w:r>
              <w:t xml:space="preserve"> that is </w:t>
            </w:r>
            <w:r w:rsidR="00813811">
              <w:t>derived from their research. Students draw on the research outcomes, as developed in the Organizing Evidence-Based Clai</w:t>
            </w:r>
            <w:r w:rsidR="00CD399A">
              <w:t xml:space="preserve">ms Tools to express their </w:t>
            </w:r>
            <w:r w:rsidR="00083C0E">
              <w:t>perspective</w:t>
            </w:r>
            <w:r w:rsidR="00CD399A">
              <w:t>.</w:t>
            </w:r>
          </w:p>
          <w:p w:rsidR="00813811" w:rsidRDefault="00813811" w:rsidP="00813811">
            <w:pPr>
              <w:pStyle w:val="BulletedList"/>
            </w:pPr>
            <w:r>
              <w:t xml:space="preserve">Research Journal: This item is located in the Research Portfolio. </w:t>
            </w:r>
          </w:p>
          <w:p w:rsidR="00B231AA" w:rsidRPr="003908D2" w:rsidRDefault="00813811" w:rsidP="00813811">
            <w:pPr>
              <w:pStyle w:val="IN"/>
            </w:pPr>
            <w:r>
              <w:t xml:space="preserve">This assessment will be evaluated using the </w:t>
            </w:r>
            <w:r w:rsidR="0029681D">
              <w:t xml:space="preserve">10.3.2 End-of-Unit </w:t>
            </w:r>
            <w:r>
              <w:t xml:space="preserve">Evidence-Based </w:t>
            </w:r>
            <w:r w:rsidR="00083C0E">
              <w:t>Perspective</w:t>
            </w:r>
            <w:r>
              <w:t xml:space="preserve"> Rubric.</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5A6484" w:rsidP="008151E5">
            <w:pPr>
              <w:pStyle w:val="TableText"/>
            </w:pPr>
            <w:r>
              <w:t>A H</w:t>
            </w:r>
            <w:r w:rsidR="00BE4EBD">
              <w:t xml:space="preserve">igh </w:t>
            </w:r>
            <w:r>
              <w:t>P</w:t>
            </w:r>
            <w:r w:rsidR="00BE4EBD">
              <w:t xml:space="preserve">erformance </w:t>
            </w:r>
            <w:r>
              <w:t>R</w:t>
            </w:r>
            <w:r w:rsidR="00850CE6">
              <w:t>esponse</w:t>
            </w:r>
            <w:r w:rsidR="00661882">
              <w:t xml:space="preserve"> should</w:t>
            </w:r>
            <w:r w:rsidR="00BE4EBD">
              <w:t>:</w:t>
            </w:r>
          </w:p>
          <w:p w:rsidR="00D920A6" w:rsidRDefault="00AC7FF6" w:rsidP="00D12732">
            <w:pPr>
              <w:pStyle w:val="BulletedList"/>
            </w:pPr>
            <w:r>
              <w:t xml:space="preserve">Meet the requirements of </w:t>
            </w:r>
            <w:r w:rsidR="00CC48FD">
              <w:t>level</w:t>
            </w:r>
            <w:r>
              <w:t xml:space="preserve"> 4 on the </w:t>
            </w:r>
            <w:r w:rsidR="0029681D">
              <w:t xml:space="preserve">10.3.2 End-of-Unit </w:t>
            </w:r>
            <w:r>
              <w:t xml:space="preserve">Evidence-Based </w:t>
            </w:r>
            <w:r w:rsidR="00083C0E">
              <w:t>Perspective</w:t>
            </w:r>
            <w:r>
              <w:t xml:space="preserve"> Rubric</w:t>
            </w:r>
            <w:r w:rsidR="007B131B">
              <w:t xml:space="preserve"> located</w:t>
            </w:r>
            <w:r>
              <w:t xml:space="preserve"> at the end of the lesson</w:t>
            </w:r>
            <w:r w:rsidR="006B2FEA">
              <w:t>.</w:t>
            </w:r>
          </w:p>
          <w:p w:rsidR="00207A65" w:rsidRPr="003908D2" w:rsidRDefault="00E32EAC" w:rsidP="00CC48FD">
            <w:pPr>
              <w:pStyle w:val="IN"/>
            </w:pPr>
            <w:r>
              <w:t xml:space="preserve">A sample </w:t>
            </w:r>
            <w:r w:rsidR="00207A65">
              <w:t xml:space="preserve">model student response </w:t>
            </w:r>
            <w:r w:rsidR="00CC48FD">
              <w:t xml:space="preserve">is </w:t>
            </w:r>
            <w:r>
              <w:t>at the end of this</w:t>
            </w:r>
            <w:r w:rsidR="00207A65">
              <w:t xml:space="preserve"> lesson.</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Pr="00B231AA" w:rsidRDefault="00813811" w:rsidP="000B2D56">
            <w:pPr>
              <w:pStyle w:val="BulletedList"/>
            </w:pPr>
            <w:r>
              <w:t>None</w:t>
            </w:r>
            <w:r w:rsidR="00B5442C">
              <w:t>.</w:t>
            </w:r>
            <w:r w:rsidR="006B2FEA">
              <w:t>*</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813811" w:rsidP="000B2D56">
            <w:pPr>
              <w:pStyle w:val="BulletedList"/>
            </w:pPr>
            <w:r>
              <w:t>None</w:t>
            </w:r>
            <w:r w:rsidR="00B5442C">
              <w:t>.</w:t>
            </w:r>
            <w:r w:rsidR="006B2FEA">
              <w:t>*</w:t>
            </w:r>
          </w:p>
        </w:tc>
      </w:tr>
    </w:tbl>
    <w:p w:rsidR="00A179B3" w:rsidRPr="001E6372" w:rsidRDefault="006B2FEA" w:rsidP="001E6372">
      <w:pPr>
        <w:rPr>
          <w:sz w:val="18"/>
        </w:rPr>
      </w:pPr>
      <w:r w:rsidRPr="001E6372">
        <w:rPr>
          <w:sz w:val="18"/>
        </w:rPr>
        <w:t>*</w:t>
      </w:r>
      <w:r w:rsidR="00A179B3" w:rsidRPr="001E6372">
        <w:rPr>
          <w:sz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ED6ACF">
        <w:trPr>
          <w:trHeight w:val="1008"/>
        </w:trPr>
        <w:tc>
          <w:tcPr>
            <w:tcW w:w="7830" w:type="dxa"/>
            <w:tcBorders>
              <w:bottom w:val="nil"/>
            </w:tcBorders>
          </w:tcPr>
          <w:p w:rsidR="005F5D35" w:rsidRPr="000B2D56" w:rsidRDefault="0050213C" w:rsidP="000B2D56">
            <w:pPr>
              <w:pStyle w:val="TableText"/>
              <w:rPr>
                <w:b/>
              </w:rPr>
            </w:pPr>
            <w:r>
              <w:rPr>
                <w:b/>
              </w:rPr>
              <w:t>Standards</w:t>
            </w:r>
            <w:r w:rsidR="005F5D35" w:rsidRPr="000B2D56">
              <w:rPr>
                <w:b/>
              </w:rPr>
              <w:t>:</w:t>
            </w:r>
          </w:p>
          <w:p w:rsidR="00730123" w:rsidRDefault="00BE4EBD" w:rsidP="00ED6ACF">
            <w:pPr>
              <w:pStyle w:val="BulletedList"/>
            </w:pPr>
            <w:r>
              <w:t xml:space="preserve">Standards: </w:t>
            </w:r>
            <w:r w:rsidR="00CD399A">
              <w:t>W.9-10.7, W.9-10.9, W.9-10.1, SL.9-10.1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A4015E">
              <w:t xml:space="preserve"> and Research Check-In</w:t>
            </w:r>
          </w:p>
          <w:p w:rsidR="00AF139B" w:rsidRDefault="00EC73A6" w:rsidP="00546D71">
            <w:pPr>
              <w:pStyle w:val="NumberedList"/>
            </w:pPr>
            <w:r>
              <w:t xml:space="preserve">Developing an Evidence-Based </w:t>
            </w:r>
            <w:r w:rsidR="00083C0E">
              <w:t>Perspective</w:t>
            </w:r>
          </w:p>
          <w:p w:rsidR="00AF139B" w:rsidRDefault="0029681D" w:rsidP="00546D71">
            <w:pPr>
              <w:pStyle w:val="NumberedList"/>
            </w:pPr>
            <w:r>
              <w:t xml:space="preserve">10.3.2 </w:t>
            </w:r>
            <w:r w:rsidR="00292B8B">
              <w:t>End</w:t>
            </w:r>
            <w:r>
              <w:t>-</w:t>
            </w:r>
            <w:r w:rsidR="00292B8B">
              <w:t>of</w:t>
            </w:r>
            <w:r>
              <w:t>-</w:t>
            </w:r>
            <w:r w:rsidR="00292B8B">
              <w:t xml:space="preserve">Unit Assessment: </w:t>
            </w:r>
            <w:r w:rsidR="00AF139B">
              <w:t xml:space="preserve">Evidence-Based </w:t>
            </w:r>
            <w:r w:rsidR="00083C0E">
              <w:t>Perspective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1B1461" w:rsidP="00546D71">
            <w:pPr>
              <w:pStyle w:val="NumberedList"/>
              <w:numPr>
                <w:ilvl w:val="0"/>
                <w:numId w:val="34"/>
              </w:numPr>
            </w:pPr>
            <w:r>
              <w:t>10</w:t>
            </w:r>
            <w:r w:rsidR="00546D71">
              <w:t>%</w:t>
            </w:r>
          </w:p>
          <w:p w:rsidR="00546D71" w:rsidRDefault="00A4015E" w:rsidP="00A4015E">
            <w:pPr>
              <w:pStyle w:val="NumberedList"/>
            </w:pPr>
            <w:r>
              <w:t>25</w:t>
            </w:r>
            <w:r w:rsidR="00546D71">
              <w:t>%</w:t>
            </w:r>
          </w:p>
          <w:p w:rsidR="00546D71" w:rsidRDefault="00AF139B" w:rsidP="00546D71">
            <w:pPr>
              <w:pStyle w:val="NumberedList"/>
            </w:pPr>
            <w:r>
              <w:t>30</w:t>
            </w:r>
            <w:r w:rsidR="00546D71">
              <w:t>%</w:t>
            </w:r>
          </w:p>
          <w:p w:rsidR="00546D71" w:rsidRDefault="001B1461" w:rsidP="00546D71">
            <w:pPr>
              <w:pStyle w:val="NumberedList"/>
            </w:pPr>
            <w:r>
              <w:t>30</w:t>
            </w:r>
            <w:r w:rsidR="00546D71">
              <w:t>%</w:t>
            </w:r>
          </w:p>
          <w:p w:rsidR="00546D71" w:rsidRPr="00C02EC2" w:rsidRDefault="00546D71" w:rsidP="00546D71">
            <w:pPr>
              <w:pStyle w:val="NumberedList"/>
            </w:pPr>
            <w:r>
              <w:t>5%</w:t>
            </w:r>
          </w:p>
        </w:tc>
      </w:tr>
    </w:tbl>
    <w:p w:rsidR="003368BF" w:rsidRPr="00075F14" w:rsidRDefault="00F308FF" w:rsidP="00E946A0">
      <w:pPr>
        <w:pStyle w:val="Heading1"/>
        <w:rPr>
          <w:b w:val="0"/>
        </w:rPr>
      </w:pPr>
      <w:r>
        <w:t>Materials</w:t>
      </w:r>
    </w:p>
    <w:p w:rsidR="00A92E0E" w:rsidRDefault="00A92E0E" w:rsidP="00A92E0E">
      <w:pPr>
        <w:pStyle w:val="BulletedList"/>
      </w:pPr>
      <w:r w:rsidRPr="00075F14">
        <w:t>Student copies of the Organizing Evidence-Based Claims Tools</w:t>
      </w:r>
      <w:r w:rsidR="005A6484">
        <w:t xml:space="preserve"> (r</w:t>
      </w:r>
      <w:r w:rsidR="00B952C0" w:rsidRPr="00075F14">
        <w:t>efer to 10.3.2 Lesson 11)</w:t>
      </w:r>
    </w:p>
    <w:p w:rsidR="00A92E0E" w:rsidRPr="00075F14" w:rsidRDefault="00A92E0E" w:rsidP="00A92E0E">
      <w:pPr>
        <w:pStyle w:val="BulletedList"/>
      </w:pPr>
      <w:r w:rsidRPr="00075F14">
        <w:t>Research</w:t>
      </w:r>
      <w:r w:rsidR="00943805">
        <w:t xml:space="preserve"> Portfolios (refer to 10.3.2 Lesson 1</w:t>
      </w:r>
      <w:r w:rsidRPr="00075F14">
        <w:t>)</w:t>
      </w:r>
    </w:p>
    <w:p w:rsidR="00A92E0E" w:rsidRPr="00075F14" w:rsidRDefault="00A92E0E" w:rsidP="00A92E0E">
      <w:pPr>
        <w:pStyle w:val="BulletedList"/>
      </w:pPr>
      <w:r w:rsidRPr="00075F14">
        <w:t xml:space="preserve">Copies of the </w:t>
      </w:r>
      <w:r w:rsidR="0029681D">
        <w:t xml:space="preserve">10.3.2 </w:t>
      </w:r>
      <w:r w:rsidRPr="00075F14">
        <w:t>End-of-Unit Assessment for each student</w:t>
      </w:r>
    </w:p>
    <w:p w:rsidR="00A92E0E" w:rsidRDefault="00A92E0E" w:rsidP="00A92E0E">
      <w:pPr>
        <w:pStyle w:val="BulletedList"/>
      </w:pPr>
      <w:r w:rsidRPr="00075F14">
        <w:t xml:space="preserve">Copies of the </w:t>
      </w:r>
      <w:r w:rsidR="0029681D">
        <w:t xml:space="preserve">10.3.2 End-of-Unit </w:t>
      </w:r>
      <w:r w:rsidRPr="00075F14">
        <w:t xml:space="preserve">Evidence-Based </w:t>
      </w:r>
      <w:r w:rsidR="00083C0E" w:rsidRPr="00075F14">
        <w:t>Perspective</w:t>
      </w:r>
      <w:r w:rsidRPr="00075F14">
        <w:t xml:space="preserve"> Rubric for each student</w:t>
      </w:r>
    </w:p>
    <w:p w:rsidR="00C32D51" w:rsidRPr="00075F14" w:rsidRDefault="00C32D51" w:rsidP="009B235B">
      <w:pPr>
        <w:pStyle w:val="BulletedList"/>
      </w:pPr>
      <w:r>
        <w:t>Student copies of the 10.3 Common Core Learning</w:t>
      </w:r>
      <w:r w:rsidR="00A4015E">
        <w:t xml:space="preserve"> Standards Tool (refer to 10.3.2</w:t>
      </w:r>
      <w:r>
        <w:t xml:space="preserve">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DB0BC9">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DB0BC9">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DB0BC9">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DB0BC9">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DB0BC9">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DB0BC9">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DB0BC9">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DB0BC9">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DB0BC9">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1B1461">
        <w:t>10</w:t>
      </w:r>
      <w:r w:rsidR="00607856" w:rsidRPr="00A24DAB">
        <w:t>%</w:t>
      </w:r>
    </w:p>
    <w:p w:rsidR="00AF139B" w:rsidRDefault="00AF139B" w:rsidP="00AF139B">
      <w:pPr>
        <w:pStyle w:val="TA"/>
        <w:rPr>
          <w:rFonts w:asciiTheme="minorHAnsi" w:hAnsiTheme="minorHAnsi"/>
        </w:rPr>
      </w:pPr>
      <w:r>
        <w:rPr>
          <w:rFonts w:asciiTheme="minorHAnsi" w:hAnsiTheme="minorHAnsi"/>
        </w:rPr>
        <w:t xml:space="preserve">Begin by reviewing the agenda and sharing the assessed standards for this lesson: W.9-10.7, W.9-10.9. In this lesson, </w:t>
      </w:r>
      <w:r>
        <w:t xml:space="preserve">students finalize the Research Portfolio for assessment purposes. </w:t>
      </w:r>
      <w:r w:rsidR="00670A32">
        <w:t>S</w:t>
      </w:r>
      <w:r>
        <w:t xml:space="preserve">tudents </w:t>
      </w:r>
      <w:r w:rsidR="00670A32">
        <w:t xml:space="preserve">then </w:t>
      </w:r>
      <w:r>
        <w:t xml:space="preserve">discuss their developing </w:t>
      </w:r>
      <w:r w:rsidR="00083C0E">
        <w:t>perspective</w:t>
      </w:r>
      <w:r w:rsidR="00326FEE">
        <w:t>s</w:t>
      </w:r>
      <w:r>
        <w:t xml:space="preserve"> concerning their </w:t>
      </w:r>
      <w:r w:rsidR="00527ABA">
        <w:t>problem-based question</w:t>
      </w:r>
      <w:r w:rsidR="00326FEE">
        <w:t>s,</w:t>
      </w:r>
      <w:r>
        <w:t xml:space="preserve"> using the Organizing Evidence-Based Claims Tools from the previous lesson. Finally, students write an Evidence-Based </w:t>
      </w:r>
      <w:r w:rsidR="00083C0E">
        <w:t>Perspective</w:t>
      </w:r>
      <w:r w:rsidR="00527ABA">
        <w:t xml:space="preserve"> </w:t>
      </w:r>
      <w:r>
        <w:t>(</w:t>
      </w:r>
      <w:r w:rsidR="00326FEE">
        <w:t xml:space="preserve">a </w:t>
      </w:r>
      <w:r>
        <w:t>one-page synthesis) using the Organizing Evidence-Based Claims</w:t>
      </w:r>
      <w:r w:rsidR="00A4015E">
        <w:t xml:space="preserve"> Tools</w:t>
      </w:r>
      <w:r>
        <w:t xml:space="preserve"> developed in the previous lesson and supporting the </w:t>
      </w:r>
      <w:r w:rsidR="00083C0E">
        <w:t>perspective</w:t>
      </w:r>
      <w:r>
        <w:t xml:space="preserve"> with relevant evidence from the research.</w:t>
      </w:r>
    </w:p>
    <w:p w:rsidR="00AF139B" w:rsidRDefault="00AF139B" w:rsidP="00AF139B">
      <w:pPr>
        <w:pStyle w:val="SA"/>
      </w:pPr>
      <w:r>
        <w:t xml:space="preserve">Students </w:t>
      </w:r>
      <w:r w:rsidR="003A1DCA">
        <w:t>look at the agenda</w:t>
      </w:r>
      <w:r w:rsidR="00527ABA">
        <w:t xml:space="preserve">. </w:t>
      </w:r>
    </w:p>
    <w:p w:rsidR="00E15A7A" w:rsidRDefault="00E15A7A" w:rsidP="00E15A7A">
      <w:pPr>
        <w:pStyle w:val="TA"/>
      </w:pPr>
      <w:r>
        <w:t xml:space="preserve">Distribute or ask students to take out their copies of the 10.3 Common Core Learning Standards Tool. Inform students that in this lesson they begin to work with new standard: </w:t>
      </w:r>
      <w:r w:rsidR="00CC6523">
        <w:t>W.9-10.1</w:t>
      </w:r>
      <w:r>
        <w:t xml:space="preserve">. Ask students to individually read W.9-10.1 on their tools and assess their familiarity with and mastery of the standard. </w:t>
      </w:r>
    </w:p>
    <w:p w:rsidR="00E15A7A" w:rsidRDefault="00E15A7A" w:rsidP="00E15A7A">
      <w:pPr>
        <w:pStyle w:val="SA"/>
      </w:pPr>
      <w:r>
        <w:t>Students read and assess their understanding of st</w:t>
      </w:r>
      <w:r w:rsidR="00CC6523">
        <w:t xml:space="preserve">andard </w:t>
      </w:r>
      <w:r>
        <w:t xml:space="preserve">W.9-10.1. </w:t>
      </w:r>
    </w:p>
    <w:p w:rsidR="00E15A7A" w:rsidRDefault="00E15A7A" w:rsidP="00E15A7A">
      <w:pPr>
        <w:pStyle w:val="TA"/>
      </w:pPr>
      <w:r>
        <w:t xml:space="preserve">Instruct students to talk in pairs about what they think the standard means. Lead a brief discussion about the standard. </w:t>
      </w:r>
    </w:p>
    <w:p w:rsidR="00E15A7A" w:rsidRDefault="00E15A7A" w:rsidP="00E15A7A">
      <w:pPr>
        <w:pStyle w:val="SR"/>
      </w:pPr>
      <w:r>
        <w:t xml:space="preserve">Student responses should include: </w:t>
      </w:r>
    </w:p>
    <w:p w:rsidR="00E15A7A" w:rsidRDefault="00E15A7A" w:rsidP="00E15A7A">
      <w:pPr>
        <w:pStyle w:val="SASRBullet"/>
      </w:pPr>
      <w:r>
        <w:t xml:space="preserve">Write arguments to analyze issues or texts. </w:t>
      </w:r>
    </w:p>
    <w:p w:rsidR="00E15A7A" w:rsidRDefault="00E15A7A" w:rsidP="00E15A7A">
      <w:pPr>
        <w:pStyle w:val="SASRBullet"/>
      </w:pPr>
      <w:r>
        <w:t>Support claims with evidence and reasoning.</w:t>
      </w:r>
    </w:p>
    <w:p w:rsidR="00E15A7A" w:rsidRDefault="00E15A7A" w:rsidP="00E15A7A">
      <w:pPr>
        <w:pStyle w:val="TA"/>
      </w:pPr>
      <w:r>
        <w:t xml:space="preserve">Explain to students that today’s work </w:t>
      </w:r>
      <w:r w:rsidR="00692072">
        <w:t>is</w:t>
      </w:r>
      <w:r>
        <w:t xml:space="preserve"> </w:t>
      </w:r>
      <w:r w:rsidR="00692072">
        <w:t xml:space="preserve">on developing an evidence-based perspective, </w:t>
      </w:r>
      <w:r>
        <w:t xml:space="preserve">the </w:t>
      </w:r>
      <w:r w:rsidR="00692072">
        <w:t>first step in</w:t>
      </w:r>
      <w:r>
        <w:t xml:space="preserve"> crafting an argument</w:t>
      </w:r>
      <w:r w:rsidR="001377CC">
        <w:t>.</w:t>
      </w:r>
    </w:p>
    <w:p w:rsidR="00E15A7A" w:rsidRDefault="00E15A7A" w:rsidP="00E15A7A">
      <w:pPr>
        <w:pStyle w:val="SA"/>
      </w:pPr>
      <w:r>
        <w:t>Students listen.</w:t>
      </w:r>
    </w:p>
    <w:p w:rsidR="000B2D56" w:rsidRDefault="000B2D56" w:rsidP="00CE2836">
      <w:pPr>
        <w:pStyle w:val="LearningSequenceHeader"/>
      </w:pPr>
      <w:r>
        <w:t>Activity 2</w:t>
      </w:r>
      <w:r w:rsidRPr="000B2D56">
        <w:t xml:space="preserve">: </w:t>
      </w:r>
      <w:r>
        <w:t>Homework Accountability</w:t>
      </w:r>
      <w:r w:rsidR="00A4015E">
        <w:t xml:space="preserve"> and Research Check-In</w:t>
      </w:r>
      <w:r>
        <w:tab/>
      </w:r>
      <w:r w:rsidR="00A4015E">
        <w:t>25</w:t>
      </w:r>
      <w:r w:rsidRPr="000B2D56">
        <w:t>%</w:t>
      </w:r>
    </w:p>
    <w:p w:rsidR="00813811" w:rsidRDefault="00813811" w:rsidP="00813811">
      <w:pPr>
        <w:pStyle w:val="TA"/>
      </w:pPr>
      <w:r>
        <w:t>In</w:t>
      </w:r>
      <w:r w:rsidR="00B5442C">
        <w:t xml:space="preserve">struct students to take out </w:t>
      </w:r>
      <w:r w:rsidR="00496B6F">
        <w:t>their hom</w:t>
      </w:r>
      <w:r w:rsidR="00692072">
        <w:t>ework from the previous lesson (</w:t>
      </w:r>
      <w:r w:rsidR="00496B6F" w:rsidRPr="00496B6F">
        <w:t xml:space="preserve">Review all of the Organizing Evidence-Based Claims Tools and draft another counterclaim using the Forming Counterclaims Tool. Based on the counterclaim work, evaluate an original claim to prepare for the next </w:t>
      </w:r>
      <w:r w:rsidR="00692072">
        <w:t>lesson’s End-of-Unit Assessment).</w:t>
      </w:r>
    </w:p>
    <w:p w:rsidR="00813811" w:rsidRDefault="00813811" w:rsidP="00813811">
      <w:pPr>
        <w:pStyle w:val="TA"/>
      </w:pPr>
      <w:r>
        <w:t xml:space="preserve">Instruct students to Turn-and-Talk with a classmate about </w:t>
      </w:r>
      <w:r w:rsidR="00022402">
        <w:t>the counterclaim</w:t>
      </w:r>
      <w:r w:rsidR="00326FEE">
        <w:t>s they drafted and how the counterclaim</w:t>
      </w:r>
      <w:r w:rsidR="00022402">
        <w:t xml:space="preserve"> </w:t>
      </w:r>
      <w:r w:rsidR="00326FEE">
        <w:t>contributes</w:t>
      </w:r>
      <w:r w:rsidR="009436A0">
        <w:t xml:space="preserve"> to improvements of the original claim. </w:t>
      </w:r>
    </w:p>
    <w:p w:rsidR="00813811" w:rsidRDefault="00813811" w:rsidP="00813811">
      <w:pPr>
        <w:pStyle w:val="SR"/>
      </w:pPr>
      <w:r>
        <w:t>Student respo</w:t>
      </w:r>
      <w:r w:rsidR="00A4015E">
        <w:t>nses may include</w:t>
      </w:r>
      <w:r>
        <w:t xml:space="preserve">: </w:t>
      </w:r>
    </w:p>
    <w:p w:rsidR="00813811" w:rsidRDefault="00BC2621" w:rsidP="00813811">
      <w:pPr>
        <w:pStyle w:val="SASRBullet"/>
      </w:pPr>
      <w:r>
        <w:t>After drafting my counterclaim about genetic ownership</w:t>
      </w:r>
      <w:r w:rsidR="00411706">
        <w:t>,</w:t>
      </w:r>
      <w:r>
        <w:t xml:space="preserve"> I realized I</w:t>
      </w:r>
      <w:r w:rsidR="00813811">
        <w:t xml:space="preserve"> had to choose better evidence to support some of my claims. My evidence did not always directly address the claims I made. For example, </w:t>
      </w:r>
      <w:r w:rsidR="00B952C0">
        <w:t xml:space="preserve">some of my evidence underneath the </w:t>
      </w:r>
      <w:r w:rsidR="009436A0">
        <w:t xml:space="preserve">counterclaim </w:t>
      </w:r>
      <w:r w:rsidR="00B952C0">
        <w:t xml:space="preserve">“Humans have an inherent right to their own tissue” addressed </w:t>
      </w:r>
      <w:r w:rsidR="00692072">
        <w:t xml:space="preserve">only </w:t>
      </w:r>
      <w:r w:rsidR="00B952C0">
        <w:t xml:space="preserve">genetic information, so the claim was not fully supported by the evidence. </w:t>
      </w:r>
    </w:p>
    <w:p w:rsidR="00813811" w:rsidRDefault="00BC2621" w:rsidP="00813811">
      <w:pPr>
        <w:pStyle w:val="SASRBullet"/>
      </w:pPr>
      <w:r>
        <w:t>While researching my counterclaim</w:t>
      </w:r>
      <w:r w:rsidR="00660FF0">
        <w:t>,</w:t>
      </w:r>
      <w:r>
        <w:t xml:space="preserve"> I realized that I did</w:t>
      </w:r>
      <w:r w:rsidR="00207A65">
        <w:t xml:space="preserve"> </w:t>
      </w:r>
      <w:r>
        <w:t>n</w:t>
      </w:r>
      <w:r w:rsidR="00207A65">
        <w:t>o</w:t>
      </w:r>
      <w:r>
        <w:t>t</w:t>
      </w:r>
      <w:r w:rsidR="00813811">
        <w:t xml:space="preserve"> incorporate all the written evidence</w:t>
      </w:r>
      <w:r>
        <w:t xml:space="preserve"> in my original claim</w:t>
      </w:r>
      <w:r w:rsidR="00813811">
        <w:t xml:space="preserve">. For example, my claim that </w:t>
      </w:r>
      <w:r w:rsidR="00B952C0">
        <w:t xml:space="preserve">“Scientists should be able to pursue research that will benefit mankind” failed to include evidence from </w:t>
      </w:r>
      <w:r w:rsidR="00660FF0">
        <w:t>P</w:t>
      </w:r>
      <w:r w:rsidR="00B952C0">
        <w:t xml:space="preserve">oint </w:t>
      </w:r>
      <w:r w:rsidR="00660FF0">
        <w:t>O</w:t>
      </w:r>
      <w:r w:rsidR="00B952C0">
        <w:t xml:space="preserve">ne about how to evaluate </w:t>
      </w:r>
      <w:r w:rsidR="00835EA1">
        <w:t xml:space="preserve">medical studies and their benefits. I had to expand the claim to make it more inclusive of all of the evidence. </w:t>
      </w:r>
      <w:r w:rsidR="00B952C0">
        <w:t xml:space="preserve"> </w:t>
      </w:r>
    </w:p>
    <w:p w:rsidR="000B2D56" w:rsidRDefault="00813811" w:rsidP="00CE2836">
      <w:pPr>
        <w:pStyle w:val="IN"/>
      </w:pPr>
      <w:r>
        <w:t>Consider circulating during the pair discussion to monitor students’ homework completion.</w:t>
      </w:r>
    </w:p>
    <w:p w:rsidR="00A4015E" w:rsidRDefault="00A4015E" w:rsidP="00A4015E">
      <w:pPr>
        <w:pStyle w:val="BR"/>
      </w:pPr>
    </w:p>
    <w:p w:rsidR="00813811" w:rsidRDefault="00692072" w:rsidP="00813811">
      <w:pPr>
        <w:pStyle w:val="TA"/>
      </w:pPr>
      <w:r>
        <w:t>Instruct students to take out the</w:t>
      </w:r>
      <w:r w:rsidR="003A1DCA">
        <w:t>ir</w:t>
      </w:r>
      <w:r>
        <w:t xml:space="preserve"> Research Portfolio</w:t>
      </w:r>
      <w:r w:rsidR="003A1DCA">
        <w:t>s</w:t>
      </w:r>
      <w:r>
        <w:t xml:space="preserve">. </w:t>
      </w:r>
    </w:p>
    <w:p w:rsidR="00813811" w:rsidRDefault="00813811" w:rsidP="00813811">
      <w:pPr>
        <w:pStyle w:val="TA"/>
      </w:pPr>
      <w:r>
        <w:t>Inform students that</w:t>
      </w:r>
      <w:r w:rsidR="00692072">
        <w:t xml:space="preserve"> later</w:t>
      </w:r>
      <w:r>
        <w:t xml:space="preserve"> in this lesson, they will complete the last step in the Student Research Plan: Reviews and synthesizes the research to develop a written Evidence-Based </w:t>
      </w:r>
      <w:r w:rsidR="00083C0E">
        <w:t>Perspective</w:t>
      </w:r>
      <w:r>
        <w:t xml:space="preserve"> (Part 3: Organizing and Synthesizing Inquiry).</w:t>
      </w:r>
      <w:r w:rsidR="00692072">
        <w:t xml:space="preserve"> </w:t>
      </w:r>
      <w:r>
        <w:t xml:space="preserve">Instruct students to </w:t>
      </w:r>
      <w:r w:rsidR="003A1DCA">
        <w:t xml:space="preserve">reread the Student Research Plan and use it as </w:t>
      </w:r>
      <w:r>
        <w:t xml:space="preserve">a guide to finalize all sections of the Research Portfolio. </w:t>
      </w:r>
      <w:r w:rsidR="003A1DCA">
        <w:t xml:space="preserve">Instruct </w:t>
      </w:r>
      <w:r>
        <w:t>students to file all sources, annotated copies, notes, tools, and assessments in the Research Portfolio</w:t>
      </w:r>
      <w:r w:rsidR="003A1DCA">
        <w:t>, except for t</w:t>
      </w:r>
      <w:r>
        <w:t>he Organizing Evidence-Based Claims Tools from the previous homework activity</w:t>
      </w:r>
      <w:r w:rsidR="003A1DCA">
        <w:t>, which they should keep out for now</w:t>
      </w:r>
      <w:r>
        <w:t>.</w:t>
      </w:r>
    </w:p>
    <w:p w:rsidR="0011228C" w:rsidRDefault="0011228C" w:rsidP="0011228C">
      <w:pPr>
        <w:pStyle w:val="SA"/>
      </w:pPr>
      <w:r>
        <w:t>Students file all sources, annotated copies, notes, tools, and assess</w:t>
      </w:r>
      <w:r w:rsidR="003A1DCA">
        <w:t>ments in the Research Portfolio.</w:t>
      </w:r>
    </w:p>
    <w:p w:rsidR="00813811" w:rsidRDefault="00813811" w:rsidP="00813811">
      <w:pPr>
        <w:pStyle w:val="IN"/>
      </w:pPr>
      <w:r>
        <w:t xml:space="preserve">The Research Portfolio sections are the following: 1. Defining an Area of Investigation, 2. Gathering and Analyzing Information, 3. Drawing Conclusions, 4. Discarded Material. </w:t>
      </w:r>
    </w:p>
    <w:p w:rsidR="00813811" w:rsidRDefault="00813811" w:rsidP="00813811">
      <w:pPr>
        <w:pStyle w:val="TA"/>
      </w:pPr>
      <w:r>
        <w:t xml:space="preserve">Instruct students to </w:t>
      </w:r>
      <w:r w:rsidR="003A1DCA">
        <w:t>place</w:t>
      </w:r>
      <w:r>
        <w:t xml:space="preserve"> the Student Research Plan in the front of the portfolio. </w:t>
      </w:r>
      <w:r w:rsidR="003A1DCA">
        <w:t xml:space="preserve">Instruct </w:t>
      </w:r>
      <w:r>
        <w:t xml:space="preserve">students to keep the Research Portfolio accessible because they may return to it during the </w:t>
      </w:r>
      <w:r w:rsidR="003A1DCA">
        <w:t>rest of lesson</w:t>
      </w:r>
      <w:r>
        <w:t xml:space="preserve">. </w:t>
      </w:r>
    </w:p>
    <w:p w:rsidR="00813811" w:rsidRDefault="00813811" w:rsidP="0050213C">
      <w:pPr>
        <w:pStyle w:val="TA"/>
      </w:pPr>
      <w:r>
        <w:t xml:space="preserve">Inform students that they will submit the Research Journal at the end of the lesson as part of the completed Research Portfolio. </w:t>
      </w:r>
    </w:p>
    <w:p w:rsidR="00707670" w:rsidRDefault="00D12732" w:rsidP="00707670">
      <w:pPr>
        <w:pStyle w:val="SA"/>
      </w:pPr>
      <w:r>
        <w:t xml:space="preserve">Students listen. </w:t>
      </w:r>
    </w:p>
    <w:p w:rsidR="00707670" w:rsidRDefault="00A4015E" w:rsidP="00707670">
      <w:pPr>
        <w:pStyle w:val="LearningSequenceHeader"/>
      </w:pPr>
      <w:r>
        <w:t>Activity 3</w:t>
      </w:r>
      <w:r w:rsidR="00813811">
        <w:t>:</w:t>
      </w:r>
      <w:r w:rsidR="00EC73A6">
        <w:t xml:space="preserve"> Developing an Evidence-Based </w:t>
      </w:r>
      <w:r w:rsidR="00083C0E">
        <w:t>Perspective</w:t>
      </w:r>
      <w:r w:rsidR="00813811">
        <w:tab/>
        <w:t>30</w:t>
      </w:r>
      <w:r w:rsidR="00707670" w:rsidRPr="00707670">
        <w:t>%</w:t>
      </w:r>
    </w:p>
    <w:p w:rsidR="00813811" w:rsidRDefault="00813811" w:rsidP="00813811">
      <w:pPr>
        <w:pStyle w:val="TA"/>
      </w:pPr>
      <w:r>
        <w:t xml:space="preserve">Remind students that through the research process they </w:t>
      </w:r>
      <w:r w:rsidR="003A1DCA">
        <w:t xml:space="preserve">learned to use questioning and develop their ideas about various sources to </w:t>
      </w:r>
      <w:r w:rsidR="00326FEE">
        <w:t>deepen their understanding of</w:t>
      </w:r>
      <w:r>
        <w:t xml:space="preserve"> a </w:t>
      </w:r>
      <w:r w:rsidR="00493B15">
        <w:t xml:space="preserve">research </w:t>
      </w:r>
      <w:r>
        <w:t>topic</w:t>
      </w:r>
      <w:r w:rsidR="00493B15">
        <w:t>/problem-based question</w:t>
      </w:r>
      <w:r>
        <w:t xml:space="preserve">. Students </w:t>
      </w:r>
      <w:r w:rsidR="00326FEE">
        <w:t>conducted inquiry for exploration,</w:t>
      </w:r>
      <w:r>
        <w:t xml:space="preserve"> not to prove an established </w:t>
      </w:r>
      <w:r w:rsidR="00493B15">
        <w:t xml:space="preserve">claim </w:t>
      </w:r>
      <w:r w:rsidR="00EC73A6">
        <w:t xml:space="preserve">about a topic. </w:t>
      </w:r>
      <w:r>
        <w:t xml:space="preserve">Explain to students that </w:t>
      </w:r>
      <w:r w:rsidR="003A1DCA">
        <w:t>now</w:t>
      </w:r>
      <w:r>
        <w:t xml:space="preserve"> they have an opportunity to look at the claims made in the previous lesson and discuss their developing </w:t>
      </w:r>
      <w:r w:rsidR="00083C0E">
        <w:t>perspective</w:t>
      </w:r>
      <w:r w:rsidR="00326FEE">
        <w:t>s</w:t>
      </w:r>
      <w:r w:rsidR="001C095D">
        <w:t xml:space="preserve"> </w:t>
      </w:r>
      <w:r>
        <w:t xml:space="preserve">about their </w:t>
      </w:r>
      <w:r w:rsidR="00527ABA">
        <w:t>problem-based question</w:t>
      </w:r>
      <w:r w:rsidR="00326FEE">
        <w:t>s</w:t>
      </w:r>
      <w:r>
        <w:t xml:space="preserve">. </w:t>
      </w:r>
    </w:p>
    <w:p w:rsidR="00B70843" w:rsidRDefault="00B70843" w:rsidP="008D2681">
      <w:pPr>
        <w:pStyle w:val="IN"/>
      </w:pPr>
      <w:r>
        <w:t>Consider reminding students of the</w:t>
      </w:r>
      <w:r w:rsidR="003A1DCA">
        <w:t xml:space="preserve"> following</w:t>
      </w:r>
      <w:r>
        <w:t xml:space="preserve"> definition</w:t>
      </w:r>
      <w:r w:rsidR="003A1DCA">
        <w:t>:</w:t>
      </w:r>
      <w:r>
        <w:t xml:space="preserve"> </w:t>
      </w:r>
      <w:r w:rsidRPr="003A1DCA">
        <w:rPr>
          <w:i/>
          <w:iCs/>
        </w:rPr>
        <w:t>perspective</w:t>
      </w:r>
      <w:r>
        <w:t xml:space="preserve"> </w:t>
      </w:r>
      <w:r w:rsidR="003A1DCA">
        <w:t>means “</w:t>
      </w:r>
      <w:r>
        <w:t>how one understands an issue, including his/her relationsh</w:t>
      </w:r>
      <w:r w:rsidR="003A1DCA">
        <w:t>ip to and analysis of the issue</w:t>
      </w:r>
      <w:r w:rsidR="00326FEE">
        <w:t>.</w:t>
      </w:r>
      <w:r w:rsidR="003A1DCA">
        <w:t>”</w:t>
      </w:r>
    </w:p>
    <w:p w:rsidR="00813811" w:rsidRDefault="006856D4" w:rsidP="00813811">
      <w:pPr>
        <w:pStyle w:val="TA"/>
      </w:pPr>
      <w:r>
        <w:t>Remind students of the work completed</w:t>
      </w:r>
      <w:r w:rsidR="001C095D">
        <w:t xml:space="preserve"> </w:t>
      </w:r>
      <w:r w:rsidR="003A1DCA">
        <w:t>on</w:t>
      </w:r>
      <w:r w:rsidR="001C095D">
        <w:t xml:space="preserve"> argument and central claim in 10.3.2 Lesson 5.</w:t>
      </w:r>
      <w:r w:rsidR="001046CF">
        <w:t xml:space="preserve"> </w:t>
      </w:r>
      <w:r w:rsidR="003A1DCA">
        <w:t>Provide students with the following definition</w:t>
      </w:r>
      <w:r w:rsidR="00167C08">
        <w:t>s and display them for students to see</w:t>
      </w:r>
      <w:r w:rsidR="003A1DCA">
        <w:t xml:space="preserve">: </w:t>
      </w:r>
      <w:r w:rsidR="00835EA1">
        <w:rPr>
          <w:i/>
        </w:rPr>
        <w:t xml:space="preserve">argument </w:t>
      </w:r>
      <w:r w:rsidR="003A1DCA">
        <w:t xml:space="preserve">means </w:t>
      </w:r>
      <w:r w:rsidR="00440E2C">
        <w:t>“</w:t>
      </w:r>
      <w:r w:rsidR="00E23923">
        <w:t>t</w:t>
      </w:r>
      <w:r w:rsidR="001C095D" w:rsidRPr="001C095D">
        <w:t>he composition of precise claims about a topic, including relevant and sufficient evidence, and valid reasoning</w:t>
      </w:r>
      <w:r w:rsidR="00440E2C">
        <w:t>”</w:t>
      </w:r>
      <w:r w:rsidR="00167C08">
        <w:t xml:space="preserve"> and</w:t>
      </w:r>
      <w:r w:rsidR="00D12732">
        <w:t xml:space="preserve"> </w:t>
      </w:r>
      <w:r w:rsidR="00D12732" w:rsidRPr="00167C08">
        <w:rPr>
          <w:i/>
          <w:iCs/>
        </w:rPr>
        <w:t>central claim</w:t>
      </w:r>
      <w:r w:rsidR="00167C08">
        <w:t xml:space="preserve"> means </w:t>
      </w:r>
      <w:r w:rsidR="00D12732">
        <w:t>“</w:t>
      </w:r>
      <w:r w:rsidR="00E23923">
        <w:t>a</w:t>
      </w:r>
      <w:r w:rsidR="00D12732" w:rsidRPr="00D12732">
        <w:t>n author or speaker’s main point about an issue</w:t>
      </w:r>
      <w:r w:rsidR="0073618D">
        <w:t xml:space="preserve"> </w:t>
      </w:r>
      <w:r w:rsidR="00D12732" w:rsidRPr="00D12732">
        <w:t>in an argument</w:t>
      </w:r>
      <w:r w:rsidR="00167C08">
        <w:t>.</w:t>
      </w:r>
      <w:r w:rsidR="00D12732">
        <w:t xml:space="preserve">” </w:t>
      </w:r>
      <w:r w:rsidR="00835EA1">
        <w:t>Explain to students that a</w:t>
      </w:r>
      <w:r w:rsidR="00D12732">
        <w:t xml:space="preserve"> central claim is the foundational claim </w:t>
      </w:r>
      <w:r w:rsidR="00D35056">
        <w:t>and core of</w:t>
      </w:r>
      <w:r w:rsidR="00D12732">
        <w:t xml:space="preserve"> an argument. </w:t>
      </w:r>
      <w:r w:rsidR="00813811">
        <w:t>It</w:t>
      </w:r>
      <w:r w:rsidR="00440E2C">
        <w:t xml:space="preserve"> could be considered a position</w:t>
      </w:r>
      <w:r w:rsidR="00813811">
        <w:t xml:space="preserve"> or </w:t>
      </w:r>
      <w:r w:rsidR="001046CF">
        <w:t xml:space="preserve">thesis </w:t>
      </w:r>
      <w:r w:rsidR="00813811">
        <w:t>on a topic.</w:t>
      </w:r>
      <w:r w:rsidR="001046CF">
        <w:t xml:space="preserve"> </w:t>
      </w:r>
    </w:p>
    <w:p w:rsidR="00813811" w:rsidRDefault="00813811" w:rsidP="00C11A24">
      <w:pPr>
        <w:pStyle w:val="TA"/>
      </w:pPr>
      <w:r>
        <w:t>Inform students they have already begun</w:t>
      </w:r>
      <w:r w:rsidR="00440E2C">
        <w:t xml:space="preserve"> to develop an argument</w:t>
      </w:r>
      <w:r>
        <w:t xml:space="preserve"> by analyzing the research and developing </w:t>
      </w:r>
      <w:r w:rsidR="007630A2">
        <w:t xml:space="preserve">comprehensive </w:t>
      </w:r>
      <w:r>
        <w:t>claim</w:t>
      </w:r>
      <w:r w:rsidR="001046CF">
        <w:t>s</w:t>
      </w:r>
      <w:r w:rsidR="007630A2">
        <w:t xml:space="preserve"> about the inquiry paths and problem-based question</w:t>
      </w:r>
      <w:r w:rsidR="001046CF">
        <w:t xml:space="preserve">. </w:t>
      </w:r>
      <w:r w:rsidR="00326FEE">
        <w:t>This lesson’</w:t>
      </w:r>
      <w:r w:rsidR="001046CF">
        <w:t>s work, developing an evidence-based perspective</w:t>
      </w:r>
      <w:r w:rsidR="00326FEE">
        <w:t>,</w:t>
      </w:r>
      <w:r w:rsidR="001046CF">
        <w:t xml:space="preserve"> will help students </w:t>
      </w:r>
      <w:r w:rsidR="00326FEE">
        <w:t>develop</w:t>
      </w:r>
      <w:r w:rsidR="00C11A24">
        <w:t xml:space="preserve"> a central claim that they will develop</w:t>
      </w:r>
      <w:r w:rsidR="00326FEE">
        <w:t xml:space="preserve"> further</w:t>
      </w:r>
      <w:r w:rsidR="00C11A24">
        <w:t xml:space="preserve"> and confirm in the following unit.</w:t>
      </w:r>
      <w:r w:rsidR="00C11A24" w:rsidRPr="00C11A24">
        <w:t xml:space="preserve"> </w:t>
      </w:r>
      <w:r w:rsidR="00167C08">
        <w:t>Inform</w:t>
      </w:r>
      <w:r w:rsidR="00C11A24">
        <w:t xml:space="preserve"> students that </w:t>
      </w:r>
      <w:r w:rsidR="00326FEE">
        <w:t xml:space="preserve">this lesson’s </w:t>
      </w:r>
      <w:r w:rsidR="00C11A24">
        <w:t>assessment</w:t>
      </w:r>
      <w:r w:rsidR="00167C08">
        <w:t xml:space="preserve"> asks them to</w:t>
      </w:r>
      <w:r w:rsidR="00C11A24">
        <w:t xml:space="preserve"> reflect on their current understanding of their problem-based question now that they have created claims about it. </w:t>
      </w:r>
    </w:p>
    <w:p w:rsidR="00434B12" w:rsidRDefault="00434B12" w:rsidP="00434B12">
      <w:pPr>
        <w:pStyle w:val="SA"/>
      </w:pPr>
      <w:r>
        <w:t>Students listen.</w:t>
      </w:r>
    </w:p>
    <w:p w:rsidR="00813811" w:rsidRPr="00A4015E" w:rsidRDefault="00167C08" w:rsidP="00A4015E">
      <w:pPr>
        <w:pStyle w:val="TA"/>
      </w:pPr>
      <w:r w:rsidRPr="00A4015E">
        <w:t xml:space="preserve">Instruct students to reflect on their claims from the previous lessons (Organizing Evidence-Based Claims Tools) using the guiding questions below. Ask students to take notes on a separate sheet of paper about each guiding question, as they reflect on the claims and the research process as a whole. </w:t>
      </w:r>
      <w:r w:rsidR="00813811" w:rsidRPr="00A4015E">
        <w:t xml:space="preserve">Display the following guiding questions for students: </w:t>
      </w:r>
    </w:p>
    <w:p w:rsidR="00813811" w:rsidRDefault="00813811" w:rsidP="00813811">
      <w:pPr>
        <w:pStyle w:val="Q"/>
      </w:pPr>
      <w:r>
        <w:t xml:space="preserve">How has your understanding of the </w:t>
      </w:r>
      <w:r w:rsidR="00527ABA">
        <w:t>problem-based question</w:t>
      </w:r>
      <w:r>
        <w:t xml:space="preserve"> developed or deepened as a result of the research?</w:t>
      </w:r>
    </w:p>
    <w:p w:rsidR="00813811" w:rsidRDefault="00813811" w:rsidP="00813811">
      <w:pPr>
        <w:pStyle w:val="Q"/>
      </w:pPr>
      <w:r>
        <w:t xml:space="preserve">Based on your claims, what ideas can you connect and what do those connections tell you about the </w:t>
      </w:r>
      <w:r w:rsidR="00527ABA">
        <w:t>problem-based question</w:t>
      </w:r>
      <w:r>
        <w:t xml:space="preserve">? </w:t>
      </w:r>
    </w:p>
    <w:p w:rsidR="00813811" w:rsidRDefault="00813811" w:rsidP="00813811">
      <w:pPr>
        <w:pStyle w:val="Q"/>
      </w:pPr>
      <w:r>
        <w:t xml:space="preserve">Based on your claims, what </w:t>
      </w:r>
      <w:r w:rsidR="00D23DEC">
        <w:t>are</w:t>
      </w:r>
      <w:r>
        <w:t xml:space="preserve"> your overall view</w:t>
      </w:r>
      <w:r w:rsidR="006856D4">
        <w:t>s</w:t>
      </w:r>
      <w:r>
        <w:t xml:space="preserve"> or opinion</w:t>
      </w:r>
      <w:r w:rsidR="006856D4">
        <w:t>s</w:t>
      </w:r>
      <w:r>
        <w:t xml:space="preserve"> about the </w:t>
      </w:r>
      <w:r w:rsidR="00527ABA">
        <w:t>problem-based question</w:t>
      </w:r>
      <w:r>
        <w:t>? How did the research lead you to these views or opinions?</w:t>
      </w:r>
    </w:p>
    <w:p w:rsidR="00813811" w:rsidRPr="00167C08" w:rsidRDefault="00813811" w:rsidP="00A4015E">
      <w:pPr>
        <w:pStyle w:val="SA"/>
        <w:rPr>
          <w:rFonts w:asciiTheme="minorHAnsi" w:eastAsia="Times New Roman" w:hAnsiTheme="minorHAnsi" w:cs="Arial"/>
          <w:color w:val="222222"/>
          <w:shd w:val="clear" w:color="auto" w:fill="FFFFFF"/>
        </w:rPr>
      </w:pPr>
      <w:r>
        <w:t>Student</w:t>
      </w:r>
      <w:r w:rsidR="00167C08">
        <w:t xml:space="preserve">s </w:t>
      </w:r>
      <w:r w:rsidR="00B70843" w:rsidRPr="00167C08">
        <w:rPr>
          <w:shd w:val="clear" w:color="auto" w:fill="FFFFFF"/>
        </w:rPr>
        <w:t xml:space="preserve">reflect on their research by writing notes about each guiding question. </w:t>
      </w:r>
    </w:p>
    <w:p w:rsidR="00813811" w:rsidRDefault="00813811" w:rsidP="00813811">
      <w:pPr>
        <w:pStyle w:val="BR"/>
      </w:pPr>
    </w:p>
    <w:p w:rsidR="001C095D" w:rsidRDefault="00167C08" w:rsidP="001C095D">
      <w:pPr>
        <w:spacing w:before="0" w:after="0" w:line="240" w:lineRule="auto"/>
        <w:rPr>
          <w:rFonts w:asciiTheme="minorHAnsi" w:eastAsia="Times New Roman" w:hAnsiTheme="minorHAnsi" w:cs="Arial"/>
          <w:color w:val="222222"/>
          <w:shd w:val="clear" w:color="auto" w:fill="FFFFFF"/>
        </w:rPr>
      </w:pPr>
      <w:r>
        <w:t>Explain to students that their discussions should continue the work of collaborative discussion outlined in SL.9-10.1, to which students were previously introduced. Remind students these discussion strategies have been taught in previous modules.</w:t>
      </w:r>
    </w:p>
    <w:p w:rsidR="00902619" w:rsidRDefault="00902619" w:rsidP="00902619">
      <w:pPr>
        <w:pStyle w:val="IN"/>
      </w:pPr>
      <w:r w:rsidRPr="003A6E23">
        <w:t xml:space="preserve">Encourage students to </w:t>
      </w:r>
      <w:r w:rsidR="00326FEE">
        <w:t>keep in mind the</w:t>
      </w:r>
      <w:r w:rsidRPr="003A6E23">
        <w:t xml:space="preserve"> Module Performance Assessment </w:t>
      </w:r>
      <w:r w:rsidR="00326FEE">
        <w:t>as they practice</w:t>
      </w:r>
      <w:r w:rsidRPr="003A6E23">
        <w:t xml:space="preserve"> the skills inherent in the Speaking and Listening Standards during this discussion activity. Remind students that they </w:t>
      </w:r>
      <w:r w:rsidR="00326FEE">
        <w:t>will present</w:t>
      </w:r>
      <w:r w:rsidRPr="003A6E23">
        <w:t xml:space="preserve"> their research orally at the end of the module and that this activity provides an opportunity to begin preparing for the assessment presentation. </w:t>
      </w:r>
    </w:p>
    <w:p w:rsidR="001C095D" w:rsidRDefault="00813811" w:rsidP="00813811">
      <w:pPr>
        <w:pStyle w:val="TA"/>
      </w:pPr>
      <w:r>
        <w:t>Instruct students to form small groups and discuss the guiding questions regarding their respective</w:t>
      </w:r>
      <w:r w:rsidR="0038753E">
        <w:t xml:space="preserve"> problem-based questions. </w:t>
      </w:r>
      <w:r>
        <w:t xml:space="preserve">Remind students to use specific evidence to support their conclusions or reflections about the research work. </w:t>
      </w:r>
      <w:r w:rsidR="0037798A">
        <w:t xml:space="preserve">Additionally, remind students to take notes during the discussion for later use when writing the Evidence-Based Perspective. </w:t>
      </w:r>
    </w:p>
    <w:p w:rsidR="00813811" w:rsidRDefault="00813811" w:rsidP="00813811">
      <w:pPr>
        <w:pStyle w:val="SR"/>
      </w:pPr>
      <w:r>
        <w:t xml:space="preserve">Student responses will vary based on individual student’s </w:t>
      </w:r>
      <w:r w:rsidR="00527ABA">
        <w:t>problem-based question</w:t>
      </w:r>
      <w:r>
        <w:t xml:space="preserve">. Examples of student responses may include: </w:t>
      </w:r>
    </w:p>
    <w:p w:rsidR="00813811" w:rsidRDefault="00813811" w:rsidP="00813811">
      <w:pPr>
        <w:pStyle w:val="SASRBullet"/>
      </w:pPr>
      <w:r>
        <w:t xml:space="preserve">I now understand </w:t>
      </w:r>
      <w:r w:rsidR="00BC2621">
        <w:t>how patients</w:t>
      </w:r>
      <w:r w:rsidR="00167C08">
        <w:t>’</w:t>
      </w:r>
      <w:r w:rsidR="00BC2621">
        <w:t xml:space="preserve"> rights affect doctors as well as each patient. I found a number of historical examples of patients misunderstanding or misrepresenting doctors</w:t>
      </w:r>
      <w:r w:rsidR="00D23DEC">
        <w:t>’</w:t>
      </w:r>
      <w:r w:rsidR="00BC2621">
        <w:t xml:space="preserve"> actions. The establishment of patients</w:t>
      </w:r>
      <w:r w:rsidR="00167C08">
        <w:t>’</w:t>
      </w:r>
      <w:r w:rsidR="00BC2621">
        <w:t xml:space="preserve"> rights needs to respect both parties.</w:t>
      </w:r>
    </w:p>
    <w:p w:rsidR="00813811" w:rsidRDefault="00813811" w:rsidP="00813811">
      <w:pPr>
        <w:pStyle w:val="SASRBullet"/>
      </w:pPr>
      <w:r>
        <w:t xml:space="preserve">How </w:t>
      </w:r>
      <w:r w:rsidR="00BC2621">
        <w:t>we identify who has rights to tissues or genetic information is made mu</w:t>
      </w:r>
      <w:r w:rsidR="00CD3E3F">
        <w:t>ch more complicated by patents</w:t>
      </w:r>
      <w:r w:rsidR="00BC2621">
        <w:t xml:space="preserve"> and </w:t>
      </w:r>
      <w:r w:rsidR="00CD3E3F">
        <w:t>the ability to</w:t>
      </w:r>
      <w:r w:rsidR="00BC2621">
        <w:t xml:space="preserve"> alter genetic information for</w:t>
      </w:r>
      <w:r w:rsidR="00CD3E3F">
        <w:t xml:space="preserve"> certain purposes, like pest-</w:t>
      </w:r>
      <w:r w:rsidR="00BC2621">
        <w:t>resistant crops grown from GMOs.</w:t>
      </w:r>
    </w:p>
    <w:p w:rsidR="00813811" w:rsidRDefault="00813811" w:rsidP="00813811">
      <w:pPr>
        <w:pStyle w:val="IN"/>
      </w:pPr>
      <w:r>
        <w:t xml:space="preserve">Circulate </w:t>
      </w:r>
      <w:r w:rsidR="00D23DEC">
        <w:t>during</w:t>
      </w:r>
      <w:r>
        <w:t xml:space="preserve"> student group discussi</w:t>
      </w:r>
      <w:r w:rsidR="00D23DEC">
        <w:t>ons</w:t>
      </w:r>
      <w:r>
        <w:t xml:space="preserve"> to monitor student progress.</w:t>
      </w:r>
    </w:p>
    <w:p w:rsidR="00707670" w:rsidRDefault="00813811" w:rsidP="00707670">
      <w:pPr>
        <w:pStyle w:val="IN"/>
      </w:pPr>
      <w:r w:rsidRPr="00636A9B">
        <w:rPr>
          <w:shd w:val="clear" w:color="auto" w:fill="FFFFFF"/>
        </w:rPr>
        <w:t xml:space="preserve">Place students in heterogeneous groups of </w:t>
      </w:r>
      <w:r>
        <w:rPr>
          <w:shd w:val="clear" w:color="auto" w:fill="FFFFFF"/>
        </w:rPr>
        <w:t>four to five</w:t>
      </w:r>
      <w:r w:rsidRPr="00636A9B">
        <w:rPr>
          <w:shd w:val="clear" w:color="auto" w:fill="FFFFFF"/>
        </w:rPr>
        <w:t xml:space="preser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w:t>
      </w:r>
    </w:p>
    <w:p w:rsidR="00707670" w:rsidRDefault="00A4015E" w:rsidP="00707670">
      <w:pPr>
        <w:pStyle w:val="LearningSequenceHeader"/>
      </w:pPr>
      <w:r>
        <w:t>Activity 4</w:t>
      </w:r>
      <w:r w:rsidR="00292B8B">
        <w:t xml:space="preserve">: </w:t>
      </w:r>
      <w:r w:rsidR="0029681D">
        <w:t xml:space="preserve">10.3.2 </w:t>
      </w:r>
      <w:r w:rsidR="00292B8B">
        <w:t xml:space="preserve">End-of-Unit Assessment: </w:t>
      </w:r>
      <w:r w:rsidR="00CC48FD">
        <w:t>Evidence-Based Perspective</w:t>
      </w:r>
      <w:r w:rsidR="001B1461">
        <w:tab/>
        <w:t>30</w:t>
      </w:r>
      <w:r w:rsidR="00707670" w:rsidRPr="00707670">
        <w:t>%</w:t>
      </w:r>
    </w:p>
    <w:p w:rsidR="00813811" w:rsidRDefault="00813811" w:rsidP="00813811">
      <w:pPr>
        <w:pStyle w:val="TA"/>
      </w:pPr>
      <w:r>
        <w:t xml:space="preserve">Inform students they will now </w:t>
      </w:r>
      <w:r w:rsidR="00CD3E3F">
        <w:t xml:space="preserve">complete the </w:t>
      </w:r>
      <w:r w:rsidR="0029681D">
        <w:t xml:space="preserve">10.3.2 </w:t>
      </w:r>
      <w:r w:rsidR="00CD3E3F">
        <w:t xml:space="preserve">End-of-Unit Assessment by </w:t>
      </w:r>
      <w:r>
        <w:t>writ</w:t>
      </w:r>
      <w:r w:rsidR="00CD3E3F">
        <w:t>ing</w:t>
      </w:r>
      <w:r>
        <w:t xml:space="preserve"> about their Evidence-Based </w:t>
      </w:r>
      <w:r w:rsidR="00083C0E">
        <w:t>Perspective</w:t>
      </w:r>
      <w:r w:rsidR="009F0D2E">
        <w:t xml:space="preserve"> </w:t>
      </w:r>
      <w:r>
        <w:t>in a one-page synthesis</w:t>
      </w:r>
      <w:r w:rsidR="00CD3E3F">
        <w:t>,</w:t>
      </w:r>
      <w:r>
        <w:t xml:space="preserve"> using their research evidence and details for support.</w:t>
      </w:r>
    </w:p>
    <w:p w:rsidR="00CD3E3F" w:rsidRDefault="00813811" w:rsidP="00CD3E3F">
      <w:pPr>
        <w:pStyle w:val="TA"/>
      </w:pPr>
      <w:r>
        <w:t>Instruct students to use their Organizing Evidence-Based Claims Tools from the previous lesson</w:t>
      </w:r>
      <w:r w:rsidR="0037798A">
        <w:t>s</w:t>
      </w:r>
      <w:r>
        <w:t xml:space="preserve"> and their discussion notes from t</w:t>
      </w:r>
      <w:r w:rsidR="00B17433">
        <w:t xml:space="preserve">he previous activity to write </w:t>
      </w:r>
      <w:r>
        <w:t>about their</w:t>
      </w:r>
      <w:r w:rsidR="00B17433">
        <w:t xml:space="preserve"> developing </w:t>
      </w:r>
      <w:r w:rsidR="00083C0E">
        <w:t>perspective</w:t>
      </w:r>
      <w:r w:rsidR="00326FEE">
        <w:t>s</w:t>
      </w:r>
      <w:r w:rsidR="00B17433">
        <w:t xml:space="preserve"> regarding their</w:t>
      </w:r>
      <w:r>
        <w:t xml:space="preserve"> </w:t>
      </w:r>
      <w:r w:rsidR="00527ABA">
        <w:t>problem-based question</w:t>
      </w:r>
      <w:r w:rsidR="00326FEE">
        <w:t>s</w:t>
      </w:r>
      <w:r>
        <w:t xml:space="preserve">. Remind students that their </w:t>
      </w:r>
      <w:r w:rsidR="00083C0E">
        <w:t>perspective</w:t>
      </w:r>
      <w:r w:rsidR="00932FD4">
        <w:t>s</w:t>
      </w:r>
      <w:r w:rsidR="00B17433">
        <w:t xml:space="preserve"> </w:t>
      </w:r>
      <w:r>
        <w:t xml:space="preserve">must be supported with evidence elicited from the research, so they should use specific research from the Research Portfolio. Remind students </w:t>
      </w:r>
      <w:r w:rsidR="00CD3E3F">
        <w:t>that</w:t>
      </w:r>
      <w:r>
        <w:t xml:space="preserve"> the focus for this w</w:t>
      </w:r>
      <w:r w:rsidR="00AF139B">
        <w:t>riting</w:t>
      </w:r>
      <w:r w:rsidR="00CD3E3F">
        <w:t xml:space="preserve"> is</w:t>
      </w:r>
      <w:r w:rsidR="00AF139B">
        <w:t xml:space="preserve"> to develop a</w:t>
      </w:r>
      <w:r w:rsidR="009F0D2E">
        <w:t xml:space="preserve"> </w:t>
      </w:r>
      <w:r w:rsidR="00083C0E">
        <w:t>perspective</w:t>
      </w:r>
      <w:r w:rsidR="00932FD4">
        <w:t xml:space="preserve"> on the research, </w:t>
      </w:r>
      <w:r>
        <w:t>not</w:t>
      </w:r>
      <w:r w:rsidR="00932FD4">
        <w:t xml:space="preserve"> to</w:t>
      </w:r>
      <w:r>
        <w:t xml:space="preserve"> summarize all </w:t>
      </w:r>
      <w:r w:rsidR="00932FD4">
        <w:t xml:space="preserve">of </w:t>
      </w:r>
      <w:r>
        <w:t>the research outcomes.</w:t>
      </w:r>
      <w:r w:rsidR="00CD3E3F" w:rsidRPr="00CD3E3F">
        <w:t xml:space="preserve"> </w:t>
      </w:r>
      <w:r w:rsidR="00CD3E3F">
        <w:t xml:space="preserve">Remind students to paraphrase and quote the evidence correctly when crafting the perspective. </w:t>
      </w:r>
    </w:p>
    <w:p w:rsidR="00CD3E3F" w:rsidRDefault="00CD3E3F" w:rsidP="00CD3E3F">
      <w:pPr>
        <w:pStyle w:val="IN"/>
      </w:pPr>
      <w:r>
        <w:t xml:space="preserve">Students learned how to paraphrase and quote evidence correctly in Module 10.1.   </w:t>
      </w:r>
    </w:p>
    <w:p w:rsidR="00CD3E3F" w:rsidRDefault="00CD3E3F" w:rsidP="00813811">
      <w:pPr>
        <w:pStyle w:val="TA"/>
      </w:pPr>
      <w:r>
        <w:t xml:space="preserve">Distribute the </w:t>
      </w:r>
      <w:r w:rsidR="0029681D">
        <w:t xml:space="preserve">10.3.2 End-of-Unit </w:t>
      </w:r>
      <w:r>
        <w:t>Evidence-Based Perspective Rubric. Explain that the Evidence-Based Perspective Rubric should guide their writing.</w:t>
      </w:r>
    </w:p>
    <w:p w:rsidR="00813811" w:rsidRDefault="00813811" w:rsidP="00813811">
      <w:pPr>
        <w:pStyle w:val="SA"/>
      </w:pPr>
      <w:r>
        <w:t>Students listen.</w:t>
      </w:r>
    </w:p>
    <w:p w:rsidR="00813811" w:rsidRDefault="00813811" w:rsidP="00813811">
      <w:pPr>
        <w:pStyle w:val="TA"/>
      </w:pPr>
      <w:proofErr w:type="gramStart"/>
      <w:r>
        <w:t>Transition students</w:t>
      </w:r>
      <w:r w:rsidR="00AF139B">
        <w:t xml:space="preserve"> to writing the </w:t>
      </w:r>
      <w:r w:rsidR="00CD3E3F">
        <w:t>End-of-Unit Assessment</w:t>
      </w:r>
      <w:r w:rsidR="00AF139B">
        <w:t>.</w:t>
      </w:r>
      <w:proofErr w:type="gramEnd"/>
    </w:p>
    <w:p w:rsidR="00813811" w:rsidRDefault="00813811" w:rsidP="00813811">
      <w:pPr>
        <w:pStyle w:val="SA"/>
      </w:pPr>
      <w:r>
        <w:t>Students independently write an Evidence-Base</w:t>
      </w:r>
      <w:r w:rsidR="00AF139B">
        <w:t>d</w:t>
      </w:r>
      <w:r w:rsidR="009F0D2E">
        <w:t xml:space="preserve"> </w:t>
      </w:r>
      <w:r w:rsidR="0073618D">
        <w:t>Perspective</w:t>
      </w:r>
      <w:r w:rsidR="00CD3E3F">
        <w:t xml:space="preserve"> for the End-of-Unit Assessment.</w:t>
      </w:r>
    </w:p>
    <w:p w:rsidR="00813811" w:rsidRDefault="00813811" w:rsidP="00546993">
      <w:pPr>
        <w:pStyle w:val="SR"/>
      </w:pPr>
      <w:r>
        <w:t>See the High Performance Response at the beginning of the lesson.</w:t>
      </w:r>
    </w:p>
    <w:p w:rsidR="009403AD" w:rsidRPr="00563CB8" w:rsidRDefault="00C5015B" w:rsidP="009277DA">
      <w:pPr>
        <w:pStyle w:val="LearningSequenceHeader"/>
        <w:keepNext/>
      </w:pPr>
      <w:r>
        <w:t xml:space="preserve">Activity </w:t>
      </w:r>
      <w:r w:rsidR="00A4015E">
        <w:t>5</w:t>
      </w:r>
      <w:r w:rsidR="009403AD" w:rsidRPr="00563CB8">
        <w:t xml:space="preserve">: </w:t>
      </w:r>
      <w:r w:rsidR="009403AD">
        <w:t>Closing</w:t>
      </w:r>
      <w:r w:rsidR="009403AD" w:rsidRPr="00563CB8">
        <w:tab/>
      </w:r>
      <w:r w:rsidR="009403AD">
        <w:t>5</w:t>
      </w:r>
      <w:r w:rsidR="009403AD" w:rsidRPr="00563CB8">
        <w:t>%</w:t>
      </w:r>
    </w:p>
    <w:p w:rsidR="00813811" w:rsidRDefault="00813811" w:rsidP="00813811">
      <w:pPr>
        <w:pStyle w:val="TA"/>
      </w:pPr>
      <w:r>
        <w:t xml:space="preserve">Instruct students to file the Organizing Evidence-Based Claims Tools from the previous activity in Section 3 of the Research Portfolio. Instruct students to remove the </w:t>
      </w:r>
      <w:r w:rsidR="00CD3E3F">
        <w:t>v</w:t>
      </w:r>
      <w:r>
        <w:t xml:space="preserve">ocabulary </w:t>
      </w:r>
      <w:r w:rsidR="00CD3E3F">
        <w:t>j</w:t>
      </w:r>
      <w:r>
        <w:t>ourna</w:t>
      </w:r>
      <w:r w:rsidR="00CD3E3F">
        <w:t>l from the Research Portfolio, which they need to keep for their homework.</w:t>
      </w:r>
    </w:p>
    <w:p w:rsidR="00813811" w:rsidRDefault="00813811" w:rsidP="00813811">
      <w:pPr>
        <w:pStyle w:val="TA"/>
      </w:pPr>
      <w:r>
        <w:t>Collect the Research Portfolio</w:t>
      </w:r>
      <w:r w:rsidR="00A4015E">
        <w:t>s</w:t>
      </w:r>
      <w:r>
        <w:t xml:space="preserve">. </w:t>
      </w:r>
    </w:p>
    <w:p w:rsidR="00813811" w:rsidRDefault="00813811" w:rsidP="00813811">
      <w:pPr>
        <w:pStyle w:val="IN"/>
      </w:pPr>
      <w:r>
        <w:t xml:space="preserve">Make sure students have the Research Journal in the Research Portfolio for assessment purposes. </w:t>
      </w:r>
    </w:p>
    <w:p w:rsidR="00813811" w:rsidRDefault="00813811" w:rsidP="00813811">
      <w:pPr>
        <w:pStyle w:val="BR"/>
      </w:pPr>
    </w:p>
    <w:p w:rsidR="00813811" w:rsidRDefault="00813811" w:rsidP="00813811">
      <w:pPr>
        <w:pStyle w:val="TA"/>
      </w:pPr>
      <w:r>
        <w:t xml:space="preserve">Display and distribute the homework assignment. For homework, instruct students to complete the following vocabulary activity using the </w:t>
      </w:r>
      <w:r w:rsidR="00CD3E3F">
        <w:t>v</w:t>
      </w:r>
      <w:r>
        <w:t xml:space="preserve">ocabulary </w:t>
      </w:r>
      <w:r w:rsidR="00CD3E3F">
        <w:t>j</w:t>
      </w:r>
      <w:r>
        <w:t>ournal from this unit</w:t>
      </w:r>
      <w:r w:rsidR="00112B04">
        <w:t>:</w:t>
      </w:r>
      <w:r>
        <w:t xml:space="preserve"> </w:t>
      </w:r>
    </w:p>
    <w:p w:rsidR="00813811" w:rsidRDefault="00813811" w:rsidP="00CD3E3F">
      <w:pPr>
        <w:pStyle w:val="Q"/>
      </w:pPr>
      <w:r>
        <w:t xml:space="preserve">Choose three to five words or phrases from the research (sources) that were important in deepening your understanding of the </w:t>
      </w:r>
      <w:r w:rsidR="00527ABA">
        <w:t>problem-based question</w:t>
      </w:r>
      <w:r>
        <w:t xml:space="preserve">. In </w:t>
      </w:r>
      <w:r w:rsidR="00112B04">
        <w:t>the</w:t>
      </w:r>
      <w:r w:rsidR="003E39AB">
        <w:t xml:space="preserve"> first</w:t>
      </w:r>
      <w:r>
        <w:t xml:space="preserve"> paragraph, discuss how the three to five words helped you better understand the </w:t>
      </w:r>
      <w:r w:rsidR="00527ABA">
        <w:t>problem-based question</w:t>
      </w:r>
      <w:r>
        <w:t>.</w:t>
      </w:r>
    </w:p>
    <w:p w:rsidR="005407B3" w:rsidRDefault="003E39AB" w:rsidP="00CD3E3F">
      <w:pPr>
        <w:pStyle w:val="Q"/>
      </w:pPr>
      <w:r>
        <w:t>Next</w:t>
      </w:r>
      <w:r w:rsidR="00112B04">
        <w:t>,</w:t>
      </w:r>
      <w:r>
        <w:t xml:space="preserve"> choose three to five words or phrases from your vocabulary journal that assisted your</w:t>
      </w:r>
      <w:r w:rsidR="005407B3">
        <w:t xml:space="preserve"> understanding of</w:t>
      </w:r>
      <w:r w:rsidR="004524F5">
        <w:t xml:space="preserve"> the</w:t>
      </w:r>
      <w:r w:rsidR="005407B3">
        <w:t xml:space="preserve"> research</w:t>
      </w:r>
      <w:r w:rsidR="004524F5">
        <w:t xml:space="preserve"> process</w:t>
      </w:r>
      <w:r w:rsidR="005407B3">
        <w:t xml:space="preserve">. </w:t>
      </w:r>
      <w:r>
        <w:t xml:space="preserve">In your second paragraph, describe how the three to five words enhanced your understanding of the </w:t>
      </w:r>
      <w:r w:rsidR="005407B3">
        <w:t>research process.</w:t>
      </w:r>
    </w:p>
    <w:p w:rsidR="00813811" w:rsidRDefault="00813811">
      <w:pPr>
        <w:pStyle w:val="SA"/>
      </w:pPr>
      <w:r>
        <w:t xml:space="preserve">Students follow along. </w:t>
      </w:r>
    </w:p>
    <w:p w:rsidR="00813811" w:rsidRDefault="00813811" w:rsidP="00813811">
      <w:pPr>
        <w:pStyle w:val="IN"/>
      </w:pPr>
      <w:r>
        <w:t>See a sample stude</w:t>
      </w:r>
      <w:r w:rsidR="00AF139B">
        <w:t>nt response of the homework in 10.3.3</w:t>
      </w:r>
      <w:r>
        <w:t xml:space="preserve"> Lesson 1 (Homework Accountability).</w:t>
      </w:r>
    </w:p>
    <w:p w:rsidR="009403AD" w:rsidRDefault="00813811" w:rsidP="00707670">
      <w:pPr>
        <w:pStyle w:val="IN"/>
      </w:pPr>
      <w:r>
        <w:t xml:space="preserve">Students </w:t>
      </w:r>
      <w:r w:rsidR="00932FD4">
        <w:t>will need the</w:t>
      </w:r>
      <w:r>
        <w:t xml:space="preserve"> Research Portfolio in Unit 3 in order to write the research paper. </w:t>
      </w:r>
    </w:p>
    <w:p w:rsidR="00C4787C" w:rsidRDefault="00C4787C" w:rsidP="00E946A0">
      <w:pPr>
        <w:pStyle w:val="Heading1"/>
      </w:pPr>
      <w:r>
        <w:t>Homework</w:t>
      </w:r>
    </w:p>
    <w:p w:rsidR="00813811" w:rsidRDefault="00813811" w:rsidP="00813811">
      <w:pPr>
        <w:pStyle w:val="TA"/>
      </w:pPr>
      <w:r>
        <w:t xml:space="preserve">Complete the following vocabulary activity using the </w:t>
      </w:r>
      <w:r w:rsidR="00CD3E3F">
        <w:t>vocabulary j</w:t>
      </w:r>
      <w:r>
        <w:t xml:space="preserve">ournal from this unit. </w:t>
      </w:r>
    </w:p>
    <w:p w:rsidR="00813811" w:rsidRDefault="00813811" w:rsidP="00CD3E3F">
      <w:pPr>
        <w:pStyle w:val="Q"/>
      </w:pPr>
      <w:r>
        <w:t xml:space="preserve">Choose three to five words or phrases from the research (sources) that were important in deepening your understanding of the </w:t>
      </w:r>
      <w:r w:rsidR="00527ABA">
        <w:t>problem-based question</w:t>
      </w:r>
      <w:r>
        <w:t xml:space="preserve">. In </w:t>
      </w:r>
      <w:r w:rsidR="003E39AB">
        <w:t xml:space="preserve">your first </w:t>
      </w:r>
      <w:r>
        <w:t>paragraph, discuss how the three to five words helped you better under</w:t>
      </w:r>
      <w:r w:rsidR="00A07970">
        <w:t>stand your</w:t>
      </w:r>
      <w:r>
        <w:t xml:space="preserve"> </w:t>
      </w:r>
      <w:r w:rsidR="00527ABA">
        <w:t>problem-based question</w:t>
      </w:r>
      <w:r>
        <w:t>.</w:t>
      </w:r>
    </w:p>
    <w:p w:rsidR="00D36412" w:rsidRPr="00A4015E" w:rsidRDefault="003E39AB" w:rsidP="00A4015E">
      <w:pPr>
        <w:pStyle w:val="Q"/>
      </w:pPr>
      <w:r>
        <w:t>Next</w:t>
      </w:r>
      <w:r w:rsidR="00E608E9">
        <w:t xml:space="preserve">, </w:t>
      </w:r>
      <w:r>
        <w:t>choose three to five words or phrases from your vocabulary journal that assisted your</w:t>
      </w:r>
      <w:r w:rsidR="00864CE9">
        <w:t xml:space="preserve"> understanding of the research process. </w:t>
      </w:r>
      <w:r>
        <w:t>In your second paragraph, describe how the three to five words enhanced your understanding of</w:t>
      </w:r>
      <w:r w:rsidR="00A07970">
        <w:t xml:space="preserve"> the research process as a whole</w:t>
      </w:r>
      <w:r>
        <w:t>.</w:t>
      </w:r>
      <w:r w:rsidR="005837C5">
        <w:rPr>
          <w:i/>
        </w:rPr>
        <w:br w:type="page"/>
      </w:r>
    </w:p>
    <w:p w:rsidR="00813811" w:rsidRPr="002B014F" w:rsidRDefault="0029681D" w:rsidP="002B014F">
      <w:pPr>
        <w:pStyle w:val="ToolHeader"/>
      </w:pPr>
      <w:r>
        <w:t xml:space="preserve">10.3.2 </w:t>
      </w:r>
      <w:r w:rsidR="00813811" w:rsidRPr="00CA24B8">
        <w:t>End-of-Unit Assessment</w:t>
      </w:r>
    </w:p>
    <w:p w:rsidR="00813811" w:rsidRPr="00D333B4" w:rsidRDefault="00813811" w:rsidP="00813811">
      <w:pPr>
        <w:jc w:val="center"/>
        <w:rPr>
          <w:b/>
        </w:rPr>
      </w:pPr>
      <w:r>
        <w:rPr>
          <w:b/>
        </w:rPr>
        <w:t xml:space="preserve">Evidence-Based </w:t>
      </w:r>
      <w:r w:rsidR="0073618D">
        <w:rPr>
          <w:b/>
        </w:rPr>
        <w:t>Perspective</w:t>
      </w:r>
    </w:p>
    <w:p w:rsidR="00813811" w:rsidRDefault="00813811" w:rsidP="00813811">
      <w:pPr>
        <w:spacing w:before="0" w:after="120" w:line="240" w:lineRule="auto"/>
      </w:pPr>
      <w:r w:rsidRPr="00F17A60">
        <w:rPr>
          <w:b/>
        </w:rPr>
        <w:t xml:space="preserve">Your Task: </w:t>
      </w:r>
      <w:r w:rsidRPr="005D02A4">
        <w:t xml:space="preserve">Write a one-page synthesis of your personal conclusions and </w:t>
      </w:r>
      <w:r w:rsidR="0073618D">
        <w:t>perspective</w:t>
      </w:r>
      <w:r w:rsidRPr="005D02A4">
        <w:t xml:space="preserve"> derived from your research. Draw on your research outcomes, as developed in the Organizing Evidence-Based Claims Tools to express your </w:t>
      </w:r>
      <w:r w:rsidR="0073618D">
        <w:t>perspective</w:t>
      </w:r>
      <w:r w:rsidRPr="005D02A4">
        <w:t xml:space="preserve"> on your </w:t>
      </w:r>
      <w:r w:rsidR="00527ABA">
        <w:t>problem-based question</w:t>
      </w:r>
      <w:r w:rsidRPr="005D02A4">
        <w:t>.</w:t>
      </w:r>
    </w:p>
    <w:p w:rsidR="00A4015E" w:rsidRDefault="00A4015E" w:rsidP="00813811">
      <w:pPr>
        <w:spacing w:before="0" w:after="120" w:line="240" w:lineRule="auto"/>
        <w:rPr>
          <w:b/>
        </w:rPr>
      </w:pPr>
    </w:p>
    <w:p w:rsidR="00813811" w:rsidRDefault="00813811" w:rsidP="00813811">
      <w:pPr>
        <w:spacing w:after="120"/>
      </w:pPr>
      <w:r w:rsidRPr="005D02A4">
        <w:t xml:space="preserve">Your writing will be assessed using the </w:t>
      </w:r>
      <w:r w:rsidR="0029681D">
        <w:t xml:space="preserve">10.3.2 End-of-Unit </w:t>
      </w:r>
      <w:r w:rsidRPr="005D02A4">
        <w:t xml:space="preserve">Evidence-Based </w:t>
      </w:r>
      <w:r w:rsidR="0073618D">
        <w:t>Perspective</w:t>
      </w:r>
      <w:r w:rsidRPr="005D02A4">
        <w:t xml:space="preserve"> Rubric</w:t>
      </w:r>
      <w:r>
        <w:t>.</w:t>
      </w:r>
    </w:p>
    <w:p w:rsidR="00A4015E" w:rsidRDefault="00A4015E" w:rsidP="00813811">
      <w:pPr>
        <w:spacing w:after="120"/>
      </w:pPr>
    </w:p>
    <w:p w:rsidR="00813811" w:rsidRPr="00D333B4" w:rsidRDefault="00813811" w:rsidP="00813811">
      <w:pPr>
        <w:spacing w:after="60"/>
        <w:rPr>
          <w:b/>
        </w:rPr>
      </w:pPr>
      <w:r>
        <w:rPr>
          <w:b/>
        </w:rPr>
        <w:t>Guidelines</w:t>
      </w:r>
    </w:p>
    <w:p w:rsidR="00813811" w:rsidRPr="00D333B4" w:rsidRDefault="00813811" w:rsidP="00813811">
      <w:pPr>
        <w:spacing w:after="0"/>
        <w:ind w:left="360"/>
        <w:rPr>
          <w:b/>
        </w:rPr>
      </w:pPr>
      <w:r w:rsidRPr="00D333B4">
        <w:rPr>
          <w:b/>
        </w:rPr>
        <w:t>Be sure to:</w:t>
      </w:r>
    </w:p>
    <w:p w:rsidR="00813811" w:rsidRDefault="00813811" w:rsidP="00813811">
      <w:pPr>
        <w:pStyle w:val="ListParagraph"/>
        <w:numPr>
          <w:ilvl w:val="0"/>
          <w:numId w:val="39"/>
        </w:numPr>
      </w:pPr>
      <w:r>
        <w:t xml:space="preserve">Develop a </w:t>
      </w:r>
      <w:r w:rsidR="0073618D">
        <w:t>perspective</w:t>
      </w:r>
      <w:r>
        <w:t xml:space="preserve"> on the research, and not</w:t>
      </w:r>
      <w:r w:rsidR="00A4015E">
        <w:t xml:space="preserve"> a</w:t>
      </w:r>
      <w:r>
        <w:t xml:space="preserve"> summary</w:t>
      </w:r>
      <w:r w:rsidR="001D1078">
        <w:t xml:space="preserve"> of</w:t>
      </w:r>
      <w:r>
        <w:t xml:space="preserve"> all the research outcomes. </w:t>
      </w:r>
    </w:p>
    <w:p w:rsidR="00813811" w:rsidRDefault="00813811" w:rsidP="00813811">
      <w:pPr>
        <w:pStyle w:val="ListParagraph"/>
        <w:numPr>
          <w:ilvl w:val="0"/>
          <w:numId w:val="39"/>
        </w:numPr>
      </w:pPr>
      <w:r>
        <w:t xml:space="preserve">Support your </w:t>
      </w:r>
      <w:r w:rsidR="0073618D">
        <w:t>perspective</w:t>
      </w:r>
      <w:r>
        <w:t xml:space="preserve"> with relevant evidence from your research.</w:t>
      </w:r>
    </w:p>
    <w:p w:rsidR="00813811" w:rsidRDefault="00813811" w:rsidP="00813811">
      <w:pPr>
        <w:pStyle w:val="ListParagraph"/>
        <w:numPr>
          <w:ilvl w:val="0"/>
          <w:numId w:val="39"/>
        </w:numPr>
      </w:pPr>
      <w:r>
        <w:t xml:space="preserve">Organize your </w:t>
      </w:r>
      <w:r w:rsidR="0073618D">
        <w:t>perspective</w:t>
      </w:r>
      <w:r>
        <w:t xml:space="preserve"> using the claims you developed on your Organizing Evidence-Based Claims Tools (based on your inquiry paths).</w:t>
      </w:r>
    </w:p>
    <w:p w:rsidR="00813811" w:rsidRDefault="00813811" w:rsidP="00813811">
      <w:pPr>
        <w:pStyle w:val="ListParagraph"/>
        <w:numPr>
          <w:ilvl w:val="0"/>
          <w:numId w:val="39"/>
        </w:numPr>
      </w:pPr>
      <w:r>
        <w:t>Use specific research from your Research Portfolio to support your claim(s).</w:t>
      </w:r>
    </w:p>
    <w:p w:rsidR="00813811" w:rsidRDefault="00813811" w:rsidP="00813811">
      <w:pPr>
        <w:pStyle w:val="ListParagraph"/>
        <w:numPr>
          <w:ilvl w:val="0"/>
          <w:numId w:val="39"/>
        </w:numPr>
      </w:pPr>
      <w:r>
        <w:t>Organize your ideas in a cohesive and coherent manner.</w:t>
      </w:r>
    </w:p>
    <w:p w:rsidR="00813811" w:rsidRDefault="00813811" w:rsidP="00813811">
      <w:pPr>
        <w:pStyle w:val="ListParagraph"/>
        <w:numPr>
          <w:ilvl w:val="0"/>
          <w:numId w:val="39"/>
        </w:numPr>
      </w:pPr>
      <w:r>
        <w:t>Use precise language appropriate for your task.</w:t>
      </w:r>
    </w:p>
    <w:p w:rsidR="00813811" w:rsidRDefault="00813811" w:rsidP="00813811">
      <w:pPr>
        <w:pStyle w:val="ListParagraph"/>
        <w:numPr>
          <w:ilvl w:val="0"/>
          <w:numId w:val="39"/>
        </w:numPr>
      </w:pPr>
      <w:r>
        <w:t>Follow the conventions of standard written English.</w:t>
      </w:r>
    </w:p>
    <w:p w:rsidR="001E6372" w:rsidRDefault="001E6372" w:rsidP="001E6372">
      <w:pPr>
        <w:pStyle w:val="ListParagraph"/>
      </w:pPr>
    </w:p>
    <w:tbl>
      <w:tblPr>
        <w:tblStyle w:val="TableGrid1"/>
        <w:tblW w:w="0" w:type="auto"/>
        <w:shd w:val="clear" w:color="auto" w:fill="D9D9D9"/>
        <w:tblLook w:val="04A0"/>
      </w:tblPr>
      <w:tblGrid>
        <w:gridCol w:w="9576"/>
      </w:tblGrid>
      <w:tr w:rsidR="00813811" w:rsidRPr="00CA24B8" w:rsidTr="00813811">
        <w:tc>
          <w:tcPr>
            <w:tcW w:w="9576" w:type="dxa"/>
            <w:shd w:val="clear" w:color="auto" w:fill="D9D9D9"/>
          </w:tcPr>
          <w:p w:rsidR="00813811" w:rsidRPr="00D333B4" w:rsidRDefault="00A4015E" w:rsidP="00813811">
            <w:pPr>
              <w:spacing w:after="60"/>
              <w:rPr>
                <w:rFonts w:asciiTheme="minorHAnsi" w:hAnsiTheme="minorHAnsi"/>
              </w:rPr>
            </w:pPr>
            <w:r>
              <w:rPr>
                <w:rFonts w:asciiTheme="minorHAnsi" w:hAnsiTheme="minorHAnsi"/>
                <w:b/>
              </w:rPr>
              <w:t>CCS</w:t>
            </w:r>
            <w:r w:rsidR="00813811" w:rsidRPr="00D333B4">
              <w:rPr>
                <w:rFonts w:asciiTheme="minorHAnsi" w:hAnsiTheme="minorHAnsi"/>
                <w:b/>
              </w:rPr>
              <w:t>S:</w:t>
            </w:r>
            <w:r w:rsidR="00813811" w:rsidRPr="00D333B4">
              <w:rPr>
                <w:rFonts w:asciiTheme="minorHAnsi" w:hAnsiTheme="minorHAnsi"/>
              </w:rPr>
              <w:t xml:space="preserve"> </w:t>
            </w:r>
            <w:r w:rsidR="00813811" w:rsidRPr="005D02A4">
              <w:rPr>
                <w:rFonts w:asciiTheme="minorHAnsi" w:hAnsiTheme="minorHAnsi"/>
              </w:rPr>
              <w:t>W.9-10.7; W.9-10.9</w:t>
            </w:r>
          </w:p>
          <w:p w:rsidR="00813811" w:rsidRPr="00D333B4" w:rsidRDefault="00813811" w:rsidP="00813811">
            <w:pPr>
              <w:spacing w:after="60"/>
              <w:rPr>
                <w:rFonts w:asciiTheme="minorHAnsi" w:hAnsiTheme="minorHAnsi"/>
                <w:b/>
              </w:rPr>
            </w:pPr>
            <w:r w:rsidRPr="00D333B4">
              <w:rPr>
                <w:rFonts w:asciiTheme="minorHAnsi" w:hAnsiTheme="minorHAnsi"/>
                <w:b/>
              </w:rPr>
              <w:t>Commentary on the Task:</w:t>
            </w:r>
          </w:p>
          <w:p w:rsidR="00813811" w:rsidRDefault="00813811" w:rsidP="00813811">
            <w:pPr>
              <w:pStyle w:val="SASRBullet"/>
              <w:numPr>
                <w:ilvl w:val="0"/>
                <w:numId w:val="0"/>
              </w:numPr>
              <w:rPr>
                <w:rFonts w:asciiTheme="minorHAnsi" w:hAnsiTheme="minorHAnsi"/>
              </w:rPr>
            </w:pPr>
            <w:r w:rsidRPr="004F0646">
              <w:rPr>
                <w:rFonts w:asciiTheme="minorHAnsi" w:hAnsiTheme="minorHAnsi"/>
              </w:rPr>
              <w:t xml:space="preserve">This task measures </w:t>
            </w:r>
            <w:r w:rsidRPr="005D02A4">
              <w:rPr>
                <w:rFonts w:asciiTheme="minorHAnsi" w:hAnsiTheme="minorHAnsi"/>
              </w:rPr>
              <w:t xml:space="preserve">W.9-10.7 </w:t>
            </w:r>
            <w:r w:rsidRPr="004F0646">
              <w:rPr>
                <w:rFonts w:asciiTheme="minorHAnsi" w:hAnsiTheme="minorHAnsi"/>
              </w:rPr>
              <w:t>because it demands that students:</w:t>
            </w:r>
          </w:p>
          <w:p w:rsidR="00813811" w:rsidRPr="005D02A4" w:rsidRDefault="00813811" w:rsidP="00813811">
            <w:pPr>
              <w:pStyle w:val="ListParagraph"/>
              <w:numPr>
                <w:ilvl w:val="0"/>
                <w:numId w:val="41"/>
              </w:numPr>
              <w:ind w:left="720"/>
              <w:rPr>
                <w:rFonts w:asciiTheme="minorHAnsi" w:hAnsiTheme="minorHAnsi"/>
              </w:rPr>
            </w:pPr>
            <w:r w:rsidRPr="005D02A4">
              <w:rPr>
                <w:rFonts w:asciiTheme="minorHAnsi" w:hAnsiTheme="minorHAnsi"/>
              </w:rPr>
              <w:t>Conduct short as well as more sustained research projects to answer a question (including a self-generated question) or solve a problem</w:t>
            </w:r>
          </w:p>
          <w:p w:rsidR="00813811" w:rsidRPr="005D02A4" w:rsidRDefault="00813811" w:rsidP="00813811">
            <w:pPr>
              <w:pStyle w:val="ListParagraph"/>
              <w:numPr>
                <w:ilvl w:val="0"/>
                <w:numId w:val="41"/>
              </w:numPr>
              <w:ind w:left="720"/>
              <w:rPr>
                <w:rFonts w:asciiTheme="minorHAnsi" w:hAnsiTheme="minorHAnsi"/>
              </w:rPr>
            </w:pPr>
            <w:r w:rsidRPr="005D02A4">
              <w:rPr>
                <w:rFonts w:asciiTheme="minorHAnsi" w:hAnsiTheme="minorHAnsi"/>
              </w:rPr>
              <w:t>Narrow or broaden the inquiry when appropriate</w:t>
            </w:r>
          </w:p>
          <w:p w:rsidR="00813811" w:rsidRPr="005D02A4" w:rsidRDefault="00813811" w:rsidP="00813811">
            <w:pPr>
              <w:pStyle w:val="ListParagraph"/>
              <w:numPr>
                <w:ilvl w:val="0"/>
                <w:numId w:val="41"/>
              </w:numPr>
              <w:ind w:left="720"/>
              <w:rPr>
                <w:rFonts w:asciiTheme="minorHAnsi" w:hAnsiTheme="minorHAnsi"/>
              </w:rPr>
            </w:pPr>
            <w:r w:rsidRPr="005D02A4">
              <w:rPr>
                <w:rFonts w:asciiTheme="minorHAnsi" w:hAnsiTheme="minorHAnsi"/>
              </w:rPr>
              <w:t>Synthesize multiple sources on the subject, demonstrating understanding of the subject under investigation</w:t>
            </w:r>
          </w:p>
          <w:p w:rsidR="00813811" w:rsidRPr="005D02A4" w:rsidRDefault="00813811" w:rsidP="00813811">
            <w:pPr>
              <w:pStyle w:val="SASRBullet"/>
              <w:numPr>
                <w:ilvl w:val="0"/>
                <w:numId w:val="0"/>
              </w:numPr>
              <w:rPr>
                <w:rFonts w:asciiTheme="minorHAnsi" w:hAnsiTheme="minorHAnsi"/>
              </w:rPr>
            </w:pPr>
            <w:r w:rsidRPr="005D02A4">
              <w:rPr>
                <w:rFonts w:asciiTheme="minorHAnsi" w:hAnsiTheme="minorHAnsi"/>
              </w:rPr>
              <w:t>This task measures W.9-10.9 because it demands that students:</w:t>
            </w:r>
          </w:p>
          <w:p w:rsidR="00813811" w:rsidRDefault="00813811" w:rsidP="00813811">
            <w:pPr>
              <w:pStyle w:val="ListParagraph"/>
              <w:numPr>
                <w:ilvl w:val="0"/>
                <w:numId w:val="40"/>
              </w:numPr>
              <w:spacing w:before="0" w:after="0" w:line="240" w:lineRule="auto"/>
              <w:rPr>
                <w:rFonts w:asciiTheme="minorHAnsi" w:hAnsiTheme="minorHAnsi"/>
              </w:rPr>
            </w:pPr>
            <w:r w:rsidRPr="005D02A4">
              <w:rPr>
                <w:rFonts w:asciiTheme="minorHAnsi" w:hAnsiTheme="minorHAnsi"/>
              </w:rPr>
              <w:t>Draw evidence from literary or informational texts to support analysis, reflection, and research</w:t>
            </w:r>
          </w:p>
          <w:p w:rsidR="00813811" w:rsidRPr="005D02A4" w:rsidRDefault="00813811" w:rsidP="00813811">
            <w:pPr>
              <w:pStyle w:val="ListParagraph"/>
              <w:spacing w:before="0" w:after="0" w:line="240" w:lineRule="auto"/>
              <w:rPr>
                <w:rFonts w:asciiTheme="minorHAnsi" w:hAnsiTheme="minorHAnsi"/>
              </w:rPr>
            </w:pPr>
          </w:p>
        </w:tc>
      </w:tr>
    </w:tbl>
    <w:p w:rsidR="00920367" w:rsidRDefault="00920367" w:rsidP="00813811">
      <w:pPr>
        <w:pStyle w:val="BulletedList"/>
        <w:numPr>
          <w:ilvl w:val="0"/>
          <w:numId w:val="0"/>
        </w:numPr>
      </w:pPr>
    </w:p>
    <w:p w:rsidR="00A3272E" w:rsidRDefault="00A3272E">
      <w:pPr>
        <w:spacing w:before="0" w:after="0" w:line="240" w:lineRule="auto"/>
      </w:pPr>
      <w:r>
        <w:br w:type="page"/>
      </w:r>
    </w:p>
    <w:p w:rsidR="00A3272E" w:rsidRDefault="00A3272E" w:rsidP="00A3272E">
      <w:pPr>
        <w:pStyle w:val="ToolHeader"/>
      </w:pPr>
      <w:r>
        <w:t>Model Evidence-Based Perspective</w:t>
      </w:r>
    </w:p>
    <w:p w:rsidR="00A3272E" w:rsidRDefault="00A3272E" w:rsidP="00A3272E">
      <w:r w:rsidRPr="00ED6ACF">
        <w:t xml:space="preserve">I became interested in learning more about tissue ownership because my mother once had surgery to remove a benign tumor. While we were reading </w:t>
      </w:r>
      <w:r w:rsidRPr="00ED6ACF">
        <w:rPr>
          <w:i/>
        </w:rPr>
        <w:t>The Immortal Life of Henrietta Lacks</w:t>
      </w:r>
      <w:r w:rsidRPr="00ED6ACF">
        <w:t>, I wondered whether my mother’s cells might be in a scientist’s lab somewhere, and what rights my mother or I would have to those cells if they were used for research we did not support</w:t>
      </w:r>
      <w:r>
        <w:t>.</w:t>
      </w:r>
      <w:r w:rsidRPr="00ED6ACF">
        <w:t xml:space="preserve"> </w:t>
      </w:r>
      <w:r>
        <w:t>After I did some initial research on tissue ownership, I discovered that patients’ rights to their own tissues are limited, and that many researchers and scientists are against individuals retaining ownership or control of their tissue samples.</w:t>
      </w:r>
    </w:p>
    <w:p w:rsidR="00A3272E" w:rsidRDefault="00A3272E" w:rsidP="00A3272E">
      <w:r>
        <w:t xml:space="preserve">I learned through my research that legalities of tissue ownership should be clearly defined because doctors and researchers can profit from tissue taken from patients. Tissue banks, not individuals, have control over tissue samples due to court cases that have ruled in the tissue banks’ favor. In the article, “Body of Research” it was stated that “courts found that state law provided little basis for granting patients a property interest in their voluntarily donated, excised tissue.” There is an argument against allowing individuals to have control over their excised tissue. According to Schmidt, “If left unregulated and to the whims of [donors], these highly prized biological materials would become nothing more than chattel going to the highest bidder.” Instead, excised tissue can fall into the hands of tissue banks, which “appear to have de facto ownership over sample inventories and the right to use them as they wish.” Once tissue is removed from the body, tissue banks are free to sell the tissue to biotechnology companies for profit. Patients do grant the tissue banks the rights to give or sell the leftover specimens to the biotechnology companies through permission forms. However, these tissues are not used only for medical research. In fact, according to Schmidt, “[a] good proportion of these body parts are processed and sold for profit and become such items as putty and collagen.” This means that anyone’s tissue can be accessed by biotechnology companies for profit. </w:t>
      </w:r>
    </w:p>
    <w:p w:rsidR="00A3272E" w:rsidRPr="00B3047A" w:rsidRDefault="00A3272E" w:rsidP="00A3272E">
      <w:pPr>
        <w:rPr>
          <w:rFonts w:cs="Times"/>
        </w:rPr>
      </w:pPr>
      <w:r w:rsidRPr="00B3047A">
        <w:t xml:space="preserve">I also think that granting </w:t>
      </w:r>
      <w:proofErr w:type="gramStart"/>
      <w:r w:rsidRPr="00B3047A">
        <w:t>researchers</w:t>
      </w:r>
      <w:proofErr w:type="gramEnd"/>
      <w:r w:rsidRPr="00B3047A">
        <w:t xml:space="preserve"> control of the tissues is not the answer. Granting rights to researchers can possibly incentivize them to do harm to patients and possibly lie or deceive patients, as happened with John Moore in </w:t>
      </w:r>
      <w:r w:rsidRPr="00B3047A">
        <w:rPr>
          <w:i/>
        </w:rPr>
        <w:t>The Immortal Life of Henrietta Lacks</w:t>
      </w:r>
      <w:r w:rsidRPr="00B3047A">
        <w:t>. According to Skloot, John M</w:t>
      </w:r>
      <w:r>
        <w:t>o</w:t>
      </w:r>
      <w:r w:rsidRPr="00B3047A">
        <w:t xml:space="preserve">ore was deceived for years about his invaluable tissue while the doctor was able to retain a patent, allowing him to profit from Moore’s tissue. It also allows researchers to perform research that can violate the privacy of the donors, as happened with </w:t>
      </w:r>
      <w:r w:rsidRPr="00B3047A">
        <w:rPr>
          <w:rFonts w:cs="TimesNewRomanPSMT"/>
        </w:rPr>
        <w:t>the Havasupai Indian tribe:</w:t>
      </w:r>
      <w:r w:rsidRPr="00B3047A">
        <w:t xml:space="preserve"> “</w:t>
      </w:r>
      <w:r w:rsidRPr="00B3047A">
        <w:rPr>
          <w:rFonts w:cs="TimesNewRomanPSMT"/>
        </w:rPr>
        <w:t>[they] were outraged to find that tissues they had donated to Arizona State University for diabetes research were also used in what they viewed as potentially stigmatizing studies of schizophrenia, inbreeding, and population migration.” According to Schmidt, “</w:t>
      </w:r>
      <w:r w:rsidRPr="00B3047A">
        <w:t xml:space="preserve">What’s more, some genetic data obtained from publicly funded research will be </w:t>
      </w:r>
      <w:r>
        <w:t>posted online, making it avail</w:t>
      </w:r>
      <w:r w:rsidRPr="00B3047A">
        <w:t>able to insurance companies and</w:t>
      </w:r>
      <w:r w:rsidRPr="00A4015E">
        <w:rPr>
          <w:rFonts w:asciiTheme="minorHAnsi" w:eastAsia="MS Gothic" w:hAnsiTheme="minorHAnsi" w:cs="MS Gothic"/>
        </w:rPr>
        <w:t xml:space="preserve"> </w:t>
      </w:r>
      <w:r w:rsidRPr="00B3047A">
        <w:t>others who would use it to the</w:t>
      </w:r>
      <w:r w:rsidRPr="00A4015E">
        <w:rPr>
          <w:rFonts w:asciiTheme="minorHAnsi" w:eastAsia="MS Gothic" w:hAnsiTheme="minorHAnsi" w:cs="MS Gothic"/>
        </w:rPr>
        <w:t xml:space="preserve"> </w:t>
      </w:r>
      <w:r w:rsidRPr="00B3047A">
        <w:t>donor</w:t>
      </w:r>
      <w:r w:rsidRPr="00B3047A">
        <w:rPr>
          <w:rFonts w:cs="Calibri"/>
        </w:rPr>
        <w:t>’</w:t>
      </w:r>
      <w:r w:rsidRPr="00B3047A">
        <w:t>s detriment.</w:t>
      </w:r>
      <w:r>
        <w:t>”</w:t>
      </w:r>
    </w:p>
    <w:p w:rsidR="00A3272E" w:rsidRDefault="00A3272E" w:rsidP="00A3272E">
      <w:r>
        <w:t xml:space="preserve">Finally, some tissues are sold already: sperm, eggs, blood, plasma, and hair can be sold, and in some cases, bone marrow can be sold as well. However, according to Park, “In a concession to the spirit of NOTA, however, the compensation can't be in cash; it needs to be in the form of a voucher that can be applied to things such as scholarships, education, housing or a donation to a charity.” This suggests that selling tissue is an ethical problem that must be addressed. Although this market seems to be operating well for many people, it might be better if tissue could only be donated, and not sold. That would mean changing the laws so no one can legally profit from the sale of body parts or fluids of any kind. People would donate their tissues if they wanted to, without any strings attached, and researchers could only use what was donated, and not buy any tissues. </w:t>
      </w:r>
    </w:p>
    <w:p w:rsidR="00A3272E" w:rsidRPr="00BE59EE" w:rsidRDefault="00A3272E" w:rsidP="00A3272E">
      <w:pPr>
        <w:spacing w:before="0" w:after="0" w:line="240" w:lineRule="auto"/>
        <w:rPr>
          <w:sz w:val="18"/>
          <w:szCs w:val="18"/>
        </w:rPr>
      </w:pPr>
      <w:r w:rsidRPr="00BE59EE">
        <w:rPr>
          <w:sz w:val="18"/>
          <w:szCs w:val="18"/>
        </w:rPr>
        <w:t>*The evidence in this High-Performance Response comes from these sources: Source #1 “A Court Allows Payment for Bone Marrow. Should People Be Able to Sell Their Parts?”</w:t>
      </w:r>
      <w:r>
        <w:rPr>
          <w:sz w:val="18"/>
          <w:szCs w:val="18"/>
        </w:rPr>
        <w:t xml:space="preserve"> by Alice Park (</w:t>
      </w:r>
      <w:hyperlink r:id="rId8" w:history="1">
        <w:r w:rsidRPr="00E24CED">
          <w:rPr>
            <w:rStyle w:val="Hyperlink"/>
            <w:sz w:val="18"/>
            <w:szCs w:val="18"/>
          </w:rPr>
          <w:t>http://healthland.time.com/2012/07/02/a-court-allows-payment-for-bone-marrow-should-people-be-able-to-sell-their-parts/</w:t>
        </w:r>
      </w:hyperlink>
      <w:r>
        <w:rPr>
          <w:sz w:val="18"/>
          <w:szCs w:val="18"/>
        </w:rPr>
        <w:t xml:space="preserve">), </w:t>
      </w:r>
      <w:r w:rsidRPr="00BE59EE">
        <w:rPr>
          <w:sz w:val="18"/>
          <w:szCs w:val="18"/>
        </w:rPr>
        <w:t>Source #4 “Tissue Banks Trigger Worry About Ownership Issues”</w:t>
      </w:r>
      <w:r>
        <w:rPr>
          <w:sz w:val="18"/>
          <w:szCs w:val="18"/>
        </w:rPr>
        <w:t xml:space="preserve"> by Charlie Schmidt (</w:t>
      </w:r>
      <w:hyperlink r:id="rId9" w:history="1">
        <w:r w:rsidRPr="00E24CED">
          <w:rPr>
            <w:rStyle w:val="Hyperlink"/>
            <w:sz w:val="18"/>
            <w:szCs w:val="18"/>
          </w:rPr>
          <w:t>http://www.oxfordjournals.org/</w:t>
        </w:r>
      </w:hyperlink>
      <w:r>
        <w:rPr>
          <w:sz w:val="18"/>
          <w:szCs w:val="18"/>
        </w:rPr>
        <w:t xml:space="preserve">), </w:t>
      </w:r>
      <w:r w:rsidRPr="00BE59EE">
        <w:rPr>
          <w:sz w:val="18"/>
          <w:szCs w:val="18"/>
        </w:rPr>
        <w:t>Source #5 “Human Tissue For Sale: What Are the Costs?”</w:t>
      </w:r>
      <w:r>
        <w:rPr>
          <w:sz w:val="18"/>
          <w:szCs w:val="18"/>
        </w:rPr>
        <w:t xml:space="preserve"> by Deborah Josefson (</w:t>
      </w:r>
      <w:hyperlink r:id="rId10" w:history="1">
        <w:r w:rsidRPr="00E24CED">
          <w:rPr>
            <w:rStyle w:val="Hyperlink"/>
            <w:sz w:val="18"/>
            <w:szCs w:val="18"/>
          </w:rPr>
          <w:t>http://www.ncbi.nlm.nih.gov/pmc/</w:t>
        </w:r>
      </w:hyperlink>
      <w:r>
        <w:rPr>
          <w:sz w:val="18"/>
          <w:szCs w:val="18"/>
        </w:rPr>
        <w:t>), Source #6 “My Body, My Property</w:t>
      </w:r>
      <w:r w:rsidRPr="00BE59EE">
        <w:rPr>
          <w:sz w:val="18"/>
          <w:szCs w:val="18"/>
        </w:rPr>
        <w:t>”</w:t>
      </w:r>
      <w:r>
        <w:rPr>
          <w:sz w:val="18"/>
          <w:szCs w:val="18"/>
        </w:rPr>
        <w:t xml:space="preserve"> by Lori B. Andrews (</w:t>
      </w:r>
      <w:hyperlink r:id="rId11" w:history="1">
        <w:r w:rsidRPr="00E24CED">
          <w:rPr>
            <w:rStyle w:val="Hyperlink"/>
            <w:sz w:val="18"/>
            <w:szCs w:val="18"/>
          </w:rPr>
          <w:t>http://chicagotribune.com/</w:t>
        </w:r>
      </w:hyperlink>
      <w:r>
        <w:rPr>
          <w:sz w:val="18"/>
          <w:szCs w:val="18"/>
        </w:rPr>
        <w:t xml:space="preserve">), and Source #7 </w:t>
      </w:r>
      <w:r w:rsidRPr="00BE59EE">
        <w:rPr>
          <w:sz w:val="18"/>
          <w:szCs w:val="18"/>
        </w:rPr>
        <w:t>“Body of Research — Ow</w:t>
      </w:r>
      <w:r>
        <w:rPr>
          <w:sz w:val="18"/>
          <w:szCs w:val="18"/>
        </w:rPr>
        <w:t>nership and Use of Human Tissue</w:t>
      </w:r>
      <w:r w:rsidRPr="00BE59EE">
        <w:rPr>
          <w:sz w:val="18"/>
          <w:szCs w:val="18"/>
        </w:rPr>
        <w:t>”</w:t>
      </w:r>
      <w:r>
        <w:rPr>
          <w:sz w:val="18"/>
          <w:szCs w:val="18"/>
        </w:rPr>
        <w:t xml:space="preserve"> by R. Alta Charo (</w:t>
      </w:r>
      <w:hyperlink r:id="rId12" w:history="1">
        <w:r w:rsidRPr="00E24CED">
          <w:rPr>
            <w:rStyle w:val="Hyperlink"/>
            <w:sz w:val="18"/>
            <w:szCs w:val="18"/>
          </w:rPr>
          <w:t>http://www.nejm.org/</w:t>
        </w:r>
      </w:hyperlink>
      <w:r>
        <w:rPr>
          <w:sz w:val="18"/>
          <w:szCs w:val="18"/>
        </w:rPr>
        <w:t xml:space="preserve">). </w:t>
      </w:r>
    </w:p>
    <w:p w:rsidR="00A3272E" w:rsidRPr="00BE59EE" w:rsidRDefault="00A3272E" w:rsidP="00A3272E">
      <w:pPr>
        <w:rPr>
          <w:sz w:val="18"/>
          <w:szCs w:val="18"/>
        </w:rPr>
      </w:pPr>
    </w:p>
    <w:p w:rsidR="00920367" w:rsidRDefault="00920367">
      <w:pPr>
        <w:spacing w:before="0" w:after="0" w:line="240" w:lineRule="auto"/>
      </w:pPr>
      <w:r>
        <w:br w:type="page"/>
      </w:r>
    </w:p>
    <w:p w:rsidR="00CF4180" w:rsidRDefault="00CF4180" w:rsidP="00920367">
      <w:pPr>
        <w:spacing w:before="0" w:after="0" w:line="240" w:lineRule="auto"/>
        <w:sectPr w:rsidR="00CF4180" w:rsidSect="004713C2">
          <w:headerReference w:type="default" r:id="rId13"/>
          <w:footerReference w:type="even" r:id="rId14"/>
          <w:footerReference w:type="default" r:id="rId15"/>
          <w:pgSz w:w="12240" w:h="15840"/>
          <w:pgMar w:top="1440" w:right="1440" w:bottom="1440" w:left="1440" w:header="432" w:footer="648" w:gutter="0"/>
          <w:cols w:space="720"/>
          <w:docGrid w:linePitch="299"/>
        </w:sectPr>
      </w:pPr>
    </w:p>
    <w:p w:rsidR="00CD399A" w:rsidRDefault="0029681D" w:rsidP="00CD399A">
      <w:pPr>
        <w:pStyle w:val="ToolHeader"/>
      </w:pPr>
      <w:r>
        <w:t xml:space="preserve">10.3.2 End-of-Unit </w:t>
      </w:r>
      <w:bookmarkStart w:id="0" w:name="_GoBack"/>
      <w:r w:rsidR="00CD399A" w:rsidRPr="00AE4EF8">
        <w:t>Evidence</w:t>
      </w:r>
      <w:r w:rsidR="00C151C7">
        <w:t>-</w:t>
      </w:r>
      <w:r w:rsidR="00CD399A" w:rsidRPr="00AE4EF8">
        <w:t xml:space="preserve">Based </w:t>
      </w:r>
      <w:r w:rsidR="0073618D">
        <w:t>Perspective</w:t>
      </w:r>
      <w:r>
        <w:t xml:space="preserve"> Rubric</w:t>
      </w:r>
      <w:bookmarkEnd w:id="0"/>
      <w:r>
        <w:t xml:space="preserve"> </w:t>
      </w:r>
    </w:p>
    <w:p w:rsidR="00CD399A" w:rsidRDefault="00CD399A" w:rsidP="002B014F">
      <w:pPr>
        <w:spacing w:after="120"/>
      </w:pPr>
      <w:r w:rsidRPr="00AE4EF8">
        <w:rPr>
          <w:b/>
        </w:rPr>
        <w:t xml:space="preserve">CCSS.ELA-Literacy.W.9-10.7 </w:t>
      </w:r>
      <w:r w:rsidRPr="00AE4EF8">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D399A" w:rsidRPr="00646B59" w:rsidRDefault="00CD399A" w:rsidP="002B014F">
      <w:pPr>
        <w:spacing w:after="120"/>
      </w:pPr>
      <w:r w:rsidRPr="00AE4EF8">
        <w:rPr>
          <w:b/>
        </w:rPr>
        <w:t>CCSS.ELA-Literacy.W.9-10.9</w:t>
      </w:r>
      <w:r w:rsidRPr="00AE4EF8">
        <w:t xml:space="preserve"> Draw evidence from literary or informational texts to support analysis, reflection, and research.</w:t>
      </w:r>
    </w:p>
    <w:tbl>
      <w:tblPr>
        <w:tblW w:w="13158" w:type="dxa"/>
        <w:tblBorders>
          <w:top w:val="nil"/>
          <w:left w:val="nil"/>
          <w:bottom w:val="nil"/>
          <w:right w:val="nil"/>
        </w:tblBorders>
        <w:tblLayout w:type="fixed"/>
        <w:tblLook w:val="0000"/>
      </w:tblPr>
      <w:tblGrid>
        <w:gridCol w:w="2808"/>
        <w:gridCol w:w="2587"/>
        <w:gridCol w:w="2588"/>
        <w:gridCol w:w="2587"/>
        <w:gridCol w:w="2588"/>
      </w:tblGrid>
      <w:tr w:rsidR="00CD399A" w:rsidRPr="003075DD" w:rsidTr="00CD399A">
        <w:trPr>
          <w:trHeight w:val="329"/>
          <w:tblHeader/>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99A" w:rsidRPr="003075DD" w:rsidRDefault="00CD399A" w:rsidP="00CD399A">
            <w:pPr>
              <w:pStyle w:val="ToolTableText"/>
              <w:spacing w:before="80" w:after="80"/>
              <w:rPr>
                <w:b/>
                <w:sz w:val="18"/>
                <w:szCs w:val="18"/>
              </w:rPr>
            </w:pPr>
            <w:r w:rsidRPr="003075DD">
              <w:rPr>
                <w:b/>
                <w:sz w:val="18"/>
                <w:szCs w:val="18"/>
              </w:rPr>
              <w:t>Criteria</w:t>
            </w:r>
          </w:p>
        </w:tc>
        <w:tc>
          <w:tcPr>
            <w:tcW w:w="2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99A" w:rsidRPr="003075DD" w:rsidRDefault="00CD399A" w:rsidP="00CD399A">
            <w:pPr>
              <w:pStyle w:val="ToolTableText"/>
              <w:spacing w:before="80" w:after="80"/>
              <w:jc w:val="center"/>
              <w:rPr>
                <w:b/>
                <w:sz w:val="18"/>
                <w:szCs w:val="18"/>
              </w:rPr>
            </w:pPr>
            <w:r w:rsidRPr="003075DD">
              <w:rPr>
                <w:b/>
                <w:sz w:val="18"/>
                <w:szCs w:val="18"/>
              </w:rPr>
              <w:t>4 – Writing at this Level:</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99A" w:rsidRPr="003075DD" w:rsidRDefault="00CD399A" w:rsidP="00CD399A">
            <w:pPr>
              <w:pStyle w:val="ToolTableText"/>
              <w:spacing w:before="80" w:after="80"/>
              <w:jc w:val="center"/>
              <w:rPr>
                <w:b/>
                <w:sz w:val="18"/>
                <w:szCs w:val="18"/>
              </w:rPr>
            </w:pPr>
            <w:r w:rsidRPr="003075DD">
              <w:rPr>
                <w:b/>
                <w:sz w:val="18"/>
                <w:szCs w:val="18"/>
              </w:rPr>
              <w:t>3 – Writing at this Level:</w:t>
            </w:r>
          </w:p>
        </w:tc>
        <w:tc>
          <w:tcPr>
            <w:tcW w:w="2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99A" w:rsidRPr="003075DD" w:rsidRDefault="00CD399A" w:rsidP="00CD399A">
            <w:pPr>
              <w:pStyle w:val="ToolTableText"/>
              <w:spacing w:before="80" w:after="80"/>
              <w:jc w:val="center"/>
              <w:rPr>
                <w:b/>
                <w:sz w:val="18"/>
                <w:szCs w:val="18"/>
              </w:rPr>
            </w:pPr>
            <w:r w:rsidRPr="003075DD">
              <w:rPr>
                <w:b/>
                <w:sz w:val="18"/>
                <w:szCs w:val="18"/>
              </w:rPr>
              <w:t>2 – Writing at this Level:</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399A" w:rsidRPr="003075DD" w:rsidRDefault="00CD399A" w:rsidP="00CD399A">
            <w:pPr>
              <w:pStyle w:val="ToolTableText"/>
              <w:spacing w:before="80" w:after="80"/>
              <w:jc w:val="center"/>
              <w:rPr>
                <w:b/>
                <w:sz w:val="18"/>
                <w:szCs w:val="18"/>
              </w:rPr>
            </w:pPr>
            <w:r w:rsidRPr="003075DD">
              <w:rPr>
                <w:b/>
                <w:sz w:val="18"/>
                <w:szCs w:val="18"/>
              </w:rPr>
              <w:t>1 – Writing at this Level:</w:t>
            </w:r>
          </w:p>
        </w:tc>
      </w:tr>
      <w:tr w:rsidR="00CD399A" w:rsidRPr="003075DD" w:rsidTr="002B014F">
        <w:trPr>
          <w:trHeight w:val="1457"/>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99A" w:rsidRPr="003075DD" w:rsidRDefault="00CD399A" w:rsidP="00CD399A">
            <w:pPr>
              <w:pStyle w:val="ToolTableText"/>
              <w:rPr>
                <w:b/>
                <w:color w:val="000000" w:themeColor="text1"/>
                <w:sz w:val="18"/>
                <w:szCs w:val="18"/>
              </w:rPr>
            </w:pPr>
            <w:r w:rsidRPr="003075DD">
              <w:rPr>
                <w:b/>
                <w:color w:val="000000" w:themeColor="text1"/>
                <w:sz w:val="18"/>
                <w:szCs w:val="18"/>
              </w:rPr>
              <w:t>CCSS.ELA-Literacy.W.9-10.7</w:t>
            </w:r>
          </w:p>
          <w:p w:rsidR="00CD399A" w:rsidRPr="003075DD" w:rsidRDefault="00CD399A" w:rsidP="002B014F">
            <w:pPr>
              <w:pStyle w:val="ToolTableText"/>
              <w:spacing w:after="0"/>
              <w:rPr>
                <w:sz w:val="18"/>
                <w:szCs w:val="18"/>
              </w:rPr>
            </w:pPr>
            <w:r w:rsidRPr="003075DD">
              <w:rPr>
                <w:color w:val="000000" w:themeColor="text1"/>
                <w:sz w:val="18"/>
                <w:szCs w:val="18"/>
              </w:rPr>
              <w:t>Conduct short as well as more sustained research projects to answer a question (including a self-generated question) or solve a problem.</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73618D">
            <w:pPr>
              <w:pStyle w:val="ToolTableText"/>
              <w:rPr>
                <w:sz w:val="18"/>
                <w:szCs w:val="18"/>
              </w:rPr>
            </w:pPr>
            <w:r w:rsidRPr="003075DD">
              <w:rPr>
                <w:sz w:val="18"/>
                <w:szCs w:val="18"/>
              </w:rPr>
              <w:t xml:space="preserve">Clearly states a question or problem; writer </w:t>
            </w:r>
            <w:r w:rsidR="0073618D">
              <w:rPr>
                <w:sz w:val="18"/>
                <w:szCs w:val="18"/>
              </w:rPr>
              <w:t xml:space="preserve">provides </w:t>
            </w:r>
            <w:r w:rsidRPr="003075DD">
              <w:rPr>
                <w:sz w:val="18"/>
                <w:szCs w:val="18"/>
              </w:rPr>
              <w:t xml:space="preserve">substantial evidence of sustained research </w:t>
            </w:r>
            <w:r w:rsidR="0073618D">
              <w:rPr>
                <w:sz w:val="18"/>
                <w:szCs w:val="18"/>
              </w:rPr>
              <w:t>examining</w:t>
            </w:r>
            <w:r w:rsidR="0073618D" w:rsidRPr="003075DD">
              <w:rPr>
                <w:sz w:val="18"/>
                <w:szCs w:val="18"/>
              </w:rPr>
              <w:t xml:space="preserve"> </w:t>
            </w:r>
            <w:r w:rsidRPr="003075DD">
              <w:rPr>
                <w:sz w:val="18"/>
                <w:szCs w:val="18"/>
              </w:rPr>
              <w:t>a question or a problem.</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 xml:space="preserve">Includes a clear question or a problem; writer </w:t>
            </w:r>
            <w:r w:rsidR="007C6584">
              <w:rPr>
                <w:sz w:val="18"/>
                <w:szCs w:val="18"/>
              </w:rPr>
              <w:t xml:space="preserve">provides </w:t>
            </w:r>
            <w:r w:rsidRPr="003075DD">
              <w:rPr>
                <w:sz w:val="18"/>
                <w:szCs w:val="18"/>
              </w:rPr>
              <w:t>some evidence of sustained research in response to a question or a problem.</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Includes a question or a problem; writer’s research is limited and a question or a problem ha</w:t>
            </w:r>
            <w:r>
              <w:rPr>
                <w:sz w:val="18"/>
                <w:szCs w:val="18"/>
              </w:rPr>
              <w:t>s</w:t>
            </w:r>
            <w:r w:rsidRPr="003075DD">
              <w:rPr>
                <w:sz w:val="18"/>
                <w:szCs w:val="18"/>
              </w:rPr>
              <w:t xml:space="preserve"> a limited response.</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Does not include a clear question or a problem and demonstrate</w:t>
            </w:r>
            <w:r w:rsidR="007C6584">
              <w:rPr>
                <w:sz w:val="18"/>
                <w:szCs w:val="18"/>
              </w:rPr>
              <w:t>s</w:t>
            </w:r>
            <w:r w:rsidRPr="003075DD">
              <w:rPr>
                <w:sz w:val="18"/>
                <w:szCs w:val="18"/>
              </w:rPr>
              <w:t xml:space="preserve"> almost no evidence of research.</w:t>
            </w:r>
          </w:p>
          <w:p w:rsidR="00CD399A" w:rsidRPr="003075DD" w:rsidRDefault="00CD399A" w:rsidP="00CD399A">
            <w:pPr>
              <w:jc w:val="right"/>
              <w:rPr>
                <w:sz w:val="18"/>
                <w:szCs w:val="18"/>
              </w:rPr>
            </w:pPr>
          </w:p>
        </w:tc>
      </w:tr>
      <w:tr w:rsidR="00CD399A" w:rsidRPr="003075DD" w:rsidTr="002B014F">
        <w:trPr>
          <w:trHeight w:val="83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99A" w:rsidRPr="003075DD" w:rsidRDefault="00CD399A" w:rsidP="00CD399A">
            <w:pPr>
              <w:pStyle w:val="ToolTableText"/>
              <w:rPr>
                <w:color w:val="000000" w:themeColor="text1"/>
                <w:sz w:val="18"/>
                <w:szCs w:val="18"/>
              </w:rPr>
            </w:pPr>
            <w:r w:rsidRPr="003075DD">
              <w:rPr>
                <w:color w:val="000000" w:themeColor="text1"/>
                <w:sz w:val="18"/>
                <w:szCs w:val="18"/>
              </w:rPr>
              <w:t>Narrow or broaden the inquiry when appropriate.</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Clearly narrows or broadens the inquiry while conducting research.</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Some evidence of narrowing or broadening the inquiry while conducting research.</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Demonstrates limited narrowing or broadening of inquiry while conducting research.</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Conducts very little inquiry.</w:t>
            </w:r>
          </w:p>
        </w:tc>
      </w:tr>
      <w:tr w:rsidR="00CD399A" w:rsidRPr="003075DD" w:rsidTr="00CD399A">
        <w:trPr>
          <w:trHeight w:val="251"/>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99A" w:rsidRPr="003075DD" w:rsidRDefault="00CD399A" w:rsidP="00CD399A">
            <w:pPr>
              <w:pStyle w:val="ToolTableText"/>
              <w:rPr>
                <w:color w:val="000000" w:themeColor="text1"/>
                <w:sz w:val="18"/>
                <w:szCs w:val="18"/>
              </w:rPr>
            </w:pPr>
            <w:r w:rsidRPr="003075DD">
              <w:rPr>
                <w:color w:val="000000" w:themeColor="text1"/>
                <w:sz w:val="18"/>
                <w:szCs w:val="18"/>
              </w:rPr>
              <w:t>Synthesize multiple sources on the subject.</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Successfully synthesizes multiple sources while addressing a question or a problem.</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Provides some synthesis of sources while addressing a question or a problem.</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Synthesis of sources is limited while addressing a question or a problem.</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Does not synthesize sources or address a question or a problem.</w:t>
            </w:r>
          </w:p>
        </w:tc>
      </w:tr>
      <w:tr w:rsidR="00CD399A" w:rsidRPr="003075DD" w:rsidTr="002B014F">
        <w:trPr>
          <w:trHeight w:val="548"/>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99A" w:rsidRPr="003075DD" w:rsidRDefault="00CD399A" w:rsidP="00CD399A">
            <w:pPr>
              <w:pStyle w:val="ToolTableText"/>
              <w:rPr>
                <w:color w:val="000000" w:themeColor="text1"/>
                <w:sz w:val="18"/>
                <w:szCs w:val="18"/>
              </w:rPr>
            </w:pPr>
            <w:r w:rsidRPr="003075DD">
              <w:rPr>
                <w:color w:val="000000" w:themeColor="text1"/>
                <w:sz w:val="18"/>
                <w:szCs w:val="18"/>
              </w:rPr>
              <w:t>Demonstrate understanding of the subject under investigation.</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Demonstrates a deep understanding of the subject of research.</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Demonstrates some understanding of the subject.</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Demonstrates limited understanding of the subject.</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color w:val="000000" w:themeColor="text1"/>
                <w:sz w:val="18"/>
                <w:szCs w:val="18"/>
              </w:rPr>
            </w:pPr>
            <w:r w:rsidRPr="003075DD">
              <w:rPr>
                <w:color w:val="000000" w:themeColor="text1"/>
                <w:sz w:val="18"/>
                <w:szCs w:val="18"/>
              </w:rPr>
              <w:t>Demonstrates vague understanding of the subject.</w:t>
            </w:r>
          </w:p>
        </w:tc>
      </w:tr>
      <w:tr w:rsidR="00CD399A" w:rsidRPr="003075DD" w:rsidTr="00CD399A">
        <w:trPr>
          <w:trHeight w:val="1242"/>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399A" w:rsidRPr="003075DD" w:rsidRDefault="00CD399A" w:rsidP="00CD399A">
            <w:pPr>
              <w:pStyle w:val="ToolTableText"/>
              <w:rPr>
                <w:color w:val="000000" w:themeColor="text1"/>
                <w:sz w:val="18"/>
                <w:szCs w:val="18"/>
              </w:rPr>
            </w:pPr>
            <w:r w:rsidRPr="003075DD">
              <w:rPr>
                <w:b/>
                <w:color w:val="000000" w:themeColor="text1"/>
                <w:sz w:val="18"/>
                <w:szCs w:val="18"/>
              </w:rPr>
              <w:t>CCSS.ELA-Literacy.W.9-10.9</w:t>
            </w:r>
            <w:r w:rsidRPr="003075DD">
              <w:rPr>
                <w:color w:val="000000" w:themeColor="text1"/>
                <w:sz w:val="18"/>
                <w:szCs w:val="18"/>
              </w:rPr>
              <w:t xml:space="preserve"> </w:t>
            </w:r>
          </w:p>
          <w:p w:rsidR="00CD399A" w:rsidRPr="003075DD" w:rsidRDefault="00CD399A" w:rsidP="00CD399A">
            <w:pPr>
              <w:pStyle w:val="ToolTableText"/>
              <w:rPr>
                <w:color w:val="000000" w:themeColor="text1"/>
                <w:sz w:val="18"/>
                <w:szCs w:val="18"/>
              </w:rPr>
            </w:pPr>
            <w:r w:rsidRPr="003075DD">
              <w:rPr>
                <w:color w:val="000000" w:themeColor="text1"/>
                <w:sz w:val="18"/>
                <w:szCs w:val="18"/>
              </w:rPr>
              <w:t>Draw evidence from literary or informational texts to support analysis, reflection, and research.</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Extensively draws evidence from the informational texts that were read; uses the information to support analysis, reflection</w:t>
            </w:r>
            <w:r>
              <w:rPr>
                <w:sz w:val="18"/>
                <w:szCs w:val="18"/>
              </w:rPr>
              <w:t>,</w:t>
            </w:r>
            <w:r w:rsidRPr="003075DD">
              <w:rPr>
                <w:sz w:val="18"/>
                <w:szCs w:val="18"/>
              </w:rPr>
              <w:t xml:space="preserve"> and research.</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Draws some evidence from informational texts that were read; uses some of the information to support analysis, reflection</w:t>
            </w:r>
            <w:r>
              <w:rPr>
                <w:sz w:val="18"/>
                <w:szCs w:val="18"/>
              </w:rPr>
              <w:t>,</w:t>
            </w:r>
            <w:r w:rsidRPr="003075DD">
              <w:rPr>
                <w:sz w:val="18"/>
                <w:szCs w:val="18"/>
              </w:rPr>
              <w:t xml:space="preserve"> and research.</w:t>
            </w:r>
          </w:p>
        </w:tc>
        <w:tc>
          <w:tcPr>
            <w:tcW w:w="2587"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Draws limited evidence from informational texts that were read; analysis limited.</w:t>
            </w:r>
          </w:p>
        </w:tc>
        <w:tc>
          <w:tcPr>
            <w:tcW w:w="2588" w:type="dxa"/>
            <w:tcBorders>
              <w:top w:val="single" w:sz="4" w:space="0" w:color="auto"/>
              <w:left w:val="single" w:sz="4" w:space="0" w:color="auto"/>
              <w:bottom w:val="single" w:sz="4" w:space="0" w:color="auto"/>
              <w:right w:val="single" w:sz="4" w:space="0" w:color="auto"/>
            </w:tcBorders>
          </w:tcPr>
          <w:p w:rsidR="00CD399A" w:rsidRPr="003075DD" w:rsidRDefault="00CD399A" w:rsidP="00CD399A">
            <w:pPr>
              <w:pStyle w:val="ToolTableText"/>
              <w:rPr>
                <w:sz w:val="18"/>
                <w:szCs w:val="18"/>
              </w:rPr>
            </w:pPr>
            <w:r w:rsidRPr="003075DD">
              <w:rPr>
                <w:sz w:val="18"/>
                <w:szCs w:val="18"/>
              </w:rPr>
              <w:t>Does not draw evidence from informational texts.</w:t>
            </w:r>
          </w:p>
        </w:tc>
      </w:tr>
    </w:tbl>
    <w:p w:rsidR="009B235B" w:rsidRPr="00BE59EE" w:rsidRDefault="009B235B" w:rsidP="00A3272E">
      <w:pPr>
        <w:pStyle w:val="ToolHeader"/>
        <w:rPr>
          <w:sz w:val="18"/>
          <w:szCs w:val="18"/>
        </w:rPr>
      </w:pPr>
    </w:p>
    <w:sectPr w:rsidR="009B235B" w:rsidRPr="00BE59EE" w:rsidSect="00A3272E">
      <w:headerReference w:type="default" r:id="rId16"/>
      <w:footerReference w:type="default" r:id="rId17"/>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DA" w:rsidRDefault="007B7ADA" w:rsidP="00E946A0">
      <w:r>
        <w:separator/>
      </w:r>
    </w:p>
    <w:p w:rsidR="007B7ADA" w:rsidRDefault="007B7ADA" w:rsidP="00E946A0"/>
  </w:endnote>
  <w:endnote w:type="continuationSeparator" w:id="0">
    <w:p w:rsidR="007B7ADA" w:rsidRDefault="007B7ADA" w:rsidP="00E946A0">
      <w:r>
        <w:continuationSeparator/>
      </w:r>
    </w:p>
    <w:p w:rsidR="007B7ADA" w:rsidRDefault="007B7ADA"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B4A3DF95-587D-41C6-8CBE-CD382C127612}"/>
  </w:font>
  <w:font w:name="Webdings">
    <w:panose1 w:val="05030102010509060703"/>
    <w:charset w:val="02"/>
    <w:family w:val="roman"/>
    <w:pitch w:val="variable"/>
    <w:sig w:usb0="00000000" w:usb1="10000000" w:usb2="00000000" w:usb3="00000000" w:csb0="80000000" w:csb1="00000000"/>
    <w:embedRegular r:id="rId2" w:subsetted="1" w:fontKey="{15E3C3B4-83CD-4467-B38D-97DDA487083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E2" w:rsidRDefault="00017C93" w:rsidP="00E946A0">
    <w:pPr>
      <w:pStyle w:val="Footer"/>
      <w:rPr>
        <w:rStyle w:val="PageNumber"/>
        <w:rFonts w:ascii="Calibri" w:hAnsi="Calibri"/>
        <w:sz w:val="22"/>
      </w:rPr>
    </w:pPr>
    <w:r>
      <w:rPr>
        <w:rStyle w:val="PageNumber"/>
      </w:rPr>
      <w:fldChar w:fldCharType="begin"/>
    </w:r>
    <w:r w:rsidR="00B15AE2">
      <w:rPr>
        <w:rStyle w:val="PageNumber"/>
      </w:rPr>
      <w:instrText xml:space="preserve">PAGE  </w:instrText>
    </w:r>
    <w:r>
      <w:rPr>
        <w:rStyle w:val="PageNumber"/>
      </w:rPr>
      <w:fldChar w:fldCharType="separate"/>
    </w:r>
    <w:r w:rsidR="00B15AE2">
      <w:rPr>
        <w:rStyle w:val="PageNumber"/>
        <w:noProof/>
      </w:rPr>
      <w:t>13</w:t>
    </w:r>
    <w:r>
      <w:rPr>
        <w:rStyle w:val="PageNumber"/>
      </w:rPr>
      <w:fldChar w:fldCharType="end"/>
    </w:r>
  </w:p>
  <w:p w:rsidR="00B15AE2" w:rsidRDefault="00B15AE2" w:rsidP="00E946A0">
    <w:pPr>
      <w:pStyle w:val="Footer"/>
    </w:pPr>
  </w:p>
  <w:p w:rsidR="00B15AE2" w:rsidRDefault="00B15AE2" w:rsidP="00E946A0"/>
  <w:p w:rsidR="00B15AE2" w:rsidRDefault="00B15AE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E2" w:rsidRPr="00563CB8" w:rsidRDefault="00B15AE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15AE2">
      <w:trPr>
        <w:trHeight w:val="705"/>
      </w:trPr>
      <w:tc>
        <w:tcPr>
          <w:tcW w:w="4609" w:type="dxa"/>
          <w:shd w:val="clear" w:color="auto" w:fill="auto"/>
          <w:vAlign w:val="center"/>
        </w:tcPr>
        <w:p w:rsidR="00B15AE2" w:rsidRPr="002E4C92" w:rsidRDefault="00B15AE2" w:rsidP="004F2969">
          <w:pPr>
            <w:pStyle w:val="FooterText"/>
          </w:pPr>
          <w:r w:rsidRPr="002E4C92">
            <w:t>File:</w:t>
          </w:r>
          <w:r>
            <w:rPr>
              <w:b w:val="0"/>
            </w:rPr>
            <w:t xml:space="preserve"> 10.3.2 Lesson 13</w:t>
          </w:r>
          <w:r w:rsidRPr="002E4C92">
            <w:t xml:space="preserve"> Date:</w:t>
          </w:r>
          <w:r w:rsidRPr="0039525B">
            <w:rPr>
              <w:b w:val="0"/>
            </w:rPr>
            <w:t xml:space="preserve"> </w:t>
          </w:r>
          <w:r>
            <w:rPr>
              <w:b w:val="0"/>
            </w:rPr>
            <w:t>4/1</w:t>
          </w:r>
          <w:r w:rsidR="009277DA">
            <w:rPr>
              <w:b w:val="0"/>
            </w:rPr>
            <w:t>8</w:t>
          </w:r>
          <w:r>
            <w:rPr>
              <w:b w:val="0"/>
            </w:rPr>
            <w:t>/14</w:t>
          </w:r>
          <w:r w:rsidRPr="0039525B">
            <w:rPr>
              <w:b w:val="0"/>
            </w:rPr>
            <w:t xml:space="preserve"> </w:t>
          </w:r>
          <w:r w:rsidRPr="002E4C92">
            <w:t>Classroom Use:</w:t>
          </w:r>
          <w:r w:rsidRPr="0039525B">
            <w:rPr>
              <w:b w:val="0"/>
            </w:rPr>
            <w:t xml:space="preserve"> Starting </w:t>
          </w:r>
          <w:r>
            <w:rPr>
              <w:b w:val="0"/>
            </w:rPr>
            <w:t>4/2014</w:t>
          </w:r>
          <w:r w:rsidRPr="0039525B">
            <w:rPr>
              <w:b w:val="0"/>
            </w:rPr>
            <w:t xml:space="preserve"> </w:t>
          </w:r>
        </w:p>
        <w:p w:rsidR="00B15AE2" w:rsidRPr="0039525B" w:rsidRDefault="00B15AE2" w:rsidP="004F2969">
          <w:pPr>
            <w:pStyle w:val="FooterText"/>
            <w:rPr>
              <w:b w:val="0"/>
              <w:i/>
              <w:sz w:val="12"/>
            </w:rPr>
          </w:pPr>
          <w:r>
            <w:rPr>
              <w:b w:val="0"/>
              <w:sz w:val="12"/>
            </w:rPr>
            <w:t>© 2014</w:t>
          </w:r>
          <w:r w:rsidRPr="0039525B">
            <w:rPr>
              <w:b w:val="0"/>
              <w:sz w:val="12"/>
            </w:rPr>
            <w:t xml:space="preserve"> Public Consulting Group.</w:t>
          </w:r>
          <w:r w:rsidRPr="0039525B">
            <w:rPr>
              <w:b w:val="0"/>
              <w:i/>
              <w:sz w:val="12"/>
            </w:rPr>
            <w:t xml:space="preserve"> This work is licensed under a </w:t>
          </w:r>
        </w:p>
        <w:p w:rsidR="00B15AE2" w:rsidRPr="0039525B" w:rsidRDefault="00B15AE2" w:rsidP="004F2969">
          <w:pPr>
            <w:pStyle w:val="FooterText"/>
            <w:rPr>
              <w:b w:val="0"/>
              <w:i/>
            </w:rPr>
          </w:pPr>
          <w:r w:rsidRPr="0039525B">
            <w:rPr>
              <w:b w:val="0"/>
              <w:i/>
              <w:sz w:val="12"/>
            </w:rPr>
            <w:t>Creative Commons Attribution-NonCommercial-ShareAlike 3.0 Unported License</w:t>
          </w:r>
        </w:p>
        <w:p w:rsidR="00B15AE2" w:rsidRPr="002E4C92" w:rsidRDefault="00017C93" w:rsidP="004F2969">
          <w:pPr>
            <w:pStyle w:val="FooterText"/>
          </w:pPr>
          <w:hyperlink r:id="rId1" w:history="1">
            <w:r w:rsidR="00B15AE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15AE2" w:rsidRPr="002E4C92" w:rsidRDefault="00017C9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15AE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16AC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15AE2" w:rsidRPr="002E4C92" w:rsidRDefault="00B15AE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15AE2" w:rsidRPr="0039525B" w:rsidRDefault="00B15AE2"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E2" w:rsidRPr="00563CB8" w:rsidRDefault="00B15AE2"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B15AE2" w:rsidTr="0039525B">
      <w:trPr>
        <w:trHeight w:val="705"/>
      </w:trPr>
      <w:tc>
        <w:tcPr>
          <w:tcW w:w="4609" w:type="dxa"/>
          <w:shd w:val="clear" w:color="auto" w:fill="auto"/>
          <w:vAlign w:val="center"/>
        </w:tcPr>
        <w:p w:rsidR="00B15AE2" w:rsidRPr="002E4C92" w:rsidRDefault="00B15AE2" w:rsidP="004F2969">
          <w:pPr>
            <w:pStyle w:val="FooterText"/>
          </w:pPr>
          <w:r w:rsidRPr="002E4C92">
            <w:t>File:</w:t>
          </w:r>
          <w:r>
            <w:rPr>
              <w:b w:val="0"/>
            </w:rPr>
            <w:t xml:space="preserve"> 10.3.2 Lesson 13</w:t>
          </w:r>
          <w:r w:rsidRPr="002E4C92">
            <w:t xml:space="preserve"> Date:</w:t>
          </w:r>
          <w:r>
            <w:rPr>
              <w:b w:val="0"/>
            </w:rPr>
            <w:t xml:space="preserve"> 4/1</w:t>
          </w:r>
          <w:r w:rsidR="009277DA">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B15AE2" w:rsidRPr="0039525B" w:rsidRDefault="00B15AE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15AE2" w:rsidRPr="0039525B" w:rsidRDefault="00B15AE2" w:rsidP="004F2969">
          <w:pPr>
            <w:pStyle w:val="FooterText"/>
            <w:rPr>
              <w:b w:val="0"/>
              <w:i/>
            </w:rPr>
          </w:pPr>
          <w:r w:rsidRPr="0039525B">
            <w:rPr>
              <w:b w:val="0"/>
              <w:i/>
              <w:sz w:val="12"/>
            </w:rPr>
            <w:t>Creative Commons Attribution-NonCommercial-ShareAlike 3.0 Unported License</w:t>
          </w:r>
        </w:p>
        <w:p w:rsidR="00B15AE2" w:rsidRPr="002E4C92" w:rsidRDefault="00017C93" w:rsidP="004F2969">
          <w:pPr>
            <w:pStyle w:val="FooterText"/>
          </w:pPr>
          <w:hyperlink r:id="rId1" w:history="1">
            <w:r w:rsidR="00B15AE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15AE2" w:rsidRPr="002E4C92" w:rsidRDefault="00017C9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15AE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681D">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B15AE2" w:rsidRPr="002E4C92" w:rsidRDefault="00B15AE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15AE2" w:rsidRPr="0039525B" w:rsidRDefault="00B15AE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DA" w:rsidRDefault="007B7ADA" w:rsidP="00E946A0">
      <w:r>
        <w:separator/>
      </w:r>
    </w:p>
    <w:p w:rsidR="007B7ADA" w:rsidRDefault="007B7ADA" w:rsidP="00E946A0"/>
  </w:footnote>
  <w:footnote w:type="continuationSeparator" w:id="0">
    <w:p w:rsidR="007B7ADA" w:rsidRDefault="007B7ADA" w:rsidP="00E946A0">
      <w:r>
        <w:continuationSeparator/>
      </w:r>
    </w:p>
    <w:p w:rsidR="007B7ADA" w:rsidRDefault="007B7ADA"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15AE2" w:rsidRPr="00563CB8">
      <w:tc>
        <w:tcPr>
          <w:tcW w:w="3708" w:type="dxa"/>
          <w:shd w:val="clear" w:color="auto" w:fill="auto"/>
        </w:tcPr>
        <w:p w:rsidR="00B15AE2" w:rsidRPr="00563CB8" w:rsidRDefault="00B15AE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15AE2" w:rsidRPr="00563CB8" w:rsidRDefault="00B15AE2" w:rsidP="00E946A0">
          <w:pPr>
            <w:jc w:val="center"/>
          </w:pPr>
          <w:r w:rsidRPr="00563CB8">
            <w:t>D R A F T</w:t>
          </w:r>
        </w:p>
      </w:tc>
      <w:tc>
        <w:tcPr>
          <w:tcW w:w="3438" w:type="dxa"/>
          <w:shd w:val="clear" w:color="auto" w:fill="auto"/>
        </w:tcPr>
        <w:p w:rsidR="00B15AE2" w:rsidRPr="00E946A0" w:rsidRDefault="00B15AE2" w:rsidP="00E946A0">
          <w:pPr>
            <w:pStyle w:val="PageHeader"/>
            <w:jc w:val="right"/>
            <w:rPr>
              <w:b w:val="0"/>
            </w:rPr>
          </w:pPr>
          <w:r>
            <w:rPr>
              <w:b w:val="0"/>
            </w:rPr>
            <w:t>Grade 10 • Module 3</w:t>
          </w:r>
          <w:r w:rsidRPr="00E946A0">
            <w:rPr>
              <w:b w:val="0"/>
            </w:rPr>
            <w:t xml:space="preserve"> • Unit </w:t>
          </w:r>
          <w:r>
            <w:rPr>
              <w:b w:val="0"/>
            </w:rPr>
            <w:t>2 • Lesson 13</w:t>
          </w:r>
        </w:p>
      </w:tc>
    </w:tr>
  </w:tbl>
  <w:p w:rsidR="00B15AE2" w:rsidRDefault="00B15AE2"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B15AE2" w:rsidRPr="00563CB8" w:rsidTr="00E946A0">
      <w:tc>
        <w:tcPr>
          <w:tcW w:w="3708" w:type="dxa"/>
          <w:shd w:val="clear" w:color="auto" w:fill="auto"/>
        </w:tcPr>
        <w:p w:rsidR="00B15AE2" w:rsidRPr="00563CB8" w:rsidRDefault="00B15AE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15AE2" w:rsidRPr="00563CB8" w:rsidRDefault="00B15AE2" w:rsidP="00E946A0">
          <w:pPr>
            <w:jc w:val="center"/>
          </w:pPr>
          <w:r w:rsidRPr="00563CB8">
            <w:t>D R A F T</w:t>
          </w:r>
        </w:p>
      </w:tc>
      <w:tc>
        <w:tcPr>
          <w:tcW w:w="3438" w:type="dxa"/>
          <w:shd w:val="clear" w:color="auto" w:fill="auto"/>
        </w:tcPr>
        <w:p w:rsidR="00B15AE2" w:rsidRPr="00E946A0" w:rsidRDefault="00B15AE2" w:rsidP="002B014F">
          <w:pPr>
            <w:pStyle w:val="PageHeader"/>
            <w:jc w:val="right"/>
            <w:rPr>
              <w:b w:val="0"/>
            </w:rPr>
          </w:pPr>
          <w:r>
            <w:rPr>
              <w:b w:val="0"/>
            </w:rPr>
            <w:t>Grade 10 • Module 3• Unit 2 • Lesson 13</w:t>
          </w:r>
        </w:p>
      </w:tc>
    </w:tr>
  </w:tbl>
  <w:p w:rsidR="00B15AE2" w:rsidRDefault="00B15AE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C2074"/>
    <w:multiLevelType w:val="hybridMultilevel"/>
    <w:tmpl w:val="531A7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30"/>
  </w:num>
  <w:num w:numId="13">
    <w:abstractNumId w:val="7"/>
    <w:lvlOverride w:ilvl="0">
      <w:startOverride w:val="1"/>
    </w:lvlOverride>
  </w:num>
  <w:num w:numId="14">
    <w:abstractNumId w:val="6"/>
  </w:num>
  <w:num w:numId="15">
    <w:abstractNumId w:val="3"/>
  </w:num>
  <w:num w:numId="16">
    <w:abstractNumId w:val="25"/>
  </w:num>
  <w:num w:numId="17">
    <w:abstractNumId w:val="16"/>
  </w:num>
  <w:num w:numId="18">
    <w:abstractNumId w:val="17"/>
  </w:num>
  <w:num w:numId="19">
    <w:abstractNumId w:val="14"/>
  </w:num>
  <w:num w:numId="20">
    <w:abstractNumId w:val="4"/>
  </w:num>
  <w:num w:numId="21">
    <w:abstractNumId w:val="9"/>
    <w:lvlOverride w:ilvl="0">
      <w:startOverride w:val="1"/>
    </w:lvlOverride>
  </w:num>
  <w:num w:numId="22">
    <w:abstractNumId w:val="1"/>
    <w:lvlOverride w:ilvl="0">
      <w:startOverride w:val="1"/>
    </w:lvlOverride>
  </w:num>
  <w:num w:numId="23">
    <w:abstractNumId w:val="27"/>
  </w:num>
  <w:num w:numId="24">
    <w:abstractNumId w:val="5"/>
  </w:num>
  <w:num w:numId="25">
    <w:abstractNumId w:val="24"/>
  </w:num>
  <w:num w:numId="26">
    <w:abstractNumId w:val="18"/>
  </w:num>
  <w:num w:numId="27">
    <w:abstractNumId w:val="2"/>
    <w:lvlOverride w:ilvl="0">
      <w:startOverride w:val="1"/>
    </w:lvlOverride>
  </w:num>
  <w:num w:numId="28">
    <w:abstractNumId w:val="21"/>
  </w:num>
  <w:num w:numId="29">
    <w:abstractNumId w:val="13"/>
  </w:num>
  <w:num w:numId="30">
    <w:abstractNumId w:val="19"/>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5"/>
  </w:num>
  <w:num w:numId="38">
    <w:abstractNumId w:val="28"/>
  </w:num>
  <w:num w:numId="39">
    <w:abstractNumId w:val="12"/>
  </w:num>
  <w:num w:numId="40">
    <w:abstractNumId w:val="8"/>
  </w:num>
  <w:num w:numId="41">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17C93"/>
    <w:rsid w:val="00020527"/>
    <w:rsid w:val="00021589"/>
    <w:rsid w:val="00022402"/>
    <w:rsid w:val="0002335F"/>
    <w:rsid w:val="00034778"/>
    <w:rsid w:val="000424E2"/>
    <w:rsid w:val="00053088"/>
    <w:rsid w:val="00056ACB"/>
    <w:rsid w:val="00062291"/>
    <w:rsid w:val="0006233C"/>
    <w:rsid w:val="00064850"/>
    <w:rsid w:val="00066123"/>
    <w:rsid w:val="0006776C"/>
    <w:rsid w:val="00071936"/>
    <w:rsid w:val="00072749"/>
    <w:rsid w:val="000742AA"/>
    <w:rsid w:val="00075649"/>
    <w:rsid w:val="00075F14"/>
    <w:rsid w:val="00080A8A"/>
    <w:rsid w:val="00083C0E"/>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E0B69"/>
    <w:rsid w:val="000E4DBA"/>
    <w:rsid w:val="000F0ABD"/>
    <w:rsid w:val="000F192C"/>
    <w:rsid w:val="000F2414"/>
    <w:rsid w:val="000F7D35"/>
    <w:rsid w:val="000F7F56"/>
    <w:rsid w:val="0010235F"/>
    <w:rsid w:val="001046CF"/>
    <w:rsid w:val="00110A04"/>
    <w:rsid w:val="00111A39"/>
    <w:rsid w:val="0011228C"/>
    <w:rsid w:val="00112B04"/>
    <w:rsid w:val="00113501"/>
    <w:rsid w:val="001159C2"/>
    <w:rsid w:val="001215F2"/>
    <w:rsid w:val="00121C27"/>
    <w:rsid w:val="001258FD"/>
    <w:rsid w:val="0013062E"/>
    <w:rsid w:val="00133528"/>
    <w:rsid w:val="001352AE"/>
    <w:rsid w:val="001362D4"/>
    <w:rsid w:val="001377CC"/>
    <w:rsid w:val="00140413"/>
    <w:rsid w:val="001509EC"/>
    <w:rsid w:val="0015118C"/>
    <w:rsid w:val="001539F0"/>
    <w:rsid w:val="00156124"/>
    <w:rsid w:val="001635FC"/>
    <w:rsid w:val="001657A6"/>
    <w:rsid w:val="001661D4"/>
    <w:rsid w:val="00167C08"/>
    <w:rsid w:val="001708C2"/>
    <w:rsid w:val="00171B24"/>
    <w:rsid w:val="001723D5"/>
    <w:rsid w:val="00175B00"/>
    <w:rsid w:val="0018630D"/>
    <w:rsid w:val="00186355"/>
    <w:rsid w:val="001864E6"/>
    <w:rsid w:val="00186FDA"/>
    <w:rsid w:val="0018762C"/>
    <w:rsid w:val="001945FA"/>
    <w:rsid w:val="00194F1D"/>
    <w:rsid w:val="001A25E8"/>
    <w:rsid w:val="001A5133"/>
    <w:rsid w:val="001B0794"/>
    <w:rsid w:val="001B1461"/>
    <w:rsid w:val="001B1487"/>
    <w:rsid w:val="001C095D"/>
    <w:rsid w:val="001C1C99"/>
    <w:rsid w:val="001C35E3"/>
    <w:rsid w:val="001C5188"/>
    <w:rsid w:val="001C6B70"/>
    <w:rsid w:val="001D047B"/>
    <w:rsid w:val="001D0518"/>
    <w:rsid w:val="001D1078"/>
    <w:rsid w:val="001D641A"/>
    <w:rsid w:val="001E189E"/>
    <w:rsid w:val="001E6372"/>
    <w:rsid w:val="001F0991"/>
    <w:rsid w:val="001F6C4F"/>
    <w:rsid w:val="002009F7"/>
    <w:rsid w:val="0020138A"/>
    <w:rsid w:val="002041CD"/>
    <w:rsid w:val="00207A65"/>
    <w:rsid w:val="00207C8B"/>
    <w:rsid w:val="00224590"/>
    <w:rsid w:val="002306FF"/>
    <w:rsid w:val="00231919"/>
    <w:rsid w:val="00240FF7"/>
    <w:rsid w:val="0024557C"/>
    <w:rsid w:val="00245B86"/>
    <w:rsid w:val="002516D4"/>
    <w:rsid w:val="00251A7C"/>
    <w:rsid w:val="00251DAB"/>
    <w:rsid w:val="00252D78"/>
    <w:rsid w:val="002619B1"/>
    <w:rsid w:val="002635F4"/>
    <w:rsid w:val="00263AF5"/>
    <w:rsid w:val="002661A8"/>
    <w:rsid w:val="00271FBB"/>
    <w:rsid w:val="002748DB"/>
    <w:rsid w:val="00274FEB"/>
    <w:rsid w:val="00276DB9"/>
    <w:rsid w:val="0028184C"/>
    <w:rsid w:val="00284B9E"/>
    <w:rsid w:val="00284FC0"/>
    <w:rsid w:val="00290F88"/>
    <w:rsid w:val="00292B8B"/>
    <w:rsid w:val="0029527C"/>
    <w:rsid w:val="0029681D"/>
    <w:rsid w:val="00297DC5"/>
    <w:rsid w:val="002A21DE"/>
    <w:rsid w:val="002A29B5"/>
    <w:rsid w:val="002A5337"/>
    <w:rsid w:val="002A75AC"/>
    <w:rsid w:val="002B014F"/>
    <w:rsid w:val="002C0245"/>
    <w:rsid w:val="002C02FB"/>
    <w:rsid w:val="002C5F0D"/>
    <w:rsid w:val="002D5EB9"/>
    <w:rsid w:val="002D632F"/>
    <w:rsid w:val="002E27AE"/>
    <w:rsid w:val="002E4C92"/>
    <w:rsid w:val="002E69AA"/>
    <w:rsid w:val="002F03D2"/>
    <w:rsid w:val="002F3D65"/>
    <w:rsid w:val="003067BF"/>
    <w:rsid w:val="00311E81"/>
    <w:rsid w:val="00317306"/>
    <w:rsid w:val="003201AC"/>
    <w:rsid w:val="0032239A"/>
    <w:rsid w:val="00326FEE"/>
    <w:rsid w:val="00335168"/>
    <w:rsid w:val="003368BF"/>
    <w:rsid w:val="003440A9"/>
    <w:rsid w:val="00347761"/>
    <w:rsid w:val="00347DD9"/>
    <w:rsid w:val="00350B03"/>
    <w:rsid w:val="00351804"/>
    <w:rsid w:val="00351F18"/>
    <w:rsid w:val="00352361"/>
    <w:rsid w:val="00353081"/>
    <w:rsid w:val="00355B9E"/>
    <w:rsid w:val="00356656"/>
    <w:rsid w:val="00362010"/>
    <w:rsid w:val="00362991"/>
    <w:rsid w:val="003630ED"/>
    <w:rsid w:val="00364CD8"/>
    <w:rsid w:val="00370C53"/>
    <w:rsid w:val="00372441"/>
    <w:rsid w:val="0037258B"/>
    <w:rsid w:val="00374C35"/>
    <w:rsid w:val="00376DBB"/>
    <w:rsid w:val="0037798A"/>
    <w:rsid w:val="003822E1"/>
    <w:rsid w:val="003826B0"/>
    <w:rsid w:val="0038382F"/>
    <w:rsid w:val="00383A2A"/>
    <w:rsid w:val="003851B2"/>
    <w:rsid w:val="003854D3"/>
    <w:rsid w:val="0038635E"/>
    <w:rsid w:val="0038753E"/>
    <w:rsid w:val="003908D2"/>
    <w:rsid w:val="003924D0"/>
    <w:rsid w:val="0039525B"/>
    <w:rsid w:val="003A1DCA"/>
    <w:rsid w:val="003A3AB0"/>
    <w:rsid w:val="003A6785"/>
    <w:rsid w:val="003B3DB9"/>
    <w:rsid w:val="003B4B5C"/>
    <w:rsid w:val="003B7708"/>
    <w:rsid w:val="003C2022"/>
    <w:rsid w:val="003C24AD"/>
    <w:rsid w:val="003C61A0"/>
    <w:rsid w:val="003D2601"/>
    <w:rsid w:val="003D27E3"/>
    <w:rsid w:val="003D28E6"/>
    <w:rsid w:val="003D7469"/>
    <w:rsid w:val="003E2C04"/>
    <w:rsid w:val="003E3757"/>
    <w:rsid w:val="003E39AB"/>
    <w:rsid w:val="003E693A"/>
    <w:rsid w:val="003F2833"/>
    <w:rsid w:val="003F3D65"/>
    <w:rsid w:val="00405198"/>
    <w:rsid w:val="0040648A"/>
    <w:rsid w:val="00411706"/>
    <w:rsid w:val="00412A7D"/>
    <w:rsid w:val="004179FD"/>
    <w:rsid w:val="00421157"/>
    <w:rsid w:val="0042474E"/>
    <w:rsid w:val="00425E32"/>
    <w:rsid w:val="00432D7F"/>
    <w:rsid w:val="00434B12"/>
    <w:rsid w:val="00436909"/>
    <w:rsid w:val="00437640"/>
    <w:rsid w:val="00437FD0"/>
    <w:rsid w:val="004402AC"/>
    <w:rsid w:val="004403EE"/>
    <w:rsid w:val="00440948"/>
    <w:rsid w:val="00440E2C"/>
    <w:rsid w:val="004452D5"/>
    <w:rsid w:val="00446AFD"/>
    <w:rsid w:val="00446C81"/>
    <w:rsid w:val="004524F5"/>
    <w:rsid w:val="004528AF"/>
    <w:rsid w:val="004536D7"/>
    <w:rsid w:val="00455FC4"/>
    <w:rsid w:val="00456F88"/>
    <w:rsid w:val="0045725F"/>
    <w:rsid w:val="00457F98"/>
    <w:rsid w:val="00470E93"/>
    <w:rsid w:val="004713C2"/>
    <w:rsid w:val="00472432"/>
    <w:rsid w:val="00472F34"/>
    <w:rsid w:val="0047469B"/>
    <w:rsid w:val="00477B3D"/>
    <w:rsid w:val="00482C15"/>
    <w:rsid w:val="004838D9"/>
    <w:rsid w:val="00484822"/>
    <w:rsid w:val="00485D55"/>
    <w:rsid w:val="00490E46"/>
    <w:rsid w:val="00493B15"/>
    <w:rsid w:val="0049409E"/>
    <w:rsid w:val="00496B6F"/>
    <w:rsid w:val="004A3F30"/>
    <w:rsid w:val="004B22B8"/>
    <w:rsid w:val="004B3E41"/>
    <w:rsid w:val="004B552B"/>
    <w:rsid w:val="004B7C07"/>
    <w:rsid w:val="004C602D"/>
    <w:rsid w:val="004C6CD8"/>
    <w:rsid w:val="004D487C"/>
    <w:rsid w:val="004D5473"/>
    <w:rsid w:val="004D7029"/>
    <w:rsid w:val="004E1B0E"/>
    <w:rsid w:val="004F2363"/>
    <w:rsid w:val="004F2969"/>
    <w:rsid w:val="004F353F"/>
    <w:rsid w:val="004F62CF"/>
    <w:rsid w:val="0050213C"/>
    <w:rsid w:val="00502FAD"/>
    <w:rsid w:val="00507DF5"/>
    <w:rsid w:val="005121D2"/>
    <w:rsid w:val="00513C73"/>
    <w:rsid w:val="00513E84"/>
    <w:rsid w:val="00516AC1"/>
    <w:rsid w:val="00517918"/>
    <w:rsid w:val="0052385B"/>
    <w:rsid w:val="0052413A"/>
    <w:rsid w:val="0052748A"/>
    <w:rsid w:val="0052769A"/>
    <w:rsid w:val="00527ABA"/>
    <w:rsid w:val="00527DE8"/>
    <w:rsid w:val="005324A5"/>
    <w:rsid w:val="005407B3"/>
    <w:rsid w:val="00541A6A"/>
    <w:rsid w:val="00542523"/>
    <w:rsid w:val="00546993"/>
    <w:rsid w:val="00546D71"/>
    <w:rsid w:val="0054791C"/>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15E6"/>
    <w:rsid w:val="005A6484"/>
    <w:rsid w:val="005A7968"/>
    <w:rsid w:val="005B22B2"/>
    <w:rsid w:val="005B3D78"/>
    <w:rsid w:val="005B75BF"/>
    <w:rsid w:val="005B7E6E"/>
    <w:rsid w:val="005C4572"/>
    <w:rsid w:val="005C7B5F"/>
    <w:rsid w:val="005D7C72"/>
    <w:rsid w:val="005E2E87"/>
    <w:rsid w:val="005F147C"/>
    <w:rsid w:val="005F5D35"/>
    <w:rsid w:val="005F657A"/>
    <w:rsid w:val="00603970"/>
    <w:rsid w:val="006044CD"/>
    <w:rsid w:val="00607856"/>
    <w:rsid w:val="00610413"/>
    <w:rsid w:val="006124D5"/>
    <w:rsid w:val="006142DC"/>
    <w:rsid w:val="00614970"/>
    <w:rsid w:val="0062277B"/>
    <w:rsid w:val="006261E1"/>
    <w:rsid w:val="00626E4A"/>
    <w:rsid w:val="0063653C"/>
    <w:rsid w:val="006375AF"/>
    <w:rsid w:val="00641DC5"/>
    <w:rsid w:val="00643550"/>
    <w:rsid w:val="00644540"/>
    <w:rsid w:val="00644D59"/>
    <w:rsid w:val="00645C3F"/>
    <w:rsid w:val="00646088"/>
    <w:rsid w:val="00651092"/>
    <w:rsid w:val="00653ABB"/>
    <w:rsid w:val="00660FF0"/>
    <w:rsid w:val="00661882"/>
    <w:rsid w:val="0066211A"/>
    <w:rsid w:val="00663487"/>
    <w:rsid w:val="00663A00"/>
    <w:rsid w:val="006661AE"/>
    <w:rsid w:val="006667A3"/>
    <w:rsid w:val="00670A32"/>
    <w:rsid w:val="0068018C"/>
    <w:rsid w:val="006856D4"/>
    <w:rsid w:val="00692072"/>
    <w:rsid w:val="0069247E"/>
    <w:rsid w:val="00696173"/>
    <w:rsid w:val="006A09D6"/>
    <w:rsid w:val="006A1245"/>
    <w:rsid w:val="006A14D6"/>
    <w:rsid w:val="006A3594"/>
    <w:rsid w:val="006B0965"/>
    <w:rsid w:val="006B2FEA"/>
    <w:rsid w:val="006B61DD"/>
    <w:rsid w:val="006B7CCB"/>
    <w:rsid w:val="006D2679"/>
    <w:rsid w:val="006D5208"/>
    <w:rsid w:val="006E4C84"/>
    <w:rsid w:val="006E7A67"/>
    <w:rsid w:val="006E7D3C"/>
    <w:rsid w:val="006F3BD7"/>
    <w:rsid w:val="00706F7A"/>
    <w:rsid w:val="00707670"/>
    <w:rsid w:val="00711438"/>
    <w:rsid w:val="0071568E"/>
    <w:rsid w:val="0072440D"/>
    <w:rsid w:val="00724760"/>
    <w:rsid w:val="00730123"/>
    <w:rsid w:val="0073192F"/>
    <w:rsid w:val="00733C74"/>
    <w:rsid w:val="00735C90"/>
    <w:rsid w:val="0073618D"/>
    <w:rsid w:val="00737EE7"/>
    <w:rsid w:val="00741955"/>
    <w:rsid w:val="007623AE"/>
    <w:rsid w:val="0076269D"/>
    <w:rsid w:val="007630A2"/>
    <w:rsid w:val="00766336"/>
    <w:rsid w:val="0076658E"/>
    <w:rsid w:val="00767641"/>
    <w:rsid w:val="00772135"/>
    <w:rsid w:val="00772FCA"/>
    <w:rsid w:val="0077398D"/>
    <w:rsid w:val="00774266"/>
    <w:rsid w:val="00796D57"/>
    <w:rsid w:val="00797281"/>
    <w:rsid w:val="007B0EDD"/>
    <w:rsid w:val="007B131B"/>
    <w:rsid w:val="007B764B"/>
    <w:rsid w:val="007B7ADA"/>
    <w:rsid w:val="007C14C1"/>
    <w:rsid w:val="007C6584"/>
    <w:rsid w:val="007C7DB0"/>
    <w:rsid w:val="007D1715"/>
    <w:rsid w:val="007D2F12"/>
    <w:rsid w:val="007E1080"/>
    <w:rsid w:val="007E463A"/>
    <w:rsid w:val="007E4E86"/>
    <w:rsid w:val="007E7665"/>
    <w:rsid w:val="007F76FC"/>
    <w:rsid w:val="00804C62"/>
    <w:rsid w:val="00807C6B"/>
    <w:rsid w:val="00813811"/>
    <w:rsid w:val="008139A0"/>
    <w:rsid w:val="008151E5"/>
    <w:rsid w:val="00820EF9"/>
    <w:rsid w:val="0082210F"/>
    <w:rsid w:val="008228CD"/>
    <w:rsid w:val="008261D2"/>
    <w:rsid w:val="00831B4C"/>
    <w:rsid w:val="008336BE"/>
    <w:rsid w:val="00835495"/>
    <w:rsid w:val="00835EA1"/>
    <w:rsid w:val="008434A6"/>
    <w:rsid w:val="0084358E"/>
    <w:rsid w:val="00847A03"/>
    <w:rsid w:val="00850255"/>
    <w:rsid w:val="00850CE6"/>
    <w:rsid w:val="00853CF3"/>
    <w:rsid w:val="008572B2"/>
    <w:rsid w:val="00860A88"/>
    <w:rsid w:val="00860F46"/>
    <w:rsid w:val="00864A80"/>
    <w:rsid w:val="00864CE9"/>
    <w:rsid w:val="00872393"/>
    <w:rsid w:val="008732CC"/>
    <w:rsid w:val="00874AF4"/>
    <w:rsid w:val="00875D0A"/>
    <w:rsid w:val="00876632"/>
    <w:rsid w:val="00880AAD"/>
    <w:rsid w:val="00883761"/>
    <w:rsid w:val="00884AB6"/>
    <w:rsid w:val="008864A0"/>
    <w:rsid w:val="008907FE"/>
    <w:rsid w:val="00893930"/>
    <w:rsid w:val="00893A85"/>
    <w:rsid w:val="00897E18"/>
    <w:rsid w:val="008A0F55"/>
    <w:rsid w:val="008A1774"/>
    <w:rsid w:val="008A2DA8"/>
    <w:rsid w:val="008A5010"/>
    <w:rsid w:val="008A7263"/>
    <w:rsid w:val="008B1311"/>
    <w:rsid w:val="008B31CC"/>
    <w:rsid w:val="008B456C"/>
    <w:rsid w:val="008B46F2"/>
    <w:rsid w:val="008B5DE1"/>
    <w:rsid w:val="008C1826"/>
    <w:rsid w:val="008C276C"/>
    <w:rsid w:val="008C7679"/>
    <w:rsid w:val="008C7AC5"/>
    <w:rsid w:val="008D0396"/>
    <w:rsid w:val="008D2681"/>
    <w:rsid w:val="008D3566"/>
    <w:rsid w:val="008D3BC0"/>
    <w:rsid w:val="008D5D6B"/>
    <w:rsid w:val="008E2674"/>
    <w:rsid w:val="009000C9"/>
    <w:rsid w:val="009016E3"/>
    <w:rsid w:val="00902619"/>
    <w:rsid w:val="00903656"/>
    <w:rsid w:val="009062ED"/>
    <w:rsid w:val="0090775D"/>
    <w:rsid w:val="00910D8E"/>
    <w:rsid w:val="009135A8"/>
    <w:rsid w:val="0091722D"/>
    <w:rsid w:val="00917785"/>
    <w:rsid w:val="00920367"/>
    <w:rsid w:val="00922E34"/>
    <w:rsid w:val="009277DA"/>
    <w:rsid w:val="00932FD4"/>
    <w:rsid w:val="00933100"/>
    <w:rsid w:val="00935948"/>
    <w:rsid w:val="009403AD"/>
    <w:rsid w:val="0094277B"/>
    <w:rsid w:val="009436A0"/>
    <w:rsid w:val="00943805"/>
    <w:rsid w:val="00946722"/>
    <w:rsid w:val="0096199D"/>
    <w:rsid w:val="00962802"/>
    <w:rsid w:val="00963CDE"/>
    <w:rsid w:val="00966D72"/>
    <w:rsid w:val="00967678"/>
    <w:rsid w:val="0097223B"/>
    <w:rsid w:val="009732BA"/>
    <w:rsid w:val="0098148A"/>
    <w:rsid w:val="0098419F"/>
    <w:rsid w:val="009859E7"/>
    <w:rsid w:val="00993DB3"/>
    <w:rsid w:val="009A0390"/>
    <w:rsid w:val="009A30E7"/>
    <w:rsid w:val="009A3159"/>
    <w:rsid w:val="009B0F30"/>
    <w:rsid w:val="009B12D0"/>
    <w:rsid w:val="009B14FE"/>
    <w:rsid w:val="009B235B"/>
    <w:rsid w:val="009B4FE2"/>
    <w:rsid w:val="009B7417"/>
    <w:rsid w:val="009B7C85"/>
    <w:rsid w:val="009C0391"/>
    <w:rsid w:val="009C2014"/>
    <w:rsid w:val="009C3C09"/>
    <w:rsid w:val="009D0B7A"/>
    <w:rsid w:val="009D12CD"/>
    <w:rsid w:val="009D2572"/>
    <w:rsid w:val="009E05C6"/>
    <w:rsid w:val="009E07D2"/>
    <w:rsid w:val="009E734D"/>
    <w:rsid w:val="009F0D2E"/>
    <w:rsid w:val="009F31D9"/>
    <w:rsid w:val="009F3652"/>
    <w:rsid w:val="009F6508"/>
    <w:rsid w:val="00A0163A"/>
    <w:rsid w:val="00A07970"/>
    <w:rsid w:val="00A07A4E"/>
    <w:rsid w:val="00A14F0A"/>
    <w:rsid w:val="00A179B3"/>
    <w:rsid w:val="00A241AD"/>
    <w:rsid w:val="00A24DAB"/>
    <w:rsid w:val="00A253EA"/>
    <w:rsid w:val="00A25440"/>
    <w:rsid w:val="00A3272E"/>
    <w:rsid w:val="00A32E00"/>
    <w:rsid w:val="00A4015E"/>
    <w:rsid w:val="00A4462B"/>
    <w:rsid w:val="00A4688B"/>
    <w:rsid w:val="00A65FF8"/>
    <w:rsid w:val="00A718C0"/>
    <w:rsid w:val="00A75116"/>
    <w:rsid w:val="00A77308"/>
    <w:rsid w:val="00A908AC"/>
    <w:rsid w:val="00A92E0E"/>
    <w:rsid w:val="00A948B3"/>
    <w:rsid w:val="00A95E92"/>
    <w:rsid w:val="00A968CA"/>
    <w:rsid w:val="00AA0831"/>
    <w:rsid w:val="00AA1DC0"/>
    <w:rsid w:val="00AA5F43"/>
    <w:rsid w:val="00AC1DE5"/>
    <w:rsid w:val="00AC1F67"/>
    <w:rsid w:val="00AC2AB4"/>
    <w:rsid w:val="00AC6562"/>
    <w:rsid w:val="00AC7FF6"/>
    <w:rsid w:val="00AD15F6"/>
    <w:rsid w:val="00AD26BF"/>
    <w:rsid w:val="00AD2E2E"/>
    <w:rsid w:val="00AD440D"/>
    <w:rsid w:val="00AE01CA"/>
    <w:rsid w:val="00AE14E2"/>
    <w:rsid w:val="00AE3076"/>
    <w:rsid w:val="00AF139B"/>
    <w:rsid w:val="00AF1F26"/>
    <w:rsid w:val="00AF3526"/>
    <w:rsid w:val="00AF5A63"/>
    <w:rsid w:val="00B00346"/>
    <w:rsid w:val="00B01708"/>
    <w:rsid w:val="00B044E7"/>
    <w:rsid w:val="00B10BF2"/>
    <w:rsid w:val="00B1409A"/>
    <w:rsid w:val="00B15AE2"/>
    <w:rsid w:val="00B17433"/>
    <w:rsid w:val="00B205E1"/>
    <w:rsid w:val="00B20B90"/>
    <w:rsid w:val="00B231AA"/>
    <w:rsid w:val="00B23AD5"/>
    <w:rsid w:val="00B27639"/>
    <w:rsid w:val="00B30BF5"/>
    <w:rsid w:val="00B31BA2"/>
    <w:rsid w:val="00B378B6"/>
    <w:rsid w:val="00B46C45"/>
    <w:rsid w:val="00B5282C"/>
    <w:rsid w:val="00B5442C"/>
    <w:rsid w:val="00B57A9F"/>
    <w:rsid w:val="00B6092B"/>
    <w:rsid w:val="00B66DB7"/>
    <w:rsid w:val="00B70843"/>
    <w:rsid w:val="00B71188"/>
    <w:rsid w:val="00B7194E"/>
    <w:rsid w:val="00B75489"/>
    <w:rsid w:val="00B76D5E"/>
    <w:rsid w:val="00B80621"/>
    <w:rsid w:val="00B952C0"/>
    <w:rsid w:val="00BA15C4"/>
    <w:rsid w:val="00BA4548"/>
    <w:rsid w:val="00BA46CB"/>
    <w:rsid w:val="00BA536E"/>
    <w:rsid w:val="00BA6497"/>
    <w:rsid w:val="00BA6CB2"/>
    <w:rsid w:val="00BA6E05"/>
    <w:rsid w:val="00BA7D7C"/>
    <w:rsid w:val="00BA7F1C"/>
    <w:rsid w:val="00BB27BA"/>
    <w:rsid w:val="00BB2A9F"/>
    <w:rsid w:val="00BB3487"/>
    <w:rsid w:val="00BB459A"/>
    <w:rsid w:val="00BB4709"/>
    <w:rsid w:val="00BB5A4C"/>
    <w:rsid w:val="00BC1873"/>
    <w:rsid w:val="00BC2621"/>
    <w:rsid w:val="00BC3880"/>
    <w:rsid w:val="00BC4ADE"/>
    <w:rsid w:val="00BC54A9"/>
    <w:rsid w:val="00BC55AA"/>
    <w:rsid w:val="00BD28C9"/>
    <w:rsid w:val="00BD7AD4"/>
    <w:rsid w:val="00BD7B6F"/>
    <w:rsid w:val="00BE4EBD"/>
    <w:rsid w:val="00BE59EE"/>
    <w:rsid w:val="00BE6EFE"/>
    <w:rsid w:val="00BF6DF5"/>
    <w:rsid w:val="00C02E75"/>
    <w:rsid w:val="00C02EC2"/>
    <w:rsid w:val="00C07D88"/>
    <w:rsid w:val="00C11A24"/>
    <w:rsid w:val="00C151B9"/>
    <w:rsid w:val="00C151C7"/>
    <w:rsid w:val="00C17AF0"/>
    <w:rsid w:val="00C208EA"/>
    <w:rsid w:val="00C2283A"/>
    <w:rsid w:val="00C252EF"/>
    <w:rsid w:val="00C25C43"/>
    <w:rsid w:val="00C27E34"/>
    <w:rsid w:val="00C32D51"/>
    <w:rsid w:val="00C34B83"/>
    <w:rsid w:val="00C419B4"/>
    <w:rsid w:val="00C424C5"/>
    <w:rsid w:val="00C42C58"/>
    <w:rsid w:val="00C441BE"/>
    <w:rsid w:val="00C4787C"/>
    <w:rsid w:val="00C5015B"/>
    <w:rsid w:val="00C50B3C"/>
    <w:rsid w:val="00C512D6"/>
    <w:rsid w:val="00C52FD6"/>
    <w:rsid w:val="00C7162F"/>
    <w:rsid w:val="00C745E1"/>
    <w:rsid w:val="00C920BB"/>
    <w:rsid w:val="00C9359E"/>
    <w:rsid w:val="00C94AC5"/>
    <w:rsid w:val="00C9623A"/>
    <w:rsid w:val="00CA53F8"/>
    <w:rsid w:val="00CA6CC7"/>
    <w:rsid w:val="00CB1235"/>
    <w:rsid w:val="00CB4795"/>
    <w:rsid w:val="00CC1BF8"/>
    <w:rsid w:val="00CC2982"/>
    <w:rsid w:val="00CC3C40"/>
    <w:rsid w:val="00CC48FD"/>
    <w:rsid w:val="00CC585F"/>
    <w:rsid w:val="00CC605E"/>
    <w:rsid w:val="00CC64E9"/>
    <w:rsid w:val="00CC6523"/>
    <w:rsid w:val="00CC67F2"/>
    <w:rsid w:val="00CC6E60"/>
    <w:rsid w:val="00CD1A34"/>
    <w:rsid w:val="00CD399A"/>
    <w:rsid w:val="00CD3A81"/>
    <w:rsid w:val="00CD3E3F"/>
    <w:rsid w:val="00CD4793"/>
    <w:rsid w:val="00CD61D0"/>
    <w:rsid w:val="00CD6600"/>
    <w:rsid w:val="00CD7710"/>
    <w:rsid w:val="00CE0D9A"/>
    <w:rsid w:val="00CE2836"/>
    <w:rsid w:val="00CE5BEA"/>
    <w:rsid w:val="00CE6C54"/>
    <w:rsid w:val="00CF045C"/>
    <w:rsid w:val="00CF08C2"/>
    <w:rsid w:val="00CF2582"/>
    <w:rsid w:val="00CF2986"/>
    <w:rsid w:val="00CF4180"/>
    <w:rsid w:val="00CF498D"/>
    <w:rsid w:val="00D031FA"/>
    <w:rsid w:val="00D066C5"/>
    <w:rsid w:val="00D07DAF"/>
    <w:rsid w:val="00D12732"/>
    <w:rsid w:val="00D22B12"/>
    <w:rsid w:val="00D2326D"/>
    <w:rsid w:val="00D23DEC"/>
    <w:rsid w:val="00D24BEA"/>
    <w:rsid w:val="00D25287"/>
    <w:rsid w:val="00D257AC"/>
    <w:rsid w:val="00D3179C"/>
    <w:rsid w:val="00D31C4D"/>
    <w:rsid w:val="00D3492E"/>
    <w:rsid w:val="00D35056"/>
    <w:rsid w:val="00D36412"/>
    <w:rsid w:val="00D36C11"/>
    <w:rsid w:val="00D374A9"/>
    <w:rsid w:val="00D41B54"/>
    <w:rsid w:val="00D4259D"/>
    <w:rsid w:val="00D44411"/>
    <w:rsid w:val="00D44710"/>
    <w:rsid w:val="00D4700C"/>
    <w:rsid w:val="00D479EE"/>
    <w:rsid w:val="00D52801"/>
    <w:rsid w:val="00D547B0"/>
    <w:rsid w:val="00D5676B"/>
    <w:rsid w:val="00D57066"/>
    <w:rsid w:val="00D639E6"/>
    <w:rsid w:val="00D82727"/>
    <w:rsid w:val="00D920A6"/>
    <w:rsid w:val="00D9328F"/>
    <w:rsid w:val="00D94FAB"/>
    <w:rsid w:val="00D95A65"/>
    <w:rsid w:val="00DA030E"/>
    <w:rsid w:val="00DB0BC9"/>
    <w:rsid w:val="00DB34C3"/>
    <w:rsid w:val="00DB3C98"/>
    <w:rsid w:val="00DC0419"/>
    <w:rsid w:val="00DC0591"/>
    <w:rsid w:val="00DC592A"/>
    <w:rsid w:val="00DC7604"/>
    <w:rsid w:val="00DD207B"/>
    <w:rsid w:val="00DD6609"/>
    <w:rsid w:val="00DD6BA0"/>
    <w:rsid w:val="00DF3D1C"/>
    <w:rsid w:val="00DF5111"/>
    <w:rsid w:val="00E0286B"/>
    <w:rsid w:val="00E15A7A"/>
    <w:rsid w:val="00E16070"/>
    <w:rsid w:val="00E173B3"/>
    <w:rsid w:val="00E223DA"/>
    <w:rsid w:val="00E22A24"/>
    <w:rsid w:val="00E23923"/>
    <w:rsid w:val="00E26A26"/>
    <w:rsid w:val="00E31D9D"/>
    <w:rsid w:val="00E323FE"/>
    <w:rsid w:val="00E3245A"/>
    <w:rsid w:val="00E32EAC"/>
    <w:rsid w:val="00E42FA6"/>
    <w:rsid w:val="00E45753"/>
    <w:rsid w:val="00E46711"/>
    <w:rsid w:val="00E53E91"/>
    <w:rsid w:val="00E560AD"/>
    <w:rsid w:val="00E56C25"/>
    <w:rsid w:val="00E6036C"/>
    <w:rsid w:val="00E60525"/>
    <w:rsid w:val="00E608E9"/>
    <w:rsid w:val="00E618D5"/>
    <w:rsid w:val="00E62A4E"/>
    <w:rsid w:val="00E63363"/>
    <w:rsid w:val="00E6588C"/>
    <w:rsid w:val="00E65C14"/>
    <w:rsid w:val="00E67913"/>
    <w:rsid w:val="00E729A5"/>
    <w:rsid w:val="00E7559A"/>
    <w:rsid w:val="00E7754E"/>
    <w:rsid w:val="00E81CB2"/>
    <w:rsid w:val="00E87D6D"/>
    <w:rsid w:val="00E9190E"/>
    <w:rsid w:val="00E93803"/>
    <w:rsid w:val="00E946A0"/>
    <w:rsid w:val="00E94D19"/>
    <w:rsid w:val="00EA0C17"/>
    <w:rsid w:val="00EA2CFF"/>
    <w:rsid w:val="00EA3693"/>
    <w:rsid w:val="00EA44C5"/>
    <w:rsid w:val="00EA74B5"/>
    <w:rsid w:val="00EB4655"/>
    <w:rsid w:val="00EB4AAC"/>
    <w:rsid w:val="00EB6D24"/>
    <w:rsid w:val="00EB782B"/>
    <w:rsid w:val="00EC0BD5"/>
    <w:rsid w:val="00EC15E4"/>
    <w:rsid w:val="00EC1E30"/>
    <w:rsid w:val="00EC238E"/>
    <w:rsid w:val="00EC3F22"/>
    <w:rsid w:val="00EC73A6"/>
    <w:rsid w:val="00ED0044"/>
    <w:rsid w:val="00ED318D"/>
    <w:rsid w:val="00ED34EC"/>
    <w:rsid w:val="00ED491F"/>
    <w:rsid w:val="00ED6ACF"/>
    <w:rsid w:val="00EE360E"/>
    <w:rsid w:val="00EE5F60"/>
    <w:rsid w:val="00EE66B9"/>
    <w:rsid w:val="00EF12C5"/>
    <w:rsid w:val="00F040FF"/>
    <w:rsid w:val="00F07B41"/>
    <w:rsid w:val="00F10E78"/>
    <w:rsid w:val="00F10E87"/>
    <w:rsid w:val="00F12958"/>
    <w:rsid w:val="00F143C7"/>
    <w:rsid w:val="00F21CD9"/>
    <w:rsid w:val="00F251F1"/>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0143"/>
    <w:rsid w:val="00F92CB6"/>
    <w:rsid w:val="00F942C8"/>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0544"/>
    <w:rsid w:val="00FF1FA1"/>
    <w:rsid w:val="00FF6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link w:val="ToolHeaderChar"/>
    <w:qFormat/>
    <w:rsid w:val="00F55F78"/>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ToolHeaderChar">
    <w:name w:val="*ToolHeader Char"/>
    <w:basedOn w:val="DefaultParagraphFont"/>
    <w:link w:val="ToolHeader"/>
    <w:rsid w:val="00813811"/>
    <w:rPr>
      <w:rFonts w:asciiTheme="minorHAnsi" w:hAnsiTheme="minorHAnsi"/>
      <w:b/>
      <w:bCs/>
      <w:color w:val="365F91"/>
      <w:sz w:val="32"/>
      <w:szCs w:val="28"/>
    </w:rPr>
  </w:style>
  <w:style w:type="table" w:customStyle="1" w:styleId="TableGrid1">
    <w:name w:val="Table Grid1"/>
    <w:basedOn w:val="TableNormal"/>
    <w:next w:val="TableGrid"/>
    <w:uiPriority w:val="59"/>
    <w:rsid w:val="0081381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ableTextChar">
    <w:name w:val="*ToolTableText Char"/>
    <w:basedOn w:val="DefaultParagraphFont"/>
    <w:link w:val="ToolTableText"/>
    <w:rsid w:val="00CD399A"/>
    <w:rPr>
      <w:sz w:val="22"/>
      <w:szCs w:val="22"/>
    </w:rPr>
  </w:style>
  <w:style w:type="paragraph" w:styleId="DocumentMap">
    <w:name w:val="Document Map"/>
    <w:basedOn w:val="Normal"/>
    <w:link w:val="DocumentMapChar"/>
    <w:uiPriority w:val="99"/>
    <w:semiHidden/>
    <w:unhideWhenUsed/>
    <w:rsid w:val="00083C0E"/>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83C0E"/>
    <w:rPr>
      <w:rFonts w:ascii="Lucida Grande" w:hAnsi="Lucida Grande"/>
      <w:sz w:val="24"/>
      <w:szCs w:val="24"/>
    </w:rPr>
  </w:style>
  <w:style w:type="paragraph" w:styleId="Revision">
    <w:name w:val="Revision"/>
    <w:hidden/>
    <w:uiPriority w:val="71"/>
    <w:rsid w:val="00E87D6D"/>
    <w:rPr>
      <w:sz w:val="22"/>
      <w:szCs w:val="22"/>
    </w:rPr>
  </w:style>
</w:styles>
</file>

<file path=word/webSettings.xml><?xml version="1.0" encoding="utf-8"?>
<w:webSettings xmlns:r="http://schemas.openxmlformats.org/officeDocument/2006/relationships" xmlns:w="http://schemas.openxmlformats.org/wordprocessingml/2006/main">
  <w:divs>
    <w:div w:id="423573935">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2012/07/02/a-court-allows-payment-for-bone-marrow-should-people-be-able-to-sell-their-part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jm.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cagotribun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m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xfordjournals.org/"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A579-A72F-4691-A238-7619A178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26676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2014-04-17T18:15:00Z</dcterms:created>
  <dcterms:modified xsi:type="dcterms:W3CDTF">2014-04-17T18:15:00Z</dcterms:modified>
</cp:coreProperties>
</file>