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A43D1B"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43D1B">
              <w:rPr>
                <w:rFonts w:asciiTheme="minorHAnsi" w:hAnsiTheme="minorHAnsi"/>
              </w:rPr>
              <w:t>5</w:t>
            </w:r>
          </w:p>
        </w:tc>
      </w:tr>
    </w:tbl>
    <w:p w:rsidR="005C4572" w:rsidRDefault="00C4787C" w:rsidP="00E946A0">
      <w:pPr>
        <w:pStyle w:val="Heading1"/>
      </w:pPr>
      <w:r w:rsidRPr="00263AF5">
        <w:t>Introduction</w:t>
      </w:r>
    </w:p>
    <w:p w:rsidR="008C21D0" w:rsidRDefault="00FC0946" w:rsidP="005C4572">
      <w:r>
        <w:t>In this lesson</w:t>
      </w:r>
      <w:r w:rsidR="00783B37">
        <w:t>,</w:t>
      </w:r>
      <w:r w:rsidR="00D2400B">
        <w:t xml:space="preserve"> students </w:t>
      </w:r>
      <w:r w:rsidR="00783B37">
        <w:t>learn how to evaluate an e</w:t>
      </w:r>
      <w:r w:rsidR="00D2400B">
        <w:t>vidence-</w:t>
      </w:r>
      <w:r w:rsidR="00783B37">
        <w:t>b</w:t>
      </w:r>
      <w:r w:rsidR="00D2400B">
        <w:t xml:space="preserve">ased </w:t>
      </w:r>
      <w:r w:rsidR="00783B37">
        <w:t>a</w:t>
      </w:r>
      <w:r w:rsidR="00D2400B">
        <w:t xml:space="preserve">rgument. </w:t>
      </w:r>
      <w:r w:rsidR="008C21D0">
        <w:t>Students work to develop their ability to identify the necessary components of a compelling argument, systematically evaluate arguments</w:t>
      </w:r>
      <w:r w:rsidR="00783B37">
        <w:t>,</w:t>
      </w:r>
      <w:r w:rsidR="008C21D0">
        <w:t xml:space="preserve"> and assess the </w:t>
      </w:r>
      <w:r w:rsidR="00783B37">
        <w:t xml:space="preserve">effectiveness </w:t>
      </w:r>
      <w:r w:rsidR="008C21D0">
        <w:t>of these arguments. This work prepare</w:t>
      </w:r>
      <w:r w:rsidR="00777D3B">
        <w:t>s</w:t>
      </w:r>
      <w:r w:rsidR="008C21D0">
        <w:t xml:space="preserve"> students to begin forming their own </w:t>
      </w:r>
      <w:r w:rsidR="00783B37">
        <w:t>e</w:t>
      </w:r>
      <w:r w:rsidR="008C21D0">
        <w:t>vidence-</w:t>
      </w:r>
      <w:r w:rsidR="00783B37">
        <w:t>b</w:t>
      </w:r>
      <w:r w:rsidR="008C21D0">
        <w:t xml:space="preserve">ased </w:t>
      </w:r>
      <w:r w:rsidR="00783B37">
        <w:t>a</w:t>
      </w:r>
      <w:r w:rsidR="008C21D0">
        <w:t xml:space="preserve">rguments in </w:t>
      </w:r>
      <w:r w:rsidR="00A0164B">
        <w:t>10.3.</w:t>
      </w:r>
      <w:r w:rsidR="00783B37">
        <w:t xml:space="preserve">3. </w:t>
      </w:r>
    </w:p>
    <w:p w:rsidR="005C4572" w:rsidRPr="005C4572" w:rsidRDefault="008C21D0" w:rsidP="005C4572">
      <w:r>
        <w:t>Students begin the lesson by observing a</w:t>
      </w:r>
      <w:r w:rsidR="00356D18">
        <w:t xml:space="preserve"> teacher</w:t>
      </w:r>
      <w:r w:rsidR="00783B37">
        <w:t>-</w:t>
      </w:r>
      <w:r w:rsidR="00356D18">
        <w:t>led</w:t>
      </w:r>
      <w:r>
        <w:t xml:space="preserve"> </w:t>
      </w:r>
      <w:r w:rsidR="00783B37">
        <w:t>evaluation</w:t>
      </w:r>
      <w:r>
        <w:t xml:space="preserve"> of a model argument</w:t>
      </w:r>
      <w:r w:rsidR="00790B99">
        <w:t xml:space="preserve"> using</w:t>
      </w:r>
      <w:r>
        <w:t xml:space="preserve"> </w:t>
      </w:r>
      <w:r w:rsidR="00356D18">
        <w:t xml:space="preserve">the </w:t>
      </w:r>
      <w:r w:rsidR="00356D18" w:rsidRPr="00A05316">
        <w:t xml:space="preserve">Evidence-Based Arguments Checklist. </w:t>
      </w:r>
      <w:r w:rsidRPr="00A05316">
        <w:t>Students</w:t>
      </w:r>
      <w:r>
        <w:t xml:space="preserve"> then examine a number of </w:t>
      </w:r>
      <w:r w:rsidR="00790B99">
        <w:t>e</w:t>
      </w:r>
      <w:r>
        <w:t>vidence-</w:t>
      </w:r>
      <w:r w:rsidR="00790B99">
        <w:t>b</w:t>
      </w:r>
      <w:r>
        <w:t xml:space="preserve">ased </w:t>
      </w:r>
      <w:r w:rsidR="00790B99">
        <w:t>a</w:t>
      </w:r>
      <w:r>
        <w:t>rguments in groups</w:t>
      </w:r>
      <w:r w:rsidR="00790B99">
        <w:t xml:space="preserve"> while </w:t>
      </w:r>
      <w:r w:rsidR="00FC0946">
        <w:t xml:space="preserve">examining the logic and quality of </w:t>
      </w:r>
      <w:r w:rsidR="00A43D1B">
        <w:t>each argument using the Evidence-Based Arguments Checklist</w:t>
      </w:r>
      <w:r>
        <w:t xml:space="preserve">. Students </w:t>
      </w:r>
      <w:r w:rsidR="00EB3F69">
        <w:t>are</w:t>
      </w:r>
      <w:r>
        <w:t xml:space="preserve"> assessed via </w:t>
      </w:r>
      <w:r w:rsidR="00790B99">
        <w:t>a</w:t>
      </w:r>
      <w:r>
        <w:t xml:space="preserve"> completed Evidence-Based Arguments Checklist</w:t>
      </w:r>
      <w:r w:rsidR="00790B99">
        <w:t xml:space="preserve"> with student notes.</w:t>
      </w:r>
      <w:r w:rsidR="00356D18">
        <w:t xml:space="preserve"> For homework</w:t>
      </w:r>
      <w:r w:rsidR="00790B99">
        <w:t>,</w:t>
      </w:r>
      <w:r w:rsidR="00356D18">
        <w:t xml:space="preserve"> students continue to develop their </w:t>
      </w:r>
      <w:r w:rsidR="00351640">
        <w:t xml:space="preserve">examination of argument </w:t>
      </w:r>
      <w:r w:rsidR="00356D18">
        <w:t>by applying the Evidence-Based Arg</w:t>
      </w:r>
      <w:r w:rsidR="00931E44">
        <w:t>uments Checklist to two</w:t>
      </w:r>
      <w:r w:rsidR="00A66F5F">
        <w:t xml:space="preserve"> additional</w:t>
      </w:r>
      <w:r w:rsidR="00931E44">
        <w:t xml:space="preserve"> sources.</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A43D1B" w:rsidP="000B2D56">
            <w:pPr>
              <w:pStyle w:val="TableText"/>
            </w:pPr>
            <w:r w:rsidRPr="00A43D1B">
              <w:t>RI.9-10.8</w:t>
            </w:r>
          </w:p>
        </w:tc>
        <w:tc>
          <w:tcPr>
            <w:tcW w:w="8124" w:type="dxa"/>
          </w:tcPr>
          <w:p w:rsidR="00CF498D" w:rsidRDefault="00A43D1B" w:rsidP="00A43D1B">
            <w:pPr>
              <w:pStyle w:val="TableText"/>
            </w:pPr>
            <w:r w:rsidRPr="00A43D1B">
              <w:t>Delineate and evaluate the argument and specific claims in a text, assessing whether the reasoning is valid and the evidence is relevant and sufficient; identify false statements and fallacious reasoning.</w:t>
            </w:r>
          </w:p>
        </w:tc>
      </w:tr>
      <w:tr w:rsidR="00EC620B" w:rsidRPr="0053542D" w:rsidTr="00E22A24">
        <w:tc>
          <w:tcPr>
            <w:tcW w:w="1344" w:type="dxa"/>
          </w:tcPr>
          <w:p w:rsidR="00EC620B" w:rsidRPr="00A43D1B" w:rsidRDefault="00070761" w:rsidP="00070761">
            <w:pPr>
              <w:pStyle w:val="TableText"/>
            </w:pPr>
            <w:r>
              <w:rPr>
                <w:rFonts w:asciiTheme="minorHAnsi" w:hAnsiTheme="minorHAnsi"/>
              </w:rPr>
              <w:t>W.9-10.9</w:t>
            </w:r>
          </w:p>
        </w:tc>
        <w:tc>
          <w:tcPr>
            <w:tcW w:w="8124" w:type="dxa"/>
          </w:tcPr>
          <w:p w:rsidR="00EC620B" w:rsidRPr="00A724BE" w:rsidRDefault="00EC620B" w:rsidP="00A724BE">
            <w:pPr>
              <w:pStyle w:val="TableText"/>
            </w:pPr>
            <w:r w:rsidRPr="00A724BE">
              <w:t>Draw evidence from literary or informational texts to support analysis, reflection, and research.</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70761" w:rsidRPr="0053542D" w:rsidTr="001B5700">
        <w:tc>
          <w:tcPr>
            <w:tcW w:w="1344" w:type="dxa"/>
          </w:tcPr>
          <w:p w:rsidR="00070761" w:rsidRDefault="00070761" w:rsidP="001B5700">
            <w:pPr>
              <w:pStyle w:val="TableText"/>
              <w:rPr>
                <w:rFonts w:asciiTheme="minorHAnsi" w:hAnsiTheme="minorHAnsi"/>
              </w:rPr>
            </w:pPr>
            <w:r w:rsidRPr="00070761">
              <w:t>W</w:t>
            </w:r>
            <w:r>
              <w:t xml:space="preserve">.9-10.7 </w:t>
            </w:r>
          </w:p>
        </w:tc>
        <w:tc>
          <w:tcPr>
            <w:tcW w:w="8124" w:type="dxa"/>
          </w:tcPr>
          <w:p w:rsidR="00070761" w:rsidRPr="00A724BE" w:rsidRDefault="00070761" w:rsidP="00A724BE">
            <w:pPr>
              <w:pStyle w:val="TableText"/>
            </w:pPr>
            <w:r w:rsidRPr="00A724BE">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C43AA" w:rsidRPr="0053542D" w:rsidTr="001B5700">
        <w:tc>
          <w:tcPr>
            <w:tcW w:w="1344" w:type="dxa"/>
          </w:tcPr>
          <w:p w:rsidR="00FC43AA" w:rsidRPr="00070761" w:rsidRDefault="00FC43AA" w:rsidP="001B5700">
            <w:pPr>
              <w:pStyle w:val="TableText"/>
            </w:pPr>
            <w:r>
              <w:t>SL.9-10.1</w:t>
            </w:r>
          </w:p>
        </w:tc>
        <w:tc>
          <w:tcPr>
            <w:tcW w:w="8124" w:type="dxa"/>
          </w:tcPr>
          <w:p w:rsidR="00FC43AA" w:rsidRPr="00287E2D" w:rsidRDefault="00287E2D" w:rsidP="00287E2D">
            <w:pPr>
              <w:spacing w:before="0" w:after="0" w:line="240" w:lineRule="auto"/>
              <w:rPr>
                <w:rFonts w:asciiTheme="minorHAnsi" w:eastAsia="Times New Roman" w:hAnsiTheme="minorHAnsi"/>
              </w:rPr>
            </w:pPr>
            <w:r w:rsidRPr="00287E2D">
              <w:rPr>
                <w:rFonts w:asciiTheme="minorHAnsi" w:eastAsia="Times New Roman" w:hAnsiTheme="minorHAnsi"/>
                <w:color w:val="202020"/>
              </w:rPr>
              <w:t xml:space="preserve">Initiate and participate effectively in a range of collaborative discussions (one-on-one, in groups, and teacher-led) with diverse partners on </w:t>
            </w:r>
            <w:r w:rsidRPr="00E01C06">
              <w:rPr>
                <w:rFonts w:asciiTheme="minorHAnsi" w:eastAsia="Times New Roman" w:hAnsiTheme="minorHAnsi"/>
                <w:i/>
                <w:color w:val="202020"/>
              </w:rPr>
              <w:t>grades 9-10 topics, texts, and issues</w:t>
            </w:r>
            <w:r w:rsidRPr="00287E2D">
              <w:rPr>
                <w:rFonts w:asciiTheme="minorHAnsi" w:eastAsia="Times New Roman" w:hAnsiTheme="minorHAnsi"/>
                <w:color w:val="202020"/>
              </w:rPr>
              <w:t>, building on others</w:t>
            </w:r>
            <w:r w:rsidR="00EB3F69">
              <w:rPr>
                <w:rFonts w:asciiTheme="minorHAnsi" w:eastAsia="Times New Roman" w:hAnsiTheme="minorHAnsi"/>
                <w:color w:val="202020"/>
              </w:rPr>
              <w:t>’</w:t>
            </w:r>
            <w:r w:rsidRPr="00287E2D">
              <w:rPr>
                <w:rFonts w:asciiTheme="minorHAnsi" w:eastAsia="Times New Roman" w:hAnsiTheme="minorHAnsi"/>
                <w:color w:val="202020"/>
              </w:rPr>
              <w:t xml:space="preserve"> ideas and expressing their own clearly and persuasively.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747550" w:rsidRDefault="00777D3B" w:rsidP="001136D2">
            <w:pPr>
              <w:pStyle w:val="TableText"/>
            </w:pPr>
            <w:r w:rsidRPr="006D5695">
              <w:t xml:space="preserve">Student learning </w:t>
            </w:r>
            <w:r>
              <w:t xml:space="preserve">is assessed via </w:t>
            </w:r>
            <w:r w:rsidR="00A43D1B">
              <w:t>completion of the Evidence-Based Arguments Checklist</w:t>
            </w:r>
            <w:r w:rsidR="00AE6E58">
              <w:t>, which s</w:t>
            </w:r>
            <w:r w:rsidR="00747550">
              <w:t>tudents submit a</w:t>
            </w:r>
            <w:r w:rsidR="00AE6E58">
              <w:t>long</w:t>
            </w:r>
            <w:r w:rsidR="00747550">
              <w:t xml:space="preserve"> with their evaluation notes at the end of the lesson. </w:t>
            </w:r>
          </w:p>
          <w:p w:rsidR="001136D2" w:rsidRPr="003908D2" w:rsidRDefault="001136D2" w:rsidP="00E01C06">
            <w:pPr>
              <w:pStyle w:val="IN"/>
              <w:numPr>
                <w:ilvl w:val="0"/>
                <w:numId w:val="3"/>
              </w:numPr>
              <w:ind w:left="360"/>
            </w:pPr>
            <w:r>
              <w:t>The Evidence-Based Arguments Checklist serves as the assessment for this lesson.</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A724BE" w:rsidP="008151E5">
            <w:pPr>
              <w:pStyle w:val="TableText"/>
            </w:pPr>
            <w:r>
              <w:t>A H</w:t>
            </w:r>
            <w:r w:rsidR="00BE4EBD">
              <w:t xml:space="preserve">igh </w:t>
            </w:r>
            <w:r>
              <w:t>P</w:t>
            </w:r>
            <w:r w:rsidR="00BE4EBD">
              <w:t xml:space="preserve">erformance </w:t>
            </w:r>
            <w:r>
              <w:t>R</w:t>
            </w:r>
            <w:r w:rsidR="00850CE6">
              <w:t>esponse</w:t>
            </w:r>
            <w:r w:rsidR="001C33BE">
              <w:t xml:space="preserve"> should</w:t>
            </w:r>
            <w:r w:rsidR="00BE4EBD">
              <w:t>:</w:t>
            </w:r>
          </w:p>
          <w:p w:rsidR="00D920A6" w:rsidRPr="003908D2" w:rsidRDefault="00356D18" w:rsidP="007D4463">
            <w:pPr>
              <w:pStyle w:val="BulletedList"/>
              <w:rPr>
                <w:rFonts w:ascii="Cambria" w:hAnsi="Cambria"/>
                <w:b/>
                <w:bCs/>
                <w:i/>
                <w:color w:val="7F7F7F"/>
              </w:rPr>
            </w:pPr>
            <w:r>
              <w:t xml:space="preserve">See the </w:t>
            </w:r>
            <w:r w:rsidR="00AE6E58">
              <w:t>M</w:t>
            </w:r>
            <w:r>
              <w:t>odel Evidence-Based Arguments Checklist.</w:t>
            </w:r>
          </w:p>
        </w:tc>
      </w:tr>
    </w:tbl>
    <w:p w:rsidR="00C4787C" w:rsidRDefault="00C4787C" w:rsidP="009F4AB5">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B71B20" w:rsidRPr="00B231AA" w:rsidRDefault="00FB7937" w:rsidP="00A0164B">
            <w:pPr>
              <w:pStyle w:val="BulletedList"/>
            </w:pPr>
            <w:r>
              <w:t>None.*</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747550" w:rsidP="000B2D56">
            <w:pPr>
              <w:pStyle w:val="BulletedList"/>
            </w:pPr>
            <w:r>
              <w:t>None</w:t>
            </w:r>
            <w:r w:rsidR="00430613">
              <w:t>.</w:t>
            </w:r>
            <w:r w:rsidR="00FB7937">
              <w:t>*</w:t>
            </w:r>
          </w:p>
        </w:tc>
      </w:tr>
    </w:tbl>
    <w:p w:rsidR="003A114D" w:rsidRPr="00F71BE3" w:rsidRDefault="003A114D" w:rsidP="003A114D">
      <w:pPr>
        <w:rPr>
          <w:sz w:val="18"/>
          <w:szCs w:val="18"/>
        </w:rPr>
      </w:pPr>
      <w:r w:rsidRPr="00F71BE3">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9F4AB5">
      <w:pPr>
        <w:pStyle w:val="Heading1"/>
        <w:spacing w:before="36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CE1E66">
            <w:pPr>
              <w:pStyle w:val="BulletedList"/>
            </w:pPr>
            <w:r>
              <w:t xml:space="preserve">Standards: </w:t>
            </w:r>
            <w:r w:rsidR="00747550" w:rsidRPr="00A43D1B">
              <w:t>RI.9-10.8</w:t>
            </w:r>
            <w:r w:rsidR="00747550">
              <w:t>, W.9</w:t>
            </w:r>
            <w:r w:rsidR="00034661">
              <w:t>-</w:t>
            </w:r>
            <w:r w:rsidR="00747550">
              <w:t>10.</w:t>
            </w:r>
            <w:r w:rsidR="00A66F5F">
              <w:t>9</w:t>
            </w:r>
            <w:r w:rsidR="00EC620B">
              <w:t>, W.9-10.7</w:t>
            </w:r>
            <w:r w:rsidR="00C21E1C">
              <w:t>, SL.9-10.1</w:t>
            </w:r>
          </w:p>
          <w:p w:rsidR="00CE1E66" w:rsidRPr="00521B56" w:rsidRDefault="003A114D" w:rsidP="009F4AB5">
            <w:pPr>
              <w:pStyle w:val="BulletedList"/>
            </w:pPr>
            <w:r w:rsidRPr="00521B56">
              <w:t>Model Source Text</w:t>
            </w:r>
            <w:r w:rsidR="00CE1E66" w:rsidRPr="00521B56">
              <w:t>s</w:t>
            </w:r>
            <w:r w:rsidRPr="00521B56">
              <w:t>: “A Court Allows Payment for Bone Marrow. Should People be Able to S</w:t>
            </w:r>
            <w:r w:rsidR="009F4AB5">
              <w:t xml:space="preserve">ell Their Parts?” by Alice Park, </w:t>
            </w:r>
            <w:r w:rsidR="00521B56" w:rsidRPr="00521B56">
              <w:rPr>
                <w:rStyle w:val="Hyperlink"/>
                <w:color w:val="auto"/>
                <w:u w:val="none"/>
              </w:rPr>
              <w:t>“</w:t>
            </w:r>
            <w:r w:rsidR="00521B56" w:rsidRPr="00521B56">
              <w:t>Do We Own Our Bodily Tissues?” by Margaret Ng Thow Hing (</w:t>
            </w:r>
            <w:hyperlink r:id="rId8" w:history="1">
              <w:r w:rsidR="00521B56" w:rsidRPr="00463E2E">
                <w:rPr>
                  <w:rStyle w:val="Hyperlink"/>
                </w:rPr>
                <w:t>http://www.voiceofsandiego.org/</w:t>
              </w:r>
            </w:hyperlink>
            <w:r w:rsidR="00521B56" w:rsidRPr="00521B56">
              <w:t>)</w:t>
            </w:r>
            <w:r w:rsidR="00FA64F1">
              <w:t>,</w:t>
            </w:r>
            <w:r w:rsidR="00521B56">
              <w:t xml:space="preserve"> </w:t>
            </w:r>
            <w:r w:rsidR="00521B56" w:rsidRPr="00521B56">
              <w:t>“Tissue Banks Trigger Worry About Ownership Issues” by Charlie Schmid</w:t>
            </w:r>
            <w:r w:rsidR="00521B56" w:rsidRPr="00521B56">
              <w:rPr>
                <w:rStyle w:val="Hyperlink"/>
                <w:color w:val="auto"/>
                <w:u w:val="none"/>
              </w:rPr>
              <w:t>t (</w:t>
            </w:r>
            <w:hyperlink r:id="rId9" w:history="1">
              <w:r w:rsidR="00521B56" w:rsidRPr="00463E2E">
                <w:rPr>
                  <w:rStyle w:val="Hyperlink"/>
                </w:rPr>
                <w:t>http://www.oxfordjournals.org/</w:t>
              </w:r>
            </w:hyperlink>
            <w:r w:rsidR="00521B56" w:rsidRPr="00521B56">
              <w:rPr>
                <w:rStyle w:val="Hyperlink"/>
                <w:color w:val="auto"/>
                <w:u w:val="none"/>
              </w:rPr>
              <w:t>)</w:t>
            </w:r>
            <w:r w:rsidR="00FA64F1">
              <w:rPr>
                <w:rStyle w:val="Hyperlink"/>
                <w:color w:val="auto"/>
                <w:u w:val="none"/>
              </w:rPr>
              <w:t>,</w:t>
            </w:r>
            <w:r w:rsidR="00521B56">
              <w:rPr>
                <w:rStyle w:val="Hyperlink"/>
                <w:color w:val="auto"/>
                <w:u w:val="none"/>
              </w:rPr>
              <w:t xml:space="preserve"> </w:t>
            </w:r>
            <w:r w:rsidR="00521B56" w:rsidRPr="00521B56">
              <w:t>“Body of Research - Ownership and Use of Human Tissue” by R. Alta Charo (</w:t>
            </w:r>
            <w:hyperlink r:id="rId10" w:history="1">
              <w:r w:rsidR="000016AD" w:rsidRPr="00463E2E">
                <w:rPr>
                  <w:rStyle w:val="Hyperlink"/>
                </w:rPr>
                <w:t>http://www.nejm.org/</w:t>
              </w:r>
            </w:hyperlink>
            <w:r w:rsidR="00521B56" w:rsidRPr="00521B56">
              <w:t>)</w:t>
            </w:r>
            <w:r w:rsidR="00FA64F1">
              <w:t>,</w:t>
            </w:r>
            <w:r w:rsidR="000016AD">
              <w:t xml:space="preserve"> </w:t>
            </w:r>
            <w:r w:rsidR="00521B56" w:rsidRPr="00521B56">
              <w:t>“My Body, My Property” by Lori B. An</w:t>
            </w:r>
            <w:r w:rsidR="00521B56" w:rsidRPr="00521B56">
              <w:rPr>
                <w:rStyle w:val="Hyperlink"/>
                <w:color w:val="auto"/>
                <w:u w:val="none"/>
              </w:rPr>
              <w:t>drews (</w:t>
            </w:r>
            <w:hyperlink r:id="rId11" w:history="1">
              <w:r w:rsidR="00521B56" w:rsidRPr="00463E2E">
                <w:rPr>
                  <w:rStyle w:val="Hyperlink"/>
                </w:rPr>
                <w:t>http://chicagotribune.com/</w:t>
              </w:r>
            </w:hyperlink>
            <w:r w:rsidR="00521B56" w:rsidRPr="00521B56">
              <w:rPr>
                <w:rStyle w:val="Hyperlink"/>
                <w:color w:val="auto"/>
                <w:u w:val="none"/>
              </w:rPr>
              <w:t>)</w:t>
            </w:r>
            <w:r w:rsidR="00521B56">
              <w:rPr>
                <w:rStyle w:val="Hyperlink"/>
                <w:color w:val="auto"/>
                <w:u w:val="none"/>
              </w:rPr>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lastRenderedPageBreak/>
              <w:t>Homework Accountability</w:t>
            </w:r>
          </w:p>
          <w:p w:rsidR="00546D71" w:rsidRDefault="00D56AEA" w:rsidP="00546D71">
            <w:pPr>
              <w:pStyle w:val="NumberedList"/>
            </w:pPr>
            <w:r>
              <w:t>Understanding</w:t>
            </w:r>
            <w:r w:rsidR="003908A9" w:rsidRPr="003908A9">
              <w:t xml:space="preserve"> Compelling Arguments</w:t>
            </w:r>
          </w:p>
          <w:p w:rsidR="003908A9" w:rsidRDefault="003908A9" w:rsidP="00546D71">
            <w:pPr>
              <w:pStyle w:val="NumberedList"/>
            </w:pPr>
            <w:r>
              <w:t>Introducing the Evidence-Based Arguments Checklist</w:t>
            </w:r>
          </w:p>
          <w:p w:rsidR="00D56AEA" w:rsidRDefault="003908A9" w:rsidP="00546D71">
            <w:pPr>
              <w:pStyle w:val="NumberedList"/>
            </w:pPr>
            <w:r>
              <w:t xml:space="preserve">Finding Compelling Arguments </w:t>
            </w:r>
            <w:r w:rsidR="00AE6E58">
              <w:t>and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lastRenderedPageBreak/>
              <w:t>10</w:t>
            </w:r>
            <w:r w:rsidR="00546D71">
              <w:t>%</w:t>
            </w:r>
          </w:p>
          <w:p w:rsidR="00546D71" w:rsidRDefault="00D56AEA" w:rsidP="00546D71">
            <w:pPr>
              <w:pStyle w:val="NumberedList"/>
            </w:pPr>
            <w:r>
              <w:t>20</w:t>
            </w:r>
            <w:r w:rsidR="00546D71">
              <w:t>%</w:t>
            </w:r>
          </w:p>
          <w:p w:rsidR="00546D71" w:rsidRDefault="00A67F5C" w:rsidP="00546D71">
            <w:pPr>
              <w:pStyle w:val="NumberedList"/>
            </w:pPr>
            <w:r>
              <w:t>3</w:t>
            </w:r>
            <w:r w:rsidR="00D56AEA">
              <w:t>0</w:t>
            </w:r>
            <w:r w:rsidR="00546D71">
              <w:t>%</w:t>
            </w:r>
          </w:p>
          <w:p w:rsidR="00546D71" w:rsidRDefault="00A67F5C" w:rsidP="00546D71">
            <w:pPr>
              <w:pStyle w:val="NumberedList"/>
            </w:pPr>
            <w:r>
              <w:t>3</w:t>
            </w:r>
            <w:r w:rsidR="00D56AEA">
              <w:t>0</w:t>
            </w:r>
            <w:r w:rsidR="00546D71">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6E7D3C" w:rsidRDefault="00747550" w:rsidP="00064850">
      <w:pPr>
        <w:pStyle w:val="BulletedList"/>
      </w:pPr>
      <w:r>
        <w:t>Copies of the Evid</w:t>
      </w:r>
      <w:r w:rsidR="00356D18">
        <w:t xml:space="preserve">ence-Based Arguments Checklist </w:t>
      </w:r>
      <w:r>
        <w:t xml:space="preserve">for each student </w:t>
      </w:r>
    </w:p>
    <w:p w:rsidR="00747550" w:rsidRDefault="00747550" w:rsidP="00747550">
      <w:pPr>
        <w:pStyle w:val="BulletedList"/>
      </w:pPr>
      <w:r w:rsidRPr="00747550">
        <w:t>Research Portfolios</w:t>
      </w:r>
      <w:r>
        <w:t xml:space="preserve"> (</w:t>
      </w:r>
      <w:r w:rsidR="00EA25A6">
        <w:t>refer to 10.3.2 Lesson 1</w:t>
      </w:r>
      <w:r>
        <w:t>)</w:t>
      </w:r>
    </w:p>
    <w:p w:rsidR="003E0C42" w:rsidRDefault="003E0C42" w:rsidP="00CE0337">
      <w:pPr>
        <w:pStyle w:val="BulletedList"/>
      </w:pPr>
      <w:r>
        <w:t>Chart paper</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FC0946">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FC094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FC094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FC0946">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FC094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FC094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FC0946">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FC0946">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FC094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93393" w:rsidRDefault="00747550" w:rsidP="00747550">
      <w:pPr>
        <w:pStyle w:val="TA"/>
        <w:rPr>
          <w:rFonts w:asciiTheme="minorHAnsi" w:hAnsiTheme="minorHAnsi"/>
        </w:rPr>
      </w:pPr>
      <w:r>
        <w:rPr>
          <w:rFonts w:asciiTheme="minorHAnsi" w:hAnsiTheme="minorHAnsi"/>
        </w:rPr>
        <w:t xml:space="preserve">Begin by reviewing the </w:t>
      </w:r>
      <w:r w:rsidRPr="009E576D">
        <w:t>agenda</w:t>
      </w:r>
      <w:r>
        <w:rPr>
          <w:rFonts w:asciiTheme="minorHAnsi" w:hAnsiTheme="minorHAnsi"/>
        </w:rPr>
        <w:t xml:space="preserve"> and assessed standards for this lesson: </w:t>
      </w:r>
      <w:r w:rsidRPr="00A43D1B">
        <w:t>RI.9-10.8</w:t>
      </w:r>
      <w:r w:rsidR="00A0164B">
        <w:t xml:space="preserve"> and</w:t>
      </w:r>
      <w:r>
        <w:t xml:space="preserve"> W.9</w:t>
      </w:r>
      <w:r w:rsidR="00BD2A27">
        <w:t>-</w:t>
      </w:r>
      <w:r>
        <w:t>10.</w:t>
      </w:r>
      <w:r w:rsidR="00EC620B">
        <w:t>9</w:t>
      </w:r>
      <w:r>
        <w:rPr>
          <w:rFonts w:asciiTheme="minorHAnsi" w:hAnsiTheme="minorHAnsi"/>
        </w:rPr>
        <w:t>. Explain t</w:t>
      </w:r>
      <w:r w:rsidR="00B93393">
        <w:rPr>
          <w:rFonts w:asciiTheme="minorHAnsi" w:hAnsiTheme="minorHAnsi"/>
        </w:rPr>
        <w:t xml:space="preserve">o students that in this lesson they </w:t>
      </w:r>
      <w:r w:rsidR="00BD2A27">
        <w:rPr>
          <w:rFonts w:asciiTheme="minorHAnsi" w:hAnsiTheme="minorHAnsi"/>
        </w:rPr>
        <w:t xml:space="preserve">are going to </w:t>
      </w:r>
      <w:r w:rsidR="00B93393">
        <w:rPr>
          <w:rFonts w:asciiTheme="minorHAnsi" w:hAnsiTheme="minorHAnsi"/>
        </w:rPr>
        <w:t xml:space="preserve">focus on developing an understanding of </w:t>
      </w:r>
      <w:r w:rsidR="00EA25A6">
        <w:rPr>
          <w:rFonts w:asciiTheme="minorHAnsi" w:hAnsiTheme="minorHAnsi"/>
        </w:rPr>
        <w:t>e</w:t>
      </w:r>
      <w:r w:rsidR="00B93393">
        <w:rPr>
          <w:rFonts w:asciiTheme="minorHAnsi" w:hAnsiTheme="minorHAnsi"/>
        </w:rPr>
        <w:t>vidence-</w:t>
      </w:r>
      <w:r w:rsidR="00EA25A6">
        <w:rPr>
          <w:rFonts w:asciiTheme="minorHAnsi" w:hAnsiTheme="minorHAnsi"/>
        </w:rPr>
        <w:t>b</w:t>
      </w:r>
      <w:r w:rsidR="00B93393">
        <w:rPr>
          <w:rFonts w:asciiTheme="minorHAnsi" w:hAnsiTheme="minorHAnsi"/>
        </w:rPr>
        <w:t xml:space="preserve">ased </w:t>
      </w:r>
      <w:r w:rsidR="00EA25A6">
        <w:rPr>
          <w:rFonts w:asciiTheme="minorHAnsi" w:hAnsiTheme="minorHAnsi"/>
        </w:rPr>
        <w:t>a</w:t>
      </w:r>
      <w:r w:rsidR="00B93393">
        <w:rPr>
          <w:rFonts w:asciiTheme="minorHAnsi" w:hAnsiTheme="minorHAnsi"/>
        </w:rPr>
        <w:t>rguments by first examining a model argument as a class, then by working in groups to complete a</w:t>
      </w:r>
      <w:r w:rsidR="001F10BF">
        <w:rPr>
          <w:rFonts w:asciiTheme="minorHAnsi" w:hAnsiTheme="minorHAnsi"/>
        </w:rPr>
        <w:t>n</w:t>
      </w:r>
      <w:r w:rsidR="00B93393">
        <w:rPr>
          <w:rFonts w:asciiTheme="minorHAnsi" w:hAnsiTheme="minorHAnsi"/>
        </w:rPr>
        <w:t xml:space="preserve"> </w:t>
      </w:r>
      <w:r w:rsidR="00B93393">
        <w:t>Evidence-Based Arguments Checklist. Students work collaboratively in groups to identify the components of a compelling argument. Students complete their Evidence-Based Arguments Checklist as the culmination of the group work in this lesson. This completed Evidence-Based Arguments Checklist serve</w:t>
      </w:r>
      <w:r w:rsidR="00A0164B">
        <w:t>s</w:t>
      </w:r>
      <w:r w:rsidR="00B93393">
        <w:t xml:space="preserve"> as the assessment for this lesson. </w:t>
      </w:r>
    </w:p>
    <w:p w:rsidR="004359CC" w:rsidRPr="000B2D56" w:rsidRDefault="00747550" w:rsidP="00777D3B">
      <w:pPr>
        <w:pStyle w:val="SA"/>
      </w:pPr>
      <w:r>
        <w:t xml:space="preserve">Students </w:t>
      </w:r>
      <w:r w:rsidR="00933E5D">
        <w:t>look at the agenda</w:t>
      </w:r>
      <w:r w:rsidR="00EA25A6">
        <w:t xml:space="preserve">. </w:t>
      </w:r>
    </w:p>
    <w:p w:rsidR="003A114D" w:rsidRDefault="003A114D">
      <w:pPr>
        <w:spacing w:before="0" w:after="0" w:line="240" w:lineRule="auto"/>
        <w:rPr>
          <w:rFonts w:asciiTheme="minorHAnsi" w:eastAsia="Times New Roman" w:hAnsiTheme="minorHAnsi"/>
          <w:b/>
          <w:bCs/>
          <w:color w:val="4F81BD"/>
          <w:sz w:val="28"/>
          <w:szCs w:val="26"/>
        </w:rPr>
      </w:pPr>
      <w:r>
        <w:br w:type="page"/>
      </w:r>
    </w:p>
    <w:p w:rsidR="000B2D56" w:rsidRDefault="000B2D56" w:rsidP="00CE2836">
      <w:pPr>
        <w:pStyle w:val="LearningSequenceHeader"/>
      </w:pPr>
      <w:r>
        <w:lastRenderedPageBreak/>
        <w:t>Activity 2</w:t>
      </w:r>
      <w:r w:rsidRPr="000B2D56">
        <w:t xml:space="preserve">: </w:t>
      </w:r>
      <w:r>
        <w:t>Homework Accountability</w:t>
      </w:r>
      <w:r>
        <w:tab/>
        <w:t>10</w:t>
      </w:r>
      <w:r w:rsidRPr="000B2D56">
        <w:t>%</w:t>
      </w:r>
    </w:p>
    <w:p w:rsidR="00747550" w:rsidRPr="00E01C06" w:rsidRDefault="00747550" w:rsidP="00747550">
      <w:pPr>
        <w:pStyle w:val="TA"/>
      </w:pPr>
      <w:r>
        <w:t>Instruct students to take out the ho</w:t>
      </w:r>
      <w:r w:rsidR="00777D3B">
        <w:t>mework from the previous lesson</w:t>
      </w:r>
      <w:r>
        <w:t xml:space="preserve">: </w:t>
      </w:r>
      <w:r w:rsidR="00A0164B">
        <w:t>“</w:t>
      </w:r>
      <w:r w:rsidR="00A0164B" w:rsidRPr="00E01C06">
        <w:t>Annotate and take notes on your Taking Notes Tools for two sources identified in the Potential Sources</w:t>
      </w:r>
      <w:r w:rsidR="00A0164B">
        <w:t xml:space="preserve"> </w:t>
      </w:r>
      <w:r w:rsidR="00A0164B" w:rsidRPr="00E01C06">
        <w:t xml:space="preserve">Tool from 10.3.2 Lesson 3. </w:t>
      </w:r>
      <w:r w:rsidR="00A0164B">
        <w:t>C</w:t>
      </w:r>
      <w:r w:rsidR="00A0164B" w:rsidRPr="00E01C06">
        <w:t>ontinue to record vocabulary from these preliminary searches in your Vocabulary Journal.</w:t>
      </w:r>
      <w:r w:rsidR="00A0164B">
        <w:rPr>
          <w:rFonts w:asciiTheme="minorHAnsi" w:hAnsiTheme="minorHAnsi" w:cs="Calibri"/>
        </w:rPr>
        <w:t>”</w:t>
      </w:r>
    </w:p>
    <w:p w:rsidR="00747550" w:rsidRPr="009D0713" w:rsidRDefault="00747550" w:rsidP="00747550">
      <w:pPr>
        <w:pStyle w:val="SA"/>
      </w:pPr>
      <w:r>
        <w:t>Students take out their homework.</w:t>
      </w:r>
    </w:p>
    <w:p w:rsidR="00747550" w:rsidRDefault="00747550" w:rsidP="00747550">
      <w:pPr>
        <w:pStyle w:val="TA"/>
      </w:pPr>
      <w:r>
        <w:t xml:space="preserve">Instruct students to form pairs with a classmate for a Turn-and-Talk about the annotation and </w:t>
      </w:r>
      <w:r w:rsidR="00A0164B">
        <w:t xml:space="preserve">note </w:t>
      </w:r>
      <w:r>
        <w:t xml:space="preserve">taking processes. Specifically, instruct pairs to discuss two details from the close reading of at least one source by discussing how the details address a selected inquiry question. </w:t>
      </w:r>
    </w:p>
    <w:p w:rsidR="00747550" w:rsidRDefault="00747550" w:rsidP="00747550">
      <w:pPr>
        <w:pStyle w:val="SA"/>
      </w:pPr>
      <w:r>
        <w:t>Students Turn-and-Talk</w:t>
      </w:r>
      <w:r w:rsidR="00093755">
        <w:t xml:space="preserve"> about the details in one source and how they address a selected inquiry question. </w:t>
      </w:r>
    </w:p>
    <w:p w:rsidR="00747550" w:rsidRDefault="00D20535" w:rsidP="00747550">
      <w:pPr>
        <w:pStyle w:val="IN"/>
      </w:pPr>
      <w:r>
        <w:t>C</w:t>
      </w:r>
      <w:r w:rsidR="00747550">
        <w:t>i</w:t>
      </w:r>
      <w:r>
        <w:t>rculate</w:t>
      </w:r>
      <w:r w:rsidR="00747550">
        <w:t xml:space="preserve"> during the Turn-and-Talk to monitor students’ discussions</w:t>
      </w:r>
      <w:r>
        <w:t xml:space="preserve"> and consider collecting homework to monitor students’ research progress.</w:t>
      </w:r>
    </w:p>
    <w:p w:rsidR="00747550" w:rsidRDefault="00747550" w:rsidP="00747550">
      <w:pPr>
        <w:pStyle w:val="TA"/>
      </w:pPr>
      <w:r>
        <w:t>Lead a brief share out of students’ discussions.</w:t>
      </w:r>
    </w:p>
    <w:p w:rsidR="00747550" w:rsidRDefault="00747550" w:rsidP="00747550">
      <w:pPr>
        <w:pStyle w:val="SR"/>
      </w:pPr>
      <w:r>
        <w:t>Student responses vary by individual research question/problem</w:t>
      </w:r>
      <w:r w:rsidR="00A0164B">
        <w:t xml:space="preserve"> but </w:t>
      </w:r>
      <w:r>
        <w:t xml:space="preserve">may </w:t>
      </w:r>
      <w:r w:rsidR="00AE6E58">
        <w:t>resemble</w:t>
      </w:r>
      <w:r>
        <w:t>:</w:t>
      </w:r>
    </w:p>
    <w:p w:rsidR="00747550" w:rsidRPr="00E76494" w:rsidRDefault="00747550" w:rsidP="00E76494">
      <w:pPr>
        <w:pStyle w:val="SASRBullet"/>
        <w:rPr>
          <w:rFonts w:asciiTheme="minorHAnsi" w:hAnsiTheme="minorHAnsi" w:cs="Calibri"/>
        </w:rPr>
      </w:pPr>
      <w:r>
        <w:rPr>
          <w:rFonts w:asciiTheme="minorHAnsi" w:hAnsiTheme="minorHAnsi" w:cs="Calibri"/>
        </w:rPr>
        <w:t xml:space="preserve">In Source </w:t>
      </w:r>
      <w:r w:rsidR="00A0164B">
        <w:rPr>
          <w:rFonts w:asciiTheme="minorHAnsi" w:hAnsiTheme="minorHAnsi" w:cs="Calibri"/>
        </w:rPr>
        <w:t>number</w:t>
      </w:r>
      <w:r>
        <w:rPr>
          <w:rFonts w:asciiTheme="minorHAnsi" w:hAnsiTheme="minorHAnsi" w:cs="Calibri"/>
        </w:rPr>
        <w:t xml:space="preserve"> 1, the author </w:t>
      </w:r>
      <w:r w:rsidR="00E76494">
        <w:rPr>
          <w:rFonts w:asciiTheme="minorHAnsi" w:hAnsiTheme="minorHAnsi" w:cs="Calibri"/>
        </w:rPr>
        <w:t>says</w:t>
      </w:r>
      <w:r w:rsidR="00B338EC">
        <w:rPr>
          <w:rFonts w:asciiTheme="minorHAnsi" w:hAnsiTheme="minorHAnsi" w:cs="Calibri"/>
        </w:rPr>
        <w:t>,</w:t>
      </w:r>
      <w:r w:rsidR="00E76494">
        <w:rPr>
          <w:rFonts w:asciiTheme="minorHAnsi" w:hAnsiTheme="minorHAnsi" w:cs="Calibri"/>
        </w:rPr>
        <w:t xml:space="preserve"> “</w:t>
      </w:r>
      <w:r w:rsidR="00726870" w:rsidRPr="00726870">
        <w:rPr>
          <w:rFonts w:asciiTheme="minorHAnsi" w:hAnsiTheme="minorHAnsi" w:cs="Calibri"/>
        </w:rPr>
        <w:t xml:space="preserve">But if the bone-marrow case starts changing that </w:t>
      </w:r>
      <w:r w:rsidR="00B338EC">
        <w:t xml:space="preserve">– </w:t>
      </w:r>
      <w:r w:rsidR="00726870" w:rsidRPr="00726870">
        <w:rPr>
          <w:rFonts w:asciiTheme="minorHAnsi" w:hAnsiTheme="minorHAnsi" w:cs="Calibri"/>
        </w:rPr>
        <w:t xml:space="preserve">and experts say it could </w:t>
      </w:r>
      <w:r w:rsidR="00B338EC">
        <w:t xml:space="preserve">– </w:t>
      </w:r>
      <w:r w:rsidR="00726870" w:rsidRPr="00726870">
        <w:rPr>
          <w:rFonts w:asciiTheme="minorHAnsi" w:hAnsiTheme="minorHAnsi" w:cs="Calibri"/>
        </w:rPr>
        <w:t>it might jump-start a dangerous trend in which lower-income groups were disproportionately targeted or incentivized to give up their marrow and people with rarer blood types demanded more</w:t>
      </w:r>
      <w:r w:rsidR="00733782">
        <w:rPr>
          <w:rFonts w:asciiTheme="minorHAnsi" w:hAnsiTheme="minorHAnsi" w:cs="Calibri"/>
        </w:rPr>
        <w:t xml:space="preserve"> money for their valuable cells</w:t>
      </w:r>
      <w:r w:rsidR="00E76494">
        <w:rPr>
          <w:rFonts w:asciiTheme="minorHAnsi" w:hAnsiTheme="minorHAnsi" w:cs="Calibri"/>
        </w:rPr>
        <w:t>”</w:t>
      </w:r>
      <w:r w:rsidR="00733782">
        <w:rPr>
          <w:rFonts w:asciiTheme="minorHAnsi" w:hAnsiTheme="minorHAnsi" w:cs="Calibri"/>
        </w:rPr>
        <w:t xml:space="preserve"> (par. 7).</w:t>
      </w:r>
      <w:r w:rsidR="00E76494">
        <w:rPr>
          <w:rFonts w:asciiTheme="minorHAnsi" w:hAnsiTheme="minorHAnsi" w:cs="Calibri"/>
        </w:rPr>
        <w:t xml:space="preserve"> This </w:t>
      </w:r>
      <w:r w:rsidR="00726870">
        <w:rPr>
          <w:rFonts w:asciiTheme="minorHAnsi" w:hAnsiTheme="minorHAnsi" w:cs="Calibri"/>
        </w:rPr>
        <w:t xml:space="preserve">connection </w:t>
      </w:r>
      <w:r w:rsidR="00E76494">
        <w:rPr>
          <w:rFonts w:asciiTheme="minorHAnsi" w:hAnsiTheme="minorHAnsi" w:cs="Calibri"/>
        </w:rPr>
        <w:t>helps to expand my research</w:t>
      </w:r>
      <w:r w:rsidR="00726562">
        <w:rPr>
          <w:rFonts w:asciiTheme="minorHAnsi" w:hAnsiTheme="minorHAnsi" w:cs="Calibri"/>
        </w:rPr>
        <w:t xml:space="preserve"> topic because it shows the issues or concerns with people selling their tissue, which relates to tissue ownership. </w:t>
      </w:r>
    </w:p>
    <w:p w:rsidR="000B2D56" w:rsidRPr="007A505C" w:rsidRDefault="00747550" w:rsidP="000B2D56">
      <w:pPr>
        <w:pStyle w:val="SASRBullet"/>
        <w:rPr>
          <w:rFonts w:asciiTheme="minorHAnsi" w:hAnsiTheme="minorHAnsi" w:cs="Calibri"/>
        </w:rPr>
      </w:pPr>
      <w:r w:rsidRPr="00225DF2">
        <w:rPr>
          <w:rFonts w:asciiTheme="minorHAnsi" w:hAnsiTheme="minorHAnsi" w:cs="Calibri"/>
        </w:rPr>
        <w:t xml:space="preserve">In Source </w:t>
      </w:r>
      <w:r w:rsidR="00A0164B">
        <w:rPr>
          <w:rFonts w:asciiTheme="minorHAnsi" w:hAnsiTheme="minorHAnsi" w:cs="Calibri"/>
        </w:rPr>
        <w:t>number</w:t>
      </w:r>
      <w:r w:rsidRPr="00225DF2">
        <w:rPr>
          <w:rFonts w:asciiTheme="minorHAnsi" w:hAnsiTheme="minorHAnsi" w:cs="Calibri"/>
        </w:rPr>
        <w:t xml:space="preserve"> 1, the author </w:t>
      </w:r>
      <w:r w:rsidR="00D97059">
        <w:rPr>
          <w:rFonts w:asciiTheme="minorHAnsi" w:hAnsiTheme="minorHAnsi" w:cs="Calibri"/>
        </w:rPr>
        <w:t xml:space="preserve">documents </w:t>
      </w:r>
      <w:r w:rsidR="00726562">
        <w:rPr>
          <w:rFonts w:asciiTheme="minorHAnsi" w:hAnsiTheme="minorHAnsi" w:cs="Calibri"/>
        </w:rPr>
        <w:t xml:space="preserve">many </w:t>
      </w:r>
      <w:r w:rsidR="00D97059">
        <w:rPr>
          <w:rFonts w:asciiTheme="minorHAnsi" w:hAnsiTheme="minorHAnsi" w:cs="Calibri"/>
        </w:rPr>
        <w:t xml:space="preserve">cases about patient rights and the </w:t>
      </w:r>
      <w:r w:rsidR="00726870">
        <w:rPr>
          <w:rFonts w:asciiTheme="minorHAnsi" w:hAnsiTheme="minorHAnsi" w:cs="Calibri"/>
        </w:rPr>
        <w:t>different uses and varieties of tissue for sale but he does</w:t>
      </w:r>
      <w:r w:rsidR="007A505C">
        <w:rPr>
          <w:rFonts w:asciiTheme="minorHAnsi" w:hAnsiTheme="minorHAnsi" w:cs="Calibri"/>
        </w:rPr>
        <w:t xml:space="preserve"> </w:t>
      </w:r>
      <w:r w:rsidR="00726870">
        <w:rPr>
          <w:rFonts w:asciiTheme="minorHAnsi" w:hAnsiTheme="minorHAnsi" w:cs="Calibri"/>
        </w:rPr>
        <w:t>n</w:t>
      </w:r>
      <w:r w:rsidR="007A505C">
        <w:rPr>
          <w:rFonts w:asciiTheme="minorHAnsi" w:hAnsiTheme="minorHAnsi" w:cs="Calibri"/>
        </w:rPr>
        <w:t>o</w:t>
      </w:r>
      <w:r w:rsidR="00726870">
        <w:rPr>
          <w:rFonts w:asciiTheme="minorHAnsi" w:hAnsiTheme="minorHAnsi" w:cs="Calibri"/>
        </w:rPr>
        <w:t xml:space="preserve">t cite any additional court cases beyond the Flynn case. </w:t>
      </w:r>
      <w:r w:rsidR="00D97059">
        <w:rPr>
          <w:rFonts w:asciiTheme="minorHAnsi" w:hAnsiTheme="minorHAnsi" w:cs="Calibri"/>
        </w:rPr>
        <w:t>I need to find other sour</w:t>
      </w:r>
      <w:r w:rsidR="00E76494">
        <w:rPr>
          <w:rFonts w:asciiTheme="minorHAnsi" w:hAnsiTheme="minorHAnsi" w:cs="Calibri"/>
        </w:rPr>
        <w:t>ces that better inform my research</w:t>
      </w:r>
      <w:r w:rsidR="007A505C">
        <w:rPr>
          <w:rFonts w:asciiTheme="minorHAnsi" w:hAnsiTheme="minorHAnsi" w:cs="Calibri"/>
        </w:rPr>
        <w:t xml:space="preserve"> topic with diverse evidence.</w:t>
      </w:r>
      <w:r w:rsidR="00E76494">
        <w:rPr>
          <w:rFonts w:asciiTheme="minorHAnsi" w:hAnsiTheme="minorHAnsi" w:cs="Calibri"/>
        </w:rPr>
        <w:t xml:space="preserve"> </w:t>
      </w:r>
    </w:p>
    <w:p w:rsidR="000B2D56" w:rsidRDefault="000B2D56" w:rsidP="00CE2836">
      <w:pPr>
        <w:pStyle w:val="LearningSequenceHeader"/>
      </w:pPr>
      <w:r w:rsidRPr="000B2D56">
        <w:t xml:space="preserve">Activity </w:t>
      </w:r>
      <w:r>
        <w:t>3</w:t>
      </w:r>
      <w:r w:rsidRPr="000B2D56">
        <w:t xml:space="preserve">: </w:t>
      </w:r>
      <w:r w:rsidR="00D56AEA">
        <w:t>Understanding</w:t>
      </w:r>
      <w:r w:rsidR="003908A9">
        <w:t xml:space="preserve"> Compelling Arguments</w:t>
      </w:r>
      <w:r w:rsidR="000669A2">
        <w:tab/>
        <w:t>20</w:t>
      </w:r>
      <w:r w:rsidRPr="000B2D56">
        <w:t>%</w:t>
      </w:r>
    </w:p>
    <w:p w:rsidR="00707670" w:rsidRDefault="000669A2" w:rsidP="00707670">
      <w:pPr>
        <w:pStyle w:val="TA"/>
      </w:pPr>
      <w:r>
        <w:t xml:space="preserve">Lead a discussion to develop the idea of </w:t>
      </w:r>
      <w:r w:rsidRPr="007D4463">
        <w:rPr>
          <w:i/>
        </w:rPr>
        <w:t>compelling</w:t>
      </w:r>
      <w:r>
        <w:t xml:space="preserve"> arguments for students. </w:t>
      </w:r>
      <w:r w:rsidR="00AF6AA9">
        <w:t>Explain to students that a thorough evaluation of an</w:t>
      </w:r>
      <w:r w:rsidR="0013755A">
        <w:t xml:space="preserve"> argument has two components</w:t>
      </w:r>
      <w:r w:rsidR="00351464">
        <w:t>:</w:t>
      </w:r>
      <w:r w:rsidR="0013755A">
        <w:t xml:space="preserve"> </w:t>
      </w:r>
      <w:r w:rsidR="00A0164B">
        <w:t>the</w:t>
      </w:r>
      <w:r w:rsidR="0013755A">
        <w:t xml:space="preserve"> examination of the objective strengths and weaknesses of the argument and the consideration of one</w:t>
      </w:r>
      <w:r w:rsidR="00777D3B">
        <w:t>’</w:t>
      </w:r>
      <w:r w:rsidR="0013755A">
        <w:t xml:space="preserve">s own developing </w:t>
      </w:r>
      <w:r w:rsidR="00DB703F">
        <w:t xml:space="preserve">perspective </w:t>
      </w:r>
      <w:r w:rsidR="0013755A">
        <w:t xml:space="preserve">on an issue. </w:t>
      </w:r>
      <w:r w:rsidR="0091535B">
        <w:t xml:space="preserve">Remind students that an argument is a composition of precise claims about a topic, including relevant and sufficient evidence, and valid reasoning. </w:t>
      </w:r>
    </w:p>
    <w:p w:rsidR="00910075" w:rsidRDefault="008F21EC" w:rsidP="00E01C06">
      <w:pPr>
        <w:pStyle w:val="TA"/>
      </w:pPr>
      <w:r w:rsidRPr="00081E0E">
        <w:t>Provide students with the following definition</w:t>
      </w:r>
      <w:r w:rsidRPr="00C866A8">
        <w:t xml:space="preserve">s: </w:t>
      </w:r>
      <w:r w:rsidRPr="00C866A8">
        <w:rPr>
          <w:i/>
        </w:rPr>
        <w:t xml:space="preserve">compelling </w:t>
      </w:r>
      <w:r w:rsidRPr="002A1FA3">
        <w:t>means “having a powerful and irresistible effect, requiring acute admiration, attention, or respect,”</w:t>
      </w:r>
      <w:r>
        <w:t xml:space="preserve"> and</w:t>
      </w:r>
      <w:r w:rsidRPr="00081E0E">
        <w:t xml:space="preserve"> </w:t>
      </w:r>
      <w:r w:rsidRPr="00E01C06">
        <w:rPr>
          <w:i/>
        </w:rPr>
        <w:t>evaluate</w:t>
      </w:r>
      <w:r w:rsidRPr="00081E0E">
        <w:t xml:space="preserve"> means “</w:t>
      </w:r>
      <w:r w:rsidR="00910075" w:rsidRPr="00E01C06">
        <w:t>to determine the worth or quality of a thing,</w:t>
      </w:r>
      <w:r>
        <w:t>”</w:t>
      </w:r>
      <w:r w:rsidR="00910075" w:rsidRPr="00081E0E">
        <w:t xml:space="preserve"> in this instance</w:t>
      </w:r>
      <w:r w:rsidR="00777D3B" w:rsidRPr="00081E0E">
        <w:t>,</w:t>
      </w:r>
      <w:r w:rsidR="00910075" w:rsidRPr="00C866A8">
        <w:t xml:space="preserve"> the strength and effectiveness of the arguments presented.</w:t>
      </w:r>
      <w:r w:rsidR="00910075">
        <w:t xml:space="preserve">  </w:t>
      </w:r>
    </w:p>
    <w:p w:rsidR="003A114D" w:rsidRDefault="003A114D" w:rsidP="003A114D">
      <w:pPr>
        <w:pStyle w:val="SA"/>
        <w:numPr>
          <w:ilvl w:val="0"/>
          <w:numId w:val="33"/>
        </w:numPr>
      </w:pPr>
      <w:r>
        <w:lastRenderedPageBreak/>
        <w:t xml:space="preserve">Students write the definitions of </w:t>
      </w:r>
      <w:r w:rsidR="00ED3F7C">
        <w:rPr>
          <w:i/>
        </w:rPr>
        <w:t>compelling</w:t>
      </w:r>
      <w:r>
        <w:rPr>
          <w:i/>
        </w:rPr>
        <w:t xml:space="preserve"> </w:t>
      </w:r>
      <w:r>
        <w:t xml:space="preserve">and </w:t>
      </w:r>
      <w:r w:rsidR="00ED3F7C">
        <w:rPr>
          <w:i/>
        </w:rPr>
        <w:t>evaluate</w:t>
      </w:r>
      <w:r>
        <w:rPr>
          <w:i/>
        </w:rPr>
        <w:t xml:space="preserve"> </w:t>
      </w:r>
      <w:r>
        <w:t>in a vocabulary journal.</w:t>
      </w:r>
    </w:p>
    <w:p w:rsidR="00462F61" w:rsidRDefault="009B0DE8" w:rsidP="00462F61">
      <w:pPr>
        <w:pStyle w:val="TA"/>
      </w:pPr>
      <w:r>
        <w:t>Use</w:t>
      </w:r>
      <w:r w:rsidR="00462F61">
        <w:t xml:space="preserve"> the following questions</w:t>
      </w:r>
      <w:r w:rsidR="00FF08D3">
        <w:t xml:space="preserve"> to </w:t>
      </w:r>
      <w:r w:rsidR="0091535B">
        <w:t xml:space="preserve">review </w:t>
      </w:r>
      <w:r w:rsidR="00462F61">
        <w:t xml:space="preserve">the work </w:t>
      </w:r>
      <w:r w:rsidR="007A505C">
        <w:t xml:space="preserve">completed in </w:t>
      </w:r>
      <w:r w:rsidR="00A0164B">
        <w:t>10.3.</w:t>
      </w:r>
      <w:r w:rsidR="007A505C">
        <w:t xml:space="preserve">1 </w:t>
      </w:r>
      <w:r w:rsidR="00462F61">
        <w:t>on</w:t>
      </w:r>
      <w:r w:rsidR="00FF08D3">
        <w:t xml:space="preserve"> argument,</w:t>
      </w:r>
      <w:r w:rsidR="00462F61">
        <w:t xml:space="preserve"> </w:t>
      </w:r>
      <w:r w:rsidR="00DA21C7">
        <w:t>central claim</w:t>
      </w:r>
      <w:r w:rsidR="00FF08D3">
        <w:t>s</w:t>
      </w:r>
      <w:r w:rsidR="00A0164B">
        <w:t>,</w:t>
      </w:r>
      <w:r w:rsidR="00462F61">
        <w:t xml:space="preserve"> and</w:t>
      </w:r>
      <w:r w:rsidR="00854970">
        <w:t xml:space="preserve"> perspective</w:t>
      </w:r>
      <w:r w:rsidR="007A505C">
        <w:t>.</w:t>
      </w:r>
    </w:p>
    <w:p w:rsidR="00462F61" w:rsidRDefault="00462F61" w:rsidP="00462F61">
      <w:pPr>
        <w:pStyle w:val="Q"/>
      </w:pPr>
      <w:r>
        <w:t>What is</w:t>
      </w:r>
      <w:r w:rsidR="00854970">
        <w:t xml:space="preserve"> perspective</w:t>
      </w:r>
      <w:r w:rsidR="007A505C">
        <w:t>?</w:t>
      </w:r>
    </w:p>
    <w:p w:rsidR="00462F61" w:rsidRDefault="00462F61" w:rsidP="00462F61">
      <w:pPr>
        <w:pStyle w:val="SR"/>
      </w:pPr>
      <w:r>
        <w:t xml:space="preserve">How </w:t>
      </w:r>
      <w:r w:rsidR="00854970">
        <w:t>one understands an issue, including his/her relationship to and analysis of the issue</w:t>
      </w:r>
      <w:r w:rsidR="00351464">
        <w:t>.</w:t>
      </w:r>
    </w:p>
    <w:p w:rsidR="00462F61" w:rsidRDefault="00462F61" w:rsidP="00462F61">
      <w:pPr>
        <w:pStyle w:val="Q"/>
      </w:pPr>
      <w:r>
        <w:t xml:space="preserve">What is a </w:t>
      </w:r>
      <w:r w:rsidR="00DA21C7">
        <w:t>central claim</w:t>
      </w:r>
      <w:r>
        <w:t>?</w:t>
      </w:r>
    </w:p>
    <w:p w:rsidR="00C52AC2" w:rsidRPr="00C52AC2" w:rsidRDefault="00C52AC2" w:rsidP="00C52AC2">
      <w:pPr>
        <w:pStyle w:val="SR"/>
        <w:rPr>
          <w:rFonts w:ascii="Times New Roman" w:hAnsi="Times New Roman"/>
        </w:rPr>
      </w:pPr>
      <w:r w:rsidRPr="008425EA">
        <w:t>An author or speaker’s main point about an issue in an </w:t>
      </w:r>
      <w:r w:rsidR="00854970">
        <w:t>argument</w:t>
      </w:r>
      <w:r w:rsidR="00351464">
        <w:t>.</w:t>
      </w:r>
    </w:p>
    <w:p w:rsidR="00C52AC2" w:rsidRPr="00722751" w:rsidRDefault="00C52AC2" w:rsidP="00722751">
      <w:pPr>
        <w:pStyle w:val="IN"/>
      </w:pPr>
      <w:r w:rsidRPr="00722751">
        <w:t>The central claim of an</w:t>
      </w:r>
      <w:r w:rsidR="00854970" w:rsidRPr="00722751">
        <w:t xml:space="preserve"> argument</w:t>
      </w:r>
      <w:r w:rsidR="00854970" w:rsidRPr="00722751" w:rsidDel="00854970">
        <w:t xml:space="preserve"> </w:t>
      </w:r>
      <w:r w:rsidRPr="00722751">
        <w:t>also may be called a thesis or a position (t</w:t>
      </w:r>
      <w:r w:rsidR="002D5EA9">
        <w:t xml:space="preserve">he author or speaker’s stance). </w:t>
      </w:r>
      <w:r w:rsidRPr="00722751">
        <w:t>The central claim also may imply the author or speaker’s point of view or purpose (RI.9-10.6).</w:t>
      </w:r>
    </w:p>
    <w:p w:rsidR="00462F61" w:rsidRDefault="00462F61" w:rsidP="00462F61">
      <w:pPr>
        <w:pStyle w:val="Q"/>
      </w:pPr>
      <w:r>
        <w:t xml:space="preserve">How is an argument </w:t>
      </w:r>
      <w:r w:rsidR="00BB3EF0">
        <w:t>related to a</w:t>
      </w:r>
      <w:r>
        <w:t xml:space="preserve"> </w:t>
      </w:r>
      <w:r w:rsidR="00DA21C7">
        <w:t>central claim</w:t>
      </w:r>
      <w:r>
        <w:t xml:space="preserve">? </w:t>
      </w:r>
    </w:p>
    <w:p w:rsidR="009B0DE8" w:rsidRDefault="009B0DE8" w:rsidP="00462F61">
      <w:pPr>
        <w:pStyle w:val="SR"/>
      </w:pPr>
      <w:r>
        <w:t>Student responses should include:</w:t>
      </w:r>
    </w:p>
    <w:p w:rsidR="00462F61" w:rsidRDefault="00462F61" w:rsidP="009B0DE8">
      <w:pPr>
        <w:pStyle w:val="SASRBullet"/>
      </w:pPr>
      <w:r>
        <w:t xml:space="preserve">A </w:t>
      </w:r>
      <w:r w:rsidR="00DA21C7">
        <w:t>central claim</w:t>
      </w:r>
      <w:r>
        <w:t xml:space="preserve"> is </w:t>
      </w:r>
      <w:r w:rsidR="00BB3EF0">
        <w:t>an author</w:t>
      </w:r>
      <w:r w:rsidR="00C52AC2">
        <w:t>’</w:t>
      </w:r>
      <w:r w:rsidR="00BB3EF0">
        <w:t>s main point or statement</w:t>
      </w:r>
      <w:r>
        <w:t xml:space="preserve"> a</w:t>
      </w:r>
      <w:r w:rsidR="00E02987">
        <w:t>bout an issue</w:t>
      </w:r>
      <w:r w:rsidR="00BB3EF0">
        <w:t>.</w:t>
      </w:r>
    </w:p>
    <w:p w:rsidR="00E02987" w:rsidRDefault="00E02987" w:rsidP="009B0DE8">
      <w:pPr>
        <w:pStyle w:val="SASRBullet"/>
      </w:pPr>
      <w:r>
        <w:t>A</w:t>
      </w:r>
      <w:r w:rsidR="00BB3EF0">
        <w:t>n argument is the text as a whole and it</w:t>
      </w:r>
      <w:r w:rsidR="00845EB2">
        <w:t xml:space="preserve"> i</w:t>
      </w:r>
      <w:r w:rsidR="00BB3EF0">
        <w:t>s a composition of a series of</w:t>
      </w:r>
      <w:r w:rsidR="00845EB2">
        <w:t xml:space="preserve"> precise</w:t>
      </w:r>
      <w:r w:rsidR="00BB3EF0">
        <w:t xml:space="preserve"> claims supported by relevant and sufficient evidence</w:t>
      </w:r>
      <w:r w:rsidR="00845EB2">
        <w:t xml:space="preserve"> and valid reasoning. </w:t>
      </w:r>
    </w:p>
    <w:p w:rsidR="00E02987" w:rsidRDefault="00E02987" w:rsidP="009B0DE8">
      <w:pPr>
        <w:pStyle w:val="SASRBullet"/>
      </w:pPr>
      <w:r>
        <w:t xml:space="preserve">A person might use several </w:t>
      </w:r>
      <w:r w:rsidR="00845EB2">
        <w:t xml:space="preserve">supporting claims </w:t>
      </w:r>
      <w:r>
        <w:t>to defend his</w:t>
      </w:r>
      <w:r w:rsidR="00FF08D3">
        <w:t>/her</w:t>
      </w:r>
      <w:r>
        <w:t xml:space="preserve"> </w:t>
      </w:r>
      <w:r w:rsidR="00DA21C7">
        <w:t>central claim</w:t>
      </w:r>
      <w:r>
        <w:t xml:space="preserve">. </w:t>
      </w:r>
    </w:p>
    <w:p w:rsidR="00650CD1" w:rsidRPr="00D20535" w:rsidRDefault="00650CD1" w:rsidP="00722751">
      <w:pPr>
        <w:pStyle w:val="Q"/>
      </w:pPr>
      <w:r w:rsidRPr="00D20535">
        <w:t>What is valid reasoning?</w:t>
      </w:r>
    </w:p>
    <w:p w:rsidR="00650CD1" w:rsidRDefault="00650CD1" w:rsidP="00650CD1">
      <w:pPr>
        <w:pStyle w:val="SR"/>
      </w:pPr>
      <w:r>
        <w:t>Valid reasoning is sound or logical relationships among ideas, including relationships among claims and relationships across evidence.</w:t>
      </w:r>
    </w:p>
    <w:p w:rsidR="00E02987" w:rsidRDefault="00D20535" w:rsidP="00E02987">
      <w:pPr>
        <w:pStyle w:val="IN"/>
      </w:pPr>
      <w:r w:rsidRPr="00D20535">
        <w:rPr>
          <w:b/>
        </w:rPr>
        <w:t>Differentiation Consideration:</w:t>
      </w:r>
      <w:r>
        <w:t xml:space="preserve"> </w:t>
      </w:r>
      <w:r w:rsidR="00E02987">
        <w:t>If students struggle</w:t>
      </w:r>
      <w:r w:rsidR="00A16162">
        <w:t>,</w:t>
      </w:r>
      <w:r w:rsidR="00E02987">
        <w:t xml:space="preserve"> consider providing definitions of each of the terms and leading discussion on the differences apparent in the terms</w:t>
      </w:r>
      <w:r w:rsidR="003D73C9">
        <w:t>.</w:t>
      </w:r>
    </w:p>
    <w:p w:rsidR="00AF6AA9" w:rsidRDefault="003177AE" w:rsidP="00462F61">
      <w:pPr>
        <w:pStyle w:val="TA"/>
      </w:pPr>
      <w:r>
        <w:t xml:space="preserve">Explain to students that </w:t>
      </w:r>
      <w:r w:rsidR="00EF7988">
        <w:t xml:space="preserve">some </w:t>
      </w:r>
      <w:r>
        <w:t xml:space="preserve">of the </w:t>
      </w:r>
      <w:r w:rsidR="00EF7988">
        <w:t xml:space="preserve">sources </w:t>
      </w:r>
      <w:r>
        <w:t>they</w:t>
      </w:r>
      <w:r w:rsidR="00EF7988">
        <w:t xml:space="preserve"> ha</w:t>
      </w:r>
      <w:r>
        <w:t xml:space="preserve">ve identified in </w:t>
      </w:r>
      <w:r w:rsidR="00EF7988">
        <w:t>preliminary searches</w:t>
      </w:r>
      <w:r>
        <w:t xml:space="preserve"> contain one or more </w:t>
      </w:r>
      <w:r w:rsidR="00A16162">
        <w:t xml:space="preserve">central claims </w:t>
      </w:r>
      <w:r>
        <w:t>and</w:t>
      </w:r>
      <w:r w:rsidR="00A16162">
        <w:t xml:space="preserve"> that</w:t>
      </w:r>
      <w:r>
        <w:t xml:space="preserve"> the th</w:t>
      </w:r>
      <w:r w:rsidR="00A16162">
        <w:t>o</w:t>
      </w:r>
      <w:r>
        <w:t xml:space="preserve">rough evaluation of these </w:t>
      </w:r>
      <w:r w:rsidR="00A16162">
        <w:t xml:space="preserve">central claims </w:t>
      </w:r>
      <w:r>
        <w:t xml:space="preserve">is important in determining the merit of the source and whether or not it can contribute </w:t>
      </w:r>
      <w:r w:rsidR="00A16162">
        <w:t>to an</w:t>
      </w:r>
      <w:r>
        <w:t xml:space="preserve"> understanding of the</w:t>
      </w:r>
      <w:r w:rsidR="00EF7988">
        <w:t xml:space="preserve"> research topic/area of investigation</w:t>
      </w:r>
      <w:r>
        <w:t xml:space="preserve">. </w:t>
      </w:r>
      <w:r w:rsidR="00462F61">
        <w:t>Guide</w:t>
      </w:r>
      <w:r w:rsidR="0028760F">
        <w:t xml:space="preserve"> </w:t>
      </w:r>
      <w:r w:rsidR="00462F61">
        <w:t xml:space="preserve">students through the following questions to strengthen their understanding of arguments and how to evaluate them. </w:t>
      </w:r>
    </w:p>
    <w:p w:rsidR="0013755A" w:rsidRDefault="0013755A" w:rsidP="0013755A">
      <w:pPr>
        <w:pStyle w:val="Q"/>
      </w:pPr>
      <w:r>
        <w:t>What makes an argument effective?</w:t>
      </w:r>
    </w:p>
    <w:p w:rsidR="009B0DE8" w:rsidRDefault="009B0DE8" w:rsidP="0013755A">
      <w:pPr>
        <w:pStyle w:val="SR"/>
      </w:pPr>
      <w:r>
        <w:t>Student responses should include:</w:t>
      </w:r>
    </w:p>
    <w:p w:rsidR="00777D3B" w:rsidRDefault="00777D3B" w:rsidP="009B0DE8">
      <w:pPr>
        <w:pStyle w:val="SASRBullet"/>
      </w:pPr>
      <w:r>
        <w:t>Clearly stated claims</w:t>
      </w:r>
      <w:r w:rsidR="00553BA1">
        <w:t>.</w:t>
      </w:r>
    </w:p>
    <w:p w:rsidR="0013755A" w:rsidRDefault="0013755A" w:rsidP="009B0DE8">
      <w:pPr>
        <w:pStyle w:val="SASRBullet"/>
      </w:pPr>
      <w:r>
        <w:t>Significant evidence</w:t>
      </w:r>
      <w:r w:rsidR="00650CD1">
        <w:t xml:space="preserve"> that is relevant and sufficient to the argument’s claims</w:t>
      </w:r>
      <w:r w:rsidR="00A3016B">
        <w:t>.</w:t>
      </w:r>
    </w:p>
    <w:p w:rsidR="0013755A" w:rsidRDefault="0013755A" w:rsidP="009B0DE8">
      <w:pPr>
        <w:pStyle w:val="SASRBullet"/>
      </w:pPr>
      <w:r>
        <w:t>A strong line of reasoning</w:t>
      </w:r>
      <w:r w:rsidR="00A3016B">
        <w:t>.</w:t>
      </w:r>
    </w:p>
    <w:p w:rsidR="00E02987" w:rsidRDefault="00777D3B" w:rsidP="00E02987">
      <w:pPr>
        <w:pStyle w:val="Q"/>
      </w:pPr>
      <w:r>
        <w:lastRenderedPageBreak/>
        <w:t>What might make an argument ineffective</w:t>
      </w:r>
      <w:r w:rsidR="003177AE">
        <w:t>?</w:t>
      </w:r>
    </w:p>
    <w:p w:rsidR="009B0DE8" w:rsidRDefault="009B0DE8" w:rsidP="003177AE">
      <w:pPr>
        <w:pStyle w:val="SR"/>
      </w:pPr>
      <w:r>
        <w:t>Student responses should include:</w:t>
      </w:r>
    </w:p>
    <w:p w:rsidR="003177AE" w:rsidRDefault="003177AE" w:rsidP="009B0DE8">
      <w:pPr>
        <w:pStyle w:val="SASRBullet"/>
      </w:pPr>
      <w:r>
        <w:t>It uses a confusing structure.</w:t>
      </w:r>
    </w:p>
    <w:p w:rsidR="003177AE" w:rsidRDefault="003177AE" w:rsidP="009B0DE8">
      <w:pPr>
        <w:pStyle w:val="SASRBullet"/>
      </w:pPr>
      <w:r>
        <w:t xml:space="preserve">The evidence is </w:t>
      </w:r>
      <w:r w:rsidR="00A3016B">
        <w:t xml:space="preserve">unrelated </w:t>
      </w:r>
      <w:r>
        <w:t>and does</w:t>
      </w:r>
      <w:r w:rsidR="00EF7988">
        <w:t xml:space="preserve"> </w:t>
      </w:r>
      <w:r>
        <w:t>n</w:t>
      </w:r>
      <w:r w:rsidR="00EF7988">
        <w:t>o</w:t>
      </w:r>
      <w:r>
        <w:t>t support the argument.</w:t>
      </w:r>
    </w:p>
    <w:p w:rsidR="003177AE" w:rsidRDefault="003177AE" w:rsidP="009B0DE8">
      <w:pPr>
        <w:pStyle w:val="SASRBullet"/>
      </w:pPr>
      <w:r>
        <w:t>The argument ignores other</w:t>
      </w:r>
      <w:r w:rsidR="00002FD5">
        <w:t xml:space="preserve"> perspectives</w:t>
      </w:r>
      <w:r>
        <w:t xml:space="preserve">. </w:t>
      </w:r>
    </w:p>
    <w:p w:rsidR="00650CD1" w:rsidRDefault="00650CD1" w:rsidP="009B0DE8">
      <w:pPr>
        <w:pStyle w:val="SASRBullet"/>
      </w:pPr>
      <w:r>
        <w:t>The argument does not include effective reasoning, so relationships are missing among the evidence, supporting claims, and central claim.</w:t>
      </w:r>
    </w:p>
    <w:p w:rsidR="00002FD5" w:rsidRDefault="0028760F" w:rsidP="007C1847">
      <w:pPr>
        <w:pStyle w:val="IN"/>
      </w:pPr>
      <w:r w:rsidRPr="009B0DE8">
        <w:rPr>
          <w:b/>
        </w:rPr>
        <w:t>Differentiation Consideration:</w:t>
      </w:r>
      <w:r>
        <w:t xml:space="preserve"> If students struggle with the above questions, consider discussing with </w:t>
      </w:r>
      <w:r w:rsidR="00AF6860">
        <w:t xml:space="preserve">them </w:t>
      </w:r>
      <w:r>
        <w:t xml:space="preserve">a specific argument in </w:t>
      </w:r>
      <w:r w:rsidRPr="0028760F">
        <w:rPr>
          <w:i/>
        </w:rPr>
        <w:t>The Immortal Life of Henrietta Lacks</w:t>
      </w:r>
      <w:r>
        <w:t xml:space="preserve"> and what made it effective</w:t>
      </w:r>
      <w:r w:rsidR="009A774D">
        <w:t xml:space="preserve"> or ineffective</w:t>
      </w:r>
      <w:r>
        <w:t xml:space="preserve">. </w:t>
      </w:r>
      <w:r w:rsidR="00BE4AA7">
        <w:t>Specifically</w:t>
      </w:r>
      <w:r w:rsidR="00002FD5">
        <w:t xml:space="preserve"> re-examine</w:t>
      </w:r>
      <w:r w:rsidR="00BE4AA7">
        <w:t xml:space="preserve"> </w:t>
      </w:r>
      <w:r w:rsidR="00002FD5">
        <w:t xml:space="preserve">the excerpts </w:t>
      </w:r>
      <w:r w:rsidR="00BE4AA7">
        <w:t xml:space="preserve">“Illegal, Immoral, and Deplorable” </w:t>
      </w:r>
      <w:r w:rsidR="004C302C">
        <w:t>and</w:t>
      </w:r>
      <w:r w:rsidR="00BE4AA7">
        <w:t xml:space="preserve"> “Who Told You You Could Sell My Spleen?</w:t>
      </w:r>
      <w:r w:rsidR="000F55AE">
        <w:t>”.</w:t>
      </w:r>
    </w:p>
    <w:p w:rsidR="00707670" w:rsidRDefault="00707670">
      <w:pPr>
        <w:pStyle w:val="LearningSequenceHeader"/>
      </w:pPr>
      <w:r>
        <w:t>Activity 4</w:t>
      </w:r>
      <w:r w:rsidR="003908A9">
        <w:t>: Introducing the Evidence-Based Arguments Checklist</w:t>
      </w:r>
      <w:r w:rsidR="00D97059">
        <w:tab/>
      </w:r>
      <w:r w:rsidR="00034661">
        <w:t>3</w:t>
      </w:r>
      <w:r w:rsidR="000669A2">
        <w:t>0</w:t>
      </w:r>
      <w:r w:rsidRPr="00707670">
        <w:t>%</w:t>
      </w:r>
    </w:p>
    <w:p w:rsidR="00707670" w:rsidRDefault="00A026A2" w:rsidP="00707670">
      <w:pPr>
        <w:pStyle w:val="TA"/>
      </w:pPr>
      <w:r>
        <w:t>Introduce students to</w:t>
      </w:r>
      <w:r w:rsidR="000669A2">
        <w:t xml:space="preserve"> the Ev</w:t>
      </w:r>
      <w:r>
        <w:t>idence-Based Arguments Checklist</w:t>
      </w:r>
      <w:r w:rsidR="000669A2">
        <w:t xml:space="preserve">. </w:t>
      </w:r>
      <w:r>
        <w:t xml:space="preserve">Explain </w:t>
      </w:r>
      <w:r w:rsidR="00327C7C">
        <w:t xml:space="preserve">to students </w:t>
      </w:r>
      <w:r>
        <w:t xml:space="preserve">that </w:t>
      </w:r>
      <w:r w:rsidR="00C20656">
        <w:t xml:space="preserve">they are going to use it to </w:t>
      </w:r>
      <w:r w:rsidR="00327C7C">
        <w:t xml:space="preserve">evaluate </w:t>
      </w:r>
      <w:r w:rsidR="00DA21C7">
        <w:t>central claim</w:t>
      </w:r>
      <w:r w:rsidR="00327C7C">
        <w:t>s</w:t>
      </w:r>
      <w:r w:rsidR="00371C93">
        <w:t>, supporting claims, reasoning, and evidence</w:t>
      </w:r>
      <w:r w:rsidR="00327C7C">
        <w:t xml:space="preserve"> in </w:t>
      </w:r>
      <w:r w:rsidR="0023472C">
        <w:t>sources</w:t>
      </w:r>
      <w:r w:rsidR="007E444B">
        <w:t>,</w:t>
      </w:r>
      <w:r w:rsidR="00327C7C">
        <w:t xml:space="preserve"> s</w:t>
      </w:r>
      <w:r w:rsidR="00C20656">
        <w:t>o that they c</w:t>
      </w:r>
      <w:r w:rsidR="00327C7C">
        <w:t xml:space="preserve">an gain a better understanding of </w:t>
      </w:r>
      <w:r w:rsidR="00D26DD6">
        <w:t xml:space="preserve">compelling </w:t>
      </w:r>
      <w:r w:rsidR="00327C7C">
        <w:t>arguments.</w:t>
      </w:r>
    </w:p>
    <w:p w:rsidR="00327C7C" w:rsidRDefault="00327C7C" w:rsidP="00327C7C">
      <w:pPr>
        <w:pStyle w:val="SA"/>
      </w:pPr>
      <w:r>
        <w:t>Students listen.</w:t>
      </w:r>
    </w:p>
    <w:p w:rsidR="00B93393" w:rsidRDefault="00B93393" w:rsidP="00B93393">
      <w:pPr>
        <w:pStyle w:val="TA"/>
      </w:pPr>
      <w:r>
        <w:t>Lead students through an examination of the</w:t>
      </w:r>
      <w:r w:rsidR="0036720D">
        <w:t xml:space="preserve"> Evidence-Based Arguments Checklist</w:t>
      </w:r>
      <w:r w:rsidR="007E444B">
        <w:t>,</w:t>
      </w:r>
      <w:r>
        <w:t xml:space="preserve"> focusing on the </w:t>
      </w:r>
      <w:r w:rsidR="00327C7C">
        <w:t xml:space="preserve">various criteria present on the checklist. </w:t>
      </w:r>
    </w:p>
    <w:p w:rsidR="00327C7C" w:rsidRDefault="00327C7C" w:rsidP="00327C7C">
      <w:pPr>
        <w:pStyle w:val="SA"/>
      </w:pPr>
      <w:r>
        <w:t>Students follow along.</w:t>
      </w:r>
    </w:p>
    <w:p w:rsidR="00327C7C" w:rsidRDefault="00327C7C" w:rsidP="00327C7C">
      <w:pPr>
        <w:pStyle w:val="TA"/>
      </w:pPr>
      <w:r>
        <w:t>Explain to students that the Evidence-Based Arguments Checklist is composed of four major sections that serve to e</w:t>
      </w:r>
      <w:r w:rsidR="00D27A93">
        <w:t>valuate</w:t>
      </w:r>
      <w:r>
        <w:t xml:space="preserve"> an argument. </w:t>
      </w:r>
    </w:p>
    <w:p w:rsidR="00327C7C" w:rsidRDefault="00327C7C" w:rsidP="00327C7C">
      <w:pPr>
        <w:pStyle w:val="BulletedList"/>
      </w:pPr>
      <w:r>
        <w:t>Content and Analysis</w:t>
      </w:r>
    </w:p>
    <w:p w:rsidR="00DC6760" w:rsidRDefault="00DC6760" w:rsidP="00327C7C">
      <w:pPr>
        <w:pStyle w:val="BulletedList"/>
      </w:pPr>
      <w:r>
        <w:t>Command of Evidence</w:t>
      </w:r>
    </w:p>
    <w:p w:rsidR="00DC6760" w:rsidRDefault="00DC6760" w:rsidP="00327C7C">
      <w:pPr>
        <w:pStyle w:val="BulletedList"/>
      </w:pPr>
      <w:r>
        <w:t>Coherence and Organization</w:t>
      </w:r>
    </w:p>
    <w:p w:rsidR="00DC6760" w:rsidRDefault="00DC6760" w:rsidP="00327C7C">
      <w:pPr>
        <w:pStyle w:val="BulletedList"/>
      </w:pPr>
      <w:r>
        <w:t>Control of Lan</w:t>
      </w:r>
      <w:r w:rsidR="006401E7">
        <w:t>guage and Conventions</w:t>
      </w:r>
    </w:p>
    <w:p w:rsidR="00D97059" w:rsidRDefault="00D97059" w:rsidP="00D97059">
      <w:pPr>
        <w:pStyle w:val="TA"/>
      </w:pPr>
      <w:r>
        <w:t xml:space="preserve">Explain to students that these four sections are the support structure of the argument. As a strong </w:t>
      </w:r>
      <w:r w:rsidR="00DA21C7">
        <w:t>central claim</w:t>
      </w:r>
      <w:r>
        <w:t xml:space="preserve"> is supported by strong </w:t>
      </w:r>
      <w:r w:rsidR="0003519A">
        <w:t>supporting claims</w:t>
      </w:r>
      <w:r>
        <w:t>, a strong argument is supported by a strong content and analysis, command of evidence, coherence and organization, and control of language and conventions.</w:t>
      </w:r>
    </w:p>
    <w:p w:rsidR="00ED3F7C" w:rsidRDefault="00ED3F7C" w:rsidP="00ED3F7C">
      <w:pPr>
        <w:pStyle w:val="SA"/>
      </w:pPr>
      <w:r>
        <w:t>Students listen.</w:t>
      </w:r>
    </w:p>
    <w:p w:rsidR="00D26DD6" w:rsidRDefault="00D26DD6" w:rsidP="007D4463">
      <w:pPr>
        <w:pStyle w:val="BR"/>
      </w:pPr>
    </w:p>
    <w:p w:rsidR="0003519A" w:rsidRDefault="0003519A" w:rsidP="0003519A">
      <w:pPr>
        <w:pStyle w:val="TA"/>
      </w:pPr>
      <w:r>
        <w:lastRenderedPageBreak/>
        <w:t xml:space="preserve">Using the criteria of the Evidence-Based Arguments Checklist, examine the model argument and complete the checklist by modeling for students. </w:t>
      </w:r>
    </w:p>
    <w:p w:rsidR="00D26DD6" w:rsidRPr="007C1847" w:rsidRDefault="00585270" w:rsidP="00960144">
      <w:pPr>
        <w:pStyle w:val="TA"/>
        <w:rPr>
          <w:i/>
        </w:rPr>
      </w:pPr>
      <w:r>
        <w:t xml:space="preserve">Display the </w:t>
      </w:r>
      <w:r w:rsidR="00987FFA">
        <w:t>model source</w:t>
      </w:r>
      <w:r>
        <w:t xml:space="preserve">, </w:t>
      </w:r>
      <w:r w:rsidR="00BF0207">
        <w:t>“</w:t>
      </w:r>
      <w:r w:rsidR="00960144" w:rsidRPr="00E01C06">
        <w:t xml:space="preserve">A Court Allows Payment for Bone Marrow. Should People </w:t>
      </w:r>
      <w:r w:rsidR="00BF0207" w:rsidRPr="00E01C06">
        <w:t>b</w:t>
      </w:r>
      <w:r w:rsidR="00960144" w:rsidRPr="00E01C06">
        <w:t>e Able to Sell Their Parts?</w:t>
      </w:r>
      <w:r w:rsidR="00BF0207">
        <w:t>”</w:t>
      </w:r>
      <w:r w:rsidR="00960144" w:rsidRPr="00E01C06">
        <w:t xml:space="preserve"> </w:t>
      </w:r>
      <w:r w:rsidR="00F13799" w:rsidRPr="00B20D0C">
        <w:t>from</w:t>
      </w:r>
      <w:r w:rsidR="00D26DD6">
        <w:t xml:space="preserve"> </w:t>
      </w:r>
      <w:r w:rsidR="00BF0207">
        <w:t>10.3.2 Lesson 4</w:t>
      </w:r>
      <w:r>
        <w:t xml:space="preserve"> for students</w:t>
      </w:r>
      <w:r w:rsidR="00D26DD6">
        <w:t xml:space="preserve">. Inform students that they </w:t>
      </w:r>
      <w:r w:rsidR="00AF6860">
        <w:t>are to</w:t>
      </w:r>
      <w:r w:rsidR="00D26DD6">
        <w:t xml:space="preserve"> us</w:t>
      </w:r>
      <w:r w:rsidR="00AF6860">
        <w:t>e</w:t>
      </w:r>
      <w:r w:rsidR="00D26DD6">
        <w:t xml:space="preserve"> the Evidence-Based Arguments Checklist to </w:t>
      </w:r>
      <w:r w:rsidR="00D27A93">
        <w:t>evaluate</w:t>
      </w:r>
      <w:r w:rsidR="00D26DD6">
        <w:t xml:space="preserve"> th</w:t>
      </w:r>
      <w:r w:rsidR="00D27A93">
        <w:t xml:space="preserve">e argument in this </w:t>
      </w:r>
      <w:r w:rsidR="00987FFA">
        <w:t>model source</w:t>
      </w:r>
      <w:r w:rsidR="00D26DD6">
        <w:t xml:space="preserve">. </w:t>
      </w:r>
    </w:p>
    <w:p w:rsidR="001E509F" w:rsidRDefault="001E509F" w:rsidP="007D4463">
      <w:pPr>
        <w:pStyle w:val="SA"/>
      </w:pPr>
      <w:r>
        <w:t>Students listen.</w:t>
      </w:r>
    </w:p>
    <w:p w:rsidR="00987FFA" w:rsidRDefault="00987FFA" w:rsidP="00C96EA2">
      <w:pPr>
        <w:pStyle w:val="IN"/>
      </w:pPr>
      <w:r>
        <w:t xml:space="preserve">The model source “A Court Allows Payment for Bone Marrow. Should People </w:t>
      </w:r>
      <w:r w:rsidR="00BF0207">
        <w:t>b</w:t>
      </w:r>
      <w:r>
        <w:t>e Able to Sell Their Parts?”</w:t>
      </w:r>
      <w:r w:rsidR="00CD397C">
        <w:t xml:space="preserve"> by Alice Park</w:t>
      </w:r>
      <w:r>
        <w:t xml:space="preserve"> can be accessed online at </w:t>
      </w:r>
      <w:hyperlink r:id="rId12" w:history="1">
        <w:r w:rsidR="00ED3F7C" w:rsidRPr="00FA1885">
          <w:rPr>
            <w:rStyle w:val="Hyperlink"/>
            <w:rFonts w:asciiTheme="minorHAnsi" w:hAnsiTheme="minorHAnsi" w:cs="Arial"/>
          </w:rPr>
          <w:t>http://healthland.time.com/2012/07/02/a-court-allows-payment-for-bone-marrow-should-people-be-able-to-sell-their-parts/</w:t>
        </w:r>
      </w:hyperlink>
      <w:r w:rsidR="00ED3F7C">
        <w:rPr>
          <w:rStyle w:val="Hyperlink"/>
          <w:rFonts w:asciiTheme="minorHAnsi" w:hAnsiTheme="minorHAnsi" w:cs="Arial"/>
        </w:rPr>
        <w:t xml:space="preserve">. </w:t>
      </w:r>
    </w:p>
    <w:p w:rsidR="0047548A" w:rsidRDefault="0047548A" w:rsidP="007D4463">
      <w:pPr>
        <w:pStyle w:val="TA"/>
      </w:pPr>
      <w:r>
        <w:t xml:space="preserve">Explain to students that each section of the </w:t>
      </w:r>
      <w:r w:rsidR="00BF0207">
        <w:t xml:space="preserve">Evidence-Based Arguments </w:t>
      </w:r>
      <w:r>
        <w:t xml:space="preserve">Checklist consists of several smaller areas where students can indicate with a check mark if they find this </w:t>
      </w:r>
      <w:r w:rsidR="002116DC">
        <w:t xml:space="preserve">item </w:t>
      </w:r>
      <w:r>
        <w:t xml:space="preserve">is present in the argument. </w:t>
      </w:r>
      <w:r w:rsidR="002116DC">
        <w:t xml:space="preserve">Next to this is a section where students should provide additional notes on where they found this information in the text and how the author fulfills this section of the checklist. </w:t>
      </w:r>
    </w:p>
    <w:p w:rsidR="001E509F" w:rsidRDefault="002116DC" w:rsidP="007D4463">
      <w:pPr>
        <w:pStyle w:val="SA"/>
      </w:pPr>
      <w:r>
        <w:t>Students follow along on their Evidence-Based Arguments Checklist.</w:t>
      </w:r>
    </w:p>
    <w:p w:rsidR="009F1D43" w:rsidRDefault="0095433A" w:rsidP="007D4463">
      <w:pPr>
        <w:pStyle w:val="TA"/>
      </w:pPr>
      <w:r>
        <w:t xml:space="preserve">Explain </w:t>
      </w:r>
      <w:r w:rsidR="001B202D">
        <w:t>to students that the purpose of completing the</w:t>
      </w:r>
      <w:r>
        <w:t xml:space="preserve"> </w:t>
      </w:r>
      <w:r w:rsidR="00BF0207">
        <w:t>Evidence-Based Arguments C</w:t>
      </w:r>
      <w:r>
        <w:t xml:space="preserve">hecklist is not to evaluate </w:t>
      </w:r>
      <w:r w:rsidR="001B202D">
        <w:t>whether an argument</w:t>
      </w:r>
      <w:r>
        <w:t xml:space="preserve"> </w:t>
      </w:r>
      <w:r w:rsidR="001B202D">
        <w:t>passes or fails an ex</w:t>
      </w:r>
      <w:r w:rsidR="00777D3B">
        <w:t>amination by checking off boxes;</w:t>
      </w:r>
      <w:r w:rsidR="001B202D">
        <w:t xml:space="preserve"> instead </w:t>
      </w:r>
      <w:r w:rsidR="00BF0207">
        <w:t>i</w:t>
      </w:r>
      <w:r w:rsidR="001B202D">
        <w:t>t should be used to identify the sections in which the argument succeed</w:t>
      </w:r>
      <w:r w:rsidR="009F1D43">
        <w:t>s</w:t>
      </w:r>
      <w:r w:rsidR="001B202D">
        <w:t xml:space="preserve"> in providing a strong example of</w:t>
      </w:r>
      <w:r w:rsidR="009F1D43">
        <w:t xml:space="preserve"> an</w:t>
      </w:r>
      <w:r w:rsidR="001B202D">
        <w:t xml:space="preserve"> </w:t>
      </w:r>
      <w:r w:rsidR="00BF0207">
        <w:t>e</w:t>
      </w:r>
      <w:r w:rsidR="00960144">
        <w:t>vidence-</w:t>
      </w:r>
      <w:r w:rsidR="00BF0207">
        <w:t>b</w:t>
      </w:r>
      <w:r w:rsidR="00960144">
        <w:t xml:space="preserve">ased </w:t>
      </w:r>
      <w:r w:rsidR="00BF0207">
        <w:t>a</w:t>
      </w:r>
      <w:r w:rsidR="00960144">
        <w:t>rgument. By learning to identify effective components of an argument</w:t>
      </w:r>
      <w:r w:rsidR="009F1D43">
        <w:t>,</w:t>
      </w:r>
      <w:r w:rsidR="00960144">
        <w:t xml:space="preserve"> students </w:t>
      </w:r>
      <w:r w:rsidR="00C40451">
        <w:t>are</w:t>
      </w:r>
      <w:r w:rsidR="00960144">
        <w:t xml:space="preserve"> able to strengthen their own work</w:t>
      </w:r>
      <w:r w:rsidR="009F1D43">
        <w:t xml:space="preserve"> by searching for strong arguments in this unit and writing strong arguments in </w:t>
      </w:r>
      <w:r w:rsidR="00BF0207">
        <w:t>10.3.</w:t>
      </w:r>
      <w:r w:rsidR="009F1D43">
        <w:t xml:space="preserve">3. </w:t>
      </w:r>
    </w:p>
    <w:p w:rsidR="0095433A" w:rsidRDefault="009F1D43" w:rsidP="007C1847">
      <w:pPr>
        <w:pStyle w:val="SA"/>
      </w:pPr>
      <w:r>
        <w:t xml:space="preserve">Students listen. </w:t>
      </w:r>
    </w:p>
    <w:p w:rsidR="00960144" w:rsidRDefault="00960144" w:rsidP="007D4463">
      <w:pPr>
        <w:pStyle w:val="TA"/>
      </w:pPr>
      <w:r>
        <w:t>Instruct students to examine the first section of the Evidence-Based Arguments Checklist</w:t>
      </w:r>
      <w:r w:rsidR="00BF0207">
        <w:t>:</w:t>
      </w:r>
      <w:r w:rsidR="006E03B3">
        <w:t xml:space="preserve"> </w:t>
      </w:r>
      <w:r w:rsidRPr="0047548A">
        <w:t>C</w:t>
      </w:r>
      <w:r>
        <w:t>ontent and Analysis. Explain to students that this section is further broken down into four subsections</w:t>
      </w:r>
      <w:r w:rsidR="006E03B3">
        <w:t>:</w:t>
      </w:r>
      <w:r>
        <w:t xml:space="preserve"> </w:t>
      </w:r>
      <w:r w:rsidRPr="00960144">
        <w:t>Clarity and Releva</w:t>
      </w:r>
      <w:r>
        <w:t xml:space="preserve">nce, Conformity to Sources, Understanding of the Issue, and Acknowledgement of Other Perspectives. </w:t>
      </w:r>
      <w:r w:rsidR="0043715A">
        <w:t>The goal of these four subsections is to identify the strength of the author</w:t>
      </w:r>
      <w:r w:rsidR="00310E4B">
        <w:t>’</w:t>
      </w:r>
      <w:r w:rsidR="0043715A">
        <w:t xml:space="preserve">s content by </w:t>
      </w:r>
      <w:r w:rsidR="00FF2D72">
        <w:t>examining</w:t>
      </w:r>
      <w:r w:rsidR="0043715A">
        <w:t xml:space="preserve"> their use o</w:t>
      </w:r>
      <w:r w:rsidR="00FF2D72">
        <w:t xml:space="preserve">f varied sources and clear claims, and identifying if they possess a deep and thorough understanding of the issue supported by broad research. </w:t>
      </w:r>
      <w:r w:rsidR="0071459A">
        <w:t>Instruct students to follow along on their Evidence-Based Checklist</w:t>
      </w:r>
      <w:r w:rsidR="00310E4B">
        <w:t>.</w:t>
      </w:r>
    </w:p>
    <w:p w:rsidR="00FF2D72" w:rsidRDefault="00FF2D72" w:rsidP="007C1847">
      <w:pPr>
        <w:pStyle w:val="SA"/>
      </w:pPr>
      <w:r>
        <w:t xml:space="preserve">Students follow along. </w:t>
      </w:r>
    </w:p>
    <w:p w:rsidR="0071459A" w:rsidRPr="00ED3F7C" w:rsidRDefault="00A84A8E" w:rsidP="00ED3F7C">
      <w:pPr>
        <w:pStyle w:val="BulletedList"/>
      </w:pPr>
      <w:r w:rsidRPr="00ED3F7C">
        <w:t xml:space="preserve">Clarity and Relevance </w:t>
      </w:r>
    </w:p>
    <w:p w:rsidR="00A84A8E" w:rsidRDefault="00A84A8E">
      <w:pPr>
        <w:pStyle w:val="TA"/>
      </w:pPr>
      <w:r>
        <w:t xml:space="preserve">Examine this section with students. </w:t>
      </w:r>
      <w:r w:rsidR="00403150">
        <w:t xml:space="preserve">Explain that each subsection has a sentence that explains what an ideal example of this technique would look like. </w:t>
      </w:r>
      <w:r w:rsidR="00BF0207">
        <w:t>For example, a</w:t>
      </w:r>
      <w:r w:rsidR="00403150">
        <w:t xml:space="preserve"> </w:t>
      </w:r>
      <w:r w:rsidR="00733250">
        <w:t>well-executed</w:t>
      </w:r>
      <w:r w:rsidR="00403150">
        <w:t xml:space="preserve"> exampl</w:t>
      </w:r>
      <w:r w:rsidR="00174101">
        <w:t xml:space="preserve">e of Clarity and Relevance </w:t>
      </w:r>
      <w:r w:rsidR="00403150">
        <w:t>“</w:t>
      </w:r>
      <w:r w:rsidR="00BF0207">
        <w:t>p</w:t>
      </w:r>
      <w:r w:rsidR="00403150" w:rsidRPr="00423612">
        <w:t xml:space="preserve">urposefully states a </w:t>
      </w:r>
      <w:r w:rsidR="00403150">
        <w:t xml:space="preserve">central claim </w:t>
      </w:r>
      <w:r w:rsidR="00403150" w:rsidRPr="00423612">
        <w:t>that is linked to a clearly identified context (topic, problem, issue) that establishes its relevance.</w:t>
      </w:r>
      <w:r w:rsidR="00403150">
        <w:t>”</w:t>
      </w:r>
      <w:r w:rsidR="004D30AF">
        <w:t xml:space="preserve"> Instruct students that they can use th</w:t>
      </w:r>
      <w:r w:rsidR="00F07890">
        <w:t>is</w:t>
      </w:r>
      <w:r w:rsidR="004D30AF">
        <w:t xml:space="preserve"> as a guideline and reference for examining a text. </w:t>
      </w:r>
    </w:p>
    <w:p w:rsidR="004D30AF" w:rsidRDefault="004D30AF">
      <w:pPr>
        <w:pStyle w:val="TA"/>
      </w:pPr>
      <w:r>
        <w:lastRenderedPageBreak/>
        <w:t>Explain to students that in the model text examined</w:t>
      </w:r>
      <w:r w:rsidR="000928EA">
        <w:t>,</w:t>
      </w:r>
      <w:r>
        <w:t xml:space="preserve"> the author does not put forward a strong central claim, as the article is not an argument. The absence of this purposefully stated central claim means that the check box should be left blank on the </w:t>
      </w:r>
      <w:r w:rsidR="00BF0207">
        <w:t>Evidence-Based Arguments Checklist</w:t>
      </w:r>
      <w:r>
        <w:t xml:space="preserve">. </w:t>
      </w:r>
    </w:p>
    <w:p w:rsidR="00733250" w:rsidRDefault="00733250">
      <w:pPr>
        <w:pStyle w:val="TA"/>
      </w:pPr>
      <w:r>
        <w:t>Examine the comments sections with students. Inform students that this section is where they need to explain their reasoning for their observations and provide evidence when necessary. As some arguments might have subtle examples of each of these sections</w:t>
      </w:r>
      <w:r w:rsidR="001F56A7">
        <w:t>,</w:t>
      </w:r>
      <w:r>
        <w:t xml:space="preserve"> it is essential that each student justify their choices in this section. The comment box </w:t>
      </w:r>
      <w:r w:rsidR="00174101">
        <w:t>provides students the</w:t>
      </w:r>
      <w:r>
        <w:t xml:space="preserve"> opportunity to defend their decisions. </w:t>
      </w:r>
    </w:p>
    <w:p w:rsidR="00B71B20" w:rsidRDefault="00B71B20" w:rsidP="00B71B20">
      <w:pPr>
        <w:pStyle w:val="TA"/>
      </w:pPr>
      <w:r>
        <w:t xml:space="preserve">Model the comments section for students by filling in the comments box with a short statement that provides reasoning and examples that support the decision about whether or not this component is present in the text. </w:t>
      </w:r>
    </w:p>
    <w:p w:rsidR="00B71B20" w:rsidRDefault="00B71B20" w:rsidP="00C96EA2">
      <w:pPr>
        <w:pStyle w:val="IN"/>
      </w:pPr>
      <w:r>
        <w:t xml:space="preserve">Consider using the example above or the example from the model tool </w:t>
      </w:r>
      <w:r w:rsidR="00771F79">
        <w:t>to</w:t>
      </w:r>
      <w:r w:rsidR="00CD397C">
        <w:t xml:space="preserve"> show how to complete the Comments </w:t>
      </w:r>
      <w:r w:rsidR="00ED3F7C">
        <w:t>s</w:t>
      </w:r>
      <w:r w:rsidR="00771F79">
        <w:t>ection</w:t>
      </w:r>
      <w:r w:rsidR="00CD397C">
        <w:t xml:space="preserve"> of the tool.</w:t>
      </w:r>
    </w:p>
    <w:p w:rsidR="00733250" w:rsidRDefault="00733250" w:rsidP="007C1847">
      <w:pPr>
        <w:pStyle w:val="SA"/>
      </w:pPr>
      <w:r>
        <w:t>Students follow along</w:t>
      </w:r>
      <w:r w:rsidR="00236B9C">
        <w:t>.</w:t>
      </w:r>
    </w:p>
    <w:p w:rsidR="00A84A8E" w:rsidRDefault="00A84A8E" w:rsidP="00ED3F7C">
      <w:pPr>
        <w:pStyle w:val="BulletedList"/>
      </w:pPr>
      <w:r w:rsidRPr="00286DEC">
        <w:t>Conformity to Sources</w:t>
      </w:r>
    </w:p>
    <w:p w:rsidR="00B71B20" w:rsidRDefault="00B71B20" w:rsidP="00B71B20">
      <w:pPr>
        <w:pStyle w:val="TA"/>
      </w:pPr>
      <w:r>
        <w:t>Examine this section with students. Inform students that a well-executed e</w:t>
      </w:r>
      <w:r w:rsidR="00174101">
        <w:t>xample of Conformity to Sources</w:t>
      </w:r>
      <w:r>
        <w:t xml:space="preserve"> “</w:t>
      </w:r>
      <w:r w:rsidR="00BF0207">
        <w:t>p</w:t>
      </w:r>
      <w:r>
        <w:t>resents a perspective</w:t>
      </w:r>
      <w:r w:rsidRPr="00423612">
        <w:t xml:space="preserve"> that arises from ideas and evidence found in a range of diverse, c</w:t>
      </w:r>
      <w:r>
        <w:t>redible and significant sources</w:t>
      </w:r>
      <w:r w:rsidRPr="00423612">
        <w:t>.</w:t>
      </w:r>
      <w:r w:rsidR="00174101">
        <w:t>” This section has two important meanings:</w:t>
      </w:r>
      <w:r>
        <w:t xml:space="preserve"> the writer must present a perspective in the text</w:t>
      </w:r>
      <w:r w:rsidR="00174101">
        <w:t>,</w:t>
      </w:r>
      <w:r>
        <w:t xml:space="preserve"> and must also provide a range of ideas and evidence that are different from one another, significant in their content, and credible. Instruct students that they can use this as a guideline and reference for examining a text. </w:t>
      </w:r>
    </w:p>
    <w:p w:rsidR="00B71B20" w:rsidRDefault="00920E6E" w:rsidP="00C96EA2">
      <w:pPr>
        <w:pStyle w:val="IN"/>
      </w:pPr>
      <w:r>
        <w:t xml:space="preserve">Remind students of the </w:t>
      </w:r>
      <w:r w:rsidR="00B71B20" w:rsidRPr="003D73C9">
        <w:t xml:space="preserve">word </w:t>
      </w:r>
      <w:r w:rsidR="00B71B20" w:rsidRPr="00E01C06">
        <w:rPr>
          <w:i/>
        </w:rPr>
        <w:t>credible</w:t>
      </w:r>
      <w:r>
        <w:t xml:space="preserve"> from </w:t>
      </w:r>
      <w:r w:rsidR="00BF0207">
        <w:t xml:space="preserve">10.3.2 </w:t>
      </w:r>
      <w:r>
        <w:t>Lesson 3 (“</w:t>
      </w:r>
      <w:r w:rsidR="00B71B20">
        <w:t>worthy of</w:t>
      </w:r>
      <w:r w:rsidR="00935F94">
        <w:t xml:space="preserve"> belief or</w:t>
      </w:r>
      <w:r w:rsidR="00B71B20">
        <w:t xml:space="preserve"> confidence</w:t>
      </w:r>
      <w:r w:rsidR="00935F94">
        <w:t>;</w:t>
      </w:r>
      <w:r w:rsidR="00B71B20">
        <w:t xml:space="preserve"> trustworthy</w:t>
      </w:r>
      <w:r>
        <w:t>”)</w:t>
      </w:r>
      <w:r w:rsidR="00B71B20">
        <w:t xml:space="preserve">. </w:t>
      </w:r>
    </w:p>
    <w:p w:rsidR="0084015C" w:rsidRDefault="000D3399">
      <w:pPr>
        <w:pStyle w:val="TA"/>
      </w:pPr>
      <w:r>
        <w:t xml:space="preserve">Inform </w:t>
      </w:r>
      <w:r w:rsidR="0084015C">
        <w:t xml:space="preserve">students that Park presents a number of different sources that inform the perspective of the text. She includes several experts in different </w:t>
      </w:r>
      <w:r w:rsidR="00034456">
        <w:t xml:space="preserve">fields </w:t>
      </w:r>
      <w:r w:rsidR="0084015C">
        <w:t xml:space="preserve">to represent different opinions on the subject. She also uses the statement of the court ruling to provide additional context. Because of the varied and deep selection of sources and the methods by which </w:t>
      </w:r>
      <w:r w:rsidR="004261F0">
        <w:t>P</w:t>
      </w:r>
      <w:r w:rsidR="0084015C">
        <w:t xml:space="preserve">ark presents them, this component should be considered present in the text and indicated as such with a check mark. </w:t>
      </w:r>
    </w:p>
    <w:p w:rsidR="00B71B20" w:rsidRDefault="00B71B20" w:rsidP="00B71B20">
      <w:pPr>
        <w:pStyle w:val="TA"/>
      </w:pPr>
      <w:r>
        <w:t xml:space="preserve">Model the comments section for students by filling in the comments box with a short statement that provides reasoning and examples that support the decision about whether or not this component is present in the text. </w:t>
      </w:r>
    </w:p>
    <w:p w:rsidR="00CD397C" w:rsidRDefault="00CD397C" w:rsidP="00B71B20">
      <w:pPr>
        <w:pStyle w:val="IN"/>
      </w:pPr>
      <w:r>
        <w:t xml:space="preserve">Consider using the example above or the example from the model tool to show how to complete the Comments </w:t>
      </w:r>
      <w:r w:rsidR="00BF0207">
        <w:t>s</w:t>
      </w:r>
      <w:r>
        <w:t>ection of the tool.</w:t>
      </w:r>
    </w:p>
    <w:p w:rsidR="00403150" w:rsidRPr="00A84A8E" w:rsidRDefault="00403150" w:rsidP="007C1847">
      <w:pPr>
        <w:pStyle w:val="SA"/>
      </w:pPr>
      <w:r>
        <w:t xml:space="preserve">Students follow along. </w:t>
      </w:r>
    </w:p>
    <w:p w:rsidR="00946230" w:rsidRDefault="00946230" w:rsidP="009F4AB5">
      <w:pPr>
        <w:pStyle w:val="BulletedList"/>
        <w:keepNext/>
      </w:pPr>
      <w:r w:rsidRPr="00286DEC">
        <w:lastRenderedPageBreak/>
        <w:t>Understanding of the Issue</w:t>
      </w:r>
    </w:p>
    <w:p w:rsidR="00946230" w:rsidRDefault="00946230" w:rsidP="00946230">
      <w:pPr>
        <w:pStyle w:val="TA"/>
      </w:pPr>
      <w:r>
        <w:t xml:space="preserve">Examine this section with students. </w:t>
      </w:r>
      <w:r w:rsidR="00E63B06">
        <w:t xml:space="preserve">Inform students </w:t>
      </w:r>
      <w:r>
        <w:t xml:space="preserve">that a well-executed example of </w:t>
      </w:r>
      <w:r w:rsidR="00E63B06">
        <w:t xml:space="preserve">Understanding of the </w:t>
      </w:r>
      <w:r w:rsidR="004A7059">
        <w:t>I</w:t>
      </w:r>
      <w:r w:rsidR="00E63B06">
        <w:t>ssue</w:t>
      </w:r>
      <w:r>
        <w:t xml:space="preserve"> “</w:t>
      </w:r>
      <w:r w:rsidR="00BF0207">
        <w:t>p</w:t>
      </w:r>
      <w:r w:rsidR="00E63B06">
        <w:t>resents a perspective</w:t>
      </w:r>
      <w:r w:rsidR="00E63B06" w:rsidRPr="00423612">
        <w:t xml:space="preserve"> based on a comprehensive understanding of the issue, and establishes a series of valid claims that emerge from reasoned analysis.</w:t>
      </w:r>
      <w:r w:rsidR="00B97C63">
        <w:t>”</w:t>
      </w:r>
      <w:r w:rsidR="00E63B06">
        <w:t xml:space="preserve"> </w:t>
      </w:r>
      <w:r>
        <w:t xml:space="preserve">Instruct students that they can use this as a guideline and reference for examining a text. </w:t>
      </w:r>
    </w:p>
    <w:p w:rsidR="00946230" w:rsidRDefault="000D3399" w:rsidP="00946230">
      <w:pPr>
        <w:pStyle w:val="TA"/>
      </w:pPr>
      <w:r>
        <w:t xml:space="preserve">Inform </w:t>
      </w:r>
      <w:r w:rsidR="00B97C63">
        <w:t xml:space="preserve">students that in </w:t>
      </w:r>
      <w:r w:rsidR="00946230">
        <w:t>the model text examined</w:t>
      </w:r>
      <w:r w:rsidR="00034456">
        <w:t>,</w:t>
      </w:r>
      <w:r w:rsidR="00946230">
        <w:t xml:space="preserve"> </w:t>
      </w:r>
      <w:r w:rsidR="00B97C63">
        <w:t>Park provides a large amount of information about organ and tissue donation. Although</w:t>
      </w:r>
      <w:r w:rsidR="00034456">
        <w:t>,</w:t>
      </w:r>
      <w:r w:rsidR="00B97C63">
        <w:t xml:space="preserve"> as discussed earlier</w:t>
      </w:r>
      <w:r w:rsidR="004A7059">
        <w:t>,</w:t>
      </w:r>
      <w:r w:rsidR="00B97C63">
        <w:t xml:space="preserve"> she does not put forward a central claim, her questions and examples follow a clear, reasoned analysis as Park explores the implications of these changes in tissue donation. As the text fulfills the criteria of this </w:t>
      </w:r>
      <w:r w:rsidR="004A7059">
        <w:t xml:space="preserve">component, it should be considered present in the text and indicated as such with a check mark. </w:t>
      </w:r>
    </w:p>
    <w:p w:rsidR="00B97C63" w:rsidRDefault="00B97C63" w:rsidP="00C96EA2">
      <w:pPr>
        <w:pStyle w:val="TA"/>
      </w:pPr>
      <w:r>
        <w:t xml:space="preserve">Model the comments section for students by filling in the comments box with a short statement that provides reasoning and examples that support the decision about whether or not this component is present in the text. </w:t>
      </w:r>
    </w:p>
    <w:p w:rsidR="00CD397C" w:rsidRDefault="00CD397C" w:rsidP="00C96EA2">
      <w:pPr>
        <w:pStyle w:val="IN"/>
      </w:pPr>
      <w:r>
        <w:t xml:space="preserve">Consider using the example above or the example from the model tool to show how to complete the Comments </w:t>
      </w:r>
      <w:r w:rsidR="00BF0207">
        <w:t>s</w:t>
      </w:r>
      <w:r>
        <w:t>ection of the tool.</w:t>
      </w:r>
    </w:p>
    <w:p w:rsidR="00946230" w:rsidRDefault="00946230" w:rsidP="00946230">
      <w:pPr>
        <w:pStyle w:val="SA"/>
      </w:pPr>
      <w:r>
        <w:t xml:space="preserve">Students follow along. </w:t>
      </w:r>
    </w:p>
    <w:p w:rsidR="00946230" w:rsidRDefault="00946230" w:rsidP="00ED3F7C">
      <w:pPr>
        <w:pStyle w:val="BulletedList"/>
      </w:pPr>
      <w:r w:rsidRPr="00286DEC">
        <w:t>Acknow</w:t>
      </w:r>
      <w:r>
        <w:t>ledgement of Other Perspectives</w:t>
      </w:r>
    </w:p>
    <w:p w:rsidR="00BD1D35" w:rsidRDefault="00946230" w:rsidP="00BD1D35">
      <w:pPr>
        <w:pStyle w:val="TA"/>
      </w:pPr>
      <w:r>
        <w:t>Examine this section with students. Explain that a well-executed example of</w:t>
      </w:r>
      <w:r w:rsidRPr="00946230">
        <w:rPr>
          <w:b/>
        </w:rPr>
        <w:t xml:space="preserve"> </w:t>
      </w:r>
      <w:r w:rsidRPr="00C96EA2">
        <w:t>Acknowledgement of Other Perspectives</w:t>
      </w:r>
      <w:r w:rsidRPr="00946230">
        <w:t xml:space="preserve"> </w:t>
      </w:r>
      <w:r w:rsidR="00F44564">
        <w:t>effectively</w:t>
      </w:r>
      <w:r>
        <w:t xml:space="preserve"> “</w:t>
      </w:r>
      <w:r w:rsidR="00BF0207">
        <w:t>r</w:t>
      </w:r>
      <w:r w:rsidR="00F44564" w:rsidRPr="00F44564">
        <w:t>ecognizes opposing or alternate claims and distinguishes these claims from the stated perspective.</w:t>
      </w:r>
      <w:r w:rsidR="00F44564">
        <w:t>” This means that the author achieves two important goals</w:t>
      </w:r>
      <w:r w:rsidR="006E422B">
        <w:t>:</w:t>
      </w:r>
      <w:r w:rsidR="00F44564">
        <w:t xml:space="preserve"> they provide other claims in the argument and the</w:t>
      </w:r>
      <w:r w:rsidR="00BD1D35">
        <w:t>y</w:t>
      </w:r>
      <w:r w:rsidR="00F44564">
        <w:t xml:space="preserve"> effectively distinguish these claims from each other and from the central claim of the argument. </w:t>
      </w:r>
    </w:p>
    <w:p w:rsidR="00946230" w:rsidRDefault="00946230" w:rsidP="00946230">
      <w:pPr>
        <w:pStyle w:val="TA"/>
      </w:pPr>
      <w:r>
        <w:t>Explain to students that in the model text examined</w:t>
      </w:r>
      <w:r w:rsidR="00BD1D35">
        <w:t>,</w:t>
      </w:r>
      <w:r>
        <w:t xml:space="preserve"> the author </w:t>
      </w:r>
      <w:r w:rsidR="00F44564">
        <w:t>successfully includes a variety of perspectives to deepen the reader</w:t>
      </w:r>
      <w:r w:rsidR="00BF0207">
        <w:t>’</w:t>
      </w:r>
      <w:r w:rsidR="00F44564">
        <w:t>s understanding of the issue. Park also separates each perspective from both her writing and other presented perspectives by breaking up stated perspectives with paragraphs that provide valuable background information.</w:t>
      </w:r>
      <w:r w:rsidR="00E63B06">
        <w:t xml:space="preserve"> </w:t>
      </w:r>
      <w:r w:rsidR="00BD1D35">
        <w:t xml:space="preserve">As the text fulfills the criteria of this component, it should be considered present in the text and indicated as such with a check mark. </w:t>
      </w:r>
    </w:p>
    <w:p w:rsidR="00B97C63" w:rsidRDefault="00B97C63" w:rsidP="00B97C63">
      <w:pPr>
        <w:pStyle w:val="TA"/>
      </w:pPr>
      <w:r>
        <w:t xml:space="preserve">Model the comments section for students by filling in the comments box with a short statement that provides reasoning and examples that support the decision about whether or not this component is present in the text. </w:t>
      </w:r>
    </w:p>
    <w:p w:rsidR="00E63B06" w:rsidRDefault="00B97C63" w:rsidP="00CD397C">
      <w:pPr>
        <w:pStyle w:val="IN"/>
      </w:pPr>
      <w:r>
        <w:t xml:space="preserve"> </w:t>
      </w:r>
      <w:r w:rsidR="00CD397C">
        <w:t xml:space="preserve">Consider using the example above or the example from the model tool to show how to complete the Comments </w:t>
      </w:r>
      <w:r w:rsidR="00BF0207">
        <w:t>s</w:t>
      </w:r>
      <w:r w:rsidR="00CD397C">
        <w:t>ection of the tool.</w:t>
      </w:r>
    </w:p>
    <w:p w:rsidR="00946230" w:rsidRDefault="00946230" w:rsidP="00C96EA2">
      <w:pPr>
        <w:pStyle w:val="SA"/>
      </w:pPr>
      <w:r>
        <w:t xml:space="preserve">Students follow along. </w:t>
      </w:r>
    </w:p>
    <w:p w:rsidR="004B0C5F" w:rsidRDefault="00733250" w:rsidP="007D4463">
      <w:pPr>
        <w:pStyle w:val="TA"/>
      </w:pPr>
      <w:r>
        <w:t>Using this format</w:t>
      </w:r>
      <w:r w:rsidR="001868F1">
        <w:t>,</w:t>
      </w:r>
      <w:r>
        <w:t xml:space="preserve"> c</w:t>
      </w:r>
      <w:r w:rsidR="004B0C5F">
        <w:t xml:space="preserve">ontinue modeling the Evidence-Based Arguments Checklist using the </w:t>
      </w:r>
      <w:r w:rsidR="00BF0207">
        <w:t xml:space="preserve">Model Evidence-Based Arguments Checklist </w:t>
      </w:r>
      <w:r w:rsidR="004B0C5F">
        <w:t xml:space="preserve">at the end of this lesson. </w:t>
      </w:r>
    </w:p>
    <w:p w:rsidR="00733250" w:rsidRDefault="00733250" w:rsidP="007C1847">
      <w:pPr>
        <w:pStyle w:val="SA"/>
      </w:pPr>
      <w:r>
        <w:lastRenderedPageBreak/>
        <w:t xml:space="preserve">Students follow along. </w:t>
      </w:r>
    </w:p>
    <w:p w:rsidR="00A6157C" w:rsidRPr="00D26DD6" w:rsidRDefault="00CD397C" w:rsidP="007C1847">
      <w:pPr>
        <w:pStyle w:val="IN"/>
      </w:pPr>
      <w:r w:rsidRPr="00CD397C">
        <w:rPr>
          <w:b/>
        </w:rPr>
        <w:t>Differentiation Consideration:</w:t>
      </w:r>
      <w:r>
        <w:t xml:space="preserve"> </w:t>
      </w:r>
      <w:r w:rsidR="00A6157C">
        <w:t>Consider using the end of this section as an opportunity to field questions about the Evidence-</w:t>
      </w:r>
      <w:r w:rsidR="00654922">
        <w:t>B</w:t>
      </w:r>
      <w:r w:rsidR="00A6157C">
        <w:t xml:space="preserve">ased Arguments </w:t>
      </w:r>
      <w:r w:rsidR="00411B08">
        <w:t>C</w:t>
      </w:r>
      <w:r w:rsidR="00A6157C">
        <w:t>hecklist and check in with students to gauge understanding of the tool in preparation for the following activity.</w:t>
      </w:r>
    </w:p>
    <w:p w:rsidR="00707670" w:rsidRDefault="00707670" w:rsidP="00707670">
      <w:pPr>
        <w:pStyle w:val="LearningSequenceHeader"/>
      </w:pPr>
      <w:r>
        <w:t>Activity 5</w:t>
      </w:r>
      <w:r w:rsidR="003908A9">
        <w:t>: Finding Compelling Arguments</w:t>
      </w:r>
      <w:r w:rsidR="00AE6E58">
        <w:t xml:space="preserve"> and Assessment</w:t>
      </w:r>
      <w:r w:rsidR="00D97059">
        <w:tab/>
      </w:r>
      <w:r w:rsidR="00034661">
        <w:t>3</w:t>
      </w:r>
      <w:r w:rsidR="000669A2">
        <w:t>0</w:t>
      </w:r>
      <w:r w:rsidRPr="00707670">
        <w:t>%</w:t>
      </w:r>
    </w:p>
    <w:p w:rsidR="004B0C5F" w:rsidRDefault="004B0C5F" w:rsidP="00707670">
      <w:pPr>
        <w:pStyle w:val="TA"/>
      </w:pPr>
      <w:r>
        <w:t xml:space="preserve">Explain to students that they </w:t>
      </w:r>
      <w:r w:rsidR="008E251B">
        <w:t xml:space="preserve">are </w:t>
      </w:r>
      <w:r w:rsidR="00BF0207">
        <w:t xml:space="preserve">now </w:t>
      </w:r>
      <w:r w:rsidR="008E251B">
        <w:t xml:space="preserve">going to </w:t>
      </w:r>
      <w:r>
        <w:t>participate in an activity using the Evidence-Based Arguments Checklist. Students work in groups to evaluate</w:t>
      </w:r>
      <w:r w:rsidR="00302485">
        <w:t xml:space="preserve"> at least two</w:t>
      </w:r>
      <w:r>
        <w:t xml:space="preserve"> </w:t>
      </w:r>
      <w:r w:rsidR="001E509F">
        <w:t xml:space="preserve">posted arguments </w:t>
      </w:r>
      <w:r w:rsidR="008D5930">
        <w:t>by</w:t>
      </w:r>
      <w:r w:rsidR="001E509F">
        <w:t xml:space="preserve"> complet</w:t>
      </w:r>
      <w:r w:rsidR="008D5930">
        <w:t>ing</w:t>
      </w:r>
      <w:r w:rsidR="001E509F">
        <w:t xml:space="preserve"> </w:t>
      </w:r>
      <w:r w:rsidR="008D5930">
        <w:t xml:space="preserve">an </w:t>
      </w:r>
      <w:r w:rsidR="001E509F">
        <w:t>Evidence-Based Arguments Checklist</w:t>
      </w:r>
      <w:r w:rsidR="008D5930">
        <w:t>.</w:t>
      </w:r>
      <w:r w:rsidR="001E509F">
        <w:t xml:space="preserve"> </w:t>
      </w:r>
    </w:p>
    <w:p w:rsidR="003177AE" w:rsidRDefault="003177AE" w:rsidP="00707670">
      <w:pPr>
        <w:pStyle w:val="TA"/>
      </w:pPr>
      <w:r>
        <w:t xml:space="preserve">Post </w:t>
      </w:r>
      <w:r w:rsidR="00BF0207">
        <w:t>three to four</w:t>
      </w:r>
      <w:r>
        <w:t xml:space="preserve"> model arguments around the classroom for students to examine.</w:t>
      </w:r>
    </w:p>
    <w:p w:rsidR="00B0171F" w:rsidRDefault="00136D07" w:rsidP="00136D07">
      <w:pPr>
        <w:pStyle w:val="IN"/>
      </w:pPr>
      <w:r>
        <w:t>C</w:t>
      </w:r>
      <w:r w:rsidR="00226DFF">
        <w:t>onsider using the following</w:t>
      </w:r>
      <w:r>
        <w:t xml:space="preserve"> model arguments or find</w:t>
      </w:r>
      <w:r w:rsidR="00226DFF">
        <w:t>ing</w:t>
      </w:r>
      <w:r>
        <w:t xml:space="preserve"> additional arguments that are better suited to </w:t>
      </w:r>
      <w:r w:rsidR="001868F1">
        <w:t xml:space="preserve">students’ </w:t>
      </w:r>
      <w:r>
        <w:t xml:space="preserve">needs.  </w:t>
      </w:r>
    </w:p>
    <w:p w:rsidR="00B0171F" w:rsidRPr="002A1FA3" w:rsidRDefault="00B0171F" w:rsidP="00521B56">
      <w:pPr>
        <w:pStyle w:val="INBullet"/>
      </w:pPr>
      <w:r w:rsidRPr="00081E0E">
        <w:t xml:space="preserve">"Do </w:t>
      </w:r>
      <w:r w:rsidR="00674534" w:rsidRPr="00081E0E">
        <w:t>W</w:t>
      </w:r>
      <w:r w:rsidRPr="00C866A8">
        <w:t xml:space="preserve">e </w:t>
      </w:r>
      <w:r w:rsidR="00674534" w:rsidRPr="00C866A8">
        <w:t>O</w:t>
      </w:r>
      <w:r w:rsidRPr="00C866A8">
        <w:t xml:space="preserve">wn </w:t>
      </w:r>
      <w:r w:rsidR="00674534" w:rsidRPr="00C866A8">
        <w:t>O</w:t>
      </w:r>
      <w:r w:rsidRPr="00C866A8">
        <w:t xml:space="preserve">ur </w:t>
      </w:r>
      <w:r w:rsidR="00674534" w:rsidRPr="00C866A8">
        <w:t>B</w:t>
      </w:r>
      <w:r w:rsidRPr="00C866A8">
        <w:t xml:space="preserve">odily </w:t>
      </w:r>
      <w:r w:rsidR="00674534" w:rsidRPr="002A1FA3">
        <w:t>T</w:t>
      </w:r>
      <w:r w:rsidR="00136D07" w:rsidRPr="002A1FA3">
        <w:t>issues?</w:t>
      </w:r>
      <w:r w:rsidRPr="002A1FA3">
        <w:t>”</w:t>
      </w:r>
      <w:r w:rsidR="00CF306D" w:rsidRPr="002A1FA3">
        <w:t xml:space="preserve"> </w:t>
      </w:r>
      <w:r w:rsidR="00674534" w:rsidRPr="002A1FA3">
        <w:t xml:space="preserve">by </w:t>
      </w:r>
      <w:r w:rsidR="00CF306D" w:rsidRPr="002A1FA3">
        <w:t>Margaret Ng Thow Hing</w:t>
      </w:r>
      <w:r w:rsidR="005D2522" w:rsidRPr="002A1FA3">
        <w:t xml:space="preserve"> (</w:t>
      </w:r>
      <w:hyperlink r:id="rId13" w:history="1">
        <w:r w:rsidR="00521B56" w:rsidRPr="00463E2E">
          <w:rPr>
            <w:rStyle w:val="Hyperlink"/>
          </w:rPr>
          <w:t>http://www.voiceofsandiego.org/</w:t>
        </w:r>
      </w:hyperlink>
      <w:r w:rsidR="005D2522" w:rsidRPr="002A1FA3">
        <w:t>)</w:t>
      </w:r>
      <w:r w:rsidR="00521B56">
        <w:t xml:space="preserve"> </w:t>
      </w:r>
    </w:p>
    <w:p w:rsidR="00136D07" w:rsidRPr="00E01C06" w:rsidRDefault="00B0171F" w:rsidP="00521B56">
      <w:pPr>
        <w:pStyle w:val="INBullet"/>
      </w:pPr>
      <w:r w:rsidRPr="002A1FA3">
        <w:t>“</w:t>
      </w:r>
      <w:r w:rsidR="00CF306D" w:rsidRPr="002A1FA3">
        <w:t xml:space="preserve">Tissue Banks Trigger Worry About Ownership Issues” </w:t>
      </w:r>
      <w:r w:rsidR="00BB53DD" w:rsidRPr="002A1FA3">
        <w:t xml:space="preserve">by </w:t>
      </w:r>
      <w:r w:rsidR="00CF306D" w:rsidRPr="002A1FA3">
        <w:t>Charlie Schmidt</w:t>
      </w:r>
      <w:r w:rsidR="005D2522" w:rsidRPr="002A1FA3">
        <w:t xml:space="preserve"> (</w:t>
      </w:r>
      <w:hyperlink r:id="rId14" w:history="1">
        <w:r w:rsidR="00521B56" w:rsidRPr="00463E2E">
          <w:rPr>
            <w:rStyle w:val="Hyperlink"/>
          </w:rPr>
          <w:t>http://www.oxfordjournals.org/</w:t>
        </w:r>
      </w:hyperlink>
      <w:r w:rsidR="005D2522" w:rsidRPr="00E01C06">
        <w:t>)</w:t>
      </w:r>
      <w:r w:rsidR="00521B56">
        <w:t xml:space="preserve"> </w:t>
      </w:r>
    </w:p>
    <w:p w:rsidR="00B0171F" w:rsidRPr="00E01C06" w:rsidRDefault="00B0171F" w:rsidP="000016AD">
      <w:pPr>
        <w:pStyle w:val="INBullet"/>
      </w:pPr>
      <w:r w:rsidRPr="00E01C06">
        <w:t>“Body of Research - Ownership and Use of Human Tissue”</w:t>
      </w:r>
      <w:r w:rsidR="00CF306D" w:rsidRPr="00E01C06">
        <w:t xml:space="preserve"> </w:t>
      </w:r>
      <w:r w:rsidR="00BB53DD" w:rsidRPr="00E01C06">
        <w:t xml:space="preserve">by </w:t>
      </w:r>
      <w:r w:rsidR="00CF306D" w:rsidRPr="00E01C06">
        <w:t>R. Alta Charo</w:t>
      </w:r>
      <w:r w:rsidR="005D2522" w:rsidRPr="00E01C06">
        <w:t xml:space="preserve"> (</w:t>
      </w:r>
      <w:hyperlink r:id="rId15" w:history="1">
        <w:r w:rsidR="000016AD" w:rsidRPr="00463E2E">
          <w:rPr>
            <w:rStyle w:val="Hyperlink"/>
          </w:rPr>
          <w:t>http://www.nejm.org/</w:t>
        </w:r>
      </w:hyperlink>
      <w:r w:rsidR="005D2522" w:rsidRPr="00E01C06">
        <w:t>)</w:t>
      </w:r>
      <w:r w:rsidR="000016AD">
        <w:t xml:space="preserve"> </w:t>
      </w:r>
    </w:p>
    <w:p w:rsidR="00B0171F" w:rsidRDefault="00B0171F" w:rsidP="00521B56">
      <w:pPr>
        <w:pStyle w:val="INBullet"/>
      </w:pPr>
      <w:r w:rsidRPr="00E01C06">
        <w:t xml:space="preserve">“My </w:t>
      </w:r>
      <w:r w:rsidR="00E57225" w:rsidRPr="00E01C06">
        <w:t>B</w:t>
      </w:r>
      <w:r w:rsidRPr="00E01C06">
        <w:t xml:space="preserve">ody, </w:t>
      </w:r>
      <w:r w:rsidR="00BB53DD" w:rsidRPr="00E01C06">
        <w:t>M</w:t>
      </w:r>
      <w:r w:rsidRPr="00E01C06">
        <w:t xml:space="preserve">y </w:t>
      </w:r>
      <w:r w:rsidR="00BB53DD" w:rsidRPr="00E01C06">
        <w:t>P</w:t>
      </w:r>
      <w:r w:rsidRPr="00E01C06">
        <w:t xml:space="preserve">roperty” </w:t>
      </w:r>
      <w:r w:rsidR="00BB53DD" w:rsidRPr="00E01C06">
        <w:t xml:space="preserve">by </w:t>
      </w:r>
      <w:r w:rsidR="00CF306D" w:rsidRPr="00E01C06">
        <w:t>Lori B. Andrews</w:t>
      </w:r>
      <w:r w:rsidR="005D2522" w:rsidRPr="00E01C06">
        <w:t xml:space="preserve"> (</w:t>
      </w:r>
      <w:hyperlink r:id="rId16" w:history="1">
        <w:r w:rsidR="00521B56" w:rsidRPr="00463E2E">
          <w:rPr>
            <w:rStyle w:val="Hyperlink"/>
          </w:rPr>
          <w:t>http://chicagotribune.com/</w:t>
        </w:r>
      </w:hyperlink>
      <w:r w:rsidR="005D2522">
        <w:t>)</w:t>
      </w:r>
      <w:r w:rsidR="00521B56">
        <w:t xml:space="preserve"> </w:t>
      </w:r>
    </w:p>
    <w:p w:rsidR="00707670" w:rsidRDefault="00A67F5C" w:rsidP="00566BC0">
      <w:pPr>
        <w:pStyle w:val="TA"/>
      </w:pPr>
      <w:r>
        <w:t>Inform students that the following activity develop</w:t>
      </w:r>
      <w:r w:rsidR="008E251B">
        <w:t>s</w:t>
      </w:r>
      <w:r>
        <w:t xml:space="preserve"> their understanding of how to evaluate arguments</w:t>
      </w:r>
      <w:r w:rsidR="000669A2">
        <w:t xml:space="preserve"> by asking them to work in groups to e</w:t>
      </w:r>
      <w:r w:rsidR="003177AE">
        <w:t xml:space="preserve">xamine the posted arguments. </w:t>
      </w:r>
      <w:r w:rsidR="00327C7C">
        <w:t xml:space="preserve">Students examine the posted arguments and use </w:t>
      </w:r>
      <w:r w:rsidR="003177AE">
        <w:t>the Evidence-Based Arguments Checklist to evaluate these arguments. In addition</w:t>
      </w:r>
      <w:r w:rsidR="00CE0FAD">
        <w:t>,</w:t>
      </w:r>
      <w:r w:rsidR="003177AE">
        <w:t xml:space="preserve"> students should provide textual evidence for their judgment by including where they found evidence of the arguments</w:t>
      </w:r>
      <w:r w:rsidR="00174101">
        <w:t>’</w:t>
      </w:r>
      <w:r w:rsidR="003177AE">
        <w:t xml:space="preserve"> strengths</w:t>
      </w:r>
      <w:r w:rsidR="00CE0FAD">
        <w:t>/weaknesses</w:t>
      </w:r>
      <w:r w:rsidR="003177AE">
        <w:t xml:space="preserve"> in the comments section of the</w:t>
      </w:r>
      <w:r w:rsidR="00BF0207">
        <w:t xml:space="preserve"> Evidence-Based Arguments Checklist</w:t>
      </w:r>
      <w:r w:rsidR="003177AE">
        <w:t xml:space="preserve">. </w:t>
      </w:r>
    </w:p>
    <w:p w:rsidR="000669A2" w:rsidRDefault="000669A2" w:rsidP="000669A2">
      <w:pPr>
        <w:pStyle w:val="SA"/>
      </w:pPr>
      <w:r>
        <w:t>Students listen.</w:t>
      </w:r>
    </w:p>
    <w:p w:rsidR="000669A2" w:rsidRDefault="000669A2" w:rsidP="000669A2">
      <w:pPr>
        <w:pStyle w:val="IN"/>
      </w:pPr>
      <w:r>
        <w:t xml:space="preserve">Consider posting arguments that contain varying levels of sophistication </w:t>
      </w:r>
      <w:r w:rsidR="00174101">
        <w:t>with</w:t>
      </w:r>
      <w:r>
        <w:t xml:space="preserve"> regard to the Evide</w:t>
      </w:r>
      <w:r w:rsidR="00174101">
        <w:t>nce-Based Arguments Checklist (i</w:t>
      </w:r>
      <w:r>
        <w:t>.e.</w:t>
      </w:r>
      <w:r w:rsidR="00C919B3">
        <w:t>,</w:t>
      </w:r>
      <w:r>
        <w:t xml:space="preserve"> arguments that fail to provide a command of evidence or sufficient analysis.) </w:t>
      </w:r>
    </w:p>
    <w:p w:rsidR="000669A2" w:rsidRDefault="000669A2" w:rsidP="00707670">
      <w:pPr>
        <w:pStyle w:val="TA"/>
      </w:pPr>
      <w:r>
        <w:t xml:space="preserve">Designate </w:t>
      </w:r>
      <w:r w:rsidR="00BF0207">
        <w:t>four to five</w:t>
      </w:r>
      <w:r>
        <w:t xml:space="preserve"> students per group for this activity. </w:t>
      </w:r>
      <w:r w:rsidR="0023066D">
        <w:t>Assign each group a posted argument</w:t>
      </w:r>
      <w:r w:rsidR="00BF0207">
        <w:t xml:space="preserve"> and then</w:t>
      </w:r>
      <w:r w:rsidR="00FC43AA">
        <w:t xml:space="preserve"> instruct each group</w:t>
      </w:r>
      <w:r w:rsidR="004B0C5F">
        <w:t xml:space="preserve"> </w:t>
      </w:r>
      <w:r w:rsidR="00FC43AA">
        <w:t xml:space="preserve">to </w:t>
      </w:r>
      <w:r w:rsidR="004B0C5F">
        <w:t xml:space="preserve">move clockwise after the first half of this activity to examine the next model argument. </w:t>
      </w:r>
      <w:r w:rsidR="00302485">
        <w:t>Each group evaluate</w:t>
      </w:r>
      <w:r w:rsidR="004D29F1">
        <w:t>s</w:t>
      </w:r>
      <w:r w:rsidR="00302485">
        <w:t xml:space="preserve"> two posted arguments. </w:t>
      </w:r>
      <w:r>
        <w:t>Using the Evidence-Based Arguments Checklist</w:t>
      </w:r>
      <w:r w:rsidR="00476B94">
        <w:t>,</w:t>
      </w:r>
      <w:r>
        <w:t xml:space="preserve"> each student group should </w:t>
      </w:r>
      <w:r w:rsidR="003177AE">
        <w:t xml:space="preserve">discuss the different arguments and collaborate to discover the strengths and weaknesses of each argument. </w:t>
      </w:r>
    </w:p>
    <w:p w:rsidR="000669A2" w:rsidRDefault="00302485" w:rsidP="000669A2">
      <w:pPr>
        <w:pStyle w:val="SA"/>
      </w:pPr>
      <w:r>
        <w:lastRenderedPageBreak/>
        <w:t xml:space="preserve">Student groups </w:t>
      </w:r>
      <w:r w:rsidR="000669A2">
        <w:t>complete the Evidence-Based Arguments Checklist</w:t>
      </w:r>
      <w:r>
        <w:t xml:space="preserve"> by circulating and evaluating at least two</w:t>
      </w:r>
      <w:r w:rsidR="003F16B1">
        <w:t xml:space="preserve"> posted argument</w:t>
      </w:r>
      <w:r>
        <w:t>s</w:t>
      </w:r>
      <w:r w:rsidR="003F16B1">
        <w:t xml:space="preserve">. </w:t>
      </w:r>
    </w:p>
    <w:p w:rsidR="00327C7C" w:rsidRDefault="00327C7C" w:rsidP="00327C7C">
      <w:pPr>
        <w:pStyle w:val="IN"/>
      </w:pPr>
      <w:r>
        <w:t xml:space="preserve">Consider circulating during this activity to </w:t>
      </w:r>
      <w:r w:rsidR="00174101">
        <w:t xml:space="preserve">offer support </w:t>
      </w:r>
      <w:r>
        <w:t xml:space="preserve">and provide answers to any clarifying questions. </w:t>
      </w:r>
    </w:p>
    <w:p w:rsidR="003F1B40" w:rsidRDefault="003F1B40" w:rsidP="003F1B40">
      <w:pPr>
        <w:pStyle w:val="IN"/>
      </w:pPr>
      <w:r>
        <w:t xml:space="preserve">Remind students that evaluating arguments is also part of the research aspect of W.9-10.7. </w:t>
      </w:r>
    </w:p>
    <w:p w:rsidR="00A03EBB" w:rsidRDefault="00A03EBB" w:rsidP="00E01C06">
      <w:pPr>
        <w:pStyle w:val="IN"/>
      </w:pPr>
      <w:r w:rsidRPr="00BF0207">
        <w:t>Consider reminding students of their previous work with standard SL.9-10.1, which requires that students participate in collaborative discussions, building on each other’s ideas and expressing their own clearly and persuasively.</w:t>
      </w:r>
    </w:p>
    <w:p w:rsidR="0089349F" w:rsidRPr="00707670" w:rsidRDefault="0089349F" w:rsidP="007D4463">
      <w:pPr>
        <w:pStyle w:val="BR"/>
      </w:pPr>
    </w:p>
    <w:p w:rsidR="0089349F" w:rsidRDefault="0089349F" w:rsidP="007D4463">
      <w:pPr>
        <w:pStyle w:val="TA"/>
      </w:pPr>
      <w:r>
        <w:t xml:space="preserve">Inform students that they should </w:t>
      </w:r>
      <w:r w:rsidR="0023066D">
        <w:t xml:space="preserve">complete an Evidence-Based Arguments Checklist for </w:t>
      </w:r>
      <w:r w:rsidR="001E509F">
        <w:t>each of their two assigned</w:t>
      </w:r>
      <w:r w:rsidR="0023066D">
        <w:t xml:space="preserve"> arguments</w:t>
      </w:r>
      <w:r w:rsidR="00BF0207">
        <w:t xml:space="preserve"> and turn them in a</w:t>
      </w:r>
      <w:r>
        <w:t xml:space="preserve">t the end of the lesson. </w:t>
      </w:r>
    </w:p>
    <w:p w:rsidR="0089349F" w:rsidRDefault="003B0DD9" w:rsidP="007D4463">
      <w:pPr>
        <w:pStyle w:val="IN"/>
      </w:pPr>
      <w:r w:rsidRPr="00566BC0">
        <w:rPr>
          <w:b/>
        </w:rPr>
        <w:t>Differentiation Consideration:</w:t>
      </w:r>
      <w:r>
        <w:t xml:space="preserve"> </w:t>
      </w:r>
      <w:r w:rsidR="0089349F">
        <w:t>Depending on the</w:t>
      </w:r>
      <w:r>
        <w:t xml:space="preserve"> skill</w:t>
      </w:r>
      <w:r w:rsidR="0089349F">
        <w:t xml:space="preserve"> level of </w:t>
      </w:r>
      <w:r>
        <w:t xml:space="preserve">the students, </w:t>
      </w:r>
      <w:r w:rsidR="0089349F">
        <w:t>consider adjusting the number of</w:t>
      </w:r>
      <w:r w:rsidR="0023066D">
        <w:t xml:space="preserve"> </w:t>
      </w:r>
      <w:r>
        <w:t>argument evaluations</w:t>
      </w:r>
      <w:r w:rsidR="0023066D">
        <w:t xml:space="preserve"> required for this lesson assessment</w:t>
      </w:r>
      <w:r w:rsidR="009316C1">
        <w:t xml:space="preserve"> or assigning </w:t>
      </w:r>
      <w:r w:rsidR="004B0C5F">
        <w:t xml:space="preserve">specific model </w:t>
      </w:r>
      <w:r w:rsidR="00517A89">
        <w:t>arguments</w:t>
      </w:r>
      <w:r w:rsidR="004B0C5F">
        <w:t xml:space="preserve"> to specific groups.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E17958" w:rsidRPr="00BF0207" w:rsidRDefault="0062300F">
      <w:pPr>
        <w:pStyle w:val="TA"/>
      </w:pPr>
      <w:r w:rsidRPr="00BF0207">
        <w:t>Display and distribute the homework assignment. For homework, instruct students to</w:t>
      </w:r>
      <w:r w:rsidR="00FC5A41" w:rsidRPr="00BF0207">
        <w:t xml:space="preserve"> find two potential sources and evaluate the arguments in the sources by using </w:t>
      </w:r>
      <w:r w:rsidR="00A026A2" w:rsidRPr="00BF0207">
        <w:t>the Evi</w:t>
      </w:r>
      <w:r w:rsidR="00FC5A41" w:rsidRPr="00BF0207">
        <w:t xml:space="preserve">dence-Based Arguments Checklist. </w:t>
      </w:r>
      <w:r w:rsidR="006E18C9" w:rsidRPr="00BF0207">
        <w:t xml:space="preserve">Ask </w:t>
      </w:r>
      <w:r w:rsidR="0089349F" w:rsidRPr="00BF0207">
        <w:t xml:space="preserve">students to </w:t>
      </w:r>
      <w:r w:rsidR="00FC5A41" w:rsidRPr="00BF0207">
        <w:t>i</w:t>
      </w:r>
      <w:r w:rsidR="0089349F" w:rsidRPr="00BF0207">
        <w:t xml:space="preserve">nclude detailed </w:t>
      </w:r>
      <w:r w:rsidR="003852F1" w:rsidRPr="00BF0207">
        <w:t xml:space="preserve">comments and textual evidence </w:t>
      </w:r>
      <w:r w:rsidR="0089349F" w:rsidRPr="00BF0207">
        <w:t>to support their choices in the comments section of the Evidence-Based Arguments Checklist</w:t>
      </w:r>
      <w:r w:rsidR="00FC5A41" w:rsidRPr="00BF0207">
        <w:t xml:space="preserve"> for each potential source.</w:t>
      </w:r>
    </w:p>
    <w:p w:rsidR="0062300F" w:rsidRDefault="0062300F" w:rsidP="00E17958">
      <w:pPr>
        <w:pStyle w:val="SA"/>
      </w:pPr>
      <w:r>
        <w:t xml:space="preserve">Students </w:t>
      </w:r>
      <w:r w:rsidR="00517A89">
        <w:t>follow along</w:t>
      </w:r>
      <w:r>
        <w:t>.</w:t>
      </w:r>
    </w:p>
    <w:p w:rsidR="00252A56" w:rsidRPr="00F909E0" w:rsidRDefault="00252A56" w:rsidP="00252A56">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through </w:t>
      </w:r>
      <w:hyperlink r:id="rId17" w:tgtFrame="_blank" w:history="1">
        <w:r w:rsidRPr="000844F1">
          <w:rPr>
            <w:rStyle w:val="TAChar"/>
          </w:rPr>
          <w:t>http://novelnewyork.org/</w:t>
        </w:r>
      </w:hyperlink>
      <w:r>
        <w:t xml:space="preserve"> such as Grolier, Gale, and ProQuest; these databases allow searches by subject/keyword and students may filter the searches so that only texts within certain Lexile ranges are returned. Consider collaborating with a librarian or media specialist to access these databases and create filtered searches that support students’ reading levels.</w:t>
      </w:r>
    </w:p>
    <w:p w:rsidR="00C4787C" w:rsidRDefault="00C4787C" w:rsidP="00E946A0">
      <w:pPr>
        <w:pStyle w:val="Heading1"/>
      </w:pPr>
      <w:r>
        <w:t>Homework</w:t>
      </w:r>
    </w:p>
    <w:p w:rsidR="00BE4AA7" w:rsidRDefault="00FC5A41" w:rsidP="003908A9">
      <w:pPr>
        <w:sectPr w:rsidR="00BE4AA7" w:rsidSect="004713C2">
          <w:headerReference w:type="default" r:id="rId18"/>
          <w:footerReference w:type="even" r:id="rId19"/>
          <w:footerReference w:type="default" r:id="rId20"/>
          <w:pgSz w:w="12240" w:h="15840"/>
          <w:pgMar w:top="1440" w:right="1440" w:bottom="1440" w:left="1440" w:header="432" w:footer="648" w:gutter="0"/>
          <w:cols w:space="720"/>
          <w:docGrid w:linePitch="299"/>
        </w:sectPr>
      </w:pPr>
      <w:r w:rsidRPr="00566BC0">
        <w:t>Find two potential sources and evaluate the arguments in the sources by using the Evidence-Based Arguments Checklist. Include detailed comments and textual evidence to support your choices in the comments section of the Evidence-Based Arguments Checklist for each potential source</w:t>
      </w:r>
      <w:r w:rsidR="005F1875">
        <w:t>.</w:t>
      </w:r>
    </w:p>
    <w:p w:rsidR="00BE4AA7" w:rsidRDefault="00BE4AA7" w:rsidP="00BE4AA7">
      <w:pPr>
        <w:pStyle w:val="ToolHeader"/>
      </w:pPr>
      <w:r w:rsidRPr="00BE4AA7">
        <w:lastRenderedPageBreak/>
        <w:t>Evidence-Based Arguments Checklist</w:t>
      </w:r>
      <w:r>
        <w:t xml:space="preserve"> </w:t>
      </w:r>
    </w:p>
    <w:tbl>
      <w:tblPr>
        <w:tblStyle w:val="TableGrid"/>
        <w:tblW w:w="0" w:type="auto"/>
        <w:tblLook w:val="04A0"/>
      </w:tblPr>
      <w:tblGrid>
        <w:gridCol w:w="1137"/>
        <w:gridCol w:w="3863"/>
        <w:gridCol w:w="1015"/>
        <w:gridCol w:w="4222"/>
        <w:gridCol w:w="998"/>
        <w:gridCol w:w="1904"/>
      </w:tblGrid>
      <w:tr w:rsidR="00BE4AA7" w:rsidRPr="00707670" w:rsidTr="00D01757">
        <w:trPr>
          <w:trHeight w:val="516"/>
        </w:trPr>
        <w:tc>
          <w:tcPr>
            <w:tcW w:w="1137" w:type="dxa"/>
            <w:shd w:val="clear" w:color="auto" w:fill="D9D9D9" w:themeFill="background1" w:themeFillShade="D9"/>
            <w:vAlign w:val="center"/>
          </w:tcPr>
          <w:p w:rsidR="00BE4AA7" w:rsidRPr="00707670" w:rsidRDefault="00BE4AA7" w:rsidP="00BE4AA7">
            <w:pPr>
              <w:pStyle w:val="TableText"/>
              <w:rPr>
                <w:b/>
              </w:rPr>
            </w:pPr>
            <w:r w:rsidRPr="00707670">
              <w:rPr>
                <w:b/>
              </w:rPr>
              <w:t>Name:</w:t>
            </w:r>
          </w:p>
        </w:tc>
        <w:tc>
          <w:tcPr>
            <w:tcW w:w="3863" w:type="dxa"/>
            <w:vAlign w:val="center"/>
          </w:tcPr>
          <w:p w:rsidR="00BE4AA7" w:rsidRPr="00707670" w:rsidRDefault="00BE4AA7" w:rsidP="00BE4AA7">
            <w:pPr>
              <w:pStyle w:val="TableText"/>
              <w:rPr>
                <w:b/>
              </w:rPr>
            </w:pPr>
          </w:p>
        </w:tc>
        <w:tc>
          <w:tcPr>
            <w:tcW w:w="1015" w:type="dxa"/>
            <w:shd w:val="clear" w:color="auto" w:fill="D9D9D9" w:themeFill="background1" w:themeFillShade="D9"/>
            <w:vAlign w:val="center"/>
          </w:tcPr>
          <w:p w:rsidR="00BE4AA7" w:rsidRPr="00707670" w:rsidRDefault="00BE4AA7" w:rsidP="00BE4AA7">
            <w:pPr>
              <w:pStyle w:val="TableText"/>
              <w:rPr>
                <w:b/>
              </w:rPr>
            </w:pPr>
            <w:r w:rsidRPr="00707670">
              <w:rPr>
                <w:b/>
              </w:rPr>
              <w:t>Class:</w:t>
            </w:r>
          </w:p>
        </w:tc>
        <w:tc>
          <w:tcPr>
            <w:tcW w:w="4222" w:type="dxa"/>
            <w:vAlign w:val="center"/>
          </w:tcPr>
          <w:p w:rsidR="00BE4AA7" w:rsidRPr="00707670" w:rsidRDefault="00BE4AA7" w:rsidP="00BE4AA7">
            <w:pPr>
              <w:pStyle w:val="TableText"/>
              <w:rPr>
                <w:b/>
              </w:rPr>
            </w:pPr>
          </w:p>
        </w:tc>
        <w:tc>
          <w:tcPr>
            <w:tcW w:w="998" w:type="dxa"/>
            <w:shd w:val="clear" w:color="auto" w:fill="D9D9D9" w:themeFill="background1" w:themeFillShade="D9"/>
            <w:vAlign w:val="center"/>
          </w:tcPr>
          <w:p w:rsidR="00BE4AA7" w:rsidRPr="00707670" w:rsidRDefault="00BE4AA7" w:rsidP="00BE4AA7">
            <w:pPr>
              <w:pStyle w:val="TableText"/>
              <w:rPr>
                <w:b/>
              </w:rPr>
            </w:pPr>
            <w:r w:rsidRPr="00707670">
              <w:rPr>
                <w:b/>
              </w:rPr>
              <w:t>Date:</w:t>
            </w:r>
          </w:p>
        </w:tc>
        <w:tc>
          <w:tcPr>
            <w:tcW w:w="1904" w:type="dxa"/>
            <w:vAlign w:val="center"/>
          </w:tcPr>
          <w:p w:rsidR="00BE4AA7" w:rsidRPr="00707670" w:rsidRDefault="00BE4AA7" w:rsidP="00BE4AA7">
            <w:pPr>
              <w:pStyle w:val="TableText"/>
              <w:rPr>
                <w:b/>
              </w:rPr>
            </w:pPr>
          </w:p>
        </w:tc>
      </w:tr>
    </w:tbl>
    <w:p w:rsidR="00BE4AA7" w:rsidRPr="00646088" w:rsidRDefault="00BE4AA7" w:rsidP="00BE4AA7">
      <w:pPr>
        <w:spacing w:before="0" w:after="0"/>
        <w:rPr>
          <w:sz w:val="10"/>
        </w:rPr>
      </w:pPr>
    </w:p>
    <w:tbl>
      <w:tblPr>
        <w:tblStyle w:val="TableGrid"/>
        <w:tblW w:w="13133" w:type="dxa"/>
        <w:tblLayout w:type="fixed"/>
        <w:tblLook w:val="04A0"/>
      </w:tblPr>
      <w:tblGrid>
        <w:gridCol w:w="2251"/>
        <w:gridCol w:w="3534"/>
        <w:gridCol w:w="443"/>
        <w:gridCol w:w="6905"/>
      </w:tblGrid>
      <w:tr w:rsidR="00286DEC" w:rsidRPr="00646088" w:rsidTr="00553BA1">
        <w:trPr>
          <w:trHeight w:val="144"/>
        </w:trPr>
        <w:tc>
          <w:tcPr>
            <w:tcW w:w="2251" w:type="dxa"/>
            <w:shd w:val="clear" w:color="auto" w:fill="D9D9D9" w:themeFill="background1" w:themeFillShade="D9"/>
          </w:tcPr>
          <w:p w:rsidR="00BE4AA7" w:rsidRPr="00646088" w:rsidRDefault="00BE4AA7" w:rsidP="00BE4AA7">
            <w:pPr>
              <w:pStyle w:val="ToolTableText"/>
              <w:rPr>
                <w:b/>
              </w:rPr>
            </w:pPr>
            <w:r>
              <w:rPr>
                <w:b/>
              </w:rPr>
              <w:t>Argument Sections</w:t>
            </w:r>
          </w:p>
        </w:tc>
        <w:tc>
          <w:tcPr>
            <w:tcW w:w="3534" w:type="dxa"/>
            <w:shd w:val="clear" w:color="auto" w:fill="D9D9D9" w:themeFill="background1" w:themeFillShade="D9"/>
          </w:tcPr>
          <w:p w:rsidR="00BE4AA7" w:rsidRPr="00646088" w:rsidRDefault="00BE4AA7" w:rsidP="00BE4AA7">
            <w:pPr>
              <w:pStyle w:val="ToolTableText"/>
              <w:rPr>
                <w:b/>
              </w:rPr>
            </w:pPr>
            <w:r>
              <w:rPr>
                <w:b/>
              </w:rPr>
              <w:t>Section Components</w:t>
            </w:r>
          </w:p>
        </w:tc>
        <w:tc>
          <w:tcPr>
            <w:tcW w:w="443" w:type="dxa"/>
            <w:shd w:val="clear" w:color="auto" w:fill="D9D9D9" w:themeFill="background1" w:themeFillShade="D9"/>
          </w:tcPr>
          <w:p w:rsidR="00BE4AA7" w:rsidRPr="00553BA1" w:rsidRDefault="00553BA1" w:rsidP="00553BA1">
            <w:pPr>
              <w:pStyle w:val="ToolTableText"/>
              <w:rPr>
                <w:b/>
              </w:rPr>
            </w:pPr>
            <w:r w:rsidRPr="00553BA1">
              <w:rPr>
                <w:rFonts w:ascii="MS Gothic" w:eastAsia="MS Gothic" w:hAnsi="MS Gothic" w:hint="eastAsia"/>
                <w:b/>
              </w:rPr>
              <w:t>☐</w:t>
            </w:r>
          </w:p>
        </w:tc>
        <w:tc>
          <w:tcPr>
            <w:tcW w:w="6905" w:type="dxa"/>
            <w:shd w:val="clear" w:color="auto" w:fill="D9D9D9" w:themeFill="background1" w:themeFillShade="D9"/>
          </w:tcPr>
          <w:p w:rsidR="00BE4AA7" w:rsidRDefault="00BE4AA7" w:rsidP="00BE4AA7">
            <w:pPr>
              <w:pStyle w:val="ToolTableText"/>
              <w:rPr>
                <w:b/>
              </w:rPr>
            </w:pPr>
            <w:r>
              <w:rPr>
                <w:b/>
              </w:rPr>
              <w:t>Comments</w:t>
            </w:r>
          </w:p>
        </w:tc>
      </w:tr>
      <w:tr w:rsidR="00286DEC" w:rsidTr="00553BA1">
        <w:trPr>
          <w:trHeight w:val="144"/>
        </w:trPr>
        <w:tc>
          <w:tcPr>
            <w:tcW w:w="2251" w:type="dxa"/>
            <w:vMerge w:val="restart"/>
          </w:tcPr>
          <w:p w:rsidR="00286DEC" w:rsidRPr="00CE1E66" w:rsidRDefault="00286DEC" w:rsidP="00CE1E66">
            <w:pPr>
              <w:pStyle w:val="ToolTableText"/>
              <w:rPr>
                <w:b/>
              </w:rPr>
            </w:pPr>
            <w:r w:rsidRPr="00CE1E66">
              <w:rPr>
                <w:b/>
              </w:rPr>
              <w:t>Content and Analysis</w:t>
            </w:r>
          </w:p>
        </w:tc>
        <w:tc>
          <w:tcPr>
            <w:tcW w:w="3534" w:type="dxa"/>
          </w:tcPr>
          <w:p w:rsidR="00286DEC" w:rsidRPr="00286DEC" w:rsidRDefault="00286DEC" w:rsidP="000923E6">
            <w:pPr>
              <w:pStyle w:val="ToolTableText"/>
              <w:rPr>
                <w:b/>
              </w:rPr>
            </w:pPr>
            <w:r w:rsidRPr="00286DEC">
              <w:rPr>
                <w:b/>
              </w:rPr>
              <w:t>Clarity and Relevance:</w:t>
            </w:r>
            <w:r w:rsidR="00423612">
              <w:rPr>
                <w:b/>
              </w:rPr>
              <w:t xml:space="preserve"> </w:t>
            </w:r>
            <w:r w:rsidR="00423612" w:rsidRPr="00423612">
              <w:t xml:space="preserve">Purposefully states a </w:t>
            </w:r>
            <w:r w:rsidR="00423612">
              <w:t xml:space="preserve">central claim </w:t>
            </w:r>
            <w:r w:rsidR="00423612" w:rsidRPr="00423612">
              <w:t>that is linked to a clearly identified context (topic, problem, issue) that establishes its relevance.</w:t>
            </w:r>
          </w:p>
        </w:tc>
        <w:tc>
          <w:tcPr>
            <w:tcW w:w="443" w:type="dxa"/>
          </w:tcPr>
          <w:p w:rsidR="00286DEC" w:rsidRDefault="00423612"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tcPr>
          <w:p w:rsidR="00286DEC" w:rsidRDefault="00286DEC" w:rsidP="00BE4AA7">
            <w:pPr>
              <w:pStyle w:val="ToolTableText"/>
            </w:pPr>
          </w:p>
        </w:tc>
        <w:tc>
          <w:tcPr>
            <w:tcW w:w="3534" w:type="dxa"/>
          </w:tcPr>
          <w:p w:rsidR="00286DEC" w:rsidRPr="00286DEC" w:rsidRDefault="00286DEC" w:rsidP="000923E6">
            <w:pPr>
              <w:pStyle w:val="ToolTableText"/>
              <w:rPr>
                <w:b/>
              </w:rPr>
            </w:pPr>
            <w:r w:rsidRPr="00286DEC">
              <w:rPr>
                <w:b/>
              </w:rPr>
              <w:t>Conformity to Sources:</w:t>
            </w:r>
            <w:r w:rsidR="00423612">
              <w:rPr>
                <w:b/>
              </w:rPr>
              <w:t xml:space="preserve"> </w:t>
            </w:r>
            <w:r w:rsidR="00423612">
              <w:t>Presents a perspective</w:t>
            </w:r>
            <w:r w:rsidR="00423612" w:rsidRPr="00423612">
              <w:t xml:space="preserve"> that arises from ideas and evidence found in a range of diverse, credible</w:t>
            </w:r>
            <w:r w:rsidR="004461E5">
              <w:t>,</w:t>
            </w:r>
            <w:r w:rsidR="00423612" w:rsidRPr="00423612">
              <w:t xml:space="preserve"> and significant sources.</w:t>
            </w:r>
          </w:p>
        </w:tc>
        <w:tc>
          <w:tcPr>
            <w:tcW w:w="443" w:type="dxa"/>
          </w:tcPr>
          <w:p w:rsidR="00286DEC" w:rsidRDefault="00423612"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tcPr>
          <w:p w:rsidR="00286DEC" w:rsidRDefault="00286DEC" w:rsidP="00BE4AA7">
            <w:pPr>
              <w:pStyle w:val="ToolTableText"/>
            </w:pPr>
          </w:p>
        </w:tc>
        <w:tc>
          <w:tcPr>
            <w:tcW w:w="3534" w:type="dxa"/>
          </w:tcPr>
          <w:p w:rsidR="00286DEC" w:rsidRPr="00286DEC" w:rsidRDefault="00286DEC" w:rsidP="000923E6">
            <w:pPr>
              <w:pStyle w:val="ToolTableText"/>
              <w:rPr>
                <w:b/>
              </w:rPr>
            </w:pPr>
            <w:r w:rsidRPr="00286DEC">
              <w:rPr>
                <w:b/>
              </w:rPr>
              <w:t>Understanding of the Issue</w:t>
            </w:r>
            <w:r w:rsidR="00423612">
              <w:rPr>
                <w:b/>
              </w:rPr>
              <w:t xml:space="preserve">: </w:t>
            </w:r>
            <w:r w:rsidR="00423612">
              <w:t>Presents a perspective</w:t>
            </w:r>
            <w:r w:rsidR="00423612" w:rsidRPr="00423612">
              <w:t xml:space="preserve"> based on a comprehensive understanding of the issue, and establishes a series of valid claims that emerge from reasoned analysis.</w:t>
            </w:r>
          </w:p>
        </w:tc>
        <w:tc>
          <w:tcPr>
            <w:tcW w:w="443" w:type="dxa"/>
          </w:tcPr>
          <w:p w:rsidR="00286DEC" w:rsidRDefault="00423612"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tcPr>
          <w:p w:rsidR="00286DEC" w:rsidRDefault="00286DEC" w:rsidP="00BE4AA7">
            <w:pPr>
              <w:pStyle w:val="ToolTableText"/>
            </w:pPr>
          </w:p>
        </w:tc>
        <w:tc>
          <w:tcPr>
            <w:tcW w:w="3534" w:type="dxa"/>
          </w:tcPr>
          <w:p w:rsidR="00286DEC" w:rsidRPr="00286DEC" w:rsidRDefault="00286DEC" w:rsidP="000923E6">
            <w:pPr>
              <w:pStyle w:val="ToolTableText"/>
              <w:rPr>
                <w:b/>
              </w:rPr>
            </w:pPr>
            <w:r w:rsidRPr="00286DEC">
              <w:rPr>
                <w:b/>
              </w:rPr>
              <w:t>Acknowledgement of Other Perspectives:</w:t>
            </w:r>
            <w:r w:rsidRPr="00423612">
              <w:t xml:space="preserve"> </w:t>
            </w:r>
            <w:r w:rsidR="00423612" w:rsidRPr="00423612">
              <w:t>Recognizes opposing or alternate claims and distinguishes these claims from the stated p</w:t>
            </w:r>
            <w:r w:rsidR="00423612">
              <w:t>erspective.</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val="restart"/>
          </w:tcPr>
          <w:p w:rsidR="00286DEC" w:rsidRPr="00CE1E66" w:rsidRDefault="00286DEC" w:rsidP="00CE1E66">
            <w:pPr>
              <w:pStyle w:val="ToolTableText"/>
              <w:rPr>
                <w:b/>
              </w:rPr>
            </w:pPr>
            <w:r w:rsidRPr="00CE1E66">
              <w:rPr>
                <w:b/>
              </w:rPr>
              <w:lastRenderedPageBreak/>
              <w:t>Command of Evidence</w:t>
            </w:r>
          </w:p>
        </w:tc>
        <w:tc>
          <w:tcPr>
            <w:tcW w:w="3534" w:type="dxa"/>
          </w:tcPr>
          <w:p w:rsidR="00286DEC" w:rsidRPr="00286DEC" w:rsidRDefault="00286DEC" w:rsidP="000923E6">
            <w:pPr>
              <w:pStyle w:val="ToolTableText"/>
              <w:rPr>
                <w:b/>
              </w:rPr>
            </w:pPr>
            <w:r w:rsidRPr="00286DEC">
              <w:rPr>
                <w:b/>
              </w:rPr>
              <w:t>Reasoning:</w:t>
            </w:r>
            <w:r w:rsidR="00423612">
              <w:rPr>
                <w:b/>
              </w:rPr>
              <w:t xml:space="preserve"> </w:t>
            </w:r>
            <w:r w:rsidR="00423612" w:rsidRPr="00423612">
              <w:t>Links evidence and claims together logically in ways that lead to the conclusions expressed in the c</w:t>
            </w:r>
            <w:r w:rsidR="00423612">
              <w:t>entral claim</w:t>
            </w:r>
            <w:r w:rsidR="002E477A">
              <w:t>.</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tcPr>
          <w:p w:rsidR="00286DEC" w:rsidRDefault="00286DEC" w:rsidP="00BE4AA7">
            <w:pPr>
              <w:pStyle w:val="ToolTableText"/>
            </w:pPr>
          </w:p>
        </w:tc>
        <w:tc>
          <w:tcPr>
            <w:tcW w:w="3534" w:type="dxa"/>
          </w:tcPr>
          <w:p w:rsidR="00286DEC" w:rsidRPr="00286DEC" w:rsidRDefault="00286DEC" w:rsidP="000923E6">
            <w:pPr>
              <w:pStyle w:val="ToolTableText"/>
              <w:rPr>
                <w:b/>
              </w:rPr>
            </w:pPr>
            <w:r w:rsidRPr="00286DEC">
              <w:rPr>
                <w:b/>
              </w:rPr>
              <w:t>Use of Evidence:</w:t>
            </w:r>
            <w:r w:rsidR="00423612">
              <w:rPr>
                <w:b/>
              </w:rPr>
              <w:t xml:space="preserve"> </w:t>
            </w:r>
            <w:r w:rsidR="00423612" w:rsidRPr="00423612">
              <w:t xml:space="preserve">Supports </w:t>
            </w:r>
            <w:r w:rsidR="00423612">
              <w:t xml:space="preserve">the central claim and </w:t>
            </w:r>
            <w:r w:rsidR="00423612" w:rsidRPr="00423612">
              <w:t xml:space="preserve">each </w:t>
            </w:r>
            <w:r w:rsidR="00423612">
              <w:t xml:space="preserve">supporting </w:t>
            </w:r>
            <w:r w:rsidR="00423612" w:rsidRPr="00423612">
              <w:t>claim with valid inferences based on credible evidence.</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tcPr>
          <w:p w:rsidR="00286DEC" w:rsidRDefault="00286DEC" w:rsidP="00BE4AA7">
            <w:pPr>
              <w:pStyle w:val="ToolTableText"/>
            </w:pPr>
          </w:p>
        </w:tc>
        <w:tc>
          <w:tcPr>
            <w:tcW w:w="3534" w:type="dxa"/>
          </w:tcPr>
          <w:p w:rsidR="00286DEC" w:rsidRPr="00286DEC" w:rsidRDefault="00286DEC" w:rsidP="000923E6">
            <w:pPr>
              <w:pStyle w:val="ToolTableText"/>
              <w:rPr>
                <w:b/>
              </w:rPr>
            </w:pPr>
            <w:r w:rsidRPr="00286DEC">
              <w:rPr>
                <w:b/>
              </w:rPr>
              <w:t>Thoroughness and Objectivity:</w:t>
            </w:r>
            <w:r w:rsidR="00423612">
              <w:rPr>
                <w:b/>
              </w:rPr>
              <w:t xml:space="preserve"> </w:t>
            </w:r>
            <w:r w:rsidR="00423612" w:rsidRPr="00423612">
              <w:t>Represents a comprehensive understanding of the issue where the argument’s claims and supporting evidence fairly addresses relevant counterclaims and discusses conflicting evidence.</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553BA1">
        <w:trPr>
          <w:trHeight w:val="144"/>
        </w:trPr>
        <w:tc>
          <w:tcPr>
            <w:tcW w:w="2251" w:type="dxa"/>
            <w:vMerge w:val="restart"/>
          </w:tcPr>
          <w:p w:rsidR="00286DEC" w:rsidRPr="00CE1E66" w:rsidRDefault="00286DEC" w:rsidP="00CE1E66">
            <w:pPr>
              <w:pStyle w:val="ToolTableText"/>
              <w:rPr>
                <w:b/>
              </w:rPr>
            </w:pPr>
            <w:r w:rsidRPr="00CE1E66">
              <w:rPr>
                <w:b/>
              </w:rPr>
              <w:t>Coherence and Organization</w:t>
            </w:r>
          </w:p>
        </w:tc>
        <w:tc>
          <w:tcPr>
            <w:tcW w:w="3534" w:type="dxa"/>
          </w:tcPr>
          <w:p w:rsidR="00286DEC" w:rsidRPr="00286DEC" w:rsidRDefault="00286DEC" w:rsidP="000923E6">
            <w:pPr>
              <w:pStyle w:val="ToolTableText"/>
            </w:pPr>
            <w:r w:rsidRPr="00286DEC">
              <w:rPr>
                <w:b/>
              </w:rPr>
              <w:t>Relationship Among Parts:</w:t>
            </w:r>
            <w:r>
              <w:rPr>
                <w:b/>
              </w:rPr>
              <w:t xml:space="preserve"> </w:t>
            </w:r>
            <w:r>
              <w:t xml:space="preserve">Establishes clear and logical relationships between supporting claims and </w:t>
            </w:r>
            <w:r w:rsidR="002E477A">
              <w:t xml:space="preserve">a </w:t>
            </w:r>
            <w:r>
              <w:t xml:space="preserve">central claim. </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722751">
        <w:trPr>
          <w:trHeight w:val="144"/>
        </w:trPr>
        <w:tc>
          <w:tcPr>
            <w:tcW w:w="2251" w:type="dxa"/>
            <w:vMerge/>
            <w:tcBorders>
              <w:bottom w:val="single" w:sz="4" w:space="0" w:color="auto"/>
            </w:tcBorders>
          </w:tcPr>
          <w:p w:rsidR="00286DEC" w:rsidRDefault="00286DEC" w:rsidP="00BE4AA7">
            <w:pPr>
              <w:pStyle w:val="ToolTableText"/>
            </w:pPr>
          </w:p>
        </w:tc>
        <w:tc>
          <w:tcPr>
            <w:tcW w:w="3534" w:type="dxa"/>
          </w:tcPr>
          <w:p w:rsidR="00286DEC" w:rsidRPr="00286DEC" w:rsidRDefault="00286DEC" w:rsidP="000923E6">
            <w:pPr>
              <w:pStyle w:val="ToolTableText"/>
            </w:pPr>
            <w:r w:rsidRPr="00286DEC">
              <w:rPr>
                <w:b/>
              </w:rPr>
              <w:t>Effectiveness of Structure:</w:t>
            </w:r>
            <w:r>
              <w:rPr>
                <w:b/>
              </w:rPr>
              <w:t xml:space="preserve"> </w:t>
            </w:r>
            <w:r>
              <w:t xml:space="preserve">Adopts an organizational strategy, including an introduction and conclusion, which clearly and compellingly communicates the argument. </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2D5EA9">
        <w:trPr>
          <w:trHeight w:val="1520"/>
        </w:trPr>
        <w:tc>
          <w:tcPr>
            <w:tcW w:w="2251" w:type="dxa"/>
            <w:vMerge w:val="restart"/>
            <w:tcBorders>
              <w:top w:val="single" w:sz="4" w:space="0" w:color="auto"/>
              <w:left w:val="single" w:sz="4" w:space="0" w:color="auto"/>
              <w:bottom w:val="single" w:sz="4" w:space="0" w:color="auto"/>
              <w:right w:val="single" w:sz="4" w:space="0" w:color="auto"/>
            </w:tcBorders>
          </w:tcPr>
          <w:p w:rsidR="00286DEC" w:rsidRPr="00CE1E66" w:rsidRDefault="00286DEC" w:rsidP="00CE1E66">
            <w:pPr>
              <w:pStyle w:val="ToolTableText"/>
              <w:rPr>
                <w:b/>
              </w:rPr>
            </w:pPr>
            <w:r w:rsidRPr="00CE1E66">
              <w:rPr>
                <w:b/>
              </w:rPr>
              <w:lastRenderedPageBreak/>
              <w:t>Control of Language and Conventions</w:t>
            </w:r>
          </w:p>
        </w:tc>
        <w:tc>
          <w:tcPr>
            <w:tcW w:w="3534" w:type="dxa"/>
            <w:tcBorders>
              <w:left w:val="single" w:sz="4" w:space="0" w:color="auto"/>
            </w:tcBorders>
          </w:tcPr>
          <w:p w:rsidR="00286DEC" w:rsidRPr="00286DEC" w:rsidRDefault="00286DEC" w:rsidP="000923E6">
            <w:pPr>
              <w:pStyle w:val="ToolTableText"/>
            </w:pPr>
            <w:r w:rsidRPr="00286DEC">
              <w:rPr>
                <w:b/>
              </w:rPr>
              <w:t>Clarity of Communication:</w:t>
            </w:r>
            <w:r>
              <w:rPr>
                <w:b/>
              </w:rPr>
              <w:t xml:space="preserve"> </w:t>
            </w:r>
            <w:r>
              <w:t xml:space="preserve">Is communicated clearly and coherently. The writer’s opinions are clearly distinguished from objective summaries and statements. </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2D5EA9">
        <w:trPr>
          <w:trHeight w:val="1205"/>
        </w:trPr>
        <w:tc>
          <w:tcPr>
            <w:tcW w:w="2251" w:type="dxa"/>
            <w:vMerge/>
            <w:tcBorders>
              <w:top w:val="single" w:sz="4" w:space="0" w:color="auto"/>
              <w:left w:val="single" w:sz="4" w:space="0" w:color="auto"/>
              <w:bottom w:val="single" w:sz="4" w:space="0" w:color="auto"/>
              <w:right w:val="single" w:sz="4" w:space="0" w:color="auto"/>
            </w:tcBorders>
          </w:tcPr>
          <w:p w:rsidR="00286DEC" w:rsidRDefault="00286DEC" w:rsidP="00BE4AA7">
            <w:pPr>
              <w:pStyle w:val="ToolTableText"/>
            </w:pPr>
          </w:p>
        </w:tc>
        <w:tc>
          <w:tcPr>
            <w:tcW w:w="3534" w:type="dxa"/>
            <w:tcBorders>
              <w:left w:val="single" w:sz="4" w:space="0" w:color="auto"/>
              <w:bottom w:val="single" w:sz="4" w:space="0" w:color="auto"/>
            </w:tcBorders>
          </w:tcPr>
          <w:p w:rsidR="00286DEC" w:rsidRPr="00286DEC" w:rsidRDefault="00286DEC" w:rsidP="000923E6">
            <w:pPr>
              <w:pStyle w:val="ToolTableText"/>
            </w:pPr>
            <w:r w:rsidRPr="00286DEC">
              <w:rPr>
                <w:b/>
              </w:rPr>
              <w:t xml:space="preserve">Word Choice/Vocabulary: </w:t>
            </w:r>
            <w:r>
              <w:t>Uses topic</w:t>
            </w:r>
            <w:r w:rsidR="002E477A">
              <w:t>-</w:t>
            </w:r>
            <w:r w:rsidR="00423612">
              <w:t>specific</w:t>
            </w:r>
            <w:r>
              <w:t xml:space="preserve"> terminology appropriately and </w:t>
            </w:r>
            <w:r w:rsidR="00423612">
              <w:t xml:space="preserve">precisely. </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2D5EA9">
        <w:trPr>
          <w:trHeight w:val="1880"/>
        </w:trPr>
        <w:tc>
          <w:tcPr>
            <w:tcW w:w="2251" w:type="dxa"/>
            <w:vMerge/>
            <w:tcBorders>
              <w:top w:val="single" w:sz="4" w:space="0" w:color="auto"/>
              <w:left w:val="single" w:sz="4" w:space="0" w:color="auto"/>
              <w:bottom w:val="single" w:sz="4" w:space="0" w:color="auto"/>
              <w:right w:val="single" w:sz="4" w:space="0" w:color="auto"/>
            </w:tcBorders>
          </w:tcPr>
          <w:p w:rsidR="00286DEC" w:rsidRDefault="00286DEC" w:rsidP="00BE4AA7">
            <w:pPr>
              <w:pStyle w:val="ToolTableText"/>
            </w:pPr>
          </w:p>
        </w:tc>
        <w:tc>
          <w:tcPr>
            <w:tcW w:w="3534" w:type="dxa"/>
            <w:tcBorders>
              <w:top w:val="single" w:sz="4" w:space="0" w:color="auto"/>
              <w:left w:val="single" w:sz="4" w:space="0" w:color="auto"/>
              <w:bottom w:val="single" w:sz="4" w:space="0" w:color="auto"/>
            </w:tcBorders>
          </w:tcPr>
          <w:p w:rsidR="00286DEC" w:rsidRPr="00423612" w:rsidRDefault="00286DEC" w:rsidP="000923E6">
            <w:pPr>
              <w:pStyle w:val="ToolTableText"/>
            </w:pPr>
            <w:r w:rsidRPr="00286DEC">
              <w:rPr>
                <w:b/>
              </w:rPr>
              <w:t>Style/Voice:</w:t>
            </w:r>
            <w:r w:rsidR="00423612">
              <w:rPr>
                <w:b/>
              </w:rPr>
              <w:t xml:space="preserve"> </w:t>
            </w:r>
            <w:r w:rsidR="00423612">
              <w:t>Maintains a formal and objective</w:t>
            </w:r>
            <w:r w:rsidR="005D08EA">
              <w:t xml:space="preserve"> </w:t>
            </w:r>
            <w:r w:rsidR="00DF09BB">
              <w:t xml:space="preserve">tone </w:t>
            </w:r>
            <w:r w:rsidR="00423612">
              <w:t xml:space="preserve">appropriate to the intended audience. The use of words, phrases, clauses, and varied syntax draws attention to key ideas and reinforces relationships among ideas. </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722751">
        <w:trPr>
          <w:trHeight w:val="2103"/>
        </w:trPr>
        <w:tc>
          <w:tcPr>
            <w:tcW w:w="2251" w:type="dxa"/>
            <w:vMerge/>
            <w:tcBorders>
              <w:top w:val="single" w:sz="4" w:space="0" w:color="auto"/>
              <w:left w:val="single" w:sz="4" w:space="0" w:color="auto"/>
              <w:bottom w:val="single" w:sz="4" w:space="0" w:color="auto"/>
              <w:right w:val="single" w:sz="4" w:space="0" w:color="auto"/>
            </w:tcBorders>
          </w:tcPr>
          <w:p w:rsidR="00286DEC" w:rsidRDefault="00286DEC" w:rsidP="00BE4AA7">
            <w:pPr>
              <w:pStyle w:val="ToolTableText"/>
            </w:pPr>
          </w:p>
        </w:tc>
        <w:tc>
          <w:tcPr>
            <w:tcW w:w="3534" w:type="dxa"/>
            <w:tcBorders>
              <w:top w:val="single" w:sz="4" w:space="0" w:color="auto"/>
              <w:left w:val="single" w:sz="4" w:space="0" w:color="auto"/>
              <w:bottom w:val="single" w:sz="4" w:space="0" w:color="auto"/>
            </w:tcBorders>
          </w:tcPr>
          <w:p w:rsidR="00286DEC" w:rsidRPr="00286DEC" w:rsidRDefault="00286DEC" w:rsidP="000923E6">
            <w:pPr>
              <w:pStyle w:val="ToolTableText"/>
              <w:rPr>
                <w:b/>
              </w:rPr>
            </w:pPr>
            <w:r w:rsidRPr="00286DEC">
              <w:rPr>
                <w:b/>
              </w:rPr>
              <w:t>Responsible Use of Evidence:</w:t>
            </w:r>
            <w:r w:rsidR="00423612">
              <w:rPr>
                <w:b/>
              </w:rPr>
              <w:t xml:space="preserve"> </w:t>
            </w:r>
            <w:r w:rsidR="00423612" w:rsidRPr="00423612">
              <w:t>Cites evidence in a responsible manner that anticipates the audience’s knowledge level, concerns, values, and possible biases. Quotes sufficient evidence exactly, or paraphrase</w:t>
            </w:r>
            <w:r w:rsidR="005D08EA">
              <w:t>s</w:t>
            </w:r>
            <w:r w:rsidR="00423612" w:rsidRPr="00423612">
              <w:t xml:space="preserve"> accurately, referencing precisely where the evidence can be found.</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r w:rsidR="00286DEC" w:rsidTr="002D5EA9">
        <w:trPr>
          <w:trHeight w:val="1340"/>
        </w:trPr>
        <w:tc>
          <w:tcPr>
            <w:tcW w:w="2251" w:type="dxa"/>
            <w:vMerge/>
            <w:tcBorders>
              <w:top w:val="single" w:sz="4" w:space="0" w:color="auto"/>
              <w:left w:val="single" w:sz="4" w:space="0" w:color="auto"/>
              <w:bottom w:val="single" w:sz="4" w:space="0" w:color="auto"/>
              <w:right w:val="single" w:sz="4" w:space="0" w:color="auto"/>
            </w:tcBorders>
          </w:tcPr>
          <w:p w:rsidR="00286DEC" w:rsidRDefault="00286DEC" w:rsidP="00BE4AA7">
            <w:pPr>
              <w:pStyle w:val="ToolTableText"/>
            </w:pPr>
          </w:p>
        </w:tc>
        <w:tc>
          <w:tcPr>
            <w:tcW w:w="3534" w:type="dxa"/>
            <w:tcBorders>
              <w:left w:val="single" w:sz="4" w:space="0" w:color="auto"/>
            </w:tcBorders>
          </w:tcPr>
          <w:p w:rsidR="00286DEC" w:rsidRPr="00286DEC" w:rsidRDefault="00286DEC" w:rsidP="000923E6">
            <w:pPr>
              <w:pStyle w:val="ToolTableText"/>
              <w:rPr>
                <w:b/>
              </w:rPr>
            </w:pPr>
            <w:r w:rsidRPr="00286DEC">
              <w:rPr>
                <w:b/>
              </w:rPr>
              <w:t>Conventions of Writing:</w:t>
            </w:r>
            <w:r w:rsidR="00423612" w:rsidRPr="00423612">
              <w:t xml:space="preserve"> Illustrates consistent command of standard, grade-level-appropriate writing conventions.</w:t>
            </w:r>
          </w:p>
        </w:tc>
        <w:tc>
          <w:tcPr>
            <w:tcW w:w="443" w:type="dxa"/>
          </w:tcPr>
          <w:p w:rsidR="00286DEC" w:rsidRDefault="00136D07" w:rsidP="00BE4AA7">
            <w:r>
              <w:rPr>
                <w:rFonts w:ascii="MS Gothic" w:eastAsia="MS Gothic" w:hAnsi="MS Gothic" w:hint="eastAsia"/>
              </w:rPr>
              <w:t>☐</w:t>
            </w:r>
          </w:p>
        </w:tc>
        <w:tc>
          <w:tcPr>
            <w:tcW w:w="6905" w:type="dxa"/>
          </w:tcPr>
          <w:p w:rsidR="00286DEC" w:rsidRDefault="00286DEC" w:rsidP="00BE4AA7"/>
        </w:tc>
      </w:tr>
    </w:tbl>
    <w:p w:rsidR="00CE1E66" w:rsidRPr="00CE1E66" w:rsidRDefault="00CE1E66" w:rsidP="00CE1E66">
      <w:pPr>
        <w:rPr>
          <w:sz w:val="18"/>
          <w:szCs w:val="18"/>
        </w:rPr>
      </w:pPr>
      <w:r w:rsidRPr="006412DA">
        <w:rPr>
          <w:sz w:val="18"/>
          <w:szCs w:val="18"/>
        </w:rPr>
        <w:t>Fro</w:t>
      </w:r>
      <w:r w:rsidR="006412DA">
        <w:rPr>
          <w:sz w:val="18"/>
          <w:szCs w:val="18"/>
        </w:rPr>
        <w:t>m Evidence-Based Arguments Criteria Checklist</w:t>
      </w:r>
      <w:r w:rsidRPr="006412DA">
        <w:rPr>
          <w:sz w:val="18"/>
          <w:szCs w:val="18"/>
        </w:rPr>
        <w:t>,</w:t>
      </w:r>
      <w:r w:rsidRPr="00CE1E66">
        <w:rPr>
          <w:sz w:val="18"/>
          <w:szCs w:val="18"/>
        </w:rPr>
        <w:t xml:space="preserve"> by Odell Education, www.odelleducation.com. Copyright (201</w:t>
      </w:r>
      <w:r>
        <w:rPr>
          <w:sz w:val="18"/>
          <w:szCs w:val="18"/>
        </w:rPr>
        <w:t>3</w:t>
      </w:r>
      <w:r w:rsidRPr="00CE1E66">
        <w:rPr>
          <w:sz w:val="18"/>
          <w:szCs w:val="18"/>
        </w:rPr>
        <w:t xml:space="preserve">) by Odell Education. Modified in partnership with permission under an Attribution-NonCommercial 3.0 Unported license: </w:t>
      </w:r>
      <w:hyperlink r:id="rId21" w:history="1">
        <w:r w:rsidRPr="00CE1E66">
          <w:rPr>
            <w:rStyle w:val="Hyperlink"/>
            <w:sz w:val="18"/>
            <w:szCs w:val="18"/>
          </w:rPr>
          <w:t>http://creativecommons.org/licenses/by-nc/3.0/</w:t>
        </w:r>
      </w:hyperlink>
      <w:r w:rsidRPr="00CE1E66">
        <w:rPr>
          <w:sz w:val="18"/>
          <w:szCs w:val="18"/>
        </w:rPr>
        <w:t>.</w:t>
      </w:r>
    </w:p>
    <w:p w:rsidR="006646A0" w:rsidRDefault="006646A0">
      <w:pPr>
        <w:spacing w:before="0" w:after="0" w:line="240" w:lineRule="auto"/>
      </w:pPr>
      <w:r>
        <w:br w:type="page"/>
      </w:r>
    </w:p>
    <w:p w:rsidR="006646A0" w:rsidRDefault="00A3016B" w:rsidP="006646A0">
      <w:pPr>
        <w:pStyle w:val="ToolHeader"/>
      </w:pPr>
      <w:r>
        <w:lastRenderedPageBreak/>
        <w:t xml:space="preserve">Model </w:t>
      </w:r>
      <w:r w:rsidR="006646A0" w:rsidRPr="00BE4AA7">
        <w:t>Evidence-Based Arguments Checklist</w:t>
      </w:r>
      <w:r w:rsidR="006646A0">
        <w:t xml:space="preserve"> </w:t>
      </w:r>
    </w:p>
    <w:tbl>
      <w:tblPr>
        <w:tblStyle w:val="TableGrid"/>
        <w:tblW w:w="0" w:type="auto"/>
        <w:tblLook w:val="04A0"/>
      </w:tblPr>
      <w:tblGrid>
        <w:gridCol w:w="1130"/>
        <w:gridCol w:w="3841"/>
        <w:gridCol w:w="1008"/>
        <w:gridCol w:w="4197"/>
        <w:gridCol w:w="992"/>
        <w:gridCol w:w="1892"/>
      </w:tblGrid>
      <w:tr w:rsidR="006646A0" w:rsidRPr="00707670" w:rsidTr="00904BDD">
        <w:trPr>
          <w:trHeight w:val="647"/>
        </w:trPr>
        <w:tc>
          <w:tcPr>
            <w:tcW w:w="1130" w:type="dxa"/>
            <w:shd w:val="clear" w:color="auto" w:fill="D9D9D9" w:themeFill="background1" w:themeFillShade="D9"/>
            <w:vAlign w:val="center"/>
          </w:tcPr>
          <w:p w:rsidR="006646A0" w:rsidRPr="00707670" w:rsidRDefault="006646A0" w:rsidP="006646A0">
            <w:pPr>
              <w:pStyle w:val="TableText"/>
              <w:rPr>
                <w:b/>
              </w:rPr>
            </w:pPr>
            <w:r w:rsidRPr="00707670">
              <w:rPr>
                <w:b/>
              </w:rPr>
              <w:t>Name:</w:t>
            </w:r>
          </w:p>
        </w:tc>
        <w:tc>
          <w:tcPr>
            <w:tcW w:w="3841" w:type="dxa"/>
            <w:vAlign w:val="center"/>
          </w:tcPr>
          <w:p w:rsidR="006646A0" w:rsidRPr="00707670" w:rsidRDefault="006646A0" w:rsidP="006646A0">
            <w:pPr>
              <w:pStyle w:val="TableText"/>
              <w:rPr>
                <w:b/>
              </w:rPr>
            </w:pPr>
          </w:p>
        </w:tc>
        <w:tc>
          <w:tcPr>
            <w:tcW w:w="1008" w:type="dxa"/>
            <w:shd w:val="clear" w:color="auto" w:fill="D9D9D9" w:themeFill="background1" w:themeFillShade="D9"/>
            <w:vAlign w:val="center"/>
          </w:tcPr>
          <w:p w:rsidR="006646A0" w:rsidRPr="00707670" w:rsidRDefault="006646A0" w:rsidP="006646A0">
            <w:pPr>
              <w:pStyle w:val="TableText"/>
              <w:rPr>
                <w:b/>
              </w:rPr>
            </w:pPr>
            <w:r w:rsidRPr="00707670">
              <w:rPr>
                <w:b/>
              </w:rPr>
              <w:t>Class:</w:t>
            </w:r>
          </w:p>
        </w:tc>
        <w:tc>
          <w:tcPr>
            <w:tcW w:w="4197" w:type="dxa"/>
            <w:vAlign w:val="center"/>
          </w:tcPr>
          <w:p w:rsidR="006646A0" w:rsidRPr="00707670" w:rsidRDefault="006646A0" w:rsidP="006646A0">
            <w:pPr>
              <w:pStyle w:val="TableText"/>
              <w:rPr>
                <w:b/>
              </w:rPr>
            </w:pPr>
          </w:p>
        </w:tc>
        <w:tc>
          <w:tcPr>
            <w:tcW w:w="992" w:type="dxa"/>
            <w:shd w:val="clear" w:color="auto" w:fill="D9D9D9" w:themeFill="background1" w:themeFillShade="D9"/>
            <w:vAlign w:val="center"/>
          </w:tcPr>
          <w:p w:rsidR="006646A0" w:rsidRPr="00707670" w:rsidRDefault="006646A0" w:rsidP="006646A0">
            <w:pPr>
              <w:pStyle w:val="TableText"/>
              <w:rPr>
                <w:b/>
              </w:rPr>
            </w:pPr>
            <w:r w:rsidRPr="00707670">
              <w:rPr>
                <w:b/>
              </w:rPr>
              <w:t>Date:</w:t>
            </w:r>
          </w:p>
        </w:tc>
        <w:tc>
          <w:tcPr>
            <w:tcW w:w="1892" w:type="dxa"/>
            <w:vAlign w:val="center"/>
          </w:tcPr>
          <w:p w:rsidR="006646A0" w:rsidRPr="00707670" w:rsidRDefault="006646A0" w:rsidP="006646A0">
            <w:pPr>
              <w:pStyle w:val="TableText"/>
              <w:rPr>
                <w:b/>
              </w:rPr>
            </w:pPr>
          </w:p>
        </w:tc>
      </w:tr>
    </w:tbl>
    <w:p w:rsidR="006646A0" w:rsidRPr="00646088" w:rsidRDefault="006646A0" w:rsidP="006646A0">
      <w:pPr>
        <w:spacing w:before="0" w:after="0"/>
        <w:rPr>
          <w:sz w:val="10"/>
        </w:rPr>
      </w:pPr>
    </w:p>
    <w:tbl>
      <w:tblPr>
        <w:tblStyle w:val="TableGrid"/>
        <w:tblW w:w="13127" w:type="dxa"/>
        <w:tblLayout w:type="fixed"/>
        <w:tblLook w:val="04A0"/>
      </w:tblPr>
      <w:tblGrid>
        <w:gridCol w:w="2249"/>
        <w:gridCol w:w="3533"/>
        <w:gridCol w:w="370"/>
        <w:gridCol w:w="6975"/>
      </w:tblGrid>
      <w:tr w:rsidR="006646A0" w:rsidRPr="00646088" w:rsidTr="00AC428E">
        <w:trPr>
          <w:trHeight w:val="146"/>
        </w:trPr>
        <w:tc>
          <w:tcPr>
            <w:tcW w:w="2249" w:type="dxa"/>
            <w:shd w:val="clear" w:color="auto" w:fill="D9D9D9" w:themeFill="background1" w:themeFillShade="D9"/>
          </w:tcPr>
          <w:p w:rsidR="006646A0" w:rsidRPr="00646088" w:rsidRDefault="006646A0" w:rsidP="006646A0">
            <w:pPr>
              <w:pStyle w:val="ToolTableText"/>
              <w:rPr>
                <w:b/>
              </w:rPr>
            </w:pPr>
            <w:r>
              <w:rPr>
                <w:b/>
              </w:rPr>
              <w:t>Argument Sections</w:t>
            </w:r>
          </w:p>
        </w:tc>
        <w:tc>
          <w:tcPr>
            <w:tcW w:w="3533" w:type="dxa"/>
            <w:shd w:val="clear" w:color="auto" w:fill="D9D9D9" w:themeFill="background1" w:themeFillShade="D9"/>
          </w:tcPr>
          <w:p w:rsidR="006646A0" w:rsidRPr="00646088" w:rsidRDefault="006646A0" w:rsidP="006646A0">
            <w:pPr>
              <w:pStyle w:val="ToolTableText"/>
              <w:rPr>
                <w:b/>
              </w:rPr>
            </w:pPr>
            <w:r>
              <w:rPr>
                <w:b/>
              </w:rPr>
              <w:t>Section Components</w:t>
            </w:r>
          </w:p>
        </w:tc>
        <w:tc>
          <w:tcPr>
            <w:tcW w:w="370" w:type="dxa"/>
            <w:shd w:val="clear" w:color="auto" w:fill="D9D9D9" w:themeFill="background1" w:themeFillShade="D9"/>
          </w:tcPr>
          <w:p w:rsidR="006646A0" w:rsidRPr="00553BA1" w:rsidRDefault="00553BA1" w:rsidP="006646A0">
            <w:pPr>
              <w:pStyle w:val="ToolTableText"/>
              <w:rPr>
                <w:b/>
              </w:rPr>
            </w:pPr>
            <w:r w:rsidRPr="00553BA1">
              <w:rPr>
                <w:rFonts w:ascii="MS Gothic" w:eastAsia="MS Gothic" w:hAnsi="MS Gothic" w:hint="eastAsia"/>
                <w:b/>
              </w:rPr>
              <w:t>☐</w:t>
            </w:r>
          </w:p>
        </w:tc>
        <w:tc>
          <w:tcPr>
            <w:tcW w:w="6975" w:type="dxa"/>
            <w:shd w:val="clear" w:color="auto" w:fill="D9D9D9" w:themeFill="background1" w:themeFillShade="D9"/>
          </w:tcPr>
          <w:p w:rsidR="006646A0" w:rsidRDefault="006646A0" w:rsidP="006646A0">
            <w:pPr>
              <w:pStyle w:val="ToolTableText"/>
              <w:rPr>
                <w:b/>
              </w:rPr>
            </w:pPr>
            <w:r>
              <w:rPr>
                <w:b/>
              </w:rPr>
              <w:t>Comments</w:t>
            </w:r>
          </w:p>
        </w:tc>
      </w:tr>
      <w:tr w:rsidR="006646A0" w:rsidTr="00AC428E">
        <w:trPr>
          <w:trHeight w:val="146"/>
        </w:trPr>
        <w:tc>
          <w:tcPr>
            <w:tcW w:w="2249" w:type="dxa"/>
            <w:vMerge w:val="restart"/>
          </w:tcPr>
          <w:p w:rsidR="006646A0" w:rsidRPr="00CE1E66" w:rsidRDefault="006646A0" w:rsidP="00CE1E66">
            <w:pPr>
              <w:pStyle w:val="ToolTableText"/>
              <w:rPr>
                <w:b/>
              </w:rPr>
            </w:pPr>
            <w:r w:rsidRPr="00CE1E66">
              <w:rPr>
                <w:b/>
              </w:rPr>
              <w:t>Content and Analysis</w:t>
            </w:r>
          </w:p>
        </w:tc>
        <w:tc>
          <w:tcPr>
            <w:tcW w:w="3533" w:type="dxa"/>
          </w:tcPr>
          <w:p w:rsidR="006646A0" w:rsidRPr="00286DEC" w:rsidRDefault="006646A0" w:rsidP="00722751">
            <w:pPr>
              <w:pStyle w:val="ToolTableText"/>
              <w:spacing w:after="0"/>
              <w:rPr>
                <w:b/>
              </w:rPr>
            </w:pPr>
            <w:r w:rsidRPr="00286DEC">
              <w:rPr>
                <w:b/>
              </w:rPr>
              <w:t>Clarity and Relevance:</w:t>
            </w:r>
            <w:r>
              <w:rPr>
                <w:b/>
              </w:rPr>
              <w:t xml:space="preserve"> </w:t>
            </w:r>
            <w:r w:rsidRPr="00423612">
              <w:t xml:space="preserve">Purposefully states a </w:t>
            </w:r>
            <w:r>
              <w:t xml:space="preserve">central claim </w:t>
            </w:r>
            <w:r w:rsidRPr="00423612">
              <w:t>that is linked to a clearly identified context (topic, problem, issue) that establishes its relevance.</w:t>
            </w:r>
          </w:p>
        </w:tc>
        <w:tc>
          <w:tcPr>
            <w:tcW w:w="370" w:type="dxa"/>
          </w:tcPr>
          <w:p w:rsidR="006646A0" w:rsidRDefault="006646A0" w:rsidP="00722751">
            <w:pPr>
              <w:spacing w:after="0"/>
            </w:pPr>
            <w:r>
              <w:rPr>
                <w:rFonts w:ascii="MS Gothic" w:eastAsia="MS Gothic" w:hAnsi="MS Gothic" w:hint="eastAsia"/>
              </w:rPr>
              <w:t>☐</w:t>
            </w:r>
          </w:p>
        </w:tc>
        <w:tc>
          <w:tcPr>
            <w:tcW w:w="6975" w:type="dxa"/>
          </w:tcPr>
          <w:p w:rsidR="006646A0" w:rsidRDefault="003B6864" w:rsidP="00722751">
            <w:pPr>
              <w:pStyle w:val="ToolTableText"/>
              <w:spacing w:after="0"/>
            </w:pPr>
            <w:r>
              <w:t>Although</w:t>
            </w:r>
            <w:r w:rsidR="00733250">
              <w:t xml:space="preserve"> Park has a central claim </w:t>
            </w:r>
            <w:r w:rsidR="00A34A24">
              <w:t>(</w:t>
            </w:r>
            <w:r>
              <w:t>changing technology requires careful examination of tissue and organ sale</w:t>
            </w:r>
            <w:r w:rsidR="005D08EA">
              <w:t>s</w:t>
            </w:r>
            <w:r>
              <w:t xml:space="preserve"> in order to protect patients and society</w:t>
            </w:r>
            <w:r w:rsidR="00A34A24">
              <w:t>)</w:t>
            </w:r>
            <w:r>
              <w:t xml:space="preserve"> it</w:t>
            </w:r>
            <w:r w:rsidR="005D08EA">
              <w:t xml:space="preserve"> i</w:t>
            </w:r>
            <w:r>
              <w:t xml:space="preserve">s not explicitly stated </w:t>
            </w:r>
            <w:r w:rsidR="00733250">
              <w:t>in this article. Park</w:t>
            </w:r>
            <w:r w:rsidR="005D08EA">
              <w:t>’</w:t>
            </w:r>
            <w:r w:rsidR="00733250">
              <w:t>s goal is to provide a board</w:t>
            </w:r>
            <w:r w:rsidR="00A34A24">
              <w:t>-</w:t>
            </w:r>
            <w:r w:rsidR="00733250">
              <w:t>informative piece and raise questions about the subject</w:t>
            </w:r>
            <w:r w:rsidR="005D08EA">
              <w:t>,</w:t>
            </w:r>
            <w:r w:rsidR="00733250">
              <w:t xml:space="preserve"> not to make an evidence-based claim. </w:t>
            </w:r>
          </w:p>
        </w:tc>
      </w:tr>
      <w:tr w:rsidR="006646A0" w:rsidTr="00AC428E">
        <w:trPr>
          <w:trHeight w:val="146"/>
        </w:trPr>
        <w:tc>
          <w:tcPr>
            <w:tcW w:w="2249" w:type="dxa"/>
            <w:vMerge/>
          </w:tcPr>
          <w:p w:rsidR="006646A0" w:rsidRDefault="006646A0" w:rsidP="006646A0">
            <w:pPr>
              <w:pStyle w:val="ToolTableText"/>
            </w:pPr>
          </w:p>
        </w:tc>
        <w:tc>
          <w:tcPr>
            <w:tcW w:w="3533" w:type="dxa"/>
          </w:tcPr>
          <w:p w:rsidR="006646A0" w:rsidRPr="00286DEC" w:rsidRDefault="006646A0" w:rsidP="00722751">
            <w:pPr>
              <w:pStyle w:val="ToolTableText"/>
              <w:spacing w:after="0"/>
              <w:rPr>
                <w:b/>
              </w:rPr>
            </w:pPr>
            <w:r w:rsidRPr="00286DEC">
              <w:rPr>
                <w:b/>
              </w:rPr>
              <w:t>Conformity to Sources:</w:t>
            </w:r>
            <w:r>
              <w:rPr>
                <w:b/>
              </w:rPr>
              <w:t xml:space="preserve"> </w:t>
            </w:r>
            <w:r>
              <w:t>Presents a perspective</w:t>
            </w:r>
            <w:r w:rsidRPr="00423612">
              <w:t xml:space="preserve"> that arises from ideas and evidence found in a range of diverse, credible and significant sources.</w:t>
            </w:r>
          </w:p>
        </w:tc>
        <w:tc>
          <w:tcPr>
            <w:tcW w:w="370" w:type="dxa"/>
          </w:tcPr>
          <w:p w:rsidR="006646A0" w:rsidRDefault="007C6E41" w:rsidP="00722751">
            <w:pPr>
              <w:spacing w:after="0"/>
            </w:pPr>
            <w:r>
              <w:rPr>
                <w:rFonts w:ascii="Wingdings" w:eastAsia="MS Gothic" w:hAnsi="Wingdings"/>
              </w:rPr>
              <w:t></w:t>
            </w:r>
          </w:p>
        </w:tc>
        <w:tc>
          <w:tcPr>
            <w:tcW w:w="6975" w:type="dxa"/>
          </w:tcPr>
          <w:p w:rsidR="006646A0" w:rsidRDefault="001C2309" w:rsidP="00722751">
            <w:pPr>
              <w:pStyle w:val="ToolTableText"/>
              <w:spacing w:after="0"/>
            </w:pPr>
            <w:r>
              <w:t xml:space="preserve">Park presents a large number of sources and ideas in this piece. </w:t>
            </w:r>
            <w:r w:rsidR="00E85F71">
              <w:t>In fact</w:t>
            </w:r>
            <w:r w:rsidR="00A34A24">
              <w:t>,</w:t>
            </w:r>
            <w:r w:rsidR="00E85F71">
              <w:t xml:space="preserve"> the whole article is a collection of connected ideas</w:t>
            </w:r>
            <w:r w:rsidR="005D08EA">
              <w:t xml:space="preserve"> and </w:t>
            </w:r>
            <w:r w:rsidR="00E85F71">
              <w:t>expert opinions</w:t>
            </w:r>
            <w:r w:rsidR="00C31BC6">
              <w:t>.</w:t>
            </w:r>
            <w:r w:rsidR="00733250">
              <w:t xml:space="preserve"> Park chooses experts in the medical field to offer opinions about the issues she is discussing. </w:t>
            </w:r>
          </w:p>
        </w:tc>
      </w:tr>
      <w:tr w:rsidR="006646A0" w:rsidTr="00722751">
        <w:trPr>
          <w:trHeight w:val="1493"/>
        </w:trPr>
        <w:tc>
          <w:tcPr>
            <w:tcW w:w="2249" w:type="dxa"/>
            <w:vMerge/>
          </w:tcPr>
          <w:p w:rsidR="006646A0" w:rsidRDefault="006646A0" w:rsidP="006646A0">
            <w:pPr>
              <w:pStyle w:val="ToolTableText"/>
            </w:pPr>
          </w:p>
        </w:tc>
        <w:tc>
          <w:tcPr>
            <w:tcW w:w="3533" w:type="dxa"/>
          </w:tcPr>
          <w:p w:rsidR="006646A0" w:rsidRPr="00286DEC" w:rsidRDefault="006646A0" w:rsidP="00722751">
            <w:pPr>
              <w:pStyle w:val="ToolTableText"/>
              <w:spacing w:after="0"/>
              <w:rPr>
                <w:b/>
              </w:rPr>
            </w:pPr>
            <w:r w:rsidRPr="00286DEC">
              <w:rPr>
                <w:b/>
              </w:rPr>
              <w:t xml:space="preserve">Understanding of the </w:t>
            </w:r>
            <w:r w:rsidR="007C6E41" w:rsidRPr="00286DEC">
              <w:rPr>
                <w:b/>
              </w:rPr>
              <w:t>Issue:</w:t>
            </w:r>
            <w:r>
              <w:rPr>
                <w:b/>
              </w:rPr>
              <w:t xml:space="preserve"> </w:t>
            </w:r>
            <w:r>
              <w:t>Presents a perspective</w:t>
            </w:r>
            <w:r w:rsidRPr="00423612">
              <w:t xml:space="preserve"> based on a comprehensive understanding of the issue, and establishes a series of valid claims that emerge from reasoned analysis.</w:t>
            </w:r>
          </w:p>
        </w:tc>
        <w:tc>
          <w:tcPr>
            <w:tcW w:w="370" w:type="dxa"/>
          </w:tcPr>
          <w:p w:rsidR="006646A0" w:rsidRDefault="007C6E41" w:rsidP="00722751">
            <w:pPr>
              <w:spacing w:after="0"/>
            </w:pPr>
            <w:r>
              <w:rPr>
                <w:rFonts w:ascii="Wingdings" w:eastAsia="MS Gothic" w:hAnsi="Wingdings"/>
              </w:rPr>
              <w:t></w:t>
            </w:r>
          </w:p>
        </w:tc>
        <w:tc>
          <w:tcPr>
            <w:tcW w:w="6975" w:type="dxa"/>
          </w:tcPr>
          <w:p w:rsidR="006646A0" w:rsidRDefault="00497017" w:rsidP="00722751">
            <w:pPr>
              <w:pStyle w:val="ToolTableText"/>
              <w:spacing w:after="0"/>
            </w:pPr>
            <w:r>
              <w:t>The article brings together a broad understanding of the issues related to the sale of tissue. It starts by discussing the landmark court decision regarding the donating of bone marrow</w:t>
            </w:r>
            <w:r w:rsidR="00A34A24">
              <w:t>,</w:t>
            </w:r>
            <w:r>
              <w:t xml:space="preserve"> </w:t>
            </w:r>
            <w:r w:rsidR="00A34A24">
              <w:t>t</w:t>
            </w:r>
            <w:r>
              <w:t xml:space="preserve">hen examines the changes that this </w:t>
            </w:r>
            <w:r w:rsidR="005E6130">
              <w:t xml:space="preserve">evolving </w:t>
            </w:r>
            <w:r>
              <w:t xml:space="preserve">landscape of technology might bring about. </w:t>
            </w:r>
          </w:p>
        </w:tc>
      </w:tr>
      <w:tr w:rsidR="006646A0" w:rsidTr="00AC428E">
        <w:trPr>
          <w:trHeight w:val="146"/>
        </w:trPr>
        <w:tc>
          <w:tcPr>
            <w:tcW w:w="2249" w:type="dxa"/>
            <w:vMerge/>
          </w:tcPr>
          <w:p w:rsidR="006646A0" w:rsidRDefault="006646A0" w:rsidP="006646A0">
            <w:pPr>
              <w:pStyle w:val="ToolTableText"/>
            </w:pPr>
          </w:p>
        </w:tc>
        <w:tc>
          <w:tcPr>
            <w:tcW w:w="3533" w:type="dxa"/>
          </w:tcPr>
          <w:p w:rsidR="006646A0" w:rsidRPr="00286DEC" w:rsidRDefault="006646A0" w:rsidP="00722751">
            <w:pPr>
              <w:pStyle w:val="ToolTableText"/>
              <w:spacing w:after="0"/>
              <w:rPr>
                <w:b/>
              </w:rPr>
            </w:pPr>
            <w:r w:rsidRPr="00286DEC">
              <w:rPr>
                <w:b/>
              </w:rPr>
              <w:t>Acknowledgement of Other Perspectives:</w:t>
            </w:r>
            <w:r w:rsidRPr="00423612">
              <w:t xml:space="preserve"> Recognizes opposing or alternate claims and distinguishes these claims from the stated p</w:t>
            </w:r>
            <w:r>
              <w:t>erspective.</w:t>
            </w:r>
          </w:p>
        </w:tc>
        <w:tc>
          <w:tcPr>
            <w:tcW w:w="370" w:type="dxa"/>
          </w:tcPr>
          <w:p w:rsidR="006646A0" w:rsidRDefault="007C6E41" w:rsidP="00722751">
            <w:pPr>
              <w:spacing w:after="0"/>
            </w:pPr>
            <w:r>
              <w:rPr>
                <w:rFonts w:ascii="Wingdings" w:eastAsia="MS Gothic" w:hAnsi="Wingdings"/>
              </w:rPr>
              <w:t></w:t>
            </w:r>
          </w:p>
        </w:tc>
        <w:tc>
          <w:tcPr>
            <w:tcW w:w="6975" w:type="dxa"/>
          </w:tcPr>
          <w:p w:rsidR="006646A0" w:rsidRDefault="00497017" w:rsidP="00722751">
            <w:pPr>
              <w:pStyle w:val="ToolTableText"/>
              <w:spacing w:after="0"/>
            </w:pPr>
            <w:r>
              <w:t xml:space="preserve">Park acknowledges several perspectives in this article while giving a broad overview of the issue. </w:t>
            </w:r>
            <w:r w:rsidR="00DE1795">
              <w:t xml:space="preserve">The opposing viewpoints of </w:t>
            </w:r>
            <w:r w:rsidR="0084015C">
              <w:t xml:space="preserve">Dr. </w:t>
            </w:r>
            <w:r>
              <w:t>Robert Klitzman’s comments</w:t>
            </w:r>
            <w:r w:rsidR="0084015C">
              <w:t xml:space="preserve"> about the buying and selling of humans</w:t>
            </w:r>
            <w:r>
              <w:t xml:space="preserve"> </w:t>
            </w:r>
            <w:r w:rsidR="0084015C">
              <w:t xml:space="preserve">and </w:t>
            </w:r>
            <w:r>
              <w:t>Jeffery Kahn’s statement</w:t>
            </w:r>
            <w:r w:rsidR="0084015C">
              <w:t>, “that the technology could potentially be groundbreaking” show Parks use of different cla</w:t>
            </w:r>
            <w:r w:rsidR="00DE1795">
              <w:t>ims. In addition</w:t>
            </w:r>
            <w:r w:rsidR="00A34A24">
              <w:t>,</w:t>
            </w:r>
            <w:r w:rsidR="00DE1795">
              <w:t xml:space="preserve"> Park distinguishes these claims b</w:t>
            </w:r>
            <w:r w:rsidR="00A34A24">
              <w:t>y</w:t>
            </w:r>
            <w:r w:rsidR="00DE1795">
              <w:t xml:space="preserve"> interjecting informative and speculative paragraphs between them. </w:t>
            </w:r>
          </w:p>
        </w:tc>
      </w:tr>
      <w:tr w:rsidR="006646A0" w:rsidTr="00AC428E">
        <w:trPr>
          <w:trHeight w:val="146"/>
        </w:trPr>
        <w:tc>
          <w:tcPr>
            <w:tcW w:w="2249" w:type="dxa"/>
            <w:vMerge w:val="restart"/>
          </w:tcPr>
          <w:p w:rsidR="006646A0" w:rsidRPr="00CE1E66" w:rsidRDefault="006646A0" w:rsidP="00CE1E66">
            <w:pPr>
              <w:pStyle w:val="ToolTableText"/>
              <w:rPr>
                <w:b/>
              </w:rPr>
            </w:pPr>
            <w:r w:rsidRPr="00CE1E66">
              <w:rPr>
                <w:b/>
              </w:rPr>
              <w:lastRenderedPageBreak/>
              <w:t>Command of Evidence</w:t>
            </w:r>
          </w:p>
        </w:tc>
        <w:tc>
          <w:tcPr>
            <w:tcW w:w="3533" w:type="dxa"/>
          </w:tcPr>
          <w:p w:rsidR="006646A0" w:rsidRPr="00286DEC" w:rsidRDefault="006646A0" w:rsidP="000923E6">
            <w:pPr>
              <w:pStyle w:val="ToolTableText"/>
              <w:rPr>
                <w:b/>
              </w:rPr>
            </w:pPr>
            <w:r w:rsidRPr="00286DEC">
              <w:rPr>
                <w:b/>
              </w:rPr>
              <w:t>Reasoning:</w:t>
            </w:r>
            <w:r>
              <w:rPr>
                <w:b/>
              </w:rPr>
              <w:t xml:space="preserve"> </w:t>
            </w:r>
            <w:r w:rsidRPr="00423612">
              <w:t>Links evidence and claims together logically in ways that lead to the conclusions expressed in the c</w:t>
            </w:r>
            <w:r>
              <w:t>entral claim</w:t>
            </w:r>
            <w:r w:rsidR="00B84814">
              <w:t>.</w:t>
            </w:r>
          </w:p>
        </w:tc>
        <w:tc>
          <w:tcPr>
            <w:tcW w:w="370" w:type="dxa"/>
          </w:tcPr>
          <w:p w:rsidR="006646A0" w:rsidRDefault="007C6E41" w:rsidP="006646A0">
            <w:r>
              <w:rPr>
                <w:rFonts w:ascii="Wingdings" w:eastAsia="MS Gothic" w:hAnsi="Wingdings"/>
              </w:rPr>
              <w:t></w:t>
            </w:r>
          </w:p>
        </w:tc>
        <w:tc>
          <w:tcPr>
            <w:tcW w:w="6975" w:type="dxa"/>
          </w:tcPr>
          <w:p w:rsidR="006646A0" w:rsidRDefault="00387252" w:rsidP="000923E6">
            <w:pPr>
              <w:pStyle w:val="ToolTableText"/>
            </w:pPr>
            <w:r>
              <w:t xml:space="preserve">Park clearly uses a chain of reasoning to link the earlier ideas about tissue donation through to the </w:t>
            </w:r>
            <w:r w:rsidR="00DE1795">
              <w:t>idea of patients</w:t>
            </w:r>
            <w:r w:rsidR="00B84814">
              <w:t>’</w:t>
            </w:r>
            <w:r w:rsidR="00DE1795">
              <w:t xml:space="preserve"> rights and the value of human life. Park also provides an important speculative route by building the idea of future concerns throughout the piece. This helps connect the idea </w:t>
            </w:r>
            <w:r w:rsidR="00B84814">
              <w:t xml:space="preserve">of </w:t>
            </w:r>
            <w:r w:rsidR="00DE1795">
              <w:t>new technologies and organ donation with</w:t>
            </w:r>
            <w:r w:rsidR="00553BA1">
              <w:t xml:space="preserve"> the speculative question that P</w:t>
            </w:r>
            <w:r w:rsidR="00DE1795">
              <w:t>ark asks at the beginning of the text, “What other body parts might next be up for sale?”</w:t>
            </w:r>
          </w:p>
        </w:tc>
      </w:tr>
      <w:tr w:rsidR="006646A0" w:rsidTr="00AC428E">
        <w:trPr>
          <w:trHeight w:val="146"/>
        </w:trPr>
        <w:tc>
          <w:tcPr>
            <w:tcW w:w="2249" w:type="dxa"/>
            <w:vMerge/>
          </w:tcPr>
          <w:p w:rsidR="006646A0" w:rsidRDefault="006646A0" w:rsidP="006646A0">
            <w:pPr>
              <w:pStyle w:val="ToolTableText"/>
            </w:pPr>
          </w:p>
        </w:tc>
        <w:tc>
          <w:tcPr>
            <w:tcW w:w="3533" w:type="dxa"/>
          </w:tcPr>
          <w:p w:rsidR="006646A0" w:rsidRPr="00286DEC" w:rsidRDefault="006646A0" w:rsidP="000923E6">
            <w:pPr>
              <w:pStyle w:val="ToolTableText"/>
              <w:rPr>
                <w:b/>
              </w:rPr>
            </w:pPr>
            <w:r w:rsidRPr="00286DEC">
              <w:rPr>
                <w:b/>
              </w:rPr>
              <w:t>Use of Evidence:</w:t>
            </w:r>
            <w:r>
              <w:rPr>
                <w:b/>
              </w:rPr>
              <w:t xml:space="preserve"> </w:t>
            </w:r>
            <w:r w:rsidRPr="00423612">
              <w:t xml:space="preserve">Supports </w:t>
            </w:r>
            <w:r>
              <w:t xml:space="preserve">the central claim and </w:t>
            </w:r>
            <w:r w:rsidRPr="00423612">
              <w:t xml:space="preserve">each </w:t>
            </w:r>
            <w:r>
              <w:t xml:space="preserve">supporting </w:t>
            </w:r>
            <w:r w:rsidRPr="00423612">
              <w:t>claim with valid inferences based on credible evidence.</w:t>
            </w:r>
          </w:p>
        </w:tc>
        <w:tc>
          <w:tcPr>
            <w:tcW w:w="370" w:type="dxa"/>
          </w:tcPr>
          <w:p w:rsidR="006646A0" w:rsidRDefault="006646A0" w:rsidP="006646A0">
            <w:r>
              <w:rPr>
                <w:rFonts w:ascii="MS Gothic" w:eastAsia="MS Gothic" w:hAnsi="MS Gothic" w:hint="eastAsia"/>
              </w:rPr>
              <w:t>☐</w:t>
            </w:r>
          </w:p>
        </w:tc>
        <w:tc>
          <w:tcPr>
            <w:tcW w:w="6975" w:type="dxa"/>
          </w:tcPr>
          <w:p w:rsidR="006646A0" w:rsidRDefault="00497017" w:rsidP="000923E6">
            <w:pPr>
              <w:pStyle w:val="ToolTableText"/>
            </w:pPr>
            <w:r>
              <w:t>This article is more of an opinion piece than an argument</w:t>
            </w:r>
            <w:r w:rsidR="00992D1D">
              <w:t>,</w:t>
            </w:r>
            <w:r>
              <w:t xml:space="preserve"> so Park does</w:t>
            </w:r>
            <w:r w:rsidR="00992D1D">
              <w:t xml:space="preserve"> </w:t>
            </w:r>
            <w:r>
              <w:t>n</w:t>
            </w:r>
            <w:r w:rsidR="00992D1D">
              <w:t>o</w:t>
            </w:r>
            <w:r>
              <w:t xml:space="preserve">t use much hard evidence to support her claims. Instead the article serves more as a survey of the available information </w:t>
            </w:r>
            <w:r w:rsidR="00387252">
              <w:t>while presenting</w:t>
            </w:r>
            <w:r>
              <w:t xml:space="preserve"> different opinions and questions </w:t>
            </w:r>
            <w:r w:rsidR="00387252">
              <w:t xml:space="preserve">for the reader </w:t>
            </w:r>
            <w:r>
              <w:t>to ponder</w:t>
            </w:r>
            <w:r w:rsidR="00387252">
              <w:t>.</w:t>
            </w:r>
          </w:p>
        </w:tc>
      </w:tr>
      <w:tr w:rsidR="006646A0" w:rsidTr="009F4AB5">
        <w:trPr>
          <w:trHeight w:val="146"/>
        </w:trPr>
        <w:tc>
          <w:tcPr>
            <w:tcW w:w="2249" w:type="dxa"/>
            <w:vMerge/>
            <w:tcBorders>
              <w:bottom w:val="single" w:sz="4" w:space="0" w:color="auto"/>
            </w:tcBorders>
          </w:tcPr>
          <w:p w:rsidR="006646A0" w:rsidRDefault="006646A0" w:rsidP="006646A0">
            <w:pPr>
              <w:pStyle w:val="ToolTableText"/>
            </w:pPr>
          </w:p>
        </w:tc>
        <w:tc>
          <w:tcPr>
            <w:tcW w:w="3533" w:type="dxa"/>
            <w:tcBorders>
              <w:bottom w:val="single" w:sz="4" w:space="0" w:color="auto"/>
            </w:tcBorders>
          </w:tcPr>
          <w:p w:rsidR="006646A0" w:rsidRPr="00286DEC" w:rsidRDefault="006646A0" w:rsidP="000923E6">
            <w:pPr>
              <w:pStyle w:val="ToolTableText"/>
              <w:rPr>
                <w:b/>
              </w:rPr>
            </w:pPr>
            <w:r w:rsidRPr="00286DEC">
              <w:rPr>
                <w:b/>
              </w:rPr>
              <w:t>Thoroughness and Objectivity:</w:t>
            </w:r>
            <w:r>
              <w:rPr>
                <w:b/>
              </w:rPr>
              <w:t xml:space="preserve"> </w:t>
            </w:r>
            <w:r w:rsidRPr="00423612">
              <w:t>Represents a comprehensive understanding of the issue where the argument’s claims and supporting evidence fairly addresses relevant counterclaims and discusses conflicting evidence.</w:t>
            </w:r>
          </w:p>
        </w:tc>
        <w:tc>
          <w:tcPr>
            <w:tcW w:w="370" w:type="dxa"/>
            <w:tcBorders>
              <w:bottom w:val="single" w:sz="4" w:space="0" w:color="auto"/>
            </w:tcBorders>
          </w:tcPr>
          <w:p w:rsidR="006646A0" w:rsidRDefault="007C6E41" w:rsidP="006646A0">
            <w:r>
              <w:rPr>
                <w:rFonts w:ascii="Wingdings" w:eastAsia="MS Gothic" w:hAnsi="Wingdings"/>
              </w:rPr>
              <w:t></w:t>
            </w:r>
          </w:p>
        </w:tc>
        <w:tc>
          <w:tcPr>
            <w:tcW w:w="6975" w:type="dxa"/>
            <w:tcBorders>
              <w:bottom w:val="single" w:sz="4" w:space="0" w:color="auto"/>
            </w:tcBorders>
          </w:tcPr>
          <w:p w:rsidR="006646A0" w:rsidRDefault="00A44F3B" w:rsidP="00B84814">
            <w:pPr>
              <w:pStyle w:val="ToolTableText"/>
            </w:pPr>
            <w:r>
              <w:t>The article represents a thorough examination of the issue</w:t>
            </w:r>
            <w:r w:rsidR="00904637">
              <w:t xml:space="preserve">. Park brings many different angles and </w:t>
            </w:r>
            <w:r w:rsidR="00F961FA">
              <w:t xml:space="preserve">viewpoints into play while raising a number of pertinent questions about tissue sale. This is achieved while maintaining a high level of journalistic impartiality. </w:t>
            </w:r>
          </w:p>
        </w:tc>
      </w:tr>
      <w:tr w:rsidR="006646A0" w:rsidTr="009F4AB5">
        <w:trPr>
          <w:trHeight w:val="146"/>
        </w:trPr>
        <w:tc>
          <w:tcPr>
            <w:tcW w:w="2249" w:type="dxa"/>
            <w:vMerge w:val="restart"/>
            <w:tcBorders>
              <w:bottom w:val="nil"/>
            </w:tcBorders>
          </w:tcPr>
          <w:p w:rsidR="006646A0" w:rsidRPr="00CE1E66" w:rsidRDefault="006646A0" w:rsidP="00CE1E66">
            <w:pPr>
              <w:pStyle w:val="ToolTableText"/>
              <w:rPr>
                <w:b/>
              </w:rPr>
            </w:pPr>
            <w:r w:rsidRPr="00CE1E66">
              <w:rPr>
                <w:b/>
              </w:rPr>
              <w:t>Coherence and Organization</w:t>
            </w:r>
          </w:p>
        </w:tc>
        <w:tc>
          <w:tcPr>
            <w:tcW w:w="3533" w:type="dxa"/>
            <w:tcBorders>
              <w:bottom w:val="single" w:sz="4" w:space="0" w:color="auto"/>
            </w:tcBorders>
          </w:tcPr>
          <w:p w:rsidR="006646A0" w:rsidRPr="00286DEC" w:rsidRDefault="006646A0" w:rsidP="000923E6">
            <w:pPr>
              <w:pStyle w:val="ToolTableText"/>
            </w:pPr>
            <w:r w:rsidRPr="00286DEC">
              <w:rPr>
                <w:b/>
              </w:rPr>
              <w:t>Relationship Among Parts:</w:t>
            </w:r>
            <w:r>
              <w:rPr>
                <w:b/>
              </w:rPr>
              <w:t xml:space="preserve"> </w:t>
            </w:r>
            <w:r>
              <w:t xml:space="preserve">Establishes clear and logical relationships between supporting claims and </w:t>
            </w:r>
            <w:r w:rsidR="00B84814">
              <w:t xml:space="preserve">a </w:t>
            </w:r>
            <w:r>
              <w:t xml:space="preserve">central claim. </w:t>
            </w:r>
          </w:p>
        </w:tc>
        <w:tc>
          <w:tcPr>
            <w:tcW w:w="370" w:type="dxa"/>
            <w:tcBorders>
              <w:bottom w:val="single" w:sz="4" w:space="0" w:color="auto"/>
            </w:tcBorders>
          </w:tcPr>
          <w:p w:rsidR="006646A0" w:rsidRDefault="006646A0" w:rsidP="006646A0">
            <w:r>
              <w:rPr>
                <w:rFonts w:ascii="MS Gothic" w:eastAsia="MS Gothic" w:hAnsi="MS Gothic" w:hint="eastAsia"/>
              </w:rPr>
              <w:t>☐</w:t>
            </w:r>
          </w:p>
        </w:tc>
        <w:tc>
          <w:tcPr>
            <w:tcW w:w="6975" w:type="dxa"/>
            <w:tcBorders>
              <w:bottom w:val="single" w:sz="4" w:space="0" w:color="auto"/>
            </w:tcBorders>
          </w:tcPr>
          <w:p w:rsidR="006646A0" w:rsidRDefault="00904637" w:rsidP="000923E6">
            <w:pPr>
              <w:pStyle w:val="ToolTableText"/>
            </w:pPr>
            <w:r>
              <w:t>As the article does</w:t>
            </w:r>
            <w:r w:rsidR="00992D1D">
              <w:t xml:space="preserve"> </w:t>
            </w:r>
            <w:r>
              <w:t>n</w:t>
            </w:r>
            <w:r w:rsidR="00992D1D">
              <w:t>o</w:t>
            </w:r>
            <w:r>
              <w:t>t have any particularly strong claims</w:t>
            </w:r>
            <w:r w:rsidR="00B84814">
              <w:t>,</w:t>
            </w:r>
            <w:r>
              <w:t xml:space="preserve"> the relationship between these claims is not well established. </w:t>
            </w:r>
            <w:bookmarkStart w:id="0" w:name="_GoBack"/>
            <w:bookmarkEnd w:id="0"/>
          </w:p>
        </w:tc>
      </w:tr>
      <w:tr w:rsidR="006646A0" w:rsidTr="009F4AB5">
        <w:trPr>
          <w:trHeight w:val="146"/>
        </w:trPr>
        <w:tc>
          <w:tcPr>
            <w:tcW w:w="2249" w:type="dxa"/>
            <w:vMerge/>
            <w:tcBorders>
              <w:top w:val="nil"/>
            </w:tcBorders>
          </w:tcPr>
          <w:p w:rsidR="006646A0" w:rsidRDefault="006646A0" w:rsidP="006646A0">
            <w:pPr>
              <w:pStyle w:val="ToolTableText"/>
            </w:pPr>
          </w:p>
        </w:tc>
        <w:tc>
          <w:tcPr>
            <w:tcW w:w="3533" w:type="dxa"/>
            <w:tcBorders>
              <w:top w:val="single" w:sz="4" w:space="0" w:color="auto"/>
            </w:tcBorders>
          </w:tcPr>
          <w:p w:rsidR="006646A0" w:rsidRPr="00286DEC" w:rsidRDefault="006646A0" w:rsidP="000923E6">
            <w:pPr>
              <w:pStyle w:val="ToolTableText"/>
            </w:pPr>
            <w:r w:rsidRPr="00286DEC">
              <w:rPr>
                <w:b/>
              </w:rPr>
              <w:t>Effectiveness of Structure:</w:t>
            </w:r>
            <w:r>
              <w:rPr>
                <w:b/>
              </w:rPr>
              <w:t xml:space="preserve"> </w:t>
            </w:r>
            <w:r>
              <w:t xml:space="preserve">Adopts an organizational strategy, including an introduction and conclusion, which clearly and compellingly communicates the argument. </w:t>
            </w:r>
          </w:p>
        </w:tc>
        <w:tc>
          <w:tcPr>
            <w:tcW w:w="370" w:type="dxa"/>
            <w:tcBorders>
              <w:top w:val="single" w:sz="4" w:space="0" w:color="auto"/>
            </w:tcBorders>
          </w:tcPr>
          <w:p w:rsidR="006646A0" w:rsidRDefault="00904637" w:rsidP="006646A0">
            <w:r>
              <w:rPr>
                <w:rFonts w:ascii="Wingdings" w:eastAsia="MS Gothic" w:hAnsi="Wingdings"/>
              </w:rPr>
              <w:t></w:t>
            </w:r>
          </w:p>
        </w:tc>
        <w:tc>
          <w:tcPr>
            <w:tcW w:w="6975" w:type="dxa"/>
            <w:tcBorders>
              <w:top w:val="single" w:sz="4" w:space="0" w:color="auto"/>
            </w:tcBorders>
          </w:tcPr>
          <w:p w:rsidR="006646A0" w:rsidRDefault="00904637" w:rsidP="000923E6">
            <w:pPr>
              <w:pStyle w:val="ToolTableText"/>
            </w:pPr>
            <w:r>
              <w:t xml:space="preserve">The information of the piece is very well communicated and Park succeeds in presenting a compelling unfolding of information that draws the reader into the text. </w:t>
            </w:r>
          </w:p>
        </w:tc>
      </w:tr>
      <w:tr w:rsidR="006646A0" w:rsidTr="00AC428E">
        <w:trPr>
          <w:trHeight w:val="2132"/>
        </w:trPr>
        <w:tc>
          <w:tcPr>
            <w:tcW w:w="2249" w:type="dxa"/>
            <w:vMerge w:val="restart"/>
          </w:tcPr>
          <w:p w:rsidR="006646A0" w:rsidRPr="00CE1E66" w:rsidRDefault="006646A0" w:rsidP="00CE1E66">
            <w:pPr>
              <w:pStyle w:val="ToolTableText"/>
              <w:rPr>
                <w:b/>
              </w:rPr>
            </w:pPr>
            <w:r w:rsidRPr="00CE1E66">
              <w:rPr>
                <w:b/>
              </w:rPr>
              <w:lastRenderedPageBreak/>
              <w:t>Control of Language and Conventions</w:t>
            </w:r>
          </w:p>
        </w:tc>
        <w:tc>
          <w:tcPr>
            <w:tcW w:w="3533" w:type="dxa"/>
          </w:tcPr>
          <w:p w:rsidR="006646A0" w:rsidRPr="00286DEC" w:rsidRDefault="006646A0" w:rsidP="000923E6">
            <w:pPr>
              <w:pStyle w:val="ToolTableText"/>
            </w:pPr>
            <w:r w:rsidRPr="00286DEC">
              <w:rPr>
                <w:b/>
              </w:rPr>
              <w:t>Clarity of Communication:</w:t>
            </w:r>
            <w:r>
              <w:rPr>
                <w:b/>
              </w:rPr>
              <w:t xml:space="preserve"> </w:t>
            </w:r>
            <w:r>
              <w:t xml:space="preserve">Is communicated clearly and coherently. The writer’s opinions are clearly distinguished from objective summaries and statements. </w:t>
            </w:r>
          </w:p>
        </w:tc>
        <w:tc>
          <w:tcPr>
            <w:tcW w:w="370" w:type="dxa"/>
          </w:tcPr>
          <w:p w:rsidR="006646A0" w:rsidRDefault="007C6E41" w:rsidP="006646A0">
            <w:r>
              <w:rPr>
                <w:rFonts w:ascii="Wingdings" w:eastAsia="MS Gothic" w:hAnsi="Wingdings"/>
              </w:rPr>
              <w:t></w:t>
            </w:r>
          </w:p>
        </w:tc>
        <w:tc>
          <w:tcPr>
            <w:tcW w:w="6975" w:type="dxa"/>
          </w:tcPr>
          <w:p w:rsidR="006646A0" w:rsidRDefault="0024051D" w:rsidP="000923E6">
            <w:pPr>
              <w:pStyle w:val="ToolTableText"/>
            </w:pPr>
            <w:r>
              <w:t>As the source is mainly journalistic</w:t>
            </w:r>
            <w:r w:rsidR="00B84814">
              <w:t>,</w:t>
            </w:r>
            <w:r>
              <w:t xml:space="preserve"> Park does</w:t>
            </w:r>
            <w:r w:rsidR="00DF09BB">
              <w:t xml:space="preserve"> </w:t>
            </w:r>
            <w:r>
              <w:t>n</w:t>
            </w:r>
            <w:r w:rsidR="00DF09BB">
              <w:t>o</w:t>
            </w:r>
            <w:r>
              <w:t xml:space="preserve">t spend much time on her opinions. The separation that does exist between the </w:t>
            </w:r>
            <w:r w:rsidR="00904637">
              <w:t>objective summaries and Park</w:t>
            </w:r>
            <w:r w:rsidR="00DF09BB">
              <w:t>’s</w:t>
            </w:r>
            <w:r w:rsidR="00904637">
              <w:t xml:space="preserve"> input is clear however. </w:t>
            </w:r>
          </w:p>
        </w:tc>
      </w:tr>
      <w:tr w:rsidR="006646A0" w:rsidTr="00AC428E">
        <w:trPr>
          <w:trHeight w:val="1213"/>
        </w:trPr>
        <w:tc>
          <w:tcPr>
            <w:tcW w:w="2249" w:type="dxa"/>
            <w:vMerge/>
          </w:tcPr>
          <w:p w:rsidR="006646A0" w:rsidRDefault="006646A0" w:rsidP="006646A0">
            <w:pPr>
              <w:pStyle w:val="ToolTableText"/>
            </w:pPr>
          </w:p>
        </w:tc>
        <w:tc>
          <w:tcPr>
            <w:tcW w:w="3533" w:type="dxa"/>
          </w:tcPr>
          <w:p w:rsidR="006646A0" w:rsidRPr="00286DEC" w:rsidRDefault="006646A0" w:rsidP="000923E6">
            <w:pPr>
              <w:pStyle w:val="ToolTableText"/>
            </w:pPr>
            <w:r w:rsidRPr="00286DEC">
              <w:rPr>
                <w:b/>
              </w:rPr>
              <w:t xml:space="preserve">Word Choice/Vocabulary: </w:t>
            </w:r>
            <w:r>
              <w:t>Uses topic</w:t>
            </w:r>
            <w:r w:rsidR="00B84814">
              <w:t>-</w:t>
            </w:r>
            <w:r>
              <w:t xml:space="preserve">specific terminology appropriately and precisely. </w:t>
            </w:r>
          </w:p>
        </w:tc>
        <w:tc>
          <w:tcPr>
            <w:tcW w:w="370" w:type="dxa"/>
          </w:tcPr>
          <w:p w:rsidR="006646A0" w:rsidRDefault="007C6E41" w:rsidP="006646A0">
            <w:r>
              <w:rPr>
                <w:rFonts w:ascii="Wingdings" w:eastAsia="MS Gothic" w:hAnsi="Wingdings"/>
              </w:rPr>
              <w:t></w:t>
            </w:r>
          </w:p>
        </w:tc>
        <w:tc>
          <w:tcPr>
            <w:tcW w:w="6975" w:type="dxa"/>
          </w:tcPr>
          <w:p w:rsidR="006646A0" w:rsidRDefault="00904637" w:rsidP="000923E6">
            <w:pPr>
              <w:pStyle w:val="ToolTableText"/>
            </w:pPr>
            <w:r>
              <w:t xml:space="preserve">The vocabulary is well chosen and not overwhelming. The technical term at the heart of the article, </w:t>
            </w:r>
            <w:r w:rsidRPr="00904637">
              <w:t>peripheral apheresis</w:t>
            </w:r>
            <w:r>
              <w:t>, is clearly and quickly defined for the reader.</w:t>
            </w:r>
          </w:p>
        </w:tc>
      </w:tr>
      <w:tr w:rsidR="006646A0" w:rsidTr="00AC428E">
        <w:trPr>
          <w:trHeight w:val="1663"/>
        </w:trPr>
        <w:tc>
          <w:tcPr>
            <w:tcW w:w="2249" w:type="dxa"/>
            <w:vMerge/>
          </w:tcPr>
          <w:p w:rsidR="006646A0" w:rsidRDefault="006646A0" w:rsidP="006646A0">
            <w:pPr>
              <w:pStyle w:val="ToolTableText"/>
            </w:pPr>
          </w:p>
        </w:tc>
        <w:tc>
          <w:tcPr>
            <w:tcW w:w="3533" w:type="dxa"/>
          </w:tcPr>
          <w:p w:rsidR="006646A0" w:rsidRPr="00423612" w:rsidRDefault="006646A0" w:rsidP="000923E6">
            <w:pPr>
              <w:pStyle w:val="ToolTableText"/>
            </w:pPr>
            <w:r w:rsidRPr="00286DEC">
              <w:rPr>
                <w:b/>
              </w:rPr>
              <w:t>Style/Voice:</w:t>
            </w:r>
            <w:r>
              <w:rPr>
                <w:b/>
              </w:rPr>
              <w:t xml:space="preserve"> </w:t>
            </w:r>
            <w:r>
              <w:t>Maintains a formal and objective ton</w:t>
            </w:r>
            <w:r w:rsidR="00DF09BB">
              <w:t>e</w:t>
            </w:r>
            <w:r>
              <w:t xml:space="preserve"> appropriate to the intended audience. The use of words, phrases, clauses, and varied syntax draws attention to key ideas and reinforces relationships among ideas. </w:t>
            </w:r>
          </w:p>
        </w:tc>
        <w:tc>
          <w:tcPr>
            <w:tcW w:w="370" w:type="dxa"/>
          </w:tcPr>
          <w:p w:rsidR="006646A0" w:rsidRDefault="007C6E41" w:rsidP="006646A0">
            <w:r>
              <w:rPr>
                <w:rFonts w:ascii="Wingdings" w:eastAsia="MS Gothic" w:hAnsi="Wingdings"/>
              </w:rPr>
              <w:t></w:t>
            </w:r>
          </w:p>
        </w:tc>
        <w:tc>
          <w:tcPr>
            <w:tcW w:w="6975" w:type="dxa"/>
          </w:tcPr>
          <w:p w:rsidR="006646A0" w:rsidRDefault="0024051D" w:rsidP="000923E6">
            <w:pPr>
              <w:pStyle w:val="ToolTableText"/>
            </w:pPr>
            <w:r>
              <w:t xml:space="preserve">The source is written in an </w:t>
            </w:r>
            <w:r w:rsidR="00904637">
              <w:t xml:space="preserve">informal journalistic style and keeps that tone throughout. This keeps the writing of the article brisk and on point. </w:t>
            </w:r>
          </w:p>
        </w:tc>
      </w:tr>
      <w:tr w:rsidR="00904637" w:rsidTr="00AC428E">
        <w:trPr>
          <w:trHeight w:val="2132"/>
        </w:trPr>
        <w:tc>
          <w:tcPr>
            <w:tcW w:w="2249" w:type="dxa"/>
            <w:vMerge/>
          </w:tcPr>
          <w:p w:rsidR="00904637" w:rsidRDefault="00904637" w:rsidP="006646A0">
            <w:pPr>
              <w:pStyle w:val="ToolTableText"/>
            </w:pPr>
          </w:p>
        </w:tc>
        <w:tc>
          <w:tcPr>
            <w:tcW w:w="3533" w:type="dxa"/>
          </w:tcPr>
          <w:p w:rsidR="00904637" w:rsidRPr="00286DEC" w:rsidRDefault="00904637" w:rsidP="000923E6">
            <w:pPr>
              <w:pStyle w:val="ToolTableText"/>
              <w:rPr>
                <w:b/>
              </w:rPr>
            </w:pPr>
            <w:r w:rsidRPr="00286DEC">
              <w:rPr>
                <w:b/>
              </w:rPr>
              <w:t>Responsible Use of Evidence:</w:t>
            </w:r>
            <w:r>
              <w:rPr>
                <w:b/>
              </w:rPr>
              <w:t xml:space="preserve"> </w:t>
            </w:r>
            <w:r w:rsidRPr="00423612">
              <w:t>Cites evidence in a responsible manner that anticipates the audience’s knowledge level, concerns, values, and possible biases. Quotes sufficient evidence exactly, or paraphrase</w:t>
            </w:r>
            <w:r w:rsidR="00854D85">
              <w:t>s</w:t>
            </w:r>
            <w:r w:rsidRPr="00423612">
              <w:t xml:space="preserve"> accurately, referencing precisely where the evidence can be found.</w:t>
            </w:r>
          </w:p>
        </w:tc>
        <w:tc>
          <w:tcPr>
            <w:tcW w:w="370" w:type="dxa"/>
          </w:tcPr>
          <w:p w:rsidR="00904637" w:rsidRDefault="00904637" w:rsidP="006646A0">
            <w:r>
              <w:rPr>
                <w:rFonts w:ascii="MS Gothic" w:eastAsia="MS Gothic" w:hAnsi="MS Gothic" w:hint="eastAsia"/>
              </w:rPr>
              <w:t>☐</w:t>
            </w:r>
          </w:p>
        </w:tc>
        <w:tc>
          <w:tcPr>
            <w:tcW w:w="6975" w:type="dxa"/>
          </w:tcPr>
          <w:p w:rsidR="00904637" w:rsidRDefault="00904637" w:rsidP="000923E6">
            <w:pPr>
              <w:pStyle w:val="ToolTableText"/>
            </w:pPr>
            <w:r>
              <w:t xml:space="preserve">The evidence that </w:t>
            </w:r>
            <w:r w:rsidR="00854D85">
              <w:t>P</w:t>
            </w:r>
            <w:r>
              <w:t>ark provides is mainly in the form of quotes and stated information. Park</w:t>
            </w:r>
            <w:r w:rsidR="00854D85">
              <w:t>,</w:t>
            </w:r>
            <w:r>
              <w:t xml:space="preserve"> however</w:t>
            </w:r>
            <w:r w:rsidR="00854D85">
              <w:t>,</w:t>
            </w:r>
            <w:r>
              <w:t xml:space="preserve"> does not provide clear paths for the facts that she does present. </w:t>
            </w:r>
          </w:p>
        </w:tc>
      </w:tr>
      <w:tr w:rsidR="006646A0" w:rsidTr="00497613">
        <w:trPr>
          <w:trHeight w:val="1430"/>
        </w:trPr>
        <w:tc>
          <w:tcPr>
            <w:tcW w:w="2249" w:type="dxa"/>
            <w:vMerge/>
          </w:tcPr>
          <w:p w:rsidR="006646A0" w:rsidRDefault="006646A0" w:rsidP="006646A0">
            <w:pPr>
              <w:pStyle w:val="ToolTableText"/>
            </w:pPr>
          </w:p>
        </w:tc>
        <w:tc>
          <w:tcPr>
            <w:tcW w:w="3533" w:type="dxa"/>
          </w:tcPr>
          <w:p w:rsidR="006646A0" w:rsidRPr="00286DEC" w:rsidRDefault="006646A0" w:rsidP="000923E6">
            <w:pPr>
              <w:pStyle w:val="ToolTableText"/>
              <w:rPr>
                <w:b/>
              </w:rPr>
            </w:pPr>
            <w:r w:rsidRPr="00286DEC">
              <w:rPr>
                <w:b/>
              </w:rPr>
              <w:t>Conventions of Writing:</w:t>
            </w:r>
            <w:r w:rsidRPr="00423612">
              <w:t xml:space="preserve"> Illustrates consistent command of standard, grade-level-appropriate writing conventions.</w:t>
            </w:r>
          </w:p>
        </w:tc>
        <w:tc>
          <w:tcPr>
            <w:tcW w:w="370" w:type="dxa"/>
          </w:tcPr>
          <w:p w:rsidR="006646A0" w:rsidRDefault="007C6E41" w:rsidP="006646A0">
            <w:r>
              <w:rPr>
                <w:rFonts w:ascii="Wingdings" w:eastAsia="MS Gothic" w:hAnsi="Wingdings"/>
              </w:rPr>
              <w:t></w:t>
            </w:r>
          </w:p>
        </w:tc>
        <w:tc>
          <w:tcPr>
            <w:tcW w:w="6975" w:type="dxa"/>
          </w:tcPr>
          <w:p w:rsidR="006646A0" w:rsidRDefault="00904637" w:rsidP="000923E6">
            <w:pPr>
              <w:pStyle w:val="ToolTableText"/>
            </w:pPr>
            <w:r>
              <w:t xml:space="preserve">The writing in the article is consistent. </w:t>
            </w:r>
          </w:p>
        </w:tc>
      </w:tr>
    </w:tbl>
    <w:p w:rsidR="00EB38EA" w:rsidRPr="00CE1E66" w:rsidRDefault="00EB38EA" w:rsidP="00EB38EA">
      <w:pPr>
        <w:rPr>
          <w:sz w:val="18"/>
          <w:szCs w:val="18"/>
        </w:rPr>
      </w:pPr>
      <w:r w:rsidRPr="006412DA">
        <w:rPr>
          <w:sz w:val="18"/>
          <w:szCs w:val="18"/>
        </w:rPr>
        <w:t>Fro</w:t>
      </w:r>
      <w:r>
        <w:rPr>
          <w:sz w:val="18"/>
          <w:szCs w:val="18"/>
        </w:rPr>
        <w:t>m Evidence-Based Arguments Criteria Checklist</w:t>
      </w:r>
      <w:r w:rsidRPr="006412DA">
        <w:rPr>
          <w:sz w:val="18"/>
          <w:szCs w:val="18"/>
        </w:rPr>
        <w:t>,</w:t>
      </w:r>
      <w:r w:rsidRPr="00CE1E66">
        <w:rPr>
          <w:sz w:val="18"/>
          <w:szCs w:val="18"/>
        </w:rPr>
        <w:t xml:space="preserve"> by Odell Education, www.odelleducation.com. Copyright (201</w:t>
      </w:r>
      <w:r>
        <w:rPr>
          <w:sz w:val="18"/>
          <w:szCs w:val="18"/>
        </w:rPr>
        <w:t>3</w:t>
      </w:r>
      <w:r w:rsidRPr="00CE1E66">
        <w:rPr>
          <w:sz w:val="18"/>
          <w:szCs w:val="18"/>
        </w:rPr>
        <w:t xml:space="preserve">) by Odell Education. Modified in partnership with permission under an Attribution-NonCommercial 3.0 Unported license: </w:t>
      </w:r>
      <w:hyperlink r:id="rId22" w:history="1">
        <w:r w:rsidRPr="00CE1E66">
          <w:rPr>
            <w:rStyle w:val="Hyperlink"/>
            <w:sz w:val="18"/>
            <w:szCs w:val="18"/>
          </w:rPr>
          <w:t>http://creativecommons.org/licenses/by-nc/3.0/</w:t>
        </w:r>
      </w:hyperlink>
      <w:r w:rsidRPr="00CE1E66">
        <w:rPr>
          <w:sz w:val="18"/>
          <w:szCs w:val="18"/>
        </w:rPr>
        <w:t>.</w:t>
      </w:r>
    </w:p>
    <w:p w:rsidR="003908A9" w:rsidRPr="005837C5" w:rsidRDefault="003908A9" w:rsidP="009D79C2">
      <w:pPr>
        <w:spacing w:before="0" w:after="0" w:line="240" w:lineRule="auto"/>
      </w:pPr>
    </w:p>
    <w:sectPr w:rsidR="003908A9" w:rsidRPr="005837C5" w:rsidSect="00286DEC">
      <w:headerReference w:type="default" r:id="rId23"/>
      <w:footerReference w:type="default" r:id="rId24"/>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57" w:rsidRDefault="00E11757" w:rsidP="00E946A0">
      <w:r>
        <w:separator/>
      </w:r>
    </w:p>
    <w:p w:rsidR="00E11757" w:rsidRDefault="00E11757" w:rsidP="00E946A0"/>
  </w:endnote>
  <w:endnote w:type="continuationSeparator" w:id="0">
    <w:p w:rsidR="00E11757" w:rsidRDefault="00E11757" w:rsidP="00E946A0">
      <w:r>
        <w:continuationSeparator/>
      </w:r>
    </w:p>
    <w:p w:rsidR="00E11757" w:rsidRDefault="00E11757"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73716A1-BF74-42BD-B9AA-7E202364497F}"/>
  </w:font>
  <w:font w:name="Webdings">
    <w:panose1 w:val="05030102010509060703"/>
    <w:charset w:val="02"/>
    <w:family w:val="roman"/>
    <w:pitch w:val="variable"/>
    <w:sig w:usb0="00000000" w:usb1="10000000" w:usb2="00000000" w:usb3="00000000" w:csb0="80000000" w:csb1="00000000"/>
    <w:embedRegular r:id="rId2" w:subsetted="1" w:fontKey="{9D87995C-B8A9-421A-AC68-0B0A247B624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3" w:subsetted="1" w:fontKey="{33FB9584-D2D4-4403-80F7-C79BCF367F15}"/>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4" w:subsetted="1" w:fontKey="{FB3595E2-EB2F-4D83-8A10-378CA2CD79E0}"/>
    <w:embedBold r:id="rId5" w:subsetted="1" w:fontKey="{03B42EA4-1B6B-43F1-B94A-DDA69F306741}"/>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58" w:rsidRDefault="005E5FEB" w:rsidP="00E946A0">
    <w:pPr>
      <w:pStyle w:val="Footer"/>
      <w:rPr>
        <w:rStyle w:val="PageNumber"/>
      </w:rPr>
    </w:pPr>
    <w:r>
      <w:rPr>
        <w:rStyle w:val="PageNumber"/>
      </w:rPr>
      <w:fldChar w:fldCharType="begin"/>
    </w:r>
    <w:r w:rsidR="00AE6E58">
      <w:rPr>
        <w:rStyle w:val="PageNumber"/>
      </w:rPr>
      <w:instrText xml:space="preserve">PAGE  </w:instrText>
    </w:r>
    <w:r>
      <w:rPr>
        <w:rStyle w:val="PageNumber"/>
      </w:rPr>
      <w:fldChar w:fldCharType="end"/>
    </w:r>
  </w:p>
  <w:p w:rsidR="00AE6E58" w:rsidRDefault="00AE6E58" w:rsidP="00E946A0">
    <w:pPr>
      <w:pStyle w:val="Footer"/>
    </w:pPr>
  </w:p>
  <w:p w:rsidR="00AE6E58" w:rsidRDefault="00AE6E58" w:rsidP="00E946A0"/>
  <w:p w:rsidR="00AE6E58" w:rsidRDefault="00AE6E5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58" w:rsidRPr="00563CB8" w:rsidRDefault="00AE6E5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E6E58" w:rsidTr="0039525B">
      <w:trPr>
        <w:trHeight w:val="705"/>
      </w:trPr>
      <w:tc>
        <w:tcPr>
          <w:tcW w:w="4609" w:type="dxa"/>
          <w:shd w:val="clear" w:color="auto" w:fill="auto"/>
          <w:vAlign w:val="center"/>
        </w:tcPr>
        <w:p w:rsidR="00AE6E58" w:rsidRPr="00070761" w:rsidRDefault="00AE6E58" w:rsidP="004F2969">
          <w:pPr>
            <w:pStyle w:val="FooterText"/>
            <w:rPr>
              <w:rFonts w:asciiTheme="minorHAnsi" w:hAnsiTheme="minorHAnsi"/>
            </w:rPr>
          </w:pPr>
          <w:r w:rsidRPr="00070761">
            <w:rPr>
              <w:rFonts w:asciiTheme="minorHAnsi" w:hAnsiTheme="minorHAnsi"/>
            </w:rPr>
            <w:t>File:</w:t>
          </w:r>
          <w:r w:rsidRPr="00070761">
            <w:rPr>
              <w:rFonts w:asciiTheme="minorHAnsi" w:hAnsiTheme="minorHAnsi"/>
              <w:b w:val="0"/>
            </w:rPr>
            <w:t xml:space="preserve"> 10.3.2 Lesson 5</w:t>
          </w:r>
          <w:r w:rsidRPr="00070761">
            <w:rPr>
              <w:rFonts w:asciiTheme="minorHAnsi" w:hAnsiTheme="minorHAnsi"/>
            </w:rPr>
            <w:t xml:space="preserve"> Date:</w:t>
          </w:r>
          <w:r w:rsidRPr="00070761">
            <w:rPr>
              <w:rFonts w:asciiTheme="minorHAnsi" w:hAnsiTheme="minorHAnsi"/>
              <w:b w:val="0"/>
            </w:rPr>
            <w:t xml:space="preserve"> 4/1</w:t>
          </w:r>
          <w:r w:rsidR="00EB38EA">
            <w:rPr>
              <w:rFonts w:asciiTheme="minorHAnsi" w:hAnsiTheme="minorHAnsi"/>
              <w:b w:val="0"/>
            </w:rPr>
            <w:t>8</w:t>
          </w:r>
          <w:r w:rsidRPr="00070761">
            <w:rPr>
              <w:rFonts w:asciiTheme="minorHAnsi" w:hAnsiTheme="minorHAnsi"/>
              <w:b w:val="0"/>
            </w:rPr>
            <w:t xml:space="preserve">/14 </w:t>
          </w:r>
          <w:r w:rsidRPr="00070761">
            <w:rPr>
              <w:rFonts w:asciiTheme="minorHAnsi" w:hAnsiTheme="minorHAnsi"/>
            </w:rPr>
            <w:t>Classroom Use:</w:t>
          </w:r>
          <w:r w:rsidRPr="00070761">
            <w:rPr>
              <w:rFonts w:asciiTheme="minorHAnsi" w:hAnsiTheme="minorHAnsi"/>
              <w:b w:val="0"/>
            </w:rPr>
            <w:t xml:space="preserve"> Starting 4/2014 </w:t>
          </w:r>
        </w:p>
        <w:p w:rsidR="00AE6E58" w:rsidRPr="00070761" w:rsidRDefault="00AE6E58" w:rsidP="004F2969">
          <w:pPr>
            <w:pStyle w:val="FooterText"/>
            <w:rPr>
              <w:rFonts w:asciiTheme="minorHAnsi" w:hAnsiTheme="minorHAnsi"/>
              <w:b w:val="0"/>
              <w:i/>
              <w:sz w:val="12"/>
            </w:rPr>
          </w:pPr>
          <w:r w:rsidRPr="00070761">
            <w:rPr>
              <w:rFonts w:asciiTheme="minorHAnsi" w:hAnsiTheme="minorHAnsi"/>
              <w:b w:val="0"/>
              <w:sz w:val="12"/>
            </w:rPr>
            <w:t>© 2014 Public Consulting Group.</w:t>
          </w:r>
          <w:r w:rsidRPr="00070761">
            <w:rPr>
              <w:rFonts w:asciiTheme="minorHAnsi" w:hAnsiTheme="minorHAnsi"/>
              <w:b w:val="0"/>
              <w:i/>
              <w:sz w:val="12"/>
            </w:rPr>
            <w:t xml:space="preserve"> This work is licensed under a </w:t>
          </w:r>
        </w:p>
        <w:p w:rsidR="00AE6E58" w:rsidRPr="00070761" w:rsidRDefault="00AE6E58" w:rsidP="004F2969">
          <w:pPr>
            <w:pStyle w:val="FooterText"/>
            <w:rPr>
              <w:rFonts w:asciiTheme="minorHAnsi" w:hAnsiTheme="minorHAnsi"/>
              <w:b w:val="0"/>
              <w:i/>
            </w:rPr>
          </w:pPr>
          <w:r w:rsidRPr="00070761">
            <w:rPr>
              <w:rFonts w:asciiTheme="minorHAnsi" w:hAnsiTheme="minorHAnsi"/>
              <w:b w:val="0"/>
              <w:i/>
              <w:sz w:val="12"/>
            </w:rPr>
            <w:t>Creative Commons Attribution-NonCommercial-ShareAlike 3.0 Unported License</w:t>
          </w:r>
        </w:p>
        <w:p w:rsidR="00AE6E58" w:rsidRPr="002E4C92" w:rsidRDefault="005E5FEB" w:rsidP="004F2969">
          <w:pPr>
            <w:pStyle w:val="FooterText"/>
          </w:pPr>
          <w:hyperlink r:id="rId1" w:history="1">
            <w:r w:rsidR="00AE6E58" w:rsidRPr="00070761">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E6E58" w:rsidRPr="002E4C92" w:rsidRDefault="005E5FE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E6E5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2B7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AE6E58" w:rsidRPr="002E4C92" w:rsidRDefault="00AE6E5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E6E58" w:rsidRPr="0039525B" w:rsidRDefault="00AE6E58"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58" w:rsidRPr="00563CB8" w:rsidRDefault="00AE6E58"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AE6E58" w:rsidTr="0039525B">
      <w:trPr>
        <w:trHeight w:val="705"/>
      </w:trPr>
      <w:tc>
        <w:tcPr>
          <w:tcW w:w="4609" w:type="dxa"/>
          <w:shd w:val="clear" w:color="auto" w:fill="auto"/>
          <w:vAlign w:val="center"/>
        </w:tcPr>
        <w:p w:rsidR="00AE6E58" w:rsidRPr="00070761" w:rsidRDefault="00AE6E58" w:rsidP="004F2969">
          <w:pPr>
            <w:pStyle w:val="FooterText"/>
            <w:rPr>
              <w:rFonts w:asciiTheme="minorHAnsi" w:hAnsiTheme="minorHAnsi"/>
            </w:rPr>
          </w:pPr>
          <w:r w:rsidRPr="00070761">
            <w:rPr>
              <w:rFonts w:asciiTheme="minorHAnsi" w:hAnsiTheme="minorHAnsi"/>
            </w:rPr>
            <w:t>File:</w:t>
          </w:r>
          <w:r w:rsidRPr="00070761">
            <w:rPr>
              <w:rFonts w:asciiTheme="minorHAnsi" w:hAnsiTheme="minorHAnsi"/>
              <w:b w:val="0"/>
            </w:rPr>
            <w:t xml:space="preserve"> 10.3.2 Lesson 5</w:t>
          </w:r>
          <w:r w:rsidRPr="00070761">
            <w:rPr>
              <w:rFonts w:asciiTheme="minorHAnsi" w:hAnsiTheme="minorHAnsi"/>
            </w:rPr>
            <w:t xml:space="preserve"> Date:</w:t>
          </w:r>
          <w:r w:rsidRPr="00070761">
            <w:rPr>
              <w:rFonts w:asciiTheme="minorHAnsi" w:hAnsiTheme="minorHAnsi"/>
              <w:b w:val="0"/>
            </w:rPr>
            <w:t xml:space="preserve"> 4/1</w:t>
          </w:r>
          <w:r w:rsidR="00EB38EA">
            <w:rPr>
              <w:rFonts w:asciiTheme="minorHAnsi" w:hAnsiTheme="minorHAnsi"/>
              <w:b w:val="0"/>
            </w:rPr>
            <w:t>8</w:t>
          </w:r>
          <w:r w:rsidRPr="00070761">
            <w:rPr>
              <w:rFonts w:asciiTheme="minorHAnsi" w:hAnsiTheme="minorHAnsi"/>
              <w:b w:val="0"/>
            </w:rPr>
            <w:t xml:space="preserve">/14 </w:t>
          </w:r>
          <w:r w:rsidRPr="00070761">
            <w:rPr>
              <w:rFonts w:asciiTheme="minorHAnsi" w:hAnsiTheme="minorHAnsi"/>
            </w:rPr>
            <w:t>Classroom Use:</w:t>
          </w:r>
          <w:r w:rsidRPr="00070761">
            <w:rPr>
              <w:rFonts w:asciiTheme="minorHAnsi" w:hAnsiTheme="minorHAnsi"/>
              <w:b w:val="0"/>
            </w:rPr>
            <w:t xml:space="preserve"> Starting 4/2014 </w:t>
          </w:r>
        </w:p>
        <w:p w:rsidR="00AE6E58" w:rsidRPr="00070761" w:rsidRDefault="00AE6E58" w:rsidP="004F2969">
          <w:pPr>
            <w:pStyle w:val="FooterText"/>
            <w:rPr>
              <w:rFonts w:asciiTheme="minorHAnsi" w:hAnsiTheme="minorHAnsi"/>
              <w:b w:val="0"/>
              <w:i/>
              <w:sz w:val="12"/>
            </w:rPr>
          </w:pPr>
          <w:r w:rsidRPr="00070761">
            <w:rPr>
              <w:rFonts w:asciiTheme="minorHAnsi" w:hAnsiTheme="minorHAnsi"/>
              <w:b w:val="0"/>
              <w:sz w:val="12"/>
            </w:rPr>
            <w:t>© 2014 Public Consulting Group.</w:t>
          </w:r>
          <w:r w:rsidRPr="00070761">
            <w:rPr>
              <w:rFonts w:asciiTheme="minorHAnsi" w:hAnsiTheme="minorHAnsi"/>
              <w:b w:val="0"/>
              <w:i/>
              <w:sz w:val="12"/>
            </w:rPr>
            <w:t xml:space="preserve"> This work is licensed under a </w:t>
          </w:r>
        </w:p>
        <w:p w:rsidR="00AE6E58" w:rsidRPr="00070761" w:rsidRDefault="00AE6E58" w:rsidP="004F2969">
          <w:pPr>
            <w:pStyle w:val="FooterText"/>
            <w:rPr>
              <w:rFonts w:asciiTheme="minorHAnsi" w:hAnsiTheme="minorHAnsi"/>
              <w:b w:val="0"/>
              <w:i/>
            </w:rPr>
          </w:pPr>
          <w:r w:rsidRPr="00070761">
            <w:rPr>
              <w:rFonts w:asciiTheme="minorHAnsi" w:hAnsiTheme="minorHAnsi"/>
              <w:b w:val="0"/>
              <w:i/>
              <w:sz w:val="12"/>
            </w:rPr>
            <w:t>Creative Commons Attribution-NonCommercial-ShareAlike 3.0 Unported License</w:t>
          </w:r>
        </w:p>
        <w:p w:rsidR="00AE6E58" w:rsidRPr="002E4C92" w:rsidRDefault="005E5FEB" w:rsidP="004F2969">
          <w:pPr>
            <w:pStyle w:val="FooterText"/>
          </w:pPr>
          <w:hyperlink r:id="rId1" w:history="1">
            <w:r w:rsidR="00AE6E58" w:rsidRPr="00070761">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E6E58" w:rsidRPr="002E4C92" w:rsidRDefault="005E5FE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E6E5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2B7E">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rsidR="00AE6E58" w:rsidRPr="002E4C92" w:rsidRDefault="00AE6E5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E6E58" w:rsidRPr="0039525B" w:rsidRDefault="00AE6E5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57" w:rsidRDefault="00E11757" w:rsidP="00E946A0">
      <w:r>
        <w:separator/>
      </w:r>
    </w:p>
    <w:p w:rsidR="00E11757" w:rsidRDefault="00E11757" w:rsidP="00E946A0"/>
  </w:footnote>
  <w:footnote w:type="continuationSeparator" w:id="0">
    <w:p w:rsidR="00E11757" w:rsidRDefault="00E11757" w:rsidP="00E946A0">
      <w:r>
        <w:continuationSeparator/>
      </w:r>
    </w:p>
    <w:p w:rsidR="00E11757" w:rsidRDefault="00E11757"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E6E58" w:rsidRPr="00563CB8" w:rsidTr="00E946A0">
      <w:tc>
        <w:tcPr>
          <w:tcW w:w="3708" w:type="dxa"/>
          <w:shd w:val="clear" w:color="auto" w:fill="auto"/>
        </w:tcPr>
        <w:p w:rsidR="00AE6E58" w:rsidRPr="00563CB8" w:rsidRDefault="00AE6E5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E6E58" w:rsidRPr="00563CB8" w:rsidRDefault="00AE6E58" w:rsidP="00E946A0">
          <w:pPr>
            <w:jc w:val="center"/>
          </w:pPr>
          <w:r w:rsidRPr="00563CB8">
            <w:t>D R A F T</w:t>
          </w:r>
        </w:p>
      </w:tc>
      <w:tc>
        <w:tcPr>
          <w:tcW w:w="3438" w:type="dxa"/>
          <w:shd w:val="clear" w:color="auto" w:fill="auto"/>
        </w:tcPr>
        <w:p w:rsidR="00AE6E58" w:rsidRPr="00E946A0" w:rsidRDefault="00AE6E58" w:rsidP="00070761">
          <w:pPr>
            <w:pStyle w:val="PageHeader"/>
            <w:jc w:val="right"/>
            <w:rPr>
              <w:b w:val="0"/>
            </w:rPr>
          </w:pPr>
          <w:r>
            <w:rPr>
              <w:b w:val="0"/>
            </w:rPr>
            <w:t>Grade 10 • Module 3</w:t>
          </w:r>
          <w:r w:rsidRPr="00E946A0">
            <w:rPr>
              <w:b w:val="0"/>
            </w:rPr>
            <w:t xml:space="preserve"> • Unit </w:t>
          </w:r>
          <w:r>
            <w:rPr>
              <w:b w:val="0"/>
            </w:rPr>
            <w:t>2</w:t>
          </w:r>
          <w:r w:rsidRPr="00E946A0">
            <w:rPr>
              <w:b w:val="0"/>
            </w:rPr>
            <w:t xml:space="preserve"> • Lesson </w:t>
          </w:r>
          <w:r>
            <w:rPr>
              <w:b w:val="0"/>
            </w:rPr>
            <w:t>5</w:t>
          </w:r>
        </w:p>
      </w:tc>
    </w:tr>
  </w:tbl>
  <w:p w:rsidR="00AE6E58" w:rsidRDefault="00AE6E58"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AE6E58" w:rsidRPr="00563CB8" w:rsidTr="00E946A0">
      <w:tc>
        <w:tcPr>
          <w:tcW w:w="3708" w:type="dxa"/>
          <w:shd w:val="clear" w:color="auto" w:fill="auto"/>
        </w:tcPr>
        <w:p w:rsidR="00AE6E58" w:rsidRPr="00563CB8" w:rsidRDefault="00AE6E5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E6E58" w:rsidRPr="00563CB8" w:rsidRDefault="00AE6E58" w:rsidP="00E946A0">
          <w:pPr>
            <w:jc w:val="center"/>
          </w:pPr>
          <w:r w:rsidRPr="00563CB8">
            <w:t>D R A F T</w:t>
          </w:r>
        </w:p>
      </w:tc>
      <w:tc>
        <w:tcPr>
          <w:tcW w:w="3438" w:type="dxa"/>
          <w:shd w:val="clear" w:color="auto" w:fill="auto"/>
        </w:tcPr>
        <w:p w:rsidR="00AE6E58" w:rsidRPr="00E946A0" w:rsidRDefault="00AE6E58" w:rsidP="00070761">
          <w:pPr>
            <w:pStyle w:val="PageHeader"/>
            <w:jc w:val="right"/>
            <w:rPr>
              <w:b w:val="0"/>
            </w:rPr>
          </w:pPr>
          <w:r>
            <w:rPr>
              <w:b w:val="0"/>
            </w:rPr>
            <w:t>Grade 10 • Module 3</w:t>
          </w:r>
          <w:r w:rsidRPr="00E946A0">
            <w:rPr>
              <w:b w:val="0"/>
            </w:rPr>
            <w:t xml:space="preserve"> • Unit </w:t>
          </w:r>
          <w:r>
            <w:rPr>
              <w:b w:val="0"/>
            </w:rPr>
            <w:t>2</w:t>
          </w:r>
          <w:r w:rsidRPr="00E946A0">
            <w:rPr>
              <w:b w:val="0"/>
            </w:rPr>
            <w:t xml:space="preserve"> • Lesson </w:t>
          </w:r>
          <w:r>
            <w:rPr>
              <w:b w:val="0"/>
            </w:rPr>
            <w:t>5</w:t>
          </w:r>
        </w:p>
      </w:tc>
    </w:tr>
  </w:tbl>
  <w:p w:rsidR="00AE6E58" w:rsidRDefault="00AE6E5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7BE6C81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7A9E6BF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AFD2B998"/>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90A6D02C"/>
    <w:lvl w:ilvl="0" w:tplc="D5362DF2">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A2CCF7E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63E49"/>
    <w:multiLevelType w:val="hybridMultilevel"/>
    <w:tmpl w:val="87AE8536"/>
    <w:lvl w:ilvl="0" w:tplc="6D503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BCA23EFC"/>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79065CB8"/>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D99E2AB8"/>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7"/>
  </w:num>
  <w:num w:numId="32">
    <w:abstractNumId w:val="19"/>
  </w:num>
  <w:num w:numId="33">
    <w:abstractNumId w:val="24"/>
  </w:num>
  <w:num w:numId="34">
    <w:abstractNumId w:val="8"/>
    <w:lvlOverride w:ilvl="0">
      <w:startOverride w:val="1"/>
    </w:lvlOverride>
  </w:num>
  <w:num w:numId="35">
    <w:abstractNumId w:val="21"/>
  </w:num>
  <w:num w:numId="36">
    <w:abstractNumId w:val="9"/>
  </w:num>
  <w:num w:numId="37">
    <w:abstractNumId w:val="12"/>
  </w:num>
  <w:num w:numId="38">
    <w:abstractNumId w:val="26"/>
  </w:num>
  <w:num w:numId="39">
    <w:abstractNumId w:val="17"/>
  </w:num>
  <w:num w:numId="40">
    <w:abstractNumId w:val="1"/>
  </w:num>
  <w:num w:numId="41">
    <w:abstractNumId w:val="21"/>
  </w:num>
  <w:num w:numId="42">
    <w:abstractNumId w:val="8"/>
    <w:lvlOverride w:ilvl="0">
      <w:startOverride w:val="1"/>
    </w:lvlOverride>
  </w:num>
  <w:num w:numId="43">
    <w:abstractNumId w:val="24"/>
  </w:num>
  <w:num w:numId="44">
    <w:abstractNumId w:val="2"/>
  </w:num>
  <w:num w:numId="45">
    <w:abstractNumId w:val="19"/>
  </w:num>
  <w:num w:numId="46">
    <w:abstractNumId w:val="26"/>
  </w:num>
  <w:num w:numId="47">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6AD"/>
    <w:rsid w:val="00002FD5"/>
    <w:rsid w:val="0000314D"/>
    <w:rsid w:val="00007CBA"/>
    <w:rsid w:val="00007F67"/>
    <w:rsid w:val="000103DF"/>
    <w:rsid w:val="00011E99"/>
    <w:rsid w:val="000134DA"/>
    <w:rsid w:val="000137C5"/>
    <w:rsid w:val="00014D5D"/>
    <w:rsid w:val="00020527"/>
    <w:rsid w:val="00021589"/>
    <w:rsid w:val="0002335F"/>
    <w:rsid w:val="00034456"/>
    <w:rsid w:val="00034661"/>
    <w:rsid w:val="00034778"/>
    <w:rsid w:val="0003519A"/>
    <w:rsid w:val="00053088"/>
    <w:rsid w:val="00062291"/>
    <w:rsid w:val="0006233C"/>
    <w:rsid w:val="00064850"/>
    <w:rsid w:val="00066123"/>
    <w:rsid w:val="000669A2"/>
    <w:rsid w:val="0006776C"/>
    <w:rsid w:val="00070761"/>
    <w:rsid w:val="00071936"/>
    <w:rsid w:val="00072749"/>
    <w:rsid w:val="000742AA"/>
    <w:rsid w:val="00075649"/>
    <w:rsid w:val="00080A8A"/>
    <w:rsid w:val="00081E0E"/>
    <w:rsid w:val="000848B2"/>
    <w:rsid w:val="00086A06"/>
    <w:rsid w:val="00090200"/>
    <w:rsid w:val="000923E6"/>
    <w:rsid w:val="00092730"/>
    <w:rsid w:val="000928EA"/>
    <w:rsid w:val="00092C82"/>
    <w:rsid w:val="00093755"/>
    <w:rsid w:val="00095BBA"/>
    <w:rsid w:val="00096A06"/>
    <w:rsid w:val="00097AD9"/>
    <w:rsid w:val="000A1206"/>
    <w:rsid w:val="000A26A7"/>
    <w:rsid w:val="000A3640"/>
    <w:rsid w:val="000B1882"/>
    <w:rsid w:val="000B288A"/>
    <w:rsid w:val="000B2D56"/>
    <w:rsid w:val="000B3015"/>
    <w:rsid w:val="000B3836"/>
    <w:rsid w:val="000B6EA7"/>
    <w:rsid w:val="000C0112"/>
    <w:rsid w:val="000C169A"/>
    <w:rsid w:val="000C2B7F"/>
    <w:rsid w:val="000C4439"/>
    <w:rsid w:val="000C4813"/>
    <w:rsid w:val="000C5656"/>
    <w:rsid w:val="000C5893"/>
    <w:rsid w:val="000D0F3D"/>
    <w:rsid w:val="000D0FAE"/>
    <w:rsid w:val="000D3399"/>
    <w:rsid w:val="000D3A42"/>
    <w:rsid w:val="000D3EFC"/>
    <w:rsid w:val="000E0B69"/>
    <w:rsid w:val="000E0EE9"/>
    <w:rsid w:val="000E4DBA"/>
    <w:rsid w:val="000F192C"/>
    <w:rsid w:val="000F1FDD"/>
    <w:rsid w:val="000F2414"/>
    <w:rsid w:val="000F25D1"/>
    <w:rsid w:val="000F4C98"/>
    <w:rsid w:val="000F55AE"/>
    <w:rsid w:val="000F7D35"/>
    <w:rsid w:val="000F7F56"/>
    <w:rsid w:val="0010235F"/>
    <w:rsid w:val="001105C3"/>
    <w:rsid w:val="00110A04"/>
    <w:rsid w:val="00111A39"/>
    <w:rsid w:val="00113501"/>
    <w:rsid w:val="001136D2"/>
    <w:rsid w:val="0011533B"/>
    <w:rsid w:val="001154F6"/>
    <w:rsid w:val="001159C2"/>
    <w:rsid w:val="001215F2"/>
    <w:rsid w:val="00121C27"/>
    <w:rsid w:val="001258FD"/>
    <w:rsid w:val="00133528"/>
    <w:rsid w:val="001352AE"/>
    <w:rsid w:val="001362D4"/>
    <w:rsid w:val="00136D07"/>
    <w:rsid w:val="0013755A"/>
    <w:rsid w:val="00140413"/>
    <w:rsid w:val="001509EC"/>
    <w:rsid w:val="0015118C"/>
    <w:rsid w:val="00156124"/>
    <w:rsid w:val="001635FC"/>
    <w:rsid w:val="00163983"/>
    <w:rsid w:val="001657A6"/>
    <w:rsid w:val="001708C2"/>
    <w:rsid w:val="001723D5"/>
    <w:rsid w:val="00174101"/>
    <w:rsid w:val="00175B00"/>
    <w:rsid w:val="00183A4C"/>
    <w:rsid w:val="0018630D"/>
    <w:rsid w:val="00186355"/>
    <w:rsid w:val="001864E6"/>
    <w:rsid w:val="001868F1"/>
    <w:rsid w:val="00186FDA"/>
    <w:rsid w:val="0018762C"/>
    <w:rsid w:val="001945FA"/>
    <w:rsid w:val="00194F1D"/>
    <w:rsid w:val="001A5133"/>
    <w:rsid w:val="001B0794"/>
    <w:rsid w:val="001B1487"/>
    <w:rsid w:val="001B202D"/>
    <w:rsid w:val="001B5700"/>
    <w:rsid w:val="001C1C99"/>
    <w:rsid w:val="001C2309"/>
    <w:rsid w:val="001C33BE"/>
    <w:rsid w:val="001C35E3"/>
    <w:rsid w:val="001C5188"/>
    <w:rsid w:val="001C65D2"/>
    <w:rsid w:val="001C6B70"/>
    <w:rsid w:val="001D047B"/>
    <w:rsid w:val="001D0518"/>
    <w:rsid w:val="001D641A"/>
    <w:rsid w:val="001E189E"/>
    <w:rsid w:val="001E2E8D"/>
    <w:rsid w:val="001E509F"/>
    <w:rsid w:val="001F0991"/>
    <w:rsid w:val="001F10BF"/>
    <w:rsid w:val="001F56A7"/>
    <w:rsid w:val="001F635D"/>
    <w:rsid w:val="001F6C4F"/>
    <w:rsid w:val="002009F7"/>
    <w:rsid w:val="0020138A"/>
    <w:rsid w:val="002041CD"/>
    <w:rsid w:val="00207C8B"/>
    <w:rsid w:val="002116DC"/>
    <w:rsid w:val="00215275"/>
    <w:rsid w:val="00215949"/>
    <w:rsid w:val="00223A93"/>
    <w:rsid w:val="00224590"/>
    <w:rsid w:val="00226DFF"/>
    <w:rsid w:val="0023066D"/>
    <w:rsid w:val="002306FF"/>
    <w:rsid w:val="00231919"/>
    <w:rsid w:val="0023472C"/>
    <w:rsid w:val="00236B9C"/>
    <w:rsid w:val="0024051D"/>
    <w:rsid w:val="00240FF7"/>
    <w:rsid w:val="0024557C"/>
    <w:rsid w:val="00245B86"/>
    <w:rsid w:val="002516D4"/>
    <w:rsid w:val="00251A7C"/>
    <w:rsid w:val="00251DAB"/>
    <w:rsid w:val="00252A56"/>
    <w:rsid w:val="00252D78"/>
    <w:rsid w:val="002619B1"/>
    <w:rsid w:val="002635F4"/>
    <w:rsid w:val="00263AF5"/>
    <w:rsid w:val="002661A8"/>
    <w:rsid w:val="00270E1C"/>
    <w:rsid w:val="00273BFD"/>
    <w:rsid w:val="002748DB"/>
    <w:rsid w:val="00274FEB"/>
    <w:rsid w:val="00276A54"/>
    <w:rsid w:val="00276DB9"/>
    <w:rsid w:val="0028184C"/>
    <w:rsid w:val="00284B9E"/>
    <w:rsid w:val="00284FC0"/>
    <w:rsid w:val="00286DEC"/>
    <w:rsid w:val="0028760F"/>
    <w:rsid w:val="00287E2D"/>
    <w:rsid w:val="00290F88"/>
    <w:rsid w:val="0029527C"/>
    <w:rsid w:val="00297D5A"/>
    <w:rsid w:val="00297DC5"/>
    <w:rsid w:val="002A1FA3"/>
    <w:rsid w:val="002A21DE"/>
    <w:rsid w:val="002A4DCF"/>
    <w:rsid w:val="002A5337"/>
    <w:rsid w:val="002C0245"/>
    <w:rsid w:val="002C02FB"/>
    <w:rsid w:val="002C5F0D"/>
    <w:rsid w:val="002D5EA9"/>
    <w:rsid w:val="002D5EB9"/>
    <w:rsid w:val="002D632F"/>
    <w:rsid w:val="002E27AE"/>
    <w:rsid w:val="002E477A"/>
    <w:rsid w:val="002E4C92"/>
    <w:rsid w:val="002F03D2"/>
    <w:rsid w:val="002F3D65"/>
    <w:rsid w:val="00302485"/>
    <w:rsid w:val="003067BF"/>
    <w:rsid w:val="00310E4B"/>
    <w:rsid w:val="00311E81"/>
    <w:rsid w:val="00317306"/>
    <w:rsid w:val="003177AE"/>
    <w:rsid w:val="003201AC"/>
    <w:rsid w:val="0032239A"/>
    <w:rsid w:val="00327C7C"/>
    <w:rsid w:val="00335168"/>
    <w:rsid w:val="003368BF"/>
    <w:rsid w:val="003440A9"/>
    <w:rsid w:val="00347761"/>
    <w:rsid w:val="00347DD9"/>
    <w:rsid w:val="00350B03"/>
    <w:rsid w:val="00351464"/>
    <w:rsid w:val="00351640"/>
    <w:rsid w:val="00351804"/>
    <w:rsid w:val="00351F18"/>
    <w:rsid w:val="00352361"/>
    <w:rsid w:val="0035292A"/>
    <w:rsid w:val="00353081"/>
    <w:rsid w:val="00355B9E"/>
    <w:rsid w:val="00356656"/>
    <w:rsid w:val="00356D18"/>
    <w:rsid w:val="00362010"/>
    <w:rsid w:val="00364CD8"/>
    <w:rsid w:val="0036720D"/>
    <w:rsid w:val="00370C53"/>
    <w:rsid w:val="00371C93"/>
    <w:rsid w:val="00372441"/>
    <w:rsid w:val="0037258B"/>
    <w:rsid w:val="00374C35"/>
    <w:rsid w:val="00376DBB"/>
    <w:rsid w:val="003822E1"/>
    <w:rsid w:val="003826B0"/>
    <w:rsid w:val="0038382F"/>
    <w:rsid w:val="00383A2A"/>
    <w:rsid w:val="003851B2"/>
    <w:rsid w:val="003852F1"/>
    <w:rsid w:val="003854D3"/>
    <w:rsid w:val="0038635E"/>
    <w:rsid w:val="00387252"/>
    <w:rsid w:val="003908A9"/>
    <w:rsid w:val="003908D2"/>
    <w:rsid w:val="003924D0"/>
    <w:rsid w:val="0039525B"/>
    <w:rsid w:val="003A114D"/>
    <w:rsid w:val="003A1842"/>
    <w:rsid w:val="003A3AB0"/>
    <w:rsid w:val="003A6785"/>
    <w:rsid w:val="003B0DD9"/>
    <w:rsid w:val="003B3DB9"/>
    <w:rsid w:val="003B6864"/>
    <w:rsid w:val="003B7708"/>
    <w:rsid w:val="003C05CF"/>
    <w:rsid w:val="003C2022"/>
    <w:rsid w:val="003C24AD"/>
    <w:rsid w:val="003D2601"/>
    <w:rsid w:val="003D27E3"/>
    <w:rsid w:val="003D28E6"/>
    <w:rsid w:val="003D7204"/>
    <w:rsid w:val="003D73C9"/>
    <w:rsid w:val="003D7469"/>
    <w:rsid w:val="003E0C42"/>
    <w:rsid w:val="003E2C04"/>
    <w:rsid w:val="003E3757"/>
    <w:rsid w:val="003E693A"/>
    <w:rsid w:val="003F16B1"/>
    <w:rsid w:val="003F1B40"/>
    <w:rsid w:val="003F2833"/>
    <w:rsid w:val="003F3D65"/>
    <w:rsid w:val="003F78AC"/>
    <w:rsid w:val="0040244B"/>
    <w:rsid w:val="00403150"/>
    <w:rsid w:val="00405198"/>
    <w:rsid w:val="00406E62"/>
    <w:rsid w:val="00411B08"/>
    <w:rsid w:val="00412A7D"/>
    <w:rsid w:val="004134B8"/>
    <w:rsid w:val="004179FD"/>
    <w:rsid w:val="00421157"/>
    <w:rsid w:val="00423612"/>
    <w:rsid w:val="0042474E"/>
    <w:rsid w:val="00425E32"/>
    <w:rsid w:val="004261F0"/>
    <w:rsid w:val="00427B73"/>
    <w:rsid w:val="00430613"/>
    <w:rsid w:val="00432D7F"/>
    <w:rsid w:val="004359CC"/>
    <w:rsid w:val="00436909"/>
    <w:rsid w:val="0043715A"/>
    <w:rsid w:val="00437FD0"/>
    <w:rsid w:val="004402AC"/>
    <w:rsid w:val="004403EE"/>
    <w:rsid w:val="00440948"/>
    <w:rsid w:val="004452D5"/>
    <w:rsid w:val="004461E5"/>
    <w:rsid w:val="00446AFD"/>
    <w:rsid w:val="004528AF"/>
    <w:rsid w:val="004536D7"/>
    <w:rsid w:val="00455FC4"/>
    <w:rsid w:val="00456F88"/>
    <w:rsid w:val="0045725F"/>
    <w:rsid w:val="00457F98"/>
    <w:rsid w:val="004628A0"/>
    <w:rsid w:val="00462F61"/>
    <w:rsid w:val="00465AE6"/>
    <w:rsid w:val="00470E93"/>
    <w:rsid w:val="004713C2"/>
    <w:rsid w:val="00472F34"/>
    <w:rsid w:val="0047469B"/>
    <w:rsid w:val="0047548A"/>
    <w:rsid w:val="00476B94"/>
    <w:rsid w:val="00477B3D"/>
    <w:rsid w:val="00482C15"/>
    <w:rsid w:val="004838D9"/>
    <w:rsid w:val="00484822"/>
    <w:rsid w:val="00485D55"/>
    <w:rsid w:val="0049409E"/>
    <w:rsid w:val="00497017"/>
    <w:rsid w:val="00497613"/>
    <w:rsid w:val="004A04D2"/>
    <w:rsid w:val="004A3F30"/>
    <w:rsid w:val="004A7059"/>
    <w:rsid w:val="004B0C5F"/>
    <w:rsid w:val="004B22B8"/>
    <w:rsid w:val="004B3E41"/>
    <w:rsid w:val="004B552B"/>
    <w:rsid w:val="004B7C07"/>
    <w:rsid w:val="004C302C"/>
    <w:rsid w:val="004C602D"/>
    <w:rsid w:val="004C6CD8"/>
    <w:rsid w:val="004D29F1"/>
    <w:rsid w:val="004D30AF"/>
    <w:rsid w:val="004D487C"/>
    <w:rsid w:val="004D5473"/>
    <w:rsid w:val="004D7029"/>
    <w:rsid w:val="004E07DB"/>
    <w:rsid w:val="004E1B0E"/>
    <w:rsid w:val="004F2363"/>
    <w:rsid w:val="004F2969"/>
    <w:rsid w:val="004F353F"/>
    <w:rsid w:val="004F62CF"/>
    <w:rsid w:val="00502FAD"/>
    <w:rsid w:val="00507DF5"/>
    <w:rsid w:val="005121D2"/>
    <w:rsid w:val="00513C73"/>
    <w:rsid w:val="00513E84"/>
    <w:rsid w:val="00517918"/>
    <w:rsid w:val="00517A89"/>
    <w:rsid w:val="00521B56"/>
    <w:rsid w:val="0052385B"/>
    <w:rsid w:val="0052413A"/>
    <w:rsid w:val="0052748A"/>
    <w:rsid w:val="0052769A"/>
    <w:rsid w:val="00527DE8"/>
    <w:rsid w:val="005324A5"/>
    <w:rsid w:val="00541A6A"/>
    <w:rsid w:val="00542523"/>
    <w:rsid w:val="00546D71"/>
    <w:rsid w:val="0054791C"/>
    <w:rsid w:val="0055340D"/>
    <w:rsid w:val="0055385D"/>
    <w:rsid w:val="00553BA1"/>
    <w:rsid w:val="00561640"/>
    <w:rsid w:val="00563CB8"/>
    <w:rsid w:val="00563DC9"/>
    <w:rsid w:val="005641F5"/>
    <w:rsid w:val="00565871"/>
    <w:rsid w:val="00566BC0"/>
    <w:rsid w:val="00567E85"/>
    <w:rsid w:val="00570901"/>
    <w:rsid w:val="00576E4A"/>
    <w:rsid w:val="00581401"/>
    <w:rsid w:val="005837C5"/>
    <w:rsid w:val="00583FF7"/>
    <w:rsid w:val="00585270"/>
    <w:rsid w:val="00585771"/>
    <w:rsid w:val="00585A0D"/>
    <w:rsid w:val="005875D8"/>
    <w:rsid w:val="00592D68"/>
    <w:rsid w:val="00593697"/>
    <w:rsid w:val="00595905"/>
    <w:rsid w:val="005960E3"/>
    <w:rsid w:val="005A1CEC"/>
    <w:rsid w:val="005A7968"/>
    <w:rsid w:val="005B22B2"/>
    <w:rsid w:val="005B3D78"/>
    <w:rsid w:val="005B489E"/>
    <w:rsid w:val="005B7E6E"/>
    <w:rsid w:val="005C4572"/>
    <w:rsid w:val="005C7B5F"/>
    <w:rsid w:val="005D08EA"/>
    <w:rsid w:val="005D2522"/>
    <w:rsid w:val="005D7C72"/>
    <w:rsid w:val="005E2E87"/>
    <w:rsid w:val="005E5FEB"/>
    <w:rsid w:val="005E6130"/>
    <w:rsid w:val="005F147C"/>
    <w:rsid w:val="005F1875"/>
    <w:rsid w:val="005F407D"/>
    <w:rsid w:val="005F5D35"/>
    <w:rsid w:val="005F657A"/>
    <w:rsid w:val="00603970"/>
    <w:rsid w:val="006044CD"/>
    <w:rsid w:val="00607856"/>
    <w:rsid w:val="006124D5"/>
    <w:rsid w:val="00621AAA"/>
    <w:rsid w:val="0062277B"/>
    <w:rsid w:val="0062300F"/>
    <w:rsid w:val="006261E1"/>
    <w:rsid w:val="00626E4A"/>
    <w:rsid w:val="00631FCB"/>
    <w:rsid w:val="006331ED"/>
    <w:rsid w:val="0063653C"/>
    <w:rsid w:val="006375AF"/>
    <w:rsid w:val="006401E7"/>
    <w:rsid w:val="006412DA"/>
    <w:rsid w:val="00641DC5"/>
    <w:rsid w:val="00643550"/>
    <w:rsid w:val="00644540"/>
    <w:rsid w:val="00645C3F"/>
    <w:rsid w:val="00646088"/>
    <w:rsid w:val="00650CD1"/>
    <w:rsid w:val="00651092"/>
    <w:rsid w:val="00653ABB"/>
    <w:rsid w:val="00654463"/>
    <w:rsid w:val="00654922"/>
    <w:rsid w:val="0066211A"/>
    <w:rsid w:val="00663A00"/>
    <w:rsid w:val="006646A0"/>
    <w:rsid w:val="006661AE"/>
    <w:rsid w:val="006667A3"/>
    <w:rsid w:val="00674534"/>
    <w:rsid w:val="0068018C"/>
    <w:rsid w:val="0068609A"/>
    <w:rsid w:val="0069247E"/>
    <w:rsid w:val="00696173"/>
    <w:rsid w:val="006A09D6"/>
    <w:rsid w:val="006A3594"/>
    <w:rsid w:val="006B0965"/>
    <w:rsid w:val="006B61DD"/>
    <w:rsid w:val="006B7CCB"/>
    <w:rsid w:val="006C6C5E"/>
    <w:rsid w:val="006D5208"/>
    <w:rsid w:val="006E03B3"/>
    <w:rsid w:val="006E18C9"/>
    <w:rsid w:val="006E422B"/>
    <w:rsid w:val="006E4C84"/>
    <w:rsid w:val="006E7A67"/>
    <w:rsid w:val="006E7D3C"/>
    <w:rsid w:val="006F3BD7"/>
    <w:rsid w:val="00701F0E"/>
    <w:rsid w:val="00706F7A"/>
    <w:rsid w:val="00707670"/>
    <w:rsid w:val="00710600"/>
    <w:rsid w:val="00713015"/>
    <w:rsid w:val="0071459A"/>
    <w:rsid w:val="0071568E"/>
    <w:rsid w:val="00722751"/>
    <w:rsid w:val="0072440D"/>
    <w:rsid w:val="00724760"/>
    <w:rsid w:val="00726069"/>
    <w:rsid w:val="00726562"/>
    <w:rsid w:val="00726870"/>
    <w:rsid w:val="00730123"/>
    <w:rsid w:val="0073192F"/>
    <w:rsid w:val="00733250"/>
    <w:rsid w:val="00733782"/>
    <w:rsid w:val="00733C74"/>
    <w:rsid w:val="00737EE7"/>
    <w:rsid w:val="00741955"/>
    <w:rsid w:val="00747550"/>
    <w:rsid w:val="007623AE"/>
    <w:rsid w:val="0076269D"/>
    <w:rsid w:val="00766336"/>
    <w:rsid w:val="0076658E"/>
    <w:rsid w:val="00767641"/>
    <w:rsid w:val="00771F79"/>
    <w:rsid w:val="00772135"/>
    <w:rsid w:val="00772FCA"/>
    <w:rsid w:val="0077398D"/>
    <w:rsid w:val="00777D3B"/>
    <w:rsid w:val="00783B37"/>
    <w:rsid w:val="00790B99"/>
    <w:rsid w:val="00796D57"/>
    <w:rsid w:val="00797281"/>
    <w:rsid w:val="007A505C"/>
    <w:rsid w:val="007B0EDD"/>
    <w:rsid w:val="007B764B"/>
    <w:rsid w:val="007C14C1"/>
    <w:rsid w:val="007C1847"/>
    <w:rsid w:val="007C6E41"/>
    <w:rsid w:val="007C7DB0"/>
    <w:rsid w:val="007D1715"/>
    <w:rsid w:val="007D2F12"/>
    <w:rsid w:val="007D4463"/>
    <w:rsid w:val="007D5955"/>
    <w:rsid w:val="007D6CC7"/>
    <w:rsid w:val="007E1080"/>
    <w:rsid w:val="007E444B"/>
    <w:rsid w:val="007E463A"/>
    <w:rsid w:val="007E4E86"/>
    <w:rsid w:val="007E7665"/>
    <w:rsid w:val="007F76FC"/>
    <w:rsid w:val="00804C62"/>
    <w:rsid w:val="008067A6"/>
    <w:rsid w:val="00807C6B"/>
    <w:rsid w:val="008139A0"/>
    <w:rsid w:val="008151E5"/>
    <w:rsid w:val="00820EF9"/>
    <w:rsid w:val="0082210F"/>
    <w:rsid w:val="008228CD"/>
    <w:rsid w:val="00825AD4"/>
    <w:rsid w:val="008261D2"/>
    <w:rsid w:val="00831B4C"/>
    <w:rsid w:val="008336BE"/>
    <w:rsid w:val="00835495"/>
    <w:rsid w:val="0084015C"/>
    <w:rsid w:val="008434A6"/>
    <w:rsid w:val="0084358E"/>
    <w:rsid w:val="00845EB2"/>
    <w:rsid w:val="00847A03"/>
    <w:rsid w:val="00850CE6"/>
    <w:rsid w:val="00853CF3"/>
    <w:rsid w:val="00854970"/>
    <w:rsid w:val="00854D85"/>
    <w:rsid w:val="00855BB2"/>
    <w:rsid w:val="008572B2"/>
    <w:rsid w:val="00860A88"/>
    <w:rsid w:val="00864A80"/>
    <w:rsid w:val="0087209B"/>
    <w:rsid w:val="00872393"/>
    <w:rsid w:val="008732CC"/>
    <w:rsid w:val="00874AF4"/>
    <w:rsid w:val="00875D0A"/>
    <w:rsid w:val="00876632"/>
    <w:rsid w:val="00880AAD"/>
    <w:rsid w:val="00883761"/>
    <w:rsid w:val="00884AB6"/>
    <w:rsid w:val="008907FE"/>
    <w:rsid w:val="0089349F"/>
    <w:rsid w:val="00893930"/>
    <w:rsid w:val="00893A85"/>
    <w:rsid w:val="00897E18"/>
    <w:rsid w:val="008A0F55"/>
    <w:rsid w:val="008A1774"/>
    <w:rsid w:val="008A2DA8"/>
    <w:rsid w:val="008A5010"/>
    <w:rsid w:val="008A7263"/>
    <w:rsid w:val="008B1311"/>
    <w:rsid w:val="008B31CC"/>
    <w:rsid w:val="008B456C"/>
    <w:rsid w:val="008B5DE1"/>
    <w:rsid w:val="008C1826"/>
    <w:rsid w:val="008C21D0"/>
    <w:rsid w:val="008C7679"/>
    <w:rsid w:val="008D0396"/>
    <w:rsid w:val="008D3566"/>
    <w:rsid w:val="008D3BC0"/>
    <w:rsid w:val="008D5930"/>
    <w:rsid w:val="008D5D6B"/>
    <w:rsid w:val="008E251B"/>
    <w:rsid w:val="008E2674"/>
    <w:rsid w:val="008E5640"/>
    <w:rsid w:val="008F21EC"/>
    <w:rsid w:val="009000C9"/>
    <w:rsid w:val="00903656"/>
    <w:rsid w:val="00903751"/>
    <w:rsid w:val="00904637"/>
    <w:rsid w:val="00904BDD"/>
    <w:rsid w:val="009062ED"/>
    <w:rsid w:val="00907458"/>
    <w:rsid w:val="0090775D"/>
    <w:rsid w:val="00910075"/>
    <w:rsid w:val="00910D8E"/>
    <w:rsid w:val="009135A8"/>
    <w:rsid w:val="0091535B"/>
    <w:rsid w:val="0091722D"/>
    <w:rsid w:val="00920E6E"/>
    <w:rsid w:val="00922E34"/>
    <w:rsid w:val="00930780"/>
    <w:rsid w:val="009316C1"/>
    <w:rsid w:val="00931E44"/>
    <w:rsid w:val="00933100"/>
    <w:rsid w:val="00933E5D"/>
    <w:rsid w:val="00935701"/>
    <w:rsid w:val="00935F94"/>
    <w:rsid w:val="009403AD"/>
    <w:rsid w:val="0094277B"/>
    <w:rsid w:val="009429B7"/>
    <w:rsid w:val="00942A6C"/>
    <w:rsid w:val="00946230"/>
    <w:rsid w:val="0095433A"/>
    <w:rsid w:val="009547F6"/>
    <w:rsid w:val="00960144"/>
    <w:rsid w:val="0096199D"/>
    <w:rsid w:val="00962802"/>
    <w:rsid w:val="00963CDE"/>
    <w:rsid w:val="00964EAE"/>
    <w:rsid w:val="00966D72"/>
    <w:rsid w:val="00967678"/>
    <w:rsid w:val="0097223B"/>
    <w:rsid w:val="009732BA"/>
    <w:rsid w:val="00974C11"/>
    <w:rsid w:val="00976489"/>
    <w:rsid w:val="0098148A"/>
    <w:rsid w:val="009859E7"/>
    <w:rsid w:val="00987FFA"/>
    <w:rsid w:val="00992D1D"/>
    <w:rsid w:val="009A0390"/>
    <w:rsid w:val="009A3159"/>
    <w:rsid w:val="009A774D"/>
    <w:rsid w:val="009B0DE8"/>
    <w:rsid w:val="009B0F30"/>
    <w:rsid w:val="009B12D0"/>
    <w:rsid w:val="009B14FE"/>
    <w:rsid w:val="009B4FE2"/>
    <w:rsid w:val="009B7417"/>
    <w:rsid w:val="009B7C85"/>
    <w:rsid w:val="009C0391"/>
    <w:rsid w:val="009C2014"/>
    <w:rsid w:val="009C3C09"/>
    <w:rsid w:val="009C480A"/>
    <w:rsid w:val="009D0B7A"/>
    <w:rsid w:val="009D12CD"/>
    <w:rsid w:val="009D2572"/>
    <w:rsid w:val="009D79C2"/>
    <w:rsid w:val="009E05C6"/>
    <w:rsid w:val="009E07D2"/>
    <w:rsid w:val="009E3A94"/>
    <w:rsid w:val="009E734D"/>
    <w:rsid w:val="009F1D43"/>
    <w:rsid w:val="009F31D9"/>
    <w:rsid w:val="009F3652"/>
    <w:rsid w:val="009F4AB5"/>
    <w:rsid w:val="00A0163A"/>
    <w:rsid w:val="00A0164B"/>
    <w:rsid w:val="00A026A2"/>
    <w:rsid w:val="00A03EBB"/>
    <w:rsid w:val="00A05316"/>
    <w:rsid w:val="00A0658B"/>
    <w:rsid w:val="00A07A4E"/>
    <w:rsid w:val="00A13C1E"/>
    <w:rsid w:val="00A14F0A"/>
    <w:rsid w:val="00A16162"/>
    <w:rsid w:val="00A228D0"/>
    <w:rsid w:val="00A24DAB"/>
    <w:rsid w:val="00A253EA"/>
    <w:rsid w:val="00A3016B"/>
    <w:rsid w:val="00A32E00"/>
    <w:rsid w:val="00A34A24"/>
    <w:rsid w:val="00A43D1B"/>
    <w:rsid w:val="00A4462B"/>
    <w:rsid w:val="00A44F3B"/>
    <w:rsid w:val="00A4688B"/>
    <w:rsid w:val="00A51BD1"/>
    <w:rsid w:val="00A544F7"/>
    <w:rsid w:val="00A60EFF"/>
    <w:rsid w:val="00A6157C"/>
    <w:rsid w:val="00A65FF8"/>
    <w:rsid w:val="00A66F5F"/>
    <w:rsid w:val="00A671AA"/>
    <w:rsid w:val="00A67F5C"/>
    <w:rsid w:val="00A724BE"/>
    <w:rsid w:val="00A75116"/>
    <w:rsid w:val="00A77308"/>
    <w:rsid w:val="00A84A8E"/>
    <w:rsid w:val="00A908AC"/>
    <w:rsid w:val="00A948B3"/>
    <w:rsid w:val="00A95E92"/>
    <w:rsid w:val="00A968CA"/>
    <w:rsid w:val="00AA0831"/>
    <w:rsid w:val="00AA1DC0"/>
    <w:rsid w:val="00AA5F43"/>
    <w:rsid w:val="00AA7C9E"/>
    <w:rsid w:val="00AC1DE5"/>
    <w:rsid w:val="00AC1F67"/>
    <w:rsid w:val="00AC2AB4"/>
    <w:rsid w:val="00AC428E"/>
    <w:rsid w:val="00AC6562"/>
    <w:rsid w:val="00AD26BF"/>
    <w:rsid w:val="00AD2E2E"/>
    <w:rsid w:val="00AD440D"/>
    <w:rsid w:val="00AE01CA"/>
    <w:rsid w:val="00AE14E2"/>
    <w:rsid w:val="00AE3076"/>
    <w:rsid w:val="00AE6E58"/>
    <w:rsid w:val="00AF1F26"/>
    <w:rsid w:val="00AF3526"/>
    <w:rsid w:val="00AF5A63"/>
    <w:rsid w:val="00AF6860"/>
    <w:rsid w:val="00AF6AA9"/>
    <w:rsid w:val="00B00346"/>
    <w:rsid w:val="00B01708"/>
    <w:rsid w:val="00B0171F"/>
    <w:rsid w:val="00B044E7"/>
    <w:rsid w:val="00B10BF2"/>
    <w:rsid w:val="00B1409A"/>
    <w:rsid w:val="00B20221"/>
    <w:rsid w:val="00B205E1"/>
    <w:rsid w:val="00B20B90"/>
    <w:rsid w:val="00B20D0C"/>
    <w:rsid w:val="00B231AA"/>
    <w:rsid w:val="00B23AD5"/>
    <w:rsid w:val="00B27639"/>
    <w:rsid w:val="00B30BF5"/>
    <w:rsid w:val="00B31BA2"/>
    <w:rsid w:val="00B338EC"/>
    <w:rsid w:val="00B46C45"/>
    <w:rsid w:val="00B5282C"/>
    <w:rsid w:val="00B57659"/>
    <w:rsid w:val="00B57A9F"/>
    <w:rsid w:val="00B6092B"/>
    <w:rsid w:val="00B66DB7"/>
    <w:rsid w:val="00B71188"/>
    <w:rsid w:val="00B7194E"/>
    <w:rsid w:val="00B71B20"/>
    <w:rsid w:val="00B75489"/>
    <w:rsid w:val="00B76D5E"/>
    <w:rsid w:val="00B80621"/>
    <w:rsid w:val="00B84814"/>
    <w:rsid w:val="00B927F8"/>
    <w:rsid w:val="00B93393"/>
    <w:rsid w:val="00B97C63"/>
    <w:rsid w:val="00BA15C4"/>
    <w:rsid w:val="00BA4548"/>
    <w:rsid w:val="00BA46CB"/>
    <w:rsid w:val="00BA536E"/>
    <w:rsid w:val="00BA6CB2"/>
    <w:rsid w:val="00BA6E05"/>
    <w:rsid w:val="00BA7D7C"/>
    <w:rsid w:val="00BA7F1C"/>
    <w:rsid w:val="00BB27BA"/>
    <w:rsid w:val="00BB3487"/>
    <w:rsid w:val="00BB3EF0"/>
    <w:rsid w:val="00BB459A"/>
    <w:rsid w:val="00BB4709"/>
    <w:rsid w:val="00BB53DD"/>
    <w:rsid w:val="00BB585F"/>
    <w:rsid w:val="00BB6C03"/>
    <w:rsid w:val="00BC1873"/>
    <w:rsid w:val="00BC3880"/>
    <w:rsid w:val="00BC4ADE"/>
    <w:rsid w:val="00BC54A9"/>
    <w:rsid w:val="00BC55AA"/>
    <w:rsid w:val="00BD1D35"/>
    <w:rsid w:val="00BD28C9"/>
    <w:rsid w:val="00BD2A27"/>
    <w:rsid w:val="00BD3864"/>
    <w:rsid w:val="00BD7AD4"/>
    <w:rsid w:val="00BD7B6F"/>
    <w:rsid w:val="00BE4AA7"/>
    <w:rsid w:val="00BE4EBD"/>
    <w:rsid w:val="00BE6EFE"/>
    <w:rsid w:val="00BF0207"/>
    <w:rsid w:val="00BF6DF5"/>
    <w:rsid w:val="00BF7845"/>
    <w:rsid w:val="00C02E75"/>
    <w:rsid w:val="00C02EC2"/>
    <w:rsid w:val="00C07D88"/>
    <w:rsid w:val="00C113C0"/>
    <w:rsid w:val="00C151B9"/>
    <w:rsid w:val="00C17AF0"/>
    <w:rsid w:val="00C20656"/>
    <w:rsid w:val="00C208EA"/>
    <w:rsid w:val="00C21E1C"/>
    <w:rsid w:val="00C2283A"/>
    <w:rsid w:val="00C252EF"/>
    <w:rsid w:val="00C25C43"/>
    <w:rsid w:val="00C27E34"/>
    <w:rsid w:val="00C31BC6"/>
    <w:rsid w:val="00C347D5"/>
    <w:rsid w:val="00C34B83"/>
    <w:rsid w:val="00C37577"/>
    <w:rsid w:val="00C40451"/>
    <w:rsid w:val="00C419B4"/>
    <w:rsid w:val="00C424C5"/>
    <w:rsid w:val="00C42C58"/>
    <w:rsid w:val="00C441BE"/>
    <w:rsid w:val="00C4787C"/>
    <w:rsid w:val="00C5015B"/>
    <w:rsid w:val="00C512D6"/>
    <w:rsid w:val="00C52AC2"/>
    <w:rsid w:val="00C52FD6"/>
    <w:rsid w:val="00C7162F"/>
    <w:rsid w:val="00C738F9"/>
    <w:rsid w:val="00C745E1"/>
    <w:rsid w:val="00C76DAB"/>
    <w:rsid w:val="00C866A8"/>
    <w:rsid w:val="00C919B3"/>
    <w:rsid w:val="00C920BB"/>
    <w:rsid w:val="00C9359E"/>
    <w:rsid w:val="00C94AC5"/>
    <w:rsid w:val="00C9623A"/>
    <w:rsid w:val="00C96EA2"/>
    <w:rsid w:val="00CA53F8"/>
    <w:rsid w:val="00CA6CC7"/>
    <w:rsid w:val="00CA7D4E"/>
    <w:rsid w:val="00CB08E8"/>
    <w:rsid w:val="00CB0EC5"/>
    <w:rsid w:val="00CB4795"/>
    <w:rsid w:val="00CC1BF8"/>
    <w:rsid w:val="00CC2982"/>
    <w:rsid w:val="00CC3C40"/>
    <w:rsid w:val="00CC3F1A"/>
    <w:rsid w:val="00CC605E"/>
    <w:rsid w:val="00CC66B1"/>
    <w:rsid w:val="00CC6E60"/>
    <w:rsid w:val="00CC781C"/>
    <w:rsid w:val="00CD1A34"/>
    <w:rsid w:val="00CD397C"/>
    <w:rsid w:val="00CD3A81"/>
    <w:rsid w:val="00CD4793"/>
    <w:rsid w:val="00CD61D0"/>
    <w:rsid w:val="00CD67CB"/>
    <w:rsid w:val="00CE0D9A"/>
    <w:rsid w:val="00CE0FAD"/>
    <w:rsid w:val="00CE1E66"/>
    <w:rsid w:val="00CE2836"/>
    <w:rsid w:val="00CE5BEA"/>
    <w:rsid w:val="00CE6C54"/>
    <w:rsid w:val="00CF08C2"/>
    <w:rsid w:val="00CF2582"/>
    <w:rsid w:val="00CF2986"/>
    <w:rsid w:val="00CF306D"/>
    <w:rsid w:val="00CF498D"/>
    <w:rsid w:val="00CF565A"/>
    <w:rsid w:val="00D01757"/>
    <w:rsid w:val="00D031FA"/>
    <w:rsid w:val="00D066C5"/>
    <w:rsid w:val="00D15CFE"/>
    <w:rsid w:val="00D20535"/>
    <w:rsid w:val="00D22B12"/>
    <w:rsid w:val="00D2326D"/>
    <w:rsid w:val="00D2400B"/>
    <w:rsid w:val="00D257AC"/>
    <w:rsid w:val="00D26DD6"/>
    <w:rsid w:val="00D27A93"/>
    <w:rsid w:val="00D3179C"/>
    <w:rsid w:val="00D31C4D"/>
    <w:rsid w:val="00D3492E"/>
    <w:rsid w:val="00D36C11"/>
    <w:rsid w:val="00D374A9"/>
    <w:rsid w:val="00D41B54"/>
    <w:rsid w:val="00D4259D"/>
    <w:rsid w:val="00D44710"/>
    <w:rsid w:val="00D4700C"/>
    <w:rsid w:val="00D479EE"/>
    <w:rsid w:val="00D52801"/>
    <w:rsid w:val="00D5676B"/>
    <w:rsid w:val="00D56AEA"/>
    <w:rsid w:val="00D57066"/>
    <w:rsid w:val="00D72442"/>
    <w:rsid w:val="00D9008F"/>
    <w:rsid w:val="00D920A6"/>
    <w:rsid w:val="00D9328F"/>
    <w:rsid w:val="00D945DC"/>
    <w:rsid w:val="00D94FAB"/>
    <w:rsid w:val="00D95A65"/>
    <w:rsid w:val="00D97059"/>
    <w:rsid w:val="00DA030E"/>
    <w:rsid w:val="00DA21C7"/>
    <w:rsid w:val="00DB34C3"/>
    <w:rsid w:val="00DB3C98"/>
    <w:rsid w:val="00DB703F"/>
    <w:rsid w:val="00DC0419"/>
    <w:rsid w:val="00DC0591"/>
    <w:rsid w:val="00DC6760"/>
    <w:rsid w:val="00DC7604"/>
    <w:rsid w:val="00DD207B"/>
    <w:rsid w:val="00DD619E"/>
    <w:rsid w:val="00DD6609"/>
    <w:rsid w:val="00DD6BA0"/>
    <w:rsid w:val="00DE1795"/>
    <w:rsid w:val="00DF09BB"/>
    <w:rsid w:val="00DF2C12"/>
    <w:rsid w:val="00DF3686"/>
    <w:rsid w:val="00DF3D1C"/>
    <w:rsid w:val="00DF5111"/>
    <w:rsid w:val="00E01C06"/>
    <w:rsid w:val="00E0286B"/>
    <w:rsid w:val="00E02987"/>
    <w:rsid w:val="00E11757"/>
    <w:rsid w:val="00E16070"/>
    <w:rsid w:val="00E16325"/>
    <w:rsid w:val="00E173B3"/>
    <w:rsid w:val="00E17958"/>
    <w:rsid w:val="00E2192E"/>
    <w:rsid w:val="00E223DA"/>
    <w:rsid w:val="00E22A24"/>
    <w:rsid w:val="00E24D24"/>
    <w:rsid w:val="00E26A26"/>
    <w:rsid w:val="00E31D9D"/>
    <w:rsid w:val="00E3245A"/>
    <w:rsid w:val="00E45753"/>
    <w:rsid w:val="00E45894"/>
    <w:rsid w:val="00E46711"/>
    <w:rsid w:val="00E53E91"/>
    <w:rsid w:val="00E560AD"/>
    <w:rsid w:val="00E56C25"/>
    <w:rsid w:val="00E57225"/>
    <w:rsid w:val="00E6036C"/>
    <w:rsid w:val="00E60525"/>
    <w:rsid w:val="00E618D5"/>
    <w:rsid w:val="00E63363"/>
    <w:rsid w:val="00E63B06"/>
    <w:rsid w:val="00E6588C"/>
    <w:rsid w:val="00E65C14"/>
    <w:rsid w:val="00E7154D"/>
    <w:rsid w:val="00E7559A"/>
    <w:rsid w:val="00E76494"/>
    <w:rsid w:val="00E7754E"/>
    <w:rsid w:val="00E813F8"/>
    <w:rsid w:val="00E85F71"/>
    <w:rsid w:val="00E9190E"/>
    <w:rsid w:val="00E93803"/>
    <w:rsid w:val="00E946A0"/>
    <w:rsid w:val="00E9667D"/>
    <w:rsid w:val="00EA0C17"/>
    <w:rsid w:val="00EA25A6"/>
    <w:rsid w:val="00EA3693"/>
    <w:rsid w:val="00EA44C5"/>
    <w:rsid w:val="00EA74B5"/>
    <w:rsid w:val="00EB38EA"/>
    <w:rsid w:val="00EB3F69"/>
    <w:rsid w:val="00EB4655"/>
    <w:rsid w:val="00EB4AAC"/>
    <w:rsid w:val="00EB6D24"/>
    <w:rsid w:val="00EB782B"/>
    <w:rsid w:val="00EC15E4"/>
    <w:rsid w:val="00EC1E30"/>
    <w:rsid w:val="00EC238E"/>
    <w:rsid w:val="00EC3F22"/>
    <w:rsid w:val="00EC620B"/>
    <w:rsid w:val="00ED0044"/>
    <w:rsid w:val="00ED34EC"/>
    <w:rsid w:val="00ED3F7C"/>
    <w:rsid w:val="00ED491F"/>
    <w:rsid w:val="00EE360E"/>
    <w:rsid w:val="00EE5F60"/>
    <w:rsid w:val="00EE66B9"/>
    <w:rsid w:val="00EF12C5"/>
    <w:rsid w:val="00EF7988"/>
    <w:rsid w:val="00F03FEB"/>
    <w:rsid w:val="00F07890"/>
    <w:rsid w:val="00F07B41"/>
    <w:rsid w:val="00F10E78"/>
    <w:rsid w:val="00F10E87"/>
    <w:rsid w:val="00F12958"/>
    <w:rsid w:val="00F13799"/>
    <w:rsid w:val="00F143C7"/>
    <w:rsid w:val="00F17362"/>
    <w:rsid w:val="00F21CD9"/>
    <w:rsid w:val="00F308FF"/>
    <w:rsid w:val="00F355C2"/>
    <w:rsid w:val="00F36D38"/>
    <w:rsid w:val="00F37F20"/>
    <w:rsid w:val="00F41D88"/>
    <w:rsid w:val="00F43401"/>
    <w:rsid w:val="00F43553"/>
    <w:rsid w:val="00F4386A"/>
    <w:rsid w:val="00F44564"/>
    <w:rsid w:val="00F44637"/>
    <w:rsid w:val="00F4480D"/>
    <w:rsid w:val="00F457A9"/>
    <w:rsid w:val="00F52488"/>
    <w:rsid w:val="00F544D9"/>
    <w:rsid w:val="00F55F78"/>
    <w:rsid w:val="00F60C57"/>
    <w:rsid w:val="00F64807"/>
    <w:rsid w:val="00F6568B"/>
    <w:rsid w:val="00F814D5"/>
    <w:rsid w:val="00F87643"/>
    <w:rsid w:val="00F92CB6"/>
    <w:rsid w:val="00F942C8"/>
    <w:rsid w:val="00F961FA"/>
    <w:rsid w:val="00FA0A05"/>
    <w:rsid w:val="00FA3204"/>
    <w:rsid w:val="00FA3976"/>
    <w:rsid w:val="00FA64F1"/>
    <w:rsid w:val="00FB047E"/>
    <w:rsid w:val="00FB2878"/>
    <w:rsid w:val="00FB75ED"/>
    <w:rsid w:val="00FB7937"/>
    <w:rsid w:val="00FC0946"/>
    <w:rsid w:val="00FC1F30"/>
    <w:rsid w:val="00FC2B7E"/>
    <w:rsid w:val="00FC349F"/>
    <w:rsid w:val="00FC43AA"/>
    <w:rsid w:val="00FC5A41"/>
    <w:rsid w:val="00FC714C"/>
    <w:rsid w:val="00FD275D"/>
    <w:rsid w:val="00FD67BB"/>
    <w:rsid w:val="00FD6A91"/>
    <w:rsid w:val="00FE06D2"/>
    <w:rsid w:val="00FE12D4"/>
    <w:rsid w:val="00FE28A3"/>
    <w:rsid w:val="00FE2A44"/>
    <w:rsid w:val="00FE662D"/>
    <w:rsid w:val="00FF02DE"/>
    <w:rsid w:val="00FF08D3"/>
    <w:rsid w:val="00FF1FA1"/>
    <w:rsid w:val="00FF2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070761"/>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70761"/>
    <w:rPr>
      <w:rFonts w:asciiTheme="minorHAnsi" w:eastAsia="Times New Roman" w:hAnsiTheme="minorHAnsi" w:cs="Times New Roman"/>
      <w:b/>
      <w:bCs/>
      <w:i w:val="0"/>
      <w:color w:val="4F81BD"/>
      <w:sz w:val="28"/>
      <w:szCs w:val="26"/>
    </w:rPr>
  </w:style>
  <w:style w:type="paragraph" w:customStyle="1" w:styleId="TA">
    <w:name w:val="*TA*"/>
    <w:link w:val="TAChar"/>
    <w:qFormat/>
    <w:rsid w:val="00070761"/>
    <w:pPr>
      <w:spacing w:before="180" w:after="180"/>
    </w:pPr>
    <w:rPr>
      <w:sz w:val="22"/>
      <w:szCs w:val="22"/>
    </w:rPr>
  </w:style>
  <w:style w:type="character" w:customStyle="1" w:styleId="TAChar">
    <w:name w:val="*TA* Char"/>
    <w:basedOn w:val="DefaultParagraphFont"/>
    <w:link w:val="TA"/>
    <w:rsid w:val="00070761"/>
    <w:rPr>
      <w:sz w:val="22"/>
      <w:szCs w:val="22"/>
    </w:rPr>
  </w:style>
  <w:style w:type="paragraph" w:customStyle="1" w:styleId="IN">
    <w:name w:val="*IN*"/>
    <w:link w:val="INChar"/>
    <w:qFormat/>
    <w:rsid w:val="008067A6"/>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70761"/>
    <w:pPr>
      <w:numPr>
        <w:numId w:val="39"/>
      </w:numPr>
      <w:spacing w:before="60" w:after="60" w:line="276" w:lineRule="auto"/>
      <w:ind w:left="360"/>
    </w:pPr>
    <w:rPr>
      <w:sz w:val="22"/>
      <w:szCs w:val="22"/>
    </w:rPr>
  </w:style>
  <w:style w:type="character" w:customStyle="1" w:styleId="INChar">
    <w:name w:val="*IN* Char"/>
    <w:basedOn w:val="DefaultParagraphFont"/>
    <w:link w:val="IN"/>
    <w:rsid w:val="008067A6"/>
    <w:rPr>
      <w:color w:val="4F81BD" w:themeColor="accent1"/>
      <w:sz w:val="22"/>
      <w:szCs w:val="22"/>
    </w:rPr>
  </w:style>
  <w:style w:type="paragraph" w:customStyle="1" w:styleId="NumberedList">
    <w:name w:val="*Numbered List"/>
    <w:link w:val="NumberedListChar"/>
    <w:qFormat/>
    <w:rsid w:val="00070761"/>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70761"/>
    <w:rPr>
      <w:sz w:val="22"/>
      <w:szCs w:val="22"/>
    </w:rPr>
  </w:style>
  <w:style w:type="paragraph" w:customStyle="1" w:styleId="TableHeaders">
    <w:name w:val="*TableHeaders"/>
    <w:basedOn w:val="Normal"/>
    <w:link w:val="TableHeadersChar"/>
    <w:qFormat/>
    <w:rsid w:val="00070761"/>
    <w:pPr>
      <w:spacing w:before="40" w:after="40" w:line="240" w:lineRule="auto"/>
    </w:pPr>
    <w:rPr>
      <w:b/>
      <w:color w:val="FFFFFF" w:themeColor="background1"/>
    </w:rPr>
  </w:style>
  <w:style w:type="character" w:customStyle="1" w:styleId="NumberedListChar">
    <w:name w:val="*Numbered List Char"/>
    <w:basedOn w:val="BulletedListChar"/>
    <w:link w:val="NumberedList"/>
    <w:rsid w:val="00070761"/>
    <w:rPr>
      <w:sz w:val="22"/>
      <w:szCs w:val="22"/>
    </w:rPr>
  </w:style>
  <w:style w:type="paragraph" w:customStyle="1" w:styleId="PageHeader">
    <w:name w:val="*PageHeader"/>
    <w:link w:val="PageHeaderChar"/>
    <w:qFormat/>
    <w:rsid w:val="00070761"/>
    <w:pPr>
      <w:spacing w:before="120"/>
    </w:pPr>
    <w:rPr>
      <w:rFonts w:cs="Calibri"/>
      <w:b/>
      <w:sz w:val="18"/>
      <w:szCs w:val="22"/>
    </w:rPr>
  </w:style>
  <w:style w:type="character" w:customStyle="1" w:styleId="TableHeadersChar">
    <w:name w:val="*TableHeaders Char"/>
    <w:basedOn w:val="DefaultParagraphFont"/>
    <w:link w:val="TableHeaders"/>
    <w:rsid w:val="00070761"/>
    <w:rPr>
      <w:b/>
      <w:color w:val="FFFFFF" w:themeColor="background1"/>
      <w:sz w:val="22"/>
      <w:szCs w:val="22"/>
    </w:rPr>
  </w:style>
  <w:style w:type="paragraph" w:customStyle="1" w:styleId="Q">
    <w:name w:val="*Q*"/>
    <w:link w:val="QChar"/>
    <w:qFormat/>
    <w:rsid w:val="00070761"/>
    <w:pPr>
      <w:spacing w:before="240" w:line="276" w:lineRule="auto"/>
    </w:pPr>
    <w:rPr>
      <w:rFonts w:eastAsia="Times New Roman"/>
      <w:b/>
      <w:sz w:val="22"/>
      <w:szCs w:val="22"/>
    </w:rPr>
  </w:style>
  <w:style w:type="character" w:customStyle="1" w:styleId="PageHeaderChar">
    <w:name w:val="*PageHeader Char"/>
    <w:basedOn w:val="BodyTextChar"/>
    <w:link w:val="PageHeader"/>
    <w:rsid w:val="00070761"/>
    <w:rPr>
      <w:rFonts w:cs="Calibri"/>
      <w:b/>
      <w:sz w:val="18"/>
      <w:szCs w:val="22"/>
    </w:rPr>
  </w:style>
  <w:style w:type="character" w:customStyle="1" w:styleId="QChar">
    <w:name w:val="*Q* Char"/>
    <w:basedOn w:val="ListParagraphChar"/>
    <w:link w:val="Q"/>
    <w:rsid w:val="00070761"/>
    <w:rPr>
      <w:rFonts w:eastAsia="Times New Roman"/>
      <w:b/>
      <w:sz w:val="22"/>
      <w:szCs w:val="22"/>
    </w:rPr>
  </w:style>
  <w:style w:type="paragraph" w:customStyle="1" w:styleId="SASRBullet">
    <w:name w:val="*SA/SR Bullet"/>
    <w:basedOn w:val="Normal"/>
    <w:link w:val="SASRBulletChar"/>
    <w:qFormat/>
    <w:rsid w:val="00070761"/>
    <w:pPr>
      <w:numPr>
        <w:ilvl w:val="1"/>
        <w:numId w:val="44"/>
      </w:numPr>
      <w:spacing w:before="120"/>
      <w:ind w:left="1080"/>
      <w:contextualSpacing/>
    </w:pPr>
  </w:style>
  <w:style w:type="paragraph" w:customStyle="1" w:styleId="INBullet">
    <w:name w:val="*IN* Bullet"/>
    <w:link w:val="INBulletChar"/>
    <w:qFormat/>
    <w:rsid w:val="00070761"/>
    <w:pPr>
      <w:numPr>
        <w:numId w:val="41"/>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070761"/>
    <w:rPr>
      <w:sz w:val="22"/>
      <w:szCs w:val="22"/>
    </w:rPr>
  </w:style>
  <w:style w:type="character" w:customStyle="1" w:styleId="INBulletChar">
    <w:name w:val="*IN* Bullet Char"/>
    <w:basedOn w:val="BulletedListChar"/>
    <w:link w:val="INBullet"/>
    <w:rsid w:val="00070761"/>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070761"/>
    <w:pPr>
      <w:numPr>
        <w:numId w:val="43"/>
      </w:numPr>
      <w:spacing w:before="120" w:line="276" w:lineRule="auto"/>
    </w:pPr>
    <w:rPr>
      <w:rFonts w:eastAsia="Times New Roman"/>
      <w:sz w:val="22"/>
      <w:szCs w:val="22"/>
    </w:rPr>
  </w:style>
  <w:style w:type="paragraph" w:customStyle="1" w:styleId="SR">
    <w:name w:val="*SR*"/>
    <w:link w:val="SRChar"/>
    <w:qFormat/>
    <w:rsid w:val="008067A6"/>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070761"/>
    <w:rPr>
      <w:rFonts w:eastAsia="Times New Roman"/>
      <w:sz w:val="22"/>
      <w:szCs w:val="22"/>
    </w:rPr>
  </w:style>
  <w:style w:type="character" w:customStyle="1" w:styleId="SRChar">
    <w:name w:val="*SR* Char"/>
    <w:basedOn w:val="ListParagraphChar"/>
    <w:link w:val="SR"/>
    <w:rsid w:val="008067A6"/>
    <w:rPr>
      <w:rFonts w:eastAsia="Times New Roman"/>
      <w:sz w:val="22"/>
      <w:szCs w:val="22"/>
    </w:rPr>
  </w:style>
  <w:style w:type="paragraph" w:customStyle="1" w:styleId="BR">
    <w:name w:val="*BR*"/>
    <w:link w:val="BRChar"/>
    <w:qFormat/>
    <w:rsid w:val="00070761"/>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070761"/>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070761"/>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070761"/>
    <w:rPr>
      <w:rFonts w:ascii="Verdana" w:eastAsia="Verdana" w:hAnsi="Verdana" w:cs="Calibri"/>
      <w:b/>
      <w:color w:val="595959"/>
      <w:sz w:val="14"/>
      <w:szCs w:val="22"/>
    </w:rPr>
  </w:style>
  <w:style w:type="paragraph" w:customStyle="1" w:styleId="TableText">
    <w:name w:val="*TableText"/>
    <w:link w:val="TableTextChar"/>
    <w:qFormat/>
    <w:rsid w:val="00070761"/>
    <w:pPr>
      <w:spacing w:before="40" w:after="40" w:line="276" w:lineRule="auto"/>
    </w:pPr>
    <w:rPr>
      <w:sz w:val="22"/>
      <w:szCs w:val="22"/>
    </w:rPr>
  </w:style>
  <w:style w:type="character" w:customStyle="1" w:styleId="TableTextChar">
    <w:name w:val="*TableText Char"/>
    <w:basedOn w:val="DefaultParagraphFont"/>
    <w:link w:val="TableText"/>
    <w:rsid w:val="00070761"/>
    <w:rPr>
      <w:sz w:val="22"/>
      <w:szCs w:val="22"/>
    </w:rPr>
  </w:style>
  <w:style w:type="paragraph" w:customStyle="1" w:styleId="ToolHeader">
    <w:name w:val="*ToolHeader"/>
    <w:qFormat/>
    <w:rsid w:val="00070761"/>
    <w:pPr>
      <w:spacing w:after="120"/>
    </w:pPr>
    <w:rPr>
      <w:rFonts w:asciiTheme="minorHAnsi" w:hAnsiTheme="minorHAnsi"/>
      <w:b/>
      <w:bCs/>
      <w:color w:val="365F91"/>
      <w:sz w:val="32"/>
      <w:szCs w:val="28"/>
    </w:rPr>
  </w:style>
  <w:style w:type="paragraph" w:customStyle="1" w:styleId="ToolTableText">
    <w:name w:val="*ToolTableText"/>
    <w:qFormat/>
    <w:rsid w:val="00070761"/>
    <w:pPr>
      <w:spacing w:before="40" w:after="120"/>
    </w:pPr>
    <w:rPr>
      <w:sz w:val="22"/>
      <w:szCs w:val="22"/>
    </w:rPr>
  </w:style>
  <w:style w:type="paragraph" w:customStyle="1" w:styleId="ExcerptTitle">
    <w:name w:val="*ExcerptTitle"/>
    <w:basedOn w:val="Normal"/>
    <w:link w:val="ExcerptTitleChar"/>
    <w:qFormat/>
    <w:rsid w:val="00070761"/>
    <w:pPr>
      <w:jc w:val="center"/>
    </w:pPr>
    <w:rPr>
      <w:rFonts w:asciiTheme="majorHAnsi" w:hAnsiTheme="majorHAnsi"/>
      <w:b/>
      <w:smallCaps/>
      <w:sz w:val="32"/>
    </w:rPr>
  </w:style>
  <w:style w:type="paragraph" w:customStyle="1" w:styleId="ExcerptAuthor">
    <w:name w:val="*ExcerptAuthor"/>
    <w:basedOn w:val="Normal"/>
    <w:link w:val="ExcerptAuthorChar"/>
    <w:qFormat/>
    <w:rsid w:val="00070761"/>
    <w:pPr>
      <w:jc w:val="center"/>
    </w:pPr>
    <w:rPr>
      <w:rFonts w:asciiTheme="majorHAnsi" w:hAnsiTheme="majorHAnsi"/>
      <w:b/>
    </w:rPr>
  </w:style>
  <w:style w:type="character" w:customStyle="1" w:styleId="ExcerptTitleChar">
    <w:name w:val="*ExcerptTitle Char"/>
    <w:basedOn w:val="DefaultParagraphFont"/>
    <w:link w:val="ExcerptTitle"/>
    <w:rsid w:val="00070761"/>
    <w:rPr>
      <w:rFonts w:asciiTheme="majorHAnsi" w:hAnsiTheme="majorHAnsi"/>
      <w:b/>
      <w:smallCaps/>
      <w:sz w:val="32"/>
      <w:szCs w:val="22"/>
    </w:rPr>
  </w:style>
  <w:style w:type="paragraph" w:customStyle="1" w:styleId="ExcerptBody">
    <w:name w:val="*ExcerptBody"/>
    <w:basedOn w:val="Normal"/>
    <w:link w:val="ExcerptBodyChar"/>
    <w:qFormat/>
    <w:rsid w:val="0007076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070761"/>
    <w:rPr>
      <w:rFonts w:asciiTheme="majorHAnsi" w:hAnsiTheme="majorHAnsi"/>
      <w:b/>
      <w:sz w:val="22"/>
      <w:szCs w:val="22"/>
    </w:rPr>
  </w:style>
  <w:style w:type="character" w:customStyle="1" w:styleId="ExcerptBodyChar">
    <w:name w:val="*ExcerptBody Char"/>
    <w:basedOn w:val="DefaultParagraphFont"/>
    <w:link w:val="ExcerptBody"/>
    <w:rsid w:val="00070761"/>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070761"/>
    <w:pPr>
      <w:numPr>
        <w:numId w:val="46"/>
      </w:numPr>
    </w:pPr>
  </w:style>
  <w:style w:type="character" w:customStyle="1" w:styleId="SubStandardChar">
    <w:name w:val="*SubStandard Char"/>
    <w:basedOn w:val="TableTextChar"/>
    <w:link w:val="SubStandard"/>
    <w:rsid w:val="00070761"/>
    <w:rPr>
      <w:sz w:val="22"/>
      <w:szCs w:val="22"/>
    </w:rPr>
  </w:style>
  <w:style w:type="paragraph" w:styleId="Revision">
    <w:name w:val="Revision"/>
    <w:hidden/>
    <w:uiPriority w:val="71"/>
    <w:rsid w:val="00CB08E8"/>
    <w:rPr>
      <w:sz w:val="22"/>
      <w:szCs w:val="22"/>
    </w:rPr>
  </w:style>
  <w:style w:type="paragraph" w:styleId="DocumentMap">
    <w:name w:val="Document Map"/>
    <w:basedOn w:val="Normal"/>
    <w:link w:val="DocumentMapChar"/>
    <w:uiPriority w:val="99"/>
    <w:semiHidden/>
    <w:unhideWhenUsed/>
    <w:rsid w:val="00E813F8"/>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813F8"/>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193659268">
      <w:bodyDiv w:val="1"/>
      <w:marLeft w:val="0"/>
      <w:marRight w:val="0"/>
      <w:marTop w:val="0"/>
      <w:marBottom w:val="0"/>
      <w:divBdr>
        <w:top w:val="none" w:sz="0" w:space="0" w:color="auto"/>
        <w:left w:val="none" w:sz="0" w:space="0" w:color="auto"/>
        <w:bottom w:val="none" w:sz="0" w:space="0" w:color="auto"/>
        <w:right w:val="none" w:sz="0" w:space="0" w:color="auto"/>
      </w:divBdr>
    </w:div>
    <w:div w:id="292370420">
      <w:bodyDiv w:val="1"/>
      <w:marLeft w:val="0"/>
      <w:marRight w:val="0"/>
      <w:marTop w:val="0"/>
      <w:marBottom w:val="0"/>
      <w:divBdr>
        <w:top w:val="none" w:sz="0" w:space="0" w:color="auto"/>
        <w:left w:val="none" w:sz="0" w:space="0" w:color="auto"/>
        <w:bottom w:val="none" w:sz="0" w:space="0" w:color="auto"/>
        <w:right w:val="none" w:sz="0" w:space="0" w:color="auto"/>
      </w:divBdr>
    </w:div>
    <w:div w:id="344289534">
      <w:bodyDiv w:val="1"/>
      <w:marLeft w:val="0"/>
      <w:marRight w:val="0"/>
      <w:marTop w:val="0"/>
      <w:marBottom w:val="0"/>
      <w:divBdr>
        <w:top w:val="none" w:sz="0" w:space="0" w:color="auto"/>
        <w:left w:val="none" w:sz="0" w:space="0" w:color="auto"/>
        <w:bottom w:val="none" w:sz="0" w:space="0" w:color="auto"/>
        <w:right w:val="none" w:sz="0" w:space="0" w:color="auto"/>
      </w:divBdr>
    </w:div>
    <w:div w:id="42522735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75073606">
      <w:bodyDiv w:val="1"/>
      <w:marLeft w:val="0"/>
      <w:marRight w:val="0"/>
      <w:marTop w:val="0"/>
      <w:marBottom w:val="0"/>
      <w:divBdr>
        <w:top w:val="none" w:sz="0" w:space="0" w:color="auto"/>
        <w:left w:val="none" w:sz="0" w:space="0" w:color="auto"/>
        <w:bottom w:val="none" w:sz="0" w:space="0" w:color="auto"/>
        <w:right w:val="none" w:sz="0" w:space="0" w:color="auto"/>
      </w:divBdr>
    </w:div>
    <w:div w:id="561864090">
      <w:bodyDiv w:val="1"/>
      <w:marLeft w:val="0"/>
      <w:marRight w:val="0"/>
      <w:marTop w:val="0"/>
      <w:marBottom w:val="0"/>
      <w:divBdr>
        <w:top w:val="none" w:sz="0" w:space="0" w:color="auto"/>
        <w:left w:val="none" w:sz="0" w:space="0" w:color="auto"/>
        <w:bottom w:val="none" w:sz="0" w:space="0" w:color="auto"/>
        <w:right w:val="none" w:sz="0" w:space="0" w:color="auto"/>
      </w:divBdr>
    </w:div>
    <w:div w:id="570891515">
      <w:bodyDiv w:val="1"/>
      <w:marLeft w:val="0"/>
      <w:marRight w:val="0"/>
      <w:marTop w:val="0"/>
      <w:marBottom w:val="0"/>
      <w:divBdr>
        <w:top w:val="none" w:sz="0" w:space="0" w:color="auto"/>
        <w:left w:val="none" w:sz="0" w:space="0" w:color="auto"/>
        <w:bottom w:val="none" w:sz="0" w:space="0" w:color="auto"/>
        <w:right w:val="none" w:sz="0" w:space="0" w:color="auto"/>
      </w:divBdr>
    </w:div>
    <w:div w:id="642078648">
      <w:bodyDiv w:val="1"/>
      <w:marLeft w:val="0"/>
      <w:marRight w:val="0"/>
      <w:marTop w:val="0"/>
      <w:marBottom w:val="0"/>
      <w:divBdr>
        <w:top w:val="none" w:sz="0" w:space="0" w:color="auto"/>
        <w:left w:val="none" w:sz="0" w:space="0" w:color="auto"/>
        <w:bottom w:val="none" w:sz="0" w:space="0" w:color="auto"/>
        <w:right w:val="none" w:sz="0" w:space="0" w:color="auto"/>
      </w:divBdr>
    </w:div>
    <w:div w:id="74163800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02134836">
      <w:bodyDiv w:val="1"/>
      <w:marLeft w:val="0"/>
      <w:marRight w:val="0"/>
      <w:marTop w:val="0"/>
      <w:marBottom w:val="0"/>
      <w:divBdr>
        <w:top w:val="none" w:sz="0" w:space="0" w:color="auto"/>
        <w:left w:val="none" w:sz="0" w:space="0" w:color="auto"/>
        <w:bottom w:val="none" w:sz="0" w:space="0" w:color="auto"/>
        <w:right w:val="none" w:sz="0" w:space="0" w:color="auto"/>
      </w:divBdr>
      <w:divsChild>
        <w:div w:id="1066953603">
          <w:marLeft w:val="0"/>
          <w:marRight w:val="0"/>
          <w:marTop w:val="0"/>
          <w:marBottom w:val="0"/>
          <w:divBdr>
            <w:top w:val="none" w:sz="0" w:space="0" w:color="auto"/>
            <w:left w:val="none" w:sz="0" w:space="0" w:color="auto"/>
            <w:bottom w:val="none" w:sz="0" w:space="0" w:color="auto"/>
            <w:right w:val="none" w:sz="0" w:space="0" w:color="auto"/>
          </w:divBdr>
          <w:divsChild>
            <w:div w:id="1221598061">
              <w:marLeft w:val="0"/>
              <w:marRight w:val="0"/>
              <w:marTop w:val="0"/>
              <w:marBottom w:val="0"/>
              <w:divBdr>
                <w:top w:val="none" w:sz="0" w:space="0" w:color="auto"/>
                <w:left w:val="none" w:sz="0" w:space="0" w:color="auto"/>
                <w:bottom w:val="none" w:sz="0" w:space="0" w:color="auto"/>
                <w:right w:val="none" w:sz="0" w:space="0" w:color="auto"/>
              </w:divBdr>
              <w:divsChild>
                <w:div w:id="1528059491">
                  <w:marLeft w:val="0"/>
                  <w:marRight w:val="0"/>
                  <w:marTop w:val="0"/>
                  <w:marBottom w:val="0"/>
                  <w:divBdr>
                    <w:top w:val="none" w:sz="0" w:space="0" w:color="auto"/>
                    <w:left w:val="none" w:sz="0" w:space="0" w:color="auto"/>
                    <w:bottom w:val="none" w:sz="0" w:space="0" w:color="auto"/>
                    <w:right w:val="none" w:sz="0" w:space="0" w:color="auto"/>
                  </w:divBdr>
                  <w:divsChild>
                    <w:div w:id="1185943605">
                      <w:marLeft w:val="0"/>
                      <w:marRight w:val="0"/>
                      <w:marTop w:val="0"/>
                      <w:marBottom w:val="0"/>
                      <w:divBdr>
                        <w:top w:val="none" w:sz="0" w:space="0" w:color="auto"/>
                        <w:left w:val="none" w:sz="0" w:space="0" w:color="auto"/>
                        <w:bottom w:val="none" w:sz="0" w:space="0" w:color="auto"/>
                        <w:right w:val="none" w:sz="0" w:space="0" w:color="auto"/>
                      </w:divBdr>
                      <w:divsChild>
                        <w:div w:id="1063482858">
                          <w:marLeft w:val="0"/>
                          <w:marRight w:val="0"/>
                          <w:marTop w:val="15"/>
                          <w:marBottom w:val="0"/>
                          <w:divBdr>
                            <w:top w:val="none" w:sz="0" w:space="0" w:color="auto"/>
                            <w:left w:val="none" w:sz="0" w:space="0" w:color="auto"/>
                            <w:bottom w:val="none" w:sz="0" w:space="0" w:color="auto"/>
                            <w:right w:val="none" w:sz="0" w:space="0" w:color="auto"/>
                          </w:divBdr>
                          <w:divsChild>
                            <w:div w:id="1018895831">
                              <w:marLeft w:val="0"/>
                              <w:marRight w:val="0"/>
                              <w:marTop w:val="0"/>
                              <w:marBottom w:val="0"/>
                              <w:divBdr>
                                <w:top w:val="none" w:sz="0" w:space="0" w:color="auto"/>
                                <w:left w:val="none" w:sz="0" w:space="0" w:color="auto"/>
                                <w:bottom w:val="none" w:sz="0" w:space="0" w:color="auto"/>
                                <w:right w:val="none" w:sz="0" w:space="0" w:color="auto"/>
                              </w:divBdr>
                              <w:divsChild>
                                <w:div w:id="718241280">
                                  <w:marLeft w:val="0"/>
                                  <w:marRight w:val="0"/>
                                  <w:marTop w:val="0"/>
                                  <w:marBottom w:val="0"/>
                                  <w:divBdr>
                                    <w:top w:val="none" w:sz="0" w:space="0" w:color="auto"/>
                                    <w:left w:val="none" w:sz="0" w:space="0" w:color="auto"/>
                                    <w:bottom w:val="none" w:sz="0" w:space="0" w:color="auto"/>
                                    <w:right w:val="none" w:sz="0" w:space="0" w:color="auto"/>
                                  </w:divBdr>
                                </w:div>
                                <w:div w:id="1700470037">
                                  <w:marLeft w:val="0"/>
                                  <w:marRight w:val="0"/>
                                  <w:marTop w:val="0"/>
                                  <w:marBottom w:val="0"/>
                                  <w:divBdr>
                                    <w:top w:val="none" w:sz="0" w:space="0" w:color="auto"/>
                                    <w:left w:val="none" w:sz="0" w:space="0" w:color="auto"/>
                                    <w:bottom w:val="none" w:sz="0" w:space="0" w:color="auto"/>
                                    <w:right w:val="none" w:sz="0" w:space="0" w:color="auto"/>
                                  </w:divBdr>
                                </w:div>
                                <w:div w:id="832448247">
                                  <w:marLeft w:val="0"/>
                                  <w:marRight w:val="0"/>
                                  <w:marTop w:val="0"/>
                                  <w:marBottom w:val="0"/>
                                  <w:divBdr>
                                    <w:top w:val="none" w:sz="0" w:space="0" w:color="auto"/>
                                    <w:left w:val="none" w:sz="0" w:space="0" w:color="auto"/>
                                    <w:bottom w:val="none" w:sz="0" w:space="0" w:color="auto"/>
                                    <w:right w:val="none" w:sz="0" w:space="0" w:color="auto"/>
                                  </w:divBdr>
                                </w:div>
                                <w:div w:id="1555317386">
                                  <w:marLeft w:val="0"/>
                                  <w:marRight w:val="0"/>
                                  <w:marTop w:val="0"/>
                                  <w:marBottom w:val="0"/>
                                  <w:divBdr>
                                    <w:top w:val="none" w:sz="0" w:space="0" w:color="auto"/>
                                    <w:left w:val="none" w:sz="0" w:space="0" w:color="auto"/>
                                    <w:bottom w:val="none" w:sz="0" w:space="0" w:color="auto"/>
                                    <w:right w:val="none" w:sz="0" w:space="0" w:color="auto"/>
                                  </w:divBdr>
                                </w:div>
                                <w:div w:id="12627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79999">
      <w:bodyDiv w:val="1"/>
      <w:marLeft w:val="0"/>
      <w:marRight w:val="0"/>
      <w:marTop w:val="0"/>
      <w:marBottom w:val="0"/>
      <w:divBdr>
        <w:top w:val="none" w:sz="0" w:space="0" w:color="auto"/>
        <w:left w:val="none" w:sz="0" w:space="0" w:color="auto"/>
        <w:bottom w:val="none" w:sz="0" w:space="0" w:color="auto"/>
        <w:right w:val="none" w:sz="0" w:space="0" w:color="auto"/>
      </w:divBdr>
    </w:div>
    <w:div w:id="1004941884">
      <w:bodyDiv w:val="1"/>
      <w:marLeft w:val="0"/>
      <w:marRight w:val="0"/>
      <w:marTop w:val="0"/>
      <w:marBottom w:val="0"/>
      <w:divBdr>
        <w:top w:val="none" w:sz="0" w:space="0" w:color="auto"/>
        <w:left w:val="none" w:sz="0" w:space="0" w:color="auto"/>
        <w:bottom w:val="none" w:sz="0" w:space="0" w:color="auto"/>
        <w:right w:val="none" w:sz="0" w:space="0" w:color="auto"/>
      </w:divBdr>
    </w:div>
    <w:div w:id="1134058305">
      <w:bodyDiv w:val="1"/>
      <w:marLeft w:val="0"/>
      <w:marRight w:val="0"/>
      <w:marTop w:val="0"/>
      <w:marBottom w:val="0"/>
      <w:divBdr>
        <w:top w:val="none" w:sz="0" w:space="0" w:color="auto"/>
        <w:left w:val="none" w:sz="0" w:space="0" w:color="auto"/>
        <w:bottom w:val="none" w:sz="0" w:space="0" w:color="auto"/>
        <w:right w:val="none" w:sz="0" w:space="0" w:color="auto"/>
      </w:divBdr>
    </w:div>
    <w:div w:id="1185098044">
      <w:bodyDiv w:val="1"/>
      <w:marLeft w:val="0"/>
      <w:marRight w:val="0"/>
      <w:marTop w:val="0"/>
      <w:marBottom w:val="0"/>
      <w:divBdr>
        <w:top w:val="none" w:sz="0" w:space="0" w:color="auto"/>
        <w:left w:val="none" w:sz="0" w:space="0" w:color="auto"/>
        <w:bottom w:val="none" w:sz="0" w:space="0" w:color="auto"/>
        <w:right w:val="none" w:sz="0" w:space="0" w:color="auto"/>
      </w:divBdr>
    </w:div>
    <w:div w:id="1253080904">
      <w:bodyDiv w:val="1"/>
      <w:marLeft w:val="0"/>
      <w:marRight w:val="0"/>
      <w:marTop w:val="0"/>
      <w:marBottom w:val="0"/>
      <w:divBdr>
        <w:top w:val="none" w:sz="0" w:space="0" w:color="auto"/>
        <w:left w:val="none" w:sz="0" w:space="0" w:color="auto"/>
        <w:bottom w:val="none" w:sz="0" w:space="0" w:color="auto"/>
        <w:right w:val="none" w:sz="0" w:space="0" w:color="auto"/>
      </w:divBdr>
    </w:div>
    <w:div w:id="1294747394">
      <w:bodyDiv w:val="1"/>
      <w:marLeft w:val="0"/>
      <w:marRight w:val="0"/>
      <w:marTop w:val="0"/>
      <w:marBottom w:val="0"/>
      <w:divBdr>
        <w:top w:val="none" w:sz="0" w:space="0" w:color="auto"/>
        <w:left w:val="none" w:sz="0" w:space="0" w:color="auto"/>
        <w:bottom w:val="none" w:sz="0" w:space="0" w:color="auto"/>
        <w:right w:val="none" w:sz="0" w:space="0" w:color="auto"/>
      </w:divBdr>
    </w:div>
    <w:div w:id="180381445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8667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ofsandiego.org/" TargetMode="External"/><Relationship Id="rId13" Type="http://schemas.openxmlformats.org/officeDocument/2006/relationships/hyperlink" Target="http://www.voiceofsandiego.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reativecommons.org/licenses/by-nc/3.0/" TargetMode="External"/><Relationship Id="rId7" Type="http://schemas.openxmlformats.org/officeDocument/2006/relationships/endnotes" Target="endnotes.xml"/><Relationship Id="rId12" Type="http://schemas.openxmlformats.org/officeDocument/2006/relationships/hyperlink" Target="http://healthland.time.com/2012/07/02/a-court-allows-payment-for-bone-marrow-should-people-be-able-to-sell-their-parts/" TargetMode="External"/><Relationship Id="rId17" Type="http://schemas.openxmlformats.org/officeDocument/2006/relationships/hyperlink" Target="http://novelnewyork.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icagotribu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cagotribun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ejm.org/" TargetMode="External"/><Relationship Id="rId23" Type="http://schemas.openxmlformats.org/officeDocument/2006/relationships/header" Target="header2.xml"/><Relationship Id="rId10" Type="http://schemas.openxmlformats.org/officeDocument/2006/relationships/hyperlink" Target="http://www.nej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journals.org/" TargetMode="External"/><Relationship Id="rId14" Type="http://schemas.openxmlformats.org/officeDocument/2006/relationships/hyperlink" Target="http://www.oxfordjournals.org/" TargetMode="External"/><Relationship Id="rId22" Type="http://schemas.openxmlformats.org/officeDocument/2006/relationships/hyperlink" Target="http://creativecommons.org/licenses/by-nc/3.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E00C-8140-468D-A99E-AB0A7972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4989</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33362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2014-04-17T18:12:00Z</dcterms:created>
  <dcterms:modified xsi:type="dcterms:W3CDTF">2014-04-17T18:12:00Z</dcterms:modified>
</cp:coreProperties>
</file>