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40D2F"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F40D2F">
            <w:pPr>
              <w:pStyle w:val="Header2banner"/>
              <w:spacing w:line="240" w:lineRule="auto"/>
              <w:rPr>
                <w:rFonts w:asciiTheme="minorHAnsi" w:hAnsiTheme="minorHAnsi"/>
              </w:rPr>
            </w:pPr>
            <w:r w:rsidRPr="00DB34C3">
              <w:rPr>
                <w:rFonts w:asciiTheme="minorHAnsi" w:hAnsiTheme="minorHAnsi"/>
              </w:rPr>
              <w:t>Lesson</w:t>
            </w:r>
            <w:r w:rsidR="00F40D2F">
              <w:rPr>
                <w:rFonts w:asciiTheme="minorHAnsi" w:hAnsiTheme="minorHAnsi"/>
              </w:rPr>
              <w:t xml:space="preserve"> 1</w:t>
            </w:r>
          </w:p>
        </w:tc>
      </w:tr>
    </w:tbl>
    <w:p w:rsidR="009E16A9" w:rsidRDefault="009E16A9" w:rsidP="009E16A9">
      <w:pPr>
        <w:pStyle w:val="Heading1"/>
      </w:pPr>
      <w:r w:rsidRPr="00263AF5">
        <w:t>Introduction</w:t>
      </w:r>
    </w:p>
    <w:p w:rsidR="001305C1" w:rsidRPr="001305C1" w:rsidRDefault="001305C1" w:rsidP="00171380">
      <w:r w:rsidRPr="001305C1">
        <w:t xml:space="preserve">In </w:t>
      </w:r>
      <w:r w:rsidR="001A5BC5">
        <w:t>th</w:t>
      </w:r>
      <w:r w:rsidR="00E1462A">
        <w:t>is</w:t>
      </w:r>
      <w:r w:rsidR="001A5BC5" w:rsidRPr="001305C1">
        <w:t xml:space="preserve"> </w:t>
      </w:r>
      <w:r w:rsidRPr="001305C1">
        <w:t xml:space="preserve">first lesson of the unit, students </w:t>
      </w:r>
      <w:r w:rsidR="00E1462A">
        <w:t>are</w:t>
      </w:r>
      <w:r w:rsidRPr="001305C1">
        <w:t xml:space="preserve"> formally introduced to the research unit and continue the research process th</w:t>
      </w:r>
      <w:r w:rsidR="00E8200F">
        <w:t>ey</w:t>
      </w:r>
      <w:r w:rsidRPr="001305C1">
        <w:t xml:space="preserve"> began in </w:t>
      </w:r>
      <w:r w:rsidR="00FD1071">
        <w:t>10.3.</w:t>
      </w:r>
      <w:r w:rsidRPr="001305C1">
        <w:t>1. The teacher provide</w:t>
      </w:r>
      <w:r w:rsidR="006732E4">
        <w:t>s</w:t>
      </w:r>
      <w:r w:rsidRPr="001305C1">
        <w:t xml:space="preserve"> an overview of the research process and engage</w:t>
      </w:r>
      <w:r w:rsidR="006732E4">
        <w:t>s</w:t>
      </w:r>
      <w:r w:rsidRPr="001305C1">
        <w:t xml:space="preserve"> students in vetting their </w:t>
      </w:r>
      <w:r w:rsidR="00E1462A">
        <w:t>two to three</w:t>
      </w:r>
      <w:r w:rsidRPr="001305C1">
        <w:t xml:space="preserve"> possible </w:t>
      </w:r>
      <w:r w:rsidR="00AE3FD7">
        <w:t>a</w:t>
      </w:r>
      <w:r w:rsidR="000831BA">
        <w:t xml:space="preserve">reas of </w:t>
      </w:r>
      <w:r w:rsidR="00AE3FD7">
        <w:t>i</w:t>
      </w:r>
      <w:r w:rsidR="000831BA">
        <w:t>nvestigation</w:t>
      </w:r>
      <w:r w:rsidR="00466A15">
        <w:t xml:space="preserve"> </w:t>
      </w:r>
      <w:r w:rsidR="00AE3FD7">
        <w:t>from 10.3.1</w:t>
      </w:r>
      <w:r w:rsidR="00466A15">
        <w:t xml:space="preserve"> Lesson 15</w:t>
      </w:r>
      <w:r w:rsidR="00E8200F">
        <w:t>,</w:t>
      </w:r>
      <w:r w:rsidRPr="001305C1">
        <w:t xml:space="preserve"> in order</w:t>
      </w:r>
      <w:r w:rsidR="00491C45">
        <w:t xml:space="preserve"> to </w:t>
      </w:r>
      <w:r w:rsidR="002378C9">
        <w:t>select a</w:t>
      </w:r>
      <w:r w:rsidR="00491C45">
        <w:t xml:space="preserve"> research topic/</w:t>
      </w:r>
      <w:r w:rsidR="0080063A">
        <w:t>a</w:t>
      </w:r>
      <w:r w:rsidR="000D10A8">
        <w:t>rea of investigation</w:t>
      </w:r>
      <w:r w:rsidR="006732E4">
        <w:t xml:space="preserve"> </w:t>
      </w:r>
      <w:r w:rsidR="001A5BC5">
        <w:t>to</w:t>
      </w:r>
      <w:r w:rsidR="006732E4">
        <w:t xml:space="preserve"> </w:t>
      </w:r>
      <w:r w:rsidRPr="001305C1">
        <w:t>explore throughout the unit.</w:t>
      </w:r>
    </w:p>
    <w:p w:rsidR="001305C1" w:rsidRPr="00DF0137" w:rsidRDefault="001305C1" w:rsidP="00171380">
      <w:pPr>
        <w:rPr>
          <w:highlight w:val="yellow"/>
        </w:rPr>
      </w:pPr>
      <w:r w:rsidRPr="00966920">
        <w:t xml:space="preserve">Students begin the lesson by </w:t>
      </w:r>
      <w:r w:rsidR="00420A17" w:rsidRPr="00966920">
        <w:t>learning more about</w:t>
      </w:r>
      <w:r w:rsidR="002378C9" w:rsidRPr="00966920">
        <w:t xml:space="preserve"> </w:t>
      </w:r>
      <w:r w:rsidRPr="00966920">
        <w:t>the research process and constructing the Research Portfolio</w:t>
      </w:r>
      <w:r w:rsidR="007973CE">
        <w:t>, which they use</w:t>
      </w:r>
      <w:r w:rsidRPr="00966920">
        <w:t xml:space="preserve"> to house all research </w:t>
      </w:r>
      <w:r w:rsidR="00D1356A">
        <w:t xml:space="preserve">they </w:t>
      </w:r>
      <w:r w:rsidRPr="00966920">
        <w:t xml:space="preserve">conducted in </w:t>
      </w:r>
      <w:r w:rsidR="00FD1071">
        <w:t>10.</w:t>
      </w:r>
      <w:r w:rsidR="00AE3FD7">
        <w:t>3.</w:t>
      </w:r>
      <w:r w:rsidRPr="00966920">
        <w:t xml:space="preserve">1 and the research materials that </w:t>
      </w:r>
      <w:r w:rsidR="007A7E83">
        <w:t>are</w:t>
      </w:r>
      <w:r w:rsidRPr="00966920">
        <w:t xml:space="preserve"> distributed and gathered in this unit. Next, using the </w:t>
      </w:r>
      <w:r w:rsidR="00334771" w:rsidRPr="007B2EC0">
        <w:t>Area Evaluation Checklist</w:t>
      </w:r>
      <w:r w:rsidRPr="00966920">
        <w:t xml:space="preserve">, students vet their </w:t>
      </w:r>
      <w:r w:rsidR="007973CE">
        <w:t>two to three</w:t>
      </w:r>
      <w:r w:rsidRPr="00966920">
        <w:t xml:space="preserve"> possible </w:t>
      </w:r>
      <w:r w:rsidR="00B36061">
        <w:t>a</w:t>
      </w:r>
      <w:r w:rsidR="000831BA">
        <w:t xml:space="preserve">reas of </w:t>
      </w:r>
      <w:r w:rsidR="00B36061">
        <w:t>i</w:t>
      </w:r>
      <w:r w:rsidR="000831BA">
        <w:t>nvestigation</w:t>
      </w:r>
      <w:r w:rsidRPr="00966920">
        <w:t xml:space="preserve"> </w:t>
      </w:r>
      <w:r w:rsidR="0096685D">
        <w:t xml:space="preserve">that they </w:t>
      </w:r>
      <w:r w:rsidRPr="00966920">
        <w:t>previou</w:t>
      </w:r>
      <w:r w:rsidR="00BD6331" w:rsidRPr="00966920">
        <w:t xml:space="preserve">sly </w:t>
      </w:r>
      <w:r w:rsidR="005D278F" w:rsidRPr="00966920">
        <w:t>refined</w:t>
      </w:r>
      <w:r w:rsidR="00BD6331" w:rsidRPr="00966920">
        <w:t xml:space="preserve"> in </w:t>
      </w:r>
      <w:r w:rsidR="00B36061">
        <w:t xml:space="preserve">10.3.1 </w:t>
      </w:r>
      <w:r w:rsidR="00BD6331" w:rsidRPr="00966920">
        <w:t>Lesson 15</w:t>
      </w:r>
      <w:r w:rsidR="006732E4" w:rsidRPr="00966920">
        <w:t>,</w:t>
      </w:r>
      <w:r w:rsidRPr="00966920">
        <w:t xml:space="preserve"> and independently select a </w:t>
      </w:r>
      <w:r w:rsidR="00491C45" w:rsidRPr="00966920">
        <w:t>research</w:t>
      </w:r>
      <w:r w:rsidR="00491C45">
        <w:t xml:space="preserve"> topic/</w:t>
      </w:r>
      <w:r w:rsidR="000D10A8">
        <w:t>area of investigation</w:t>
      </w:r>
      <w:r w:rsidRPr="00BF26DC">
        <w:t>. The lesson conclude</w:t>
      </w:r>
      <w:r w:rsidR="006732E4" w:rsidRPr="00BF26DC">
        <w:t>s</w:t>
      </w:r>
      <w:r w:rsidRPr="00BF26DC">
        <w:t xml:space="preserve"> with a Quick Write </w:t>
      </w:r>
      <w:r w:rsidR="006732E4" w:rsidRPr="00BF26DC">
        <w:t>in which</w:t>
      </w:r>
      <w:r w:rsidRPr="00BF26DC">
        <w:t xml:space="preserve"> students discuss their </w:t>
      </w:r>
      <w:r w:rsidR="006732E4" w:rsidRPr="00BF26DC">
        <w:t xml:space="preserve">specific </w:t>
      </w:r>
      <w:r w:rsidR="00491C45">
        <w:t>research topic/</w:t>
      </w:r>
      <w:r w:rsidR="000D10A8">
        <w:t>area of investigation</w:t>
      </w:r>
      <w:r w:rsidRPr="00BF26DC">
        <w:t xml:space="preserve"> and how they </w:t>
      </w:r>
      <w:r w:rsidR="002378C9">
        <w:t>selected</w:t>
      </w:r>
      <w:r w:rsidRPr="00BF26DC">
        <w:t xml:space="preserve"> it using the Area Evaluation Checklist to vet the possible </w:t>
      </w:r>
      <w:r w:rsidR="00B36061">
        <w:t>a</w:t>
      </w:r>
      <w:r w:rsidR="000831BA">
        <w:t xml:space="preserve">reas of </w:t>
      </w:r>
      <w:r w:rsidR="00B36061">
        <w:t>i</w:t>
      </w:r>
      <w:r w:rsidR="000831BA">
        <w:t>nvestigation</w:t>
      </w:r>
      <w:r w:rsidRPr="00BF26DC">
        <w:t xml:space="preserve">. For homework, students use the Pre-Search Tool from </w:t>
      </w:r>
      <w:r w:rsidR="00B36061">
        <w:t>10.3.</w:t>
      </w:r>
      <w:r w:rsidRPr="00BF26DC">
        <w:t xml:space="preserve">1 to search for two sources related to the </w:t>
      </w:r>
      <w:r w:rsidR="00491C45">
        <w:t>research topic/</w:t>
      </w:r>
      <w:r w:rsidR="000D10A8">
        <w:t>area of investigation</w:t>
      </w:r>
      <w:r w:rsidRPr="00BF26DC">
        <w:t xml:space="preserve"> </w:t>
      </w:r>
      <w:r w:rsidR="00D1356A">
        <w:t xml:space="preserve">they </w:t>
      </w:r>
      <w:r w:rsidRPr="00BF26DC">
        <w:t>draft in th</w:t>
      </w:r>
      <w:r w:rsidR="00662DA4">
        <w:t>is</w:t>
      </w:r>
      <w:r w:rsidRPr="00BF26DC">
        <w:t xml:space="preserve"> lesson</w:t>
      </w:r>
      <w:r w:rsidR="009200F4">
        <w:t xml:space="preserve">. </w:t>
      </w:r>
      <w:r w:rsidRPr="00BF26DC">
        <w:t>Students prepare to discuss how the two sources connect to the</w:t>
      </w:r>
      <w:r w:rsidR="00491C45" w:rsidRPr="00491C45">
        <w:t xml:space="preserve"> </w:t>
      </w:r>
      <w:r w:rsidR="00491C45">
        <w:t>research topic/</w:t>
      </w:r>
      <w:r w:rsidR="000D10A8">
        <w:t>area of investigation</w:t>
      </w:r>
      <w:r w:rsidRPr="001305C1">
        <w:t xml:space="preserve"> </w:t>
      </w:r>
      <w:r w:rsidR="00420A17">
        <w:t>in</w:t>
      </w:r>
      <w:r w:rsidRPr="001305C1">
        <w:t xml:space="preserve"> the </w:t>
      </w:r>
      <w:r w:rsidRPr="00C007FE">
        <w:t>following lesson</w:t>
      </w:r>
      <w:r w:rsidR="00441F04">
        <w:t>, 10.3.2 Lesson 2</w:t>
      </w:r>
      <w:r w:rsidRPr="001305C1">
        <w:t>.</w:t>
      </w:r>
    </w:p>
    <w:p w:rsidR="00772E6B" w:rsidRPr="00DC53C8" w:rsidRDefault="00772E6B" w:rsidP="00772E6B">
      <w:pPr>
        <w:pStyle w:val="Heading1"/>
      </w:pPr>
      <w:r w:rsidRPr="00DC53C8">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772E6B" w:rsidRPr="00DF0137">
        <w:tc>
          <w:tcPr>
            <w:tcW w:w="9468" w:type="dxa"/>
            <w:gridSpan w:val="2"/>
            <w:shd w:val="clear" w:color="auto" w:fill="76923C"/>
          </w:tcPr>
          <w:p w:rsidR="00772E6B" w:rsidRPr="00DC53C8" w:rsidRDefault="00772E6B" w:rsidP="006F7AA1">
            <w:pPr>
              <w:pStyle w:val="TableHeaders"/>
            </w:pPr>
            <w:r w:rsidRPr="00DC53C8">
              <w:t>Assessed Standard(s)</w:t>
            </w:r>
          </w:p>
        </w:tc>
      </w:tr>
      <w:tr w:rsidR="00772E6B" w:rsidRPr="00DF0137">
        <w:tc>
          <w:tcPr>
            <w:tcW w:w="1344" w:type="dxa"/>
          </w:tcPr>
          <w:p w:rsidR="00772E6B" w:rsidRPr="00DC53C8" w:rsidRDefault="00DC53C8" w:rsidP="006F7AA1">
            <w:pPr>
              <w:pStyle w:val="TableText"/>
            </w:pPr>
            <w:r w:rsidRPr="00DC53C8">
              <w:t>W.9-10.7</w:t>
            </w:r>
          </w:p>
        </w:tc>
        <w:tc>
          <w:tcPr>
            <w:tcW w:w="8124" w:type="dxa"/>
          </w:tcPr>
          <w:p w:rsidR="00772E6B" w:rsidRPr="001305C1" w:rsidRDefault="001305C1" w:rsidP="00032704">
            <w:pPr>
              <w:pStyle w:val="TableText"/>
            </w:pPr>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72E6B" w:rsidRPr="00DF0137">
        <w:tc>
          <w:tcPr>
            <w:tcW w:w="9468" w:type="dxa"/>
            <w:gridSpan w:val="2"/>
            <w:shd w:val="clear" w:color="auto" w:fill="76923C"/>
          </w:tcPr>
          <w:p w:rsidR="00772E6B" w:rsidRPr="00DC53C8" w:rsidRDefault="00772E6B" w:rsidP="006F7AA1">
            <w:pPr>
              <w:pStyle w:val="TableHeaders"/>
            </w:pPr>
            <w:r w:rsidRPr="00DC53C8">
              <w:t>Addressed Standard(s)</w:t>
            </w:r>
          </w:p>
        </w:tc>
      </w:tr>
      <w:tr w:rsidR="00772E6B" w:rsidRPr="00DF0137">
        <w:tc>
          <w:tcPr>
            <w:tcW w:w="1344" w:type="dxa"/>
          </w:tcPr>
          <w:p w:rsidR="00772E6B" w:rsidRPr="00DC53C8" w:rsidRDefault="00DC53C8" w:rsidP="006F7AA1">
            <w:pPr>
              <w:pStyle w:val="TableText"/>
            </w:pPr>
            <w:r w:rsidRPr="00DC53C8">
              <w:t>W.9-10.4</w:t>
            </w:r>
          </w:p>
        </w:tc>
        <w:tc>
          <w:tcPr>
            <w:tcW w:w="8124" w:type="dxa"/>
          </w:tcPr>
          <w:p w:rsidR="00772E6B" w:rsidRPr="001305C1" w:rsidRDefault="001305C1" w:rsidP="00032704">
            <w:pPr>
              <w:pStyle w:val="TableText"/>
            </w:pPr>
            <w:r>
              <w:t xml:space="preserve">Produce clear and coherent writing in which the development, organization, and style are appropriate to task, purpose, and audience. </w:t>
            </w:r>
          </w:p>
        </w:tc>
      </w:tr>
      <w:tr w:rsidR="007B2EC0" w:rsidRPr="00DF0137">
        <w:tc>
          <w:tcPr>
            <w:tcW w:w="1344" w:type="dxa"/>
          </w:tcPr>
          <w:p w:rsidR="007B2EC0" w:rsidRPr="00DC53C8" w:rsidRDefault="007B2EC0" w:rsidP="006F7AA1">
            <w:pPr>
              <w:pStyle w:val="TableText"/>
            </w:pPr>
            <w:r>
              <w:t>L.9-10.4</w:t>
            </w:r>
            <w:r w:rsidR="00CD7CB7">
              <w:t>.</w:t>
            </w:r>
            <w:r>
              <w:t>a, c, d</w:t>
            </w:r>
          </w:p>
        </w:tc>
        <w:tc>
          <w:tcPr>
            <w:tcW w:w="8124" w:type="dxa"/>
          </w:tcPr>
          <w:p w:rsidR="00CD7CB7" w:rsidRPr="00CD7CB7" w:rsidRDefault="00CD7CB7" w:rsidP="00F97FD4">
            <w:pPr>
              <w:pStyle w:val="SubStandard"/>
              <w:numPr>
                <w:ilvl w:val="0"/>
                <w:numId w:val="0"/>
              </w:numPr>
            </w:pPr>
            <w:r>
              <w:t xml:space="preserve">Determine or clarify the meaning of unknown and multiple-meaning words and phrases based on </w:t>
            </w:r>
            <w:r>
              <w:rPr>
                <w:i/>
              </w:rPr>
              <w:t>grades 9–10 reading and content</w:t>
            </w:r>
            <w:r w:rsidR="00B04EC5">
              <w:t>, choosing flexibly</w:t>
            </w:r>
            <w:r>
              <w:t xml:space="preserve"> from a range of strategies.</w:t>
            </w:r>
          </w:p>
          <w:p w:rsidR="007B2EC0" w:rsidRPr="00034A58" w:rsidRDefault="007B2EC0" w:rsidP="00F97FD4">
            <w:pPr>
              <w:pStyle w:val="SubStandard"/>
            </w:pPr>
            <w:r w:rsidRPr="00034A58">
              <w:t>Use context (e.g., the overall meaning of a sentence, paragraph, or text; a word's position or function in a sentence) as a clue to the meaning of a word or phrase.</w:t>
            </w:r>
          </w:p>
          <w:p w:rsidR="007B2EC0" w:rsidRPr="00034A58" w:rsidRDefault="007B2EC0" w:rsidP="00F97FD4">
            <w:pPr>
              <w:pStyle w:val="SubStandard"/>
              <w:numPr>
                <w:ilvl w:val="0"/>
                <w:numId w:val="42"/>
              </w:numPr>
            </w:pPr>
            <w:r w:rsidRPr="00034A58">
              <w:lastRenderedPageBreak/>
              <w:t>Consult general and specialized reference materials (e.g., dictionaries, glossaries, thesauruses), both print and digital, to find the pronunciation of a word or determine or clarify its precise meaning, its part of speech, or its etymology.</w:t>
            </w:r>
          </w:p>
          <w:p w:rsidR="007B2EC0" w:rsidRDefault="007B2EC0" w:rsidP="00F97FD4">
            <w:pPr>
              <w:pStyle w:val="SubStandard"/>
            </w:pPr>
            <w:r w:rsidRPr="001A05A4">
              <w:t>Verify the preliminary determination of the meaning of a word or phrase (e.g., by checking the inferred meaning in context or in a dictionary).</w:t>
            </w:r>
          </w:p>
        </w:tc>
      </w:tr>
    </w:tbl>
    <w:p w:rsidR="00772E6B" w:rsidRPr="00DC53C8" w:rsidRDefault="00772E6B" w:rsidP="00772E6B">
      <w:pPr>
        <w:pStyle w:val="Heading1"/>
      </w:pPr>
      <w:r w:rsidRPr="00DC53C8">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772E6B" w:rsidRPr="00DF0137">
        <w:tc>
          <w:tcPr>
            <w:tcW w:w="9478" w:type="dxa"/>
            <w:shd w:val="clear" w:color="auto" w:fill="76923C"/>
          </w:tcPr>
          <w:p w:rsidR="00772E6B" w:rsidRPr="001305C1" w:rsidRDefault="00772E6B" w:rsidP="006F7AA1">
            <w:pPr>
              <w:pStyle w:val="TableHeaders"/>
            </w:pPr>
            <w:r w:rsidRPr="001305C1">
              <w:t>Assessment(s)</w:t>
            </w:r>
          </w:p>
        </w:tc>
      </w:tr>
      <w:tr w:rsidR="00772E6B" w:rsidRPr="00DF0137" w:rsidTr="00032704">
        <w:tc>
          <w:tcPr>
            <w:tcW w:w="9478" w:type="dxa"/>
            <w:tcBorders>
              <w:top w:val="single" w:sz="4" w:space="0" w:color="auto"/>
              <w:left w:val="single" w:sz="4" w:space="0" w:color="auto"/>
              <w:bottom w:val="single" w:sz="4" w:space="0" w:color="auto"/>
              <w:right w:val="single" w:sz="4" w:space="0" w:color="auto"/>
            </w:tcBorders>
            <w:shd w:val="clear" w:color="auto" w:fill="auto"/>
          </w:tcPr>
          <w:p w:rsidR="001305C1" w:rsidRPr="00032704" w:rsidRDefault="00747185" w:rsidP="00032704">
            <w:pPr>
              <w:pStyle w:val="Default"/>
            </w:pPr>
            <w:r>
              <w:rPr>
                <w:sz w:val="22"/>
                <w:szCs w:val="22"/>
              </w:rPr>
              <w:t xml:space="preserve">Student learning is assessed </w:t>
            </w:r>
            <w:r w:rsidR="00420A17" w:rsidRPr="00032704">
              <w:rPr>
                <w:sz w:val="22"/>
                <w:szCs w:val="22"/>
              </w:rPr>
              <w:t>via</w:t>
            </w:r>
            <w:r w:rsidR="001305C1" w:rsidRPr="00032704">
              <w:rPr>
                <w:sz w:val="22"/>
                <w:szCs w:val="22"/>
              </w:rPr>
              <w:t xml:space="preserve"> a Quick Write at the end of the lesson. </w:t>
            </w:r>
            <w:r>
              <w:rPr>
                <w:sz w:val="22"/>
                <w:szCs w:val="22"/>
              </w:rPr>
              <w:t>Students respond to the following prompt, citing textual evidence to support analysis and inferences drawn from the text.</w:t>
            </w:r>
          </w:p>
          <w:p w:rsidR="00772E6B" w:rsidRPr="00C44E56" w:rsidRDefault="00DC53C8" w:rsidP="00C44E56">
            <w:pPr>
              <w:pStyle w:val="BulletedList"/>
            </w:pPr>
            <w:r w:rsidRPr="00032704">
              <w:t xml:space="preserve">Describe how you arrived at your specific </w:t>
            </w:r>
            <w:r w:rsidR="009200F4" w:rsidRPr="00032704">
              <w:t>research topic/</w:t>
            </w:r>
            <w:r w:rsidR="000D10A8">
              <w:t>area of investigation</w:t>
            </w:r>
            <w:r w:rsidRPr="00032704">
              <w:t xml:space="preserve"> through the vetting process </w:t>
            </w:r>
            <w:r w:rsidR="00687AC7">
              <w:t xml:space="preserve">you </w:t>
            </w:r>
            <w:r w:rsidRPr="00032704">
              <w:t xml:space="preserve">conducted in the lesson. Explain how the Area Evaluation Checklist led you to select your specific </w:t>
            </w:r>
            <w:r w:rsidR="009200F4" w:rsidRPr="00032704">
              <w:t>research topic/</w:t>
            </w:r>
            <w:r w:rsidR="000D10A8">
              <w:t>area of investigation</w:t>
            </w:r>
            <w:r w:rsidRPr="00032704">
              <w:t>.</w:t>
            </w:r>
            <w:r w:rsidRPr="00032704">
              <w:rPr>
                <w:rFonts w:ascii="Arial" w:hAnsi="Arial" w:cs="Arial"/>
                <w:sz w:val="20"/>
                <w:szCs w:val="20"/>
              </w:rPr>
              <w:t xml:space="preserve"> </w:t>
            </w:r>
          </w:p>
          <w:p w:rsidR="001C6799" w:rsidRPr="00721D29" w:rsidRDefault="00C44E56" w:rsidP="00721D29">
            <w:pPr>
              <w:pStyle w:val="IN"/>
            </w:pPr>
            <w:r w:rsidRPr="00F97FD4">
              <w:t>Th</w:t>
            </w:r>
            <w:r w:rsidR="00721D29">
              <w:t>e</w:t>
            </w:r>
            <w:r w:rsidRPr="00F97FD4">
              <w:t xml:space="preserve"> Quick Write </w:t>
            </w:r>
            <w:r w:rsidR="004B2119" w:rsidRPr="00F97FD4">
              <w:t xml:space="preserve">is </w:t>
            </w:r>
            <w:r w:rsidRPr="00F97FD4">
              <w:t>assessed using the Area Evaluation Checklist.</w:t>
            </w:r>
          </w:p>
        </w:tc>
      </w:tr>
      <w:tr w:rsidR="00772E6B" w:rsidRPr="00DF0137">
        <w:tc>
          <w:tcPr>
            <w:tcW w:w="9478" w:type="dxa"/>
            <w:shd w:val="clear" w:color="auto" w:fill="76923C"/>
          </w:tcPr>
          <w:p w:rsidR="00772E6B" w:rsidRPr="001305C1" w:rsidRDefault="00772E6B" w:rsidP="006F7AA1">
            <w:pPr>
              <w:pStyle w:val="TableHeaders"/>
            </w:pPr>
            <w:r w:rsidRPr="001305C1">
              <w:t>High Performance Response(s)</w:t>
            </w:r>
          </w:p>
        </w:tc>
      </w:tr>
      <w:tr w:rsidR="00772E6B" w:rsidRPr="00DF0137">
        <w:tc>
          <w:tcPr>
            <w:tcW w:w="9478" w:type="dxa"/>
          </w:tcPr>
          <w:p w:rsidR="00772E6B" w:rsidRPr="001305C1" w:rsidRDefault="001305C1" w:rsidP="006F7AA1">
            <w:pPr>
              <w:pStyle w:val="TableText"/>
            </w:pPr>
            <w:r w:rsidRPr="001305C1">
              <w:t>A High Performance R</w:t>
            </w:r>
            <w:r w:rsidR="00772E6B" w:rsidRPr="001305C1">
              <w:t xml:space="preserve">esponse </w:t>
            </w:r>
            <w:r w:rsidR="009E196D">
              <w:t>should</w:t>
            </w:r>
            <w:r w:rsidR="00772E6B" w:rsidRPr="001305C1">
              <w:t>:</w:t>
            </w:r>
          </w:p>
          <w:p w:rsidR="009E196D" w:rsidRDefault="009E196D" w:rsidP="006F7AA1">
            <w:pPr>
              <w:pStyle w:val="BulletedList"/>
            </w:pPr>
            <w:r>
              <w:t xml:space="preserve">Describe the </w:t>
            </w:r>
            <w:r w:rsidR="001305C1" w:rsidRPr="001305C1">
              <w:t xml:space="preserve">specific </w:t>
            </w:r>
            <w:r w:rsidR="00A67DDE">
              <w:t>area of investigation</w:t>
            </w:r>
            <w:r w:rsidR="001305C1" w:rsidRPr="001305C1">
              <w:t xml:space="preserve"> and the factors that helped the student narrow his or her choice</w:t>
            </w:r>
            <w:r w:rsidR="003B4AA7">
              <w:t xml:space="preserve"> (e.g</w:t>
            </w:r>
            <w:r w:rsidR="00032704">
              <w:t>.</w:t>
            </w:r>
            <w:r w:rsidR="003B4AA7">
              <w:t xml:space="preserve">, I chose the topic of tissue ownership because </w:t>
            </w:r>
            <w:r w:rsidR="000546EC">
              <w:t>it</w:t>
            </w:r>
            <w:r w:rsidR="00446879">
              <w:t xml:space="preserve"> had the most sources available and has a large scope for argument-based research</w:t>
            </w:r>
            <w:r w:rsidR="00B04EC5">
              <w:t>.</w:t>
            </w:r>
            <w:r w:rsidR="00446879">
              <w:t>)</w:t>
            </w:r>
            <w:r w:rsidR="00237278">
              <w:t>.</w:t>
            </w:r>
          </w:p>
          <w:p w:rsidR="00364225" w:rsidRDefault="009E196D" w:rsidP="00364225">
            <w:pPr>
              <w:pStyle w:val="BulletedList"/>
            </w:pPr>
            <w:r>
              <w:t>Explain how the</w:t>
            </w:r>
            <w:r w:rsidR="00364225">
              <w:t xml:space="preserve"> criteria in the</w:t>
            </w:r>
            <w:r>
              <w:t xml:space="preserve"> Area Evaluation Checklist </w:t>
            </w:r>
            <w:r w:rsidR="004F6320">
              <w:t>support</w:t>
            </w:r>
            <w:r w:rsidR="007E44A5">
              <w:t xml:space="preserve"> </w:t>
            </w:r>
            <w:r>
              <w:t>the evaluation of topics</w:t>
            </w:r>
            <w:r w:rsidR="00364225">
              <w:t xml:space="preserve"> </w:t>
            </w:r>
            <w:r w:rsidR="000546EC">
              <w:t>(e.g.</w:t>
            </w:r>
            <w:r w:rsidR="00032704">
              <w:t>,</w:t>
            </w:r>
            <w:r w:rsidR="000546EC">
              <w:t xml:space="preserve"> The Area Evaluation Checklist helped me evaluate the topic by asking me to consider whether</w:t>
            </w:r>
            <w:r w:rsidR="00446879">
              <w:t xml:space="preserve"> the</w:t>
            </w:r>
            <w:r w:rsidR="000546EC">
              <w:t xml:space="preserve"> topic led to more questions. This topic is strong enough to support further inquiry through questions such as</w:t>
            </w:r>
            <w:r w:rsidR="00124DF8">
              <w:t>,</w:t>
            </w:r>
            <w:r w:rsidR="000546EC">
              <w:t xml:space="preserve"> </w:t>
            </w:r>
            <w:r w:rsidR="00EE059E" w:rsidRPr="00EE059E">
              <w:t>“</w:t>
            </w:r>
            <w:r w:rsidR="000546EC" w:rsidRPr="00F97FD4">
              <w:t>What happens to tissue once it is removed from the body?</w:t>
            </w:r>
            <w:r w:rsidR="00EE059E" w:rsidRPr="00F97FD4">
              <w:t>”</w:t>
            </w:r>
            <w:r w:rsidR="000546EC" w:rsidRPr="000546EC">
              <w:t xml:space="preserve"> and </w:t>
            </w:r>
            <w:r w:rsidR="00EE059E">
              <w:t>“</w:t>
            </w:r>
            <w:r w:rsidR="000546EC" w:rsidRPr="00F97FD4">
              <w:t>When do patients relinquish the right to their tissue?</w:t>
            </w:r>
            <w:r w:rsidR="00EE059E">
              <w:t>”</w:t>
            </w:r>
            <w:r w:rsidR="000546EC">
              <w:t>)</w:t>
            </w:r>
            <w:r w:rsidR="00EE059E">
              <w:t>.</w:t>
            </w:r>
            <w:r w:rsidR="000546EC" w:rsidRPr="000546EC">
              <w:t xml:space="preserve"> </w:t>
            </w:r>
          </w:p>
          <w:p w:rsidR="001305C1" w:rsidRPr="001305C1" w:rsidRDefault="00364225" w:rsidP="007A7E83">
            <w:pPr>
              <w:pStyle w:val="BulletedList"/>
            </w:pPr>
            <w:r>
              <w:t xml:space="preserve">Explain how the chosen </w:t>
            </w:r>
            <w:r w:rsidR="000D10A8">
              <w:t>area of investigation</w:t>
            </w:r>
            <w:r>
              <w:t xml:space="preserve"> support</w:t>
            </w:r>
            <w:r w:rsidR="007A7E83">
              <w:t>s</w:t>
            </w:r>
            <w:r>
              <w:t xml:space="preserve"> </w:t>
            </w:r>
            <w:r w:rsidR="007E44A5">
              <w:t>a research-based argument</w:t>
            </w:r>
            <w:r w:rsidR="003B4AA7">
              <w:t xml:space="preserve"> </w:t>
            </w:r>
            <w:r w:rsidR="000546EC">
              <w:t>(e.g.</w:t>
            </w:r>
            <w:r w:rsidR="00032704">
              <w:t>,</w:t>
            </w:r>
            <w:r w:rsidR="000546EC">
              <w:t xml:space="preserve"> </w:t>
            </w:r>
            <w:r w:rsidR="000546EC" w:rsidRPr="000546EC">
              <w:t>There are different perspectives on the topic: Some thin</w:t>
            </w:r>
            <w:r w:rsidR="000546EC">
              <w:t>k that researchers should own excised and donated tissues</w:t>
            </w:r>
            <w:r w:rsidR="000546EC" w:rsidRPr="000546EC">
              <w:t>, and some think that ownership should revert to the patient</w:t>
            </w:r>
            <w:r w:rsidR="000546EC">
              <w:t>, so I can argue for one of these perspectives or perhaps identify another</w:t>
            </w:r>
            <w:r w:rsidR="00B04EC5">
              <w:t>.</w:t>
            </w:r>
            <w:r w:rsidR="000546EC">
              <w:t>)</w:t>
            </w:r>
            <w:r w:rsidR="00EE059E">
              <w:t>.</w:t>
            </w:r>
          </w:p>
        </w:tc>
      </w:tr>
    </w:tbl>
    <w:p w:rsidR="00772E6B" w:rsidRPr="00DC53C8" w:rsidRDefault="00772E6B" w:rsidP="00772E6B">
      <w:pPr>
        <w:pStyle w:val="Heading1"/>
      </w:pPr>
      <w:r w:rsidRPr="00DC53C8">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772E6B" w:rsidRPr="00DF0137">
        <w:tc>
          <w:tcPr>
            <w:tcW w:w="9450" w:type="dxa"/>
            <w:shd w:val="clear" w:color="auto" w:fill="76923C"/>
          </w:tcPr>
          <w:p w:rsidR="00772E6B" w:rsidRPr="00DC53C8" w:rsidRDefault="00772E6B" w:rsidP="006F7AA1">
            <w:pPr>
              <w:pStyle w:val="TableHeaders"/>
            </w:pPr>
            <w:r w:rsidRPr="00DC53C8">
              <w:t>Vocabulary to provide directly (will not include extended instruction)</w:t>
            </w:r>
          </w:p>
        </w:tc>
      </w:tr>
      <w:tr w:rsidR="00772E6B" w:rsidRPr="00DF0137">
        <w:tc>
          <w:tcPr>
            <w:tcW w:w="9450" w:type="dxa"/>
          </w:tcPr>
          <w:p w:rsidR="001305C1" w:rsidRPr="0040576C" w:rsidRDefault="0008149C" w:rsidP="0040576C">
            <w:pPr>
              <w:pStyle w:val="BulletedList"/>
            </w:pPr>
            <w:r>
              <w:t>None.*</w:t>
            </w:r>
          </w:p>
        </w:tc>
      </w:tr>
      <w:tr w:rsidR="00772E6B" w:rsidRPr="00DF0137">
        <w:tc>
          <w:tcPr>
            <w:tcW w:w="9450" w:type="dxa"/>
            <w:shd w:val="clear" w:color="auto" w:fill="76923C"/>
          </w:tcPr>
          <w:p w:rsidR="00772E6B" w:rsidRPr="00DC53C8" w:rsidRDefault="00772E6B" w:rsidP="006F7AA1">
            <w:pPr>
              <w:pStyle w:val="TableHeaders"/>
            </w:pPr>
            <w:r w:rsidRPr="00DC53C8">
              <w:lastRenderedPageBreak/>
              <w:t>Vocabulary to teach (may include direct word work and/or questions)</w:t>
            </w:r>
          </w:p>
        </w:tc>
      </w:tr>
      <w:tr w:rsidR="00772E6B" w:rsidRPr="00DF0137">
        <w:tc>
          <w:tcPr>
            <w:tcW w:w="9450" w:type="dxa"/>
          </w:tcPr>
          <w:p w:rsidR="005F4563" w:rsidRPr="0008149C" w:rsidRDefault="0008149C">
            <w:pPr>
              <w:pStyle w:val="BulletedList"/>
              <w:rPr>
                <w:rFonts w:eastAsia="Verdana" w:cs="Calibri"/>
                <w:color w:val="595959"/>
              </w:rPr>
            </w:pPr>
            <w:r w:rsidRPr="0008149C">
              <w:rPr>
                <w:rFonts w:eastAsia="Verdana" w:cs="Calibri"/>
              </w:rPr>
              <w:t>None.*</w:t>
            </w:r>
          </w:p>
        </w:tc>
      </w:tr>
    </w:tbl>
    <w:p w:rsidR="00196CF8" w:rsidRPr="00B04EC5" w:rsidRDefault="00B04EC5" w:rsidP="00F97FD4">
      <w:pPr>
        <w:rPr>
          <w:sz w:val="18"/>
          <w:szCs w:val="16"/>
        </w:rPr>
      </w:pPr>
      <w:r>
        <w:rPr>
          <w:sz w:val="18"/>
          <w:szCs w:val="16"/>
        </w:rPr>
        <w:t>*</w:t>
      </w:r>
      <w:r w:rsidR="00196CF8" w:rsidRPr="00B04EC5">
        <w:rPr>
          <w:sz w:val="18"/>
          <w:szCs w:val="16"/>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772E6B" w:rsidRPr="00DC53C8" w:rsidRDefault="00772E6B" w:rsidP="00772E6B">
      <w:pPr>
        <w:pStyle w:val="Heading1"/>
      </w:pPr>
      <w:r w:rsidRPr="00DC53C8">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772E6B" w:rsidRPr="00DF0137">
        <w:tc>
          <w:tcPr>
            <w:tcW w:w="7830" w:type="dxa"/>
            <w:tcBorders>
              <w:bottom w:val="single" w:sz="4" w:space="0" w:color="auto"/>
            </w:tcBorders>
            <w:shd w:val="clear" w:color="auto" w:fill="76923C"/>
          </w:tcPr>
          <w:p w:rsidR="00772E6B" w:rsidRPr="00DC53C8" w:rsidRDefault="00772E6B" w:rsidP="006F7AA1">
            <w:pPr>
              <w:pStyle w:val="TableHeaders"/>
            </w:pPr>
            <w:r w:rsidRPr="00DC53C8">
              <w:t>Student-Facing Agenda</w:t>
            </w:r>
          </w:p>
        </w:tc>
        <w:tc>
          <w:tcPr>
            <w:tcW w:w="1638" w:type="dxa"/>
            <w:tcBorders>
              <w:bottom w:val="single" w:sz="4" w:space="0" w:color="auto"/>
            </w:tcBorders>
            <w:shd w:val="clear" w:color="auto" w:fill="76923C"/>
          </w:tcPr>
          <w:p w:rsidR="00772E6B" w:rsidRPr="00DC53C8" w:rsidRDefault="00772E6B" w:rsidP="006F7AA1">
            <w:pPr>
              <w:pStyle w:val="TableHeaders"/>
            </w:pPr>
            <w:r w:rsidRPr="00DC53C8">
              <w:t>% of Lesson</w:t>
            </w:r>
          </w:p>
        </w:tc>
      </w:tr>
      <w:tr w:rsidR="00772E6B" w:rsidRPr="00DF0137" w:rsidTr="00686FE6">
        <w:trPr>
          <w:trHeight w:val="1008"/>
        </w:trPr>
        <w:tc>
          <w:tcPr>
            <w:tcW w:w="7830" w:type="dxa"/>
            <w:tcBorders>
              <w:bottom w:val="nil"/>
            </w:tcBorders>
          </w:tcPr>
          <w:p w:rsidR="00772E6B" w:rsidRPr="00DC53C8" w:rsidRDefault="00772E6B" w:rsidP="006F7AA1">
            <w:pPr>
              <w:pStyle w:val="TableText"/>
              <w:rPr>
                <w:b/>
              </w:rPr>
            </w:pPr>
            <w:r w:rsidRPr="00DC53C8">
              <w:rPr>
                <w:b/>
              </w:rPr>
              <w:t>Standards &amp; Text:</w:t>
            </w:r>
            <w:r w:rsidR="00DC53C8" w:rsidRPr="00DC53C8">
              <w:rPr>
                <w:b/>
              </w:rPr>
              <w:t xml:space="preserve"> </w:t>
            </w:r>
          </w:p>
          <w:p w:rsidR="00DC53C8" w:rsidRPr="00DC53C8" w:rsidRDefault="00DC53C8" w:rsidP="00ED7EE9">
            <w:pPr>
              <w:pStyle w:val="BulletedList"/>
            </w:pPr>
            <w:r w:rsidRPr="00DC53C8">
              <w:t>Standards: W.9-10.7</w:t>
            </w:r>
            <w:r w:rsidR="00827346">
              <w:t xml:space="preserve">, </w:t>
            </w:r>
            <w:r w:rsidR="00A87AE1" w:rsidRPr="00DC53C8">
              <w:t xml:space="preserve">W.9-10.4, </w:t>
            </w:r>
            <w:r w:rsidR="00827346">
              <w:t>L.9-10.4.a, c, d</w:t>
            </w:r>
          </w:p>
        </w:tc>
        <w:tc>
          <w:tcPr>
            <w:tcW w:w="1638" w:type="dxa"/>
            <w:tcBorders>
              <w:bottom w:val="nil"/>
            </w:tcBorders>
          </w:tcPr>
          <w:p w:rsidR="00772E6B" w:rsidRPr="00DC53C8" w:rsidRDefault="00772E6B" w:rsidP="006F7AA1">
            <w:pPr>
              <w:pStyle w:val="NumberedList"/>
              <w:numPr>
                <w:ilvl w:val="0"/>
                <w:numId w:val="0"/>
              </w:numPr>
            </w:pPr>
          </w:p>
        </w:tc>
      </w:tr>
      <w:tr w:rsidR="00772E6B" w:rsidRPr="00DF0137">
        <w:tc>
          <w:tcPr>
            <w:tcW w:w="7830" w:type="dxa"/>
            <w:tcBorders>
              <w:top w:val="nil"/>
            </w:tcBorders>
          </w:tcPr>
          <w:p w:rsidR="00772E6B" w:rsidRPr="0040576C" w:rsidRDefault="00772E6B" w:rsidP="006F7AA1">
            <w:pPr>
              <w:pStyle w:val="TableText"/>
              <w:rPr>
                <w:b/>
              </w:rPr>
            </w:pPr>
            <w:r w:rsidRPr="0040576C">
              <w:rPr>
                <w:b/>
              </w:rPr>
              <w:t>Learning Sequence:</w:t>
            </w:r>
          </w:p>
          <w:p w:rsidR="00772E6B" w:rsidRPr="0040576C" w:rsidRDefault="00772E6B" w:rsidP="006F7AA1">
            <w:pPr>
              <w:pStyle w:val="NumberedList"/>
            </w:pPr>
            <w:r w:rsidRPr="0040576C">
              <w:t>Introduction of Lesson Agenda</w:t>
            </w:r>
          </w:p>
          <w:p w:rsidR="00772E6B" w:rsidRPr="0040576C" w:rsidRDefault="00772E6B" w:rsidP="006F7AA1">
            <w:pPr>
              <w:pStyle w:val="NumberedList"/>
            </w:pPr>
            <w:r w:rsidRPr="0040576C">
              <w:t>Homework Accountability</w:t>
            </w:r>
          </w:p>
          <w:p w:rsidR="00772E6B" w:rsidRPr="0040576C" w:rsidRDefault="0040576C" w:rsidP="006F7AA1">
            <w:pPr>
              <w:pStyle w:val="NumberedList"/>
            </w:pPr>
            <w:r w:rsidRPr="0040576C">
              <w:t>Introduction to Research Process and Resources</w:t>
            </w:r>
          </w:p>
          <w:p w:rsidR="00772E6B" w:rsidRPr="0040576C" w:rsidRDefault="0040576C" w:rsidP="006F7AA1">
            <w:pPr>
              <w:pStyle w:val="NumberedList"/>
            </w:pPr>
            <w:r w:rsidRPr="0040576C">
              <w:t xml:space="preserve">Vetting </w:t>
            </w:r>
            <w:r w:rsidR="007E7ED2">
              <w:t>A</w:t>
            </w:r>
            <w:r w:rsidR="00721D29">
              <w:t xml:space="preserve">reas of </w:t>
            </w:r>
            <w:r w:rsidR="007E7ED2">
              <w:t>I</w:t>
            </w:r>
            <w:r w:rsidR="00721D29">
              <w:t>nvestigation</w:t>
            </w:r>
          </w:p>
          <w:p w:rsidR="00772E6B" w:rsidRPr="0040576C" w:rsidRDefault="0040576C" w:rsidP="006F7AA1">
            <w:pPr>
              <w:pStyle w:val="NumberedList"/>
            </w:pPr>
            <w:r w:rsidRPr="0040576C">
              <w:t>Quick Write</w:t>
            </w:r>
          </w:p>
          <w:p w:rsidR="00772E6B" w:rsidRPr="0040576C" w:rsidRDefault="00772E6B" w:rsidP="006F7AA1">
            <w:pPr>
              <w:pStyle w:val="NumberedList"/>
            </w:pPr>
            <w:r w:rsidRPr="0040576C">
              <w:t>Closing</w:t>
            </w:r>
          </w:p>
        </w:tc>
        <w:tc>
          <w:tcPr>
            <w:tcW w:w="1638" w:type="dxa"/>
            <w:tcBorders>
              <w:top w:val="nil"/>
            </w:tcBorders>
          </w:tcPr>
          <w:p w:rsidR="00772E6B" w:rsidRPr="0040576C" w:rsidRDefault="00772E6B" w:rsidP="006F7AA1">
            <w:pPr>
              <w:pStyle w:val="TableText"/>
            </w:pPr>
          </w:p>
          <w:p w:rsidR="00772E6B" w:rsidRPr="0040576C" w:rsidRDefault="000123B7" w:rsidP="0040576C">
            <w:pPr>
              <w:pStyle w:val="NumberedList"/>
              <w:numPr>
                <w:ilvl w:val="0"/>
                <w:numId w:val="39"/>
              </w:numPr>
            </w:pPr>
            <w:r>
              <w:t>1</w:t>
            </w:r>
            <w:r w:rsidR="0040576C" w:rsidRPr="0040576C">
              <w:t>5</w:t>
            </w:r>
            <w:r w:rsidR="00772E6B" w:rsidRPr="0040576C">
              <w:t>%</w:t>
            </w:r>
          </w:p>
          <w:p w:rsidR="00772E6B" w:rsidRPr="0040576C" w:rsidRDefault="000123B7" w:rsidP="006F7AA1">
            <w:pPr>
              <w:pStyle w:val="NumberedList"/>
            </w:pPr>
            <w:r>
              <w:t>10</w:t>
            </w:r>
            <w:r w:rsidR="00772E6B" w:rsidRPr="0040576C">
              <w:t>%</w:t>
            </w:r>
          </w:p>
          <w:p w:rsidR="00772E6B" w:rsidRPr="0040576C" w:rsidRDefault="0040576C" w:rsidP="006F7AA1">
            <w:pPr>
              <w:pStyle w:val="NumberedList"/>
            </w:pPr>
            <w:r w:rsidRPr="0040576C">
              <w:t>25</w:t>
            </w:r>
            <w:r w:rsidR="00772E6B" w:rsidRPr="0040576C">
              <w:t>%</w:t>
            </w:r>
          </w:p>
          <w:p w:rsidR="00772E6B" w:rsidRPr="0040576C" w:rsidRDefault="000123B7" w:rsidP="006F7AA1">
            <w:pPr>
              <w:pStyle w:val="NumberedList"/>
            </w:pPr>
            <w:r>
              <w:t>35</w:t>
            </w:r>
            <w:r w:rsidR="00772E6B" w:rsidRPr="0040576C">
              <w:t>%</w:t>
            </w:r>
          </w:p>
          <w:p w:rsidR="00772E6B" w:rsidRPr="0040576C" w:rsidRDefault="0040576C" w:rsidP="006F7AA1">
            <w:pPr>
              <w:pStyle w:val="NumberedList"/>
            </w:pPr>
            <w:r w:rsidRPr="0040576C">
              <w:t>10</w:t>
            </w:r>
            <w:r w:rsidR="00772E6B" w:rsidRPr="0040576C">
              <w:t>%</w:t>
            </w:r>
          </w:p>
          <w:p w:rsidR="00772E6B" w:rsidRPr="0040576C" w:rsidRDefault="00772E6B" w:rsidP="006F7AA1">
            <w:pPr>
              <w:pStyle w:val="NumberedList"/>
            </w:pPr>
            <w:r w:rsidRPr="0040576C">
              <w:t>5%</w:t>
            </w:r>
          </w:p>
        </w:tc>
      </w:tr>
    </w:tbl>
    <w:p w:rsidR="00772E6B" w:rsidRPr="0040576C" w:rsidRDefault="00772E6B" w:rsidP="00772E6B">
      <w:pPr>
        <w:pStyle w:val="Heading1"/>
      </w:pPr>
      <w:r w:rsidRPr="0040576C">
        <w:t>Materials</w:t>
      </w:r>
    </w:p>
    <w:p w:rsidR="002304A5" w:rsidRDefault="002304A5" w:rsidP="007C4E2F">
      <w:pPr>
        <w:pStyle w:val="BulletedList"/>
      </w:pPr>
      <w:r>
        <w:t>C</w:t>
      </w:r>
      <w:r w:rsidR="0040576C">
        <w:t>opi</w:t>
      </w:r>
      <w:r w:rsidR="0040576C" w:rsidRPr="000123B7">
        <w:t>es of the 10</w:t>
      </w:r>
      <w:r w:rsidR="0040576C" w:rsidRPr="0086739D">
        <w:t xml:space="preserve">.3 </w:t>
      </w:r>
      <w:r w:rsidR="0040576C" w:rsidRPr="00AB022B">
        <w:t>Common Core Learning Standards Tool</w:t>
      </w:r>
      <w:r>
        <w:t xml:space="preserve"> for each student</w:t>
      </w:r>
    </w:p>
    <w:p w:rsidR="0040576C" w:rsidRPr="0040576C" w:rsidRDefault="0040576C" w:rsidP="007C4E2F">
      <w:pPr>
        <w:pStyle w:val="BulletedList"/>
      </w:pPr>
      <w:r w:rsidRPr="0040576C">
        <w:t xml:space="preserve">Students’ </w:t>
      </w:r>
      <w:r w:rsidR="007E3B1D">
        <w:t>two to three</w:t>
      </w:r>
      <w:r w:rsidRPr="0040576C">
        <w:t xml:space="preserve"> </w:t>
      </w:r>
      <w:r w:rsidR="00721D29">
        <w:t>areas of investigation</w:t>
      </w:r>
      <w:r w:rsidRPr="0040576C">
        <w:t xml:space="preserve"> (refer to </w:t>
      </w:r>
      <w:r w:rsidR="00B60D84">
        <w:t>10.3.1 Lesson 15</w:t>
      </w:r>
      <w:r w:rsidRPr="0040576C">
        <w:t>)</w:t>
      </w:r>
    </w:p>
    <w:p w:rsidR="00032704" w:rsidRPr="00CA7EE0" w:rsidRDefault="00565A51" w:rsidP="00032704">
      <w:pPr>
        <w:pStyle w:val="BulletedList"/>
        <w:rPr>
          <w:spacing w:val="-2"/>
        </w:rPr>
      </w:pPr>
      <w:r w:rsidRPr="00CA7EE0">
        <w:rPr>
          <w:spacing w:val="-2"/>
        </w:rPr>
        <w:t>Student c</w:t>
      </w:r>
      <w:r w:rsidR="00032704" w:rsidRPr="00CA7EE0">
        <w:rPr>
          <w:spacing w:val="-2"/>
        </w:rPr>
        <w:t>opies of</w:t>
      </w:r>
      <w:r w:rsidR="00ED7EE9" w:rsidRPr="00CA7EE0">
        <w:rPr>
          <w:spacing w:val="-2"/>
        </w:rPr>
        <w:t xml:space="preserve"> the</w:t>
      </w:r>
      <w:r w:rsidR="00032704" w:rsidRPr="00CA7EE0">
        <w:rPr>
          <w:spacing w:val="-2"/>
        </w:rPr>
        <w:t xml:space="preserve"> Area Evaluation Checklist (at least three blank copies)</w:t>
      </w:r>
      <w:r w:rsidRPr="00CA7EE0">
        <w:rPr>
          <w:spacing w:val="-2"/>
        </w:rPr>
        <w:t xml:space="preserve"> (refer to 10.3.1 Lesson 15)</w:t>
      </w:r>
    </w:p>
    <w:p w:rsidR="000F3DFF" w:rsidRDefault="00721D29" w:rsidP="00721D29">
      <w:pPr>
        <w:pStyle w:val="BulletedList"/>
      </w:pPr>
      <w:r w:rsidRPr="0040576C">
        <w:t>Student copies of</w:t>
      </w:r>
      <w:r>
        <w:t xml:space="preserve"> the Pre-Search Tool (refer to 10</w:t>
      </w:r>
      <w:r w:rsidRPr="0040576C">
        <w:t>.3.1 Lesson 8)</w:t>
      </w:r>
    </w:p>
    <w:p w:rsidR="00032704" w:rsidRDefault="00032704" w:rsidP="000F3DFF">
      <w:pPr>
        <w:pStyle w:val="BulletedList"/>
      </w:pPr>
      <w:r w:rsidRPr="0040576C">
        <w:t xml:space="preserve">Binders or </w:t>
      </w:r>
      <w:r w:rsidR="00EE23F5">
        <w:t>e</w:t>
      </w:r>
      <w:r w:rsidRPr="0040576C">
        <w:t xml:space="preserve">lectronic </w:t>
      </w:r>
      <w:r w:rsidR="00EE23F5">
        <w:t>f</w:t>
      </w:r>
      <w:r w:rsidRPr="0040576C">
        <w:t xml:space="preserve">olders (for the Research Portfolio) </w:t>
      </w:r>
    </w:p>
    <w:p w:rsidR="00772E6B" w:rsidRPr="00B60D84" w:rsidRDefault="00772E6B" w:rsidP="00772E6B">
      <w:pPr>
        <w:pStyle w:val="Heading1"/>
      </w:pPr>
      <w:r w:rsidRPr="00B60D84">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772E6B" w:rsidRPr="00B60D84">
        <w:tc>
          <w:tcPr>
            <w:tcW w:w="9468" w:type="dxa"/>
            <w:gridSpan w:val="2"/>
            <w:shd w:val="clear" w:color="auto" w:fill="76923C" w:themeFill="accent3" w:themeFillShade="BF"/>
          </w:tcPr>
          <w:p w:rsidR="00772E6B" w:rsidRPr="00B60D84" w:rsidRDefault="00772E6B" w:rsidP="006F7AA1">
            <w:pPr>
              <w:pStyle w:val="TableHeaders"/>
            </w:pPr>
            <w:r w:rsidRPr="00B60D84">
              <w:t>How to Use the Learning Sequence</w:t>
            </w:r>
          </w:p>
        </w:tc>
      </w:tr>
      <w:tr w:rsidR="00772E6B" w:rsidRPr="00B60D84">
        <w:tc>
          <w:tcPr>
            <w:tcW w:w="894" w:type="dxa"/>
            <w:shd w:val="clear" w:color="auto" w:fill="76923C" w:themeFill="accent3" w:themeFillShade="BF"/>
          </w:tcPr>
          <w:p w:rsidR="00772E6B" w:rsidRPr="00B60D84" w:rsidRDefault="00772E6B" w:rsidP="006F7AA1">
            <w:pPr>
              <w:pStyle w:val="TableHeaders"/>
            </w:pPr>
            <w:r w:rsidRPr="00B60D84">
              <w:t>Symbol</w:t>
            </w:r>
          </w:p>
        </w:tc>
        <w:tc>
          <w:tcPr>
            <w:tcW w:w="8574" w:type="dxa"/>
            <w:shd w:val="clear" w:color="auto" w:fill="76923C" w:themeFill="accent3" w:themeFillShade="BF"/>
          </w:tcPr>
          <w:p w:rsidR="00772E6B" w:rsidRPr="00B60D84" w:rsidRDefault="00772E6B" w:rsidP="006F7AA1">
            <w:pPr>
              <w:pStyle w:val="TableHeaders"/>
            </w:pPr>
            <w:r w:rsidRPr="00B60D84">
              <w:t>Type of Text &amp; Interpretation of the Symbol</w:t>
            </w:r>
          </w:p>
        </w:tc>
      </w:tr>
      <w:tr w:rsidR="00772E6B" w:rsidRPr="00B60D84">
        <w:tc>
          <w:tcPr>
            <w:tcW w:w="894" w:type="dxa"/>
          </w:tcPr>
          <w:p w:rsidR="00772E6B" w:rsidRPr="00B60D84" w:rsidRDefault="00772E6B" w:rsidP="006F7AA1">
            <w:pPr>
              <w:spacing w:before="20" w:after="20" w:line="240" w:lineRule="auto"/>
              <w:jc w:val="center"/>
              <w:rPr>
                <w:rFonts w:asciiTheme="minorHAnsi" w:hAnsiTheme="minorHAnsi"/>
                <w:b/>
                <w:color w:val="4F81BD" w:themeColor="accent1"/>
                <w:sz w:val="20"/>
              </w:rPr>
            </w:pPr>
            <w:r w:rsidRPr="00B60D84">
              <w:rPr>
                <w:rFonts w:asciiTheme="minorHAnsi" w:hAnsiTheme="minorHAnsi"/>
                <w:b/>
                <w:color w:val="4F81BD" w:themeColor="accent1"/>
                <w:sz w:val="20"/>
              </w:rPr>
              <w:t>10%</w:t>
            </w:r>
          </w:p>
        </w:tc>
        <w:tc>
          <w:tcPr>
            <w:tcW w:w="8574" w:type="dxa"/>
          </w:tcPr>
          <w:p w:rsidR="00772E6B" w:rsidRPr="00B60D84" w:rsidRDefault="00772E6B" w:rsidP="006F7AA1">
            <w:pPr>
              <w:spacing w:before="20" w:after="20" w:line="240" w:lineRule="auto"/>
              <w:rPr>
                <w:rFonts w:asciiTheme="minorHAnsi" w:hAnsiTheme="minorHAnsi"/>
                <w:b/>
                <w:color w:val="4F81BD" w:themeColor="accent1"/>
                <w:sz w:val="20"/>
              </w:rPr>
            </w:pPr>
            <w:r w:rsidRPr="00B60D84">
              <w:rPr>
                <w:rFonts w:asciiTheme="minorHAnsi" w:hAnsiTheme="minorHAnsi"/>
                <w:b/>
                <w:color w:val="4F81BD" w:themeColor="accent1"/>
                <w:sz w:val="20"/>
              </w:rPr>
              <w:t>Percentage indicates the percentage of lesson time each activity should take.</w:t>
            </w:r>
          </w:p>
        </w:tc>
      </w:tr>
      <w:tr w:rsidR="00772E6B" w:rsidRPr="00B60D84">
        <w:tc>
          <w:tcPr>
            <w:tcW w:w="894" w:type="dxa"/>
            <w:vMerge w:val="restart"/>
            <w:vAlign w:val="center"/>
          </w:tcPr>
          <w:p w:rsidR="00772E6B" w:rsidRPr="00B60D84" w:rsidRDefault="00772E6B" w:rsidP="006F7AA1">
            <w:pPr>
              <w:spacing w:before="20" w:after="20" w:line="240" w:lineRule="auto"/>
              <w:jc w:val="center"/>
              <w:rPr>
                <w:sz w:val="18"/>
              </w:rPr>
            </w:pPr>
            <w:r w:rsidRPr="00B60D84">
              <w:rPr>
                <w:sz w:val="18"/>
              </w:rPr>
              <w:t>no symbol</w:t>
            </w:r>
          </w:p>
        </w:tc>
        <w:tc>
          <w:tcPr>
            <w:tcW w:w="8574" w:type="dxa"/>
          </w:tcPr>
          <w:p w:rsidR="00772E6B" w:rsidRPr="00B60D84" w:rsidRDefault="00772E6B" w:rsidP="006F7AA1">
            <w:pPr>
              <w:spacing w:before="20" w:after="20" w:line="240" w:lineRule="auto"/>
              <w:rPr>
                <w:sz w:val="20"/>
              </w:rPr>
            </w:pPr>
            <w:r w:rsidRPr="00B60D84">
              <w:rPr>
                <w:sz w:val="20"/>
              </w:rPr>
              <w:t>Plain text indicates teacher action.</w:t>
            </w:r>
          </w:p>
        </w:tc>
      </w:tr>
      <w:tr w:rsidR="00772E6B" w:rsidRPr="00B60D84">
        <w:tc>
          <w:tcPr>
            <w:tcW w:w="894" w:type="dxa"/>
            <w:vMerge/>
          </w:tcPr>
          <w:p w:rsidR="00772E6B" w:rsidRPr="00B60D84" w:rsidRDefault="00772E6B" w:rsidP="006F7AA1">
            <w:pPr>
              <w:spacing w:before="20" w:after="20" w:line="240" w:lineRule="auto"/>
              <w:jc w:val="center"/>
              <w:rPr>
                <w:b/>
                <w:color w:val="000000" w:themeColor="text1"/>
                <w:sz w:val="20"/>
              </w:rPr>
            </w:pPr>
          </w:p>
        </w:tc>
        <w:tc>
          <w:tcPr>
            <w:tcW w:w="8574" w:type="dxa"/>
          </w:tcPr>
          <w:p w:rsidR="00772E6B" w:rsidRPr="00B60D84" w:rsidRDefault="00772E6B" w:rsidP="006F7AA1">
            <w:pPr>
              <w:spacing w:before="20" w:after="20" w:line="240" w:lineRule="auto"/>
              <w:rPr>
                <w:color w:val="4F81BD" w:themeColor="accent1"/>
                <w:sz w:val="20"/>
              </w:rPr>
            </w:pPr>
            <w:r w:rsidRPr="00B60D84">
              <w:rPr>
                <w:b/>
                <w:sz w:val="20"/>
              </w:rPr>
              <w:t>Bold text indicates questions for the teacher to ask students.</w:t>
            </w:r>
          </w:p>
        </w:tc>
      </w:tr>
      <w:tr w:rsidR="00772E6B" w:rsidRPr="00B60D84">
        <w:tc>
          <w:tcPr>
            <w:tcW w:w="894" w:type="dxa"/>
            <w:vMerge/>
          </w:tcPr>
          <w:p w:rsidR="00772E6B" w:rsidRPr="00B60D84" w:rsidRDefault="00772E6B" w:rsidP="006F7AA1">
            <w:pPr>
              <w:spacing w:before="20" w:after="20" w:line="240" w:lineRule="auto"/>
              <w:jc w:val="center"/>
              <w:rPr>
                <w:b/>
                <w:color w:val="000000" w:themeColor="text1"/>
                <w:sz w:val="20"/>
              </w:rPr>
            </w:pPr>
          </w:p>
        </w:tc>
        <w:tc>
          <w:tcPr>
            <w:tcW w:w="8574" w:type="dxa"/>
          </w:tcPr>
          <w:p w:rsidR="00772E6B" w:rsidRPr="00B60D84" w:rsidRDefault="00772E6B" w:rsidP="006F7AA1">
            <w:pPr>
              <w:spacing w:before="20" w:after="20" w:line="240" w:lineRule="auto"/>
              <w:rPr>
                <w:i/>
                <w:sz w:val="20"/>
              </w:rPr>
            </w:pPr>
            <w:r w:rsidRPr="00B60D84">
              <w:rPr>
                <w:i/>
                <w:sz w:val="20"/>
              </w:rPr>
              <w:t>Italicized text indicates a vocabulary word.</w:t>
            </w:r>
          </w:p>
        </w:tc>
      </w:tr>
      <w:tr w:rsidR="00772E6B" w:rsidRPr="00B60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772E6B" w:rsidRPr="00B60D84" w:rsidRDefault="00772E6B" w:rsidP="006F7AA1">
            <w:pPr>
              <w:spacing w:before="40" w:after="0" w:line="240" w:lineRule="auto"/>
              <w:jc w:val="center"/>
              <w:rPr>
                <w:sz w:val="20"/>
              </w:rPr>
            </w:pPr>
            <w:r w:rsidRPr="00B60D84">
              <w:sym w:font="Webdings" w:char="F034"/>
            </w:r>
          </w:p>
        </w:tc>
        <w:tc>
          <w:tcPr>
            <w:tcW w:w="8574" w:type="dxa"/>
          </w:tcPr>
          <w:p w:rsidR="00772E6B" w:rsidRPr="00B60D84" w:rsidRDefault="00772E6B" w:rsidP="006F7AA1">
            <w:pPr>
              <w:spacing w:before="20" w:after="20" w:line="240" w:lineRule="auto"/>
              <w:rPr>
                <w:sz w:val="20"/>
              </w:rPr>
            </w:pPr>
            <w:r w:rsidRPr="00B60D84">
              <w:rPr>
                <w:sz w:val="20"/>
              </w:rPr>
              <w:t>Indicates student action(s).</w:t>
            </w:r>
          </w:p>
        </w:tc>
      </w:tr>
      <w:tr w:rsidR="00772E6B" w:rsidRPr="00B60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772E6B" w:rsidRPr="00B60D84" w:rsidRDefault="00772E6B" w:rsidP="006F7AA1">
            <w:pPr>
              <w:spacing w:before="80" w:after="0" w:line="240" w:lineRule="auto"/>
              <w:jc w:val="center"/>
              <w:rPr>
                <w:sz w:val="20"/>
              </w:rPr>
            </w:pPr>
            <w:r w:rsidRPr="00B60D84">
              <w:rPr>
                <w:sz w:val="20"/>
              </w:rPr>
              <w:sym w:font="Webdings" w:char="F028"/>
            </w:r>
          </w:p>
        </w:tc>
        <w:tc>
          <w:tcPr>
            <w:tcW w:w="8574" w:type="dxa"/>
          </w:tcPr>
          <w:p w:rsidR="00772E6B" w:rsidRPr="00B60D84" w:rsidRDefault="00772E6B" w:rsidP="006F7AA1">
            <w:pPr>
              <w:spacing w:before="20" w:after="20" w:line="240" w:lineRule="auto"/>
              <w:rPr>
                <w:sz w:val="20"/>
              </w:rPr>
            </w:pPr>
            <w:r w:rsidRPr="00B60D84">
              <w:rPr>
                <w:sz w:val="20"/>
              </w:rPr>
              <w:t>Indicates possible student response(s) to teacher questions.</w:t>
            </w:r>
          </w:p>
        </w:tc>
      </w:tr>
      <w:tr w:rsidR="00772E6B" w:rsidRPr="00DF0137">
        <w:tc>
          <w:tcPr>
            <w:tcW w:w="894" w:type="dxa"/>
            <w:vAlign w:val="bottom"/>
          </w:tcPr>
          <w:p w:rsidR="00772E6B" w:rsidRPr="00B60D84" w:rsidRDefault="00772E6B" w:rsidP="006F7AA1">
            <w:pPr>
              <w:spacing w:after="0" w:line="240" w:lineRule="auto"/>
              <w:jc w:val="center"/>
              <w:rPr>
                <w:color w:val="4F81BD" w:themeColor="accent1"/>
                <w:sz w:val="20"/>
              </w:rPr>
            </w:pPr>
            <w:r w:rsidRPr="00B60D84">
              <w:rPr>
                <w:color w:val="4F81BD" w:themeColor="accent1"/>
                <w:sz w:val="20"/>
              </w:rPr>
              <w:sym w:font="Webdings" w:char="F069"/>
            </w:r>
          </w:p>
        </w:tc>
        <w:tc>
          <w:tcPr>
            <w:tcW w:w="8574" w:type="dxa"/>
          </w:tcPr>
          <w:p w:rsidR="00772E6B" w:rsidRPr="00B60D84" w:rsidRDefault="00772E6B" w:rsidP="006F7AA1">
            <w:pPr>
              <w:spacing w:before="20" w:after="20" w:line="240" w:lineRule="auto"/>
              <w:rPr>
                <w:color w:val="4F81BD" w:themeColor="accent1"/>
                <w:sz w:val="20"/>
              </w:rPr>
            </w:pPr>
            <w:r w:rsidRPr="00B60D84">
              <w:rPr>
                <w:color w:val="4F81BD" w:themeColor="accent1"/>
                <w:sz w:val="20"/>
              </w:rPr>
              <w:t>Indicates instructional notes for the teacher.</w:t>
            </w:r>
          </w:p>
        </w:tc>
      </w:tr>
    </w:tbl>
    <w:p w:rsidR="00772E6B" w:rsidRPr="00B60D84" w:rsidRDefault="00772E6B" w:rsidP="00772E6B">
      <w:pPr>
        <w:pStyle w:val="LearningSequenceHeader"/>
      </w:pPr>
      <w:r w:rsidRPr="00B60D84">
        <w:t>Activity 1: Introduction of Lesson Agenda</w:t>
      </w:r>
      <w:r w:rsidRPr="00B60D84">
        <w:tab/>
      </w:r>
      <w:r w:rsidR="007C16F1">
        <w:t>1</w:t>
      </w:r>
      <w:r w:rsidRPr="00B60D84">
        <w:t>5%</w:t>
      </w:r>
    </w:p>
    <w:p w:rsidR="00B60D84" w:rsidRPr="00BD6331" w:rsidRDefault="00772E6B" w:rsidP="00BD6331">
      <w:pPr>
        <w:pStyle w:val="TA"/>
      </w:pPr>
      <w:r w:rsidRPr="00BD6331">
        <w:t>Begin by reviewing the agenda and assessed standard for this lesson:</w:t>
      </w:r>
      <w:r w:rsidR="00B60D84" w:rsidRPr="00BD6331">
        <w:t xml:space="preserve"> W.9-10.7</w:t>
      </w:r>
      <w:r w:rsidRPr="00BD6331">
        <w:t xml:space="preserve">. In this lesson, students </w:t>
      </w:r>
      <w:r w:rsidR="00B60D84" w:rsidRPr="00BD6331">
        <w:t>learn more about the research process. They construct the Research Portfolio to house all research</w:t>
      </w:r>
      <w:r w:rsidR="007C31E6">
        <w:t xml:space="preserve"> they</w:t>
      </w:r>
      <w:r w:rsidR="00B60D84" w:rsidRPr="00BD6331">
        <w:t xml:space="preserve"> previously conducted in </w:t>
      </w:r>
      <w:r w:rsidR="00AA499E">
        <w:t>10.3.</w:t>
      </w:r>
      <w:r w:rsidR="00B60D84" w:rsidRPr="00BD6331">
        <w:t xml:space="preserve">1 and the research materials that </w:t>
      </w:r>
      <w:r w:rsidR="007A7E83">
        <w:t>are</w:t>
      </w:r>
      <w:r w:rsidR="00B60D84" w:rsidRPr="00BD6331">
        <w:t xml:space="preserve"> distributed and gathered in this unit</w:t>
      </w:r>
      <w:r w:rsidRPr="00BD6331">
        <w:t xml:space="preserve">. </w:t>
      </w:r>
      <w:r w:rsidR="00B60D84" w:rsidRPr="00BD6331">
        <w:t xml:space="preserve">Next, using the Area Evaluation Checklist, students vet their </w:t>
      </w:r>
      <w:r w:rsidR="007C31E6">
        <w:t>two to three</w:t>
      </w:r>
      <w:r w:rsidR="00B60D84" w:rsidRPr="00BD6331">
        <w:t xml:space="preserve"> possible </w:t>
      </w:r>
      <w:r w:rsidR="00721D29">
        <w:t>areas of investigation</w:t>
      </w:r>
      <w:r w:rsidR="00B60D84" w:rsidRPr="00BD6331">
        <w:t xml:space="preserve"> </w:t>
      </w:r>
      <w:r w:rsidR="007C31E6">
        <w:t xml:space="preserve">that they </w:t>
      </w:r>
      <w:r w:rsidR="00B60D84" w:rsidRPr="00BD6331">
        <w:t xml:space="preserve">previously </w:t>
      </w:r>
      <w:r w:rsidR="009200F4">
        <w:t>refined</w:t>
      </w:r>
      <w:r w:rsidR="00B60D84" w:rsidRPr="00BD6331">
        <w:t xml:space="preserve"> in </w:t>
      </w:r>
      <w:r w:rsidR="00AA499E">
        <w:t>10.3.1</w:t>
      </w:r>
      <w:r w:rsidR="00B60D84" w:rsidRPr="00BD6331">
        <w:t xml:space="preserve"> Lesson 15, and independently select a specific </w:t>
      </w:r>
      <w:r w:rsidR="00491C45">
        <w:rPr>
          <w:rFonts w:cs="Calibri"/>
          <w:color w:val="000000"/>
        </w:rPr>
        <w:t>research topic/</w:t>
      </w:r>
      <w:r w:rsidR="000D10A8">
        <w:rPr>
          <w:rFonts w:cs="Calibri"/>
          <w:color w:val="000000"/>
        </w:rPr>
        <w:t>area of investigation</w:t>
      </w:r>
      <w:r w:rsidR="00B60D84" w:rsidRPr="00BD6331">
        <w:t xml:space="preserve">. The lesson concludes with a Quick Write in which students discuss their </w:t>
      </w:r>
      <w:r w:rsidR="00491C45">
        <w:rPr>
          <w:rFonts w:cs="Calibri"/>
          <w:color w:val="000000"/>
        </w:rPr>
        <w:t>research topic/</w:t>
      </w:r>
      <w:r w:rsidR="000D10A8">
        <w:rPr>
          <w:rFonts w:cs="Calibri"/>
          <w:color w:val="000000"/>
        </w:rPr>
        <w:t>area of investigation</w:t>
      </w:r>
      <w:r w:rsidR="00B60D84" w:rsidRPr="00BD6331">
        <w:t xml:space="preserve"> and how they </w:t>
      </w:r>
      <w:r w:rsidR="002378C9">
        <w:t xml:space="preserve">selected </w:t>
      </w:r>
      <w:r w:rsidR="00B60D84" w:rsidRPr="00BD6331">
        <w:t xml:space="preserve">it using the Area Evaluation Checklist to vet the possible </w:t>
      </w:r>
      <w:r w:rsidR="00721D29">
        <w:t>areas of investigation</w:t>
      </w:r>
      <w:r w:rsidR="00B60D84" w:rsidRPr="00BD6331">
        <w:t>.</w:t>
      </w:r>
    </w:p>
    <w:p w:rsidR="00772E6B" w:rsidRPr="00B60D84" w:rsidRDefault="00772E6B" w:rsidP="00772E6B">
      <w:pPr>
        <w:pStyle w:val="SA"/>
      </w:pPr>
      <w:r w:rsidRPr="00B60D84">
        <w:t xml:space="preserve">Students </w:t>
      </w:r>
      <w:r w:rsidR="00D40204">
        <w:t>look at the agenda.</w:t>
      </w:r>
    </w:p>
    <w:p w:rsidR="00E05DDE" w:rsidRDefault="00E05DDE" w:rsidP="00E05DDE">
      <w:pPr>
        <w:pStyle w:val="TA"/>
      </w:pPr>
      <w:r>
        <w:t xml:space="preserve">Distribute </w:t>
      </w:r>
      <w:r w:rsidRPr="00FB2333">
        <w:t xml:space="preserve">copies of the 10.3 Common Core Learning Standards Tool to each student. Explain that students continue to work on mastering the skills described in the Common Core State Standards (CCSS) throughout this new module and the rest of the year. </w:t>
      </w:r>
    </w:p>
    <w:p w:rsidR="00E05DDE" w:rsidRPr="00FB2333" w:rsidRDefault="00E05DDE" w:rsidP="00E05DDE">
      <w:pPr>
        <w:pStyle w:val="SA"/>
      </w:pPr>
      <w:r w:rsidRPr="00FB2333">
        <w:t xml:space="preserve">Students listen and examine the 10.3 Common Core Learning Standards Tool. </w:t>
      </w:r>
    </w:p>
    <w:p w:rsidR="00E05DDE" w:rsidRPr="0084213E" w:rsidRDefault="00E05DDE" w:rsidP="00E05DDE">
      <w:pPr>
        <w:pStyle w:val="IN"/>
      </w:pPr>
      <w:r w:rsidRPr="00FB2333">
        <w:t>It may be helpful to explain to students that</w:t>
      </w:r>
      <w:r>
        <w:t xml:space="preserve"> at the beginning of lessons,</w:t>
      </w:r>
      <w:r w:rsidRPr="00FB2333">
        <w:t xml:space="preserve"> they </w:t>
      </w:r>
      <w:r>
        <w:t>are introduced to new standards as necessary</w:t>
      </w:r>
      <w:r w:rsidRPr="00FB2333">
        <w:t xml:space="preserve">, as in </w:t>
      </w:r>
      <w:r w:rsidRPr="00B673C2">
        <w:t xml:space="preserve">Modules 10.1 and 10.2. </w:t>
      </w:r>
    </w:p>
    <w:p w:rsidR="00E05DDE" w:rsidRDefault="00E05DDE" w:rsidP="00E05DDE">
      <w:pPr>
        <w:pStyle w:val="TA"/>
      </w:pPr>
      <w:r w:rsidRPr="00B60D84">
        <w:t>Inform students that in this lesson they begin to work</w:t>
      </w:r>
      <w:r>
        <w:t xml:space="preserve"> with a new standard: W.9-10.7</w:t>
      </w:r>
      <w:r w:rsidRPr="00B60D84">
        <w:t>. Ask students to individually read this standard on their tools and assess their familiarity with and mastery of it.</w:t>
      </w:r>
      <w:r>
        <w:t xml:space="preserve"> </w:t>
      </w:r>
    </w:p>
    <w:p w:rsidR="00E05DDE" w:rsidRPr="00B60D84" w:rsidRDefault="00E05DDE" w:rsidP="00E05DDE">
      <w:pPr>
        <w:pStyle w:val="SA"/>
      </w:pPr>
      <w:r w:rsidRPr="00B60D84">
        <w:t xml:space="preserve">Students read and assess their familiarity with standard W.9-10.7. </w:t>
      </w:r>
    </w:p>
    <w:p w:rsidR="00E05DDE" w:rsidRDefault="00E05DDE" w:rsidP="00E05DDE">
      <w:pPr>
        <w:pStyle w:val="TA"/>
      </w:pPr>
      <w:r w:rsidRPr="00B60D84">
        <w:t xml:space="preserve">Instruct students to talk in pairs about what they think the standard means. Lead a brief discussion about </w:t>
      </w:r>
      <w:r>
        <w:t>this</w:t>
      </w:r>
      <w:r w:rsidRPr="00B60D84">
        <w:t xml:space="preserve"> standard.</w:t>
      </w:r>
    </w:p>
    <w:p w:rsidR="00772E6B" w:rsidRPr="00B60D84" w:rsidRDefault="00772E6B" w:rsidP="00772E6B">
      <w:pPr>
        <w:pStyle w:val="SR"/>
      </w:pPr>
      <w:r w:rsidRPr="00B60D84">
        <w:t>Student responses should include:</w:t>
      </w:r>
    </w:p>
    <w:p w:rsidR="00B60D84" w:rsidRPr="00B60D84" w:rsidRDefault="00B60D84" w:rsidP="00B60D84">
      <w:pPr>
        <w:pStyle w:val="SASRBullet"/>
      </w:pPr>
      <w:r w:rsidRPr="00B60D84">
        <w:t xml:space="preserve">Students conduct </w:t>
      </w:r>
      <w:r w:rsidR="000123B7">
        <w:t>research for short and long projects</w:t>
      </w:r>
      <w:r w:rsidR="00364225">
        <w:t>.</w:t>
      </w:r>
    </w:p>
    <w:p w:rsidR="00B60D84" w:rsidRPr="00B60D84" w:rsidRDefault="00B60D84" w:rsidP="00B60D84">
      <w:pPr>
        <w:pStyle w:val="SASRBullet"/>
      </w:pPr>
      <w:r w:rsidRPr="00B60D84">
        <w:t>Students</w:t>
      </w:r>
      <w:r w:rsidR="000123B7">
        <w:t xml:space="preserve"> use research to</w:t>
      </w:r>
      <w:r w:rsidRPr="00B60D84">
        <w:t xml:space="preserve"> answer a question</w:t>
      </w:r>
      <w:r w:rsidR="000123B7">
        <w:t xml:space="preserve"> </w:t>
      </w:r>
      <w:r w:rsidRPr="00B60D84">
        <w:t>or solve a problem</w:t>
      </w:r>
      <w:r w:rsidR="00364225">
        <w:t>.</w:t>
      </w:r>
      <w:r w:rsidRPr="00B60D84">
        <w:t xml:space="preserve"> </w:t>
      </w:r>
    </w:p>
    <w:p w:rsidR="00B60D84" w:rsidRPr="00B60D84" w:rsidRDefault="00B60D84" w:rsidP="00B60D84">
      <w:pPr>
        <w:pStyle w:val="SASRBullet"/>
      </w:pPr>
      <w:r w:rsidRPr="00B60D84">
        <w:t xml:space="preserve">Students </w:t>
      </w:r>
      <w:r w:rsidR="000123B7">
        <w:t xml:space="preserve">expand or limit </w:t>
      </w:r>
      <w:r w:rsidRPr="00B60D84">
        <w:t xml:space="preserve">the inquiry </w:t>
      </w:r>
      <w:r w:rsidR="00364225">
        <w:t>based on the project or the research topic.</w:t>
      </w:r>
    </w:p>
    <w:p w:rsidR="00B60D84" w:rsidRPr="00B60D84" w:rsidRDefault="00B60D84" w:rsidP="00B60D84">
      <w:pPr>
        <w:pStyle w:val="SASRBullet"/>
      </w:pPr>
      <w:r w:rsidRPr="00B60D84">
        <w:t xml:space="preserve">Students </w:t>
      </w:r>
      <w:r w:rsidR="000123B7">
        <w:t>read and put together</w:t>
      </w:r>
      <w:r w:rsidR="000123B7" w:rsidRPr="00B60D84">
        <w:t xml:space="preserve"> </w:t>
      </w:r>
      <w:r w:rsidRPr="00B60D84">
        <w:t xml:space="preserve">multiple sources on the subject, </w:t>
      </w:r>
      <w:r w:rsidR="000123B7">
        <w:t>showing what they understand about the subject based on what they learned from the sources</w:t>
      </w:r>
      <w:r w:rsidR="00364225">
        <w:t>.</w:t>
      </w:r>
    </w:p>
    <w:p w:rsidR="00DA5E65" w:rsidRPr="00DA5E65" w:rsidRDefault="00DA5E65" w:rsidP="00DA5E65">
      <w:pPr>
        <w:pStyle w:val="IN"/>
      </w:pPr>
      <w:r w:rsidRPr="00DA5E65">
        <w:t>If students have completed the Grade 9 Module 3 ELA Curriculum and/or the Odell Education Research for Deepening Understanding Core Proficiency Unit, consider a brief review of this standard versus a full-class discussion.</w:t>
      </w:r>
    </w:p>
    <w:p w:rsidR="00FF54F4" w:rsidRDefault="00FF54F4" w:rsidP="00AD630E">
      <w:pPr>
        <w:pStyle w:val="TA"/>
      </w:pPr>
      <w:r>
        <w:t xml:space="preserve">Provide students with the following definitions: </w:t>
      </w:r>
      <w:r>
        <w:rPr>
          <w:i/>
        </w:rPr>
        <w:t>sustained</w:t>
      </w:r>
      <w:r>
        <w:t xml:space="preserve"> means “kept up or continued, as an action or process,” and </w:t>
      </w:r>
      <w:r>
        <w:rPr>
          <w:i/>
        </w:rPr>
        <w:t>self-generated</w:t>
      </w:r>
      <w:r>
        <w:t xml:space="preserve"> means “made without the aid of an external agent; produced spontaneously.”</w:t>
      </w:r>
    </w:p>
    <w:p w:rsidR="00B60D84" w:rsidRDefault="00B60D84" w:rsidP="002D0180">
      <w:pPr>
        <w:pStyle w:val="SA"/>
      </w:pPr>
      <w:r>
        <w:t xml:space="preserve">Students </w:t>
      </w:r>
      <w:r w:rsidR="00DA5E65">
        <w:t xml:space="preserve">write the definitions of </w:t>
      </w:r>
      <w:r w:rsidR="00DA5E65">
        <w:rPr>
          <w:i/>
        </w:rPr>
        <w:t xml:space="preserve">sustained </w:t>
      </w:r>
      <w:r w:rsidR="00DA5E65">
        <w:t xml:space="preserve">and </w:t>
      </w:r>
      <w:r w:rsidR="00DA5E65">
        <w:rPr>
          <w:i/>
        </w:rPr>
        <w:t xml:space="preserve">self-generated </w:t>
      </w:r>
      <w:r w:rsidR="00DA5E65">
        <w:t>in a vocabulary journal.</w:t>
      </w:r>
    </w:p>
    <w:p w:rsidR="00B60D84" w:rsidRDefault="00B60D84" w:rsidP="00B60D84">
      <w:pPr>
        <w:pStyle w:val="TA"/>
      </w:pPr>
      <w:r>
        <w:t xml:space="preserve">Ask students to consider the meaning of </w:t>
      </w:r>
      <w:r w:rsidRPr="002D0180">
        <w:rPr>
          <w:i/>
        </w:rPr>
        <w:t>inquiry</w:t>
      </w:r>
      <w:r>
        <w:t xml:space="preserve"> in the context of the standard.</w:t>
      </w:r>
    </w:p>
    <w:p w:rsidR="00B60D84" w:rsidRDefault="00B60D84" w:rsidP="002D0180">
      <w:pPr>
        <w:pStyle w:val="SR"/>
      </w:pPr>
      <w:r>
        <w:t>Students responses may include:</w:t>
      </w:r>
    </w:p>
    <w:p w:rsidR="00B60D84" w:rsidRDefault="00B60D84" w:rsidP="002D0180">
      <w:pPr>
        <w:pStyle w:val="SASRBullet"/>
      </w:pPr>
      <w:r>
        <w:t>The standard is about conducting research, which means looking for information.</w:t>
      </w:r>
    </w:p>
    <w:p w:rsidR="00B60D84" w:rsidRDefault="00B60D84" w:rsidP="002D0180">
      <w:pPr>
        <w:pStyle w:val="SASRBullet"/>
      </w:pPr>
      <w:r>
        <w:t>The verb is “to inquire,” which means to look for information.</w:t>
      </w:r>
    </w:p>
    <w:p w:rsidR="00B60D84" w:rsidRDefault="002F7070" w:rsidP="00364225">
      <w:pPr>
        <w:pStyle w:val="IN"/>
      </w:pPr>
      <w:r>
        <w:t xml:space="preserve">Consider providing students with the following definition: </w:t>
      </w:r>
      <w:r>
        <w:rPr>
          <w:i/>
        </w:rPr>
        <w:t xml:space="preserve">inquiry </w:t>
      </w:r>
      <w:r>
        <w:t>means “</w:t>
      </w:r>
      <w:r w:rsidR="00B60D84">
        <w:t>the act of seeking information by questioning</w:t>
      </w:r>
      <w:r w:rsidR="00F4717A">
        <w:t>,</w:t>
      </w:r>
      <w:r w:rsidR="00C66D69">
        <w:t xml:space="preserve">” </w:t>
      </w:r>
      <w:r w:rsidR="00B60D84">
        <w:t xml:space="preserve">and explain that the research process taught in this unit is based on </w:t>
      </w:r>
      <w:r w:rsidR="00B60D84" w:rsidRPr="00A55EE7">
        <w:rPr>
          <w:i/>
        </w:rPr>
        <w:t>inquiry</w:t>
      </w:r>
      <w:r w:rsidR="00B60D84">
        <w:t xml:space="preserve"> and that questioning play</w:t>
      </w:r>
      <w:r w:rsidR="007A7E83">
        <w:t>s</w:t>
      </w:r>
      <w:r w:rsidR="00B60D84">
        <w:t xml:space="preserve"> a vital role in exploring a spec</w:t>
      </w:r>
      <w:r w:rsidR="00B60D84" w:rsidRPr="007E44A5">
        <w:t xml:space="preserve">ific </w:t>
      </w:r>
      <w:r w:rsidR="00491C45" w:rsidRPr="00317AF6">
        <w:t>research topic/</w:t>
      </w:r>
      <w:r w:rsidR="000D10A8">
        <w:t>area of investigation</w:t>
      </w:r>
      <w:r w:rsidR="00B60D84" w:rsidRPr="007E44A5">
        <w:t>.</w:t>
      </w:r>
    </w:p>
    <w:p w:rsidR="001D26F1" w:rsidRPr="00485CFE" w:rsidRDefault="001D26F1" w:rsidP="00F97FD4">
      <w:pPr>
        <w:pStyle w:val="SA"/>
        <w:rPr>
          <w:color w:val="4F81BD" w:themeColor="accent1"/>
        </w:rPr>
      </w:pPr>
      <w:r w:rsidRPr="00485CFE">
        <w:rPr>
          <w:color w:val="4F81BD" w:themeColor="accent1"/>
        </w:rPr>
        <w:t xml:space="preserve">Students write the definition of </w:t>
      </w:r>
      <w:r w:rsidRPr="00485CFE">
        <w:rPr>
          <w:i/>
          <w:iCs/>
          <w:color w:val="4F81BD" w:themeColor="accent1"/>
        </w:rPr>
        <w:t>inquiry</w:t>
      </w:r>
      <w:r w:rsidRPr="00485CFE">
        <w:rPr>
          <w:color w:val="4F81BD" w:themeColor="accent1"/>
        </w:rPr>
        <w:t xml:space="preserve"> in a vocabulary journal.</w:t>
      </w:r>
    </w:p>
    <w:p w:rsidR="00B60D84" w:rsidRDefault="001C3C33" w:rsidP="00B60D84">
      <w:pPr>
        <w:pStyle w:val="TA"/>
      </w:pPr>
      <w:r>
        <w:t>Ask students what it means to “</w:t>
      </w:r>
      <w:r w:rsidR="00A55EE7" w:rsidRPr="00A55EE7">
        <w:rPr>
          <w:i/>
        </w:rPr>
        <w:t xml:space="preserve">synthesize </w:t>
      </w:r>
      <w:r>
        <w:t xml:space="preserve">multiple sources.” </w:t>
      </w:r>
    </w:p>
    <w:p w:rsidR="00B60D84" w:rsidRDefault="001C3C33" w:rsidP="002D0180">
      <w:pPr>
        <w:pStyle w:val="SR"/>
      </w:pPr>
      <w:r>
        <w:t>The standard says that you synthesize multiple sources in order to demonstrate “understanding of the subject under investigation.” To really understand a subject</w:t>
      </w:r>
      <w:r w:rsidR="00B60D84">
        <w:t xml:space="preserve"> from more than a single source you have to compare, discuss, draw conclusions from multiple sources; this is likely to be what </w:t>
      </w:r>
      <w:r w:rsidR="00B60D84" w:rsidRPr="001C3C33">
        <w:rPr>
          <w:i/>
        </w:rPr>
        <w:t>synthesize</w:t>
      </w:r>
      <w:r w:rsidR="00B60D84">
        <w:t xml:space="preserve"> means.</w:t>
      </w:r>
    </w:p>
    <w:p w:rsidR="00B60D84" w:rsidRDefault="00F4717A" w:rsidP="00AB022B">
      <w:pPr>
        <w:pStyle w:val="IN"/>
      </w:pPr>
      <w:r>
        <w:t xml:space="preserve">Consider providing students with the following definition: </w:t>
      </w:r>
      <w:r w:rsidR="00B60D84" w:rsidRPr="002D0180">
        <w:rPr>
          <w:i/>
        </w:rPr>
        <w:t>synthesize</w:t>
      </w:r>
      <w:r>
        <w:rPr>
          <w:i/>
        </w:rPr>
        <w:t xml:space="preserve"> </w:t>
      </w:r>
      <w:r>
        <w:t>means “</w:t>
      </w:r>
      <w:r w:rsidR="00B60D84">
        <w:t>to combine into a single unit or unified entity</w:t>
      </w:r>
      <w:r>
        <w:t xml:space="preserve"> or thing,”</w:t>
      </w:r>
      <w:r w:rsidR="00B60D84">
        <w:t xml:space="preserve"> and explain to students that after plenty of research, they draw conclusions or </w:t>
      </w:r>
      <w:r w:rsidR="00B60D84" w:rsidRPr="00BD6331">
        <w:rPr>
          <w:i/>
        </w:rPr>
        <w:t>synthesize</w:t>
      </w:r>
      <w:r w:rsidR="00B60D84">
        <w:t xml:space="preserve"> the research to make claims about the </w:t>
      </w:r>
      <w:r w:rsidR="00491C45" w:rsidRPr="00317AF6">
        <w:t>research topic/</w:t>
      </w:r>
      <w:r w:rsidR="0080063A">
        <w:t>ar</w:t>
      </w:r>
      <w:r w:rsidR="000D10A8">
        <w:t>ea of investigation</w:t>
      </w:r>
      <w:r w:rsidR="00B60D84">
        <w:t>. Howeve</w:t>
      </w:r>
      <w:r w:rsidR="00BD6331">
        <w:t>r, this action happen</w:t>
      </w:r>
      <w:r w:rsidR="007A7E83">
        <w:t>s</w:t>
      </w:r>
      <w:r w:rsidR="00BD6331">
        <w:t xml:space="preserve"> near</w:t>
      </w:r>
      <w:r w:rsidR="00B60D84">
        <w:t xml:space="preserve"> the end of the unit, after plenty of research and analysis has been conducted.</w:t>
      </w:r>
      <w:r w:rsidR="005F4563">
        <w:t xml:space="preserve"> </w:t>
      </w:r>
    </w:p>
    <w:p w:rsidR="001D26F1" w:rsidRPr="00485CFE" w:rsidRDefault="001D26F1" w:rsidP="00F97FD4">
      <w:pPr>
        <w:pStyle w:val="SA"/>
        <w:rPr>
          <w:color w:val="4F81BD" w:themeColor="accent1"/>
        </w:rPr>
      </w:pPr>
      <w:r w:rsidRPr="00485CFE">
        <w:rPr>
          <w:color w:val="4F81BD" w:themeColor="accent1"/>
        </w:rPr>
        <w:t xml:space="preserve">Students write the definition of </w:t>
      </w:r>
      <w:r w:rsidRPr="00485CFE">
        <w:rPr>
          <w:i/>
          <w:iCs/>
          <w:color w:val="4F81BD" w:themeColor="accent1"/>
        </w:rPr>
        <w:t>synthesize</w:t>
      </w:r>
      <w:r w:rsidRPr="00485CFE">
        <w:rPr>
          <w:color w:val="4F81BD" w:themeColor="accent1"/>
        </w:rPr>
        <w:t xml:space="preserve"> in a vocabulary journal.</w:t>
      </w:r>
    </w:p>
    <w:p w:rsidR="00B81249" w:rsidRDefault="00B81249" w:rsidP="00AB022B">
      <w:pPr>
        <w:pStyle w:val="IN"/>
      </w:pPr>
      <w:r>
        <w:t xml:space="preserve">Consider pointing out that the prefix </w:t>
      </w:r>
      <w:r w:rsidRPr="00317AF6">
        <w:rPr>
          <w:i/>
        </w:rPr>
        <w:t>syn</w:t>
      </w:r>
      <w:r>
        <w:t xml:space="preserve">- means “with” or “together.” Discuss how this prefix relates to the larger meaning of the word </w:t>
      </w:r>
      <w:r w:rsidRPr="00F97FD4">
        <w:rPr>
          <w:i/>
        </w:rPr>
        <w:t>synthesize.</w:t>
      </w:r>
      <w:r>
        <w:t xml:space="preserve"> </w:t>
      </w:r>
    </w:p>
    <w:p w:rsidR="00420E4A" w:rsidRDefault="00420E4A">
      <w:pPr>
        <w:spacing w:before="0" w:after="0" w:line="240" w:lineRule="auto"/>
        <w:rPr>
          <w:rFonts w:asciiTheme="minorHAnsi" w:hAnsiTheme="minorHAnsi"/>
          <w:b/>
          <w:bCs/>
          <w:color w:val="4F81BD"/>
          <w:sz w:val="28"/>
          <w:szCs w:val="26"/>
        </w:rPr>
      </w:pPr>
      <w:r>
        <w:br w:type="page"/>
      </w:r>
    </w:p>
    <w:p w:rsidR="00772E6B" w:rsidRPr="002D0180" w:rsidRDefault="00772E6B" w:rsidP="00772E6B">
      <w:pPr>
        <w:pStyle w:val="LearningSequenceHeader"/>
      </w:pPr>
      <w:r w:rsidRPr="002D0180">
        <w:t>Activity 2: Homework Accountability</w:t>
      </w:r>
      <w:r w:rsidRPr="002D0180">
        <w:tab/>
        <w:t>10%</w:t>
      </w:r>
    </w:p>
    <w:p w:rsidR="007218AF" w:rsidRPr="007218AF" w:rsidRDefault="007218AF" w:rsidP="007218AF">
      <w:pPr>
        <w:pStyle w:val="TA"/>
      </w:pPr>
      <w:r w:rsidRPr="007218AF">
        <w:t xml:space="preserve">Inform students that during </w:t>
      </w:r>
      <w:r w:rsidR="007E1A87">
        <w:t>10.3.</w:t>
      </w:r>
      <w:r w:rsidRPr="007218AF">
        <w:t xml:space="preserve">2, they </w:t>
      </w:r>
      <w:r w:rsidR="00BD6331">
        <w:t>are</w:t>
      </w:r>
      <w:r w:rsidRPr="007218AF">
        <w:t xml:space="preserve"> not assessed on their Accountable Independent Reading. Instead, homework </w:t>
      </w:r>
      <w:r w:rsidR="000816C8">
        <w:t>is</w:t>
      </w:r>
      <w:r w:rsidRPr="007218AF">
        <w:t xml:space="preserve"> an extension of the learning from the lesson. Students </w:t>
      </w:r>
      <w:r w:rsidR="00BD6331">
        <w:t xml:space="preserve">are </w:t>
      </w:r>
      <w:r w:rsidRPr="007218AF">
        <w:t xml:space="preserve">expected to conduct research activities outside of class. </w:t>
      </w:r>
      <w:r w:rsidR="00F00A6B">
        <w:t>Students</w:t>
      </w:r>
      <w:r w:rsidR="00F00A6B" w:rsidRPr="007218AF">
        <w:t xml:space="preserve"> </w:t>
      </w:r>
      <w:r w:rsidRPr="007218AF">
        <w:t xml:space="preserve">build a volume of independent reading as they read multiple sources and refine and deepen their understanding of their </w:t>
      </w:r>
      <w:r w:rsidR="00491C45">
        <w:t>r</w:t>
      </w:r>
      <w:r w:rsidR="00491C45">
        <w:rPr>
          <w:rFonts w:cs="Calibri"/>
          <w:color w:val="000000"/>
        </w:rPr>
        <w:t>esearch topic/</w:t>
      </w:r>
      <w:r w:rsidR="000D10A8">
        <w:rPr>
          <w:rFonts w:cs="Calibri"/>
          <w:color w:val="000000"/>
        </w:rPr>
        <w:t>area of investigation</w:t>
      </w:r>
      <w:r w:rsidRPr="007218AF">
        <w:t>. Remind students to continue to record new vocabulary words in their vocabulary journals when conducting independent searches for homework.</w:t>
      </w:r>
    </w:p>
    <w:p w:rsidR="007218AF" w:rsidRPr="007218AF" w:rsidRDefault="007218AF" w:rsidP="007218AF">
      <w:pPr>
        <w:pStyle w:val="SA"/>
      </w:pPr>
      <w:r w:rsidRPr="007218AF">
        <w:t xml:space="preserve">Students listen. </w:t>
      </w:r>
    </w:p>
    <w:p w:rsidR="007218AF" w:rsidRPr="007218AF" w:rsidRDefault="007218AF" w:rsidP="007218AF">
      <w:pPr>
        <w:pStyle w:val="IN"/>
      </w:pPr>
      <w:r w:rsidRPr="007218AF">
        <w:t xml:space="preserve">Consider distributing the assessed </w:t>
      </w:r>
      <w:r w:rsidR="007E1A87">
        <w:t>10.3.1</w:t>
      </w:r>
      <w:r w:rsidRPr="007218AF">
        <w:t xml:space="preserve"> End-of-Unit Assessment to each student for review purposes. Consider meeting with students who struggled with the End-of-Unit Assessment to provide extra support. </w:t>
      </w:r>
      <w:r w:rsidR="00F00A6B" w:rsidRPr="007218AF">
        <w:t xml:space="preserve">A formal review of the </w:t>
      </w:r>
      <w:r w:rsidR="007E1A87">
        <w:t>10.3.</w:t>
      </w:r>
      <w:r w:rsidR="00F00A6B" w:rsidRPr="007218AF">
        <w:t xml:space="preserve">1 End-of-Unit Assessment is not conducted here </w:t>
      </w:r>
      <w:r w:rsidR="00920607">
        <w:t>to allow for time in evaluation and selection of a research topic/</w:t>
      </w:r>
      <w:r w:rsidR="000D10A8">
        <w:t>area of investigation</w:t>
      </w:r>
      <w:r w:rsidR="00F00A6B" w:rsidRPr="007218AF">
        <w:t>.</w:t>
      </w:r>
    </w:p>
    <w:p w:rsidR="00772E6B" w:rsidRPr="00DF0137" w:rsidRDefault="00772E6B" w:rsidP="00772E6B">
      <w:pPr>
        <w:pStyle w:val="BR"/>
        <w:rPr>
          <w:highlight w:val="yellow"/>
        </w:rPr>
      </w:pPr>
    </w:p>
    <w:p w:rsidR="004D1C1D" w:rsidRDefault="004D1C1D" w:rsidP="004D1C1D">
      <w:pPr>
        <w:pStyle w:val="TA"/>
      </w:pPr>
      <w:r>
        <w:t>Instruct student pairs</w:t>
      </w:r>
      <w:r w:rsidR="005F7FC4">
        <w:t xml:space="preserve"> to take out their homework from the previous lesson and</w:t>
      </w:r>
      <w:r w:rsidR="00CA7EE0">
        <w:t xml:space="preserve"> </w:t>
      </w:r>
      <w:r>
        <w:t>discuss two to three vocabulary words they identified and explain how they function in the context of the source discovered in their pre-searches.</w:t>
      </w:r>
    </w:p>
    <w:p w:rsidR="005F7FC4" w:rsidRDefault="005F7FC4" w:rsidP="005F7FC4">
      <w:pPr>
        <w:pStyle w:val="SA"/>
      </w:pPr>
      <w:r>
        <w:t>Student pairs take out their homework and discuss two to three vocabulary words and how they function in the context of the source.</w:t>
      </w:r>
    </w:p>
    <w:p w:rsidR="004D1C1D" w:rsidRDefault="004D1C1D" w:rsidP="004D1C1D">
      <w:pPr>
        <w:pStyle w:val="SR"/>
      </w:pPr>
      <w:r>
        <w:t>S</w:t>
      </w:r>
      <w:r w:rsidR="005F7FC4">
        <w:t>tudent responses will vary by sources.</w:t>
      </w:r>
    </w:p>
    <w:p w:rsidR="00F71740" w:rsidRDefault="004D1C1D" w:rsidP="00F71740">
      <w:pPr>
        <w:pStyle w:val="IN"/>
      </w:pPr>
      <w:r>
        <w:t>10.3.</w:t>
      </w:r>
      <w:r w:rsidR="00973EB2">
        <w:t xml:space="preserve">1 Lesson 15 homework was </w:t>
      </w:r>
      <w:r>
        <w:t>as</w:t>
      </w:r>
      <w:r w:rsidR="00973EB2">
        <w:t xml:space="preserve"> follow</w:t>
      </w:r>
      <w:r>
        <w:t>s</w:t>
      </w:r>
      <w:r w:rsidR="00973EB2">
        <w:t xml:space="preserve">: </w:t>
      </w:r>
      <w:r w:rsidR="00420C62" w:rsidRPr="00F90465">
        <w:t>Continue to read the sources you found during your pre-searches and identify, record, and define</w:t>
      </w:r>
      <w:r w:rsidR="00DA5E65">
        <w:t xml:space="preserve"> unknown vocabulary using your vocabulary j</w:t>
      </w:r>
      <w:r w:rsidR="00420C62" w:rsidRPr="00F90465">
        <w:t>ournal. Check the definitions of at least five unknown vocabulary words. Be prepared to discuss these words and their definitions in the following lesson.</w:t>
      </w:r>
    </w:p>
    <w:p w:rsidR="006F0D42" w:rsidRDefault="006F0D42" w:rsidP="006F0D42">
      <w:pPr>
        <w:pStyle w:val="IN"/>
      </w:pPr>
      <w:r>
        <w:t>Consider reminding students of the strategies inherent in the standards L.9-10.4</w:t>
      </w:r>
      <w:r w:rsidR="005E1B6D">
        <w:t>.</w:t>
      </w:r>
      <w:r>
        <w:t>a, c, and d.</w:t>
      </w:r>
    </w:p>
    <w:p w:rsidR="00BC2FEE" w:rsidRDefault="00BC2FEE" w:rsidP="00AA267B">
      <w:pPr>
        <w:pStyle w:val="IN"/>
      </w:pPr>
      <w:r w:rsidRPr="00A91323">
        <w:rPr>
          <w:b/>
        </w:rPr>
        <w:t>Differentiation Consideration:</w:t>
      </w:r>
      <w:r>
        <w:t xml:space="preserve"> Consider giving students a structure to follow when discussing the vocabulary words. For example, display the following sentence starters to support students in their vocabulary discussions: The word I found is</w:t>
      </w:r>
      <w:r w:rsidR="003D2AC2">
        <w:t xml:space="preserve"> </w:t>
      </w:r>
      <w:r w:rsidR="00AA267B">
        <w:rPr>
          <w:u w:val="single"/>
        </w:rPr>
        <w:tab/>
      </w:r>
      <w:r w:rsidR="00AA267B">
        <w:rPr>
          <w:u w:val="single"/>
        </w:rPr>
        <w:tab/>
      </w:r>
      <w:r>
        <w:t>. I found it in</w:t>
      </w:r>
      <w:r w:rsidR="00AA267B">
        <w:t xml:space="preserve"> </w:t>
      </w:r>
      <w:r w:rsidR="00AA267B">
        <w:rPr>
          <w:u w:val="single"/>
        </w:rPr>
        <w:tab/>
      </w:r>
      <w:r w:rsidR="00AA267B">
        <w:rPr>
          <w:u w:val="single"/>
        </w:rPr>
        <w:tab/>
      </w:r>
      <w:r w:rsidR="00AA267B">
        <w:t xml:space="preserve"> </w:t>
      </w:r>
      <w:r>
        <w:t xml:space="preserve">source, related to my </w:t>
      </w:r>
      <w:r w:rsidR="000D10A8">
        <w:t>area of investigation</w:t>
      </w:r>
      <w:r>
        <w:t>, which is</w:t>
      </w:r>
      <w:r w:rsidR="00AA267B">
        <w:t xml:space="preserve"> </w:t>
      </w:r>
      <w:r w:rsidR="00AA267B">
        <w:rPr>
          <w:u w:val="single"/>
        </w:rPr>
        <w:tab/>
      </w:r>
      <w:r w:rsidR="00AA267B">
        <w:rPr>
          <w:u w:val="single"/>
        </w:rPr>
        <w:tab/>
      </w:r>
      <w:r>
        <w:t>. This word serves this purpose in the source</w:t>
      </w:r>
      <w:r w:rsidR="00ED7EE9">
        <w:t>:</w:t>
      </w:r>
      <w:r w:rsidR="00AA267B">
        <w:t xml:space="preserve"> </w:t>
      </w:r>
      <w:r w:rsidR="00AA267B">
        <w:rPr>
          <w:u w:val="single"/>
        </w:rPr>
        <w:tab/>
      </w:r>
      <w:r w:rsidR="00AA267B">
        <w:rPr>
          <w:u w:val="single"/>
        </w:rPr>
        <w:tab/>
      </w:r>
      <w:r w:rsidR="00AA267B">
        <w:t>.</w:t>
      </w:r>
    </w:p>
    <w:p w:rsidR="00BC2FEE" w:rsidRDefault="00BC2FEE" w:rsidP="00BC2FEE">
      <w:pPr>
        <w:pStyle w:val="IN"/>
      </w:pPr>
      <w:r>
        <w:t xml:space="preserve">Consider circulating to ensure </w:t>
      </w:r>
      <w:r w:rsidR="00F71740">
        <w:t>tha</w:t>
      </w:r>
      <w:r w:rsidR="00AA267B">
        <w:t>t</w:t>
      </w:r>
      <w:r w:rsidR="00F71740">
        <w:t xml:space="preserve"> students are picking T</w:t>
      </w:r>
      <w:r>
        <w:t>ier II or III words that would build understanding within and across topics.</w:t>
      </w:r>
    </w:p>
    <w:p w:rsidR="00A91323" w:rsidRDefault="00973EB2" w:rsidP="00420E4A">
      <w:pPr>
        <w:pStyle w:val="IN"/>
      </w:pPr>
      <w:r>
        <w:t>Consider collecting the homework to assess students’ research progress.</w:t>
      </w:r>
    </w:p>
    <w:p w:rsidR="00772E6B" w:rsidRPr="00E2762A" w:rsidRDefault="00772E6B" w:rsidP="00772E6B">
      <w:pPr>
        <w:pStyle w:val="LearningSequenceHeader"/>
      </w:pPr>
      <w:r w:rsidRPr="00E2762A">
        <w:t xml:space="preserve">Activity 3: </w:t>
      </w:r>
      <w:r w:rsidR="00E2762A" w:rsidRPr="00E2762A">
        <w:t>Introduction to Research Process and Resources</w:t>
      </w:r>
      <w:r w:rsidR="00E2762A">
        <w:tab/>
        <w:t>25</w:t>
      </w:r>
      <w:r w:rsidRPr="00E2762A">
        <w:t>%</w:t>
      </w:r>
    </w:p>
    <w:p w:rsidR="00E2762A" w:rsidRPr="00866E63" w:rsidRDefault="00E2762A" w:rsidP="00E2762A">
      <w:pPr>
        <w:pStyle w:val="TA"/>
      </w:pPr>
      <w:r>
        <w:t>E</w:t>
      </w:r>
      <w:r w:rsidRPr="00866E63">
        <w:t xml:space="preserve">xplain to students that in </w:t>
      </w:r>
      <w:r w:rsidR="00AA267B">
        <w:t>10.3.</w:t>
      </w:r>
      <w:r w:rsidRPr="00866E63">
        <w:t xml:space="preserve">2 they continue the research process </w:t>
      </w:r>
      <w:r w:rsidR="00274EC4">
        <w:t>they began</w:t>
      </w:r>
      <w:r w:rsidR="00274EC4" w:rsidRPr="00866E63">
        <w:t xml:space="preserve"> </w:t>
      </w:r>
      <w:r w:rsidRPr="00866E63">
        <w:t xml:space="preserve">in </w:t>
      </w:r>
      <w:r w:rsidR="00AA267B">
        <w:t>10.3.</w:t>
      </w:r>
      <w:r w:rsidRPr="00866E63">
        <w:t>1. Additionally, students use a set of tools that help them organize and synthesize the information they gather across sources.</w:t>
      </w:r>
    </w:p>
    <w:p w:rsidR="00E2762A" w:rsidRPr="00866E63" w:rsidRDefault="00E2762A" w:rsidP="00E2762A">
      <w:pPr>
        <w:pStyle w:val="TA"/>
      </w:pPr>
      <w:r w:rsidRPr="00866E63">
        <w:t xml:space="preserve">Remind students that in </w:t>
      </w:r>
      <w:r w:rsidR="00AA267B">
        <w:t>10.3.</w:t>
      </w:r>
      <w:r w:rsidRPr="00866E63">
        <w:t xml:space="preserve">1 they engaged in </w:t>
      </w:r>
      <w:r w:rsidR="005E0F95" w:rsidRPr="00866E63">
        <w:t>surfacing issues</w:t>
      </w:r>
      <w:r w:rsidRPr="00866E63">
        <w:t xml:space="preserve"> and narrowing those </w:t>
      </w:r>
      <w:r w:rsidR="005E0F95" w:rsidRPr="00866E63">
        <w:t>issues</w:t>
      </w:r>
      <w:r w:rsidRPr="00866E63">
        <w:t xml:space="preserve"> into </w:t>
      </w:r>
      <w:r w:rsidR="00A4299B">
        <w:t>two to three</w:t>
      </w:r>
      <w:r w:rsidRPr="00866E63">
        <w:t xml:space="preserve"> possible </w:t>
      </w:r>
      <w:r w:rsidR="00721D29">
        <w:t>areas of investigation</w:t>
      </w:r>
      <w:r w:rsidRPr="00866E63">
        <w:t xml:space="preserve">. Inform students that in </w:t>
      </w:r>
      <w:r w:rsidR="00AA267B">
        <w:t>10.3.</w:t>
      </w:r>
      <w:r w:rsidRPr="00866E63">
        <w:t xml:space="preserve">2, they narrow the </w:t>
      </w:r>
      <w:r w:rsidR="00A4299B">
        <w:t>two to three</w:t>
      </w:r>
      <w:r w:rsidR="00A4299B" w:rsidRPr="00866E63">
        <w:t xml:space="preserve"> </w:t>
      </w:r>
      <w:r w:rsidRPr="00866E63">
        <w:t xml:space="preserve">possible </w:t>
      </w:r>
      <w:r w:rsidR="00721D29">
        <w:t>areas of investigation</w:t>
      </w:r>
      <w:r w:rsidRPr="00866E63">
        <w:t xml:space="preserve"> into a specific </w:t>
      </w:r>
      <w:r w:rsidR="005E0F95" w:rsidRPr="00866E63">
        <w:t>debatable issue</w:t>
      </w:r>
      <w:r w:rsidR="0018626F" w:rsidRPr="00866E63">
        <w:t xml:space="preserve"> that </w:t>
      </w:r>
      <w:r w:rsidR="00A4299B">
        <w:t>is</w:t>
      </w:r>
      <w:r w:rsidR="0018626F" w:rsidRPr="00866E63">
        <w:t xml:space="preserve"> known as a research topic or </w:t>
      </w:r>
      <w:r w:rsidR="000D10A8">
        <w:t>area of investigation</w:t>
      </w:r>
      <w:r w:rsidR="0018626F" w:rsidRPr="00866E63">
        <w:t>. Students then refine this research topic/</w:t>
      </w:r>
      <w:r w:rsidR="0080063A">
        <w:t>a</w:t>
      </w:r>
      <w:r w:rsidR="000D10A8">
        <w:t>rea of investigation</w:t>
      </w:r>
      <w:r w:rsidR="0018626F" w:rsidRPr="00866E63">
        <w:t xml:space="preserve"> further by developing a problem-based question to guide the research </w:t>
      </w:r>
      <w:r w:rsidR="005E0F95" w:rsidRPr="00866E63">
        <w:t>and use the gathered</w:t>
      </w:r>
      <w:r w:rsidR="00420C62">
        <w:t xml:space="preserve"> evidence to inform and develop</w:t>
      </w:r>
      <w:r w:rsidR="00866E63" w:rsidRPr="00866E63">
        <w:t xml:space="preserve"> a </w:t>
      </w:r>
      <w:r w:rsidR="00420C62">
        <w:t>p</w:t>
      </w:r>
      <w:r w:rsidR="005C2D28">
        <w:t>erspective</w:t>
      </w:r>
      <w:r w:rsidR="00420C62">
        <w:t xml:space="preserve"> </w:t>
      </w:r>
      <w:r w:rsidR="005E0F95" w:rsidRPr="00866E63">
        <w:t>on the issue.</w:t>
      </w:r>
    </w:p>
    <w:p w:rsidR="005257AE" w:rsidRDefault="00E2762A" w:rsidP="00E2762A">
      <w:pPr>
        <w:pStyle w:val="TA"/>
      </w:pPr>
      <w:r w:rsidRPr="00866E63">
        <w:t xml:space="preserve">Begin by discussing the nature of </w:t>
      </w:r>
      <w:r w:rsidR="004448D2" w:rsidRPr="00866E63">
        <w:t xml:space="preserve">inquiry-based </w:t>
      </w:r>
      <w:r w:rsidRPr="00866E63">
        <w:t>research. Explain to students that researchers f</w:t>
      </w:r>
      <w:r w:rsidRPr="005257AE">
        <w:t xml:space="preserve">ollow a general </w:t>
      </w:r>
      <w:r w:rsidRPr="00F97FD4">
        <w:rPr>
          <w:i/>
        </w:rPr>
        <w:t>iterative</w:t>
      </w:r>
      <w:r w:rsidRPr="005257AE">
        <w:t xml:space="preserve"> (</w:t>
      </w:r>
      <w:r w:rsidR="0086739D">
        <w:t>cyclical</w:t>
      </w:r>
      <w:r w:rsidR="00420C62">
        <w:t xml:space="preserve"> or</w:t>
      </w:r>
      <w:r w:rsidR="0086739D">
        <w:t xml:space="preserve"> </w:t>
      </w:r>
      <w:r w:rsidRPr="005257AE">
        <w:t xml:space="preserve">repetitive) process and use tools and strategies to find, analyze, and organize information from sources that they read. </w:t>
      </w:r>
      <w:r w:rsidR="004448D2">
        <w:t>Effective</w:t>
      </w:r>
      <w:r w:rsidR="004448D2" w:rsidRPr="005257AE">
        <w:t xml:space="preserve"> </w:t>
      </w:r>
      <w:r w:rsidRPr="005257AE">
        <w:t>researchers follow the data, which enables them to consider multiple p</w:t>
      </w:r>
      <w:r w:rsidR="00111E57">
        <w:t>erspectives</w:t>
      </w:r>
      <w:r w:rsidRPr="005257AE">
        <w:t xml:space="preserve">. Researchers conduct research </w:t>
      </w:r>
      <w:r w:rsidR="00337A61">
        <w:t xml:space="preserve">to discover </w:t>
      </w:r>
      <w:r w:rsidRPr="005257AE">
        <w:t>new information, develop new ideas</w:t>
      </w:r>
      <w:r w:rsidR="005E0F95" w:rsidRPr="005257AE">
        <w:t>,</w:t>
      </w:r>
      <w:r w:rsidRPr="005257AE">
        <w:t xml:space="preserve"> and draw conclusions along the way. </w:t>
      </w:r>
      <w:r w:rsidR="005257AE" w:rsidRPr="005257AE">
        <w:t xml:space="preserve">Reiterate that students should not go into the research with </w:t>
      </w:r>
      <w:r w:rsidR="00BE4E2A">
        <w:t>pre-established claims</w:t>
      </w:r>
      <w:r w:rsidR="005257AE" w:rsidRPr="005257AE">
        <w:t xml:space="preserve"> </w:t>
      </w:r>
      <w:r w:rsidR="00BE4E2A">
        <w:t xml:space="preserve">on </w:t>
      </w:r>
      <w:r w:rsidR="005257AE" w:rsidRPr="005257AE">
        <w:t>a given</w:t>
      </w:r>
      <w:r w:rsidR="00BE4E2A">
        <w:t xml:space="preserve"> research topic</w:t>
      </w:r>
      <w:r w:rsidR="005257AE" w:rsidRPr="005257AE">
        <w:t>, but should keep an open mind</w:t>
      </w:r>
      <w:r w:rsidR="00491C45">
        <w:t xml:space="preserve"> </w:t>
      </w:r>
      <w:r w:rsidR="005257AE">
        <w:t>and evaluate all the evidence</w:t>
      </w:r>
      <w:r w:rsidR="005257AE" w:rsidRPr="005257AE">
        <w:t xml:space="preserve"> as they engage in research.</w:t>
      </w:r>
    </w:p>
    <w:p w:rsidR="00E2762A" w:rsidRDefault="00E2762A" w:rsidP="00E2762A">
      <w:pPr>
        <w:pStyle w:val="TA"/>
      </w:pPr>
      <w:r w:rsidRPr="005257AE">
        <w:t xml:space="preserve">Explain to students that there are multiple steps in the process and many of the steps </w:t>
      </w:r>
      <w:r w:rsidR="00B477B4">
        <w:t>are</w:t>
      </w:r>
      <w:r w:rsidRPr="005257AE">
        <w:t xml:space="preserve"> repeated; this type of research is not a sequential list of steps but a cyclical and iterative process </w:t>
      </w:r>
      <w:r w:rsidR="00FB3853">
        <w:t>during which</w:t>
      </w:r>
      <w:r w:rsidRPr="005257AE">
        <w:t xml:space="preserve"> new directions and paths </w:t>
      </w:r>
      <w:r w:rsidR="00B477B4">
        <w:t>can</w:t>
      </w:r>
      <w:r w:rsidR="00B477B4" w:rsidRPr="005257AE">
        <w:t xml:space="preserve"> </w:t>
      </w:r>
      <w:r w:rsidRPr="005257AE">
        <w:t>be created at different points in the process.</w:t>
      </w:r>
    </w:p>
    <w:p w:rsidR="00DA5E65" w:rsidRDefault="00DA5E65" w:rsidP="00DA5E65">
      <w:pPr>
        <w:pStyle w:val="SA"/>
      </w:pPr>
      <w:r w:rsidRPr="005257AE">
        <w:t>Students listen.</w:t>
      </w:r>
    </w:p>
    <w:p w:rsidR="00AB4607" w:rsidRPr="005257AE" w:rsidRDefault="00AA267B" w:rsidP="00AD630E">
      <w:pPr>
        <w:pStyle w:val="TA"/>
      </w:pPr>
      <w:r>
        <w:t>P</w:t>
      </w:r>
      <w:r w:rsidR="002F7070">
        <w:t>rovid</w:t>
      </w:r>
      <w:r>
        <w:t>e</w:t>
      </w:r>
      <w:r w:rsidR="002F7070">
        <w:t xml:space="preserve"> students with the following definition:</w:t>
      </w:r>
      <w:r w:rsidR="00AB4607" w:rsidRPr="00C92ECC">
        <w:t xml:space="preserve"> </w:t>
      </w:r>
      <w:r w:rsidR="00AB4607" w:rsidRPr="00F97FD4">
        <w:rPr>
          <w:i/>
        </w:rPr>
        <w:t>iterative</w:t>
      </w:r>
      <w:r w:rsidR="00AB4607" w:rsidRPr="00C92ECC">
        <w:t xml:space="preserve"> </w:t>
      </w:r>
      <w:r w:rsidR="000553D3">
        <w:t xml:space="preserve">means </w:t>
      </w:r>
      <w:r w:rsidR="00AB4607" w:rsidRPr="00C92ECC">
        <w:t>“</w:t>
      </w:r>
      <w:r w:rsidR="00AB4607" w:rsidRPr="00C92ECC">
        <w:rPr>
          <w:rStyle w:val="ssens"/>
        </w:rPr>
        <w:t>involving repetition relating to an operation or procedure</w:t>
      </w:r>
      <w:r>
        <w:rPr>
          <w:rStyle w:val="ssens"/>
        </w:rPr>
        <w:t>,</w:t>
      </w:r>
      <w:r w:rsidR="00AB4607" w:rsidRPr="00C92ECC">
        <w:t xml:space="preserve">” so they understand the research process is </w:t>
      </w:r>
      <w:r w:rsidR="00AB4607">
        <w:t>not</w:t>
      </w:r>
      <w:r w:rsidR="00AB4607" w:rsidRPr="00C92ECC">
        <w:t xml:space="preserve"> a linear process</w:t>
      </w:r>
      <w:r w:rsidR="00AB4607">
        <w:t>, but has parts that may repeat based on answers, evidence, and conclusions discovered along the way</w:t>
      </w:r>
      <w:r w:rsidR="00AB4607" w:rsidRPr="00C92ECC">
        <w:t>.</w:t>
      </w:r>
    </w:p>
    <w:p w:rsidR="00DA5E65" w:rsidRPr="00DA5E65" w:rsidRDefault="00DA5E65" w:rsidP="00DA5E65">
      <w:pPr>
        <w:pStyle w:val="SA"/>
      </w:pPr>
      <w:r w:rsidRPr="00DA5E65">
        <w:t xml:space="preserve">Students write the definition of </w:t>
      </w:r>
      <w:r>
        <w:rPr>
          <w:i/>
        </w:rPr>
        <w:t>iterative</w:t>
      </w:r>
      <w:r w:rsidRPr="00DA5E65">
        <w:t xml:space="preserve"> in a vocabulary journal.</w:t>
      </w:r>
    </w:p>
    <w:p w:rsidR="0018626F" w:rsidRDefault="00E2762A" w:rsidP="00E2762A">
      <w:pPr>
        <w:pStyle w:val="TA"/>
      </w:pPr>
      <w:r w:rsidRPr="005257AE">
        <w:t xml:space="preserve">Explain to students that research is a form of exploration. They </w:t>
      </w:r>
      <w:r w:rsidR="007A7E83">
        <w:t>are</w:t>
      </w:r>
      <w:r w:rsidRPr="005257AE">
        <w:t xml:space="preserve"> taught to use skills like asking questions, conducting inquiries, and gathering reliable information. They learn how to organize, make connections, and analyze the information they gather. Th</w:t>
      </w:r>
      <w:r w:rsidR="00F00A6B">
        <w:t>ese</w:t>
      </w:r>
      <w:r w:rsidRPr="005257AE">
        <w:t xml:space="preserve"> process</w:t>
      </w:r>
      <w:r w:rsidR="00F00A6B">
        <w:t>es</w:t>
      </w:r>
      <w:r w:rsidRPr="005257AE">
        <w:t xml:space="preserve"> show students how to deepen their understanding of a specific </w:t>
      </w:r>
      <w:r w:rsidR="00491C45">
        <w:rPr>
          <w:rFonts w:cs="Calibri"/>
          <w:color w:val="000000"/>
        </w:rPr>
        <w:t>research topic/</w:t>
      </w:r>
      <w:r w:rsidR="000D10A8">
        <w:rPr>
          <w:rFonts w:cs="Calibri"/>
          <w:color w:val="000000"/>
        </w:rPr>
        <w:t>area of investigation</w:t>
      </w:r>
      <w:r w:rsidR="0018626F">
        <w:t xml:space="preserve">. </w:t>
      </w:r>
      <w:r w:rsidR="00F00A6B">
        <w:t>Through exploration</w:t>
      </w:r>
      <w:r w:rsidR="0018626F">
        <w:t xml:space="preserve">, students develop a problem-based question to explore multiple arguments and finally develop a </w:t>
      </w:r>
      <w:r w:rsidR="00BE4E2A">
        <w:t>central claim</w:t>
      </w:r>
      <w:r w:rsidR="0018626F">
        <w:t xml:space="preserve"> of their own about an issue.</w:t>
      </w:r>
    </w:p>
    <w:p w:rsidR="0086739D" w:rsidRDefault="0086739D" w:rsidP="00BE4E2A">
      <w:pPr>
        <w:pStyle w:val="SA"/>
      </w:pPr>
      <w:r>
        <w:t>Students listen.</w:t>
      </w:r>
    </w:p>
    <w:p w:rsidR="00AA267B" w:rsidRDefault="00E03402" w:rsidP="00BE4E2A">
      <w:pPr>
        <w:pStyle w:val="IN"/>
      </w:pPr>
      <w:r w:rsidRPr="00A91323">
        <w:rPr>
          <w:b/>
        </w:rPr>
        <w:t>Differentiation Consideration:</w:t>
      </w:r>
      <w:r>
        <w:t xml:space="preserve"> Consider </w:t>
      </w:r>
      <w:r w:rsidR="007A7E83">
        <w:t>inform</w:t>
      </w:r>
      <w:r>
        <w:t>ing</w:t>
      </w:r>
      <w:r w:rsidR="00BB4029">
        <w:t xml:space="preserve"> students</w:t>
      </w:r>
      <w:r w:rsidR="00E2762A" w:rsidRPr="005257AE">
        <w:t xml:space="preserve"> </w:t>
      </w:r>
      <w:r w:rsidR="00C95C55">
        <w:t xml:space="preserve">that </w:t>
      </w:r>
      <w:r w:rsidR="00E2762A" w:rsidRPr="005257AE">
        <w:t xml:space="preserve">they already know of at least one researcher, </w:t>
      </w:r>
      <w:r w:rsidR="005257AE">
        <w:t>Rebecca Skloot</w:t>
      </w:r>
      <w:r w:rsidR="00E2762A" w:rsidRPr="005257AE">
        <w:t xml:space="preserve">, whose research </w:t>
      </w:r>
      <w:r w:rsidR="005257AE">
        <w:t xml:space="preserve">about the Lacks family and the HeLa cells </w:t>
      </w:r>
      <w:r w:rsidR="00E2762A" w:rsidRPr="005257AE">
        <w:t xml:space="preserve">serves multiple purposes. </w:t>
      </w:r>
      <w:r w:rsidR="0018626F">
        <w:t xml:space="preserve">Ask students the following question: </w:t>
      </w:r>
    </w:p>
    <w:p w:rsidR="0018626F" w:rsidRPr="00F97FD4" w:rsidRDefault="0018626F" w:rsidP="00F97FD4">
      <w:pPr>
        <w:pStyle w:val="IN"/>
        <w:numPr>
          <w:ilvl w:val="0"/>
          <w:numId w:val="0"/>
        </w:numPr>
        <w:ind w:left="360"/>
        <w:rPr>
          <w:b/>
        </w:rPr>
      </w:pPr>
      <w:r w:rsidRPr="00F97FD4">
        <w:rPr>
          <w:b/>
        </w:rPr>
        <w:t xml:space="preserve">What multiple purposes </w:t>
      </w:r>
      <w:r w:rsidR="00A11952" w:rsidRPr="00F97FD4">
        <w:rPr>
          <w:b/>
        </w:rPr>
        <w:t xml:space="preserve">does </w:t>
      </w:r>
      <w:r w:rsidRPr="00F97FD4">
        <w:rPr>
          <w:b/>
        </w:rPr>
        <w:t>Skloot’s research serve?</w:t>
      </w:r>
    </w:p>
    <w:p w:rsidR="00B7533D" w:rsidRPr="00A91323" w:rsidRDefault="00B7533D" w:rsidP="00E03402">
      <w:pPr>
        <w:pStyle w:val="SR"/>
        <w:rPr>
          <w:color w:val="4F81BD" w:themeColor="accent1"/>
        </w:rPr>
      </w:pPr>
      <w:r w:rsidRPr="00A91323">
        <w:rPr>
          <w:color w:val="4F81BD" w:themeColor="accent1"/>
        </w:rPr>
        <w:t>Student responses may include:</w:t>
      </w:r>
    </w:p>
    <w:p w:rsidR="005257AE" w:rsidRPr="00ED7EE9" w:rsidRDefault="00963963" w:rsidP="00ED7EE9">
      <w:pPr>
        <w:pStyle w:val="SASRBullet"/>
        <w:rPr>
          <w:color w:val="4F81BD" w:themeColor="accent1"/>
        </w:rPr>
      </w:pPr>
      <w:r w:rsidRPr="00ED7EE9">
        <w:rPr>
          <w:color w:val="4F81BD" w:themeColor="accent1"/>
        </w:rPr>
        <w:t>Skloot uses</w:t>
      </w:r>
      <w:r w:rsidR="005257AE" w:rsidRPr="00ED7EE9">
        <w:rPr>
          <w:color w:val="4F81BD" w:themeColor="accent1"/>
        </w:rPr>
        <w:t xml:space="preserve"> her research to help the Lacks family and others understand what happened to Henrietta and to </w:t>
      </w:r>
      <w:r w:rsidR="00821B77" w:rsidRPr="00ED7EE9">
        <w:rPr>
          <w:color w:val="4F81BD" w:themeColor="accent1"/>
        </w:rPr>
        <w:t>reveal reasons for why</w:t>
      </w:r>
      <w:r w:rsidR="005257AE" w:rsidRPr="00ED7EE9">
        <w:rPr>
          <w:color w:val="4F81BD" w:themeColor="accent1"/>
        </w:rPr>
        <w:t xml:space="preserve"> the Lacks family</w:t>
      </w:r>
      <w:r w:rsidR="00821B77" w:rsidRPr="00ED7EE9">
        <w:rPr>
          <w:color w:val="4F81BD" w:themeColor="accent1"/>
        </w:rPr>
        <w:t xml:space="preserve"> should have</w:t>
      </w:r>
      <w:r w:rsidR="005257AE" w:rsidRPr="00ED7EE9">
        <w:rPr>
          <w:color w:val="4F81BD" w:themeColor="accent1"/>
        </w:rPr>
        <w:t xml:space="preserve"> some control over how HeLa cells are used or</w:t>
      </w:r>
      <w:r w:rsidR="00821B77" w:rsidRPr="00ED7EE9">
        <w:rPr>
          <w:color w:val="4F81BD" w:themeColor="accent1"/>
        </w:rPr>
        <w:t xml:space="preserve"> the</w:t>
      </w:r>
      <w:r w:rsidR="005257AE" w:rsidRPr="00ED7EE9">
        <w:rPr>
          <w:color w:val="4F81BD" w:themeColor="accent1"/>
        </w:rPr>
        <w:t xml:space="preserve"> financial proceeds from the cell</w:t>
      </w:r>
      <w:r w:rsidR="00821B77" w:rsidRPr="00ED7EE9">
        <w:rPr>
          <w:color w:val="4F81BD" w:themeColor="accent1"/>
        </w:rPr>
        <w:t>s</w:t>
      </w:r>
      <w:r w:rsidR="00805303" w:rsidRPr="00ED7EE9">
        <w:rPr>
          <w:color w:val="4F81BD" w:themeColor="accent1"/>
        </w:rPr>
        <w:t>’</w:t>
      </w:r>
      <w:r w:rsidR="00821B77" w:rsidRPr="00ED7EE9">
        <w:rPr>
          <w:color w:val="4F81BD" w:themeColor="accent1"/>
        </w:rPr>
        <w:t xml:space="preserve"> use</w:t>
      </w:r>
      <w:r w:rsidR="005257AE" w:rsidRPr="00ED7EE9">
        <w:rPr>
          <w:color w:val="4F81BD" w:themeColor="accent1"/>
        </w:rPr>
        <w:t>.</w:t>
      </w:r>
    </w:p>
    <w:p w:rsidR="00920607" w:rsidRPr="00ED7EE9" w:rsidRDefault="005257AE" w:rsidP="00ED7EE9">
      <w:pPr>
        <w:pStyle w:val="SASRBullet"/>
        <w:rPr>
          <w:color w:val="4F81BD" w:themeColor="accent1"/>
        </w:rPr>
      </w:pPr>
      <w:r w:rsidRPr="00ED7EE9">
        <w:rPr>
          <w:color w:val="4F81BD" w:themeColor="accent1"/>
        </w:rPr>
        <w:t>She</w:t>
      </w:r>
      <w:r w:rsidR="00B7533D" w:rsidRPr="00ED7EE9">
        <w:rPr>
          <w:color w:val="4F81BD" w:themeColor="accent1"/>
        </w:rPr>
        <w:t xml:space="preserve"> </w:t>
      </w:r>
      <w:r w:rsidR="00963963" w:rsidRPr="00ED7EE9">
        <w:rPr>
          <w:color w:val="4F81BD" w:themeColor="accent1"/>
        </w:rPr>
        <w:t>uses</w:t>
      </w:r>
      <w:r w:rsidRPr="00ED7EE9">
        <w:rPr>
          <w:color w:val="4F81BD" w:themeColor="accent1"/>
        </w:rPr>
        <w:t xml:space="preserve"> research to </w:t>
      </w:r>
      <w:r w:rsidR="00866E63" w:rsidRPr="00ED7EE9">
        <w:rPr>
          <w:color w:val="4F81BD" w:themeColor="accent1"/>
        </w:rPr>
        <w:t xml:space="preserve">expand </w:t>
      </w:r>
      <w:r w:rsidR="00963963" w:rsidRPr="00ED7EE9">
        <w:rPr>
          <w:color w:val="4F81BD" w:themeColor="accent1"/>
        </w:rPr>
        <w:t xml:space="preserve">on </w:t>
      </w:r>
      <w:r w:rsidR="00866E63" w:rsidRPr="00ED7EE9">
        <w:rPr>
          <w:color w:val="4F81BD" w:themeColor="accent1"/>
        </w:rPr>
        <w:t>the</w:t>
      </w:r>
      <w:r w:rsidRPr="00ED7EE9">
        <w:rPr>
          <w:color w:val="4F81BD" w:themeColor="accent1"/>
        </w:rPr>
        <w:t xml:space="preserve"> issue of informed consent, considering arguments about the greater good and science, and</w:t>
      </w:r>
      <w:r w:rsidR="00963963" w:rsidRPr="00ED7EE9">
        <w:rPr>
          <w:color w:val="4F81BD" w:themeColor="accent1"/>
        </w:rPr>
        <w:t xml:space="preserve"> how informed c</w:t>
      </w:r>
      <w:r w:rsidR="00FB3853" w:rsidRPr="00ED7EE9">
        <w:rPr>
          <w:color w:val="4F81BD" w:themeColor="accent1"/>
        </w:rPr>
        <w:t>onsent can impede research. However,</w:t>
      </w:r>
      <w:r w:rsidR="00963963" w:rsidRPr="00ED7EE9">
        <w:rPr>
          <w:color w:val="4F81BD" w:themeColor="accent1"/>
        </w:rPr>
        <w:t xml:space="preserve"> informed consent protections also lead to privacy and </w:t>
      </w:r>
      <w:r w:rsidRPr="00ED7EE9">
        <w:rPr>
          <w:color w:val="4F81BD" w:themeColor="accent1"/>
        </w:rPr>
        <w:t>ownership of biological information and material</w:t>
      </w:r>
      <w:r w:rsidR="00963963" w:rsidRPr="00ED7EE9">
        <w:rPr>
          <w:color w:val="4F81BD" w:themeColor="accent1"/>
        </w:rPr>
        <w:t xml:space="preserve"> considerations.</w:t>
      </w:r>
    </w:p>
    <w:p w:rsidR="00920607" w:rsidRPr="00ED7EE9" w:rsidRDefault="00920607" w:rsidP="00ED7EE9">
      <w:pPr>
        <w:pStyle w:val="SASRBullet"/>
        <w:rPr>
          <w:color w:val="4F81BD" w:themeColor="accent1"/>
        </w:rPr>
      </w:pPr>
      <w:r w:rsidRPr="00ED7EE9">
        <w:rPr>
          <w:color w:val="4F81BD" w:themeColor="accent1"/>
        </w:rPr>
        <w:t>Skloot use</w:t>
      </w:r>
      <w:r w:rsidR="00963963" w:rsidRPr="00ED7EE9">
        <w:rPr>
          <w:color w:val="4F81BD" w:themeColor="accent1"/>
        </w:rPr>
        <w:t>s</w:t>
      </w:r>
      <w:r w:rsidRPr="00ED7EE9">
        <w:rPr>
          <w:color w:val="4F81BD" w:themeColor="accent1"/>
        </w:rPr>
        <w:t xml:space="preserve"> research to provide </w:t>
      </w:r>
      <w:r w:rsidR="00DB2A7C" w:rsidRPr="00ED7EE9">
        <w:rPr>
          <w:color w:val="4F81BD" w:themeColor="accent1"/>
        </w:rPr>
        <w:t xml:space="preserve">multiple </w:t>
      </w:r>
      <w:r w:rsidRPr="00ED7EE9">
        <w:rPr>
          <w:color w:val="4F81BD" w:themeColor="accent1"/>
        </w:rPr>
        <w:t>examples of similar cases so the reader c</w:t>
      </w:r>
      <w:r w:rsidR="00DB2A7C" w:rsidRPr="00ED7EE9">
        <w:rPr>
          <w:color w:val="4F81BD" w:themeColor="accent1"/>
        </w:rPr>
        <w:t>an</w:t>
      </w:r>
      <w:r w:rsidRPr="00ED7EE9">
        <w:rPr>
          <w:color w:val="4F81BD" w:themeColor="accent1"/>
        </w:rPr>
        <w:t xml:space="preserve"> develop his or her own </w:t>
      </w:r>
      <w:r w:rsidR="00DB2A7C" w:rsidRPr="00ED7EE9">
        <w:rPr>
          <w:color w:val="4F81BD" w:themeColor="accent1"/>
        </w:rPr>
        <w:t>central claims regarding</w:t>
      </w:r>
      <w:r w:rsidRPr="00ED7EE9">
        <w:rPr>
          <w:color w:val="4F81BD" w:themeColor="accent1"/>
        </w:rPr>
        <w:t xml:space="preserve"> the </w:t>
      </w:r>
      <w:r w:rsidR="00DB2A7C" w:rsidRPr="00ED7EE9">
        <w:rPr>
          <w:color w:val="4F81BD" w:themeColor="accent1"/>
        </w:rPr>
        <w:t xml:space="preserve">book’s tissue ownership </w:t>
      </w:r>
      <w:r w:rsidRPr="00ED7EE9">
        <w:rPr>
          <w:color w:val="4F81BD" w:themeColor="accent1"/>
        </w:rPr>
        <w:t xml:space="preserve">issues. </w:t>
      </w:r>
    </w:p>
    <w:p w:rsidR="00B7533D" w:rsidRPr="00ED7EE9" w:rsidRDefault="00920607" w:rsidP="00ED7EE9">
      <w:pPr>
        <w:pStyle w:val="SASRBullet"/>
        <w:rPr>
          <w:color w:val="4F81BD" w:themeColor="accent1"/>
        </w:rPr>
      </w:pPr>
      <w:r w:rsidRPr="00ED7EE9">
        <w:rPr>
          <w:color w:val="4F81BD" w:themeColor="accent1"/>
        </w:rPr>
        <w:t>Skloot use</w:t>
      </w:r>
      <w:r w:rsidR="00DB2A7C" w:rsidRPr="00ED7EE9">
        <w:rPr>
          <w:color w:val="4F81BD" w:themeColor="accent1"/>
        </w:rPr>
        <w:t>s</w:t>
      </w:r>
      <w:r w:rsidRPr="00ED7EE9">
        <w:rPr>
          <w:color w:val="4F81BD" w:themeColor="accent1"/>
        </w:rPr>
        <w:t xml:space="preserve"> research to cement her own understandings of some of the issues involved, including reading articles that </w:t>
      </w:r>
      <w:r w:rsidR="00C95C55" w:rsidRPr="00ED7EE9">
        <w:rPr>
          <w:color w:val="4F81BD" w:themeColor="accent1"/>
        </w:rPr>
        <w:t xml:space="preserve">are </w:t>
      </w:r>
      <w:r w:rsidRPr="00ED7EE9">
        <w:rPr>
          <w:color w:val="4F81BD" w:themeColor="accent1"/>
        </w:rPr>
        <w:t>directly related to her topic for background knowledge</w:t>
      </w:r>
      <w:r w:rsidR="00F97FD4" w:rsidRPr="00ED7EE9">
        <w:rPr>
          <w:color w:val="4F81BD" w:themeColor="accent1"/>
        </w:rPr>
        <w:t>,</w:t>
      </w:r>
      <w:r w:rsidRPr="00ED7EE9">
        <w:rPr>
          <w:color w:val="4F81BD" w:themeColor="accent1"/>
        </w:rPr>
        <w:t xml:space="preserve"> and </w:t>
      </w:r>
      <w:r w:rsidR="00902CD1" w:rsidRPr="00ED7EE9">
        <w:rPr>
          <w:color w:val="4F81BD" w:themeColor="accent1"/>
        </w:rPr>
        <w:t>revealing the depth of her research by presenting the facts, characters, and issues involved with Henr</w:t>
      </w:r>
      <w:r w:rsidR="007E44A5" w:rsidRPr="00ED7EE9">
        <w:rPr>
          <w:color w:val="4F81BD" w:themeColor="accent1"/>
        </w:rPr>
        <w:t>ie</w:t>
      </w:r>
      <w:r w:rsidR="00902CD1" w:rsidRPr="00ED7EE9">
        <w:rPr>
          <w:color w:val="4F81BD" w:themeColor="accent1"/>
        </w:rPr>
        <w:t>tta’s cells and HeLa.</w:t>
      </w:r>
    </w:p>
    <w:p w:rsidR="00521FAA" w:rsidRPr="00ED7EE9" w:rsidRDefault="00521FAA" w:rsidP="00ED7EE9">
      <w:pPr>
        <w:pStyle w:val="SASRBullet"/>
        <w:rPr>
          <w:color w:val="4F81BD" w:themeColor="accent1"/>
        </w:rPr>
      </w:pPr>
      <w:r w:rsidRPr="00ED7EE9">
        <w:rPr>
          <w:color w:val="4F81BD" w:themeColor="accent1"/>
        </w:rPr>
        <w:t>Skloot acts like a detective, researching to dig deeper into issues that she does not fully understand and working to form a larger picture of the topic</w:t>
      </w:r>
      <w:r w:rsidR="00F86F00" w:rsidRPr="00ED7EE9">
        <w:rPr>
          <w:color w:val="4F81BD" w:themeColor="accent1"/>
        </w:rPr>
        <w:t xml:space="preserve">, even meeting with primary source subjects </w:t>
      </w:r>
      <w:r w:rsidR="00ED7EE9">
        <w:rPr>
          <w:color w:val="4F81BD" w:themeColor="accent1"/>
        </w:rPr>
        <w:t>who take</w:t>
      </w:r>
      <w:r w:rsidR="00F86F00" w:rsidRPr="00ED7EE9">
        <w:rPr>
          <w:color w:val="4F81BD" w:themeColor="accent1"/>
        </w:rPr>
        <w:t xml:space="preserve"> her down different paths. </w:t>
      </w:r>
    </w:p>
    <w:p w:rsidR="00521FAA" w:rsidRDefault="00521FAA" w:rsidP="00317AF6">
      <w:pPr>
        <w:pStyle w:val="IN"/>
      </w:pPr>
      <w:r>
        <w:t>Consider reminding students about how Skloot’s research process was initiated by a spark of interest during a Biology class. (The text captures her arriving at her initiation of inquiry/generating of inquiry questions on page 4 of the Prologue.)</w:t>
      </w:r>
    </w:p>
    <w:p w:rsidR="007600C9" w:rsidRPr="005257AE" w:rsidRDefault="007600C9" w:rsidP="00F97FD4">
      <w:pPr>
        <w:pStyle w:val="BR"/>
      </w:pPr>
    </w:p>
    <w:p w:rsidR="00B7533D" w:rsidRPr="005257AE" w:rsidRDefault="00B7533D" w:rsidP="00B7533D">
      <w:pPr>
        <w:pStyle w:val="TA"/>
      </w:pPr>
      <w:r w:rsidRPr="005257AE">
        <w:t>Inform students that throughout the research process they are expected to use a structured organizational system for annotating, recording notes, analyzing sources, and sorting information. As students work though the research steps, they construct a Research Portfolio consisting of various tools, handouts, checklists, and sources that guide, store, and organize their research and analysis. Explain the sections of the Research Portfolio:</w:t>
      </w:r>
    </w:p>
    <w:p w:rsidR="00B7533D" w:rsidRPr="005257AE" w:rsidRDefault="00B7533D" w:rsidP="005257AE">
      <w:pPr>
        <w:pStyle w:val="BulletedList"/>
      </w:pPr>
      <w:r w:rsidRPr="005257AE">
        <w:t xml:space="preserve">Section 1: Defining an </w:t>
      </w:r>
      <w:r w:rsidR="000D10A8">
        <w:t>area of investigation</w:t>
      </w:r>
      <w:r w:rsidRPr="005257AE">
        <w:t xml:space="preserve"> – This section stores all the work you do exp</w:t>
      </w:r>
      <w:r w:rsidR="00491C45">
        <w:t>loring the topic and choosing a</w:t>
      </w:r>
      <w:r w:rsidRPr="005257AE">
        <w:t xml:space="preserve"> </w:t>
      </w:r>
      <w:r w:rsidR="00491C45">
        <w:rPr>
          <w:rFonts w:cs="Calibri"/>
          <w:color w:val="000000"/>
        </w:rPr>
        <w:t>research topic/</w:t>
      </w:r>
      <w:r w:rsidR="000D10A8">
        <w:rPr>
          <w:rFonts w:cs="Calibri"/>
          <w:color w:val="000000"/>
        </w:rPr>
        <w:t>area of investigation</w:t>
      </w:r>
      <w:r w:rsidRPr="005257AE">
        <w:t>.</w:t>
      </w:r>
    </w:p>
    <w:p w:rsidR="00B7533D" w:rsidRPr="005257AE" w:rsidRDefault="00B7533D" w:rsidP="005257AE">
      <w:pPr>
        <w:pStyle w:val="BulletedList"/>
      </w:pPr>
      <w:r w:rsidRPr="005257AE">
        <w:t>Section 2: Gathering and Analyzing Information – This section stores all the information you gather throughout your investigation. It also stores your notes and analys</w:t>
      </w:r>
      <w:r w:rsidR="00BA4E9B">
        <w:t>i</w:t>
      </w:r>
      <w:r w:rsidRPr="005257AE">
        <w:t>s of sources.</w:t>
      </w:r>
    </w:p>
    <w:p w:rsidR="00B7533D" w:rsidRPr="00C42ECF" w:rsidRDefault="00B7533D" w:rsidP="005257AE">
      <w:pPr>
        <w:pStyle w:val="BulletedList"/>
      </w:pPr>
      <w:r w:rsidRPr="005257AE">
        <w:t xml:space="preserve">Section 3: Drawing Conclusions – This section stores your </w:t>
      </w:r>
      <w:r w:rsidR="006D543B">
        <w:t>e</w:t>
      </w:r>
      <w:r w:rsidRPr="005257AE">
        <w:t>vidence</w:t>
      </w:r>
      <w:r w:rsidR="007E44A5">
        <w:t>-</w:t>
      </w:r>
      <w:r w:rsidR="006D543B">
        <w:t>b</w:t>
      </w:r>
      <w:r w:rsidRPr="005257AE">
        <w:t xml:space="preserve">ased </w:t>
      </w:r>
      <w:r w:rsidR="006D543B">
        <w:t>c</w:t>
      </w:r>
      <w:r w:rsidRPr="005257AE">
        <w:t xml:space="preserve">laims about inquiry questions and </w:t>
      </w:r>
      <w:r w:rsidR="006D543B">
        <w:t>i</w:t>
      </w:r>
      <w:r w:rsidRPr="005257AE">
        <w:t xml:space="preserve">nquiry </w:t>
      </w:r>
      <w:r w:rsidR="006D543B">
        <w:t>p</w:t>
      </w:r>
      <w:r w:rsidRPr="005257AE">
        <w:t>aths</w:t>
      </w:r>
      <w:r w:rsidR="00716AF7">
        <w:t>,</w:t>
      </w:r>
      <w:r w:rsidRPr="005257AE">
        <w:t xml:space="preserve"> and the </w:t>
      </w:r>
      <w:r w:rsidR="0030003B">
        <w:t>evidence-based perspective</w:t>
      </w:r>
      <w:r w:rsidR="00902CD1">
        <w:t xml:space="preserve"> </w:t>
      </w:r>
      <w:r w:rsidRPr="005257AE">
        <w:t xml:space="preserve">that you come to at the end of your </w:t>
      </w:r>
      <w:r w:rsidRPr="00C42ECF">
        <w:t>inquiry.</w:t>
      </w:r>
    </w:p>
    <w:p w:rsidR="00B7533D" w:rsidRPr="00C42ECF" w:rsidRDefault="00B7533D" w:rsidP="005257AE">
      <w:pPr>
        <w:pStyle w:val="BulletedList"/>
      </w:pPr>
      <w:r w:rsidRPr="00C42ECF">
        <w:t>Section 4: Discarded Material – This section stores all the sources and analysis that you have discarded throughout your investigation. The purpose of this section is to keep a record of discarded materials until the end of the research process in case you change your mind and want to use them.</w:t>
      </w:r>
    </w:p>
    <w:p w:rsidR="00B7533D" w:rsidRPr="00C42ECF" w:rsidRDefault="00B7533D" w:rsidP="00C42ECF">
      <w:pPr>
        <w:pStyle w:val="IN"/>
      </w:pPr>
      <w:r w:rsidRPr="00C42ECF">
        <w:t>Consider displaying the Research Portfolio sections for students to see.</w:t>
      </w:r>
    </w:p>
    <w:p w:rsidR="00B7533D" w:rsidRPr="00C42ECF" w:rsidRDefault="00B7533D" w:rsidP="00B7533D">
      <w:pPr>
        <w:pStyle w:val="TA"/>
      </w:pPr>
      <w:r w:rsidRPr="00C42ECF">
        <w:t xml:space="preserve">Distribute binders and instruct students to create the four sections of the Research Portfolio and place all the research material from </w:t>
      </w:r>
      <w:r w:rsidR="006D543B">
        <w:t>10.3.1</w:t>
      </w:r>
      <w:r w:rsidRPr="00C42ECF">
        <w:t xml:space="preserve"> in</w:t>
      </w:r>
      <w:r w:rsidR="00CE0A86">
        <w:t>to</w:t>
      </w:r>
      <w:r w:rsidRPr="00C42ECF">
        <w:t xml:space="preserve"> </w:t>
      </w:r>
      <w:r w:rsidR="006D543B">
        <w:t>s</w:t>
      </w:r>
      <w:r w:rsidRPr="00C42ECF">
        <w:t>ection 1.</w:t>
      </w:r>
    </w:p>
    <w:p w:rsidR="00B7533D" w:rsidRPr="00C42ECF" w:rsidRDefault="00B7533D" w:rsidP="00C42ECF">
      <w:pPr>
        <w:pStyle w:val="SA"/>
      </w:pPr>
      <w:r w:rsidRPr="00C42ECF">
        <w:t xml:space="preserve">Students </w:t>
      </w:r>
      <w:r w:rsidR="006D543B">
        <w:t xml:space="preserve">follow along and organize their </w:t>
      </w:r>
      <w:r w:rsidRPr="00C42ECF">
        <w:t>Research Portfolio</w:t>
      </w:r>
      <w:r w:rsidR="006D543B">
        <w:t>s</w:t>
      </w:r>
      <w:r w:rsidRPr="00C42ECF">
        <w:t>.</w:t>
      </w:r>
    </w:p>
    <w:p w:rsidR="00B7533D" w:rsidRPr="00C42ECF" w:rsidRDefault="00B7533D" w:rsidP="00C42ECF">
      <w:pPr>
        <w:pStyle w:val="IN"/>
      </w:pPr>
      <w:r w:rsidRPr="00C42ECF">
        <w:t>Consider using a form of electronic folders or other technological media to house</w:t>
      </w:r>
      <w:r w:rsidR="00521FAA">
        <w:t xml:space="preserve"> and manage</w:t>
      </w:r>
      <w:r w:rsidRPr="00C42ECF">
        <w:t xml:space="preserve"> the Research Portfolio contents. </w:t>
      </w:r>
      <w:r w:rsidR="00FB3853">
        <w:t>Teachers</w:t>
      </w:r>
      <w:r w:rsidRPr="00C42ECF">
        <w:t xml:space="preserve"> who choose to use Google Drive and/or other cloud-based</w:t>
      </w:r>
      <w:r w:rsidR="00FB3853">
        <w:t xml:space="preserve"> online organizational formats should </w:t>
      </w:r>
      <w:r w:rsidR="006D543B">
        <w:t xml:space="preserve">consider </w:t>
      </w:r>
      <w:r w:rsidRPr="00C42ECF">
        <w:t>d</w:t>
      </w:r>
      <w:r w:rsidR="00DD3104">
        <w:t>isplay</w:t>
      </w:r>
      <w:r w:rsidR="006D543B">
        <w:t>ing</w:t>
      </w:r>
      <w:r w:rsidRPr="00C42ECF">
        <w:t xml:space="preserve"> sample folders </w:t>
      </w:r>
      <w:r w:rsidR="0070468B">
        <w:t>for all students to see</w:t>
      </w:r>
      <w:r w:rsidR="00902CD1">
        <w:t>.</w:t>
      </w:r>
    </w:p>
    <w:p w:rsidR="00772E6B" w:rsidRPr="00B7533D" w:rsidRDefault="00772E6B" w:rsidP="00772E6B">
      <w:pPr>
        <w:pStyle w:val="LearningSequenceHeader"/>
      </w:pPr>
      <w:r w:rsidRPr="00C42ECF">
        <w:t xml:space="preserve">Activity 4: </w:t>
      </w:r>
      <w:r w:rsidR="00B7533D" w:rsidRPr="00C42ECF">
        <w:t>Vetting</w:t>
      </w:r>
      <w:r w:rsidR="00B7533D" w:rsidRPr="00B7533D">
        <w:t xml:space="preserve"> Areas of Investigation</w:t>
      </w:r>
      <w:r w:rsidRPr="00B7533D">
        <w:tab/>
      </w:r>
      <w:r w:rsidR="003E1817">
        <w:t>35</w:t>
      </w:r>
      <w:r w:rsidRPr="00B7533D">
        <w:t>%</w:t>
      </w:r>
    </w:p>
    <w:p w:rsidR="00B7533D" w:rsidRPr="00BF26DC" w:rsidRDefault="00145C7F" w:rsidP="00B7533D">
      <w:pPr>
        <w:pStyle w:val="TA"/>
      </w:pPr>
      <w:r>
        <w:t xml:space="preserve">Inform </w:t>
      </w:r>
      <w:r w:rsidR="00B7533D" w:rsidRPr="00BF26DC">
        <w:t xml:space="preserve">students that they </w:t>
      </w:r>
      <w:r>
        <w:t xml:space="preserve">are to </w:t>
      </w:r>
      <w:r w:rsidR="00B7533D" w:rsidRPr="00BF26DC">
        <w:t xml:space="preserve">narrow down the </w:t>
      </w:r>
      <w:r w:rsidR="009668D5">
        <w:t>two to three</w:t>
      </w:r>
      <w:r w:rsidR="00B7533D" w:rsidRPr="00BF26DC">
        <w:t xml:space="preserve"> </w:t>
      </w:r>
      <w:r w:rsidR="00721D29">
        <w:t>areas of investigation</w:t>
      </w:r>
      <w:r w:rsidR="00BF26DC">
        <w:t xml:space="preserve"> </w:t>
      </w:r>
      <w:r w:rsidR="009668D5">
        <w:t xml:space="preserve">they </w:t>
      </w:r>
      <w:r w:rsidR="00BF26DC">
        <w:t xml:space="preserve">crafted in </w:t>
      </w:r>
      <w:r w:rsidR="009668D5">
        <w:t xml:space="preserve">the </w:t>
      </w:r>
      <w:r>
        <w:t>10.3.</w:t>
      </w:r>
      <w:r w:rsidR="00BF26DC">
        <w:t>1 Lesson 15</w:t>
      </w:r>
      <w:r w:rsidR="00B7533D" w:rsidRPr="00BF26DC">
        <w:t xml:space="preserve"> End-of-Unit Assessment into a </w:t>
      </w:r>
      <w:r w:rsidR="00491C45">
        <w:rPr>
          <w:rFonts w:cs="Calibri"/>
          <w:color w:val="000000"/>
        </w:rPr>
        <w:t>research topic/</w:t>
      </w:r>
      <w:r w:rsidR="000D10A8">
        <w:rPr>
          <w:rFonts w:cs="Calibri"/>
          <w:color w:val="000000"/>
        </w:rPr>
        <w:t>area of investigation</w:t>
      </w:r>
      <w:r w:rsidR="00B7533D" w:rsidRPr="00BF26DC">
        <w:t xml:space="preserve"> that guide</w:t>
      </w:r>
      <w:r>
        <w:t xml:space="preserve">s </w:t>
      </w:r>
      <w:r w:rsidR="00B7533D" w:rsidRPr="00BF26DC">
        <w:t xml:space="preserve">their inquiry for the rest of the unit. Explain to students that they </w:t>
      </w:r>
      <w:r>
        <w:t xml:space="preserve">should </w:t>
      </w:r>
      <w:r w:rsidR="00B7533D" w:rsidRPr="00BF26DC">
        <w:t>us</w:t>
      </w:r>
      <w:r>
        <w:t>e</w:t>
      </w:r>
      <w:r w:rsidR="00B7533D" w:rsidRPr="00BF26DC">
        <w:t xml:space="preserve"> </w:t>
      </w:r>
      <w:r>
        <w:t>the</w:t>
      </w:r>
      <w:r w:rsidR="00B7533D" w:rsidRPr="00BF26DC">
        <w:t xml:space="preserve"> Area Evaluation Checklist to vet their </w:t>
      </w:r>
      <w:r w:rsidR="00721D29">
        <w:t>areas of investigation</w:t>
      </w:r>
      <w:r w:rsidR="00B7533D" w:rsidRPr="00BF26DC">
        <w:t xml:space="preserve">, so they can craft and select a </w:t>
      </w:r>
      <w:r w:rsidR="00491C45">
        <w:rPr>
          <w:rFonts w:cs="Calibri"/>
          <w:color w:val="000000"/>
        </w:rPr>
        <w:t>research topic/</w:t>
      </w:r>
      <w:r w:rsidR="000D10A8">
        <w:rPr>
          <w:rFonts w:cs="Calibri"/>
          <w:color w:val="000000"/>
        </w:rPr>
        <w:t>area of investigation</w:t>
      </w:r>
      <w:r w:rsidR="00B7533D" w:rsidRPr="00BF26DC">
        <w:t xml:space="preserve"> that sustain</w:t>
      </w:r>
      <w:r w:rsidR="007A7E83">
        <w:t>s</w:t>
      </w:r>
      <w:r w:rsidR="00B7533D" w:rsidRPr="00BF26DC">
        <w:t xml:space="preserve"> effective research for the duration of the unit.</w:t>
      </w:r>
    </w:p>
    <w:p w:rsidR="00B7533D" w:rsidRPr="00621C43" w:rsidRDefault="00B7533D" w:rsidP="00621C43">
      <w:pPr>
        <w:pStyle w:val="SA"/>
      </w:pPr>
      <w:r w:rsidRPr="00621C43">
        <w:t>Students listen.</w:t>
      </w:r>
    </w:p>
    <w:p w:rsidR="00B7533D" w:rsidRPr="00621C43" w:rsidRDefault="00B7533D" w:rsidP="00B7533D">
      <w:pPr>
        <w:pStyle w:val="TA"/>
      </w:pPr>
      <w:r w:rsidRPr="00621C43">
        <w:t xml:space="preserve">Distribute students’ </w:t>
      </w:r>
      <w:r w:rsidR="009668D5">
        <w:t>two to three</w:t>
      </w:r>
      <w:r w:rsidRPr="00621C43">
        <w:t xml:space="preserve"> possible </w:t>
      </w:r>
      <w:r w:rsidR="00721D29">
        <w:t>areas of investigation</w:t>
      </w:r>
      <w:r w:rsidR="00621C43">
        <w:t xml:space="preserve"> from </w:t>
      </w:r>
      <w:r w:rsidR="009668D5">
        <w:t xml:space="preserve">the </w:t>
      </w:r>
      <w:r w:rsidR="00145C7F">
        <w:t>10.3.1</w:t>
      </w:r>
      <w:r w:rsidR="00621C43">
        <w:t xml:space="preserve"> Lesson 15</w:t>
      </w:r>
      <w:r w:rsidRPr="00621C43">
        <w:t xml:space="preserve"> End-of-Unit Assessment.</w:t>
      </w:r>
    </w:p>
    <w:p w:rsidR="00B7533D" w:rsidRPr="00621C43" w:rsidRDefault="00B7533D" w:rsidP="00621C43">
      <w:pPr>
        <w:pStyle w:val="SA"/>
      </w:pPr>
      <w:r w:rsidRPr="00621C43">
        <w:t xml:space="preserve">Students examine their possible </w:t>
      </w:r>
      <w:r w:rsidR="00721D29">
        <w:t>areas of investigation</w:t>
      </w:r>
      <w:r w:rsidRPr="00621C43">
        <w:t>.</w:t>
      </w:r>
    </w:p>
    <w:p w:rsidR="00A343D8" w:rsidRDefault="00D02C5A" w:rsidP="00FB2F0B">
      <w:pPr>
        <w:pStyle w:val="IN"/>
      </w:pPr>
      <w:r>
        <w:t xml:space="preserve">The </w:t>
      </w:r>
      <w:r w:rsidR="00145C7F">
        <w:t>10.3.</w:t>
      </w:r>
      <w:r w:rsidR="001C3C33">
        <w:t>1 Lesson 15</w:t>
      </w:r>
      <w:r w:rsidR="00B7533D" w:rsidRPr="00621C43">
        <w:t xml:space="preserve"> End-of-Unit Assessment Part 2 prompt was </w:t>
      </w:r>
      <w:r w:rsidR="00145C7F">
        <w:t>as</w:t>
      </w:r>
      <w:r w:rsidR="00B7533D" w:rsidRPr="00621C43">
        <w:t xml:space="preserve"> follow</w:t>
      </w:r>
      <w:r w:rsidR="00145C7F">
        <w:t>s</w:t>
      </w:r>
      <w:r w:rsidR="00B7533D" w:rsidRPr="00621C43">
        <w:t xml:space="preserve">: </w:t>
      </w:r>
      <w:r w:rsidR="00F4184A">
        <w:t>“</w:t>
      </w:r>
      <w:r w:rsidR="00B7533D" w:rsidRPr="00621C43">
        <w:t xml:space="preserve">Articulate in writing </w:t>
      </w:r>
      <w:r>
        <w:t>two to three</w:t>
      </w:r>
      <w:r w:rsidR="00B7533D" w:rsidRPr="00621C43">
        <w:t xml:space="preserve"> </w:t>
      </w:r>
      <w:r w:rsidR="00721D29">
        <w:t>areas of investigation</w:t>
      </w:r>
      <w:r w:rsidR="00B7533D" w:rsidRPr="00621C43">
        <w:t xml:space="preserve"> and describe how and where each area emerged from the </w:t>
      </w:r>
      <w:r w:rsidR="001C3C33">
        <w:t>Skloot</w:t>
      </w:r>
      <w:r w:rsidR="00B7533D" w:rsidRPr="00621C43">
        <w:t xml:space="preserve"> text.</w:t>
      </w:r>
      <w:r w:rsidR="00F4184A">
        <w:t>”</w:t>
      </w:r>
      <w:r w:rsidR="00B7533D" w:rsidRPr="00621C43">
        <w:t xml:space="preserve"> </w:t>
      </w:r>
    </w:p>
    <w:p w:rsidR="00B7533D" w:rsidRPr="00621C43" w:rsidRDefault="00B7533D" w:rsidP="00FB2F0B">
      <w:pPr>
        <w:pStyle w:val="IN"/>
        <w:numPr>
          <w:ilvl w:val="0"/>
          <w:numId w:val="0"/>
        </w:numPr>
      </w:pPr>
      <w:r w:rsidRPr="00AB022B">
        <w:rPr>
          <w:color w:val="000000" w:themeColor="text1"/>
        </w:rPr>
        <w:t xml:space="preserve">Inform students that throughout </w:t>
      </w:r>
      <w:r w:rsidR="00145C7F">
        <w:rPr>
          <w:color w:val="000000" w:themeColor="text1"/>
        </w:rPr>
        <w:t>10.3.</w:t>
      </w:r>
      <w:r w:rsidRPr="00AB022B">
        <w:rPr>
          <w:color w:val="000000" w:themeColor="text1"/>
        </w:rPr>
        <w:t xml:space="preserve">2, </w:t>
      </w:r>
      <w:r w:rsidR="00145C7F">
        <w:rPr>
          <w:color w:val="000000" w:themeColor="text1"/>
        </w:rPr>
        <w:t>“</w:t>
      </w:r>
      <w:r w:rsidR="00145C7F" w:rsidRPr="00AB022B">
        <w:rPr>
          <w:color w:val="000000" w:themeColor="text1"/>
        </w:rPr>
        <w:t xml:space="preserve">Tissue </w:t>
      </w:r>
      <w:r w:rsidR="00145C7F">
        <w:rPr>
          <w:color w:val="000000" w:themeColor="text1"/>
        </w:rPr>
        <w:t>O</w:t>
      </w:r>
      <w:r w:rsidR="00145C7F" w:rsidRPr="00AB022B">
        <w:rPr>
          <w:color w:val="000000" w:themeColor="text1"/>
        </w:rPr>
        <w:t>wnership</w:t>
      </w:r>
      <w:r w:rsidR="00145C7F">
        <w:rPr>
          <w:color w:val="000000" w:themeColor="text1"/>
        </w:rPr>
        <w:t xml:space="preserve">” is </w:t>
      </w:r>
      <w:r w:rsidRPr="00AB022B">
        <w:rPr>
          <w:color w:val="000000" w:themeColor="text1"/>
        </w:rPr>
        <w:t xml:space="preserve">the </w:t>
      </w:r>
      <w:r w:rsidR="00491C45" w:rsidRPr="00AB022B">
        <w:rPr>
          <w:rFonts w:cs="Calibri"/>
          <w:color w:val="000000" w:themeColor="text1"/>
        </w:rPr>
        <w:t>research topic/</w:t>
      </w:r>
      <w:r w:rsidR="000D10A8">
        <w:rPr>
          <w:rFonts w:cs="Calibri"/>
          <w:color w:val="000000" w:themeColor="text1"/>
        </w:rPr>
        <w:t>area of investigation</w:t>
      </w:r>
      <w:r w:rsidRPr="00AB022B">
        <w:rPr>
          <w:color w:val="000000" w:themeColor="text1"/>
        </w:rPr>
        <w:t xml:space="preserve"> </w:t>
      </w:r>
      <w:r w:rsidR="00145C7F">
        <w:rPr>
          <w:color w:val="000000" w:themeColor="text1"/>
        </w:rPr>
        <w:t xml:space="preserve">to be used for </w:t>
      </w:r>
      <w:r w:rsidRPr="00AB022B">
        <w:rPr>
          <w:color w:val="000000" w:themeColor="text1"/>
        </w:rPr>
        <w:t>model</w:t>
      </w:r>
      <w:r w:rsidR="00145C7F">
        <w:rPr>
          <w:color w:val="000000" w:themeColor="text1"/>
        </w:rPr>
        <w:t>ing</w:t>
      </w:r>
      <w:r w:rsidRPr="00AB022B">
        <w:rPr>
          <w:color w:val="000000" w:themeColor="text1"/>
        </w:rPr>
        <w:t xml:space="preserve"> the research process</w:t>
      </w:r>
      <w:r w:rsidR="00491C45" w:rsidRPr="00AB022B">
        <w:rPr>
          <w:color w:val="000000" w:themeColor="text1"/>
        </w:rPr>
        <w:t>.</w:t>
      </w:r>
      <w:r w:rsidRPr="00AB022B">
        <w:rPr>
          <w:color w:val="000000" w:themeColor="text1"/>
        </w:rPr>
        <w:t xml:space="preserve"> Explain to students that by using the Area Evaluation Checklist, they select their </w:t>
      </w:r>
      <w:r w:rsidR="00912A65" w:rsidRPr="00AB022B">
        <w:rPr>
          <w:color w:val="000000" w:themeColor="text1"/>
        </w:rPr>
        <w:t>final</w:t>
      </w:r>
      <w:r w:rsidRPr="00AB022B">
        <w:rPr>
          <w:color w:val="000000" w:themeColor="text1"/>
        </w:rPr>
        <w:t xml:space="preserve"> </w:t>
      </w:r>
      <w:r w:rsidR="00491C45" w:rsidRPr="00AB022B">
        <w:rPr>
          <w:rFonts w:cs="Calibri"/>
          <w:color w:val="000000" w:themeColor="text1"/>
        </w:rPr>
        <w:t>research topic</w:t>
      </w:r>
      <w:r w:rsidR="00FB3853">
        <w:rPr>
          <w:rFonts w:cs="Calibri"/>
          <w:color w:val="000000" w:themeColor="text1"/>
        </w:rPr>
        <w:t>s</w:t>
      </w:r>
      <w:r w:rsidR="00491C45" w:rsidRPr="00AB022B">
        <w:rPr>
          <w:rFonts w:cs="Calibri"/>
          <w:color w:val="000000" w:themeColor="text1"/>
        </w:rPr>
        <w:t>/</w:t>
      </w:r>
      <w:r w:rsidR="00721D29">
        <w:rPr>
          <w:rFonts w:cs="Calibri"/>
          <w:color w:val="000000" w:themeColor="text1"/>
        </w:rPr>
        <w:t>areas of investigation</w:t>
      </w:r>
      <w:r w:rsidRPr="00AB022B">
        <w:rPr>
          <w:color w:val="000000" w:themeColor="text1"/>
        </w:rPr>
        <w:t xml:space="preserve"> from their </w:t>
      </w:r>
      <w:r w:rsidR="00145C7F">
        <w:rPr>
          <w:color w:val="000000" w:themeColor="text1"/>
        </w:rPr>
        <w:t>10.3.</w:t>
      </w:r>
      <w:r w:rsidRPr="00AB022B">
        <w:rPr>
          <w:color w:val="000000" w:themeColor="text1"/>
        </w:rPr>
        <w:t xml:space="preserve">1 </w:t>
      </w:r>
      <w:r w:rsidR="00721D29">
        <w:rPr>
          <w:color w:val="000000" w:themeColor="text1"/>
        </w:rPr>
        <w:t>areas of investigation</w:t>
      </w:r>
      <w:r w:rsidRPr="00AB022B">
        <w:rPr>
          <w:color w:val="000000" w:themeColor="text1"/>
        </w:rPr>
        <w:t xml:space="preserve">. Inform students that this </w:t>
      </w:r>
      <w:r w:rsidR="00491C45" w:rsidRPr="00AB022B">
        <w:rPr>
          <w:rFonts w:cs="Calibri"/>
          <w:color w:val="000000" w:themeColor="text1"/>
        </w:rPr>
        <w:t>research topic/</w:t>
      </w:r>
      <w:r w:rsidR="000D10A8">
        <w:rPr>
          <w:rFonts w:cs="Calibri"/>
          <w:color w:val="000000" w:themeColor="text1"/>
        </w:rPr>
        <w:t>area of investigation</w:t>
      </w:r>
      <w:r w:rsidRPr="00AB022B">
        <w:rPr>
          <w:color w:val="000000" w:themeColor="text1"/>
        </w:rPr>
        <w:t xml:space="preserve"> is a model only and not an exemplary response to follow or mimic. Remind students they are requ</w:t>
      </w:r>
      <w:r w:rsidR="00FB3853">
        <w:rPr>
          <w:color w:val="000000" w:themeColor="text1"/>
        </w:rPr>
        <w:t>ired to follow their own inquiries</w:t>
      </w:r>
      <w:r w:rsidRPr="00AB022B">
        <w:rPr>
          <w:color w:val="000000" w:themeColor="text1"/>
        </w:rPr>
        <w:t xml:space="preserve"> as established by the</w:t>
      </w:r>
      <w:r w:rsidR="00491C45" w:rsidRPr="00AB022B">
        <w:rPr>
          <w:b/>
          <w:color w:val="000000" w:themeColor="text1"/>
        </w:rPr>
        <w:t xml:space="preserve"> </w:t>
      </w:r>
      <w:r w:rsidR="00491C45" w:rsidRPr="00AB022B">
        <w:rPr>
          <w:rFonts w:cs="Calibri"/>
          <w:color w:val="000000" w:themeColor="text1"/>
        </w:rPr>
        <w:t>research topic/</w:t>
      </w:r>
      <w:r w:rsidR="000D10A8">
        <w:rPr>
          <w:rFonts w:cs="Calibri"/>
          <w:color w:val="000000" w:themeColor="text1"/>
        </w:rPr>
        <w:t>area of investigation</w:t>
      </w:r>
      <w:r w:rsidRPr="00AB022B">
        <w:rPr>
          <w:color w:val="000000" w:themeColor="text1"/>
        </w:rPr>
        <w:t xml:space="preserve"> they select in this lesson</w:t>
      </w:r>
      <w:r w:rsidRPr="00621C43">
        <w:t>.</w:t>
      </w:r>
    </w:p>
    <w:p w:rsidR="00B7533D" w:rsidRPr="00621C43" w:rsidRDefault="00B7533D" w:rsidP="00621C43">
      <w:pPr>
        <w:pStyle w:val="SA"/>
      </w:pPr>
      <w:r w:rsidRPr="00621C43">
        <w:t>Students listen.</w:t>
      </w:r>
    </w:p>
    <w:p w:rsidR="00D04C59" w:rsidRDefault="00B7533D" w:rsidP="00B7533D">
      <w:pPr>
        <w:pStyle w:val="IN"/>
      </w:pPr>
      <w:r w:rsidRPr="00621C43">
        <w:t xml:space="preserve">Distribute at least </w:t>
      </w:r>
      <w:r w:rsidR="00C851B1">
        <w:t>two to three</w:t>
      </w:r>
      <w:r w:rsidRPr="00621C43">
        <w:t xml:space="preserve"> blank copies of the Area Evaluation Checklist. Students need to complete a checklist for each </w:t>
      </w:r>
      <w:r w:rsidR="000D10A8">
        <w:t>area of investigation</w:t>
      </w:r>
      <w:r w:rsidR="00621C43">
        <w:t xml:space="preserve"> from the </w:t>
      </w:r>
      <w:r w:rsidR="00145C7F">
        <w:t>10.3.</w:t>
      </w:r>
      <w:r w:rsidR="00621C43">
        <w:t>1 Lesson 15</w:t>
      </w:r>
      <w:r w:rsidRPr="00621C43">
        <w:t xml:space="preserve"> End-of-Unit Assessment.</w:t>
      </w:r>
    </w:p>
    <w:p w:rsidR="00145C7F" w:rsidRPr="00621C43" w:rsidRDefault="00145C7F" w:rsidP="00F97FD4">
      <w:pPr>
        <w:pStyle w:val="SA"/>
      </w:pPr>
      <w:r>
        <w:t>Students examine their</w:t>
      </w:r>
      <w:r w:rsidRPr="00621C43">
        <w:t xml:space="preserve"> blank Area Evaluation Checklist.</w:t>
      </w:r>
    </w:p>
    <w:p w:rsidR="00B7533D" w:rsidRPr="00621C43" w:rsidRDefault="00D04C59" w:rsidP="00B7533D">
      <w:pPr>
        <w:pStyle w:val="TA"/>
      </w:pPr>
      <w:r>
        <w:t>S</w:t>
      </w:r>
      <w:r w:rsidR="00237B32">
        <w:t>how students how to use the Area Evaluation Checklist</w:t>
      </w:r>
      <w:r>
        <w:t xml:space="preserve"> using the following three </w:t>
      </w:r>
      <w:r w:rsidR="00721D29">
        <w:t>areas of investigation</w:t>
      </w:r>
      <w:r w:rsidR="00237B32">
        <w:t xml:space="preserve">. </w:t>
      </w:r>
      <w:r w:rsidR="00145C7F">
        <w:t>M</w:t>
      </w:r>
      <w:r>
        <w:t xml:space="preserve">odel three sample </w:t>
      </w:r>
      <w:r w:rsidR="00145C7F">
        <w:t>a</w:t>
      </w:r>
      <w:r>
        <w:t xml:space="preserve">reas of </w:t>
      </w:r>
      <w:r w:rsidR="00145C7F">
        <w:t>i</w:t>
      </w:r>
      <w:r w:rsidR="00237B32">
        <w:t>nvestigation</w:t>
      </w:r>
      <w:r>
        <w:t xml:space="preserve"> that may have been included in a student response from</w:t>
      </w:r>
      <w:r w:rsidR="00EF14C5">
        <w:t xml:space="preserve"> </w:t>
      </w:r>
      <w:r w:rsidR="00145C7F">
        <w:t>10.3.</w:t>
      </w:r>
      <w:r w:rsidR="00EF14C5">
        <w:t>1</w:t>
      </w:r>
      <w:r>
        <w:t xml:space="preserve"> Lesson 15</w:t>
      </w:r>
      <w:r w:rsidR="00237B32">
        <w:t xml:space="preserve">: </w:t>
      </w:r>
    </w:p>
    <w:p w:rsidR="00B7533D" w:rsidRPr="00FC1793" w:rsidRDefault="00F31F12" w:rsidP="00621C43">
      <w:pPr>
        <w:pStyle w:val="BulletedList"/>
      </w:pPr>
      <w:r>
        <w:t>A</w:t>
      </w:r>
      <w:r w:rsidR="000D10A8">
        <w:t>rea of investigation</w:t>
      </w:r>
      <w:r w:rsidR="00B7533D" w:rsidRPr="00FC1793">
        <w:t xml:space="preserve">: </w:t>
      </w:r>
      <w:r w:rsidR="00726C00">
        <w:t xml:space="preserve">Tissue Ownership </w:t>
      </w:r>
    </w:p>
    <w:p w:rsidR="00B7533D" w:rsidRPr="00621C43" w:rsidRDefault="00A67DDE" w:rsidP="00621C43">
      <w:pPr>
        <w:pStyle w:val="BulletedList"/>
      </w:pPr>
      <w:r>
        <w:t>Area of investigation</w:t>
      </w:r>
      <w:r w:rsidR="00B7533D" w:rsidRPr="00621C43">
        <w:t xml:space="preserve">: </w:t>
      </w:r>
      <w:r w:rsidR="00726C00">
        <w:t>Informed Consent</w:t>
      </w:r>
      <w:r w:rsidR="00726C00" w:rsidDel="00726C00">
        <w:t xml:space="preserve"> </w:t>
      </w:r>
    </w:p>
    <w:p w:rsidR="00B7533D" w:rsidRPr="00FC1793" w:rsidRDefault="00A67DDE" w:rsidP="00621C43">
      <w:pPr>
        <w:pStyle w:val="BulletedList"/>
      </w:pPr>
      <w:r>
        <w:t>Area of investigation</w:t>
      </w:r>
      <w:r w:rsidR="00B7533D" w:rsidRPr="00FC1793">
        <w:t xml:space="preserve">: </w:t>
      </w:r>
      <w:r w:rsidR="00237B32" w:rsidRPr="00FC1793">
        <w:t>Genetic Basis for Criminal Behavior</w:t>
      </w:r>
    </w:p>
    <w:p w:rsidR="00B7533D" w:rsidRPr="00237B32" w:rsidRDefault="00B7533D" w:rsidP="00237B32">
      <w:pPr>
        <w:pStyle w:val="SA"/>
      </w:pPr>
      <w:r w:rsidRPr="00237B32">
        <w:t>Students listen.</w:t>
      </w:r>
    </w:p>
    <w:p w:rsidR="00B7533D" w:rsidRPr="00237B32" w:rsidRDefault="00B7533D" w:rsidP="00237B32">
      <w:pPr>
        <w:pStyle w:val="IN"/>
      </w:pPr>
      <w:r w:rsidRPr="00237B32">
        <w:t xml:space="preserve">Consider displaying the three model </w:t>
      </w:r>
      <w:r w:rsidR="00F31F12">
        <w:t>a</w:t>
      </w:r>
      <w:r w:rsidRPr="00237B32">
        <w:t xml:space="preserve">reas of </w:t>
      </w:r>
      <w:r w:rsidR="00F31F12">
        <w:t>i</w:t>
      </w:r>
      <w:r w:rsidRPr="00237B32">
        <w:t>nvestigation for students to see.</w:t>
      </w:r>
      <w:r w:rsidR="00237B32" w:rsidRPr="00237B32">
        <w:t xml:space="preserve"> Remind students that their </w:t>
      </w:r>
      <w:r w:rsidR="00721D29">
        <w:t>areas of investigation</w:t>
      </w:r>
      <w:r w:rsidR="00237B32" w:rsidRPr="00237B32">
        <w:t xml:space="preserve"> are different </w:t>
      </w:r>
      <w:r w:rsidR="00E751B9" w:rsidRPr="00237B32">
        <w:t>from</w:t>
      </w:r>
      <w:r w:rsidR="00237B32" w:rsidRPr="00237B32">
        <w:t xml:space="preserve"> these, but they should have </w:t>
      </w:r>
      <w:r w:rsidR="00C851B1">
        <w:t>two to three</w:t>
      </w:r>
      <w:r w:rsidR="00237B32" w:rsidRPr="00237B32">
        <w:t xml:space="preserve"> of their own listed on their</w:t>
      </w:r>
      <w:r w:rsidR="00825562">
        <w:t xml:space="preserve"> </w:t>
      </w:r>
      <w:r w:rsidR="00E751B9">
        <w:t>10.3.</w:t>
      </w:r>
      <w:r w:rsidR="00825562">
        <w:t xml:space="preserve">1 </w:t>
      </w:r>
      <w:r w:rsidR="00C63E42">
        <w:t>E</w:t>
      </w:r>
      <w:r w:rsidR="00825562">
        <w:t>nd-of-</w:t>
      </w:r>
      <w:r w:rsidR="00C63E42">
        <w:t>U</w:t>
      </w:r>
      <w:r w:rsidR="00825562">
        <w:t>nit</w:t>
      </w:r>
      <w:r w:rsidR="00237B32" w:rsidRPr="00237B32">
        <w:t xml:space="preserve"> </w:t>
      </w:r>
      <w:r w:rsidR="00C63E42">
        <w:t xml:space="preserve">Assessment </w:t>
      </w:r>
      <w:r w:rsidR="00237B32" w:rsidRPr="00237B32">
        <w:t xml:space="preserve">responses. </w:t>
      </w:r>
    </w:p>
    <w:p w:rsidR="00B7533D" w:rsidRPr="00237B32" w:rsidRDefault="00B7533D" w:rsidP="00B7533D">
      <w:pPr>
        <w:pStyle w:val="TA"/>
      </w:pPr>
      <w:r w:rsidRPr="00237B32">
        <w:t xml:space="preserve">Model for students how to use the Area Evaluation Checklist to </w:t>
      </w:r>
      <w:r w:rsidRPr="00237B32">
        <w:rPr>
          <w:i/>
        </w:rPr>
        <w:t>vet</w:t>
      </w:r>
      <w:r w:rsidRPr="00237B32">
        <w:t xml:space="preserve"> </w:t>
      </w:r>
      <w:r w:rsidR="00E751B9">
        <w:t>one of the</w:t>
      </w:r>
      <w:r w:rsidRPr="00237B32">
        <w:t xml:space="preserve"> model </w:t>
      </w:r>
      <w:r w:rsidR="000D10A8">
        <w:t>area</w:t>
      </w:r>
      <w:r w:rsidR="00E751B9">
        <w:t>s</w:t>
      </w:r>
      <w:r w:rsidR="000D10A8">
        <w:t xml:space="preserve"> of investigation</w:t>
      </w:r>
      <w:r w:rsidRPr="00237B32">
        <w:t xml:space="preserve"> </w:t>
      </w:r>
      <w:r w:rsidR="00E751B9">
        <w:t>just discussed</w:t>
      </w:r>
      <w:r w:rsidRPr="00237B32">
        <w:t>.</w:t>
      </w:r>
    </w:p>
    <w:p w:rsidR="00B7533D" w:rsidRPr="00237B32" w:rsidRDefault="009A1A0C" w:rsidP="00B7533D">
      <w:pPr>
        <w:pStyle w:val="TA"/>
      </w:pPr>
      <w:r>
        <w:rPr>
          <w:rFonts w:asciiTheme="minorHAnsi" w:hAnsiTheme="minorHAnsi"/>
        </w:rPr>
        <w:t xml:space="preserve">Provide students with the following definition: </w:t>
      </w:r>
      <w:r>
        <w:rPr>
          <w:rFonts w:asciiTheme="minorHAnsi" w:hAnsiTheme="minorHAnsi"/>
          <w:i/>
        </w:rPr>
        <w:t>vet</w:t>
      </w:r>
      <w:r>
        <w:rPr>
          <w:rFonts w:asciiTheme="minorHAnsi" w:hAnsiTheme="minorHAnsi"/>
        </w:rPr>
        <w:t xml:space="preserve"> means “</w:t>
      </w:r>
      <w:r w:rsidR="00A8294B">
        <w:t>to appraise, verify, or check</w:t>
      </w:r>
      <w:r w:rsidR="00B7533D" w:rsidRPr="00237B32">
        <w:t xml:space="preserve"> for accuracy, authenticity, or validity</w:t>
      </w:r>
      <w:r w:rsidR="00E751B9">
        <w:t>.</w:t>
      </w:r>
      <w:r>
        <w:t>”</w:t>
      </w:r>
      <w:r w:rsidR="00B7533D" w:rsidRPr="00237B32">
        <w:t xml:space="preserve"> </w:t>
      </w:r>
      <w:r w:rsidR="00E751B9">
        <w:t>S</w:t>
      </w:r>
      <w:r w:rsidR="00B7533D" w:rsidRPr="00237B32">
        <w:t xml:space="preserve">tudents </w:t>
      </w:r>
      <w:r w:rsidR="00E751B9">
        <w:t xml:space="preserve">are to </w:t>
      </w:r>
      <w:r w:rsidR="00A8294B">
        <w:t>appraise</w:t>
      </w:r>
      <w:r w:rsidR="00B7533D" w:rsidRPr="00237B32">
        <w:t xml:space="preserve"> their </w:t>
      </w:r>
      <w:r>
        <w:t>two to three</w:t>
      </w:r>
      <w:r w:rsidR="00B7533D" w:rsidRPr="00237B32">
        <w:t xml:space="preserve"> </w:t>
      </w:r>
      <w:r w:rsidR="00E751B9">
        <w:t>a</w:t>
      </w:r>
      <w:r w:rsidR="00B7533D" w:rsidRPr="00237B32">
        <w:t xml:space="preserve">reas of </w:t>
      </w:r>
      <w:r w:rsidR="00E751B9">
        <w:t>i</w:t>
      </w:r>
      <w:r w:rsidR="00B7533D" w:rsidRPr="00237B32">
        <w:t xml:space="preserve">nvestigation using the Area Evaluation Checklist. Inform students the first </w:t>
      </w:r>
      <w:r w:rsidR="00E751B9">
        <w:t>a</w:t>
      </w:r>
      <w:r w:rsidR="00B7533D" w:rsidRPr="00237B32">
        <w:t xml:space="preserve">rea of </w:t>
      </w:r>
      <w:r w:rsidR="00E751B9">
        <w:t>i</w:t>
      </w:r>
      <w:r w:rsidR="00B7533D" w:rsidRPr="00237B32">
        <w:t>nvestigation t</w:t>
      </w:r>
      <w:r w:rsidR="00E751B9">
        <w:t xml:space="preserve">o </w:t>
      </w:r>
      <w:r w:rsidR="00B7533D" w:rsidRPr="00237B32">
        <w:t xml:space="preserve">be modeled for vetting is the one about </w:t>
      </w:r>
      <w:r w:rsidR="00E751B9">
        <w:t>t</w:t>
      </w:r>
      <w:r w:rsidR="002B5398">
        <w:t xml:space="preserve">issue </w:t>
      </w:r>
      <w:r w:rsidR="00E751B9">
        <w:t>o</w:t>
      </w:r>
      <w:r w:rsidR="002B5398">
        <w:t>wnership</w:t>
      </w:r>
      <w:r w:rsidR="00B7533D" w:rsidRPr="00237B32">
        <w:t>.</w:t>
      </w:r>
    </w:p>
    <w:p w:rsidR="00B7533D" w:rsidRDefault="00237B32" w:rsidP="00237B32">
      <w:pPr>
        <w:pStyle w:val="SA"/>
      </w:pPr>
      <w:r w:rsidRPr="00237B32">
        <w:t>Students listen and follow</w:t>
      </w:r>
      <w:r w:rsidR="00B7533D" w:rsidRPr="00237B32">
        <w:t xml:space="preserve"> along with the modeling.</w:t>
      </w:r>
    </w:p>
    <w:p w:rsidR="00D61A2D" w:rsidRPr="00DA5E65" w:rsidRDefault="00D61A2D" w:rsidP="00D61A2D">
      <w:pPr>
        <w:pStyle w:val="SA"/>
      </w:pPr>
      <w:r w:rsidRPr="00DA5E65">
        <w:t xml:space="preserve">Students write the definition of </w:t>
      </w:r>
      <w:r>
        <w:rPr>
          <w:i/>
        </w:rPr>
        <w:t>vet</w:t>
      </w:r>
      <w:r w:rsidRPr="00DA5E65">
        <w:t xml:space="preserve"> in a vocabulary journal.</w:t>
      </w:r>
    </w:p>
    <w:p w:rsidR="00B7533D" w:rsidRPr="00237B32" w:rsidRDefault="00B7533D" w:rsidP="00237B32">
      <w:pPr>
        <w:pStyle w:val="IN"/>
      </w:pPr>
      <w:r w:rsidRPr="00237B32">
        <w:t>Consider displaying the Area Evaluation Checklist for students to see the modeling.</w:t>
      </w:r>
    </w:p>
    <w:p w:rsidR="00B7533D" w:rsidRPr="00237B32" w:rsidRDefault="00B7533D" w:rsidP="00B7533D">
      <w:pPr>
        <w:pStyle w:val="TA"/>
      </w:pPr>
      <w:r w:rsidRPr="00237B32">
        <w:t xml:space="preserve">Explain to students that the first part of the Area Evaluation Checklist calls for the researcher to articulate </w:t>
      </w:r>
      <w:r w:rsidR="00E751B9">
        <w:t xml:space="preserve">clearly </w:t>
      </w:r>
      <w:r w:rsidRPr="00237B32">
        <w:t xml:space="preserve">his/her </w:t>
      </w:r>
      <w:r w:rsidR="00A67DDE">
        <w:t>a</w:t>
      </w:r>
      <w:r w:rsidR="000D10A8">
        <w:t>rea of investigation</w:t>
      </w:r>
      <w:r w:rsidRPr="00237B32">
        <w:t xml:space="preserve"> in a way that others understand and </w:t>
      </w:r>
      <w:r w:rsidR="000A352D">
        <w:t xml:space="preserve">that </w:t>
      </w:r>
      <w:r w:rsidRPr="00237B32">
        <w:t xml:space="preserve">makes sense. The </w:t>
      </w:r>
      <w:r w:rsidR="00E751B9">
        <w:t>a</w:t>
      </w:r>
      <w:r w:rsidRPr="00237B32">
        <w:t xml:space="preserve">rea of </w:t>
      </w:r>
      <w:r w:rsidR="00E751B9">
        <w:t>i</w:t>
      </w:r>
      <w:r w:rsidRPr="00237B32">
        <w:t>nvestigation should demonstr</w:t>
      </w:r>
      <w:r w:rsidRPr="00491C45">
        <w:t xml:space="preserve">ate that the researcher has a coherent vision of his/her </w:t>
      </w:r>
      <w:r w:rsidR="00A67DDE">
        <w:t>area of investigation</w:t>
      </w:r>
      <w:r w:rsidRPr="00491C45">
        <w:t>. For example</w:t>
      </w:r>
      <w:r w:rsidR="00E751B9">
        <w:t>,</w:t>
      </w:r>
      <w:r w:rsidR="002B5398">
        <w:t xml:space="preserve"> </w:t>
      </w:r>
      <w:r w:rsidR="00E751B9">
        <w:t>“</w:t>
      </w:r>
      <w:r w:rsidR="002B5398">
        <w:t>M</w:t>
      </w:r>
      <w:r w:rsidRPr="00491C45">
        <w:t xml:space="preserve">y </w:t>
      </w:r>
      <w:r w:rsidR="00A67DDE">
        <w:t>area of investigation</w:t>
      </w:r>
      <w:r w:rsidRPr="00491C45">
        <w:t xml:space="preserve"> is </w:t>
      </w:r>
      <w:r w:rsidR="00F4184A">
        <w:t>t</w:t>
      </w:r>
      <w:r w:rsidR="00FC1793" w:rsidRPr="00491C45">
        <w:t xml:space="preserve">issue </w:t>
      </w:r>
      <w:r w:rsidR="00F4184A">
        <w:t>o</w:t>
      </w:r>
      <w:r w:rsidR="00FC1793" w:rsidRPr="00491C45">
        <w:t>wnership</w:t>
      </w:r>
      <w:r w:rsidRPr="00491C45">
        <w:t>.</w:t>
      </w:r>
      <w:r w:rsidR="00E751B9">
        <w:t>”</w:t>
      </w:r>
    </w:p>
    <w:p w:rsidR="00B7533D" w:rsidRPr="00237B32" w:rsidRDefault="00B7533D" w:rsidP="00237B32">
      <w:pPr>
        <w:pStyle w:val="SA"/>
      </w:pPr>
      <w:r w:rsidRPr="00237B32">
        <w:t>Students listen and follow along with the modeling.</w:t>
      </w:r>
    </w:p>
    <w:p w:rsidR="00B7533D" w:rsidRPr="00237B32" w:rsidRDefault="00B7533D" w:rsidP="00B7533D">
      <w:pPr>
        <w:pStyle w:val="TA"/>
      </w:pPr>
      <w:r w:rsidRPr="00237B32">
        <w:t>Explain to students that the second part of the Area Evaluation Checklist calls for the researcher to think about what thoughtful questions are necessary in order to</w:t>
      </w:r>
      <w:r w:rsidR="00FB2F0B">
        <w:t xml:space="preserve"> deeply </w:t>
      </w:r>
      <w:r w:rsidRPr="00237B32">
        <w:t xml:space="preserve">explore the </w:t>
      </w:r>
      <w:r w:rsidR="00E751B9">
        <w:t>a</w:t>
      </w:r>
      <w:r w:rsidRPr="00237B32">
        <w:t xml:space="preserve">rea of </w:t>
      </w:r>
      <w:r w:rsidR="00E751B9">
        <w:t>i</w:t>
      </w:r>
      <w:r w:rsidRPr="00237B32">
        <w:t xml:space="preserve">nvestigation. These questions should allow for extensive research of the </w:t>
      </w:r>
      <w:r w:rsidR="00E751B9">
        <w:t>a</w:t>
      </w:r>
      <w:r w:rsidRPr="00237B32">
        <w:t xml:space="preserve">rea of </w:t>
      </w:r>
      <w:r w:rsidR="00E751B9">
        <w:t>i</w:t>
      </w:r>
      <w:r w:rsidRPr="00237B32">
        <w:t>nvestigation but with available resources that are credible or academic in nature. Some of these questions may include:</w:t>
      </w:r>
    </w:p>
    <w:p w:rsidR="00B7533D" w:rsidRPr="009749E2" w:rsidRDefault="002A20E3" w:rsidP="00237B32">
      <w:pPr>
        <w:pStyle w:val="BulletedList"/>
      </w:pPr>
      <w:r>
        <w:t>For what research purposes are human tissues used</w:t>
      </w:r>
      <w:r w:rsidR="00D04C59" w:rsidRPr="009749E2">
        <w:t>?</w:t>
      </w:r>
    </w:p>
    <w:p w:rsidR="00B7533D" w:rsidRPr="009749E2" w:rsidRDefault="00D04C59" w:rsidP="00237B32">
      <w:pPr>
        <w:pStyle w:val="BulletedList"/>
      </w:pPr>
      <w:r w:rsidRPr="009749E2">
        <w:t>How does a researcher get consent from a patient</w:t>
      </w:r>
      <w:r w:rsidR="002A20E3">
        <w:t xml:space="preserve"> to use his or her tissues in research</w:t>
      </w:r>
      <w:r w:rsidRPr="009749E2">
        <w:t xml:space="preserve">? </w:t>
      </w:r>
    </w:p>
    <w:p w:rsidR="00D04C59" w:rsidRPr="009749E2" w:rsidRDefault="00D04C59" w:rsidP="00237B32">
      <w:pPr>
        <w:pStyle w:val="BulletedList"/>
      </w:pPr>
      <w:r w:rsidRPr="009749E2">
        <w:t xml:space="preserve">Does a researcher need consent from the family </w:t>
      </w:r>
      <w:r w:rsidR="002A20E3">
        <w:t xml:space="preserve">to take tissues from someone </w:t>
      </w:r>
      <w:r w:rsidRPr="009749E2">
        <w:t>if the person is no longer living?</w:t>
      </w:r>
    </w:p>
    <w:p w:rsidR="002A2187" w:rsidRPr="009749E2" w:rsidRDefault="002A2187" w:rsidP="002A2187">
      <w:pPr>
        <w:pStyle w:val="BulletedList"/>
      </w:pPr>
      <w:r>
        <w:t>When unnecessary tissues are removed from the body, what happens to them?</w:t>
      </w:r>
    </w:p>
    <w:p w:rsidR="00521FAA" w:rsidRDefault="00521FAA" w:rsidP="00317AF6">
      <w:pPr>
        <w:pStyle w:val="IN"/>
      </w:pPr>
      <w:r>
        <w:t xml:space="preserve">Although these sample questions are focused on </w:t>
      </w:r>
      <w:r w:rsidR="001B1222">
        <w:t xml:space="preserve">a </w:t>
      </w:r>
      <w:r>
        <w:t>scientific</w:t>
      </w:r>
      <w:r w:rsidR="001B1222">
        <w:t xml:space="preserve"> issue</w:t>
      </w:r>
      <w:r>
        <w:t xml:space="preserve">, </w:t>
      </w:r>
      <w:r w:rsidR="006F5F6F">
        <w:t xml:space="preserve">consider reminding </w:t>
      </w:r>
      <w:r>
        <w:t>students</w:t>
      </w:r>
      <w:r w:rsidR="006F5F6F">
        <w:t xml:space="preserve"> they</w:t>
      </w:r>
      <w:r>
        <w:t xml:space="preserve"> can draw</w:t>
      </w:r>
      <w:r w:rsidR="00385386">
        <w:t xml:space="preserve"> on</w:t>
      </w:r>
      <w:r>
        <w:t xml:space="preserve"> a wide range of </w:t>
      </w:r>
      <w:r w:rsidR="00ED7EE9">
        <w:t xml:space="preserve">other types of issues from </w:t>
      </w:r>
      <w:r w:rsidR="00385386" w:rsidRPr="00317AF6">
        <w:rPr>
          <w:i/>
        </w:rPr>
        <w:t>The Immortal Life of Henrietta Lacks</w:t>
      </w:r>
      <w:r>
        <w:t xml:space="preserve">, such as civil rights, </w:t>
      </w:r>
      <w:r w:rsidR="001B1222">
        <w:t xml:space="preserve">medical concerns, </w:t>
      </w:r>
      <w:r>
        <w:t>legal precedent</w:t>
      </w:r>
      <w:r w:rsidR="001B1222">
        <w:t>s</w:t>
      </w:r>
      <w:r>
        <w:t>, or ethics.</w:t>
      </w:r>
    </w:p>
    <w:p w:rsidR="00DD50E0" w:rsidRDefault="00DD50E0" w:rsidP="00317AF6">
      <w:pPr>
        <w:pStyle w:val="IN"/>
      </w:pPr>
      <w:r>
        <w:t xml:space="preserve">Explain to students that they discuss source credibility further in </w:t>
      </w:r>
      <w:r w:rsidR="00E751B9">
        <w:t xml:space="preserve">10.3.2 </w:t>
      </w:r>
      <w:r>
        <w:t xml:space="preserve">Lesson 3. </w:t>
      </w:r>
    </w:p>
    <w:p w:rsidR="00B7533D" w:rsidRPr="00237B32" w:rsidRDefault="00B7533D" w:rsidP="00B7533D">
      <w:pPr>
        <w:pStyle w:val="TA"/>
      </w:pPr>
      <w:r w:rsidRPr="00237B32">
        <w:t>Explain to students that the questions</w:t>
      </w:r>
      <w:r w:rsidR="00A8294B">
        <w:t xml:space="preserve"> above</w:t>
      </w:r>
      <w:r w:rsidRPr="00237B32">
        <w:t xml:space="preserve"> allow for interesting and rich research in the </w:t>
      </w:r>
      <w:r w:rsidR="0014533A">
        <w:t>a</w:t>
      </w:r>
      <w:r w:rsidRPr="00237B32">
        <w:t xml:space="preserve">rea of </w:t>
      </w:r>
      <w:r w:rsidR="0014533A">
        <w:t>i</w:t>
      </w:r>
      <w:r w:rsidRPr="00237B32">
        <w:t>nvestigation and contribute to a deeper understanding about it.</w:t>
      </w:r>
    </w:p>
    <w:p w:rsidR="00B7533D" w:rsidRPr="00237B32" w:rsidRDefault="00B7533D" w:rsidP="00237B32">
      <w:pPr>
        <w:pStyle w:val="SA"/>
      </w:pPr>
      <w:r w:rsidRPr="00237B32">
        <w:t>Students listen and follow along with the modeling.</w:t>
      </w:r>
    </w:p>
    <w:p w:rsidR="00B7533D" w:rsidRPr="00237B32" w:rsidRDefault="00B7533D" w:rsidP="00237B32">
      <w:pPr>
        <w:pStyle w:val="IN"/>
      </w:pPr>
      <w:r w:rsidRPr="00237B32">
        <w:t xml:space="preserve">Consider engaging students in the model vetting process by asking for additional questions that would lead to an understanding of the model </w:t>
      </w:r>
      <w:r w:rsidR="0014533A">
        <w:t>a</w:t>
      </w:r>
      <w:r w:rsidRPr="00237B32">
        <w:t xml:space="preserve">rea of </w:t>
      </w:r>
      <w:r w:rsidR="0014533A">
        <w:t>i</w:t>
      </w:r>
      <w:r w:rsidRPr="00237B32">
        <w:t>nvestigation.</w:t>
      </w:r>
    </w:p>
    <w:p w:rsidR="00B94D95" w:rsidRDefault="00B7533D" w:rsidP="00B94D95">
      <w:pPr>
        <w:pStyle w:val="TA"/>
      </w:pPr>
      <w:r w:rsidRPr="00237B32">
        <w:t xml:space="preserve">Explain to students that the third part of the Area Evaluation Checklist calls for an explanation of how the </w:t>
      </w:r>
      <w:r w:rsidR="0014533A">
        <w:t>a</w:t>
      </w:r>
      <w:r w:rsidRPr="00237B32">
        <w:t xml:space="preserve">rea of </w:t>
      </w:r>
      <w:r w:rsidR="0014533A">
        <w:t>i</w:t>
      </w:r>
      <w:r w:rsidRPr="00237B32">
        <w:t>nvestigation is relevant to a larger topic</w:t>
      </w:r>
      <w:r w:rsidR="00F571D8">
        <w:t xml:space="preserve"> and if it support</w:t>
      </w:r>
      <w:r w:rsidR="00D34560">
        <w:t>s</w:t>
      </w:r>
      <w:r w:rsidR="00F571D8">
        <w:t xml:space="preserve"> argument</w:t>
      </w:r>
      <w:r w:rsidRPr="00237B32">
        <w:t xml:space="preserve">. Remind students that at the beginning of the research process, while reading </w:t>
      </w:r>
      <w:r w:rsidR="00AC597D">
        <w:t>Skloot</w:t>
      </w:r>
      <w:r w:rsidRPr="00237B32">
        <w:t>’s text</w:t>
      </w:r>
      <w:r w:rsidR="00D34560">
        <w:t>,</w:t>
      </w:r>
      <w:r w:rsidRPr="00237B32">
        <w:t xml:space="preserve"> </w:t>
      </w:r>
      <w:r w:rsidR="00AC597D" w:rsidRPr="00AC597D">
        <w:rPr>
          <w:i/>
        </w:rPr>
        <w:t>The Immortal Life of Henrietta Lacks</w:t>
      </w:r>
      <w:r w:rsidR="00AC597D">
        <w:t xml:space="preserve">, </w:t>
      </w:r>
      <w:r w:rsidR="007E44A5">
        <w:t xml:space="preserve">one of the surfaced issues was </w:t>
      </w:r>
      <w:r w:rsidR="00AC597D">
        <w:t xml:space="preserve">the focus on </w:t>
      </w:r>
      <w:r w:rsidR="00FC1793">
        <w:t>how her cells were taken without telling her</w:t>
      </w:r>
      <w:r w:rsidRPr="00237B32">
        <w:t xml:space="preserve">. It was from the broad topic of </w:t>
      </w:r>
      <w:r w:rsidR="004972F6">
        <w:t>stolen tissues</w:t>
      </w:r>
      <w:r w:rsidRPr="00237B32">
        <w:t xml:space="preserve"> that the </w:t>
      </w:r>
      <w:r w:rsidR="0014533A">
        <w:t>a</w:t>
      </w:r>
      <w:r w:rsidRPr="00237B32">
        <w:t xml:space="preserve">rea of </w:t>
      </w:r>
      <w:r w:rsidR="0014533A">
        <w:t>i</w:t>
      </w:r>
      <w:r w:rsidRPr="00237B32">
        <w:t>nvestigation</w:t>
      </w:r>
      <w:r w:rsidR="00FC1793">
        <w:t xml:space="preserve"> was derived, especially after the cases of John Moore and Ted Slavin were described. Th</w:t>
      </w:r>
      <w:r w:rsidR="00A8294B">
        <w:t>e</w:t>
      </w:r>
      <w:r w:rsidR="00FC1793">
        <w:t xml:space="preserve"> </w:t>
      </w:r>
      <w:r w:rsidR="00A8294B">
        <w:t xml:space="preserve">question </w:t>
      </w:r>
      <w:r w:rsidR="00FC1793">
        <w:t>of who owns</w:t>
      </w:r>
      <w:r w:rsidR="00A8294B">
        <w:t xml:space="preserve"> the</w:t>
      </w:r>
      <w:r w:rsidR="00FC1793">
        <w:t xml:space="preserve"> tissue that has been removed from a person </w:t>
      </w:r>
      <w:r w:rsidRPr="00237B32">
        <w:t>seems</w:t>
      </w:r>
      <w:r w:rsidR="004972F6">
        <w:t xml:space="preserve"> unclear</w:t>
      </w:r>
      <w:r w:rsidR="00D34560">
        <w:t>,</w:t>
      </w:r>
      <w:r w:rsidR="004972F6">
        <w:t xml:space="preserve"> and one tha</w:t>
      </w:r>
      <w:r w:rsidR="00866E63">
        <w:t>t</w:t>
      </w:r>
      <w:r w:rsidR="00BD1631">
        <w:t xml:space="preserve"> may support multiple </w:t>
      </w:r>
      <w:r w:rsidR="00D70E77">
        <w:t>claim</w:t>
      </w:r>
      <w:r w:rsidR="00D67DBB">
        <w:t>s</w:t>
      </w:r>
      <w:r w:rsidR="00B94D95">
        <w:t xml:space="preserve"> since it was never resolved in the text.</w:t>
      </w:r>
    </w:p>
    <w:p w:rsidR="00B7533D" w:rsidRPr="00AC597D" w:rsidRDefault="00B7533D" w:rsidP="00B94D95">
      <w:pPr>
        <w:pStyle w:val="SA"/>
      </w:pPr>
      <w:r w:rsidRPr="00AC597D">
        <w:t>Students listen and follow along with the modeling.</w:t>
      </w:r>
    </w:p>
    <w:p w:rsidR="00B7533D" w:rsidRPr="00AC597D" w:rsidRDefault="00B7533D" w:rsidP="00B7533D">
      <w:pPr>
        <w:pStyle w:val="TA"/>
      </w:pPr>
      <w:r w:rsidRPr="00AC597D">
        <w:t xml:space="preserve">Explain to students that the fourth part of the Area Evaluation Checklist calls for the researcher to illustrate the reason for his/her curiosity and why </w:t>
      </w:r>
      <w:r w:rsidR="00E56F0C">
        <w:t xml:space="preserve">the topic </w:t>
      </w:r>
      <w:r w:rsidR="009D1610">
        <w:t>is</w:t>
      </w:r>
      <w:r w:rsidRPr="00AC597D">
        <w:t xml:space="preserve"> valuable to expl</w:t>
      </w:r>
      <w:r w:rsidR="005313D8">
        <w:t xml:space="preserve">ore. Explain to students that </w:t>
      </w:r>
      <w:r w:rsidR="004972F6">
        <w:t>a researcher may be</w:t>
      </w:r>
      <w:r w:rsidR="005313D8">
        <w:t xml:space="preserve"> interested in this topic because in the</w:t>
      </w:r>
      <w:r w:rsidR="005313D8" w:rsidRPr="00C35B86">
        <w:rPr>
          <w:i/>
        </w:rPr>
        <w:t xml:space="preserve"> Immortal Life of Henrietta Lacks</w:t>
      </w:r>
      <w:r w:rsidR="005313D8">
        <w:t xml:space="preserve">, </w:t>
      </w:r>
      <w:r w:rsidR="002A20E3">
        <w:t xml:space="preserve">once Henrietta’s cells and the Lacks family’s blood were removed, the Lacks family had no control over how they were used, </w:t>
      </w:r>
      <w:r w:rsidR="009B3D05">
        <w:t xml:space="preserve">which raises questions of what is fair </w:t>
      </w:r>
      <w:r w:rsidR="00DF4BE3">
        <w:t>or ethical.</w:t>
      </w:r>
    </w:p>
    <w:p w:rsidR="00B7533D" w:rsidRPr="00AC597D" w:rsidRDefault="00B7533D" w:rsidP="00AC597D">
      <w:pPr>
        <w:pStyle w:val="SA"/>
      </w:pPr>
      <w:r w:rsidRPr="00AC597D">
        <w:t>Students listen and follow along with the modeling.</w:t>
      </w:r>
    </w:p>
    <w:p w:rsidR="0081016B" w:rsidRPr="0081016B" w:rsidRDefault="0081016B" w:rsidP="0081016B">
      <w:pPr>
        <w:pStyle w:val="TA"/>
      </w:pPr>
      <w:r>
        <w:t>The last section asks students to evaluate their answers in the previous boxes and determine whether they want to select this research topic/</w:t>
      </w:r>
      <w:r w:rsidR="00E56F0C">
        <w:t>a</w:t>
      </w:r>
      <w:r>
        <w:t xml:space="preserve">rea of </w:t>
      </w:r>
      <w:r w:rsidR="00E56F0C">
        <w:t>i</w:t>
      </w:r>
      <w:r>
        <w:t>nvestigation</w:t>
      </w:r>
      <w:r w:rsidR="00DF4BE3">
        <w:t xml:space="preserve"> as their focus for research</w:t>
      </w:r>
      <w:r>
        <w:t xml:space="preserve">. Ask students what it means to evaluate the strength of an </w:t>
      </w:r>
      <w:r w:rsidR="000D10A8">
        <w:t>area of investigation</w:t>
      </w:r>
      <w:r w:rsidRPr="0081016B">
        <w:t xml:space="preserve">. </w:t>
      </w:r>
    </w:p>
    <w:p w:rsidR="0081016B" w:rsidRPr="0081016B" w:rsidRDefault="0081016B" w:rsidP="00D61A2D">
      <w:pPr>
        <w:pStyle w:val="SR"/>
      </w:pPr>
      <w:r w:rsidRPr="0081016B">
        <w:t>Student answers</w:t>
      </w:r>
      <w:r w:rsidR="007271D6">
        <w:t xml:space="preserve"> may</w:t>
      </w:r>
      <w:r w:rsidRPr="0081016B">
        <w:t xml:space="preserve"> include:</w:t>
      </w:r>
    </w:p>
    <w:p w:rsidR="0081016B" w:rsidRPr="0081016B" w:rsidRDefault="0081016B" w:rsidP="005D62FD">
      <w:pPr>
        <w:pStyle w:val="SASRBullet"/>
      </w:pPr>
      <w:r w:rsidRPr="0081016B">
        <w:t xml:space="preserve">Determine if there are multiple </w:t>
      </w:r>
      <w:r w:rsidR="00D67DBB">
        <w:t>claims</w:t>
      </w:r>
      <w:r w:rsidR="00866E63">
        <w:t xml:space="preserve"> about </w:t>
      </w:r>
      <w:r w:rsidRPr="0081016B">
        <w:t>the topic</w:t>
      </w:r>
      <w:r w:rsidR="00ED7EE9">
        <w:t>.</w:t>
      </w:r>
    </w:p>
    <w:p w:rsidR="0081016B" w:rsidRPr="0081016B" w:rsidRDefault="0081016B" w:rsidP="005D62FD">
      <w:pPr>
        <w:pStyle w:val="SASRBullet"/>
      </w:pPr>
      <w:r w:rsidRPr="0081016B">
        <w:t xml:space="preserve">Decide whether there is enough about the </w:t>
      </w:r>
      <w:r w:rsidR="00E56F0C">
        <w:t>a</w:t>
      </w:r>
      <w:r w:rsidR="00D67DBB">
        <w:t xml:space="preserve">rea of </w:t>
      </w:r>
      <w:r w:rsidR="00E56F0C">
        <w:t>i</w:t>
      </w:r>
      <w:r w:rsidR="00D67DBB">
        <w:t>nvestigation</w:t>
      </w:r>
      <w:r w:rsidRPr="0081016B">
        <w:t xml:space="preserve"> to investigate</w:t>
      </w:r>
      <w:r w:rsidR="00ED7EE9">
        <w:t>.</w:t>
      </w:r>
    </w:p>
    <w:p w:rsidR="0081016B" w:rsidRPr="0081016B" w:rsidRDefault="0081016B" w:rsidP="005D62FD">
      <w:pPr>
        <w:pStyle w:val="SASRBullet"/>
      </w:pPr>
      <w:r w:rsidRPr="0081016B">
        <w:t xml:space="preserve">Determine whether </w:t>
      </w:r>
      <w:r w:rsidR="00DF4BE3">
        <w:t xml:space="preserve">there is </w:t>
      </w:r>
      <w:r w:rsidRPr="0081016B">
        <w:t>a basic understanding of the topic</w:t>
      </w:r>
      <w:r w:rsidR="00ED7EE9">
        <w:t>.</w:t>
      </w:r>
    </w:p>
    <w:p w:rsidR="0081016B" w:rsidRDefault="0081016B" w:rsidP="005D62FD">
      <w:pPr>
        <w:pStyle w:val="SASRBullet"/>
      </w:pPr>
      <w:r w:rsidRPr="0081016B">
        <w:t>Ensure</w:t>
      </w:r>
      <w:r w:rsidR="00DF4BE3">
        <w:t xml:space="preserve"> there </w:t>
      </w:r>
      <w:r w:rsidRPr="0081016B">
        <w:t>is interest in the topic</w:t>
      </w:r>
      <w:r w:rsidR="00ED7EE9">
        <w:t>.</w:t>
      </w:r>
    </w:p>
    <w:p w:rsidR="00D67DBB" w:rsidRPr="0081016B" w:rsidRDefault="00E56F0C" w:rsidP="00317AF6">
      <w:pPr>
        <w:pStyle w:val="IN"/>
      </w:pPr>
      <w:r>
        <w:t>“A</w:t>
      </w:r>
      <w:r w:rsidR="000D10A8">
        <w:t>rea of investigation</w:t>
      </w:r>
      <w:r>
        <w:t>”</w:t>
      </w:r>
      <w:r w:rsidR="00142821">
        <w:t xml:space="preserve"> and </w:t>
      </w:r>
      <w:r>
        <w:t>“r</w:t>
      </w:r>
      <w:r w:rsidR="00142821">
        <w:t xml:space="preserve">esearch </w:t>
      </w:r>
      <w:r>
        <w:t>t</w:t>
      </w:r>
      <w:r w:rsidR="00D67DBB">
        <w:t>opic</w:t>
      </w:r>
      <w:r>
        <w:t>”</w:t>
      </w:r>
      <w:r w:rsidR="00D67DBB">
        <w:t xml:space="preserve"> are used synonymously throughout the unit. </w:t>
      </w:r>
    </w:p>
    <w:p w:rsidR="003B05A3" w:rsidRPr="00A91323" w:rsidRDefault="0081016B" w:rsidP="00A91323">
      <w:pPr>
        <w:pStyle w:val="TA"/>
      </w:pPr>
      <w:r w:rsidRPr="00A91323">
        <w:t>Next, m</w:t>
      </w:r>
      <w:r w:rsidR="00B7533D" w:rsidRPr="00A91323">
        <w:t xml:space="preserve">odel for students how to </w:t>
      </w:r>
      <w:r w:rsidR="002A20E3" w:rsidRPr="00A91323">
        <w:t xml:space="preserve">evaluate and </w:t>
      </w:r>
      <w:r w:rsidR="004972F6" w:rsidRPr="00A91323">
        <w:t xml:space="preserve">select </w:t>
      </w:r>
      <w:r w:rsidR="00B7533D" w:rsidRPr="00A91323">
        <w:t xml:space="preserve">the potential </w:t>
      </w:r>
      <w:r w:rsidR="00E56F0C">
        <w:t>a</w:t>
      </w:r>
      <w:r w:rsidR="00B7533D" w:rsidRPr="00A91323">
        <w:t xml:space="preserve">rea of </w:t>
      </w:r>
      <w:r w:rsidR="00261600">
        <w:t>I</w:t>
      </w:r>
      <w:r w:rsidR="00B7533D" w:rsidRPr="00A91323">
        <w:t>nvestigation by writing on the bottom of the Area Evaluation Checklist</w:t>
      </w:r>
      <w:r w:rsidR="002A2187" w:rsidRPr="00A91323">
        <w:t xml:space="preserve">. Remind students to use the tools from </w:t>
      </w:r>
      <w:r w:rsidR="00E56F0C">
        <w:t>10.3.</w:t>
      </w:r>
      <w:r w:rsidR="002A2187" w:rsidRPr="00A91323">
        <w:t>1 to support their answers in this section</w:t>
      </w:r>
      <w:r w:rsidR="00B7533D" w:rsidRPr="00A91323">
        <w:t>:</w:t>
      </w:r>
      <w:r w:rsidR="002A20E3" w:rsidRPr="00A91323">
        <w:t xml:space="preserve"> </w:t>
      </w:r>
      <w:r w:rsidR="00E56F0C">
        <w:t>“</w:t>
      </w:r>
      <w:r w:rsidR="002A2187" w:rsidRPr="00A91323">
        <w:t xml:space="preserve">During my pre-searches, I found many sources that support different </w:t>
      </w:r>
      <w:r w:rsidR="00866E63" w:rsidRPr="00A91323">
        <w:t>central claim</w:t>
      </w:r>
      <w:r w:rsidR="002A2187" w:rsidRPr="00A91323">
        <w:t xml:space="preserve">s on this issue. I learned some of the background knowledge to support my understanding of this issue, and recorded important </w:t>
      </w:r>
      <w:r w:rsidRPr="00A91323">
        <w:t>terms</w:t>
      </w:r>
      <w:r w:rsidR="002A2187" w:rsidRPr="00A91323">
        <w:t>, such as tissue, cell line, ro</w:t>
      </w:r>
      <w:r w:rsidR="0024057E">
        <w:t>yalties, and lymphocytes in my vocabulary j</w:t>
      </w:r>
      <w:r w:rsidR="002A2187" w:rsidRPr="00A91323">
        <w:t xml:space="preserve">ournal. </w:t>
      </w:r>
      <w:r w:rsidRPr="00A91323">
        <w:t xml:space="preserve">This issue is unresolved and is worth investigating, and I am interested in finding out more about it. I plan to select </w:t>
      </w:r>
      <w:r w:rsidR="000E7CE2">
        <w:t>‘t</w:t>
      </w:r>
      <w:r w:rsidRPr="00A91323">
        <w:t xml:space="preserve">issue </w:t>
      </w:r>
      <w:r w:rsidR="000E7CE2">
        <w:t>o</w:t>
      </w:r>
      <w:r w:rsidRPr="00A91323">
        <w:t>wnership</w:t>
      </w:r>
      <w:r w:rsidR="000E7CE2">
        <w:t>’</w:t>
      </w:r>
      <w:r w:rsidRPr="00A91323">
        <w:t xml:space="preserve"> as my </w:t>
      </w:r>
      <w:r w:rsidR="00E56F0C">
        <w:t>a</w:t>
      </w:r>
      <w:r w:rsidRPr="00A91323">
        <w:t xml:space="preserve">rea of </w:t>
      </w:r>
      <w:r w:rsidR="00E56F0C">
        <w:t>i</w:t>
      </w:r>
      <w:r w:rsidRPr="00A91323">
        <w:t>nvestigation</w:t>
      </w:r>
      <w:r w:rsidR="00726C00" w:rsidRPr="00A91323">
        <w:t>.</w:t>
      </w:r>
      <w:r w:rsidR="00E56F0C">
        <w:t>”</w:t>
      </w:r>
      <w:r w:rsidR="002A2187" w:rsidRPr="00A91323">
        <w:t xml:space="preserve"> </w:t>
      </w:r>
    </w:p>
    <w:p w:rsidR="00B7533D" w:rsidRPr="008C3264" w:rsidRDefault="00B7533D" w:rsidP="00AC597D">
      <w:pPr>
        <w:pStyle w:val="SA"/>
      </w:pPr>
      <w:r w:rsidRPr="008C3264">
        <w:t>Students follow along with the modeling.</w:t>
      </w:r>
    </w:p>
    <w:p w:rsidR="00B7533D" w:rsidRPr="005313D8" w:rsidRDefault="00B7533D" w:rsidP="00AC597D">
      <w:pPr>
        <w:pStyle w:val="IN"/>
      </w:pPr>
      <w:r w:rsidRPr="005313D8">
        <w:t xml:space="preserve">Remind students </w:t>
      </w:r>
      <w:r w:rsidR="008C3264" w:rsidRPr="005313D8">
        <w:t xml:space="preserve">that a </w:t>
      </w:r>
      <w:r w:rsidR="00491C45" w:rsidRPr="005313D8">
        <w:t>research topic/</w:t>
      </w:r>
      <w:r w:rsidR="00E56F0C">
        <w:t>a</w:t>
      </w:r>
      <w:r w:rsidR="00491C45" w:rsidRPr="005313D8">
        <w:t xml:space="preserve">rea of </w:t>
      </w:r>
      <w:r w:rsidR="00E56F0C">
        <w:t>i</w:t>
      </w:r>
      <w:r w:rsidR="00491C45" w:rsidRPr="005313D8">
        <w:t>nvestigation</w:t>
      </w:r>
      <w:r w:rsidR="008C3264" w:rsidRPr="005313D8">
        <w:t xml:space="preserve"> provid</w:t>
      </w:r>
      <w:r w:rsidR="005313D8" w:rsidRPr="005313D8">
        <w:t>e</w:t>
      </w:r>
      <w:r w:rsidR="007A7E83">
        <w:t>s</w:t>
      </w:r>
      <w:r w:rsidR="005313D8" w:rsidRPr="005313D8">
        <w:t xml:space="preserve"> multiple </w:t>
      </w:r>
      <w:r w:rsidR="00866E63">
        <w:t>claim</w:t>
      </w:r>
      <w:r w:rsidR="00866E63" w:rsidRPr="005313D8">
        <w:t xml:space="preserve">s </w:t>
      </w:r>
      <w:r w:rsidR="005313D8" w:rsidRPr="005313D8">
        <w:t>about a debatable</w:t>
      </w:r>
      <w:r w:rsidR="008C3264" w:rsidRPr="005313D8">
        <w:t xml:space="preserve"> issue. </w:t>
      </w:r>
    </w:p>
    <w:p w:rsidR="00B7533D" w:rsidRPr="008C3264" w:rsidRDefault="00B7533D" w:rsidP="008C3264">
      <w:pPr>
        <w:pStyle w:val="IN"/>
      </w:pPr>
      <w:r w:rsidRPr="005313D8">
        <w:t xml:space="preserve">Consider modeling how to vet one of the other two model </w:t>
      </w:r>
      <w:r w:rsidR="00A3771D">
        <w:t>a</w:t>
      </w:r>
      <w:r w:rsidRPr="005313D8">
        <w:t>reas</w:t>
      </w:r>
      <w:r w:rsidR="008C3264" w:rsidRPr="005313D8">
        <w:t xml:space="preserve"> of </w:t>
      </w:r>
      <w:r w:rsidR="00A3771D">
        <w:t>i</w:t>
      </w:r>
      <w:r w:rsidR="008C3264" w:rsidRPr="005313D8">
        <w:t xml:space="preserve">nvestigation from </w:t>
      </w:r>
      <w:r w:rsidR="00A3771D">
        <w:t>10.3.</w:t>
      </w:r>
      <w:r w:rsidR="008B109D" w:rsidRPr="005313D8">
        <w:t>1</w:t>
      </w:r>
      <w:r w:rsidR="008B109D">
        <w:t xml:space="preserve"> </w:t>
      </w:r>
      <w:r w:rsidR="008C3264" w:rsidRPr="005313D8">
        <w:t>Lesson 15</w:t>
      </w:r>
      <w:r w:rsidR="008B109D">
        <w:t>.</w:t>
      </w:r>
      <w:r w:rsidRPr="005313D8">
        <w:t xml:space="preserve"> Students </w:t>
      </w:r>
      <w:r w:rsidR="009B3D05">
        <w:t>may</w:t>
      </w:r>
      <w:r w:rsidR="009B3D05" w:rsidRPr="005313D8">
        <w:t xml:space="preserve"> </w:t>
      </w:r>
      <w:r w:rsidRPr="005313D8">
        <w:t xml:space="preserve">benefit from seeing multiple </w:t>
      </w:r>
      <w:r w:rsidR="00A3771D">
        <w:t>a</w:t>
      </w:r>
      <w:r w:rsidRPr="005313D8">
        <w:t xml:space="preserve">reas of </w:t>
      </w:r>
      <w:r w:rsidR="00A3771D">
        <w:t>i</w:t>
      </w:r>
      <w:r w:rsidRPr="005313D8">
        <w:t xml:space="preserve">nvestigation vetted to craft the richest </w:t>
      </w:r>
      <w:r w:rsidR="00491C45" w:rsidRPr="005313D8">
        <w:t>researc</w:t>
      </w:r>
      <w:r w:rsidR="00491C45" w:rsidRPr="00491C45">
        <w:t>h topics/</w:t>
      </w:r>
      <w:r w:rsidR="00A3771D">
        <w:t>a</w:t>
      </w:r>
      <w:r w:rsidR="00491C45" w:rsidRPr="00491C45">
        <w:t xml:space="preserve">reas of </w:t>
      </w:r>
      <w:r w:rsidR="00A3771D">
        <w:t>i</w:t>
      </w:r>
      <w:r w:rsidR="00491C45" w:rsidRPr="00491C45">
        <w:t>nvestigation</w:t>
      </w:r>
      <w:r w:rsidR="00491C45">
        <w:t xml:space="preserve"> </w:t>
      </w:r>
      <w:r w:rsidRPr="008C3264">
        <w:t>possible.</w:t>
      </w:r>
    </w:p>
    <w:p w:rsidR="007A6A4A" w:rsidRDefault="007A6A4A" w:rsidP="00AB022B">
      <w:pPr>
        <w:pStyle w:val="BR"/>
      </w:pPr>
    </w:p>
    <w:p w:rsidR="00B7533D" w:rsidRPr="008C3264" w:rsidRDefault="00B7533D" w:rsidP="00B7533D">
      <w:pPr>
        <w:pStyle w:val="TA"/>
      </w:pPr>
      <w:r w:rsidRPr="008C3264">
        <w:t xml:space="preserve">Instruct students to vet their </w:t>
      </w:r>
      <w:r w:rsidR="00AB7B26">
        <w:t>two to three</w:t>
      </w:r>
      <w:r w:rsidRPr="008C3264">
        <w:t xml:space="preserve"> </w:t>
      </w:r>
      <w:r w:rsidR="00A3771D">
        <w:t>a</w:t>
      </w:r>
      <w:r w:rsidRPr="008C3264">
        <w:t xml:space="preserve">reas of </w:t>
      </w:r>
      <w:r w:rsidR="00A3771D">
        <w:t>i</w:t>
      </w:r>
      <w:r w:rsidRPr="008C3264">
        <w:t xml:space="preserve">nvestigation from </w:t>
      </w:r>
      <w:r w:rsidR="00AB7B26">
        <w:t xml:space="preserve">the </w:t>
      </w:r>
      <w:r w:rsidR="00A3771D">
        <w:t>10.3.</w:t>
      </w:r>
      <w:r w:rsidRPr="008C3264">
        <w:t>1</w:t>
      </w:r>
      <w:r w:rsidR="00AB7B26">
        <w:t xml:space="preserve"> </w:t>
      </w:r>
      <w:r w:rsidR="00AB7B26" w:rsidRPr="008C3264">
        <w:t>Lesson 1</w:t>
      </w:r>
      <w:r w:rsidR="00AB7B26">
        <w:t>5</w:t>
      </w:r>
      <w:r w:rsidRPr="008C3264">
        <w:t xml:space="preserve"> End-of-Unit Assessment</w:t>
      </w:r>
      <w:r w:rsidR="005B1ABA">
        <w:t xml:space="preserve"> independently</w:t>
      </w:r>
      <w:r w:rsidRPr="008C3264">
        <w:t>, using the Area Evaluation Checklist.</w:t>
      </w:r>
    </w:p>
    <w:p w:rsidR="00B7533D" w:rsidRPr="001B2955" w:rsidRDefault="00B7533D" w:rsidP="008C3264">
      <w:pPr>
        <w:pStyle w:val="SA"/>
      </w:pPr>
      <w:r w:rsidRPr="001B2955">
        <w:t xml:space="preserve">Students independently vet their </w:t>
      </w:r>
      <w:r w:rsidR="00ED7EE9">
        <w:t>a</w:t>
      </w:r>
      <w:r w:rsidRPr="001B2955">
        <w:t xml:space="preserve">reas of </w:t>
      </w:r>
      <w:r w:rsidR="00ED7EE9">
        <w:t>i</w:t>
      </w:r>
      <w:r w:rsidRPr="001B2955">
        <w:t xml:space="preserve">nvestigation from the </w:t>
      </w:r>
      <w:r w:rsidR="003C6BFC">
        <w:t>10.3.</w:t>
      </w:r>
      <w:r w:rsidRPr="001B2955">
        <w:t>1 End-of-Unit Assessment using the Area Evaluation Checklist.</w:t>
      </w:r>
    </w:p>
    <w:p w:rsidR="00B7533D" w:rsidRPr="001B2955" w:rsidRDefault="00B7533D" w:rsidP="00B7533D">
      <w:pPr>
        <w:pStyle w:val="TA"/>
      </w:pPr>
      <w:r w:rsidRPr="001B2955">
        <w:t>Circulate around the room to monitor students’ progress.</w:t>
      </w:r>
    </w:p>
    <w:p w:rsidR="00B7533D" w:rsidRPr="001B2955" w:rsidRDefault="00B7533D" w:rsidP="001B2955">
      <w:pPr>
        <w:pStyle w:val="IN"/>
      </w:pPr>
      <w:r w:rsidRPr="001B2955">
        <w:t xml:space="preserve">Students need one Area Evaluation Checklist for each </w:t>
      </w:r>
      <w:r w:rsidR="003C6BFC">
        <w:t>a</w:t>
      </w:r>
      <w:r w:rsidRPr="001B2955">
        <w:t xml:space="preserve">rea of </w:t>
      </w:r>
      <w:r w:rsidR="003C6BFC">
        <w:t>i</w:t>
      </w:r>
      <w:r w:rsidRPr="001B2955">
        <w:t>nvestigation.</w:t>
      </w:r>
    </w:p>
    <w:p w:rsidR="00B7533D" w:rsidRPr="001B2955" w:rsidRDefault="00B7533D" w:rsidP="00B7533D">
      <w:pPr>
        <w:pStyle w:val="TA"/>
      </w:pPr>
      <w:r w:rsidRPr="001B2955">
        <w:t xml:space="preserve">Explain to students that they should now decide which vetted </w:t>
      </w:r>
      <w:r w:rsidR="003C6BFC">
        <w:t>a</w:t>
      </w:r>
      <w:r w:rsidRPr="001B2955">
        <w:t xml:space="preserve">rea of </w:t>
      </w:r>
      <w:r w:rsidR="003C6BFC">
        <w:t>i</w:t>
      </w:r>
      <w:r w:rsidRPr="001B2955">
        <w:t xml:space="preserve">nvestigation produces the richest and most interesting </w:t>
      </w:r>
      <w:r w:rsidR="00491C45">
        <w:rPr>
          <w:rFonts w:cs="Calibri"/>
          <w:color w:val="000000"/>
        </w:rPr>
        <w:t>research topic/</w:t>
      </w:r>
      <w:r w:rsidR="003C6BFC">
        <w:rPr>
          <w:rFonts w:cs="Calibri"/>
          <w:color w:val="000000"/>
        </w:rPr>
        <w:t>a</w:t>
      </w:r>
      <w:r w:rsidR="00491C45">
        <w:rPr>
          <w:rFonts w:cs="Calibri"/>
          <w:color w:val="000000"/>
        </w:rPr>
        <w:t xml:space="preserve">rea of </w:t>
      </w:r>
      <w:r w:rsidR="003C6BFC">
        <w:rPr>
          <w:rFonts w:cs="Calibri"/>
          <w:color w:val="000000"/>
        </w:rPr>
        <w:t>i</w:t>
      </w:r>
      <w:r w:rsidR="00491C45">
        <w:rPr>
          <w:rFonts w:cs="Calibri"/>
          <w:color w:val="000000"/>
        </w:rPr>
        <w:t>nvestigation</w:t>
      </w:r>
      <w:r w:rsidRPr="001B2955">
        <w:t xml:space="preserve"> for exploration/research. Instruct students to </w:t>
      </w:r>
      <w:r w:rsidR="00E60DB8">
        <w:t>examine</w:t>
      </w:r>
      <w:r w:rsidRPr="001B2955">
        <w:t xml:space="preserve"> their Area Evaluation Checklists</w:t>
      </w:r>
      <w:r w:rsidR="00347356">
        <w:t xml:space="preserve"> for each </w:t>
      </w:r>
      <w:r w:rsidR="003C6BFC">
        <w:t>a</w:t>
      </w:r>
      <w:r w:rsidR="00347356">
        <w:t xml:space="preserve">rea of </w:t>
      </w:r>
      <w:r w:rsidR="003C6BFC">
        <w:t>i</w:t>
      </w:r>
      <w:r w:rsidR="00347356">
        <w:t>nvestigation</w:t>
      </w:r>
      <w:r w:rsidRPr="001B2955">
        <w:t>.</w:t>
      </w:r>
    </w:p>
    <w:p w:rsidR="00B7533D" w:rsidRPr="001B2955" w:rsidRDefault="00B7533D" w:rsidP="001B2955">
      <w:pPr>
        <w:pStyle w:val="SA"/>
      </w:pPr>
      <w:r w:rsidRPr="001B2955">
        <w:t xml:space="preserve">Students examine the Area Evaluation Checklist and select </w:t>
      </w:r>
      <w:r w:rsidR="003C6BFC">
        <w:t>an area of investigation</w:t>
      </w:r>
      <w:r w:rsidRPr="001B2955">
        <w:t>.</w:t>
      </w:r>
    </w:p>
    <w:p w:rsidR="00B7533D" w:rsidRPr="001B2955" w:rsidRDefault="00B7533D" w:rsidP="00B7533D">
      <w:pPr>
        <w:pStyle w:val="TA"/>
      </w:pPr>
      <w:r w:rsidRPr="001B2955">
        <w:t xml:space="preserve">Lead a share out of students’ </w:t>
      </w:r>
      <w:r w:rsidR="008E3F90">
        <w:t xml:space="preserve">various </w:t>
      </w:r>
      <w:r w:rsidR="00491C45">
        <w:rPr>
          <w:rFonts w:cs="Calibri"/>
          <w:color w:val="000000"/>
        </w:rPr>
        <w:t>research topics/</w:t>
      </w:r>
      <w:r w:rsidR="003C6BFC">
        <w:rPr>
          <w:rFonts w:cs="Calibri"/>
          <w:color w:val="000000"/>
        </w:rPr>
        <w:t>a</w:t>
      </w:r>
      <w:r w:rsidR="00491C45">
        <w:rPr>
          <w:rFonts w:cs="Calibri"/>
          <w:color w:val="000000"/>
        </w:rPr>
        <w:t xml:space="preserve">reas of </w:t>
      </w:r>
      <w:r w:rsidR="003C6BFC">
        <w:rPr>
          <w:rFonts w:cs="Calibri"/>
          <w:color w:val="000000"/>
        </w:rPr>
        <w:t>i</w:t>
      </w:r>
      <w:r w:rsidR="00491C45">
        <w:rPr>
          <w:rFonts w:cs="Calibri"/>
          <w:color w:val="000000"/>
        </w:rPr>
        <w:t>nvestigation</w:t>
      </w:r>
      <w:r w:rsidRPr="001B2955">
        <w:t>.</w:t>
      </w:r>
    </w:p>
    <w:p w:rsidR="00B7533D" w:rsidRPr="001B2955" w:rsidRDefault="00B7533D" w:rsidP="001B2955">
      <w:pPr>
        <w:pStyle w:val="SR"/>
      </w:pPr>
      <w:r w:rsidRPr="001B2955">
        <w:t>Student responses may include:</w:t>
      </w:r>
    </w:p>
    <w:p w:rsidR="00B7533D" w:rsidRPr="005F7266" w:rsidRDefault="003E1817" w:rsidP="001B2955">
      <w:pPr>
        <w:pStyle w:val="SASRBullet"/>
      </w:pPr>
      <w:r>
        <w:t>I became interested in the topic of informed consent because of Henrietta Lacks’ story. My big question is h</w:t>
      </w:r>
      <w:r w:rsidR="00C35B86">
        <w:t xml:space="preserve">ow do we know if consent is informed or not? </w:t>
      </w:r>
      <w:r>
        <w:t>Based on this, I have narrowed down the topic and done some pre</w:t>
      </w:r>
      <w:r w:rsidR="00347356">
        <w:t>-</w:t>
      </w:r>
      <w:r>
        <w:t>searches, which reveal multiple</w:t>
      </w:r>
      <w:r w:rsidR="00866E63">
        <w:t xml:space="preserve"> claim</w:t>
      </w:r>
      <w:r>
        <w:t>s on th</w:t>
      </w:r>
      <w:r w:rsidR="00502F4B">
        <w:t>is</w:t>
      </w:r>
      <w:r>
        <w:t xml:space="preserve"> issue. </w:t>
      </w:r>
    </w:p>
    <w:p w:rsidR="00B7533D" w:rsidRDefault="0081016B" w:rsidP="001B2955">
      <w:pPr>
        <w:pStyle w:val="SASRBullet"/>
      </w:pPr>
      <w:r>
        <w:t xml:space="preserve">My topic </w:t>
      </w:r>
      <w:r w:rsidR="007A7E83">
        <w:t xml:space="preserve">is </w:t>
      </w:r>
      <w:r>
        <w:t xml:space="preserve">about determining a genetic basis for criminal behavior. There are multiple </w:t>
      </w:r>
      <w:r w:rsidR="00866E63">
        <w:t>claim</w:t>
      </w:r>
      <w:r>
        <w:t xml:space="preserve">s </w:t>
      </w:r>
      <w:r w:rsidR="00866E63">
        <w:t>about issues related to</w:t>
      </w:r>
      <w:r>
        <w:t xml:space="preserve"> this topic, including whether it is right to target a population for criminal behavior and what the value</w:t>
      </w:r>
      <w:r w:rsidR="00347356">
        <w:t xml:space="preserve"> of</w:t>
      </w:r>
      <w:r>
        <w:t xml:space="preserve"> finding such a gene would be. There are several sources in my pre</w:t>
      </w:r>
      <w:r w:rsidR="00347356">
        <w:t>-</w:t>
      </w:r>
      <w:r>
        <w:t>searches to support this topic, and I have a good understanding of this topic because I annotated some of the sou</w:t>
      </w:r>
      <w:r w:rsidR="00347356">
        <w:t>r</w:t>
      </w:r>
      <w:r>
        <w:t>ces in my research journal.</w:t>
      </w:r>
      <w:r w:rsidR="005F7266">
        <w:t xml:space="preserve"> </w:t>
      </w:r>
    </w:p>
    <w:p w:rsidR="0081016B" w:rsidRPr="005F7266" w:rsidRDefault="0081016B" w:rsidP="001B2955">
      <w:pPr>
        <w:pStyle w:val="SASRBullet"/>
      </w:pPr>
      <w:r>
        <w:t xml:space="preserve">During my pre-searches, I found many sources that support different </w:t>
      </w:r>
      <w:r w:rsidR="00866E63">
        <w:t>central claim</w:t>
      </w:r>
      <w:r>
        <w:t xml:space="preserve">s on this issue. I learned some of the background knowledge to support my understanding of this issue, and recorded important terms, such as </w:t>
      </w:r>
      <w:r w:rsidRPr="0066358E">
        <w:rPr>
          <w:i/>
        </w:rPr>
        <w:t>tissue</w:t>
      </w:r>
      <w:r>
        <w:t xml:space="preserve">, </w:t>
      </w:r>
      <w:r w:rsidRPr="0066358E">
        <w:rPr>
          <w:i/>
        </w:rPr>
        <w:t>cell line</w:t>
      </w:r>
      <w:r>
        <w:t xml:space="preserve">, </w:t>
      </w:r>
      <w:r w:rsidRPr="0066358E">
        <w:rPr>
          <w:i/>
        </w:rPr>
        <w:t>royalties</w:t>
      </w:r>
      <w:r>
        <w:t xml:space="preserve">, and </w:t>
      </w:r>
      <w:r w:rsidRPr="0066358E">
        <w:rPr>
          <w:i/>
        </w:rPr>
        <w:t>lymphocytes</w:t>
      </w:r>
      <w:r w:rsidR="0024057E">
        <w:t xml:space="preserve"> in my vocabulary j</w:t>
      </w:r>
      <w:r>
        <w:t xml:space="preserve">ournal. This issue is unresolved and is worth investigating, and I am interested in finding out more about it. I plan to select </w:t>
      </w:r>
      <w:r w:rsidR="003C6BFC">
        <w:t>“t</w:t>
      </w:r>
      <w:r>
        <w:t xml:space="preserve">issue </w:t>
      </w:r>
      <w:r w:rsidR="003C6BFC">
        <w:t>o</w:t>
      </w:r>
      <w:r>
        <w:t>wnership</w:t>
      </w:r>
      <w:r w:rsidR="003C6BFC">
        <w:t>”</w:t>
      </w:r>
      <w:r>
        <w:t xml:space="preserve"> as my </w:t>
      </w:r>
      <w:r w:rsidR="003C6BFC">
        <w:t>a</w:t>
      </w:r>
      <w:r>
        <w:t xml:space="preserve">rea of </w:t>
      </w:r>
      <w:r w:rsidR="003C6BFC">
        <w:t>i</w:t>
      </w:r>
      <w:r>
        <w:t>nvestigation</w:t>
      </w:r>
      <w:r w:rsidR="007E44A5">
        <w:t>.</w:t>
      </w:r>
    </w:p>
    <w:p w:rsidR="00B7533D" w:rsidRPr="001B2955" w:rsidRDefault="00B7533D" w:rsidP="00B7533D">
      <w:pPr>
        <w:pStyle w:val="IN"/>
      </w:pPr>
      <w:r w:rsidRPr="001B2955">
        <w:t xml:space="preserve">Consider </w:t>
      </w:r>
      <w:r w:rsidR="009B3D05">
        <w:t>displaying</w:t>
      </w:r>
      <w:r w:rsidR="009B3D05" w:rsidRPr="001B2955">
        <w:t xml:space="preserve"> </w:t>
      </w:r>
      <w:r w:rsidRPr="001B2955">
        <w:t xml:space="preserve">students’ </w:t>
      </w:r>
      <w:r w:rsidR="009B3D05">
        <w:t xml:space="preserve">names and </w:t>
      </w:r>
      <w:r w:rsidR="00491C45" w:rsidRPr="00491C45">
        <w:t>research topic</w:t>
      </w:r>
      <w:r w:rsidR="008E3F90">
        <w:t>s</w:t>
      </w:r>
      <w:r w:rsidR="00491C45" w:rsidRPr="00491C45">
        <w:t>/</w:t>
      </w:r>
      <w:r w:rsidR="003C6BFC">
        <w:t>a</w:t>
      </w:r>
      <w:r w:rsidR="00491C45" w:rsidRPr="00491C45">
        <w:t xml:space="preserve">reas of </w:t>
      </w:r>
      <w:r w:rsidR="003C6BFC">
        <w:t>i</w:t>
      </w:r>
      <w:r w:rsidR="00491C45" w:rsidRPr="00491C45">
        <w:t>nvestigation</w:t>
      </w:r>
      <w:r w:rsidRPr="001B2955">
        <w:t xml:space="preserve"> so </w:t>
      </w:r>
      <w:r w:rsidR="009B3D05">
        <w:t xml:space="preserve">that </w:t>
      </w:r>
      <w:r w:rsidRPr="001B2955">
        <w:t xml:space="preserve">students </w:t>
      </w:r>
      <w:r w:rsidR="009B3D05">
        <w:t>can identify and reach out for support from peers working</w:t>
      </w:r>
      <w:r w:rsidR="00491C45">
        <w:t xml:space="preserve"> with </w:t>
      </w:r>
      <w:r w:rsidRPr="001B2955">
        <w:t xml:space="preserve">related </w:t>
      </w:r>
      <w:r w:rsidR="00491C45" w:rsidRPr="00491C45">
        <w:t>research topic</w:t>
      </w:r>
      <w:r w:rsidR="008E3F90">
        <w:t>s</w:t>
      </w:r>
      <w:r w:rsidR="00491C45" w:rsidRPr="00491C45">
        <w:t>/</w:t>
      </w:r>
      <w:r w:rsidR="003C6BFC">
        <w:t>a</w:t>
      </w:r>
      <w:r w:rsidR="00491C45" w:rsidRPr="00491C45">
        <w:t>rea</w:t>
      </w:r>
      <w:r w:rsidR="008E3F90">
        <w:t>s</w:t>
      </w:r>
      <w:r w:rsidR="00491C45" w:rsidRPr="00491C45">
        <w:t xml:space="preserve"> of </w:t>
      </w:r>
      <w:r w:rsidR="003C6BFC">
        <w:t>i</w:t>
      </w:r>
      <w:r w:rsidR="00491C45" w:rsidRPr="00491C45">
        <w:t>nvestigation</w:t>
      </w:r>
      <w:r w:rsidRPr="001B2955">
        <w:t>.</w:t>
      </w:r>
      <w:r w:rsidR="009B3D05">
        <w:t xml:space="preserve"> </w:t>
      </w:r>
    </w:p>
    <w:p w:rsidR="00772E6B" w:rsidRPr="00B7533D" w:rsidRDefault="00772E6B" w:rsidP="00772E6B">
      <w:pPr>
        <w:pStyle w:val="LearningSequenceHeader"/>
      </w:pPr>
      <w:r w:rsidRPr="00B7533D">
        <w:t xml:space="preserve">Activity 5: </w:t>
      </w:r>
      <w:r w:rsidR="00B7533D" w:rsidRPr="00B7533D">
        <w:t>Quick Write</w:t>
      </w:r>
      <w:r w:rsidRPr="00B7533D">
        <w:tab/>
      </w:r>
      <w:r w:rsidR="00B7533D" w:rsidRPr="00B7533D">
        <w:t>10</w:t>
      </w:r>
      <w:r w:rsidRPr="00B7533D">
        <w:t>%</w:t>
      </w:r>
    </w:p>
    <w:p w:rsidR="000E3F3C" w:rsidRDefault="001B2955" w:rsidP="001B2955">
      <w:pPr>
        <w:pStyle w:val="TA"/>
      </w:pPr>
      <w:r>
        <w:t>Instruct students to respond briefly in writing to the following prompt</w:t>
      </w:r>
      <w:r w:rsidR="005E63C3">
        <w:t>. Remind students to practice the skills outlined in W.9-10.4, to which they were introduced in 10.1.3 Lesson 8.</w:t>
      </w:r>
    </w:p>
    <w:p w:rsidR="005E63C3" w:rsidRDefault="005E63C3" w:rsidP="00A5012B">
      <w:pPr>
        <w:pStyle w:val="IN"/>
      </w:pPr>
      <w:r>
        <w:t>If necessary, consider reviewing the components of W.9-10.4, which include producing clear, coherent writing that employs organization and style appropriate to the task, purpose, and audience.</w:t>
      </w:r>
    </w:p>
    <w:p w:rsidR="000E3F3C" w:rsidRPr="000E3F3C" w:rsidRDefault="000E3F3C" w:rsidP="00CA7EE0">
      <w:pPr>
        <w:pStyle w:val="Q"/>
      </w:pPr>
      <w:r w:rsidRPr="000E3F3C">
        <w:t>Describe how you arrived at your specific</w:t>
      </w:r>
      <w:r w:rsidR="008E3F90">
        <w:t xml:space="preserve"> research topic/</w:t>
      </w:r>
      <w:r w:rsidR="000D10A8">
        <w:t>area of investigation</w:t>
      </w:r>
      <w:r w:rsidRPr="000E3F3C">
        <w:t xml:space="preserve"> through the vetting process </w:t>
      </w:r>
      <w:r w:rsidR="00B57D4F">
        <w:t xml:space="preserve">you </w:t>
      </w:r>
      <w:r w:rsidRPr="000E3F3C">
        <w:t>conducted in the lesson. Explain how the Area Evaluation Checklist led you to select your</w:t>
      </w:r>
      <w:r w:rsidR="008E3F90">
        <w:t xml:space="preserve"> specific</w:t>
      </w:r>
      <w:r w:rsidRPr="000E3F3C">
        <w:t xml:space="preserve"> </w:t>
      </w:r>
      <w:r w:rsidR="008E3F90">
        <w:t>research topic/</w:t>
      </w:r>
      <w:r w:rsidR="000D10A8">
        <w:t>area of investigation</w:t>
      </w:r>
      <w:r w:rsidRPr="000E3F3C">
        <w:t>.</w:t>
      </w:r>
      <w:bookmarkStart w:id="0" w:name="_GoBack"/>
      <w:bookmarkEnd w:id="0"/>
    </w:p>
    <w:p w:rsidR="001B2955" w:rsidRDefault="001B2955" w:rsidP="001B2955">
      <w:pPr>
        <w:pStyle w:val="TA"/>
      </w:pPr>
      <w:r>
        <w:t xml:space="preserve">Instruct students to use the </w:t>
      </w:r>
      <w:r w:rsidR="007A6A4A">
        <w:t>Area Evaluation Checklist</w:t>
      </w:r>
      <w:r>
        <w:t xml:space="preserve"> to guide their written responses.</w:t>
      </w:r>
    </w:p>
    <w:p w:rsidR="008E3195" w:rsidRPr="008E3195" w:rsidRDefault="008E3195" w:rsidP="008E3195">
      <w:pPr>
        <w:pStyle w:val="SA"/>
      </w:pPr>
      <w:r w:rsidRPr="008E3195">
        <w:t>Students listen and read the prompt.</w:t>
      </w:r>
    </w:p>
    <w:p w:rsidR="001B2955" w:rsidRDefault="001B2955" w:rsidP="001B2955">
      <w:pPr>
        <w:pStyle w:val="IN"/>
      </w:pPr>
      <w:r>
        <w:t>Display the</w:t>
      </w:r>
      <w:r w:rsidRPr="002C38DB">
        <w:t xml:space="preserve"> prompt for students to see</w:t>
      </w:r>
      <w:r>
        <w:t>, or provide the prompt in</w:t>
      </w:r>
      <w:r w:rsidRPr="002C38DB">
        <w:t xml:space="preserve"> hard copy</w:t>
      </w:r>
      <w:r>
        <w:t>.</w:t>
      </w:r>
    </w:p>
    <w:p w:rsidR="008E3195" w:rsidRPr="008E3195" w:rsidRDefault="008E3195" w:rsidP="008E3195">
      <w:pPr>
        <w:pStyle w:val="TA"/>
      </w:pPr>
      <w:r w:rsidRPr="008E3195">
        <w:t xml:space="preserve">Transition to the independent </w:t>
      </w:r>
      <w:r>
        <w:t>prompt</w:t>
      </w:r>
      <w:r w:rsidRPr="008E3195">
        <w:t>.</w:t>
      </w:r>
    </w:p>
    <w:p w:rsidR="001B2955" w:rsidRDefault="001B2955" w:rsidP="001B2955">
      <w:pPr>
        <w:pStyle w:val="SA"/>
      </w:pPr>
      <w:r>
        <w:t xml:space="preserve">Students independently answer the prompt using evidence from the </w:t>
      </w:r>
      <w:r w:rsidR="00BD532C">
        <w:t>Area Evaluation Checklist</w:t>
      </w:r>
      <w:r>
        <w:t xml:space="preserve">. </w:t>
      </w:r>
    </w:p>
    <w:p w:rsidR="00686FD6" w:rsidRPr="000E3F3C" w:rsidRDefault="001B2955" w:rsidP="00F97FD4">
      <w:pPr>
        <w:pStyle w:val="SR"/>
      </w:pPr>
      <w:r>
        <w:t>See the High Performance Response at the beginning of this lesson.</w:t>
      </w:r>
    </w:p>
    <w:p w:rsidR="008E3195" w:rsidRDefault="008E3195">
      <w:pPr>
        <w:spacing w:before="0" w:after="0" w:line="240" w:lineRule="auto"/>
        <w:rPr>
          <w:rFonts w:asciiTheme="minorHAnsi" w:hAnsiTheme="minorHAnsi"/>
          <w:b/>
          <w:bCs/>
          <w:color w:val="4F81BD"/>
          <w:sz w:val="28"/>
          <w:szCs w:val="26"/>
        </w:rPr>
      </w:pPr>
      <w:r>
        <w:br w:type="page"/>
      </w:r>
    </w:p>
    <w:p w:rsidR="00772E6B" w:rsidRPr="0036609D" w:rsidRDefault="00772E6B" w:rsidP="00772E6B">
      <w:pPr>
        <w:pStyle w:val="LearningSequenceHeader"/>
      </w:pPr>
      <w:r w:rsidRPr="0036609D">
        <w:t>Activity 6: Closing</w:t>
      </w:r>
      <w:r w:rsidRPr="0036609D">
        <w:tab/>
        <w:t>5%</w:t>
      </w:r>
    </w:p>
    <w:p w:rsidR="00772E6B" w:rsidRPr="0036609D" w:rsidRDefault="00772E6B" w:rsidP="00772E6B">
      <w:pPr>
        <w:pStyle w:val="TA"/>
      </w:pPr>
      <w:r w:rsidRPr="0036609D">
        <w:rPr>
          <w:szCs w:val="20"/>
          <w:shd w:val="clear" w:color="auto" w:fill="FFFFFF"/>
        </w:rPr>
        <w:t xml:space="preserve">Display and distribute the homework assignment. For homework, instruct students to </w:t>
      </w:r>
      <w:r w:rsidR="0036609D" w:rsidRPr="0036609D">
        <w:t xml:space="preserve">use the Pre-Search Tool from </w:t>
      </w:r>
      <w:r w:rsidR="00B00D7A">
        <w:t>10.3.</w:t>
      </w:r>
      <w:r w:rsidR="0036609D" w:rsidRPr="0036609D">
        <w:t xml:space="preserve">1 to search for two sources related to the </w:t>
      </w:r>
      <w:r w:rsidR="00491C45">
        <w:rPr>
          <w:rFonts w:cs="Calibri"/>
          <w:color w:val="000000"/>
        </w:rPr>
        <w:t>research topic/</w:t>
      </w:r>
      <w:r w:rsidR="000D10A8">
        <w:rPr>
          <w:rFonts w:cs="Calibri"/>
          <w:color w:val="000000"/>
        </w:rPr>
        <w:t>area of investigation</w:t>
      </w:r>
      <w:r w:rsidR="0036609D" w:rsidRPr="0036609D">
        <w:t xml:space="preserve"> </w:t>
      </w:r>
      <w:r w:rsidR="006A0DEC">
        <w:t xml:space="preserve">they </w:t>
      </w:r>
      <w:r w:rsidR="0036609D" w:rsidRPr="0036609D">
        <w:t xml:space="preserve">drafted in the lesson. Students prepare to discuss how the two sources connect to the </w:t>
      </w:r>
      <w:r w:rsidR="00491C45">
        <w:rPr>
          <w:rFonts w:cs="Calibri"/>
          <w:color w:val="000000"/>
        </w:rPr>
        <w:t>research topic/</w:t>
      </w:r>
      <w:r w:rsidR="000D10A8">
        <w:rPr>
          <w:rFonts w:cs="Calibri"/>
          <w:color w:val="000000"/>
        </w:rPr>
        <w:t>area of investigation</w:t>
      </w:r>
      <w:r w:rsidR="0036609D" w:rsidRPr="0036609D">
        <w:t xml:space="preserve"> for the following lesson</w:t>
      </w:r>
      <w:r w:rsidR="00B00D7A">
        <w:t>, 10.3.2 Lesson 2</w:t>
      </w:r>
      <w:r w:rsidR="0036609D" w:rsidRPr="0036609D">
        <w:t>.</w:t>
      </w:r>
    </w:p>
    <w:p w:rsidR="00772E6B" w:rsidRPr="0036609D" w:rsidRDefault="00772E6B" w:rsidP="00772E6B">
      <w:pPr>
        <w:pStyle w:val="SA"/>
      </w:pPr>
      <w:r w:rsidRPr="0036609D">
        <w:t>Students follow along.</w:t>
      </w:r>
    </w:p>
    <w:p w:rsidR="00772E6B" w:rsidRPr="0036609D" w:rsidRDefault="00772E6B" w:rsidP="00772E6B">
      <w:pPr>
        <w:pStyle w:val="Heading1"/>
      </w:pPr>
      <w:r w:rsidRPr="0036609D">
        <w:t>Homework</w:t>
      </w:r>
    </w:p>
    <w:p w:rsidR="00050707" w:rsidRDefault="0036609D" w:rsidP="002C6668">
      <w:r>
        <w:t xml:space="preserve">Use the Pre-Search Tool from </w:t>
      </w:r>
      <w:r w:rsidR="00B00D7A">
        <w:t>10.3.</w:t>
      </w:r>
      <w:r>
        <w:t xml:space="preserve">1 to search for two sources related to the </w:t>
      </w:r>
      <w:r w:rsidR="00491C45">
        <w:rPr>
          <w:rFonts w:cs="Calibri"/>
          <w:color w:val="000000"/>
        </w:rPr>
        <w:t>research topic/</w:t>
      </w:r>
      <w:r w:rsidR="000D10A8">
        <w:rPr>
          <w:rFonts w:cs="Calibri"/>
          <w:color w:val="000000"/>
        </w:rPr>
        <w:t>area of investigation</w:t>
      </w:r>
      <w:r>
        <w:t xml:space="preserve"> </w:t>
      </w:r>
      <w:r w:rsidR="006A0DEC">
        <w:t xml:space="preserve">you </w:t>
      </w:r>
      <w:r>
        <w:t xml:space="preserve">drafted in the lesson. Prepare to discuss how the two sources connect to the </w:t>
      </w:r>
      <w:r w:rsidR="00491C45">
        <w:rPr>
          <w:rFonts w:cs="Calibri"/>
          <w:color w:val="000000"/>
        </w:rPr>
        <w:t>research topic/</w:t>
      </w:r>
      <w:r w:rsidR="000D10A8">
        <w:rPr>
          <w:rFonts w:cs="Calibri"/>
          <w:color w:val="000000"/>
        </w:rPr>
        <w:t>area of investigation</w:t>
      </w:r>
      <w:r>
        <w:t xml:space="preserve"> for the following lesson</w:t>
      </w:r>
      <w:r w:rsidR="00B00D7A">
        <w:t>, 10.3.2 Lesson 2</w:t>
      </w:r>
      <w:r>
        <w:t>.</w:t>
      </w:r>
    </w:p>
    <w:p w:rsidR="005A344E" w:rsidRDefault="00050707">
      <w:pPr>
        <w:spacing w:before="0" w:after="0" w:line="240" w:lineRule="auto"/>
        <w:sectPr w:rsidR="005A344E"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r>
        <w:br w:type="page"/>
      </w:r>
    </w:p>
    <w:p w:rsidR="005A344E" w:rsidRPr="005A344E" w:rsidRDefault="005A344E" w:rsidP="005A344E">
      <w:pPr>
        <w:keepNext/>
        <w:keepLines/>
        <w:spacing w:before="480" w:after="120"/>
        <w:outlineLvl w:val="0"/>
        <w:rPr>
          <w:rFonts w:asciiTheme="minorHAnsi" w:hAnsiTheme="minorHAnsi"/>
          <w:b/>
          <w:bCs/>
          <w:color w:val="365F91"/>
          <w:sz w:val="32"/>
          <w:szCs w:val="28"/>
        </w:rPr>
      </w:pPr>
      <w:r w:rsidRPr="005A344E">
        <w:rPr>
          <w:rFonts w:asciiTheme="minorHAnsi" w:hAnsiTheme="minorHAnsi"/>
          <w:b/>
          <w:bCs/>
          <w:color w:val="365F91"/>
          <w:sz w:val="32"/>
          <w:szCs w:val="28"/>
        </w:rPr>
        <w:t>10.3 Common Core Learning Standards Tool</w:t>
      </w:r>
    </w:p>
    <w:tbl>
      <w:tblPr>
        <w:tblStyle w:val="TableGrid"/>
        <w:tblW w:w="13231" w:type="dxa"/>
        <w:tblLook w:val="04A0"/>
      </w:tblPr>
      <w:tblGrid>
        <w:gridCol w:w="820"/>
        <w:gridCol w:w="4234"/>
        <w:gridCol w:w="732"/>
        <w:gridCol w:w="4205"/>
        <w:gridCol w:w="720"/>
        <w:gridCol w:w="2520"/>
      </w:tblGrid>
      <w:tr w:rsidR="005A344E" w:rsidRPr="005A344E" w:rsidTr="00CA7EE0">
        <w:tc>
          <w:tcPr>
            <w:tcW w:w="820" w:type="dxa"/>
            <w:shd w:val="clear" w:color="auto" w:fill="D9D9D9" w:themeFill="background1" w:themeFillShade="D9"/>
          </w:tcPr>
          <w:p w:rsidR="005A344E" w:rsidRPr="005A344E" w:rsidRDefault="005A344E" w:rsidP="005A344E">
            <w:pPr>
              <w:rPr>
                <w:b/>
              </w:rPr>
            </w:pPr>
            <w:r w:rsidRPr="005A344E">
              <w:rPr>
                <w:b/>
              </w:rPr>
              <w:t>Name:</w:t>
            </w:r>
          </w:p>
        </w:tc>
        <w:tc>
          <w:tcPr>
            <w:tcW w:w="4234" w:type="dxa"/>
          </w:tcPr>
          <w:p w:rsidR="005A344E" w:rsidRPr="005A344E" w:rsidRDefault="005A344E" w:rsidP="005A344E"/>
        </w:tc>
        <w:tc>
          <w:tcPr>
            <w:tcW w:w="732" w:type="dxa"/>
            <w:shd w:val="clear" w:color="auto" w:fill="D9D9D9" w:themeFill="background1" w:themeFillShade="D9"/>
          </w:tcPr>
          <w:p w:rsidR="005A344E" w:rsidRPr="005A344E" w:rsidRDefault="005A344E" w:rsidP="005A344E">
            <w:pPr>
              <w:rPr>
                <w:b/>
              </w:rPr>
            </w:pPr>
            <w:r w:rsidRPr="005A344E">
              <w:rPr>
                <w:b/>
              </w:rPr>
              <w:t>Class:</w:t>
            </w:r>
          </w:p>
        </w:tc>
        <w:tc>
          <w:tcPr>
            <w:tcW w:w="4205" w:type="dxa"/>
          </w:tcPr>
          <w:p w:rsidR="005A344E" w:rsidRPr="005A344E" w:rsidRDefault="005A344E" w:rsidP="005A344E"/>
        </w:tc>
        <w:tc>
          <w:tcPr>
            <w:tcW w:w="720" w:type="dxa"/>
            <w:shd w:val="clear" w:color="auto" w:fill="D9D9D9" w:themeFill="background1" w:themeFillShade="D9"/>
          </w:tcPr>
          <w:p w:rsidR="005A344E" w:rsidRPr="005A344E" w:rsidRDefault="005A344E" w:rsidP="005A344E">
            <w:pPr>
              <w:rPr>
                <w:b/>
              </w:rPr>
            </w:pPr>
            <w:r w:rsidRPr="005A344E">
              <w:rPr>
                <w:b/>
              </w:rPr>
              <w:t>Date:</w:t>
            </w:r>
          </w:p>
        </w:tc>
        <w:tc>
          <w:tcPr>
            <w:tcW w:w="2520" w:type="dxa"/>
          </w:tcPr>
          <w:p w:rsidR="005A344E" w:rsidRPr="005A344E" w:rsidRDefault="005A344E" w:rsidP="005A344E"/>
        </w:tc>
      </w:tr>
    </w:tbl>
    <w:p w:rsidR="005A344E" w:rsidRPr="005A344E" w:rsidRDefault="005A344E" w:rsidP="005A344E"/>
    <w:tbl>
      <w:tblPr>
        <w:tblW w:w="13242" w:type="dxa"/>
        <w:tblInd w:w="18" w:type="dxa"/>
        <w:shd w:val="clear" w:color="auto" w:fill="FFFFFF"/>
        <w:tblCellMar>
          <w:left w:w="0" w:type="dxa"/>
          <w:right w:w="0" w:type="dxa"/>
        </w:tblCellMar>
        <w:tblLook w:val="04A0"/>
      </w:tblPr>
      <w:tblGrid>
        <w:gridCol w:w="1195"/>
        <w:gridCol w:w="3917"/>
        <w:gridCol w:w="2710"/>
        <w:gridCol w:w="2710"/>
        <w:gridCol w:w="2710"/>
      </w:tblGrid>
      <w:tr w:rsidR="005A344E" w:rsidRPr="005A344E" w:rsidTr="002E7568">
        <w:trPr>
          <w:cantSplit/>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5A344E" w:rsidRPr="005A344E" w:rsidRDefault="005A344E" w:rsidP="005A344E">
            <w:pPr>
              <w:spacing w:before="40" w:after="120" w:line="240" w:lineRule="auto"/>
              <w:rPr>
                <w:b/>
                <w:color w:val="2D2D2C"/>
              </w:rPr>
            </w:pPr>
            <w:r w:rsidRPr="005A344E">
              <w:rPr>
                <w:b/>
                <w:color w:val="2D2D2C"/>
              </w:rPr>
              <w:t>CCS Standards: Reading</w:t>
            </w:r>
            <w:r w:rsidRPr="005A344E">
              <w:rPr>
                <w:b/>
              </w:rPr>
              <w:t xml:space="preserve">—Informational </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am not familiar with this standard.</w:t>
            </w:r>
          </w:p>
        </w:tc>
      </w:tr>
      <w:tr w:rsidR="005A344E" w:rsidRPr="005A344E" w:rsidTr="002E7568">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RI.9-10.1.a.</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 xml:space="preserve">Cite strong and thorough textual evidence to support analysis of what the text says explicitly as well as inferences drawn from the text. </w:t>
            </w:r>
          </w:p>
          <w:p w:rsidR="005A344E" w:rsidRPr="005A344E" w:rsidRDefault="005A344E" w:rsidP="005A344E">
            <w:pPr>
              <w:pStyle w:val="ListParagraph"/>
              <w:numPr>
                <w:ilvl w:val="0"/>
                <w:numId w:val="48"/>
              </w:numPr>
              <w:spacing w:before="40" w:after="40"/>
            </w:pPr>
            <w:r w:rsidRPr="005A344E">
              <w:t>Develop factual, interpretive, and evaluative questions for further exploration of the topic(s).</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2D2D2C"/>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2D2D2C"/>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2D2D2C"/>
              </w:rPr>
            </w:pPr>
          </w:p>
        </w:tc>
      </w:tr>
    </w:tbl>
    <w:p w:rsidR="005A344E" w:rsidRPr="005A344E" w:rsidRDefault="005A344E" w:rsidP="005A344E"/>
    <w:p w:rsidR="005A344E" w:rsidRPr="005A344E" w:rsidRDefault="005A344E" w:rsidP="005A344E">
      <w:pPr>
        <w:spacing w:before="0" w:after="0" w:line="240" w:lineRule="auto"/>
      </w:pPr>
      <w:r w:rsidRPr="005A344E">
        <w:br w:type="page"/>
      </w:r>
    </w:p>
    <w:tbl>
      <w:tblPr>
        <w:tblW w:w="13242" w:type="dxa"/>
        <w:tblInd w:w="18" w:type="dxa"/>
        <w:shd w:val="clear" w:color="auto" w:fill="FFFFFF"/>
        <w:tblCellMar>
          <w:left w:w="0" w:type="dxa"/>
          <w:right w:w="0" w:type="dxa"/>
        </w:tblCellMar>
        <w:tblLook w:val="04A0"/>
      </w:tblPr>
      <w:tblGrid>
        <w:gridCol w:w="1278"/>
        <w:gridCol w:w="3834"/>
        <w:gridCol w:w="2710"/>
        <w:gridCol w:w="2710"/>
        <w:gridCol w:w="2710"/>
      </w:tblGrid>
      <w:tr w:rsidR="005A344E" w:rsidRPr="005A344E" w:rsidTr="002E7568">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5A344E" w:rsidRPr="005A344E" w:rsidRDefault="005A344E" w:rsidP="005A344E">
            <w:pPr>
              <w:spacing w:before="40" w:after="120" w:line="240" w:lineRule="auto"/>
              <w:rPr>
                <w:b/>
              </w:rPr>
            </w:pPr>
            <w:r w:rsidRPr="005A344E">
              <w:rPr>
                <w:b/>
              </w:rPr>
              <w:t>CCS Standards: Writing</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am not familiar with this standard.</w:t>
            </w: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an analysis of substantive topics or texts, using valid reasoning and relevant and sufficient evidence. Explore and inquire into areas of interest to formulate an argument.</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an analysis of substantive topics or texts, using valid reasoning and relevant and sufficient evidence. Explore and inquire into areas of interest to formulate an argument.</w:t>
            </w:r>
          </w:p>
          <w:p w:rsidR="005A344E" w:rsidRPr="005A344E" w:rsidRDefault="005A344E" w:rsidP="005A344E">
            <w:pPr>
              <w:numPr>
                <w:ilvl w:val="0"/>
                <w:numId w:val="44"/>
              </w:numPr>
              <w:spacing w:before="40" w:after="40"/>
            </w:pPr>
            <w:r w:rsidRPr="005A344E">
              <w:t>Introduce precise claim(s), distinguish the claim(s) from alternate or opposing claims, and create an organization that establishes clear relationships among claim(s), counterclaims, reasons, and evidence.</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an analysis of substantive topics or texts, using valid reasoning and relevant and sufficient evidence. Explore and inquire into areas of interest to formulate an argument.</w:t>
            </w:r>
          </w:p>
          <w:p w:rsidR="005A344E" w:rsidRPr="005A344E" w:rsidRDefault="005A344E" w:rsidP="005A344E">
            <w:pPr>
              <w:pStyle w:val="SubStandard"/>
              <w:numPr>
                <w:ilvl w:val="0"/>
                <w:numId w:val="44"/>
              </w:numPr>
            </w:pPr>
            <w:r w:rsidRPr="005A344E">
              <w:t>Develop claim(s) and counterclaims fairly, supplying evidence for each while pointing out the strengths and limitations of both in a manner that anticipates the audience’s knowledge level and concerns.</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W.9-10.1.c</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the analysis of substantive topics or text, using valid reasoning and relevant and sufficient evidence. Explore and inquire into areas of interest to formulate an argument.</w:t>
            </w:r>
          </w:p>
          <w:p w:rsidR="005A344E" w:rsidRPr="005A344E" w:rsidRDefault="005A344E" w:rsidP="005A344E">
            <w:pPr>
              <w:pStyle w:val="SubStandard"/>
              <w:numPr>
                <w:ilvl w:val="0"/>
                <w:numId w:val="44"/>
              </w:numPr>
            </w:pPr>
            <w:r w:rsidRPr="005A344E">
              <w:t>Use words, phrases, and clauses to link the major sections of the text, create cohesion and clarify the relationships between claim(s) and reasons, between reasons and evidence, and between claim(s) and counterclaims.</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W.9-10.1.d</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an analysis of substantive topics or texts, using valid reasoning and relevant and sufficient evidence. Explore and inquire into areas of interest to formulate an argument.</w:t>
            </w:r>
          </w:p>
          <w:p w:rsidR="005A344E" w:rsidRPr="005A344E" w:rsidRDefault="005A344E" w:rsidP="005A344E">
            <w:pPr>
              <w:pStyle w:val="SubStandard"/>
              <w:numPr>
                <w:ilvl w:val="0"/>
                <w:numId w:val="44"/>
              </w:numPr>
            </w:pPr>
            <w:r w:rsidRPr="005A344E">
              <w:t>Establish and maintain a formal style and objective tone while attending to the norms and conventions of the discipline in which they are writing.</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W.9-10.1.e</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Write arguments to support claims in the analysis of substantive topics or text, using valid reasoning and relevant and sufficient evidence. Explore and inquire into areas of interest to formulate an argument.</w:t>
            </w:r>
          </w:p>
          <w:p w:rsidR="005A344E" w:rsidRPr="005A344E" w:rsidRDefault="005A344E" w:rsidP="005A344E">
            <w:pPr>
              <w:numPr>
                <w:ilvl w:val="0"/>
                <w:numId w:val="46"/>
              </w:numPr>
              <w:spacing w:before="40" w:after="40"/>
            </w:pPr>
            <w:r w:rsidRPr="005A344E">
              <w:t>Provide a concluding statement or section that follows from and supports the argument presented.</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W.9-10.5</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Develop and strengthen writing as needed by planning, revising, editing, rewriting, or trying a new approach, focusing on addressing what is most significant for a specific purpose and audience.</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W.9-10.7</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W.9-10.8</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rPr>
                <w:rFonts w:eastAsia="Times New Roman"/>
              </w:rPr>
            </w:pPr>
            <w:r w:rsidRPr="005A344E">
              <w:rPr>
                <w:rFonts w:eastAsia="Times New Roman"/>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rFonts w:ascii="Tahoma" w:hAnsi="Tahoma"/>
                <w:color w:val="000000"/>
                <w:sz w:val="20"/>
              </w:rPr>
            </w:pPr>
          </w:p>
        </w:tc>
      </w:tr>
    </w:tbl>
    <w:p w:rsidR="005A344E" w:rsidRPr="005A344E" w:rsidRDefault="005A344E" w:rsidP="005A344E"/>
    <w:p w:rsidR="005A344E" w:rsidRPr="005A344E" w:rsidRDefault="005A344E" w:rsidP="005A344E">
      <w:pPr>
        <w:spacing w:before="0" w:after="0" w:line="240" w:lineRule="auto"/>
      </w:pPr>
      <w:r w:rsidRPr="005A344E">
        <w:br w:type="page"/>
      </w:r>
    </w:p>
    <w:tbl>
      <w:tblPr>
        <w:tblW w:w="13242" w:type="dxa"/>
        <w:tblInd w:w="18" w:type="dxa"/>
        <w:shd w:val="clear" w:color="auto" w:fill="FFFFFF"/>
        <w:tblCellMar>
          <w:left w:w="0" w:type="dxa"/>
          <w:right w:w="0" w:type="dxa"/>
        </w:tblCellMar>
        <w:tblLook w:val="04A0"/>
      </w:tblPr>
      <w:tblGrid>
        <w:gridCol w:w="1278"/>
        <w:gridCol w:w="3834"/>
        <w:gridCol w:w="2710"/>
        <w:gridCol w:w="2710"/>
        <w:gridCol w:w="2710"/>
      </w:tblGrid>
      <w:tr w:rsidR="005A344E" w:rsidRPr="005A344E" w:rsidTr="002E7568">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5A344E" w:rsidRPr="005A344E" w:rsidRDefault="005A344E" w:rsidP="005A344E">
            <w:pPr>
              <w:spacing w:before="40" w:after="120" w:line="240" w:lineRule="auto"/>
              <w:rPr>
                <w:b/>
              </w:rPr>
            </w:pPr>
            <w:r w:rsidRPr="005A344E">
              <w:rPr>
                <w:b/>
              </w:rPr>
              <w:t>CCS Standards: Language</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5A344E" w:rsidRPr="005A344E" w:rsidRDefault="005A344E" w:rsidP="005A344E">
            <w:pPr>
              <w:spacing w:before="40" w:after="120" w:line="240" w:lineRule="auto"/>
              <w:ind w:left="144"/>
              <w:rPr>
                <w:b/>
              </w:rPr>
            </w:pPr>
            <w:r w:rsidRPr="005A344E">
              <w:rPr>
                <w:b/>
              </w:rPr>
              <w:t>I am not familiar with this standard.</w:t>
            </w: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L.9-10.3.a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40"/>
            </w:pPr>
            <w:r w:rsidRPr="005A344E">
              <w:t xml:space="preserve">Apply knowledge of language to understand how language functions in different contexts, to make effective choices for meaning or style, and to comprehend more fully when reading or listening. </w:t>
            </w:r>
          </w:p>
          <w:p w:rsidR="005A344E" w:rsidRPr="005A344E" w:rsidRDefault="005A344E" w:rsidP="005A344E">
            <w:pPr>
              <w:numPr>
                <w:ilvl w:val="0"/>
                <w:numId w:val="45"/>
              </w:numPr>
              <w:spacing w:before="40" w:after="40"/>
            </w:pPr>
            <w:r w:rsidRPr="005A344E">
              <w:t xml:space="preserve">Write and edit work so that it conforms to the guidelines in a style manual (e.g., </w:t>
            </w:r>
            <w:r w:rsidRPr="005A344E">
              <w:rPr>
                <w:i/>
                <w:iCs/>
              </w:rPr>
              <w:t>MLA Handbook</w:t>
            </w:r>
            <w:r w:rsidRPr="005A344E">
              <w:t xml:space="preserve">, Turabian’s </w:t>
            </w:r>
            <w:r w:rsidRPr="005A344E">
              <w:rPr>
                <w:i/>
                <w:iCs/>
              </w:rPr>
              <w:t>Manual for Writers</w:t>
            </w:r>
            <w:r w:rsidRPr="005A344E">
              <w:t>) appropriate for the discipline and writing type.</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L.9-10.6</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40"/>
            </w:pPr>
            <w:r w:rsidRPr="005A344E">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r>
      <w:tr w:rsidR="005A344E" w:rsidRPr="005A344E" w:rsidTr="002E7568">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L.9-10.2.a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Demonstrate command of the conventions of standard English capitalization, punctuation, and spelling when writing.</w:t>
            </w:r>
          </w:p>
          <w:p w:rsidR="005A344E" w:rsidRPr="005A344E" w:rsidRDefault="005A344E" w:rsidP="005A344E">
            <w:pPr>
              <w:numPr>
                <w:ilvl w:val="0"/>
                <w:numId w:val="47"/>
              </w:numPr>
              <w:spacing w:before="40" w:after="40"/>
            </w:pPr>
            <w:r w:rsidRPr="005A344E">
              <w:t>Use a semicolon (and perhaps a conjunctive adverb) to link two or more closely related independent clauses.</w:t>
            </w: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r>
      <w:tr w:rsidR="005A344E" w:rsidRPr="005A344E" w:rsidTr="002E7568">
        <w:trPr>
          <w:cantSplit/>
        </w:trPr>
        <w:tc>
          <w:tcPr>
            <w:tcW w:w="1278" w:type="dxa"/>
            <w:tcBorders>
              <w:top w:val="single" w:sz="8" w:space="0" w:color="000000"/>
              <w:left w:val="single" w:sz="8" w:space="0" w:color="000000"/>
              <w:bottom w:val="single" w:sz="4" w:space="0" w:color="auto"/>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L.9-10.2.b</w:t>
            </w:r>
          </w:p>
        </w:tc>
        <w:tc>
          <w:tcPr>
            <w:tcW w:w="3834" w:type="dxa"/>
            <w:tcBorders>
              <w:top w:val="single" w:sz="8" w:space="0" w:color="000000"/>
              <w:left w:val="nil"/>
              <w:bottom w:val="single" w:sz="4" w:space="0" w:color="auto"/>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40"/>
            </w:pPr>
            <w:r w:rsidRPr="005A344E">
              <w:t>Demonstrate command of the conventions of standard English capitalization, punctuation, and spelling when writing.</w:t>
            </w:r>
          </w:p>
          <w:p w:rsidR="005A344E" w:rsidRPr="005A344E" w:rsidRDefault="005A344E" w:rsidP="005A344E">
            <w:pPr>
              <w:pStyle w:val="SubStandard"/>
              <w:numPr>
                <w:ilvl w:val="0"/>
                <w:numId w:val="47"/>
              </w:numPr>
            </w:pPr>
            <w:r w:rsidRPr="005A344E">
              <w:t>Use a colon to introduce a list or quotation.</w:t>
            </w:r>
          </w:p>
        </w:tc>
        <w:tc>
          <w:tcPr>
            <w:tcW w:w="2710" w:type="dxa"/>
            <w:tcBorders>
              <w:top w:val="single" w:sz="8" w:space="0" w:color="000000"/>
              <w:left w:val="nil"/>
              <w:bottom w:val="single" w:sz="4" w:space="0" w:color="auto"/>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single" w:sz="8" w:space="0" w:color="000000"/>
              <w:left w:val="nil"/>
              <w:bottom w:val="single" w:sz="4" w:space="0" w:color="auto"/>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single" w:sz="8" w:space="0" w:color="000000"/>
              <w:left w:val="nil"/>
              <w:bottom w:val="single" w:sz="4" w:space="0" w:color="auto"/>
              <w:right w:val="single" w:sz="8" w:space="0" w:color="000000"/>
            </w:tcBorders>
            <w:shd w:val="clear" w:color="auto" w:fill="FFFFFF"/>
          </w:tcPr>
          <w:p w:rsidR="005A344E" w:rsidRPr="005A344E" w:rsidRDefault="005A344E" w:rsidP="005A344E">
            <w:pPr>
              <w:spacing w:before="40" w:after="120" w:line="240" w:lineRule="auto"/>
              <w:rPr>
                <w:color w:val="000000"/>
              </w:rPr>
            </w:pPr>
          </w:p>
        </w:tc>
      </w:tr>
      <w:tr w:rsidR="005A344E" w:rsidRPr="005A344E" w:rsidTr="002E7568">
        <w:trPr>
          <w:cantSplit/>
        </w:trPr>
        <w:tc>
          <w:tcPr>
            <w:tcW w:w="12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120" w:line="240" w:lineRule="auto"/>
            </w:pPr>
            <w:r w:rsidRPr="005A344E">
              <w:t>L.9-10.2.c</w:t>
            </w:r>
          </w:p>
        </w:tc>
        <w:tc>
          <w:tcPr>
            <w:tcW w:w="3834" w:type="dxa"/>
            <w:tcBorders>
              <w:top w:val="single" w:sz="4" w:space="0" w:color="auto"/>
              <w:left w:val="nil"/>
              <w:bottom w:val="single" w:sz="8" w:space="0" w:color="000000"/>
              <w:right w:val="single" w:sz="8" w:space="0" w:color="000000"/>
            </w:tcBorders>
            <w:shd w:val="clear" w:color="auto" w:fill="FFFFFF"/>
            <w:tcMar>
              <w:top w:w="100" w:type="dxa"/>
              <w:left w:w="108" w:type="dxa"/>
              <w:bottom w:w="100" w:type="dxa"/>
              <w:right w:w="108" w:type="dxa"/>
            </w:tcMar>
          </w:tcPr>
          <w:p w:rsidR="005A344E" w:rsidRPr="005A344E" w:rsidRDefault="005A344E" w:rsidP="005A344E">
            <w:pPr>
              <w:spacing w:before="40" w:after="40"/>
            </w:pPr>
            <w:r w:rsidRPr="005A344E">
              <w:t>Demonstrate command of the conventions of standard English capitalization, punctuation, and spelling when writing.</w:t>
            </w:r>
          </w:p>
          <w:p w:rsidR="005A344E" w:rsidRPr="005A344E" w:rsidRDefault="005A344E" w:rsidP="005A344E">
            <w:pPr>
              <w:pStyle w:val="SubStandard"/>
              <w:numPr>
                <w:ilvl w:val="0"/>
                <w:numId w:val="47"/>
              </w:numPr>
              <w:rPr>
                <w:highlight w:val="white"/>
              </w:rPr>
            </w:pPr>
            <w:r w:rsidRPr="005A344E">
              <w:t>Spell correctly.</w:t>
            </w:r>
          </w:p>
        </w:tc>
        <w:tc>
          <w:tcPr>
            <w:tcW w:w="2710" w:type="dxa"/>
            <w:tcBorders>
              <w:top w:val="single" w:sz="4" w:space="0" w:color="auto"/>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single" w:sz="4" w:space="0" w:color="auto"/>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c>
          <w:tcPr>
            <w:tcW w:w="2710" w:type="dxa"/>
            <w:tcBorders>
              <w:top w:val="single" w:sz="4" w:space="0" w:color="auto"/>
              <w:left w:val="nil"/>
              <w:bottom w:val="single" w:sz="8" w:space="0" w:color="000000"/>
              <w:right w:val="single" w:sz="8" w:space="0" w:color="000000"/>
            </w:tcBorders>
            <w:shd w:val="clear" w:color="auto" w:fill="FFFFFF"/>
          </w:tcPr>
          <w:p w:rsidR="005A344E" w:rsidRPr="005A344E" w:rsidRDefault="005A344E" w:rsidP="005A344E">
            <w:pPr>
              <w:spacing w:before="40" w:after="120" w:line="240" w:lineRule="auto"/>
              <w:rPr>
                <w:color w:val="000000"/>
              </w:rPr>
            </w:pPr>
          </w:p>
        </w:tc>
      </w:tr>
    </w:tbl>
    <w:p w:rsidR="005A344E" w:rsidRDefault="005A344E">
      <w:pPr>
        <w:spacing w:before="0" w:after="0" w:line="240" w:lineRule="auto"/>
      </w:pPr>
    </w:p>
    <w:p w:rsidR="005A344E" w:rsidRDefault="005A344E">
      <w:pPr>
        <w:spacing w:before="0" w:after="0" w:line="240" w:lineRule="auto"/>
        <w:sectPr w:rsidR="005A344E" w:rsidSect="005A344E">
          <w:headerReference w:type="default" r:id="rId11"/>
          <w:footerReference w:type="default" r:id="rId12"/>
          <w:pgSz w:w="15840" w:h="12240" w:orient="landscape"/>
          <w:pgMar w:top="1440" w:right="1440" w:bottom="1440" w:left="1440" w:header="432" w:footer="648" w:gutter="0"/>
          <w:cols w:space="720"/>
          <w:docGrid w:linePitch="299"/>
        </w:sectPr>
      </w:pPr>
    </w:p>
    <w:p w:rsidR="004F6320" w:rsidRDefault="004F6320" w:rsidP="004F6320">
      <w:pPr>
        <w:pStyle w:val="ToolHeader"/>
      </w:pPr>
      <w:r>
        <w:t>Model Area Evaluation Checklist</w:t>
      </w:r>
    </w:p>
    <w:tbl>
      <w:tblPr>
        <w:tblStyle w:val="TableGrid"/>
        <w:tblW w:w="0" w:type="auto"/>
        <w:tblLook w:val="04A0"/>
      </w:tblPr>
      <w:tblGrid>
        <w:gridCol w:w="820"/>
        <w:gridCol w:w="2786"/>
        <w:gridCol w:w="732"/>
        <w:gridCol w:w="3045"/>
        <w:gridCol w:w="720"/>
        <w:gridCol w:w="1455"/>
      </w:tblGrid>
      <w:tr w:rsidR="004F6320" w:rsidRPr="00707670" w:rsidTr="00861F54">
        <w:trPr>
          <w:trHeight w:val="557"/>
        </w:trPr>
        <w:tc>
          <w:tcPr>
            <w:tcW w:w="820" w:type="dxa"/>
            <w:shd w:val="clear" w:color="auto" w:fill="D9D9D9" w:themeFill="background1" w:themeFillShade="D9"/>
            <w:vAlign w:val="center"/>
          </w:tcPr>
          <w:p w:rsidR="004F6320" w:rsidRPr="00707670" w:rsidRDefault="004F6320" w:rsidP="004F6320">
            <w:pPr>
              <w:pStyle w:val="TableText"/>
              <w:rPr>
                <w:b/>
              </w:rPr>
            </w:pPr>
            <w:r w:rsidRPr="00707670">
              <w:rPr>
                <w:b/>
              </w:rPr>
              <w:t>Name:</w:t>
            </w:r>
          </w:p>
        </w:tc>
        <w:tc>
          <w:tcPr>
            <w:tcW w:w="2786" w:type="dxa"/>
            <w:vAlign w:val="center"/>
          </w:tcPr>
          <w:p w:rsidR="004F6320" w:rsidRPr="00707670" w:rsidRDefault="004F6320" w:rsidP="004F6320">
            <w:pPr>
              <w:pStyle w:val="TableText"/>
              <w:rPr>
                <w:b/>
              </w:rPr>
            </w:pPr>
          </w:p>
        </w:tc>
        <w:tc>
          <w:tcPr>
            <w:tcW w:w="732" w:type="dxa"/>
            <w:shd w:val="clear" w:color="auto" w:fill="D9D9D9" w:themeFill="background1" w:themeFillShade="D9"/>
            <w:vAlign w:val="center"/>
          </w:tcPr>
          <w:p w:rsidR="004F6320" w:rsidRPr="00707670" w:rsidRDefault="004F6320" w:rsidP="004F6320">
            <w:pPr>
              <w:pStyle w:val="TableText"/>
              <w:rPr>
                <w:b/>
              </w:rPr>
            </w:pPr>
            <w:r w:rsidRPr="00707670">
              <w:rPr>
                <w:b/>
              </w:rPr>
              <w:t>Class:</w:t>
            </w:r>
          </w:p>
        </w:tc>
        <w:tc>
          <w:tcPr>
            <w:tcW w:w="3045" w:type="dxa"/>
            <w:vAlign w:val="center"/>
          </w:tcPr>
          <w:p w:rsidR="004F6320" w:rsidRPr="00707670" w:rsidRDefault="004F6320" w:rsidP="004F6320">
            <w:pPr>
              <w:pStyle w:val="TableText"/>
              <w:rPr>
                <w:b/>
              </w:rPr>
            </w:pPr>
          </w:p>
        </w:tc>
        <w:tc>
          <w:tcPr>
            <w:tcW w:w="720" w:type="dxa"/>
            <w:shd w:val="clear" w:color="auto" w:fill="D9D9D9" w:themeFill="background1" w:themeFillShade="D9"/>
            <w:vAlign w:val="center"/>
          </w:tcPr>
          <w:p w:rsidR="004F6320" w:rsidRPr="00707670" w:rsidRDefault="004F6320" w:rsidP="004F6320">
            <w:pPr>
              <w:pStyle w:val="TableText"/>
              <w:rPr>
                <w:b/>
              </w:rPr>
            </w:pPr>
            <w:r w:rsidRPr="00707670">
              <w:rPr>
                <w:b/>
              </w:rPr>
              <w:t>Date:</w:t>
            </w:r>
          </w:p>
        </w:tc>
        <w:tc>
          <w:tcPr>
            <w:tcW w:w="1455" w:type="dxa"/>
            <w:vAlign w:val="center"/>
          </w:tcPr>
          <w:p w:rsidR="004F6320" w:rsidRPr="00707670" w:rsidRDefault="004F6320" w:rsidP="004F6320">
            <w:pPr>
              <w:pStyle w:val="TableText"/>
              <w:rPr>
                <w:b/>
              </w:rPr>
            </w:pPr>
          </w:p>
        </w:tc>
      </w:tr>
    </w:tbl>
    <w:p w:rsidR="004F6320" w:rsidRPr="00646088" w:rsidRDefault="004F6320" w:rsidP="004F6320">
      <w:pPr>
        <w:spacing w:before="0" w:after="0"/>
        <w:rPr>
          <w:sz w:val="10"/>
        </w:rPr>
      </w:pPr>
    </w:p>
    <w:tbl>
      <w:tblPr>
        <w:tblStyle w:val="TableGrid"/>
        <w:tblW w:w="0" w:type="auto"/>
        <w:tblLook w:val="04A0"/>
      </w:tblPr>
      <w:tblGrid>
        <w:gridCol w:w="2268"/>
        <w:gridCol w:w="3690"/>
        <w:gridCol w:w="540"/>
        <w:gridCol w:w="3078"/>
      </w:tblGrid>
      <w:tr w:rsidR="005D48F6" w:rsidRPr="008E3195">
        <w:tc>
          <w:tcPr>
            <w:tcW w:w="5958" w:type="dxa"/>
            <w:gridSpan w:val="2"/>
            <w:shd w:val="clear" w:color="auto" w:fill="D9D9D9" w:themeFill="background1" w:themeFillShade="D9"/>
            <w:vAlign w:val="center"/>
          </w:tcPr>
          <w:p w:rsidR="004F6320" w:rsidRPr="008E3195" w:rsidRDefault="004F6320" w:rsidP="00565A51">
            <w:pPr>
              <w:pStyle w:val="ToolTableText"/>
            </w:pPr>
            <w:r w:rsidRPr="008E3195">
              <w:t>Area Evaluation Checklist</w:t>
            </w:r>
          </w:p>
        </w:tc>
        <w:tc>
          <w:tcPr>
            <w:tcW w:w="540" w:type="dxa"/>
            <w:shd w:val="clear" w:color="auto" w:fill="D9D9D9" w:themeFill="background1" w:themeFillShade="D9"/>
            <w:vAlign w:val="center"/>
          </w:tcPr>
          <w:p w:rsidR="004F6320" w:rsidRPr="008E3195" w:rsidRDefault="004F6320" w:rsidP="00565A51">
            <w:pPr>
              <w:pStyle w:val="ToolTableText"/>
            </w:pPr>
            <w:r w:rsidRPr="008E3195">
              <w:sym w:font="Wingdings" w:char="F0FC"/>
            </w:r>
          </w:p>
        </w:tc>
        <w:tc>
          <w:tcPr>
            <w:tcW w:w="3078" w:type="dxa"/>
            <w:shd w:val="clear" w:color="auto" w:fill="D9D9D9" w:themeFill="background1" w:themeFillShade="D9"/>
          </w:tcPr>
          <w:p w:rsidR="004F6320" w:rsidRPr="008E3195" w:rsidRDefault="004F6320" w:rsidP="00565A51">
            <w:pPr>
              <w:pStyle w:val="ToolTableText"/>
            </w:pPr>
            <w:r w:rsidRPr="008E3195">
              <w:t>Comments</w:t>
            </w:r>
          </w:p>
        </w:tc>
      </w:tr>
      <w:tr w:rsidR="005D48F6" w:rsidRPr="008E3195">
        <w:trPr>
          <w:trHeight w:val="1440"/>
        </w:trPr>
        <w:tc>
          <w:tcPr>
            <w:tcW w:w="2268" w:type="dxa"/>
          </w:tcPr>
          <w:p w:rsidR="004F6320" w:rsidRPr="00565A51" w:rsidRDefault="004F6320" w:rsidP="00565A51">
            <w:pPr>
              <w:pStyle w:val="ToolTableText"/>
              <w:rPr>
                <w:b/>
              </w:rPr>
            </w:pPr>
            <w:r w:rsidRPr="00565A51">
              <w:rPr>
                <w:b/>
              </w:rPr>
              <w:t>I. COHERENCE OF AREA</w:t>
            </w:r>
          </w:p>
          <w:p w:rsidR="004F6320" w:rsidRPr="008E3195" w:rsidRDefault="004F6320" w:rsidP="00565A51">
            <w:pPr>
              <w:pStyle w:val="ToolTableText"/>
            </w:pPr>
            <w:r w:rsidRPr="008E3195">
              <w:t xml:space="preserve">What is the </w:t>
            </w:r>
            <w:r w:rsidR="000D10A8" w:rsidRPr="008E3195">
              <w:t>area of investigation</w:t>
            </w:r>
            <w:r w:rsidRPr="008E3195">
              <w:t>?</w:t>
            </w:r>
          </w:p>
        </w:tc>
        <w:tc>
          <w:tcPr>
            <w:tcW w:w="3690" w:type="dxa"/>
          </w:tcPr>
          <w:p w:rsidR="004F6320" w:rsidRPr="008E3195" w:rsidRDefault="004F6320" w:rsidP="00565A51">
            <w:pPr>
              <w:pStyle w:val="ToolTableText"/>
            </w:pPr>
            <w:r w:rsidRPr="008E3195">
              <w:t xml:space="preserve">The researcher can speak and write about the </w:t>
            </w:r>
            <w:r w:rsidR="000D10A8" w:rsidRPr="008E3195">
              <w:t>area of investigation</w:t>
            </w:r>
            <w:r w:rsidRPr="008E3195">
              <w:t xml:space="preserve"> in a way that makes sense to others and is clearly understood. </w:t>
            </w:r>
          </w:p>
        </w:tc>
        <w:tc>
          <w:tcPr>
            <w:tcW w:w="540" w:type="dxa"/>
            <w:vAlign w:val="center"/>
          </w:tcPr>
          <w:p w:rsidR="004F6320" w:rsidRPr="008E3195" w:rsidRDefault="004F6320" w:rsidP="00565A51">
            <w:pPr>
              <w:pStyle w:val="ToolTableText"/>
            </w:pPr>
            <w:r w:rsidRPr="008E3195">
              <w:rPr>
                <w:rFonts w:ascii="Courier New" w:hAnsi="Courier New" w:cs="Courier New"/>
              </w:rPr>
              <w:t>□</w:t>
            </w:r>
          </w:p>
        </w:tc>
        <w:tc>
          <w:tcPr>
            <w:tcW w:w="3078" w:type="dxa"/>
          </w:tcPr>
          <w:p w:rsidR="004F6320" w:rsidRPr="00565A51" w:rsidRDefault="004F6320" w:rsidP="00565A51">
            <w:pPr>
              <w:pStyle w:val="ToolTableText"/>
              <w:rPr>
                <w:rFonts w:ascii="Segoe Print" w:hAnsi="Segoe Print"/>
              </w:rPr>
            </w:pPr>
            <w:r w:rsidRPr="00565A51">
              <w:t>Ownership of and control over how tissue is used once it is removed from the body</w:t>
            </w:r>
          </w:p>
        </w:tc>
      </w:tr>
      <w:tr w:rsidR="005D48F6" w:rsidRPr="008E3195">
        <w:trPr>
          <w:trHeight w:val="1440"/>
        </w:trPr>
        <w:tc>
          <w:tcPr>
            <w:tcW w:w="2268" w:type="dxa"/>
          </w:tcPr>
          <w:p w:rsidR="004F6320" w:rsidRPr="00565A51" w:rsidRDefault="004F6320" w:rsidP="00565A51">
            <w:pPr>
              <w:pStyle w:val="ToolTableText"/>
              <w:rPr>
                <w:b/>
              </w:rPr>
            </w:pPr>
            <w:r w:rsidRPr="00565A51">
              <w:rPr>
                <w:b/>
              </w:rPr>
              <w:t>II. SCOPE OF AREA</w:t>
            </w:r>
          </w:p>
          <w:p w:rsidR="004F6320" w:rsidRPr="008E3195" w:rsidRDefault="004F6320" w:rsidP="00565A51">
            <w:pPr>
              <w:pStyle w:val="ToolTableText"/>
            </w:pPr>
            <w:r w:rsidRPr="008E3195">
              <w:t xml:space="preserve">What do </w:t>
            </w:r>
            <w:r w:rsidR="00C45907" w:rsidRPr="008E3195">
              <w:t>you</w:t>
            </w:r>
            <w:r w:rsidRPr="008E3195">
              <w:t xml:space="preserve"> need to know to gain an understanding of the </w:t>
            </w:r>
            <w:r w:rsidR="00A67DDE" w:rsidRPr="008E3195">
              <w:t>a</w:t>
            </w:r>
            <w:r w:rsidR="005D48F6" w:rsidRPr="008E3195">
              <w:t>rea</w:t>
            </w:r>
            <w:r w:rsidR="000D10A8" w:rsidRPr="008E3195">
              <w:t xml:space="preserve"> of investigation</w:t>
            </w:r>
            <w:r w:rsidRPr="008E3195">
              <w:t xml:space="preserve">? </w:t>
            </w:r>
          </w:p>
        </w:tc>
        <w:tc>
          <w:tcPr>
            <w:tcW w:w="3690" w:type="dxa"/>
          </w:tcPr>
          <w:p w:rsidR="004F6320" w:rsidRPr="008E3195" w:rsidRDefault="004F6320" w:rsidP="00565A51">
            <w:pPr>
              <w:pStyle w:val="ToolTableText"/>
            </w:pPr>
            <w:r w:rsidRPr="008E3195">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r w:rsidR="008E3195">
              <w:t>.</w:t>
            </w:r>
          </w:p>
        </w:tc>
        <w:tc>
          <w:tcPr>
            <w:tcW w:w="540" w:type="dxa"/>
            <w:vAlign w:val="center"/>
          </w:tcPr>
          <w:p w:rsidR="004F6320" w:rsidRPr="008E3195" w:rsidRDefault="004F6320" w:rsidP="00565A51">
            <w:pPr>
              <w:pStyle w:val="ToolTableText"/>
            </w:pPr>
            <w:r w:rsidRPr="008E3195">
              <w:rPr>
                <w:rFonts w:ascii="Courier New" w:hAnsi="Courier New" w:cs="Courier New"/>
              </w:rPr>
              <w:t>□</w:t>
            </w:r>
          </w:p>
        </w:tc>
        <w:tc>
          <w:tcPr>
            <w:tcW w:w="3078" w:type="dxa"/>
          </w:tcPr>
          <w:p w:rsidR="004F6320" w:rsidRPr="00565A51" w:rsidRDefault="005D48F6" w:rsidP="00565A51">
            <w:pPr>
              <w:pStyle w:val="ToolTableText"/>
            </w:pPr>
            <w:r w:rsidRPr="00565A51">
              <w:t>Q</w:t>
            </w:r>
            <w:r w:rsidR="00A75E4B" w:rsidRPr="00565A51">
              <w:t xml:space="preserve">uite a few questions would work for this </w:t>
            </w:r>
            <w:r w:rsidR="000D10A8" w:rsidRPr="00565A51">
              <w:t>area of investigation</w:t>
            </w:r>
            <w:r w:rsidRPr="00565A51">
              <w:t>,</w:t>
            </w:r>
            <w:r w:rsidR="00A75E4B" w:rsidRPr="00565A51">
              <w:t xml:space="preserve"> including</w:t>
            </w:r>
            <w:r w:rsidRPr="00565A51">
              <w:t xml:space="preserve">: </w:t>
            </w:r>
            <w:r w:rsidR="00A75E4B" w:rsidRPr="00565A51">
              <w:t xml:space="preserve">What happens to tissue once it is removed from the body? When do patients relinquish the right to their tissue? </w:t>
            </w:r>
          </w:p>
        </w:tc>
      </w:tr>
      <w:tr w:rsidR="005D48F6" w:rsidRPr="008E3195">
        <w:trPr>
          <w:trHeight w:val="1440"/>
        </w:trPr>
        <w:tc>
          <w:tcPr>
            <w:tcW w:w="2268" w:type="dxa"/>
          </w:tcPr>
          <w:p w:rsidR="004F6320" w:rsidRPr="00565A51" w:rsidRDefault="004F6320" w:rsidP="00565A51">
            <w:pPr>
              <w:pStyle w:val="ToolTableText"/>
              <w:rPr>
                <w:b/>
              </w:rPr>
            </w:pPr>
            <w:r w:rsidRPr="00565A51">
              <w:rPr>
                <w:b/>
              </w:rPr>
              <w:t>III. RELEVANCE OF AREA TO ARGUMENT</w:t>
            </w:r>
          </w:p>
          <w:p w:rsidR="004F6320" w:rsidRPr="008E3195" w:rsidRDefault="004F6320" w:rsidP="00565A51">
            <w:pPr>
              <w:pStyle w:val="ToolTableText"/>
            </w:pPr>
            <w:r w:rsidRPr="008E3195">
              <w:t xml:space="preserve">Are there multiple claims that compose the </w:t>
            </w:r>
            <w:r w:rsidR="000D10A8" w:rsidRPr="008E3195">
              <w:t>area of investigation</w:t>
            </w:r>
            <w:r w:rsidRPr="008E3195">
              <w:t>?</w:t>
            </w:r>
          </w:p>
        </w:tc>
        <w:tc>
          <w:tcPr>
            <w:tcW w:w="3690" w:type="dxa"/>
          </w:tcPr>
          <w:p w:rsidR="004F6320" w:rsidRPr="008E3195" w:rsidRDefault="00C80DFD" w:rsidP="00565A51">
            <w:pPr>
              <w:pStyle w:val="ToolTableText"/>
            </w:pPr>
            <w:r w:rsidRPr="008E3195">
              <w:t xml:space="preserve">The </w:t>
            </w:r>
            <w:r w:rsidR="000D10A8" w:rsidRPr="008E3195">
              <w:t>a</w:t>
            </w:r>
            <w:r w:rsidRPr="008E3195">
              <w:t xml:space="preserve">rea of </w:t>
            </w:r>
            <w:r w:rsidR="000D10A8" w:rsidRPr="008E3195">
              <w:t>i</w:t>
            </w:r>
            <w:r w:rsidRPr="008E3195">
              <w:t>nvestigation is relevant to an argument because multiple claims can be made about that area of investigation.</w:t>
            </w:r>
          </w:p>
        </w:tc>
        <w:tc>
          <w:tcPr>
            <w:tcW w:w="540" w:type="dxa"/>
            <w:vAlign w:val="center"/>
          </w:tcPr>
          <w:p w:rsidR="004F6320" w:rsidRPr="008E3195" w:rsidRDefault="004F6320" w:rsidP="00565A51">
            <w:pPr>
              <w:pStyle w:val="ToolTableText"/>
            </w:pPr>
            <w:r w:rsidRPr="008E3195">
              <w:rPr>
                <w:rFonts w:ascii="Courier New" w:hAnsi="Courier New" w:cs="Courier New"/>
              </w:rPr>
              <w:t>□</w:t>
            </w:r>
          </w:p>
        </w:tc>
        <w:tc>
          <w:tcPr>
            <w:tcW w:w="3078" w:type="dxa"/>
          </w:tcPr>
          <w:p w:rsidR="004F6320" w:rsidRPr="00565A51" w:rsidRDefault="004F6320" w:rsidP="00565A51">
            <w:pPr>
              <w:pStyle w:val="ToolTableText"/>
            </w:pPr>
            <w:r w:rsidRPr="00565A51">
              <w:t xml:space="preserve">There are several </w:t>
            </w:r>
            <w:r w:rsidR="00D70E77" w:rsidRPr="00565A51">
              <w:t xml:space="preserve">claims </w:t>
            </w:r>
            <w:r w:rsidRPr="00565A51">
              <w:t>about tissue ownership. Some think that researchers should own it, and some think that ownership should revert to the patient.</w:t>
            </w:r>
          </w:p>
        </w:tc>
      </w:tr>
      <w:tr w:rsidR="005D48F6" w:rsidRPr="008E3195">
        <w:trPr>
          <w:trHeight w:val="1440"/>
        </w:trPr>
        <w:tc>
          <w:tcPr>
            <w:tcW w:w="2268" w:type="dxa"/>
          </w:tcPr>
          <w:p w:rsidR="004F6320" w:rsidRPr="00565A51" w:rsidRDefault="004F6320" w:rsidP="00565A51">
            <w:pPr>
              <w:pStyle w:val="ToolTableText"/>
              <w:rPr>
                <w:b/>
              </w:rPr>
            </w:pPr>
            <w:r w:rsidRPr="00565A51">
              <w:rPr>
                <w:b/>
              </w:rPr>
              <w:t>IV. INTEREST IN AREA</w:t>
            </w:r>
          </w:p>
          <w:p w:rsidR="004F6320" w:rsidRPr="008E3195" w:rsidRDefault="004F6320" w:rsidP="00565A51">
            <w:pPr>
              <w:pStyle w:val="ToolTableText"/>
            </w:pPr>
            <w:r w:rsidRPr="008E3195">
              <w:t xml:space="preserve">Why are you interested in this </w:t>
            </w:r>
            <w:r w:rsidR="000D10A8" w:rsidRPr="008E3195">
              <w:t>area of investigation</w:t>
            </w:r>
            <w:r w:rsidRPr="008E3195">
              <w:t xml:space="preserve">? </w:t>
            </w:r>
          </w:p>
        </w:tc>
        <w:tc>
          <w:tcPr>
            <w:tcW w:w="3690" w:type="dxa"/>
          </w:tcPr>
          <w:p w:rsidR="004F6320" w:rsidRPr="008E3195" w:rsidRDefault="004F6320" w:rsidP="00565A51">
            <w:pPr>
              <w:pStyle w:val="ToolTableText"/>
            </w:pPr>
            <w:r w:rsidRPr="008E3195">
              <w:t xml:space="preserve">The researcher is able to communicate genuine interest in the </w:t>
            </w:r>
            <w:r w:rsidR="000D10A8" w:rsidRPr="008E3195">
              <w:t>area of investigation</w:t>
            </w:r>
            <w:r w:rsidRPr="008E3195">
              <w:t>. Gaining an understanding of the area would be valuable for the student.</w:t>
            </w:r>
          </w:p>
        </w:tc>
        <w:tc>
          <w:tcPr>
            <w:tcW w:w="540" w:type="dxa"/>
            <w:vAlign w:val="center"/>
          </w:tcPr>
          <w:p w:rsidR="004F6320" w:rsidRPr="008E3195" w:rsidRDefault="004F6320" w:rsidP="00565A51">
            <w:pPr>
              <w:pStyle w:val="ToolTableText"/>
            </w:pPr>
            <w:r w:rsidRPr="008E3195">
              <w:rPr>
                <w:rFonts w:ascii="Courier New" w:hAnsi="Courier New" w:cs="Courier New"/>
              </w:rPr>
              <w:t>□</w:t>
            </w:r>
          </w:p>
        </w:tc>
        <w:tc>
          <w:tcPr>
            <w:tcW w:w="3078" w:type="dxa"/>
          </w:tcPr>
          <w:p w:rsidR="004F6320" w:rsidRPr="00565A51" w:rsidRDefault="004F6320" w:rsidP="00565A51">
            <w:pPr>
              <w:pStyle w:val="ToolTableText"/>
            </w:pPr>
            <w:r w:rsidRPr="00565A51">
              <w:t>My mother had surgery and I wonder what happened to her tissues. I think this is a common situation for many people and these questions need to be asked.</w:t>
            </w:r>
          </w:p>
        </w:tc>
      </w:tr>
    </w:tbl>
    <w:p w:rsidR="004F6320" w:rsidRDefault="004F6320" w:rsidP="00565A51">
      <w:pPr>
        <w:spacing w:after="60"/>
      </w:pPr>
      <w:r w:rsidRPr="006A02BF">
        <w:t xml:space="preserve">Evaluate the strength of your selected </w:t>
      </w:r>
      <w:r w:rsidR="000D10A8" w:rsidRPr="006A02BF">
        <w:t>area of investigation</w:t>
      </w:r>
      <w:r w:rsidRPr="006A02BF">
        <w:t xml:space="preserve">. </w:t>
      </w:r>
      <w:r w:rsidR="005D48F6" w:rsidRPr="006A02BF">
        <w:t xml:space="preserve">Explain </w:t>
      </w:r>
      <w:r w:rsidRPr="006A02BF">
        <w:t xml:space="preserve">whether you plan to use this as your final topic and </w:t>
      </w:r>
      <w:r w:rsidR="00A5012B" w:rsidRPr="006A02BF">
        <w:t xml:space="preserve">explain </w:t>
      </w:r>
      <w:r w:rsidRPr="006A02BF">
        <w:t>why or why not.</w:t>
      </w:r>
    </w:p>
    <w:tbl>
      <w:tblPr>
        <w:tblStyle w:val="TableGrid"/>
        <w:tblW w:w="0" w:type="auto"/>
        <w:tblLook w:val="04A0"/>
      </w:tblPr>
      <w:tblGrid>
        <w:gridCol w:w="9576"/>
      </w:tblGrid>
      <w:tr w:rsidR="00565A51" w:rsidTr="00565A51">
        <w:trPr>
          <w:trHeight w:val="1080"/>
        </w:trPr>
        <w:tc>
          <w:tcPr>
            <w:tcW w:w="9576" w:type="dxa"/>
          </w:tcPr>
          <w:p w:rsidR="00565A51" w:rsidRPr="00565A51" w:rsidRDefault="00565A51" w:rsidP="00565A51">
            <w:pPr>
              <w:spacing w:after="0"/>
            </w:pPr>
            <w:r w:rsidRPr="00565A51">
              <w:t xml:space="preserve">I plan to use this as my final topic because I have found many perspectives and claims on this issue and there are many questions that need to be answered about this topic. Also, the area of investigation is related to the larger topics surfaced in the Skloot text and I am very interested in learning more about the issue because it does not have a defined answer at this point. </w:t>
            </w:r>
          </w:p>
        </w:tc>
      </w:tr>
    </w:tbl>
    <w:p w:rsidR="002670B3" w:rsidRPr="008E3195" w:rsidRDefault="00ED7EE9" w:rsidP="008E3195">
      <w:pPr>
        <w:spacing w:after="0"/>
        <w:rPr>
          <w:i/>
        </w:rPr>
      </w:pPr>
      <w:r w:rsidRPr="002670B3">
        <w:rPr>
          <w:color w:val="222222"/>
          <w:sz w:val="18"/>
          <w:szCs w:val="28"/>
          <w:shd w:val="clear" w:color="auto" w:fill="FFFFFF"/>
          <w:lang w:eastAsia="fr-FR"/>
        </w:rPr>
        <w:t xml:space="preserve">From </w:t>
      </w:r>
      <w:r>
        <w:rPr>
          <w:color w:val="222222"/>
          <w:sz w:val="18"/>
          <w:szCs w:val="28"/>
          <w:shd w:val="clear" w:color="auto" w:fill="FFFFFF"/>
          <w:lang w:eastAsia="fr-FR"/>
        </w:rPr>
        <w:t>Area Evaluation Checklist</w:t>
      </w:r>
      <w:r w:rsidRPr="002670B3">
        <w:rPr>
          <w:color w:val="222222"/>
          <w:sz w:val="18"/>
          <w:szCs w:val="28"/>
          <w:shd w:val="clear" w:color="auto" w:fill="FFFFFF"/>
          <w:lang w:eastAsia="fr-FR"/>
        </w:rPr>
        <w:t>, by Odell Education,</w:t>
      </w:r>
      <w:r w:rsidRPr="002670B3">
        <w:rPr>
          <w:color w:val="222222"/>
          <w:sz w:val="18"/>
          <w:lang w:eastAsia="fr-FR"/>
        </w:rPr>
        <w:t> </w:t>
      </w:r>
      <w:hyperlink r:id="rId13" w:tgtFrame="_blank" w:history="1">
        <w:r w:rsidRPr="002670B3">
          <w:rPr>
            <w:color w:val="1155CC"/>
            <w:sz w:val="18"/>
            <w:u w:val="single"/>
            <w:lang w:eastAsia="fr-FR"/>
          </w:rPr>
          <w:t>www.odelleducation.com</w:t>
        </w:r>
      </w:hyperlink>
      <w:r w:rsidRPr="002670B3">
        <w:rPr>
          <w:color w:val="222222"/>
          <w:sz w:val="18"/>
          <w:szCs w:val="28"/>
          <w:shd w:val="clear" w:color="auto" w:fill="FFFFFF"/>
          <w:lang w:eastAsia="fr-FR"/>
        </w:rPr>
        <w:t>. Copyright (2012) by Odell Education. Modified in partnership with permission under an Attribution-NonCommercial 3.0 Unported license</w:t>
      </w:r>
      <w:r w:rsidRPr="00ED7EE9">
        <w:rPr>
          <w:sz w:val="18"/>
        </w:rPr>
        <w:t xml:space="preserve">: </w:t>
      </w:r>
      <w:hyperlink r:id="rId14" w:history="1">
        <w:r w:rsidRPr="00ED7EE9">
          <w:rPr>
            <w:rStyle w:val="Hyperlink"/>
            <w:sz w:val="18"/>
          </w:rPr>
          <w:t>http://creativecommons.org/licenses/by-nc/3.0/</w:t>
        </w:r>
      </w:hyperlink>
      <w:r w:rsidRPr="00ED7EE9">
        <w:rPr>
          <w:rStyle w:val="Hyperlink"/>
          <w:color w:val="auto"/>
          <w:sz w:val="18"/>
          <w:u w:val="none"/>
        </w:rPr>
        <w:t>.</w:t>
      </w:r>
    </w:p>
    <w:sectPr w:rsidR="002670B3" w:rsidRPr="008E3195" w:rsidSect="004713C2">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8F" w:rsidRDefault="00FB248F" w:rsidP="00E946A0">
      <w:r>
        <w:separator/>
      </w:r>
    </w:p>
    <w:p w:rsidR="00FB248F" w:rsidRDefault="00FB248F" w:rsidP="00E946A0"/>
  </w:endnote>
  <w:endnote w:type="continuationSeparator" w:id="0">
    <w:p w:rsidR="00FB248F" w:rsidRDefault="00FB248F" w:rsidP="00E946A0">
      <w:r>
        <w:continuationSeparator/>
      </w:r>
    </w:p>
    <w:p w:rsidR="00FB248F" w:rsidRDefault="00FB248F"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7DA67D84-C7CD-46FA-B2F1-799E3F31314F}"/>
  </w:font>
  <w:font w:name="Courier New">
    <w:panose1 w:val="02070309020205020404"/>
    <w:charset w:val="00"/>
    <w:family w:val="modern"/>
    <w:pitch w:val="fixed"/>
    <w:sig w:usb0="E0002AFF" w:usb1="C0007843" w:usb2="00000009" w:usb3="00000000" w:csb0="000001FF" w:csb1="00000000"/>
    <w:embedRegular r:id="rId2" w:subsetted="1" w:fontKey="{C53A7BE8-47C0-4C88-A456-4392C5454EFE}"/>
  </w:font>
  <w:font w:name="Wingdings">
    <w:panose1 w:val="05000000000000000000"/>
    <w:charset w:val="02"/>
    <w:family w:val="auto"/>
    <w:pitch w:val="variable"/>
    <w:sig w:usb0="00000000" w:usb1="10000000" w:usb2="00000000" w:usb3="00000000" w:csb0="80000000" w:csb1="00000000"/>
    <w:embedRegular r:id="rId3" w:subsetted="1" w:fontKey="{252F8E7C-EFEC-42BE-95DF-620912E1A09F}"/>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4" w:subsetted="1" w:fontKey="{8A3CA02B-3CCE-4BB6-B0FF-7F31E8E78E37}"/>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embedRegular r:id="rId5" w:subsetted="1" w:fontKey="{B6C547D9-0EB4-49C6-93AD-DD42D7FCC5FD}"/>
  </w:font>
  <w:font w:name="Segoe Print">
    <w:panose1 w:val="02000600000000000000"/>
    <w:charset w:val="00"/>
    <w:family w:val="auto"/>
    <w:pitch w:val="variable"/>
    <w:sig w:usb0="0000028F"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E" w:rsidRDefault="002C4500" w:rsidP="00E946A0">
    <w:pPr>
      <w:pStyle w:val="Footer"/>
      <w:rPr>
        <w:rStyle w:val="PageNumber"/>
        <w:rFonts w:ascii="Calibri" w:hAnsi="Calibri"/>
        <w:sz w:val="22"/>
      </w:rPr>
    </w:pPr>
    <w:r>
      <w:rPr>
        <w:rStyle w:val="PageNumber"/>
      </w:rPr>
      <w:fldChar w:fldCharType="begin"/>
    </w:r>
    <w:r w:rsidR="00A67DDE">
      <w:rPr>
        <w:rStyle w:val="PageNumber"/>
      </w:rPr>
      <w:instrText xml:space="preserve">PAGE  </w:instrText>
    </w:r>
    <w:r>
      <w:rPr>
        <w:rStyle w:val="PageNumber"/>
      </w:rPr>
      <w:fldChar w:fldCharType="end"/>
    </w:r>
  </w:p>
  <w:p w:rsidR="00A67DDE" w:rsidRDefault="00A67DDE" w:rsidP="00E946A0">
    <w:pPr>
      <w:pStyle w:val="Footer"/>
    </w:pPr>
  </w:p>
  <w:p w:rsidR="00A67DDE" w:rsidRDefault="00A67DDE" w:rsidP="00E946A0"/>
  <w:p w:rsidR="00A67DDE" w:rsidRDefault="00A67DD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DE" w:rsidRPr="00563CB8" w:rsidRDefault="00A67DD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67DDE">
      <w:trPr>
        <w:trHeight w:val="705"/>
      </w:trPr>
      <w:tc>
        <w:tcPr>
          <w:tcW w:w="4609" w:type="dxa"/>
          <w:shd w:val="clear" w:color="auto" w:fill="auto"/>
          <w:vAlign w:val="center"/>
        </w:tcPr>
        <w:p w:rsidR="00A67DDE" w:rsidRPr="002E4C92" w:rsidRDefault="00A67DDE"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w:t>
          </w:r>
          <w:r w:rsidRPr="0039525B">
            <w:rPr>
              <w:b w:val="0"/>
            </w:rPr>
            <w:t>/</w:t>
          </w:r>
          <w:r>
            <w:rPr>
              <w:b w:val="0"/>
            </w:rPr>
            <w:t>1</w:t>
          </w:r>
          <w:r w:rsidR="00CA7EE0">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A67DDE" w:rsidRPr="0039525B" w:rsidRDefault="00A67DD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67DDE" w:rsidRPr="0039525B" w:rsidRDefault="00A67DDE" w:rsidP="004F2969">
          <w:pPr>
            <w:pStyle w:val="FooterText"/>
            <w:rPr>
              <w:b w:val="0"/>
              <w:i/>
            </w:rPr>
          </w:pPr>
          <w:r w:rsidRPr="0039525B">
            <w:rPr>
              <w:b w:val="0"/>
              <w:i/>
              <w:sz w:val="12"/>
            </w:rPr>
            <w:t>Creative Commons Attribution-NonCommercial-ShareAlike 3.0 Unported License</w:t>
          </w:r>
        </w:p>
        <w:p w:rsidR="00A67DDE" w:rsidRPr="002E4C92" w:rsidRDefault="002C4500" w:rsidP="004F2969">
          <w:pPr>
            <w:pStyle w:val="FooterText"/>
          </w:pPr>
          <w:hyperlink r:id="rId1" w:history="1">
            <w:r w:rsidR="00A67DD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67DDE" w:rsidRPr="002E4C92" w:rsidRDefault="002C450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67DD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35B4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67DDE" w:rsidRPr="002E4C92" w:rsidRDefault="00A67DD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67DDE" w:rsidRPr="0039525B" w:rsidRDefault="00A67DDE"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4E" w:rsidRPr="00563CB8" w:rsidRDefault="005A344E" w:rsidP="004F2969">
    <w:pPr>
      <w:spacing w:before="0" w:after="0" w:line="240" w:lineRule="auto"/>
      <w:rPr>
        <w:sz w:val="14"/>
      </w:rPr>
    </w:pPr>
  </w:p>
  <w:tbl>
    <w:tblPr>
      <w:tblW w:w="5027" w:type="pct"/>
      <w:tblBorders>
        <w:top w:val="single" w:sz="8" w:space="0" w:color="244061"/>
      </w:tblBorders>
      <w:tblLook w:val="04A0"/>
    </w:tblPr>
    <w:tblGrid>
      <w:gridCol w:w="6316"/>
      <w:gridCol w:w="852"/>
      <w:gridCol w:w="6079"/>
    </w:tblGrid>
    <w:tr w:rsidR="005A344E" w:rsidTr="005A344E">
      <w:trPr>
        <w:trHeight w:val="705"/>
      </w:trPr>
      <w:tc>
        <w:tcPr>
          <w:tcW w:w="6317" w:type="dxa"/>
          <w:shd w:val="clear" w:color="auto" w:fill="auto"/>
          <w:vAlign w:val="center"/>
        </w:tcPr>
        <w:p w:rsidR="005A344E" w:rsidRPr="002E4C92" w:rsidRDefault="005A344E"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w:t>
          </w:r>
          <w:r w:rsidRPr="0039525B">
            <w:rPr>
              <w:b w:val="0"/>
            </w:rPr>
            <w:t>/</w:t>
          </w:r>
          <w:r w:rsidR="00CA7EE0">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5A344E" w:rsidRPr="0039525B" w:rsidRDefault="005A344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A344E" w:rsidRPr="0039525B" w:rsidRDefault="005A344E" w:rsidP="004F2969">
          <w:pPr>
            <w:pStyle w:val="FooterText"/>
            <w:rPr>
              <w:b w:val="0"/>
              <w:i/>
            </w:rPr>
          </w:pPr>
          <w:r w:rsidRPr="0039525B">
            <w:rPr>
              <w:b w:val="0"/>
              <w:i/>
              <w:sz w:val="12"/>
            </w:rPr>
            <w:t>Creative Commons Attribution-NonCommercial-ShareAlike 3.0 Unported License</w:t>
          </w:r>
        </w:p>
        <w:p w:rsidR="005A344E" w:rsidRPr="002E4C92" w:rsidRDefault="002C4500" w:rsidP="004F2969">
          <w:pPr>
            <w:pStyle w:val="FooterText"/>
          </w:pPr>
          <w:hyperlink r:id="rId1" w:history="1">
            <w:r w:rsidR="005A344E" w:rsidRPr="0054791C">
              <w:rPr>
                <w:rStyle w:val="Hyperlink"/>
                <w:rFonts w:asciiTheme="minorHAnsi" w:hAnsiTheme="minorHAnsi" w:cstheme="minorHAnsi"/>
                <w:sz w:val="12"/>
                <w:szCs w:val="12"/>
              </w:rPr>
              <w:t>http://creativecommons.org/licenses/by-nc-sa/3.0/</w:t>
            </w:r>
          </w:hyperlink>
        </w:p>
      </w:tc>
      <w:tc>
        <w:tcPr>
          <w:tcW w:w="852" w:type="dxa"/>
          <w:shd w:val="clear" w:color="auto" w:fill="auto"/>
          <w:vAlign w:val="center"/>
        </w:tcPr>
        <w:p w:rsidR="005A344E" w:rsidRPr="002E4C92" w:rsidRDefault="002C450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A344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A7EE0">
            <w:rPr>
              <w:rFonts w:ascii="Calibri" w:hAnsi="Calibri" w:cs="Calibri"/>
              <w:b/>
              <w:noProof/>
              <w:color w:val="1F4E79"/>
              <w:sz w:val="28"/>
            </w:rPr>
            <w:t>23</w:t>
          </w:r>
          <w:r w:rsidRPr="002E4C92">
            <w:rPr>
              <w:rFonts w:ascii="Calibri" w:hAnsi="Calibri" w:cs="Calibri"/>
              <w:b/>
              <w:color w:val="1F4E79"/>
              <w:sz w:val="28"/>
            </w:rPr>
            <w:fldChar w:fldCharType="end"/>
          </w:r>
        </w:p>
      </w:tc>
      <w:tc>
        <w:tcPr>
          <w:tcW w:w="6079" w:type="dxa"/>
          <w:shd w:val="clear" w:color="auto" w:fill="auto"/>
          <w:vAlign w:val="bottom"/>
        </w:tcPr>
        <w:p w:rsidR="005A344E" w:rsidRPr="002E4C92" w:rsidRDefault="005A344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A344E" w:rsidRPr="0039525B" w:rsidRDefault="005A344E"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4E" w:rsidRPr="00563CB8" w:rsidRDefault="005A344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A344E">
      <w:trPr>
        <w:trHeight w:val="705"/>
      </w:trPr>
      <w:tc>
        <w:tcPr>
          <w:tcW w:w="4609" w:type="dxa"/>
          <w:shd w:val="clear" w:color="auto" w:fill="auto"/>
          <w:vAlign w:val="center"/>
        </w:tcPr>
        <w:p w:rsidR="005A344E" w:rsidRPr="002E4C92" w:rsidRDefault="005A344E"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4</w:t>
          </w:r>
          <w:r w:rsidRPr="0039525B">
            <w:rPr>
              <w:b w:val="0"/>
            </w:rPr>
            <w:t>/</w:t>
          </w:r>
          <w:r>
            <w:rPr>
              <w:b w:val="0"/>
            </w:rPr>
            <w:t>1</w:t>
          </w:r>
          <w:r w:rsidR="00CA7EE0">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5A344E" w:rsidRPr="0039525B" w:rsidRDefault="005A344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A344E" w:rsidRPr="0039525B" w:rsidRDefault="005A344E" w:rsidP="004F2969">
          <w:pPr>
            <w:pStyle w:val="FooterText"/>
            <w:rPr>
              <w:b w:val="0"/>
              <w:i/>
            </w:rPr>
          </w:pPr>
          <w:r w:rsidRPr="0039525B">
            <w:rPr>
              <w:b w:val="0"/>
              <w:i/>
              <w:sz w:val="12"/>
            </w:rPr>
            <w:t>Creative Commons Attribution-NonCommercial-ShareAlike 3.0 Unported License</w:t>
          </w:r>
        </w:p>
        <w:p w:rsidR="005A344E" w:rsidRPr="002E4C92" w:rsidRDefault="002C4500" w:rsidP="004F2969">
          <w:pPr>
            <w:pStyle w:val="FooterText"/>
          </w:pPr>
          <w:hyperlink r:id="rId1" w:history="1">
            <w:r w:rsidR="005A344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A344E" w:rsidRPr="002E4C92" w:rsidRDefault="002C450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A344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A7EE0">
            <w:rPr>
              <w:rFonts w:ascii="Calibri" w:hAnsi="Calibri" w:cs="Calibri"/>
              <w:b/>
              <w:noProof/>
              <w:color w:val="1F4E79"/>
              <w:sz w:val="28"/>
            </w:rPr>
            <w:t>24</w:t>
          </w:r>
          <w:r w:rsidRPr="002E4C92">
            <w:rPr>
              <w:rFonts w:ascii="Calibri" w:hAnsi="Calibri" w:cs="Calibri"/>
              <w:b/>
              <w:color w:val="1F4E79"/>
              <w:sz w:val="28"/>
            </w:rPr>
            <w:fldChar w:fldCharType="end"/>
          </w:r>
        </w:p>
      </w:tc>
      <w:tc>
        <w:tcPr>
          <w:tcW w:w="4325" w:type="dxa"/>
          <w:shd w:val="clear" w:color="auto" w:fill="auto"/>
          <w:vAlign w:val="bottom"/>
        </w:tcPr>
        <w:p w:rsidR="005A344E" w:rsidRPr="002E4C92" w:rsidRDefault="005A344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A344E" w:rsidRPr="0039525B" w:rsidRDefault="005A344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8F" w:rsidRDefault="00FB248F" w:rsidP="00E946A0">
      <w:r>
        <w:separator/>
      </w:r>
    </w:p>
    <w:p w:rsidR="00FB248F" w:rsidRDefault="00FB248F" w:rsidP="00E946A0"/>
  </w:footnote>
  <w:footnote w:type="continuationSeparator" w:id="0">
    <w:p w:rsidR="00FB248F" w:rsidRDefault="00FB248F" w:rsidP="00E946A0">
      <w:r>
        <w:continuationSeparator/>
      </w:r>
    </w:p>
    <w:p w:rsidR="00FB248F" w:rsidRDefault="00FB248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67DDE" w:rsidRPr="00563CB8">
      <w:tc>
        <w:tcPr>
          <w:tcW w:w="3708" w:type="dxa"/>
          <w:shd w:val="clear" w:color="auto" w:fill="auto"/>
        </w:tcPr>
        <w:p w:rsidR="00A67DDE" w:rsidRPr="00563CB8" w:rsidRDefault="00A67DD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67DDE" w:rsidRPr="00563CB8" w:rsidRDefault="00A67DDE" w:rsidP="00E946A0">
          <w:pPr>
            <w:jc w:val="center"/>
          </w:pPr>
          <w:r w:rsidRPr="00563CB8">
            <w:t>D R A F T</w:t>
          </w:r>
        </w:p>
      </w:tc>
      <w:tc>
        <w:tcPr>
          <w:tcW w:w="3438" w:type="dxa"/>
          <w:shd w:val="clear" w:color="auto" w:fill="auto"/>
        </w:tcPr>
        <w:p w:rsidR="00A67DDE" w:rsidRPr="00E946A0" w:rsidRDefault="00A67DDE" w:rsidP="00E946A0">
          <w:pPr>
            <w:pStyle w:val="PageHeader"/>
            <w:jc w:val="right"/>
            <w:rPr>
              <w:b w:val="0"/>
            </w:rPr>
          </w:pPr>
          <w:r>
            <w:rPr>
              <w:b w:val="0"/>
            </w:rPr>
            <w:t>Grade 10 • Module 3 • Unit 2 • Lesson 1</w:t>
          </w:r>
        </w:p>
      </w:tc>
    </w:tr>
  </w:tbl>
  <w:p w:rsidR="00A67DDE" w:rsidRDefault="00A67DDE"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27" w:type="pct"/>
      <w:tblLook w:val="04A0"/>
    </w:tblPr>
    <w:tblGrid>
      <w:gridCol w:w="5101"/>
      <w:gridCol w:w="3344"/>
      <w:gridCol w:w="4802"/>
    </w:tblGrid>
    <w:tr w:rsidR="005A344E" w:rsidRPr="00563CB8" w:rsidTr="005A344E">
      <w:tc>
        <w:tcPr>
          <w:tcW w:w="5102" w:type="dxa"/>
          <w:shd w:val="clear" w:color="auto" w:fill="auto"/>
        </w:tcPr>
        <w:p w:rsidR="005A344E" w:rsidRPr="00563CB8" w:rsidRDefault="005A344E" w:rsidP="00E946A0">
          <w:pPr>
            <w:pStyle w:val="PageHeader"/>
          </w:pPr>
          <w:r w:rsidRPr="00563CB8">
            <w:t xml:space="preserve">NYS </w:t>
          </w:r>
          <w:r w:rsidRPr="00E946A0">
            <w:t>Common</w:t>
          </w:r>
          <w:r w:rsidRPr="00563CB8">
            <w:t xml:space="preserve"> Core ELA &amp; Literacy Curriculum</w:t>
          </w:r>
        </w:p>
      </w:tc>
      <w:tc>
        <w:tcPr>
          <w:tcW w:w="3344" w:type="dxa"/>
          <w:shd w:val="clear" w:color="auto" w:fill="auto"/>
          <w:vAlign w:val="center"/>
        </w:tcPr>
        <w:p w:rsidR="005A344E" w:rsidRPr="00563CB8" w:rsidRDefault="005A344E" w:rsidP="00E946A0">
          <w:pPr>
            <w:jc w:val="center"/>
          </w:pPr>
          <w:r w:rsidRPr="00563CB8">
            <w:t>D R A F T</w:t>
          </w:r>
        </w:p>
      </w:tc>
      <w:tc>
        <w:tcPr>
          <w:tcW w:w="4802" w:type="dxa"/>
          <w:shd w:val="clear" w:color="auto" w:fill="auto"/>
        </w:tcPr>
        <w:p w:rsidR="005A344E" w:rsidRPr="00E946A0" w:rsidRDefault="005A344E" w:rsidP="00E946A0">
          <w:pPr>
            <w:pStyle w:val="PageHeader"/>
            <w:jc w:val="right"/>
            <w:rPr>
              <w:b w:val="0"/>
            </w:rPr>
          </w:pPr>
          <w:r>
            <w:rPr>
              <w:b w:val="0"/>
            </w:rPr>
            <w:t>Grade 10 • Module 3 • Unit 2 • Lesson 1</w:t>
          </w:r>
        </w:p>
      </w:tc>
    </w:tr>
  </w:tbl>
  <w:p w:rsidR="005A344E" w:rsidRDefault="005A344E"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A344E" w:rsidRPr="00563CB8">
      <w:tc>
        <w:tcPr>
          <w:tcW w:w="3708" w:type="dxa"/>
          <w:shd w:val="clear" w:color="auto" w:fill="auto"/>
        </w:tcPr>
        <w:p w:rsidR="005A344E" w:rsidRPr="00563CB8" w:rsidRDefault="005A344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A344E" w:rsidRPr="00563CB8" w:rsidRDefault="005A344E" w:rsidP="00E946A0">
          <w:pPr>
            <w:jc w:val="center"/>
          </w:pPr>
          <w:r w:rsidRPr="00563CB8">
            <w:t>D R A F T</w:t>
          </w:r>
        </w:p>
      </w:tc>
      <w:tc>
        <w:tcPr>
          <w:tcW w:w="3438" w:type="dxa"/>
          <w:shd w:val="clear" w:color="auto" w:fill="auto"/>
        </w:tcPr>
        <w:p w:rsidR="005A344E" w:rsidRPr="00E946A0" w:rsidRDefault="005A344E" w:rsidP="00E946A0">
          <w:pPr>
            <w:pStyle w:val="PageHeader"/>
            <w:jc w:val="right"/>
            <w:rPr>
              <w:b w:val="0"/>
            </w:rPr>
          </w:pPr>
          <w:r>
            <w:rPr>
              <w:b w:val="0"/>
            </w:rPr>
            <w:t>Grade 10 • Module 3 • Unit 2 • Lesson 1</w:t>
          </w:r>
        </w:p>
      </w:tc>
    </w:tr>
  </w:tbl>
  <w:p w:rsidR="005A344E" w:rsidRDefault="005A344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743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911EF"/>
    <w:multiLevelType w:val="hybridMultilevel"/>
    <w:tmpl w:val="3BBAA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EF2C07"/>
    <w:multiLevelType w:val="hybridMultilevel"/>
    <w:tmpl w:val="3E026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3F7361"/>
    <w:multiLevelType w:val="hybridMultilevel"/>
    <w:tmpl w:val="687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57447"/>
    <w:multiLevelType w:val="hybridMultilevel"/>
    <w:tmpl w:val="D3141EDE"/>
    <w:lvl w:ilvl="0" w:tplc="B5B092E0">
      <w:start w:val="1"/>
      <w:numFmt w:val="bullet"/>
      <w:pStyle w:val="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16EA68F8"/>
    <w:lvl w:ilvl="0" w:tplc="D2FC95E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3"/>
  </w:num>
  <w:num w:numId="3">
    <w:abstractNumId w:val="2"/>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1"/>
  </w:num>
  <w:num w:numId="12">
    <w:abstractNumId w:val="31"/>
  </w:num>
  <w:num w:numId="13">
    <w:abstractNumId w:val="9"/>
    <w:lvlOverride w:ilvl="0">
      <w:startOverride w:val="1"/>
    </w:lvlOverride>
  </w:num>
  <w:num w:numId="14">
    <w:abstractNumId w:val="8"/>
  </w:num>
  <w:num w:numId="15">
    <w:abstractNumId w:val="4"/>
  </w:num>
  <w:num w:numId="16">
    <w:abstractNumId w:val="26"/>
  </w:num>
  <w:num w:numId="17">
    <w:abstractNumId w:val="15"/>
  </w:num>
  <w:num w:numId="18">
    <w:abstractNumId w:val="17"/>
  </w:num>
  <w:num w:numId="19">
    <w:abstractNumId w:val="13"/>
  </w:num>
  <w:num w:numId="20">
    <w:abstractNumId w:val="6"/>
  </w:num>
  <w:num w:numId="21">
    <w:abstractNumId w:val="10"/>
    <w:lvlOverride w:ilvl="0">
      <w:startOverride w:val="1"/>
    </w:lvlOverride>
  </w:num>
  <w:num w:numId="22">
    <w:abstractNumId w:val="2"/>
    <w:lvlOverride w:ilvl="0">
      <w:startOverride w:val="1"/>
    </w:lvlOverride>
  </w:num>
  <w:num w:numId="23">
    <w:abstractNumId w:val="28"/>
  </w:num>
  <w:num w:numId="24">
    <w:abstractNumId w:val="7"/>
  </w:num>
  <w:num w:numId="25">
    <w:abstractNumId w:val="25"/>
  </w:num>
  <w:num w:numId="26">
    <w:abstractNumId w:val="18"/>
  </w:num>
  <w:num w:numId="27">
    <w:abstractNumId w:val="3"/>
    <w:lvlOverride w:ilvl="0">
      <w:startOverride w:val="1"/>
    </w:lvlOverride>
  </w:num>
  <w:num w:numId="28">
    <w:abstractNumId w:val="22"/>
  </w:num>
  <w:num w:numId="29">
    <w:abstractNumId w:val="12"/>
  </w:num>
  <w:num w:numId="30">
    <w:abstractNumId w:val="19"/>
  </w:num>
  <w:num w:numId="31">
    <w:abstractNumId w:val="30"/>
  </w:num>
  <w:num w:numId="32">
    <w:abstractNumId w:val="23"/>
  </w:num>
  <w:num w:numId="33">
    <w:abstractNumId w:val="27"/>
  </w:num>
  <w:num w:numId="34">
    <w:abstractNumId w:val="10"/>
    <w:lvlOverride w:ilvl="0">
      <w:startOverride w:val="1"/>
    </w:lvlOverride>
  </w:num>
  <w:num w:numId="35">
    <w:abstractNumId w:val="24"/>
  </w:num>
  <w:num w:numId="36">
    <w:abstractNumId w:val="11"/>
  </w:num>
  <w:num w:numId="37">
    <w:abstractNumId w:val="14"/>
  </w:num>
  <w:num w:numId="38">
    <w:abstractNumId w:val="29"/>
  </w:num>
  <w:num w:numId="39">
    <w:abstractNumId w:val="10"/>
    <w:lvlOverride w:ilvl="0">
      <w:startOverride w:val="1"/>
    </w:lvlOverride>
  </w:num>
  <w:num w:numId="40">
    <w:abstractNumId w:val="16"/>
  </w:num>
  <w:num w:numId="41">
    <w:abstractNumId w:val="0"/>
  </w:num>
  <w:num w:numId="42">
    <w:abstractNumId w:val="29"/>
    <w:lvlOverride w:ilvl="0">
      <w:startOverride w:val="3"/>
    </w:lvlOverride>
  </w:num>
  <w:num w:numId="43">
    <w:abstractNumId w:val="20"/>
  </w:num>
  <w:num w:numId="44">
    <w:abstractNumId w:val="29"/>
    <w:lvlOverride w:ilvl="0">
      <w:startOverride w:val="1"/>
    </w:lvlOverride>
  </w:num>
  <w:num w:numId="45">
    <w:abstractNumId w:val="29"/>
    <w:lvlOverride w:ilvl="0">
      <w:startOverride w:val="1"/>
    </w:lvlOverride>
  </w:num>
  <w:num w:numId="46">
    <w:abstractNumId w:val="29"/>
    <w:lvlOverride w:ilvl="0">
      <w:startOverride w:val="5"/>
    </w:lvlOverride>
  </w:num>
  <w:num w:numId="47">
    <w:abstractNumId w:val="29"/>
    <w:lvlOverride w:ilvl="0">
      <w:startOverride w:val="1"/>
    </w:lvlOverride>
  </w:num>
  <w:num w:numId="4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3CD9"/>
    <w:rsid w:val="00007CBA"/>
    <w:rsid w:val="00007F67"/>
    <w:rsid w:val="0001115D"/>
    <w:rsid w:val="00011E99"/>
    <w:rsid w:val="000123B7"/>
    <w:rsid w:val="000134DA"/>
    <w:rsid w:val="000137C5"/>
    <w:rsid w:val="00014D5D"/>
    <w:rsid w:val="00017D3D"/>
    <w:rsid w:val="00020527"/>
    <w:rsid w:val="00021589"/>
    <w:rsid w:val="00023275"/>
    <w:rsid w:val="0002335F"/>
    <w:rsid w:val="000265E9"/>
    <w:rsid w:val="00032704"/>
    <w:rsid w:val="00034778"/>
    <w:rsid w:val="00044FAB"/>
    <w:rsid w:val="00050707"/>
    <w:rsid w:val="00051EF0"/>
    <w:rsid w:val="00053088"/>
    <w:rsid w:val="000546EC"/>
    <w:rsid w:val="000553D3"/>
    <w:rsid w:val="00062291"/>
    <w:rsid w:val="0006233C"/>
    <w:rsid w:val="00064850"/>
    <w:rsid w:val="00066123"/>
    <w:rsid w:val="0006776C"/>
    <w:rsid w:val="00071936"/>
    <w:rsid w:val="00072749"/>
    <w:rsid w:val="000742AA"/>
    <w:rsid w:val="00075649"/>
    <w:rsid w:val="00080A8A"/>
    <w:rsid w:val="0008149C"/>
    <w:rsid w:val="000816C8"/>
    <w:rsid w:val="000824B6"/>
    <w:rsid w:val="000831BA"/>
    <w:rsid w:val="00083A71"/>
    <w:rsid w:val="000848B2"/>
    <w:rsid w:val="00086A06"/>
    <w:rsid w:val="00086AC7"/>
    <w:rsid w:val="00090200"/>
    <w:rsid w:val="00092730"/>
    <w:rsid w:val="00092C82"/>
    <w:rsid w:val="00095BBA"/>
    <w:rsid w:val="00096A06"/>
    <w:rsid w:val="00096BDA"/>
    <w:rsid w:val="000A1206"/>
    <w:rsid w:val="000A26A7"/>
    <w:rsid w:val="000A2E48"/>
    <w:rsid w:val="000A352D"/>
    <w:rsid w:val="000A3640"/>
    <w:rsid w:val="000B1882"/>
    <w:rsid w:val="000B2D56"/>
    <w:rsid w:val="000B3015"/>
    <w:rsid w:val="000B3836"/>
    <w:rsid w:val="000B6EA7"/>
    <w:rsid w:val="000C0112"/>
    <w:rsid w:val="000C169A"/>
    <w:rsid w:val="000C3C78"/>
    <w:rsid w:val="000C4439"/>
    <w:rsid w:val="000C4813"/>
    <w:rsid w:val="000C5656"/>
    <w:rsid w:val="000C5893"/>
    <w:rsid w:val="000D0F3D"/>
    <w:rsid w:val="000D0FAE"/>
    <w:rsid w:val="000D10A8"/>
    <w:rsid w:val="000E0B69"/>
    <w:rsid w:val="000E3F3C"/>
    <w:rsid w:val="000E4DBA"/>
    <w:rsid w:val="000E7CE2"/>
    <w:rsid w:val="000F192C"/>
    <w:rsid w:val="000F2414"/>
    <w:rsid w:val="000F3DFF"/>
    <w:rsid w:val="000F44AF"/>
    <w:rsid w:val="000F5802"/>
    <w:rsid w:val="000F7D35"/>
    <w:rsid w:val="000F7F56"/>
    <w:rsid w:val="0010235F"/>
    <w:rsid w:val="0010270A"/>
    <w:rsid w:val="00110A04"/>
    <w:rsid w:val="00111A39"/>
    <w:rsid w:val="00111E57"/>
    <w:rsid w:val="00113501"/>
    <w:rsid w:val="001159C2"/>
    <w:rsid w:val="00116071"/>
    <w:rsid w:val="001215F2"/>
    <w:rsid w:val="00121C27"/>
    <w:rsid w:val="00124DF8"/>
    <w:rsid w:val="001258FD"/>
    <w:rsid w:val="001305C1"/>
    <w:rsid w:val="00133528"/>
    <w:rsid w:val="001352AE"/>
    <w:rsid w:val="001362D4"/>
    <w:rsid w:val="00140413"/>
    <w:rsid w:val="00142821"/>
    <w:rsid w:val="00144AAC"/>
    <w:rsid w:val="0014533A"/>
    <w:rsid w:val="00145C7F"/>
    <w:rsid w:val="001473EE"/>
    <w:rsid w:val="001509EC"/>
    <w:rsid w:val="0015118C"/>
    <w:rsid w:val="00156124"/>
    <w:rsid w:val="00162396"/>
    <w:rsid w:val="001657A6"/>
    <w:rsid w:val="001708C2"/>
    <w:rsid w:val="00171380"/>
    <w:rsid w:val="001723D5"/>
    <w:rsid w:val="0017367C"/>
    <w:rsid w:val="00175B00"/>
    <w:rsid w:val="00183464"/>
    <w:rsid w:val="0018402F"/>
    <w:rsid w:val="0018626F"/>
    <w:rsid w:val="0018630D"/>
    <w:rsid w:val="00186355"/>
    <w:rsid w:val="001864E6"/>
    <w:rsid w:val="00186DB8"/>
    <w:rsid w:val="00186FDA"/>
    <w:rsid w:val="0018762C"/>
    <w:rsid w:val="001937BA"/>
    <w:rsid w:val="001945FA"/>
    <w:rsid w:val="00194F1D"/>
    <w:rsid w:val="001967DE"/>
    <w:rsid w:val="00196CF8"/>
    <w:rsid w:val="001A3A2F"/>
    <w:rsid w:val="001A48AB"/>
    <w:rsid w:val="001A4CD3"/>
    <w:rsid w:val="001A5133"/>
    <w:rsid w:val="001A5BC5"/>
    <w:rsid w:val="001B0794"/>
    <w:rsid w:val="001B1222"/>
    <w:rsid w:val="001B1487"/>
    <w:rsid w:val="001B2955"/>
    <w:rsid w:val="001C1C99"/>
    <w:rsid w:val="001C35E3"/>
    <w:rsid w:val="001C3C33"/>
    <w:rsid w:val="001C5188"/>
    <w:rsid w:val="001C6799"/>
    <w:rsid w:val="001C6B70"/>
    <w:rsid w:val="001D047B"/>
    <w:rsid w:val="001D0518"/>
    <w:rsid w:val="001D26F1"/>
    <w:rsid w:val="001D641A"/>
    <w:rsid w:val="001E10B0"/>
    <w:rsid w:val="001E189E"/>
    <w:rsid w:val="001F0991"/>
    <w:rsid w:val="001F1F7B"/>
    <w:rsid w:val="001F6C4F"/>
    <w:rsid w:val="001F712F"/>
    <w:rsid w:val="002009F7"/>
    <w:rsid w:val="0020138A"/>
    <w:rsid w:val="002041CD"/>
    <w:rsid w:val="00207C8B"/>
    <w:rsid w:val="00221966"/>
    <w:rsid w:val="00224590"/>
    <w:rsid w:val="00225C94"/>
    <w:rsid w:val="002304A5"/>
    <w:rsid w:val="002306FF"/>
    <w:rsid w:val="00231919"/>
    <w:rsid w:val="002354F1"/>
    <w:rsid w:val="00235B47"/>
    <w:rsid w:val="00237278"/>
    <w:rsid w:val="002378C9"/>
    <w:rsid w:val="00237B32"/>
    <w:rsid w:val="0024057E"/>
    <w:rsid w:val="00240FF7"/>
    <w:rsid w:val="0024557C"/>
    <w:rsid w:val="00245B86"/>
    <w:rsid w:val="002516D4"/>
    <w:rsid w:val="00251A7C"/>
    <w:rsid w:val="00251DAB"/>
    <w:rsid w:val="00252D78"/>
    <w:rsid w:val="002612C5"/>
    <w:rsid w:val="00261600"/>
    <w:rsid w:val="002619B1"/>
    <w:rsid w:val="002635F4"/>
    <w:rsid w:val="00263AF5"/>
    <w:rsid w:val="002661A8"/>
    <w:rsid w:val="002670B3"/>
    <w:rsid w:val="002748DB"/>
    <w:rsid w:val="00274EC4"/>
    <w:rsid w:val="00274FEB"/>
    <w:rsid w:val="00276DB9"/>
    <w:rsid w:val="00280337"/>
    <w:rsid w:val="002810EE"/>
    <w:rsid w:val="0028184C"/>
    <w:rsid w:val="00284B9E"/>
    <w:rsid w:val="00284FC0"/>
    <w:rsid w:val="00290DDD"/>
    <w:rsid w:val="00290F88"/>
    <w:rsid w:val="0029527C"/>
    <w:rsid w:val="00297DC5"/>
    <w:rsid w:val="002A0484"/>
    <w:rsid w:val="002A20E3"/>
    <w:rsid w:val="002A2187"/>
    <w:rsid w:val="002A21DE"/>
    <w:rsid w:val="002A4F62"/>
    <w:rsid w:val="002A5337"/>
    <w:rsid w:val="002B1411"/>
    <w:rsid w:val="002B2CB9"/>
    <w:rsid w:val="002B5398"/>
    <w:rsid w:val="002B6DF2"/>
    <w:rsid w:val="002B6E4E"/>
    <w:rsid w:val="002C0245"/>
    <w:rsid w:val="002C02FB"/>
    <w:rsid w:val="002C4500"/>
    <w:rsid w:val="002C5F0D"/>
    <w:rsid w:val="002C6668"/>
    <w:rsid w:val="002D0180"/>
    <w:rsid w:val="002D0618"/>
    <w:rsid w:val="002D5EB9"/>
    <w:rsid w:val="002D632F"/>
    <w:rsid w:val="002E27AE"/>
    <w:rsid w:val="002E4C92"/>
    <w:rsid w:val="002F03D2"/>
    <w:rsid w:val="002F0454"/>
    <w:rsid w:val="002F3D65"/>
    <w:rsid w:val="002F57DB"/>
    <w:rsid w:val="002F7070"/>
    <w:rsid w:val="0030003B"/>
    <w:rsid w:val="003067BF"/>
    <w:rsid w:val="00311E81"/>
    <w:rsid w:val="00317306"/>
    <w:rsid w:val="00317AF6"/>
    <w:rsid w:val="003201AC"/>
    <w:rsid w:val="0032239A"/>
    <w:rsid w:val="0033163A"/>
    <w:rsid w:val="003319C0"/>
    <w:rsid w:val="00334771"/>
    <w:rsid w:val="00335168"/>
    <w:rsid w:val="00335B23"/>
    <w:rsid w:val="003368BF"/>
    <w:rsid w:val="00337A61"/>
    <w:rsid w:val="003440A9"/>
    <w:rsid w:val="00347356"/>
    <w:rsid w:val="00347761"/>
    <w:rsid w:val="00347DD9"/>
    <w:rsid w:val="00350B03"/>
    <w:rsid w:val="00351804"/>
    <w:rsid w:val="00351F18"/>
    <w:rsid w:val="00352361"/>
    <w:rsid w:val="00353081"/>
    <w:rsid w:val="00354E3C"/>
    <w:rsid w:val="00355B9E"/>
    <w:rsid w:val="00356656"/>
    <w:rsid w:val="00362010"/>
    <w:rsid w:val="00364225"/>
    <w:rsid w:val="00364CD8"/>
    <w:rsid w:val="0036609D"/>
    <w:rsid w:val="00370C53"/>
    <w:rsid w:val="00372441"/>
    <w:rsid w:val="0037258B"/>
    <w:rsid w:val="00374C35"/>
    <w:rsid w:val="00376DBB"/>
    <w:rsid w:val="003822E1"/>
    <w:rsid w:val="003826B0"/>
    <w:rsid w:val="0038382F"/>
    <w:rsid w:val="00383A2A"/>
    <w:rsid w:val="003851B2"/>
    <w:rsid w:val="00385386"/>
    <w:rsid w:val="003854D3"/>
    <w:rsid w:val="0038635E"/>
    <w:rsid w:val="003872BB"/>
    <w:rsid w:val="003908D2"/>
    <w:rsid w:val="003924D0"/>
    <w:rsid w:val="0039525B"/>
    <w:rsid w:val="003A06C7"/>
    <w:rsid w:val="003A3AB0"/>
    <w:rsid w:val="003A6785"/>
    <w:rsid w:val="003B05A3"/>
    <w:rsid w:val="003B3BFD"/>
    <w:rsid w:val="003B3DB9"/>
    <w:rsid w:val="003B4AA7"/>
    <w:rsid w:val="003B7708"/>
    <w:rsid w:val="003C2022"/>
    <w:rsid w:val="003C24AD"/>
    <w:rsid w:val="003C6BFC"/>
    <w:rsid w:val="003C74E1"/>
    <w:rsid w:val="003D2601"/>
    <w:rsid w:val="003D27E3"/>
    <w:rsid w:val="003D28E6"/>
    <w:rsid w:val="003D2A9F"/>
    <w:rsid w:val="003D2AC2"/>
    <w:rsid w:val="003D7469"/>
    <w:rsid w:val="003E1817"/>
    <w:rsid w:val="003E2C04"/>
    <w:rsid w:val="003E3757"/>
    <w:rsid w:val="003E4418"/>
    <w:rsid w:val="003E643E"/>
    <w:rsid w:val="003E693A"/>
    <w:rsid w:val="003F2586"/>
    <w:rsid w:val="003F2833"/>
    <w:rsid w:val="003F3D65"/>
    <w:rsid w:val="003F6477"/>
    <w:rsid w:val="0040285C"/>
    <w:rsid w:val="00405198"/>
    <w:rsid w:val="0040576C"/>
    <w:rsid w:val="00412A7D"/>
    <w:rsid w:val="004179FD"/>
    <w:rsid w:val="0042064A"/>
    <w:rsid w:val="00420A17"/>
    <w:rsid w:val="00420C62"/>
    <w:rsid w:val="00420E4A"/>
    <w:rsid w:val="00421157"/>
    <w:rsid w:val="0042474E"/>
    <w:rsid w:val="0042541B"/>
    <w:rsid w:val="00425E32"/>
    <w:rsid w:val="00432D7F"/>
    <w:rsid w:val="00436909"/>
    <w:rsid w:val="00437FD0"/>
    <w:rsid w:val="004402AC"/>
    <w:rsid w:val="004403EE"/>
    <w:rsid w:val="00440948"/>
    <w:rsid w:val="00441F04"/>
    <w:rsid w:val="004448D2"/>
    <w:rsid w:val="004452D5"/>
    <w:rsid w:val="00446879"/>
    <w:rsid w:val="00446AFD"/>
    <w:rsid w:val="004528AF"/>
    <w:rsid w:val="004536D7"/>
    <w:rsid w:val="00453715"/>
    <w:rsid w:val="00455FC4"/>
    <w:rsid w:val="00456F88"/>
    <w:rsid w:val="0045725F"/>
    <w:rsid w:val="00457F98"/>
    <w:rsid w:val="00466A15"/>
    <w:rsid w:val="00467B05"/>
    <w:rsid w:val="00470E93"/>
    <w:rsid w:val="004713C2"/>
    <w:rsid w:val="00472F34"/>
    <w:rsid w:val="0047469B"/>
    <w:rsid w:val="00477B3D"/>
    <w:rsid w:val="00481F1A"/>
    <w:rsid w:val="00482C15"/>
    <w:rsid w:val="004838D9"/>
    <w:rsid w:val="00484822"/>
    <w:rsid w:val="00484CCB"/>
    <w:rsid w:val="00485CFE"/>
    <w:rsid w:val="00485D55"/>
    <w:rsid w:val="004905B0"/>
    <w:rsid w:val="00491C45"/>
    <w:rsid w:val="0049409E"/>
    <w:rsid w:val="004972F6"/>
    <w:rsid w:val="004A33EB"/>
    <w:rsid w:val="004A3CC0"/>
    <w:rsid w:val="004A3F30"/>
    <w:rsid w:val="004B2119"/>
    <w:rsid w:val="004B22B8"/>
    <w:rsid w:val="004B37F9"/>
    <w:rsid w:val="004B3E41"/>
    <w:rsid w:val="004B552B"/>
    <w:rsid w:val="004B7C07"/>
    <w:rsid w:val="004C3C90"/>
    <w:rsid w:val="004C602D"/>
    <w:rsid w:val="004C6CD8"/>
    <w:rsid w:val="004D1C1D"/>
    <w:rsid w:val="004D487C"/>
    <w:rsid w:val="004D5473"/>
    <w:rsid w:val="004D7029"/>
    <w:rsid w:val="004E188B"/>
    <w:rsid w:val="004E1B0E"/>
    <w:rsid w:val="004E68E0"/>
    <w:rsid w:val="004F1751"/>
    <w:rsid w:val="004F2363"/>
    <w:rsid w:val="004F2969"/>
    <w:rsid w:val="004F353F"/>
    <w:rsid w:val="004F62CF"/>
    <w:rsid w:val="004F6320"/>
    <w:rsid w:val="0050283F"/>
    <w:rsid w:val="00502F4B"/>
    <w:rsid w:val="00502FAD"/>
    <w:rsid w:val="00507DF5"/>
    <w:rsid w:val="005121D2"/>
    <w:rsid w:val="00513A83"/>
    <w:rsid w:val="00513C73"/>
    <w:rsid w:val="00513E84"/>
    <w:rsid w:val="00517918"/>
    <w:rsid w:val="00521FAA"/>
    <w:rsid w:val="0052385B"/>
    <w:rsid w:val="0052413A"/>
    <w:rsid w:val="005257AE"/>
    <w:rsid w:val="0052748A"/>
    <w:rsid w:val="0052769A"/>
    <w:rsid w:val="00527DE8"/>
    <w:rsid w:val="005313D8"/>
    <w:rsid w:val="005324A5"/>
    <w:rsid w:val="00537CA3"/>
    <w:rsid w:val="00541A6A"/>
    <w:rsid w:val="00542523"/>
    <w:rsid w:val="005446A2"/>
    <w:rsid w:val="00546B4B"/>
    <w:rsid w:val="00546D71"/>
    <w:rsid w:val="0054791C"/>
    <w:rsid w:val="0055340D"/>
    <w:rsid w:val="0055385D"/>
    <w:rsid w:val="00561640"/>
    <w:rsid w:val="00563CB8"/>
    <w:rsid w:val="00563DC9"/>
    <w:rsid w:val="005641F5"/>
    <w:rsid w:val="00565871"/>
    <w:rsid w:val="00565A51"/>
    <w:rsid w:val="00567E85"/>
    <w:rsid w:val="00570901"/>
    <w:rsid w:val="00576E4A"/>
    <w:rsid w:val="00581401"/>
    <w:rsid w:val="005837C5"/>
    <w:rsid w:val="00583FF7"/>
    <w:rsid w:val="00585771"/>
    <w:rsid w:val="00585A0D"/>
    <w:rsid w:val="005875D8"/>
    <w:rsid w:val="00592D68"/>
    <w:rsid w:val="00593697"/>
    <w:rsid w:val="00595905"/>
    <w:rsid w:val="005960E3"/>
    <w:rsid w:val="005A344E"/>
    <w:rsid w:val="005A7968"/>
    <w:rsid w:val="005B1ABA"/>
    <w:rsid w:val="005B22B2"/>
    <w:rsid w:val="005B3D78"/>
    <w:rsid w:val="005B7E6E"/>
    <w:rsid w:val="005C2D28"/>
    <w:rsid w:val="005C4572"/>
    <w:rsid w:val="005C483A"/>
    <w:rsid w:val="005C7B5F"/>
    <w:rsid w:val="005D278F"/>
    <w:rsid w:val="005D48F6"/>
    <w:rsid w:val="005D62FD"/>
    <w:rsid w:val="005D7C72"/>
    <w:rsid w:val="005E0F95"/>
    <w:rsid w:val="005E1B6D"/>
    <w:rsid w:val="005E2E87"/>
    <w:rsid w:val="005E63C3"/>
    <w:rsid w:val="005F147C"/>
    <w:rsid w:val="005F4563"/>
    <w:rsid w:val="005F5D35"/>
    <w:rsid w:val="005F657A"/>
    <w:rsid w:val="005F7266"/>
    <w:rsid w:val="005F7FC4"/>
    <w:rsid w:val="00603970"/>
    <w:rsid w:val="006044CD"/>
    <w:rsid w:val="006063BA"/>
    <w:rsid w:val="00607856"/>
    <w:rsid w:val="006124D5"/>
    <w:rsid w:val="00621C43"/>
    <w:rsid w:val="0062277B"/>
    <w:rsid w:val="006256FA"/>
    <w:rsid w:val="006261E1"/>
    <w:rsid w:val="006264B4"/>
    <w:rsid w:val="00626E4A"/>
    <w:rsid w:val="006303A7"/>
    <w:rsid w:val="006318FB"/>
    <w:rsid w:val="0063653C"/>
    <w:rsid w:val="006375AF"/>
    <w:rsid w:val="00637C5B"/>
    <w:rsid w:val="00641DC5"/>
    <w:rsid w:val="0064298F"/>
    <w:rsid w:val="00643550"/>
    <w:rsid w:val="00644540"/>
    <w:rsid w:val="00644A0C"/>
    <w:rsid w:val="00645C3F"/>
    <w:rsid w:val="00646088"/>
    <w:rsid w:val="00651092"/>
    <w:rsid w:val="00653ABB"/>
    <w:rsid w:val="006607F5"/>
    <w:rsid w:val="0066211A"/>
    <w:rsid w:val="00662DA4"/>
    <w:rsid w:val="00663A00"/>
    <w:rsid w:val="006661AE"/>
    <w:rsid w:val="006667A3"/>
    <w:rsid w:val="006732E4"/>
    <w:rsid w:val="0068018C"/>
    <w:rsid w:val="00684028"/>
    <w:rsid w:val="00686FD6"/>
    <w:rsid w:val="00686FE6"/>
    <w:rsid w:val="00687AC7"/>
    <w:rsid w:val="0069247E"/>
    <w:rsid w:val="00692BDF"/>
    <w:rsid w:val="00696173"/>
    <w:rsid w:val="00697EE7"/>
    <w:rsid w:val="006A02BF"/>
    <w:rsid w:val="006A09D6"/>
    <w:rsid w:val="006A0DEC"/>
    <w:rsid w:val="006A3594"/>
    <w:rsid w:val="006A4663"/>
    <w:rsid w:val="006A7454"/>
    <w:rsid w:val="006B0965"/>
    <w:rsid w:val="006B61DD"/>
    <w:rsid w:val="006B7CCB"/>
    <w:rsid w:val="006C4843"/>
    <w:rsid w:val="006C7D04"/>
    <w:rsid w:val="006D5208"/>
    <w:rsid w:val="006D543B"/>
    <w:rsid w:val="006E1A9A"/>
    <w:rsid w:val="006E4C84"/>
    <w:rsid w:val="006E7A67"/>
    <w:rsid w:val="006E7D3C"/>
    <w:rsid w:val="006F0D42"/>
    <w:rsid w:val="006F2712"/>
    <w:rsid w:val="006F3BD7"/>
    <w:rsid w:val="006F5F6F"/>
    <w:rsid w:val="006F7AA1"/>
    <w:rsid w:val="0070468B"/>
    <w:rsid w:val="00706F7A"/>
    <w:rsid w:val="00707670"/>
    <w:rsid w:val="00707BEE"/>
    <w:rsid w:val="00710716"/>
    <w:rsid w:val="0071568E"/>
    <w:rsid w:val="00716AF7"/>
    <w:rsid w:val="007218AF"/>
    <w:rsid w:val="00721D29"/>
    <w:rsid w:val="0072440D"/>
    <w:rsid w:val="00724760"/>
    <w:rsid w:val="00726C00"/>
    <w:rsid w:val="007271D6"/>
    <w:rsid w:val="00730123"/>
    <w:rsid w:val="0073192F"/>
    <w:rsid w:val="007319B3"/>
    <w:rsid w:val="007321BC"/>
    <w:rsid w:val="00733C74"/>
    <w:rsid w:val="00737EE7"/>
    <w:rsid w:val="00741955"/>
    <w:rsid w:val="00747185"/>
    <w:rsid w:val="00751CF5"/>
    <w:rsid w:val="00757AA3"/>
    <w:rsid w:val="007600C9"/>
    <w:rsid w:val="00760161"/>
    <w:rsid w:val="007623AE"/>
    <w:rsid w:val="0076269D"/>
    <w:rsid w:val="00762C3B"/>
    <w:rsid w:val="007662BD"/>
    <w:rsid w:val="00766336"/>
    <w:rsid w:val="0076658E"/>
    <w:rsid w:val="00767641"/>
    <w:rsid w:val="00770524"/>
    <w:rsid w:val="00772135"/>
    <w:rsid w:val="00772E6B"/>
    <w:rsid w:val="00772FCA"/>
    <w:rsid w:val="0077398D"/>
    <w:rsid w:val="00774CD0"/>
    <w:rsid w:val="00790445"/>
    <w:rsid w:val="00796D57"/>
    <w:rsid w:val="00797281"/>
    <w:rsid w:val="007973CE"/>
    <w:rsid w:val="007A1617"/>
    <w:rsid w:val="007A6A4A"/>
    <w:rsid w:val="007A7E83"/>
    <w:rsid w:val="007B0EDD"/>
    <w:rsid w:val="007B2EC0"/>
    <w:rsid w:val="007B6C4B"/>
    <w:rsid w:val="007B764B"/>
    <w:rsid w:val="007C14C1"/>
    <w:rsid w:val="007C16F1"/>
    <w:rsid w:val="007C31E6"/>
    <w:rsid w:val="007C5AA8"/>
    <w:rsid w:val="007C76B6"/>
    <w:rsid w:val="007C7DB0"/>
    <w:rsid w:val="007D1715"/>
    <w:rsid w:val="007D2F12"/>
    <w:rsid w:val="007D77A4"/>
    <w:rsid w:val="007E1A87"/>
    <w:rsid w:val="007E3B1D"/>
    <w:rsid w:val="007E44A5"/>
    <w:rsid w:val="007E463A"/>
    <w:rsid w:val="007E4E86"/>
    <w:rsid w:val="007E7665"/>
    <w:rsid w:val="007E7ED2"/>
    <w:rsid w:val="007F76FC"/>
    <w:rsid w:val="0080063A"/>
    <w:rsid w:val="00801F7C"/>
    <w:rsid w:val="00804C62"/>
    <w:rsid w:val="00805303"/>
    <w:rsid w:val="00807C6B"/>
    <w:rsid w:val="0081016B"/>
    <w:rsid w:val="008139A0"/>
    <w:rsid w:val="008151E5"/>
    <w:rsid w:val="00815AA5"/>
    <w:rsid w:val="00820EF9"/>
    <w:rsid w:val="00821B77"/>
    <w:rsid w:val="0082210F"/>
    <w:rsid w:val="008228CD"/>
    <w:rsid w:val="00825562"/>
    <w:rsid w:val="00826050"/>
    <w:rsid w:val="008261D2"/>
    <w:rsid w:val="00827346"/>
    <w:rsid w:val="00831B4C"/>
    <w:rsid w:val="008336BE"/>
    <w:rsid w:val="0083540D"/>
    <w:rsid w:val="00835495"/>
    <w:rsid w:val="00835601"/>
    <w:rsid w:val="008434A6"/>
    <w:rsid w:val="0084358E"/>
    <w:rsid w:val="00847A03"/>
    <w:rsid w:val="00850CE6"/>
    <w:rsid w:val="00853CF3"/>
    <w:rsid w:val="00855F87"/>
    <w:rsid w:val="008572B2"/>
    <w:rsid w:val="00857578"/>
    <w:rsid w:val="00860A88"/>
    <w:rsid w:val="00861F54"/>
    <w:rsid w:val="00864A80"/>
    <w:rsid w:val="00866E63"/>
    <w:rsid w:val="0086739D"/>
    <w:rsid w:val="0087182E"/>
    <w:rsid w:val="00872393"/>
    <w:rsid w:val="008732CC"/>
    <w:rsid w:val="00874AF4"/>
    <w:rsid w:val="00875D0A"/>
    <w:rsid w:val="00876632"/>
    <w:rsid w:val="00880AAD"/>
    <w:rsid w:val="00882EC9"/>
    <w:rsid w:val="00883761"/>
    <w:rsid w:val="00884AB6"/>
    <w:rsid w:val="008907FE"/>
    <w:rsid w:val="00893930"/>
    <w:rsid w:val="00893A85"/>
    <w:rsid w:val="00897E18"/>
    <w:rsid w:val="008A0F55"/>
    <w:rsid w:val="008A1774"/>
    <w:rsid w:val="008A2DA8"/>
    <w:rsid w:val="008A379C"/>
    <w:rsid w:val="008A5010"/>
    <w:rsid w:val="008A7263"/>
    <w:rsid w:val="008B109D"/>
    <w:rsid w:val="008B1311"/>
    <w:rsid w:val="008B31CC"/>
    <w:rsid w:val="008B456C"/>
    <w:rsid w:val="008B5DE1"/>
    <w:rsid w:val="008B7EDB"/>
    <w:rsid w:val="008C1826"/>
    <w:rsid w:val="008C3264"/>
    <w:rsid w:val="008C7679"/>
    <w:rsid w:val="008D0396"/>
    <w:rsid w:val="008D3566"/>
    <w:rsid w:val="008D3BC0"/>
    <w:rsid w:val="008D5D6B"/>
    <w:rsid w:val="008E2674"/>
    <w:rsid w:val="008E3195"/>
    <w:rsid w:val="008E3683"/>
    <w:rsid w:val="008E3F90"/>
    <w:rsid w:val="008F0818"/>
    <w:rsid w:val="008F280F"/>
    <w:rsid w:val="008F2B58"/>
    <w:rsid w:val="009000C9"/>
    <w:rsid w:val="00902CD1"/>
    <w:rsid w:val="00903656"/>
    <w:rsid w:val="009062ED"/>
    <w:rsid w:val="0090775D"/>
    <w:rsid w:val="00910D8E"/>
    <w:rsid w:val="00912A65"/>
    <w:rsid w:val="009135A8"/>
    <w:rsid w:val="009142C7"/>
    <w:rsid w:val="0091722D"/>
    <w:rsid w:val="009200F4"/>
    <w:rsid w:val="00920607"/>
    <w:rsid w:val="00921253"/>
    <w:rsid w:val="00922E34"/>
    <w:rsid w:val="00924B89"/>
    <w:rsid w:val="00932A44"/>
    <w:rsid w:val="00933100"/>
    <w:rsid w:val="009403AD"/>
    <w:rsid w:val="0094277B"/>
    <w:rsid w:val="00957663"/>
    <w:rsid w:val="0096199D"/>
    <w:rsid w:val="00962189"/>
    <w:rsid w:val="00962802"/>
    <w:rsid w:val="00963963"/>
    <w:rsid w:val="00963CDE"/>
    <w:rsid w:val="0096685D"/>
    <w:rsid w:val="009668D5"/>
    <w:rsid w:val="00966920"/>
    <w:rsid w:val="00966D72"/>
    <w:rsid w:val="00967678"/>
    <w:rsid w:val="0097223B"/>
    <w:rsid w:val="009726BA"/>
    <w:rsid w:val="009732BA"/>
    <w:rsid w:val="00973EB2"/>
    <w:rsid w:val="009749E2"/>
    <w:rsid w:val="00974C95"/>
    <w:rsid w:val="00981093"/>
    <w:rsid w:val="0098148A"/>
    <w:rsid w:val="0098267A"/>
    <w:rsid w:val="00982794"/>
    <w:rsid w:val="00984340"/>
    <w:rsid w:val="009859E7"/>
    <w:rsid w:val="009A0390"/>
    <w:rsid w:val="009A1A0C"/>
    <w:rsid w:val="009A3159"/>
    <w:rsid w:val="009B0F30"/>
    <w:rsid w:val="009B12D0"/>
    <w:rsid w:val="009B14FE"/>
    <w:rsid w:val="009B2BAF"/>
    <w:rsid w:val="009B373D"/>
    <w:rsid w:val="009B3D05"/>
    <w:rsid w:val="009B4FE2"/>
    <w:rsid w:val="009B7417"/>
    <w:rsid w:val="009B7C85"/>
    <w:rsid w:val="009C0391"/>
    <w:rsid w:val="009C2014"/>
    <w:rsid w:val="009C3C09"/>
    <w:rsid w:val="009D0B7A"/>
    <w:rsid w:val="009D12CD"/>
    <w:rsid w:val="009D1610"/>
    <w:rsid w:val="009D2572"/>
    <w:rsid w:val="009E05C6"/>
    <w:rsid w:val="009E07D2"/>
    <w:rsid w:val="009E16A9"/>
    <w:rsid w:val="009E196D"/>
    <w:rsid w:val="009E734D"/>
    <w:rsid w:val="009F31D9"/>
    <w:rsid w:val="009F3652"/>
    <w:rsid w:val="00A0163A"/>
    <w:rsid w:val="00A07A4E"/>
    <w:rsid w:val="00A11952"/>
    <w:rsid w:val="00A14F0A"/>
    <w:rsid w:val="00A221DA"/>
    <w:rsid w:val="00A24DAB"/>
    <w:rsid w:val="00A253EA"/>
    <w:rsid w:val="00A32E00"/>
    <w:rsid w:val="00A343D8"/>
    <w:rsid w:val="00A3771D"/>
    <w:rsid w:val="00A4299B"/>
    <w:rsid w:val="00A4462B"/>
    <w:rsid w:val="00A4688B"/>
    <w:rsid w:val="00A5012B"/>
    <w:rsid w:val="00A55A88"/>
    <w:rsid w:val="00A55EE7"/>
    <w:rsid w:val="00A60BBE"/>
    <w:rsid w:val="00A65FF8"/>
    <w:rsid w:val="00A67DDE"/>
    <w:rsid w:val="00A75116"/>
    <w:rsid w:val="00A75E4B"/>
    <w:rsid w:val="00A77308"/>
    <w:rsid w:val="00A7744C"/>
    <w:rsid w:val="00A82238"/>
    <w:rsid w:val="00A8294B"/>
    <w:rsid w:val="00A87AE1"/>
    <w:rsid w:val="00A908AC"/>
    <w:rsid w:val="00A91323"/>
    <w:rsid w:val="00A948B3"/>
    <w:rsid w:val="00A95CFC"/>
    <w:rsid w:val="00A95E92"/>
    <w:rsid w:val="00A968CA"/>
    <w:rsid w:val="00AA0831"/>
    <w:rsid w:val="00AA1DC0"/>
    <w:rsid w:val="00AA267B"/>
    <w:rsid w:val="00AA499E"/>
    <w:rsid w:val="00AA5F43"/>
    <w:rsid w:val="00AB022B"/>
    <w:rsid w:val="00AB4607"/>
    <w:rsid w:val="00AB7B26"/>
    <w:rsid w:val="00AC1DE5"/>
    <w:rsid w:val="00AC1F67"/>
    <w:rsid w:val="00AC2AB4"/>
    <w:rsid w:val="00AC597D"/>
    <w:rsid w:val="00AC6562"/>
    <w:rsid w:val="00AD086C"/>
    <w:rsid w:val="00AD26BF"/>
    <w:rsid w:val="00AD2E2E"/>
    <w:rsid w:val="00AD440D"/>
    <w:rsid w:val="00AD630E"/>
    <w:rsid w:val="00AE01CA"/>
    <w:rsid w:val="00AE1163"/>
    <w:rsid w:val="00AE14E2"/>
    <w:rsid w:val="00AE3076"/>
    <w:rsid w:val="00AE3FD7"/>
    <w:rsid w:val="00AF1F26"/>
    <w:rsid w:val="00AF3526"/>
    <w:rsid w:val="00AF4087"/>
    <w:rsid w:val="00AF5A63"/>
    <w:rsid w:val="00AF5AA4"/>
    <w:rsid w:val="00B00055"/>
    <w:rsid w:val="00B00346"/>
    <w:rsid w:val="00B00D7A"/>
    <w:rsid w:val="00B00DDB"/>
    <w:rsid w:val="00B01708"/>
    <w:rsid w:val="00B044E7"/>
    <w:rsid w:val="00B04EC5"/>
    <w:rsid w:val="00B10BF2"/>
    <w:rsid w:val="00B1409A"/>
    <w:rsid w:val="00B16390"/>
    <w:rsid w:val="00B205E1"/>
    <w:rsid w:val="00B20B90"/>
    <w:rsid w:val="00B231AA"/>
    <w:rsid w:val="00B23AD5"/>
    <w:rsid w:val="00B27639"/>
    <w:rsid w:val="00B30BF5"/>
    <w:rsid w:val="00B31BA2"/>
    <w:rsid w:val="00B342E3"/>
    <w:rsid w:val="00B36061"/>
    <w:rsid w:val="00B412E8"/>
    <w:rsid w:val="00B46C45"/>
    <w:rsid w:val="00B477B4"/>
    <w:rsid w:val="00B500CD"/>
    <w:rsid w:val="00B5282C"/>
    <w:rsid w:val="00B55CC0"/>
    <w:rsid w:val="00B57A9F"/>
    <w:rsid w:val="00B57D4F"/>
    <w:rsid w:val="00B6092B"/>
    <w:rsid w:val="00B60D84"/>
    <w:rsid w:val="00B66DB7"/>
    <w:rsid w:val="00B71188"/>
    <w:rsid w:val="00B7194E"/>
    <w:rsid w:val="00B72117"/>
    <w:rsid w:val="00B7533D"/>
    <w:rsid w:val="00B75489"/>
    <w:rsid w:val="00B76D5E"/>
    <w:rsid w:val="00B80621"/>
    <w:rsid w:val="00B81249"/>
    <w:rsid w:val="00B83359"/>
    <w:rsid w:val="00B94D95"/>
    <w:rsid w:val="00BA15C4"/>
    <w:rsid w:val="00BA27C1"/>
    <w:rsid w:val="00BA4548"/>
    <w:rsid w:val="00BA46CB"/>
    <w:rsid w:val="00BA4E9B"/>
    <w:rsid w:val="00BA536E"/>
    <w:rsid w:val="00BA5C3E"/>
    <w:rsid w:val="00BA6CB2"/>
    <w:rsid w:val="00BA6E05"/>
    <w:rsid w:val="00BA7336"/>
    <w:rsid w:val="00BA7D7C"/>
    <w:rsid w:val="00BA7F1C"/>
    <w:rsid w:val="00BB27BA"/>
    <w:rsid w:val="00BB3487"/>
    <w:rsid w:val="00BB4029"/>
    <w:rsid w:val="00BB459A"/>
    <w:rsid w:val="00BB4709"/>
    <w:rsid w:val="00BC1873"/>
    <w:rsid w:val="00BC2FEE"/>
    <w:rsid w:val="00BC3880"/>
    <w:rsid w:val="00BC4ADE"/>
    <w:rsid w:val="00BC54A9"/>
    <w:rsid w:val="00BC55AA"/>
    <w:rsid w:val="00BD1631"/>
    <w:rsid w:val="00BD28C9"/>
    <w:rsid w:val="00BD532C"/>
    <w:rsid w:val="00BD6331"/>
    <w:rsid w:val="00BD7AD4"/>
    <w:rsid w:val="00BD7B6F"/>
    <w:rsid w:val="00BD7E69"/>
    <w:rsid w:val="00BE4E2A"/>
    <w:rsid w:val="00BE4EBD"/>
    <w:rsid w:val="00BE6EFE"/>
    <w:rsid w:val="00BE79B2"/>
    <w:rsid w:val="00BF26DC"/>
    <w:rsid w:val="00BF44CF"/>
    <w:rsid w:val="00BF6DF5"/>
    <w:rsid w:val="00C007FE"/>
    <w:rsid w:val="00C02E75"/>
    <w:rsid w:val="00C02EC2"/>
    <w:rsid w:val="00C07D88"/>
    <w:rsid w:val="00C12CF6"/>
    <w:rsid w:val="00C151B9"/>
    <w:rsid w:val="00C151E3"/>
    <w:rsid w:val="00C17AF0"/>
    <w:rsid w:val="00C208EA"/>
    <w:rsid w:val="00C2283A"/>
    <w:rsid w:val="00C252EF"/>
    <w:rsid w:val="00C25C43"/>
    <w:rsid w:val="00C27E34"/>
    <w:rsid w:val="00C34B83"/>
    <w:rsid w:val="00C35B86"/>
    <w:rsid w:val="00C37820"/>
    <w:rsid w:val="00C40897"/>
    <w:rsid w:val="00C419B4"/>
    <w:rsid w:val="00C424C5"/>
    <w:rsid w:val="00C42C58"/>
    <w:rsid w:val="00C42ECF"/>
    <w:rsid w:val="00C43A86"/>
    <w:rsid w:val="00C441BE"/>
    <w:rsid w:val="00C44E56"/>
    <w:rsid w:val="00C45907"/>
    <w:rsid w:val="00C4787C"/>
    <w:rsid w:val="00C5015B"/>
    <w:rsid w:val="00C512D6"/>
    <w:rsid w:val="00C52FD6"/>
    <w:rsid w:val="00C63E42"/>
    <w:rsid w:val="00C66CB0"/>
    <w:rsid w:val="00C66D69"/>
    <w:rsid w:val="00C711D5"/>
    <w:rsid w:val="00C7162F"/>
    <w:rsid w:val="00C726D8"/>
    <w:rsid w:val="00C745E1"/>
    <w:rsid w:val="00C77CDB"/>
    <w:rsid w:val="00C80DFD"/>
    <w:rsid w:val="00C80E78"/>
    <w:rsid w:val="00C84CF7"/>
    <w:rsid w:val="00C851B1"/>
    <w:rsid w:val="00C920BB"/>
    <w:rsid w:val="00C9359E"/>
    <w:rsid w:val="00C94AC5"/>
    <w:rsid w:val="00C95C55"/>
    <w:rsid w:val="00C9623A"/>
    <w:rsid w:val="00CA53F8"/>
    <w:rsid w:val="00CA5A6E"/>
    <w:rsid w:val="00CA5ADD"/>
    <w:rsid w:val="00CA660F"/>
    <w:rsid w:val="00CA6CC7"/>
    <w:rsid w:val="00CA7EE0"/>
    <w:rsid w:val="00CB4795"/>
    <w:rsid w:val="00CC1BF8"/>
    <w:rsid w:val="00CC2982"/>
    <w:rsid w:val="00CC3067"/>
    <w:rsid w:val="00CC3C40"/>
    <w:rsid w:val="00CC605E"/>
    <w:rsid w:val="00CC6E60"/>
    <w:rsid w:val="00CD1A34"/>
    <w:rsid w:val="00CD3A81"/>
    <w:rsid w:val="00CD4793"/>
    <w:rsid w:val="00CD4BCA"/>
    <w:rsid w:val="00CD61D0"/>
    <w:rsid w:val="00CD7CB7"/>
    <w:rsid w:val="00CE0A86"/>
    <w:rsid w:val="00CE0D9A"/>
    <w:rsid w:val="00CE2836"/>
    <w:rsid w:val="00CE5BEA"/>
    <w:rsid w:val="00CE6C54"/>
    <w:rsid w:val="00CF08C2"/>
    <w:rsid w:val="00CF2582"/>
    <w:rsid w:val="00CF2986"/>
    <w:rsid w:val="00CF4380"/>
    <w:rsid w:val="00CF498D"/>
    <w:rsid w:val="00CF6CCB"/>
    <w:rsid w:val="00D02C5A"/>
    <w:rsid w:val="00D031FA"/>
    <w:rsid w:val="00D04C59"/>
    <w:rsid w:val="00D06289"/>
    <w:rsid w:val="00D066C5"/>
    <w:rsid w:val="00D10A1B"/>
    <w:rsid w:val="00D1356A"/>
    <w:rsid w:val="00D22B12"/>
    <w:rsid w:val="00D2326D"/>
    <w:rsid w:val="00D257AC"/>
    <w:rsid w:val="00D3179C"/>
    <w:rsid w:val="00D31C4D"/>
    <w:rsid w:val="00D34560"/>
    <w:rsid w:val="00D3492E"/>
    <w:rsid w:val="00D36C11"/>
    <w:rsid w:val="00D374A9"/>
    <w:rsid w:val="00D40204"/>
    <w:rsid w:val="00D41B54"/>
    <w:rsid w:val="00D4259D"/>
    <w:rsid w:val="00D44710"/>
    <w:rsid w:val="00D4700C"/>
    <w:rsid w:val="00D479EE"/>
    <w:rsid w:val="00D52801"/>
    <w:rsid w:val="00D5676B"/>
    <w:rsid w:val="00D57066"/>
    <w:rsid w:val="00D579D6"/>
    <w:rsid w:val="00D61A2D"/>
    <w:rsid w:val="00D67D26"/>
    <w:rsid w:val="00D67DBB"/>
    <w:rsid w:val="00D70C5B"/>
    <w:rsid w:val="00D70E77"/>
    <w:rsid w:val="00D74679"/>
    <w:rsid w:val="00D81344"/>
    <w:rsid w:val="00D920A6"/>
    <w:rsid w:val="00D9301F"/>
    <w:rsid w:val="00D9328F"/>
    <w:rsid w:val="00D94FAB"/>
    <w:rsid w:val="00D95A65"/>
    <w:rsid w:val="00D9769B"/>
    <w:rsid w:val="00DA030E"/>
    <w:rsid w:val="00DA3FCA"/>
    <w:rsid w:val="00DA5E65"/>
    <w:rsid w:val="00DB1187"/>
    <w:rsid w:val="00DB2A7C"/>
    <w:rsid w:val="00DB34C3"/>
    <w:rsid w:val="00DB3C98"/>
    <w:rsid w:val="00DC0419"/>
    <w:rsid w:val="00DC0591"/>
    <w:rsid w:val="00DC53C8"/>
    <w:rsid w:val="00DC7604"/>
    <w:rsid w:val="00DD207B"/>
    <w:rsid w:val="00DD3104"/>
    <w:rsid w:val="00DD50E0"/>
    <w:rsid w:val="00DD6609"/>
    <w:rsid w:val="00DD6BA0"/>
    <w:rsid w:val="00DD7DCF"/>
    <w:rsid w:val="00DF3D1C"/>
    <w:rsid w:val="00DF4BE3"/>
    <w:rsid w:val="00DF5111"/>
    <w:rsid w:val="00E0286B"/>
    <w:rsid w:val="00E03402"/>
    <w:rsid w:val="00E04F90"/>
    <w:rsid w:val="00E05DDE"/>
    <w:rsid w:val="00E1462A"/>
    <w:rsid w:val="00E16070"/>
    <w:rsid w:val="00E173B3"/>
    <w:rsid w:val="00E176A8"/>
    <w:rsid w:val="00E223DA"/>
    <w:rsid w:val="00E22A24"/>
    <w:rsid w:val="00E26A26"/>
    <w:rsid w:val="00E2762A"/>
    <w:rsid w:val="00E31D9D"/>
    <w:rsid w:val="00E3245A"/>
    <w:rsid w:val="00E41459"/>
    <w:rsid w:val="00E45753"/>
    <w:rsid w:val="00E46711"/>
    <w:rsid w:val="00E53E91"/>
    <w:rsid w:val="00E55B82"/>
    <w:rsid w:val="00E560AD"/>
    <w:rsid w:val="00E56C25"/>
    <w:rsid w:val="00E56F0C"/>
    <w:rsid w:val="00E6036C"/>
    <w:rsid w:val="00E60525"/>
    <w:rsid w:val="00E60DB8"/>
    <w:rsid w:val="00E618D5"/>
    <w:rsid w:val="00E63363"/>
    <w:rsid w:val="00E6588C"/>
    <w:rsid w:val="00E65C14"/>
    <w:rsid w:val="00E70D3F"/>
    <w:rsid w:val="00E751B9"/>
    <w:rsid w:val="00E7559A"/>
    <w:rsid w:val="00E7754E"/>
    <w:rsid w:val="00E8200F"/>
    <w:rsid w:val="00E8580A"/>
    <w:rsid w:val="00E9190E"/>
    <w:rsid w:val="00E93803"/>
    <w:rsid w:val="00E945B3"/>
    <w:rsid w:val="00E946A0"/>
    <w:rsid w:val="00EA0C17"/>
    <w:rsid w:val="00EA3693"/>
    <w:rsid w:val="00EA44C5"/>
    <w:rsid w:val="00EA74B5"/>
    <w:rsid w:val="00EB07FB"/>
    <w:rsid w:val="00EB173F"/>
    <w:rsid w:val="00EB4655"/>
    <w:rsid w:val="00EB4AAC"/>
    <w:rsid w:val="00EB6D24"/>
    <w:rsid w:val="00EB782B"/>
    <w:rsid w:val="00EC15E4"/>
    <w:rsid w:val="00EC1E30"/>
    <w:rsid w:val="00EC238E"/>
    <w:rsid w:val="00EC3F22"/>
    <w:rsid w:val="00EC5209"/>
    <w:rsid w:val="00ED0044"/>
    <w:rsid w:val="00ED34EC"/>
    <w:rsid w:val="00ED491F"/>
    <w:rsid w:val="00ED7EE9"/>
    <w:rsid w:val="00EE059E"/>
    <w:rsid w:val="00EE23F5"/>
    <w:rsid w:val="00EE360E"/>
    <w:rsid w:val="00EE5BBD"/>
    <w:rsid w:val="00EE5F60"/>
    <w:rsid w:val="00EE66B9"/>
    <w:rsid w:val="00EF12C5"/>
    <w:rsid w:val="00EF14C5"/>
    <w:rsid w:val="00EF211B"/>
    <w:rsid w:val="00F00A6B"/>
    <w:rsid w:val="00F0678F"/>
    <w:rsid w:val="00F067B8"/>
    <w:rsid w:val="00F07B41"/>
    <w:rsid w:val="00F10E78"/>
    <w:rsid w:val="00F10E87"/>
    <w:rsid w:val="00F12958"/>
    <w:rsid w:val="00F143C7"/>
    <w:rsid w:val="00F21CD9"/>
    <w:rsid w:val="00F25038"/>
    <w:rsid w:val="00F308FF"/>
    <w:rsid w:val="00F31012"/>
    <w:rsid w:val="00F31F12"/>
    <w:rsid w:val="00F3414E"/>
    <w:rsid w:val="00F355C2"/>
    <w:rsid w:val="00F36D38"/>
    <w:rsid w:val="00F37F20"/>
    <w:rsid w:val="00F40D2F"/>
    <w:rsid w:val="00F4184A"/>
    <w:rsid w:val="00F41D88"/>
    <w:rsid w:val="00F43401"/>
    <w:rsid w:val="00F43553"/>
    <w:rsid w:val="00F4386A"/>
    <w:rsid w:val="00F44637"/>
    <w:rsid w:val="00F4480D"/>
    <w:rsid w:val="00F457A9"/>
    <w:rsid w:val="00F46431"/>
    <w:rsid w:val="00F4717A"/>
    <w:rsid w:val="00F52488"/>
    <w:rsid w:val="00F544D9"/>
    <w:rsid w:val="00F55F78"/>
    <w:rsid w:val="00F571D8"/>
    <w:rsid w:val="00F6064F"/>
    <w:rsid w:val="00F60C57"/>
    <w:rsid w:val="00F64807"/>
    <w:rsid w:val="00F6568B"/>
    <w:rsid w:val="00F70220"/>
    <w:rsid w:val="00F71740"/>
    <w:rsid w:val="00F814D5"/>
    <w:rsid w:val="00F86F00"/>
    <w:rsid w:val="00F87643"/>
    <w:rsid w:val="00F9247B"/>
    <w:rsid w:val="00F92CB6"/>
    <w:rsid w:val="00F942C8"/>
    <w:rsid w:val="00F97FD4"/>
    <w:rsid w:val="00FA0A05"/>
    <w:rsid w:val="00FA0A6E"/>
    <w:rsid w:val="00FA3204"/>
    <w:rsid w:val="00FA3976"/>
    <w:rsid w:val="00FA4773"/>
    <w:rsid w:val="00FB248F"/>
    <w:rsid w:val="00FB2878"/>
    <w:rsid w:val="00FB2F0B"/>
    <w:rsid w:val="00FB3853"/>
    <w:rsid w:val="00FB3B74"/>
    <w:rsid w:val="00FB6DBC"/>
    <w:rsid w:val="00FB75ED"/>
    <w:rsid w:val="00FC1793"/>
    <w:rsid w:val="00FC349F"/>
    <w:rsid w:val="00FC714C"/>
    <w:rsid w:val="00FC748C"/>
    <w:rsid w:val="00FD1071"/>
    <w:rsid w:val="00FD275D"/>
    <w:rsid w:val="00FD6A91"/>
    <w:rsid w:val="00FE06D2"/>
    <w:rsid w:val="00FE12D4"/>
    <w:rsid w:val="00FE28A3"/>
    <w:rsid w:val="00FE2A44"/>
    <w:rsid w:val="00FE662D"/>
    <w:rsid w:val="00FF02DE"/>
    <w:rsid w:val="00FF0D78"/>
    <w:rsid w:val="00FF1FA1"/>
    <w:rsid w:val="00FF5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F40D2F"/>
  </w:style>
  <w:style w:type="paragraph" w:customStyle="1" w:styleId="Default">
    <w:name w:val="Default"/>
    <w:rsid w:val="001305C1"/>
    <w:pPr>
      <w:autoSpaceDE w:val="0"/>
      <w:autoSpaceDN w:val="0"/>
      <w:adjustRightInd w:val="0"/>
    </w:pPr>
    <w:rPr>
      <w:rFonts w:cs="Calibri"/>
      <w:color w:val="000000"/>
      <w:sz w:val="24"/>
      <w:szCs w:val="24"/>
    </w:rPr>
  </w:style>
  <w:style w:type="paragraph" w:styleId="Revision">
    <w:name w:val="Revision"/>
    <w:hidden/>
    <w:uiPriority w:val="71"/>
    <w:rsid w:val="002378C9"/>
    <w:rPr>
      <w:sz w:val="22"/>
      <w:szCs w:val="22"/>
    </w:rPr>
  </w:style>
  <w:style w:type="character" w:customStyle="1" w:styleId="ssens">
    <w:name w:val="ssens"/>
    <w:basedOn w:val="DefaultParagraphFont"/>
    <w:rsid w:val="00521FAA"/>
  </w:style>
</w:styles>
</file>

<file path=word/webSettings.xml><?xml version="1.0" encoding="utf-8"?>
<w:webSettings xmlns:r="http://schemas.openxmlformats.org/officeDocument/2006/relationships" xmlns:w="http://schemas.openxmlformats.org/wordprocessingml/2006/main">
  <w:divs>
    <w:div w:id="116528787">
      <w:bodyDiv w:val="1"/>
      <w:marLeft w:val="0"/>
      <w:marRight w:val="0"/>
      <w:marTop w:val="0"/>
      <w:marBottom w:val="0"/>
      <w:divBdr>
        <w:top w:val="none" w:sz="0" w:space="0" w:color="auto"/>
        <w:left w:val="none" w:sz="0" w:space="0" w:color="auto"/>
        <w:bottom w:val="none" w:sz="0" w:space="0" w:color="auto"/>
        <w:right w:val="none" w:sz="0" w:space="0" w:color="auto"/>
      </w:divBdr>
      <w:divsChild>
        <w:div w:id="115031268">
          <w:marLeft w:val="0"/>
          <w:marRight w:val="0"/>
          <w:marTop w:val="0"/>
          <w:marBottom w:val="0"/>
          <w:divBdr>
            <w:top w:val="none" w:sz="0" w:space="0" w:color="auto"/>
            <w:left w:val="none" w:sz="0" w:space="0" w:color="auto"/>
            <w:bottom w:val="none" w:sz="0" w:space="0" w:color="auto"/>
            <w:right w:val="none" w:sz="0" w:space="0" w:color="auto"/>
          </w:divBdr>
        </w:div>
        <w:div w:id="77289408">
          <w:marLeft w:val="0"/>
          <w:marRight w:val="0"/>
          <w:marTop w:val="0"/>
          <w:marBottom w:val="0"/>
          <w:divBdr>
            <w:top w:val="none" w:sz="0" w:space="0" w:color="auto"/>
            <w:left w:val="none" w:sz="0" w:space="0" w:color="auto"/>
            <w:bottom w:val="none" w:sz="0" w:space="0" w:color="auto"/>
            <w:right w:val="none" w:sz="0" w:space="0" w:color="auto"/>
          </w:divBdr>
        </w:div>
        <w:div w:id="2091461294">
          <w:marLeft w:val="0"/>
          <w:marRight w:val="0"/>
          <w:marTop w:val="0"/>
          <w:marBottom w:val="0"/>
          <w:divBdr>
            <w:top w:val="none" w:sz="0" w:space="0" w:color="auto"/>
            <w:left w:val="none" w:sz="0" w:space="0" w:color="auto"/>
            <w:bottom w:val="none" w:sz="0" w:space="0" w:color="auto"/>
            <w:right w:val="none" w:sz="0" w:space="0" w:color="auto"/>
          </w:divBdr>
        </w:div>
        <w:div w:id="1625162114">
          <w:marLeft w:val="0"/>
          <w:marRight w:val="0"/>
          <w:marTop w:val="0"/>
          <w:marBottom w:val="0"/>
          <w:divBdr>
            <w:top w:val="none" w:sz="0" w:space="0" w:color="auto"/>
            <w:left w:val="none" w:sz="0" w:space="0" w:color="auto"/>
            <w:bottom w:val="none" w:sz="0" w:space="0" w:color="auto"/>
            <w:right w:val="none" w:sz="0" w:space="0" w:color="auto"/>
          </w:divBdr>
        </w:div>
        <w:div w:id="1483307398">
          <w:marLeft w:val="0"/>
          <w:marRight w:val="0"/>
          <w:marTop w:val="0"/>
          <w:marBottom w:val="0"/>
          <w:divBdr>
            <w:top w:val="none" w:sz="0" w:space="0" w:color="auto"/>
            <w:left w:val="none" w:sz="0" w:space="0" w:color="auto"/>
            <w:bottom w:val="none" w:sz="0" w:space="0" w:color="auto"/>
            <w:right w:val="none" w:sz="0" w:space="0" w:color="auto"/>
          </w:divBdr>
        </w:div>
        <w:div w:id="844173369">
          <w:marLeft w:val="0"/>
          <w:marRight w:val="0"/>
          <w:marTop w:val="0"/>
          <w:marBottom w:val="0"/>
          <w:divBdr>
            <w:top w:val="none" w:sz="0" w:space="0" w:color="auto"/>
            <w:left w:val="none" w:sz="0" w:space="0" w:color="auto"/>
            <w:bottom w:val="none" w:sz="0" w:space="0" w:color="auto"/>
            <w:right w:val="none" w:sz="0" w:space="0" w:color="auto"/>
          </w:divBdr>
        </w:div>
        <w:div w:id="1774783271">
          <w:marLeft w:val="0"/>
          <w:marRight w:val="0"/>
          <w:marTop w:val="0"/>
          <w:marBottom w:val="0"/>
          <w:divBdr>
            <w:top w:val="none" w:sz="0" w:space="0" w:color="auto"/>
            <w:left w:val="none" w:sz="0" w:space="0" w:color="auto"/>
            <w:bottom w:val="none" w:sz="0" w:space="0" w:color="auto"/>
            <w:right w:val="none" w:sz="0" w:space="0" w:color="auto"/>
          </w:divBdr>
        </w:div>
        <w:div w:id="1549535641">
          <w:marLeft w:val="0"/>
          <w:marRight w:val="0"/>
          <w:marTop w:val="0"/>
          <w:marBottom w:val="0"/>
          <w:divBdr>
            <w:top w:val="none" w:sz="0" w:space="0" w:color="auto"/>
            <w:left w:val="none" w:sz="0" w:space="0" w:color="auto"/>
            <w:bottom w:val="none" w:sz="0" w:space="0" w:color="auto"/>
            <w:right w:val="none" w:sz="0" w:space="0" w:color="auto"/>
          </w:divBdr>
        </w:div>
        <w:div w:id="715276283">
          <w:marLeft w:val="0"/>
          <w:marRight w:val="0"/>
          <w:marTop w:val="0"/>
          <w:marBottom w:val="0"/>
          <w:divBdr>
            <w:top w:val="none" w:sz="0" w:space="0" w:color="auto"/>
            <w:left w:val="none" w:sz="0" w:space="0" w:color="auto"/>
            <w:bottom w:val="none" w:sz="0" w:space="0" w:color="auto"/>
            <w:right w:val="none" w:sz="0" w:space="0" w:color="auto"/>
          </w:divBdr>
        </w:div>
        <w:div w:id="709572183">
          <w:marLeft w:val="0"/>
          <w:marRight w:val="0"/>
          <w:marTop w:val="0"/>
          <w:marBottom w:val="0"/>
          <w:divBdr>
            <w:top w:val="none" w:sz="0" w:space="0" w:color="auto"/>
            <w:left w:val="none" w:sz="0" w:space="0" w:color="auto"/>
            <w:bottom w:val="none" w:sz="0" w:space="0" w:color="auto"/>
            <w:right w:val="none" w:sz="0" w:space="0" w:color="auto"/>
          </w:divBdr>
        </w:div>
        <w:div w:id="805701016">
          <w:marLeft w:val="0"/>
          <w:marRight w:val="0"/>
          <w:marTop w:val="0"/>
          <w:marBottom w:val="0"/>
          <w:divBdr>
            <w:top w:val="none" w:sz="0" w:space="0" w:color="auto"/>
            <w:left w:val="none" w:sz="0" w:space="0" w:color="auto"/>
            <w:bottom w:val="none" w:sz="0" w:space="0" w:color="auto"/>
            <w:right w:val="none" w:sz="0" w:space="0" w:color="auto"/>
          </w:divBdr>
        </w:div>
        <w:div w:id="422148195">
          <w:marLeft w:val="0"/>
          <w:marRight w:val="0"/>
          <w:marTop w:val="0"/>
          <w:marBottom w:val="0"/>
          <w:divBdr>
            <w:top w:val="none" w:sz="0" w:space="0" w:color="auto"/>
            <w:left w:val="none" w:sz="0" w:space="0" w:color="auto"/>
            <w:bottom w:val="none" w:sz="0" w:space="0" w:color="auto"/>
            <w:right w:val="none" w:sz="0" w:space="0" w:color="auto"/>
          </w:divBdr>
        </w:div>
      </w:divsChild>
    </w:div>
    <w:div w:id="416901323">
      <w:bodyDiv w:val="1"/>
      <w:marLeft w:val="0"/>
      <w:marRight w:val="0"/>
      <w:marTop w:val="0"/>
      <w:marBottom w:val="0"/>
      <w:divBdr>
        <w:top w:val="none" w:sz="0" w:space="0" w:color="auto"/>
        <w:left w:val="none" w:sz="0" w:space="0" w:color="auto"/>
        <w:bottom w:val="none" w:sz="0" w:space="0" w:color="auto"/>
        <w:right w:val="none" w:sz="0" w:space="0" w:color="auto"/>
      </w:divBdr>
      <w:divsChild>
        <w:div w:id="174685401">
          <w:marLeft w:val="0"/>
          <w:marRight w:val="0"/>
          <w:marTop w:val="0"/>
          <w:marBottom w:val="0"/>
          <w:divBdr>
            <w:top w:val="none" w:sz="0" w:space="0" w:color="auto"/>
            <w:left w:val="none" w:sz="0" w:space="0" w:color="auto"/>
            <w:bottom w:val="none" w:sz="0" w:space="0" w:color="auto"/>
            <w:right w:val="none" w:sz="0" w:space="0" w:color="auto"/>
          </w:divBdr>
        </w:div>
        <w:div w:id="913703683">
          <w:marLeft w:val="0"/>
          <w:marRight w:val="0"/>
          <w:marTop w:val="0"/>
          <w:marBottom w:val="0"/>
          <w:divBdr>
            <w:top w:val="none" w:sz="0" w:space="0" w:color="auto"/>
            <w:left w:val="none" w:sz="0" w:space="0" w:color="auto"/>
            <w:bottom w:val="none" w:sz="0" w:space="0" w:color="auto"/>
            <w:right w:val="none" w:sz="0" w:space="0" w:color="auto"/>
          </w:divBdr>
        </w:div>
        <w:div w:id="558050632">
          <w:marLeft w:val="0"/>
          <w:marRight w:val="0"/>
          <w:marTop w:val="0"/>
          <w:marBottom w:val="0"/>
          <w:divBdr>
            <w:top w:val="none" w:sz="0" w:space="0" w:color="auto"/>
            <w:left w:val="none" w:sz="0" w:space="0" w:color="auto"/>
            <w:bottom w:val="none" w:sz="0" w:space="0" w:color="auto"/>
            <w:right w:val="none" w:sz="0" w:space="0" w:color="auto"/>
          </w:divBdr>
        </w:div>
        <w:div w:id="825631895">
          <w:marLeft w:val="0"/>
          <w:marRight w:val="0"/>
          <w:marTop w:val="0"/>
          <w:marBottom w:val="0"/>
          <w:divBdr>
            <w:top w:val="none" w:sz="0" w:space="0" w:color="auto"/>
            <w:left w:val="none" w:sz="0" w:space="0" w:color="auto"/>
            <w:bottom w:val="none" w:sz="0" w:space="0" w:color="auto"/>
            <w:right w:val="none" w:sz="0" w:space="0" w:color="auto"/>
          </w:divBdr>
        </w:div>
        <w:div w:id="914633168">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15093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delleduca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c/3.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B13A-23C7-4716-ABD9-86513D17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38773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2014-04-07T16:52:00Z</cp:lastPrinted>
  <dcterms:created xsi:type="dcterms:W3CDTF">2014-04-17T18:11:00Z</dcterms:created>
  <dcterms:modified xsi:type="dcterms:W3CDTF">2014-04-17T18:11:00Z</dcterms:modified>
</cp:coreProperties>
</file>