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061D2A" w:rsidRPr="00677A89">
        <w:trPr>
          <w:trHeight w:val="1008"/>
        </w:trPr>
        <w:tc>
          <w:tcPr>
            <w:tcW w:w="1980" w:type="dxa"/>
            <w:tcBorders>
              <w:top w:val="nil"/>
              <w:bottom w:val="single" w:sz="18" w:space="0" w:color="FFFFFF" w:themeColor="background1"/>
            </w:tcBorders>
            <w:shd w:val="clear" w:color="auto" w:fill="403152" w:themeFill="accent4" w:themeFillShade="80"/>
            <w:vAlign w:val="center"/>
          </w:tcPr>
          <w:p w:rsidR="00061D2A" w:rsidRPr="00677A89" w:rsidRDefault="00665203" w:rsidP="005B1B50">
            <w:pPr>
              <w:pStyle w:val="Header-banner"/>
              <w:rPr>
                <w:rFonts w:asciiTheme="minorHAnsi" w:hAnsiTheme="minorHAnsi"/>
              </w:rPr>
            </w:pPr>
            <w:r>
              <w:rPr>
                <w:rFonts w:asciiTheme="minorHAnsi" w:hAnsiTheme="minorHAnsi"/>
              </w:rPr>
              <w:t>10</w:t>
            </w:r>
            <w:r w:rsidR="00DA2128">
              <w:rPr>
                <w:rFonts w:asciiTheme="minorHAnsi" w:hAnsiTheme="minorHAnsi"/>
              </w:rPr>
              <w:t>.3</w:t>
            </w:r>
            <w:r w:rsidR="00061D2A" w:rsidRPr="00677A89">
              <w:rPr>
                <w:rFonts w:asciiTheme="minorHAnsi" w:hAnsiTheme="minorHAnsi"/>
              </w:rPr>
              <w:t>.</w:t>
            </w:r>
            <w:r w:rsidR="00DA2128">
              <w:rPr>
                <w:rFonts w:asciiTheme="minorHAnsi" w:hAnsiTheme="minorHAnsi"/>
              </w:rPr>
              <w:t>2</w:t>
            </w:r>
          </w:p>
        </w:tc>
        <w:tc>
          <w:tcPr>
            <w:tcW w:w="7470" w:type="dxa"/>
            <w:tcBorders>
              <w:top w:val="nil"/>
              <w:bottom w:val="single" w:sz="18" w:space="0" w:color="FFFFFF" w:themeColor="background1"/>
            </w:tcBorders>
            <w:shd w:val="clear" w:color="auto" w:fill="5F497A" w:themeFill="accent4" w:themeFillShade="BF"/>
            <w:vAlign w:val="center"/>
          </w:tcPr>
          <w:p w:rsidR="00061D2A" w:rsidRPr="00677A89" w:rsidRDefault="00061D2A" w:rsidP="005B1B50">
            <w:pPr>
              <w:pStyle w:val="Header2banner"/>
              <w:rPr>
                <w:rFonts w:asciiTheme="minorHAnsi" w:hAnsiTheme="minorHAnsi"/>
              </w:rPr>
            </w:pPr>
            <w:r w:rsidRPr="00677A89">
              <w:rPr>
                <w:rFonts w:asciiTheme="minorHAnsi" w:hAnsiTheme="minorHAnsi"/>
              </w:rPr>
              <w:t>Unit Overview</w:t>
            </w:r>
          </w:p>
        </w:tc>
      </w:tr>
      <w:tr w:rsidR="00061D2A" w:rsidRPr="00677A89">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261BD8" w:rsidRDefault="007B2848" w:rsidP="00261BD8">
            <w:pPr>
              <w:pStyle w:val="Heading1nospace"/>
            </w:pPr>
            <w:r>
              <w:t>“</w:t>
            </w:r>
            <w:r w:rsidR="00261BD8">
              <w:t>Engaging in an Inquiry-</w:t>
            </w:r>
            <w:r w:rsidR="00C23C52">
              <w:t>Based</w:t>
            </w:r>
            <w:r w:rsidR="00261BD8">
              <w:t xml:space="preserve">, </w:t>
            </w:r>
          </w:p>
          <w:p w:rsidR="00061D2A" w:rsidRPr="00677A89" w:rsidRDefault="00261BD8" w:rsidP="00AE1D08">
            <w:pPr>
              <w:pStyle w:val="Heading1nospace"/>
              <w:rPr>
                <w:color w:val="403152" w:themeColor="accent4" w:themeShade="80"/>
              </w:rPr>
            </w:pPr>
            <w:r>
              <w:t xml:space="preserve">Iterative </w:t>
            </w:r>
            <w:r w:rsidR="00DA2128">
              <w:t xml:space="preserve">Research </w:t>
            </w:r>
            <w:r>
              <w:t>Process</w:t>
            </w:r>
            <w:r w:rsidR="00682DF8">
              <w:t xml:space="preserve"> to Write Argument</w:t>
            </w:r>
            <w:r w:rsidR="00812E56">
              <w:t>s</w:t>
            </w:r>
            <w:r w:rsidR="007B2848">
              <w:t>”</w:t>
            </w:r>
          </w:p>
        </w:tc>
      </w:tr>
      <w:tr w:rsidR="00061D2A" w:rsidRPr="00061D2A">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061D2A" w:rsidRPr="004528EF" w:rsidRDefault="00231384" w:rsidP="00E877B3">
            <w:pPr>
              <w:rPr>
                <w:b/>
                <w:color w:val="1F497D" w:themeColor="text2"/>
              </w:rPr>
            </w:pPr>
            <w:r>
              <w:rPr>
                <w:b/>
                <w:color w:val="1F497D" w:themeColor="text2"/>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EF3609" w:rsidRDefault="00EF3609" w:rsidP="00E877B3">
            <w:r>
              <w:t>Students choose texts for research based on</w:t>
            </w:r>
            <w:r w:rsidR="00682DF8">
              <w:t xml:space="preserve"> their problem-based question</w:t>
            </w:r>
            <w:r>
              <w:t>.</w:t>
            </w:r>
          </w:p>
          <w:p w:rsidR="00917AAB" w:rsidRPr="004247A8" w:rsidRDefault="00917AAB" w:rsidP="00E877B3">
            <w:pPr>
              <w:rPr>
                <w:i/>
              </w:rPr>
            </w:pPr>
            <w:r w:rsidRPr="004247A8">
              <w:rPr>
                <w:i/>
              </w:rPr>
              <w:t>Model</w:t>
            </w:r>
            <w:r w:rsidR="00B03810" w:rsidRPr="004247A8">
              <w:rPr>
                <w:i/>
              </w:rPr>
              <w:t xml:space="preserve"> Research</w:t>
            </w:r>
            <w:r w:rsidRPr="004247A8">
              <w:rPr>
                <w:i/>
              </w:rPr>
              <w:t xml:space="preserve"> Sources: </w:t>
            </w:r>
          </w:p>
          <w:p w:rsidR="007578BE" w:rsidRDefault="00670FAD" w:rsidP="0038216C">
            <w:pPr>
              <w:pStyle w:val="BulletedList"/>
            </w:pPr>
            <w:r>
              <w:t>“A Court Allows Payment for Bone Marrow. Should People Be Able to Sell Their Parts? by</w:t>
            </w:r>
            <w:r w:rsidR="00665203" w:rsidRPr="00665203">
              <w:t xml:space="preserve"> Alice Park </w:t>
            </w:r>
            <w:r w:rsidR="00A722B8">
              <w:t>(Source #1)</w:t>
            </w:r>
          </w:p>
          <w:p w:rsidR="007578BE" w:rsidRDefault="00665203" w:rsidP="00231384">
            <w:pPr>
              <w:pStyle w:val="BulletedList"/>
            </w:pPr>
            <w:r>
              <w:t>“</w:t>
            </w:r>
            <w:r w:rsidR="00231384">
              <w:t>Do We Own Our Bodily T</w:t>
            </w:r>
            <w:r w:rsidRPr="00665203">
              <w:t xml:space="preserve">issues?” </w:t>
            </w:r>
            <w:r>
              <w:t xml:space="preserve">by </w:t>
            </w:r>
            <w:r w:rsidRPr="00665203">
              <w:t xml:space="preserve">Margaret Ng </w:t>
            </w:r>
            <w:proofErr w:type="spellStart"/>
            <w:r w:rsidRPr="00665203">
              <w:t>Thow</w:t>
            </w:r>
            <w:proofErr w:type="spellEnd"/>
            <w:r w:rsidRPr="00665203">
              <w:t xml:space="preserve"> </w:t>
            </w:r>
            <w:proofErr w:type="spellStart"/>
            <w:r w:rsidRPr="00665203">
              <w:t>Hing</w:t>
            </w:r>
            <w:proofErr w:type="spellEnd"/>
            <w:r w:rsidR="00231384">
              <w:t xml:space="preserve"> </w:t>
            </w:r>
            <w:r w:rsidR="00A722B8">
              <w:t>(Source #2)</w:t>
            </w:r>
          </w:p>
          <w:p w:rsidR="00682DF8" w:rsidRDefault="00682DF8" w:rsidP="0038216C">
            <w:pPr>
              <w:pStyle w:val="BulletedList"/>
            </w:pPr>
            <w:r w:rsidRPr="00665203">
              <w:t>“Paying Patients for Their Tissue</w:t>
            </w:r>
            <w:r>
              <w:t>: The Legacy of Henrietta Lacks</w:t>
            </w:r>
            <w:r w:rsidRPr="00665203">
              <w:t>”</w:t>
            </w:r>
            <w:r>
              <w:t xml:space="preserve"> by Robert D. </w:t>
            </w:r>
            <w:proofErr w:type="spellStart"/>
            <w:r>
              <w:t>Truog</w:t>
            </w:r>
            <w:proofErr w:type="spellEnd"/>
            <w:r>
              <w:t xml:space="preserve">, Aaron S. </w:t>
            </w:r>
            <w:proofErr w:type="spellStart"/>
            <w:r>
              <w:t>Kesselheim</w:t>
            </w:r>
            <w:proofErr w:type="spellEnd"/>
            <w:r>
              <w:t xml:space="preserve"> and Steven </w:t>
            </w:r>
            <w:proofErr w:type="spellStart"/>
            <w:r>
              <w:t>Joffe</w:t>
            </w:r>
            <w:proofErr w:type="spellEnd"/>
            <w:r>
              <w:t xml:space="preserve"> (Source #3)</w:t>
            </w:r>
          </w:p>
          <w:p w:rsidR="007578BE" w:rsidRDefault="00665203" w:rsidP="0038216C">
            <w:pPr>
              <w:pStyle w:val="BulletedList"/>
            </w:pPr>
            <w:r w:rsidRPr="00B0171F">
              <w:t>“</w:t>
            </w:r>
            <w:r w:rsidRPr="00CF306D">
              <w:t>Tissue Banks Trigger Worry About Ownership Issues</w:t>
            </w:r>
            <w:r w:rsidR="00231384">
              <w:t>” by Charlie Schmidt</w:t>
            </w:r>
            <w:r>
              <w:t xml:space="preserve"> </w:t>
            </w:r>
            <w:r w:rsidR="00682DF8">
              <w:t>(Source #4</w:t>
            </w:r>
            <w:r w:rsidR="00A722B8">
              <w:t>)</w:t>
            </w:r>
          </w:p>
          <w:p w:rsidR="00682DF8" w:rsidRDefault="00682DF8" w:rsidP="0038216C">
            <w:pPr>
              <w:pStyle w:val="BulletedList"/>
            </w:pPr>
            <w:r w:rsidRPr="00665203">
              <w:t>“Human Tissue for Sale: What Are the Costs?”</w:t>
            </w:r>
            <w:r w:rsidR="00231384">
              <w:t xml:space="preserve"> by Deborah </w:t>
            </w:r>
            <w:proofErr w:type="spellStart"/>
            <w:r w:rsidR="00231384">
              <w:t>Josefson</w:t>
            </w:r>
            <w:proofErr w:type="spellEnd"/>
            <w:r w:rsidR="00231384">
              <w:t xml:space="preserve"> (Source </w:t>
            </w:r>
            <w:r>
              <w:t>#5)</w:t>
            </w:r>
          </w:p>
          <w:p w:rsidR="00682DF8" w:rsidRDefault="00682DF8" w:rsidP="0038216C">
            <w:pPr>
              <w:pStyle w:val="BulletedList"/>
            </w:pPr>
            <w:r>
              <w:t>“</w:t>
            </w:r>
            <w:r w:rsidR="00231384">
              <w:t>My B</w:t>
            </w:r>
            <w:r w:rsidRPr="00665203">
              <w:t>ody,</w:t>
            </w:r>
            <w:r w:rsidR="00231384">
              <w:t xml:space="preserve"> My P</w:t>
            </w:r>
            <w:r w:rsidRPr="00665203">
              <w:t>roperty”</w:t>
            </w:r>
            <w:r>
              <w:t xml:space="preserve"> by</w:t>
            </w:r>
            <w:r w:rsidRPr="00665203">
              <w:t xml:space="preserve"> Lori B. Andrews</w:t>
            </w:r>
            <w:r>
              <w:t xml:space="preserve"> (Source #6)</w:t>
            </w:r>
          </w:p>
          <w:p w:rsidR="00665203" w:rsidRPr="00677A89" w:rsidRDefault="007578BE" w:rsidP="00231384">
            <w:pPr>
              <w:pStyle w:val="BulletedList"/>
            </w:pPr>
            <w:r>
              <w:t>“</w:t>
            </w:r>
            <w:r w:rsidR="00665203" w:rsidRPr="00665203">
              <w:t>Body of Research</w:t>
            </w:r>
            <w:r w:rsidR="00A729C7">
              <w:t>—</w:t>
            </w:r>
            <w:r w:rsidR="00665203" w:rsidRPr="00665203">
              <w:t xml:space="preserve">Ownership and Use of Human Tissue” </w:t>
            </w:r>
            <w:r w:rsidR="00665203">
              <w:t xml:space="preserve">by R. Alta </w:t>
            </w:r>
            <w:proofErr w:type="spellStart"/>
            <w:r w:rsidR="00665203">
              <w:t>Charo</w:t>
            </w:r>
            <w:proofErr w:type="spellEnd"/>
            <w:r w:rsidR="00665203">
              <w:t xml:space="preserve"> </w:t>
            </w:r>
            <w:r w:rsidR="00682DF8">
              <w:t>(Source #7</w:t>
            </w:r>
            <w:r w:rsidR="00A722B8">
              <w:t>)</w:t>
            </w:r>
          </w:p>
        </w:tc>
      </w:tr>
      <w:tr w:rsidR="00061D2A" w:rsidRPr="00061D2A">
        <w:trPr>
          <w:trHeight w:val="576"/>
        </w:trPr>
        <w:tc>
          <w:tcPr>
            <w:tcW w:w="1980" w:type="dxa"/>
            <w:tcBorders>
              <w:top w:val="single" w:sz="8" w:space="0" w:color="403152" w:themeColor="accent4" w:themeShade="80"/>
              <w:bottom w:val="nil"/>
            </w:tcBorders>
            <w:shd w:val="solid" w:color="F2F2F2" w:themeColor="background1" w:themeShade="F2" w:fill="auto"/>
            <w:vAlign w:val="center"/>
          </w:tcPr>
          <w:p w:rsidR="00061D2A" w:rsidRPr="004528EF" w:rsidRDefault="00061D2A" w:rsidP="00FA7925">
            <w:pPr>
              <w:rPr>
                <w:b/>
                <w:color w:val="1F497D" w:themeColor="text2"/>
              </w:rPr>
            </w:pPr>
            <w:r w:rsidRPr="004528EF">
              <w:rPr>
                <w:b/>
                <w:color w:val="1F497D" w:themeColor="text2"/>
              </w:rPr>
              <w:t xml:space="preserve">Number of </w:t>
            </w:r>
            <w:r w:rsidR="00020206" w:rsidRPr="004528EF">
              <w:rPr>
                <w:b/>
                <w:color w:val="1F497D" w:themeColor="text2"/>
              </w:rPr>
              <w:t>Lesson</w:t>
            </w:r>
            <w:r w:rsidR="00F25828">
              <w:rPr>
                <w:b/>
                <w:color w:val="1F497D" w:themeColor="text2"/>
              </w:rPr>
              <w:t xml:space="preserve">s in </w:t>
            </w:r>
            <w:r w:rsidRPr="004528EF">
              <w:rPr>
                <w:b/>
                <w:color w:val="1F497D" w:themeColor="text2"/>
              </w:rPr>
              <w:t>Unit</w:t>
            </w:r>
          </w:p>
        </w:tc>
        <w:tc>
          <w:tcPr>
            <w:tcW w:w="7470" w:type="dxa"/>
            <w:tcBorders>
              <w:top w:val="single" w:sz="8" w:space="0" w:color="403152" w:themeColor="accent4" w:themeShade="80"/>
              <w:bottom w:val="nil"/>
            </w:tcBorders>
            <w:shd w:val="solid" w:color="F2F2F2" w:themeColor="background1" w:themeShade="F2" w:fill="auto"/>
            <w:vAlign w:val="center"/>
          </w:tcPr>
          <w:p w:rsidR="00061D2A" w:rsidRPr="00061D2A" w:rsidRDefault="00982E0A" w:rsidP="00E877B3">
            <w:r>
              <w:t>1</w:t>
            </w:r>
            <w:r w:rsidR="00665203">
              <w:t>3</w:t>
            </w:r>
          </w:p>
        </w:tc>
      </w:tr>
    </w:tbl>
    <w:p w:rsidR="00342015" w:rsidRDefault="00342015" w:rsidP="00677A89">
      <w:pPr>
        <w:pStyle w:val="Heading1"/>
      </w:pPr>
      <w:r w:rsidRPr="00677A89">
        <w:t>Introduction</w:t>
      </w:r>
    </w:p>
    <w:p w:rsidR="00677A89" w:rsidRDefault="00677A89" w:rsidP="0081255B">
      <w:pPr>
        <w:tabs>
          <w:tab w:val="left" w:pos="3510"/>
        </w:tabs>
      </w:pPr>
      <w:r w:rsidRPr="00677A89">
        <w:t xml:space="preserve">In </w:t>
      </w:r>
      <w:r w:rsidR="00E646A3">
        <w:t>th</w:t>
      </w:r>
      <w:r w:rsidR="00355438">
        <w:t>is</w:t>
      </w:r>
      <w:r w:rsidR="000029D7">
        <w:t xml:space="preserve"> unit</w:t>
      </w:r>
      <w:r w:rsidRPr="00677A89">
        <w:t xml:space="preserve">, students </w:t>
      </w:r>
      <w:r w:rsidR="00DA2128">
        <w:t xml:space="preserve">continue the </w:t>
      </w:r>
      <w:r w:rsidR="006D3702">
        <w:t xml:space="preserve">research </w:t>
      </w:r>
      <w:r w:rsidR="00DA2128">
        <w:t>process begun in Unit</w:t>
      </w:r>
      <w:r w:rsidR="0068643A">
        <w:t xml:space="preserve"> 1</w:t>
      </w:r>
      <w:r w:rsidR="00527161">
        <w:t>.</w:t>
      </w:r>
      <w:r w:rsidR="0068643A">
        <w:t xml:space="preserve"> </w:t>
      </w:r>
      <w:r w:rsidR="00527161">
        <w:t xml:space="preserve">Students begin to deeply engage in this </w:t>
      </w:r>
      <w:r w:rsidR="0068643A">
        <w:t>iterative, non-linear</w:t>
      </w:r>
      <w:r w:rsidR="00DA2128">
        <w:t xml:space="preserve"> process</w:t>
      </w:r>
      <w:r w:rsidR="0068643A">
        <w:t xml:space="preserve"> </w:t>
      </w:r>
      <w:r w:rsidR="00527161">
        <w:t xml:space="preserve">with the goal of deepening </w:t>
      </w:r>
      <w:r w:rsidR="0068643A">
        <w:t>students’ understanding of topic</w:t>
      </w:r>
      <w:r w:rsidR="00ED3458">
        <w:t>s</w:t>
      </w:r>
      <w:r w:rsidR="001B1708">
        <w:t xml:space="preserve"> and issues that may lead to argument writing</w:t>
      </w:r>
      <w:r w:rsidR="0068643A">
        <w:t>. Students continue to learn how to</w:t>
      </w:r>
      <w:r w:rsidR="000029D7">
        <w:t xml:space="preserve"> </w:t>
      </w:r>
      <w:r w:rsidR="003C2009">
        <w:t xml:space="preserve">use </w:t>
      </w:r>
      <w:r w:rsidR="006C2E94">
        <w:t xml:space="preserve">the </w:t>
      </w:r>
      <w:r w:rsidR="000029D7">
        <w:t>inquiry</w:t>
      </w:r>
      <w:r w:rsidR="003C2009">
        <w:t xml:space="preserve">-based </w:t>
      </w:r>
      <w:r w:rsidR="006C2E94">
        <w:t xml:space="preserve">research </w:t>
      </w:r>
      <w:r w:rsidR="003C2009">
        <w:t>process to</w:t>
      </w:r>
      <w:r w:rsidR="000029D7">
        <w:t xml:space="preserve"> </w:t>
      </w:r>
      <w:r w:rsidR="0068643A">
        <w:t xml:space="preserve">gather, assess, </w:t>
      </w:r>
      <w:r w:rsidR="003C2009">
        <w:t>read</w:t>
      </w:r>
      <w:r w:rsidR="00C23C52">
        <w:t>,</w:t>
      </w:r>
      <w:r w:rsidR="003C2009">
        <w:t xml:space="preserve"> </w:t>
      </w:r>
      <w:r w:rsidR="0068643A">
        <w:t xml:space="preserve">and </w:t>
      </w:r>
      <w:r w:rsidR="003C2009">
        <w:t xml:space="preserve">analyze </w:t>
      </w:r>
      <w:r w:rsidR="0068643A">
        <w:t>sources</w:t>
      </w:r>
      <w:r w:rsidR="00355438">
        <w:t>,</w:t>
      </w:r>
      <w:r w:rsidR="000029D7">
        <w:t xml:space="preserve"> </w:t>
      </w:r>
      <w:r w:rsidR="00120201">
        <w:t xml:space="preserve">while </w:t>
      </w:r>
      <w:r w:rsidR="000029D7">
        <w:t>organizing and synthesizing</w:t>
      </w:r>
      <w:r w:rsidR="001B1708">
        <w:t xml:space="preserve"> research to develop</w:t>
      </w:r>
      <w:r w:rsidR="0068643A">
        <w:t xml:space="preserve"> claims</w:t>
      </w:r>
      <w:r w:rsidR="001B1708">
        <w:t xml:space="preserve"> and counterclaims</w:t>
      </w:r>
      <w:r w:rsidR="0068643A">
        <w:t xml:space="preserve"> abo</w:t>
      </w:r>
      <w:r w:rsidR="00EF7729">
        <w:t>ut a specific</w:t>
      </w:r>
      <w:r w:rsidR="001B1708">
        <w:t xml:space="preserve"> problem-based question</w:t>
      </w:r>
      <w:r w:rsidR="0068643A">
        <w:t xml:space="preserve">. </w:t>
      </w:r>
    </w:p>
    <w:p w:rsidR="00686CE7" w:rsidRDefault="00677A89" w:rsidP="00677A89">
      <w:r w:rsidRPr="00677A89">
        <w:t xml:space="preserve">Students </w:t>
      </w:r>
      <w:r w:rsidR="00301A1E">
        <w:t xml:space="preserve">are </w:t>
      </w:r>
      <w:r w:rsidR="002D29FF">
        <w:t xml:space="preserve">formally introduced to </w:t>
      </w:r>
      <w:r w:rsidR="00352C49">
        <w:t xml:space="preserve">the </w:t>
      </w:r>
      <w:r w:rsidR="00535C3A">
        <w:t>research process</w:t>
      </w:r>
      <w:r w:rsidR="002D29FF">
        <w:t xml:space="preserve"> by creating a Research Portfolio </w:t>
      </w:r>
      <w:r w:rsidR="00DD59D1">
        <w:t xml:space="preserve">and </w:t>
      </w:r>
      <w:r w:rsidR="00686CE7">
        <w:t>learning about</w:t>
      </w:r>
      <w:r w:rsidR="00DD59D1">
        <w:t xml:space="preserve"> the Student Research Plan</w:t>
      </w:r>
      <w:r w:rsidR="00C23C52">
        <w:t>,</w:t>
      </w:r>
      <w:r w:rsidR="00DD59D1">
        <w:t xml:space="preserve"> a </w:t>
      </w:r>
      <w:r w:rsidR="00BB278B">
        <w:t xml:space="preserve">roadmap </w:t>
      </w:r>
      <w:r w:rsidR="00DD59D1">
        <w:t>for students to reflect on their</w:t>
      </w:r>
      <w:r w:rsidR="001B1708">
        <w:t xml:space="preserve"> ongoing</w:t>
      </w:r>
      <w:r w:rsidR="00DD59D1">
        <w:t xml:space="preserve"> r</w:t>
      </w:r>
      <w:r w:rsidR="000029D7">
        <w:t xml:space="preserve">esearch progress </w:t>
      </w:r>
      <w:r w:rsidR="000029D7">
        <w:lastRenderedPageBreak/>
        <w:t>and next steps.</w:t>
      </w:r>
      <w:r w:rsidR="00DD59D1">
        <w:t xml:space="preserve"> </w:t>
      </w:r>
      <w:r w:rsidR="00C73E72">
        <w:t>Students vet</w:t>
      </w:r>
      <w:r w:rsidR="006402AF">
        <w:t xml:space="preserve"> areas of investigation</w:t>
      </w:r>
      <w:r w:rsidR="001B1708">
        <w:t>,</w:t>
      </w:r>
      <w:r w:rsidR="006402AF">
        <w:t xml:space="preserve"> developed</w:t>
      </w:r>
      <w:r w:rsidR="002D29FF">
        <w:t xml:space="preserve"> in Unit 1</w:t>
      </w:r>
      <w:r w:rsidR="001B1708">
        <w:t>,</w:t>
      </w:r>
      <w:r w:rsidR="002D29FF">
        <w:t xml:space="preserve"> to focus on a specific research</w:t>
      </w:r>
      <w:r w:rsidR="001B1708">
        <w:t xml:space="preserve"> topic/issue</w:t>
      </w:r>
      <w:r w:rsidR="002D29FF">
        <w:t>.</w:t>
      </w:r>
      <w:r w:rsidR="000029D7">
        <w:t xml:space="preserve"> From there,</w:t>
      </w:r>
      <w:r w:rsidR="002D29FF">
        <w:t xml:space="preserve"> </w:t>
      </w:r>
      <w:r w:rsidR="000029D7">
        <w:t>s</w:t>
      </w:r>
      <w:r w:rsidR="002D29FF">
        <w:t>tudents learn how to</w:t>
      </w:r>
      <w:r w:rsidR="006402AF">
        <w:t xml:space="preserve"> develop specific inquiry questions</w:t>
      </w:r>
      <w:r w:rsidR="000029D7">
        <w:t xml:space="preserve"> and </w:t>
      </w:r>
      <w:r w:rsidR="002D29FF">
        <w:t xml:space="preserve">choose credible, </w:t>
      </w:r>
      <w:r w:rsidR="00DD59D1">
        <w:t xml:space="preserve">relevant, and </w:t>
      </w:r>
      <w:r w:rsidR="00E018D6">
        <w:t xml:space="preserve">accessible </w:t>
      </w:r>
      <w:r w:rsidR="002D29FF">
        <w:t>sour</w:t>
      </w:r>
      <w:r w:rsidR="00C73E72">
        <w:t>ces by planning for searches,</w:t>
      </w:r>
      <w:r w:rsidR="002D29FF">
        <w:t xml:space="preserve"> assessing sources</w:t>
      </w:r>
      <w:r w:rsidR="001B1708">
        <w:t xml:space="preserve">, </w:t>
      </w:r>
      <w:r w:rsidR="00C73E72">
        <w:t>annotating</w:t>
      </w:r>
      <w:r w:rsidR="001B1708">
        <w:t xml:space="preserve"> sources,</w:t>
      </w:r>
      <w:r w:rsidR="00C73E72">
        <w:t xml:space="preserve"> taking notes</w:t>
      </w:r>
      <w:r w:rsidR="001B1708">
        <w:t>, and evaluating arguments</w:t>
      </w:r>
      <w:r w:rsidR="002D29FF">
        <w:t xml:space="preserve"> effectively</w:t>
      </w:r>
      <w:r w:rsidR="00BF6AB4">
        <w:t xml:space="preserve">. </w:t>
      </w:r>
    </w:p>
    <w:p w:rsidR="00677A89" w:rsidRDefault="00BF6AB4" w:rsidP="00677A89">
      <w:r>
        <w:t xml:space="preserve">Through these inquiry steps, students </w:t>
      </w:r>
      <w:r w:rsidR="001B1708">
        <w:t>create a problem-based question and an</w:t>
      </w:r>
      <w:r w:rsidR="002D29FF">
        <w:t xml:space="preserve"> initial </w:t>
      </w:r>
      <w:r w:rsidR="00F43AF8">
        <w:t xml:space="preserve">research </w:t>
      </w:r>
      <w:r w:rsidR="002D29FF">
        <w:t>frame that guide</w:t>
      </w:r>
      <w:r w:rsidR="00C23C52">
        <w:t>s</w:t>
      </w:r>
      <w:r w:rsidR="002D29FF">
        <w:t xml:space="preserve"> independent searches. Using</w:t>
      </w:r>
      <w:r w:rsidR="006402AF">
        <w:t xml:space="preserve"> the</w:t>
      </w:r>
      <w:r w:rsidR="00C73E72">
        <w:t xml:space="preserve"> </w:t>
      </w:r>
      <w:r w:rsidR="002D29FF">
        <w:t>reading skills developed in previous modules</w:t>
      </w:r>
      <w:r w:rsidR="006402AF">
        <w:t xml:space="preserve"> and </w:t>
      </w:r>
      <w:r w:rsidR="00C23C52">
        <w:t xml:space="preserve">the </w:t>
      </w:r>
      <w:r w:rsidR="006402AF">
        <w:t xml:space="preserve">source </w:t>
      </w:r>
      <w:r w:rsidR="00C23C52">
        <w:t xml:space="preserve">assessment </w:t>
      </w:r>
      <w:r w:rsidR="006402AF">
        <w:t>skills</w:t>
      </w:r>
      <w:r w:rsidR="00EC5F49">
        <w:t xml:space="preserve"> introduced in this unit</w:t>
      </w:r>
      <w:r w:rsidR="006402AF">
        <w:t xml:space="preserve">, </w:t>
      </w:r>
      <w:r w:rsidR="002D29FF">
        <w:t xml:space="preserve">students </w:t>
      </w:r>
      <w:r w:rsidR="00504A29">
        <w:t>conduct independent</w:t>
      </w:r>
      <w:r w:rsidR="00C73E72">
        <w:t xml:space="preserve"> research </w:t>
      </w:r>
      <w:r w:rsidR="00E018D6">
        <w:t>by using inquiry questions to explore and deepen their understanding of the</w:t>
      </w:r>
      <w:r w:rsidR="00204A3C">
        <w:t>ir</w:t>
      </w:r>
      <w:r w:rsidR="00E018D6">
        <w:t xml:space="preserve"> specific</w:t>
      </w:r>
      <w:r w:rsidR="001B1708">
        <w:t xml:space="preserve"> problem-based question</w:t>
      </w:r>
      <w:r w:rsidR="001B5004">
        <w:t xml:space="preserve">. As the research process </w:t>
      </w:r>
      <w:r w:rsidR="00C95E77">
        <w:t>continues</w:t>
      </w:r>
      <w:r w:rsidR="001B5004">
        <w:t xml:space="preserve">, students continually </w:t>
      </w:r>
      <w:r w:rsidR="00355438">
        <w:t>revisit</w:t>
      </w:r>
      <w:r w:rsidR="001B5004">
        <w:t xml:space="preserve"> the research frame to analyze the</w:t>
      </w:r>
      <w:r w:rsidR="00C95E77">
        <w:t>ir</w:t>
      </w:r>
      <w:r w:rsidR="001B5004">
        <w:t xml:space="preserve"> research direction and focus, </w:t>
      </w:r>
      <w:r w:rsidR="00C95E77">
        <w:t xml:space="preserve">while </w:t>
      </w:r>
      <w:r w:rsidR="00E5074E">
        <w:t>assessing</w:t>
      </w:r>
      <w:r w:rsidR="00355438">
        <w:t xml:space="preserve"> and </w:t>
      </w:r>
      <w:r w:rsidR="001B5004">
        <w:t>making changes as necessary</w:t>
      </w:r>
      <w:r w:rsidR="00834B3B">
        <w:t xml:space="preserve">. </w:t>
      </w:r>
      <w:r w:rsidR="001B5004">
        <w:t xml:space="preserve">As </w:t>
      </w:r>
      <w:r w:rsidR="00352C49">
        <w:t xml:space="preserve">this cyclical and iterative </w:t>
      </w:r>
      <w:r w:rsidR="001B5004">
        <w:t xml:space="preserve">research process evolves, students </w:t>
      </w:r>
      <w:r w:rsidR="0046636D">
        <w:t>begin to organize and synthesize the</w:t>
      </w:r>
      <w:r w:rsidR="00E5074E">
        <w:t>ir</w:t>
      </w:r>
      <w:r w:rsidR="0046636D">
        <w:t xml:space="preserve"> </w:t>
      </w:r>
      <w:r w:rsidR="00EA5E1C">
        <w:t>data</w:t>
      </w:r>
      <w:r w:rsidR="00E5074E">
        <w:t>, make</w:t>
      </w:r>
      <w:r w:rsidR="0046636D">
        <w:t xml:space="preserve"> claims about inquiry paths, and eventually the</w:t>
      </w:r>
      <w:r w:rsidR="001B1708">
        <w:t xml:space="preserve"> problem-based question itself</w:t>
      </w:r>
      <w:r w:rsidR="006402AF">
        <w:t>.</w:t>
      </w:r>
    </w:p>
    <w:p w:rsidR="00277D60" w:rsidRPr="00677A89" w:rsidRDefault="001B1708" w:rsidP="00677A89">
      <w:r>
        <w:t xml:space="preserve">Additionally, </w:t>
      </w:r>
      <w:r w:rsidR="00277D60">
        <w:t>students are exposed to the fundamentals of argument-based writing through the examination and delineation of arguments. Students work to identify the effective comp</w:t>
      </w:r>
      <w:r>
        <w:t>onents of argument-</w:t>
      </w:r>
      <w:r w:rsidR="00686CE7">
        <w:t xml:space="preserve">based writing and </w:t>
      </w:r>
      <w:r w:rsidR="00277D60">
        <w:t>begin to expand their understanding of effective argument writing by establishing counterclaims</w:t>
      </w:r>
      <w:r>
        <w:t xml:space="preserve"> opposing their claims.</w:t>
      </w:r>
    </w:p>
    <w:p w:rsidR="00677A89" w:rsidRDefault="00126AD9" w:rsidP="00677A89">
      <w:r>
        <w:t>There is one formal assessment in this unit;</w:t>
      </w:r>
      <w:r w:rsidR="00917AAB">
        <w:t xml:space="preserve"> however, st</w:t>
      </w:r>
      <w:r w:rsidR="00B8151D">
        <w:t xml:space="preserve">udents continually reflect on their research progress by journaling about their research progress and next steps using a </w:t>
      </w:r>
      <w:r w:rsidR="00C23C52">
        <w:t>Research Journal</w:t>
      </w:r>
      <w:r w:rsidR="00B8151D">
        <w:t>. The End</w:t>
      </w:r>
      <w:r w:rsidR="00677A89" w:rsidRPr="00677A89">
        <w:t>-</w:t>
      </w:r>
      <w:r w:rsidR="00B8151D">
        <w:t xml:space="preserve">of-Unit Assessment asks students to develop </w:t>
      </w:r>
      <w:r w:rsidR="002E05EA">
        <w:t>an Evidence-Based Perspective by writing</w:t>
      </w:r>
      <w:r w:rsidR="00C770EC">
        <w:t xml:space="preserve"> a one-page synthesis of their personal conclusions an</w:t>
      </w:r>
      <w:r w:rsidR="002E05EA">
        <w:t>d perspective derived from the</w:t>
      </w:r>
      <w:r w:rsidR="00C770EC">
        <w:t xml:space="preserve"> research </w:t>
      </w:r>
      <w:r w:rsidR="00B16D2E">
        <w:t>(</w:t>
      </w:r>
      <w:r w:rsidR="002E05EA">
        <w:t>W.9-10.7, W.9-10.9)</w:t>
      </w:r>
      <w:r w:rsidR="00677A89" w:rsidRPr="00677A89">
        <w:t xml:space="preserve">. </w:t>
      </w:r>
    </w:p>
    <w:p w:rsidR="00677A89" w:rsidRPr="00677A89" w:rsidRDefault="00677A89" w:rsidP="00677A89">
      <w:r w:rsidRPr="00677A89">
        <w:rPr>
          <w:b/>
        </w:rPr>
        <w:t>Note:</w:t>
      </w:r>
      <w:r>
        <w:t xml:space="preserve"> </w:t>
      </w:r>
      <w:r w:rsidRPr="00677A89">
        <w:t xml:space="preserve">This unit </w:t>
      </w:r>
      <w:r w:rsidR="002E05EA">
        <w:t xml:space="preserve">suspends </w:t>
      </w:r>
      <w:r w:rsidRPr="00677A89">
        <w:t>Account</w:t>
      </w:r>
      <w:r w:rsidR="002E05EA">
        <w:t>able Independent Reading (AIR)</w:t>
      </w:r>
      <w:r w:rsidR="00C23C52">
        <w:t>. S</w:t>
      </w:r>
      <w:r w:rsidR="002E05EA">
        <w:t xml:space="preserve">tudents </w:t>
      </w:r>
      <w:r w:rsidR="00C23C52">
        <w:t>are</w:t>
      </w:r>
      <w:r w:rsidR="00EA5E1C">
        <w:t xml:space="preserve"> held accountable for </w:t>
      </w:r>
      <w:r w:rsidR="002E05EA">
        <w:t>build</w:t>
      </w:r>
      <w:r w:rsidR="00EA5E1C">
        <w:t>ing</w:t>
      </w:r>
      <w:r w:rsidR="002E05EA">
        <w:t xml:space="preserve"> a volume of independent reading as they read multiple sources and refine and deepen their under</w:t>
      </w:r>
      <w:r w:rsidR="001B1708">
        <w:t>standing of their inquiry topic and later, problem-based question.</w:t>
      </w:r>
    </w:p>
    <w:p w:rsidR="00D87C94" w:rsidRDefault="00B87A2A" w:rsidP="00231384">
      <w:pPr>
        <w:pStyle w:val="Heading1"/>
        <w:spacing w:before="360"/>
      </w:pPr>
      <w:r>
        <w:t>Literacy Skills &amp; Habits</w:t>
      </w:r>
    </w:p>
    <w:p w:rsidR="00677A89" w:rsidRDefault="006402AF" w:rsidP="00677A89">
      <w:pPr>
        <w:pStyle w:val="BulletedList"/>
      </w:pPr>
      <w:r>
        <w:t xml:space="preserve">Assess sources for credibility, relevance, and </w:t>
      </w:r>
      <w:r w:rsidR="00232F1D">
        <w:t>accessibility</w:t>
      </w:r>
      <w:r w:rsidR="0030292A">
        <w:t>.</w:t>
      </w:r>
    </w:p>
    <w:p w:rsidR="00232F1D" w:rsidRDefault="00232F1D" w:rsidP="00677A89">
      <w:pPr>
        <w:pStyle w:val="BulletedList"/>
      </w:pPr>
      <w:r>
        <w:t>Conduct independent searches using research process</w:t>
      </w:r>
      <w:r w:rsidR="0030292A">
        <w:t>es</w:t>
      </w:r>
      <w:r>
        <w:t xml:space="preserve"> including planning f</w:t>
      </w:r>
      <w:r w:rsidR="001B1708">
        <w:t>or searches, assessing sources,</w:t>
      </w:r>
      <w:r w:rsidR="0030292A">
        <w:t xml:space="preserve"> </w:t>
      </w:r>
      <w:r w:rsidR="00D90BE7">
        <w:t>annotating</w:t>
      </w:r>
      <w:r w:rsidR="001B1708">
        <w:t xml:space="preserve"> sources,</w:t>
      </w:r>
      <w:r w:rsidR="00D90BE7">
        <w:t xml:space="preserve"> recording notes</w:t>
      </w:r>
      <w:r w:rsidR="001B1708">
        <w:t>, and evaluating argument</w:t>
      </w:r>
      <w:r w:rsidR="00D90BE7">
        <w:t>.</w:t>
      </w:r>
    </w:p>
    <w:p w:rsidR="00232F1D" w:rsidRDefault="00232F1D" w:rsidP="00677A89">
      <w:pPr>
        <w:pStyle w:val="BulletedList"/>
      </w:pPr>
      <w:r>
        <w:t>Develop, refine, and select inquiry questions for research</w:t>
      </w:r>
      <w:r w:rsidR="0030292A">
        <w:t>.</w:t>
      </w:r>
    </w:p>
    <w:p w:rsidR="00232F1D" w:rsidRPr="00677A89" w:rsidRDefault="0030292A" w:rsidP="00677A89">
      <w:pPr>
        <w:pStyle w:val="BulletedList"/>
      </w:pPr>
      <w:r>
        <w:t>Develop and continually assess</w:t>
      </w:r>
      <w:r w:rsidR="00232F1D">
        <w:t xml:space="preserve"> a research frame to guide independent searches</w:t>
      </w:r>
      <w:r>
        <w:t>.</w:t>
      </w:r>
    </w:p>
    <w:p w:rsidR="00677A89" w:rsidRPr="00677A89" w:rsidRDefault="00677A89" w:rsidP="00677A89">
      <w:pPr>
        <w:pStyle w:val="BulletedList"/>
      </w:pPr>
      <w:r w:rsidRPr="00677A89">
        <w:t xml:space="preserve">Collect </w:t>
      </w:r>
      <w:r w:rsidR="00232F1D">
        <w:t>and organize evidence from research</w:t>
      </w:r>
      <w:r w:rsidRPr="00677A89">
        <w:t xml:space="preserve"> to support analysis in writing</w:t>
      </w:r>
      <w:r w:rsidR="0030292A">
        <w:t>.</w:t>
      </w:r>
    </w:p>
    <w:p w:rsidR="00677A89" w:rsidRDefault="00422C16" w:rsidP="00677A89">
      <w:pPr>
        <w:pStyle w:val="BulletedList"/>
      </w:pPr>
      <w:r>
        <w:t>Craft</w:t>
      </w:r>
      <w:r w:rsidR="00677A89" w:rsidRPr="00677A89">
        <w:t xml:space="preserve"> claims about</w:t>
      </w:r>
      <w:r w:rsidR="00232F1D">
        <w:t xml:space="preserve"> inquiry questions, inquiry paths, and a </w:t>
      </w:r>
      <w:r>
        <w:t xml:space="preserve">problem-based question </w:t>
      </w:r>
      <w:r w:rsidR="00677A89">
        <w:t>using specific textual evidence</w:t>
      </w:r>
      <w:r w:rsidR="0030292A">
        <w:t xml:space="preserve"> from the research.</w:t>
      </w:r>
    </w:p>
    <w:p w:rsidR="00422C16" w:rsidRPr="00677A89" w:rsidRDefault="00422C16" w:rsidP="00677A89">
      <w:pPr>
        <w:pStyle w:val="BulletedList"/>
      </w:pPr>
      <w:r>
        <w:t>Develop counterclaims in opposition to claims</w:t>
      </w:r>
      <w:r w:rsidR="00686CE7">
        <w:t>.</w:t>
      </w:r>
    </w:p>
    <w:p w:rsidR="00A0187E" w:rsidRDefault="00A074A7" w:rsidP="00DB797E">
      <w:pPr>
        <w:pStyle w:val="Heading1"/>
        <w:spacing w:before="0"/>
      </w:pPr>
      <w:r>
        <w:lastRenderedPageBreak/>
        <w:t>Standards for This Unit</w:t>
      </w: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rPr>
          <w:trHeight w:val="120"/>
        </w:trPr>
        <w:tc>
          <w:tcPr>
            <w:tcW w:w="9080" w:type="dxa"/>
            <w:gridSpan w:val="2"/>
            <w:shd w:val="clear" w:color="auto" w:fill="5F497A" w:themeFill="accent4" w:themeFillShade="BF"/>
            <w:tcMar>
              <w:top w:w="100" w:type="dxa"/>
              <w:left w:w="108" w:type="dxa"/>
              <w:bottom w:w="100" w:type="dxa"/>
              <w:right w:w="108" w:type="dxa"/>
            </w:tcMar>
          </w:tcPr>
          <w:p w:rsidR="009C35E6" w:rsidRPr="0011022C" w:rsidRDefault="0011173C" w:rsidP="0011022C">
            <w:pPr>
              <w:pStyle w:val="TableHeaders"/>
            </w:pPr>
            <w:r w:rsidRPr="0011022C">
              <w:t>CCS Standards: Reading</w:t>
            </w:r>
            <w:r w:rsidR="00812E56">
              <w:t>-</w:t>
            </w:r>
          </w:p>
        </w:tc>
      </w:tr>
      <w:tr w:rsidR="009C35E6" w:rsidRPr="00677A89">
        <w:tc>
          <w:tcPr>
            <w:tcW w:w="1270" w:type="dxa"/>
            <w:tcMar>
              <w:top w:w="100" w:type="dxa"/>
              <w:left w:w="108" w:type="dxa"/>
              <w:bottom w:w="100" w:type="dxa"/>
              <w:right w:w="108" w:type="dxa"/>
            </w:tcMar>
          </w:tcPr>
          <w:p w:rsidR="009C35E6" w:rsidRPr="00231384" w:rsidRDefault="009070EC" w:rsidP="00DB797E">
            <w:pPr>
              <w:pStyle w:val="TableText"/>
              <w:spacing w:before="0" w:after="0"/>
              <w:rPr>
                <w:b/>
              </w:rPr>
            </w:pPr>
            <w:r w:rsidRPr="00231384">
              <w:rPr>
                <w:b/>
              </w:rPr>
              <w:t>RI.9-10.1</w:t>
            </w:r>
            <w:r w:rsidR="00161FAE" w:rsidRPr="00231384">
              <w:rPr>
                <w:b/>
              </w:rPr>
              <w:t>.</w:t>
            </w:r>
            <w:r w:rsidRPr="00231384">
              <w:rPr>
                <w:b/>
              </w:rPr>
              <w:t>a</w:t>
            </w:r>
          </w:p>
        </w:tc>
        <w:tc>
          <w:tcPr>
            <w:tcW w:w="7810" w:type="dxa"/>
            <w:tcMar>
              <w:top w:w="100" w:type="dxa"/>
              <w:left w:w="108" w:type="dxa"/>
              <w:bottom w:w="100" w:type="dxa"/>
              <w:right w:w="108" w:type="dxa"/>
            </w:tcMar>
          </w:tcPr>
          <w:p w:rsidR="00161FAE" w:rsidRPr="00E97D07" w:rsidRDefault="00161FAE" w:rsidP="00DB797E">
            <w:pPr>
              <w:pStyle w:val="TableText"/>
              <w:spacing w:before="0" w:after="0"/>
              <w:rPr>
                <w:b/>
              </w:rPr>
            </w:pPr>
            <w:r w:rsidRPr="00E97D07">
              <w:rPr>
                <w:b/>
              </w:rPr>
              <w:t>Cite strong and thorough textual evidence to support analysis of what the text says explicitly as well as inferences drawn from the text.</w:t>
            </w:r>
          </w:p>
          <w:p w:rsidR="00161FAE" w:rsidRPr="00A47236" w:rsidRDefault="009070EC" w:rsidP="00DB797E">
            <w:pPr>
              <w:pStyle w:val="SubStandard"/>
              <w:spacing w:before="0" w:after="0"/>
              <w:rPr>
                <w:b/>
              </w:rPr>
            </w:pPr>
            <w:r w:rsidRPr="00A47236">
              <w:rPr>
                <w:b/>
              </w:rPr>
              <w:t xml:space="preserve">Develop factual, interpretive, and evaluative questions for further exploration of the topic(s). </w:t>
            </w:r>
          </w:p>
        </w:tc>
      </w:tr>
      <w:tr w:rsidR="00A46951" w:rsidRPr="00677A89">
        <w:tc>
          <w:tcPr>
            <w:tcW w:w="1270" w:type="dxa"/>
            <w:tcMar>
              <w:top w:w="100" w:type="dxa"/>
              <w:left w:w="108" w:type="dxa"/>
              <w:bottom w:w="100" w:type="dxa"/>
              <w:right w:w="108" w:type="dxa"/>
            </w:tcMar>
          </w:tcPr>
          <w:p w:rsidR="00A46951" w:rsidRPr="00231384" w:rsidRDefault="00A46951" w:rsidP="00DB797E">
            <w:pPr>
              <w:pStyle w:val="TableText"/>
              <w:spacing w:before="0" w:after="0"/>
              <w:rPr>
                <w:rFonts w:asciiTheme="minorHAnsi" w:hAnsiTheme="minorHAnsi"/>
                <w:b/>
              </w:rPr>
            </w:pPr>
            <w:r w:rsidRPr="00231384">
              <w:rPr>
                <w:rFonts w:asciiTheme="minorHAnsi" w:hAnsiTheme="minorHAnsi"/>
                <w:b/>
              </w:rPr>
              <w:t>RI.9-10.8</w:t>
            </w:r>
          </w:p>
        </w:tc>
        <w:tc>
          <w:tcPr>
            <w:tcW w:w="7810" w:type="dxa"/>
            <w:tcMar>
              <w:top w:w="100" w:type="dxa"/>
              <w:left w:w="108" w:type="dxa"/>
              <w:bottom w:w="100" w:type="dxa"/>
              <w:right w:w="108" w:type="dxa"/>
            </w:tcMar>
          </w:tcPr>
          <w:p w:rsidR="00A46951" w:rsidRPr="00A47236" w:rsidRDefault="00A46951" w:rsidP="00DB797E">
            <w:pPr>
              <w:pStyle w:val="TableText"/>
              <w:spacing w:before="0" w:after="0"/>
              <w:rPr>
                <w:b/>
                <w:shd w:val="clear" w:color="auto" w:fill="FFFFFF"/>
              </w:rPr>
            </w:pPr>
            <w:r w:rsidRPr="00A47236">
              <w:rPr>
                <w:b/>
                <w:shd w:val="clear" w:color="auto" w:fill="FFFFFF"/>
              </w:rPr>
              <w:t>Delineate and evaluate the argument and specific claims in a text, assessing whether the reasoning is valid and the evidence is relevant and sufficient; identify false statements and fallacious reasoning.</w:t>
            </w:r>
          </w:p>
        </w:tc>
      </w:tr>
    </w:tbl>
    <w:p w:rsidR="00161FAE" w:rsidRDefault="00161FAE" w:rsidP="00DB797E">
      <w:pPr>
        <w:spacing w:before="0" w:after="0"/>
        <w:rPr>
          <w:b/>
        </w:rPr>
      </w:pP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161FAE" w:rsidRPr="00D739F3" w:rsidTr="00161FAE">
        <w:tc>
          <w:tcPr>
            <w:tcW w:w="9080" w:type="dxa"/>
            <w:gridSpan w:val="2"/>
            <w:shd w:val="clear" w:color="auto" w:fill="5F497A" w:themeFill="accent4" w:themeFillShade="BF"/>
            <w:tcMar>
              <w:top w:w="100" w:type="dxa"/>
              <w:left w:w="108" w:type="dxa"/>
              <w:bottom w:w="100" w:type="dxa"/>
              <w:right w:w="108" w:type="dxa"/>
            </w:tcMar>
          </w:tcPr>
          <w:p w:rsidR="00161FAE" w:rsidRPr="00D739F3" w:rsidRDefault="00161FAE" w:rsidP="00CC032C">
            <w:pPr>
              <w:pStyle w:val="TableHeaders"/>
            </w:pPr>
            <w:r>
              <w:t>CCS Standards: Writing</w:t>
            </w:r>
          </w:p>
        </w:tc>
      </w:tr>
      <w:tr w:rsidR="001C60C9" w:rsidRPr="00677A89" w:rsidTr="00161FAE">
        <w:tc>
          <w:tcPr>
            <w:tcW w:w="1270" w:type="dxa"/>
            <w:tcMar>
              <w:top w:w="100" w:type="dxa"/>
              <w:left w:w="108" w:type="dxa"/>
              <w:bottom w:w="100" w:type="dxa"/>
              <w:right w:w="108" w:type="dxa"/>
            </w:tcMar>
          </w:tcPr>
          <w:p w:rsidR="001C60C9" w:rsidRPr="001C60C9" w:rsidRDefault="001C60C9" w:rsidP="00DB797E">
            <w:pPr>
              <w:pStyle w:val="TableText"/>
              <w:spacing w:before="0" w:after="0"/>
            </w:pPr>
            <w:r w:rsidRPr="00654257">
              <w:t>W.9-10.1</w:t>
            </w:r>
            <w:r>
              <w:t>.b</w:t>
            </w:r>
          </w:p>
        </w:tc>
        <w:tc>
          <w:tcPr>
            <w:tcW w:w="7810" w:type="dxa"/>
            <w:tcMar>
              <w:top w:w="100" w:type="dxa"/>
              <w:left w:w="108" w:type="dxa"/>
              <w:bottom w:w="100" w:type="dxa"/>
              <w:right w:w="108" w:type="dxa"/>
            </w:tcMar>
          </w:tcPr>
          <w:p w:rsidR="001C60C9" w:rsidRPr="001C60C9" w:rsidRDefault="001C60C9" w:rsidP="00DB797E">
            <w:pPr>
              <w:pStyle w:val="TableText"/>
              <w:spacing w:before="0" w:after="0"/>
              <w:rPr>
                <w:shd w:val="clear" w:color="auto" w:fill="FFFFFF"/>
              </w:rPr>
            </w:pPr>
            <w:r w:rsidRPr="001C60C9">
              <w:rPr>
                <w:shd w:val="clear" w:color="auto" w:fill="FFFFFF"/>
              </w:rPr>
              <w:t xml:space="preserve">Write arguments to support claims in an analysis of substantive topics or texts, using valid reasoning and relevant and sufficient evidence. </w:t>
            </w:r>
            <w:r w:rsidR="00A47236">
              <w:rPr>
                <w:shd w:val="clear" w:color="auto" w:fill="FFFFFF"/>
              </w:rPr>
              <w:t>Explore and inquire into areas of interest to formulate an argument.</w:t>
            </w:r>
          </w:p>
          <w:p w:rsidR="001C60C9" w:rsidRPr="00231384" w:rsidRDefault="001C60C9" w:rsidP="00DB797E">
            <w:pPr>
              <w:pStyle w:val="SubStandard"/>
              <w:spacing w:before="0" w:after="0"/>
            </w:pPr>
            <w:r w:rsidRPr="00231384">
              <w:t>Develop claim(s) and counterclaims fairly, supplying evidence for each while pointing out the strengths and limitations of both in a manner that anticipates the audience’s knowledge level and concerns.</w:t>
            </w:r>
          </w:p>
        </w:tc>
      </w:tr>
      <w:tr w:rsidR="00161FAE" w:rsidRPr="00677A89" w:rsidTr="00161FAE">
        <w:tc>
          <w:tcPr>
            <w:tcW w:w="1270" w:type="dxa"/>
            <w:tcMar>
              <w:top w:w="100" w:type="dxa"/>
              <w:left w:w="108" w:type="dxa"/>
              <w:bottom w:w="100" w:type="dxa"/>
              <w:right w:w="108" w:type="dxa"/>
            </w:tcMar>
          </w:tcPr>
          <w:p w:rsidR="00161FAE" w:rsidRPr="001C60C9" w:rsidRDefault="00161FAE" w:rsidP="00DB797E">
            <w:pPr>
              <w:pStyle w:val="TableText"/>
              <w:spacing w:before="0" w:after="0"/>
            </w:pPr>
            <w:r w:rsidRPr="001C60C9">
              <w:t>W.9-10.4</w:t>
            </w:r>
          </w:p>
        </w:tc>
        <w:tc>
          <w:tcPr>
            <w:tcW w:w="7810" w:type="dxa"/>
            <w:tcMar>
              <w:top w:w="100" w:type="dxa"/>
              <w:left w:w="108" w:type="dxa"/>
              <w:bottom w:w="100" w:type="dxa"/>
              <w:right w:w="108" w:type="dxa"/>
            </w:tcMar>
          </w:tcPr>
          <w:p w:rsidR="00161FAE" w:rsidRPr="001C60C9" w:rsidRDefault="00161FAE" w:rsidP="00DB797E">
            <w:pPr>
              <w:pStyle w:val="TableText"/>
              <w:spacing w:before="0" w:after="0"/>
            </w:pPr>
            <w:r w:rsidRPr="001C60C9">
              <w:rPr>
                <w:shd w:val="clear" w:color="auto" w:fill="FFFFFF"/>
              </w:rPr>
              <w:t>Produce clear and coherent writing in which the development, organization, and style are appropriate to task, purpose, and audience.</w:t>
            </w:r>
          </w:p>
        </w:tc>
      </w:tr>
      <w:tr w:rsidR="00161FAE" w:rsidRPr="00677A89" w:rsidTr="00161FAE">
        <w:tc>
          <w:tcPr>
            <w:tcW w:w="1270" w:type="dxa"/>
            <w:tcMar>
              <w:top w:w="100" w:type="dxa"/>
              <w:left w:w="108" w:type="dxa"/>
              <w:bottom w:w="100" w:type="dxa"/>
              <w:right w:w="108" w:type="dxa"/>
            </w:tcMar>
          </w:tcPr>
          <w:p w:rsidR="00161FAE" w:rsidRPr="0011022C" w:rsidRDefault="00161FAE" w:rsidP="00DB797E">
            <w:pPr>
              <w:pStyle w:val="TableText"/>
              <w:spacing w:before="0" w:after="0"/>
              <w:rPr>
                <w:b/>
              </w:rPr>
            </w:pPr>
            <w:r w:rsidRPr="0011022C">
              <w:rPr>
                <w:b/>
              </w:rPr>
              <w:t>W.9-10.7</w:t>
            </w:r>
          </w:p>
        </w:tc>
        <w:tc>
          <w:tcPr>
            <w:tcW w:w="7810" w:type="dxa"/>
            <w:tcMar>
              <w:top w:w="100" w:type="dxa"/>
              <w:left w:w="108" w:type="dxa"/>
              <w:bottom w:w="100" w:type="dxa"/>
              <w:right w:w="108" w:type="dxa"/>
            </w:tcMar>
          </w:tcPr>
          <w:p w:rsidR="00161FAE" w:rsidRPr="00A47236" w:rsidRDefault="00161FAE" w:rsidP="00DB797E">
            <w:pPr>
              <w:pStyle w:val="TableText"/>
              <w:spacing w:before="0" w:after="0"/>
              <w:rPr>
                <w:b/>
              </w:rPr>
            </w:pPr>
            <w:r w:rsidRPr="00A47236">
              <w:rPr>
                <w:b/>
                <w:shd w:val="clear" w:color="auto" w:fill="FFFFFF"/>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161FAE" w:rsidRPr="00677A89" w:rsidTr="00161FAE">
        <w:tc>
          <w:tcPr>
            <w:tcW w:w="1270" w:type="dxa"/>
            <w:tcMar>
              <w:top w:w="100" w:type="dxa"/>
              <w:left w:w="108" w:type="dxa"/>
              <w:bottom w:w="100" w:type="dxa"/>
              <w:right w:w="108" w:type="dxa"/>
            </w:tcMar>
          </w:tcPr>
          <w:p w:rsidR="00161FAE" w:rsidRPr="0011022C" w:rsidRDefault="00161FAE" w:rsidP="00DB797E">
            <w:pPr>
              <w:pStyle w:val="TableText"/>
              <w:spacing w:before="0" w:after="0"/>
              <w:rPr>
                <w:b/>
              </w:rPr>
            </w:pPr>
            <w:r w:rsidRPr="0011022C">
              <w:rPr>
                <w:b/>
              </w:rPr>
              <w:t>W.9-10.8</w:t>
            </w:r>
          </w:p>
        </w:tc>
        <w:tc>
          <w:tcPr>
            <w:tcW w:w="7810" w:type="dxa"/>
            <w:tcMar>
              <w:top w:w="100" w:type="dxa"/>
              <w:left w:w="108" w:type="dxa"/>
              <w:bottom w:w="100" w:type="dxa"/>
              <w:right w:w="108" w:type="dxa"/>
            </w:tcMar>
          </w:tcPr>
          <w:p w:rsidR="00161FAE" w:rsidRPr="00DB797E" w:rsidRDefault="00161FAE" w:rsidP="00DB797E">
            <w:pPr>
              <w:pStyle w:val="TableText"/>
              <w:spacing w:before="0" w:after="0"/>
              <w:rPr>
                <w:b/>
                <w:spacing w:val="-2"/>
              </w:rPr>
            </w:pPr>
            <w:r w:rsidRPr="00DB797E">
              <w:rPr>
                <w:b/>
                <w:spacing w:val="-2"/>
                <w:shd w:val="clear" w:color="auto" w:fill="FFFFFF"/>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161FAE" w:rsidRPr="00677A89" w:rsidTr="00161FAE">
        <w:tc>
          <w:tcPr>
            <w:tcW w:w="1270" w:type="dxa"/>
            <w:tcMar>
              <w:top w:w="100" w:type="dxa"/>
              <w:left w:w="108" w:type="dxa"/>
              <w:bottom w:w="100" w:type="dxa"/>
              <w:right w:w="108" w:type="dxa"/>
            </w:tcMar>
          </w:tcPr>
          <w:p w:rsidR="00161FAE" w:rsidRPr="0038216C" w:rsidRDefault="00161FAE" w:rsidP="00DB797E">
            <w:pPr>
              <w:pStyle w:val="TableText"/>
              <w:spacing w:before="0" w:after="0"/>
              <w:rPr>
                <w:b/>
              </w:rPr>
            </w:pPr>
            <w:r w:rsidRPr="0038216C">
              <w:rPr>
                <w:b/>
              </w:rPr>
              <w:t>W.9-10.9</w:t>
            </w:r>
          </w:p>
        </w:tc>
        <w:tc>
          <w:tcPr>
            <w:tcW w:w="7810" w:type="dxa"/>
            <w:tcMar>
              <w:top w:w="100" w:type="dxa"/>
              <w:left w:w="108" w:type="dxa"/>
              <w:bottom w:w="100" w:type="dxa"/>
              <w:right w:w="108" w:type="dxa"/>
            </w:tcMar>
          </w:tcPr>
          <w:p w:rsidR="00161FAE" w:rsidRPr="0038216C" w:rsidRDefault="00161FAE" w:rsidP="00DB797E">
            <w:pPr>
              <w:pStyle w:val="TableText"/>
              <w:spacing w:before="0" w:after="0"/>
              <w:rPr>
                <w:b/>
              </w:rPr>
            </w:pPr>
            <w:r w:rsidRPr="0038216C">
              <w:rPr>
                <w:b/>
              </w:rPr>
              <w:t>Draw evidence from literary or informational texts to support analysis, reflection, and research.</w:t>
            </w:r>
          </w:p>
        </w:tc>
      </w:tr>
    </w:tbl>
    <w:p w:rsidR="00161FAE" w:rsidRDefault="00161FAE">
      <w:pPr>
        <w:rPr>
          <w:b/>
        </w:rPr>
      </w:pP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161FAE" w:rsidRPr="00D739F3" w:rsidTr="00161FAE">
        <w:tc>
          <w:tcPr>
            <w:tcW w:w="9080" w:type="dxa"/>
            <w:gridSpan w:val="2"/>
            <w:shd w:val="clear" w:color="auto" w:fill="5F497A" w:themeFill="accent4" w:themeFillShade="BF"/>
            <w:tcMar>
              <w:top w:w="100" w:type="dxa"/>
              <w:left w:w="108" w:type="dxa"/>
              <w:bottom w:w="100" w:type="dxa"/>
              <w:right w:w="108" w:type="dxa"/>
            </w:tcMar>
          </w:tcPr>
          <w:p w:rsidR="00161FAE" w:rsidRPr="00D739F3" w:rsidRDefault="00161FAE" w:rsidP="00161FAE">
            <w:pPr>
              <w:pStyle w:val="TableHeaders"/>
            </w:pPr>
            <w:r w:rsidRPr="00D739F3">
              <w:lastRenderedPageBreak/>
              <w:t xml:space="preserve">CCS Standards: </w:t>
            </w:r>
            <w:r>
              <w:t>Speaking &amp; Listening</w:t>
            </w:r>
          </w:p>
        </w:tc>
      </w:tr>
      <w:tr w:rsidR="00161FAE" w:rsidRPr="00677A89" w:rsidTr="00161FAE">
        <w:tc>
          <w:tcPr>
            <w:tcW w:w="1270" w:type="dxa"/>
            <w:tcMar>
              <w:top w:w="100" w:type="dxa"/>
              <w:left w:w="108" w:type="dxa"/>
              <w:bottom w:w="100" w:type="dxa"/>
              <w:right w:w="108" w:type="dxa"/>
            </w:tcMar>
          </w:tcPr>
          <w:p w:rsidR="00161FAE" w:rsidRPr="006D3F09" w:rsidRDefault="00161FAE" w:rsidP="00CC032C">
            <w:pPr>
              <w:pStyle w:val="TableText"/>
            </w:pPr>
            <w:r w:rsidRPr="00616D7E">
              <w:t>SL.9-10.1</w:t>
            </w:r>
          </w:p>
        </w:tc>
        <w:tc>
          <w:tcPr>
            <w:tcW w:w="7810" w:type="dxa"/>
            <w:tcMar>
              <w:top w:w="100" w:type="dxa"/>
              <w:left w:w="108" w:type="dxa"/>
              <w:bottom w:w="100" w:type="dxa"/>
              <w:right w:w="108" w:type="dxa"/>
            </w:tcMar>
          </w:tcPr>
          <w:p w:rsidR="00161FAE" w:rsidRPr="003C19CD" w:rsidDel="001047F1" w:rsidRDefault="00161FAE" w:rsidP="00CC032C">
            <w:pPr>
              <w:pStyle w:val="TableText"/>
              <w:spacing w:before="0" w:after="0"/>
            </w:pPr>
            <w:r w:rsidRPr="003C19CD">
              <w:rPr>
                <w:shd w:val="clear" w:color="auto" w:fill="FFFFFF"/>
              </w:rPr>
              <w:t xml:space="preserve">Initiate and participate effectively in a range of collaborative discussions (one-on-one, in groups, and teacher-led) with diverse partners on </w:t>
            </w:r>
            <w:r w:rsidR="00695D7A" w:rsidRPr="00695D7A">
              <w:rPr>
                <w:i/>
                <w:shd w:val="clear" w:color="auto" w:fill="FFFFFF"/>
              </w:rPr>
              <w:t>grades 9–10 topics, texts, and issues</w:t>
            </w:r>
            <w:r w:rsidRPr="003C19CD">
              <w:rPr>
                <w:shd w:val="clear" w:color="auto" w:fill="FFFFFF"/>
              </w:rPr>
              <w:t>, building on others’ ideas and expressing their own clearly and persuasively.</w:t>
            </w:r>
          </w:p>
        </w:tc>
      </w:tr>
    </w:tbl>
    <w:p w:rsidR="007A6F70" w:rsidRDefault="007A6F70" w:rsidP="00CC032C">
      <w:pPr>
        <w:spacing w:before="0" w:after="0"/>
      </w:pP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1C60C9" w:rsidRPr="00D739F3" w:rsidTr="001C60C9">
        <w:tc>
          <w:tcPr>
            <w:tcW w:w="9080" w:type="dxa"/>
            <w:gridSpan w:val="2"/>
            <w:shd w:val="clear" w:color="auto" w:fill="5F497A" w:themeFill="accent4" w:themeFillShade="BF"/>
            <w:tcMar>
              <w:top w:w="100" w:type="dxa"/>
              <w:left w:w="108" w:type="dxa"/>
              <w:bottom w:w="100" w:type="dxa"/>
              <w:right w:w="108" w:type="dxa"/>
            </w:tcMar>
          </w:tcPr>
          <w:p w:rsidR="001C60C9" w:rsidRPr="00982E0A" w:rsidRDefault="001C60C9" w:rsidP="001C60C9">
            <w:pPr>
              <w:pStyle w:val="TableHeaders"/>
            </w:pPr>
            <w:r w:rsidRPr="00982E0A">
              <w:t>CCS Standards: Language</w:t>
            </w:r>
          </w:p>
        </w:tc>
      </w:tr>
      <w:tr w:rsidR="001C60C9" w:rsidRPr="00677A89" w:rsidTr="001C60C9">
        <w:tc>
          <w:tcPr>
            <w:tcW w:w="1270" w:type="dxa"/>
            <w:tcMar>
              <w:top w:w="100" w:type="dxa"/>
              <w:left w:w="108" w:type="dxa"/>
              <w:bottom w:w="100" w:type="dxa"/>
              <w:right w:w="108" w:type="dxa"/>
            </w:tcMar>
          </w:tcPr>
          <w:p w:rsidR="001C60C9" w:rsidRPr="00C03E2B" w:rsidRDefault="001C60C9" w:rsidP="00CC032C">
            <w:pPr>
              <w:pStyle w:val="TableText"/>
              <w:spacing w:before="0" w:after="0"/>
            </w:pPr>
            <w:r>
              <w:t>L.9-10.4. a,</w:t>
            </w:r>
            <w:r w:rsidR="00D64759">
              <w:t xml:space="preserve"> </w:t>
            </w:r>
            <w:r>
              <w:t>c,</w:t>
            </w:r>
            <w:r w:rsidR="00D64759">
              <w:t xml:space="preserve"> </w:t>
            </w:r>
            <w:r>
              <w:t>d</w:t>
            </w:r>
          </w:p>
        </w:tc>
        <w:tc>
          <w:tcPr>
            <w:tcW w:w="7810" w:type="dxa"/>
          </w:tcPr>
          <w:p w:rsidR="001C60C9" w:rsidRDefault="001C60C9" w:rsidP="00CC032C">
            <w:pPr>
              <w:pStyle w:val="TableText"/>
              <w:spacing w:before="0" w:after="0"/>
              <w:ind w:left="80"/>
            </w:pPr>
            <w:r>
              <w:t xml:space="preserve">Determine or clarify the meaning of unknown and multiple-meaning words and phrases based on </w:t>
            </w:r>
            <w:r w:rsidR="0011022C">
              <w:rPr>
                <w:i/>
              </w:rPr>
              <w:t>grades 9</w:t>
            </w:r>
            <w:r w:rsidR="0011022C" w:rsidRPr="00695D7A">
              <w:rPr>
                <w:i/>
              </w:rPr>
              <w:t>–</w:t>
            </w:r>
            <w:r w:rsidRPr="00695D7A">
              <w:rPr>
                <w:i/>
              </w:rPr>
              <w:t>10 reading and content</w:t>
            </w:r>
            <w:r>
              <w:t xml:space="preserve">, choosing flexibly from a range of strategies. </w:t>
            </w:r>
          </w:p>
          <w:p w:rsidR="001C60C9" w:rsidRPr="0038216C" w:rsidRDefault="001C60C9" w:rsidP="00CC032C">
            <w:pPr>
              <w:pStyle w:val="SubStandard"/>
              <w:numPr>
                <w:ilvl w:val="0"/>
                <w:numId w:val="36"/>
              </w:numPr>
              <w:spacing w:before="0" w:after="0"/>
              <w:ind w:left="440"/>
            </w:pPr>
            <w:r w:rsidRPr="0038216C">
              <w:t>Use context (e.g., the overall meaning of a sentence, paragraph, or text; a word’s position or function in a sentence) as a clue to the meaning of a word or phrase.</w:t>
            </w:r>
          </w:p>
          <w:p w:rsidR="001C60C9" w:rsidRPr="0038216C" w:rsidRDefault="001C60C9" w:rsidP="00CC032C">
            <w:pPr>
              <w:pStyle w:val="SubStandard"/>
              <w:numPr>
                <w:ilvl w:val="0"/>
                <w:numId w:val="37"/>
              </w:numPr>
              <w:spacing w:before="0" w:after="0"/>
              <w:ind w:left="440"/>
            </w:pPr>
            <w:r w:rsidRPr="0038216C">
              <w:t xml:space="preserve">Consult general and specialized reference materials (e.g., dictionaries, glossaries, thesauruses), both print and digital, to find the pronunciation of a word or determine or clarify its precise meaning, </w:t>
            </w:r>
            <w:proofErr w:type="spellStart"/>
            <w:r w:rsidRPr="0038216C">
              <w:t>its</w:t>
            </w:r>
            <w:proofErr w:type="spellEnd"/>
            <w:r w:rsidRPr="0038216C">
              <w:t xml:space="preserve"> part of speech, or its etymology.</w:t>
            </w:r>
          </w:p>
          <w:p w:rsidR="001C60C9" w:rsidRPr="00A75E67" w:rsidRDefault="001C60C9" w:rsidP="00CC032C">
            <w:pPr>
              <w:pStyle w:val="SubStandard"/>
              <w:spacing w:before="0" w:after="0"/>
              <w:ind w:left="440"/>
            </w:pPr>
            <w:r w:rsidRPr="0038216C">
              <w:t>Verify the preliminary determination of the meaning of a word or phrase (e.g., by checking the inferred meaning in context or in a dictionary).</w:t>
            </w:r>
          </w:p>
        </w:tc>
      </w:tr>
    </w:tbl>
    <w:p w:rsidR="00D87C94" w:rsidRDefault="00B87A2A" w:rsidP="00677A89">
      <w:r>
        <w:rPr>
          <w:b/>
        </w:rPr>
        <w:t>Note:</w:t>
      </w:r>
      <w:r>
        <w:t xml:space="preserve"> Bold text indicates standards that will be assessed in the unit.</w:t>
      </w:r>
    </w:p>
    <w:p w:rsidR="00D87C94" w:rsidRDefault="00B87A2A" w:rsidP="00CC032C">
      <w:pPr>
        <w:pStyle w:val="Heading1"/>
      </w:pPr>
      <w:r>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Ongoing Assessment</w:t>
            </w:r>
          </w:p>
        </w:tc>
      </w:tr>
      <w:tr w:rsidR="00D87C94" w:rsidRPr="00677A89">
        <w:tc>
          <w:tcPr>
            <w:tcW w:w="1710" w:type="dxa"/>
            <w:tcMar>
              <w:top w:w="100" w:type="dxa"/>
              <w:left w:w="108" w:type="dxa"/>
              <w:bottom w:w="100" w:type="dxa"/>
              <w:right w:w="108" w:type="dxa"/>
            </w:tcMar>
          </w:tcPr>
          <w:p w:rsidR="00D87C94" w:rsidRPr="00EC539C" w:rsidRDefault="00B87A2A" w:rsidP="00CC032C">
            <w:pPr>
              <w:pStyle w:val="TableText"/>
              <w:spacing w:before="0" w:after="0"/>
              <w:rPr>
                <w:b/>
              </w:rPr>
            </w:pPr>
            <w:r w:rsidRPr="00EC539C">
              <w:rPr>
                <w:b/>
              </w:rPr>
              <w:t>Standards Assessed</w:t>
            </w:r>
          </w:p>
        </w:tc>
        <w:tc>
          <w:tcPr>
            <w:tcW w:w="7750" w:type="dxa"/>
            <w:tcMar>
              <w:top w:w="100" w:type="dxa"/>
              <w:left w:w="108" w:type="dxa"/>
              <w:bottom w:w="100" w:type="dxa"/>
              <w:right w:w="108" w:type="dxa"/>
            </w:tcMar>
          </w:tcPr>
          <w:p w:rsidR="00D87C94" w:rsidRPr="00677A89" w:rsidRDefault="00243CA2" w:rsidP="00CC032C">
            <w:pPr>
              <w:pStyle w:val="TableText"/>
              <w:spacing w:before="0" w:after="0"/>
            </w:pPr>
            <w:r>
              <w:t>RI.9-10.1a,</w:t>
            </w:r>
            <w:r w:rsidR="00A46951">
              <w:t xml:space="preserve"> RI.9-10.8,</w:t>
            </w:r>
            <w:r>
              <w:t xml:space="preserve"> </w:t>
            </w:r>
            <w:r w:rsidR="007B2848">
              <w:t>W.9-10.7, W.9-10.8, W.9-10.9</w:t>
            </w:r>
          </w:p>
        </w:tc>
      </w:tr>
      <w:tr w:rsidR="00D87C94" w:rsidRPr="00677A89">
        <w:tc>
          <w:tcPr>
            <w:tcW w:w="1710" w:type="dxa"/>
            <w:tcMar>
              <w:top w:w="100" w:type="dxa"/>
              <w:left w:w="108" w:type="dxa"/>
              <w:bottom w:w="100" w:type="dxa"/>
              <w:right w:w="108" w:type="dxa"/>
            </w:tcMar>
          </w:tcPr>
          <w:p w:rsidR="00D87C94" w:rsidRPr="00EC539C" w:rsidRDefault="00B87A2A" w:rsidP="00CC032C">
            <w:pPr>
              <w:pStyle w:val="TableText"/>
              <w:spacing w:before="0" w:after="0"/>
              <w:rPr>
                <w:b/>
              </w:rPr>
            </w:pPr>
            <w:r w:rsidRPr="00EC539C">
              <w:rPr>
                <w:b/>
              </w:rPr>
              <w:t>Description of Assessment</w:t>
            </w:r>
          </w:p>
        </w:tc>
        <w:tc>
          <w:tcPr>
            <w:tcW w:w="7750" w:type="dxa"/>
            <w:tcMar>
              <w:top w:w="100" w:type="dxa"/>
              <w:left w:w="108" w:type="dxa"/>
              <w:bottom w:w="100" w:type="dxa"/>
              <w:right w:w="108" w:type="dxa"/>
            </w:tcMar>
          </w:tcPr>
          <w:p w:rsidR="00D87C94" w:rsidRPr="00677A89" w:rsidRDefault="000C2C1A" w:rsidP="00CC032C">
            <w:pPr>
              <w:pStyle w:val="TableText"/>
              <w:spacing w:before="0" w:after="0"/>
            </w:pPr>
            <w:r w:rsidRPr="00677A89">
              <w:t>Varies by lesson but may include</w:t>
            </w:r>
            <w:r w:rsidR="00B7615D">
              <w:t xml:space="preserve"> completed research tools,</w:t>
            </w:r>
            <w:r w:rsidRPr="00677A89">
              <w:t xml:space="preserve"> r</w:t>
            </w:r>
            <w:r w:rsidR="007B5476" w:rsidRPr="00677A89">
              <w:t>espon</w:t>
            </w:r>
            <w:r w:rsidRPr="00677A89">
              <w:t>ses</w:t>
            </w:r>
            <w:r w:rsidR="00B7615D">
              <w:t xml:space="preserve"> to </w:t>
            </w:r>
            <w:r w:rsidR="004427B6">
              <w:t>Q</w:t>
            </w:r>
            <w:r w:rsidR="00B7615D">
              <w:t xml:space="preserve">uick </w:t>
            </w:r>
            <w:r w:rsidR="004427B6">
              <w:t>W</w:t>
            </w:r>
            <w:r w:rsidR="00B7615D">
              <w:t>rite</w:t>
            </w:r>
            <w:r w:rsidR="007B5476" w:rsidRPr="00677A89">
              <w:t xml:space="preserve"> </w:t>
            </w:r>
            <w:r w:rsidR="004427B6">
              <w:t>prompts</w:t>
            </w:r>
            <w:r w:rsidR="007B5476" w:rsidRPr="00677A89">
              <w:t xml:space="preserve"> focused on</w:t>
            </w:r>
            <w:r w:rsidR="00B7615D">
              <w:t xml:space="preserve"> developing research skills, and vocabulary learned through research as tracked in the </w:t>
            </w:r>
            <w:r w:rsidR="004427B6">
              <w:t>v</w:t>
            </w:r>
            <w:r w:rsidR="00243CA2">
              <w:t xml:space="preserve">ocabulary </w:t>
            </w:r>
            <w:r w:rsidR="004427B6">
              <w:t>j</w:t>
            </w:r>
            <w:r w:rsidR="00243CA2">
              <w:t>ournal.</w:t>
            </w:r>
            <w:r w:rsidR="00243CA2" w:rsidRPr="00677A89">
              <w:t xml:space="preserve"> </w:t>
            </w:r>
          </w:p>
        </w:tc>
      </w:tr>
    </w:tbl>
    <w:p w:rsidR="00BC701B" w:rsidRPr="00CC032C" w:rsidRDefault="00BC701B" w:rsidP="00CC032C">
      <w:pPr>
        <w:spacing w:before="0" w:after="0" w:line="240" w:lineRule="auto"/>
        <w:rPr>
          <w:rFonts w:cs="Calibri"/>
          <w:color w:val="000000"/>
          <w:szCs w:val="24"/>
          <w:lang w:eastAsia="ja-JP"/>
        </w:rPr>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End-of-Unit Assessment</w:t>
            </w:r>
          </w:p>
        </w:tc>
      </w:tr>
      <w:tr w:rsidR="007B5476" w:rsidRPr="00677A89">
        <w:tc>
          <w:tcPr>
            <w:tcW w:w="1710" w:type="dxa"/>
            <w:tcMar>
              <w:top w:w="100" w:type="dxa"/>
              <w:left w:w="108" w:type="dxa"/>
              <w:bottom w:w="100" w:type="dxa"/>
              <w:right w:w="108" w:type="dxa"/>
            </w:tcMar>
          </w:tcPr>
          <w:p w:rsidR="007B5476" w:rsidRPr="00EC539C" w:rsidRDefault="007B5476" w:rsidP="00CC032C">
            <w:pPr>
              <w:pStyle w:val="TableText"/>
              <w:spacing w:before="0" w:after="0"/>
              <w:rPr>
                <w:b/>
              </w:rPr>
            </w:pPr>
            <w:r w:rsidRPr="00EC539C">
              <w:rPr>
                <w:b/>
              </w:rPr>
              <w:t>Standards Assessed</w:t>
            </w:r>
          </w:p>
        </w:tc>
        <w:tc>
          <w:tcPr>
            <w:tcW w:w="7750" w:type="dxa"/>
            <w:tcMar>
              <w:top w:w="100" w:type="dxa"/>
              <w:left w:w="108" w:type="dxa"/>
              <w:bottom w:w="100" w:type="dxa"/>
              <w:right w:w="108" w:type="dxa"/>
            </w:tcMar>
          </w:tcPr>
          <w:p w:rsidR="007B5476" w:rsidRPr="00677A89" w:rsidRDefault="001C6E87" w:rsidP="00CC032C">
            <w:pPr>
              <w:pStyle w:val="TableText"/>
              <w:spacing w:before="0" w:after="0"/>
            </w:pPr>
            <w:r>
              <w:t>W</w:t>
            </w:r>
            <w:r w:rsidRPr="007A6F70">
              <w:t>.9-10.7</w:t>
            </w:r>
            <w:r w:rsidR="00C23C52">
              <w:t>, W.9-10.9</w:t>
            </w:r>
            <w:r w:rsidR="00503C90">
              <w:t xml:space="preserve"> </w:t>
            </w:r>
          </w:p>
        </w:tc>
      </w:tr>
      <w:tr w:rsidR="007B5476" w:rsidRPr="00677A89">
        <w:trPr>
          <w:trHeight w:val="740"/>
        </w:trPr>
        <w:tc>
          <w:tcPr>
            <w:tcW w:w="1710" w:type="dxa"/>
            <w:tcMar>
              <w:top w:w="100" w:type="dxa"/>
              <w:left w:w="108" w:type="dxa"/>
              <w:bottom w:w="100" w:type="dxa"/>
              <w:right w:w="108" w:type="dxa"/>
            </w:tcMar>
          </w:tcPr>
          <w:p w:rsidR="007B5476" w:rsidRPr="00677A89" w:rsidRDefault="007B5476" w:rsidP="00CC032C">
            <w:pPr>
              <w:spacing w:before="0" w:after="0"/>
              <w:rPr>
                <w:b/>
              </w:rPr>
            </w:pPr>
            <w:r w:rsidRPr="00677A89">
              <w:rPr>
                <w:b/>
              </w:rPr>
              <w:lastRenderedPageBreak/>
              <w:t>Description of Assessment</w:t>
            </w:r>
          </w:p>
        </w:tc>
        <w:tc>
          <w:tcPr>
            <w:tcW w:w="7750" w:type="dxa"/>
            <w:tcMar>
              <w:top w:w="100" w:type="dxa"/>
              <w:left w:w="108" w:type="dxa"/>
              <w:bottom w:w="100" w:type="dxa"/>
              <w:right w:w="108" w:type="dxa"/>
            </w:tcMar>
          </w:tcPr>
          <w:p w:rsidR="00930063" w:rsidRDefault="00503C90" w:rsidP="00F45671">
            <w:pPr>
              <w:pStyle w:val="BulletedList"/>
              <w:spacing w:before="0" w:after="0"/>
              <w:ind w:left="317" w:hanging="317"/>
            </w:pPr>
            <w:r>
              <w:t xml:space="preserve">Students </w:t>
            </w:r>
            <w:r w:rsidR="00243CA2">
              <w:t>submit</w:t>
            </w:r>
            <w:r>
              <w:t xml:space="preserve"> a completed Research Portfolio with the</w:t>
            </w:r>
            <w:r w:rsidR="003D4E24">
              <w:t xml:space="preserve"> </w:t>
            </w:r>
            <w:r w:rsidR="00243CA2">
              <w:t xml:space="preserve">four sections </w:t>
            </w:r>
            <w:r w:rsidR="003D4E24">
              <w:t xml:space="preserve">organized </w:t>
            </w:r>
            <w:r>
              <w:t>including 1. Defining an Area of Investigation, 2. Gathering and Analyzing Information, 3. Drawing Conclusions, 4. Discarded Material</w:t>
            </w:r>
            <w:r w:rsidR="00F45671">
              <w:t>. T</w:t>
            </w:r>
            <w:r w:rsidR="00930063">
              <w:t xml:space="preserve">he Research </w:t>
            </w:r>
            <w:r w:rsidR="003833F9">
              <w:t>Journal is</w:t>
            </w:r>
            <w:r w:rsidR="00930063">
              <w:t xml:space="preserve"> also located in the Research Portfolio. </w:t>
            </w:r>
          </w:p>
          <w:p w:rsidR="007C33CE" w:rsidRPr="00677A89" w:rsidRDefault="00732F51" w:rsidP="00CC032C">
            <w:pPr>
              <w:pStyle w:val="BulletedList"/>
              <w:spacing w:before="0" w:after="0"/>
              <w:ind w:left="317" w:hanging="317"/>
            </w:pPr>
            <w:r w:rsidRPr="00732F51">
              <w:t>Students write a one-page synthesis of their</w:t>
            </w:r>
            <w:r w:rsidR="003C5C67">
              <w:t xml:space="preserve"> developing</w:t>
            </w:r>
            <w:r w:rsidRPr="00732F51">
              <w:t xml:space="preserve"> perspective derived from their research. Students draw on the research evidence collected to express their </w:t>
            </w:r>
            <w:r w:rsidR="004E6A09">
              <w:t>Evidence-Based Perspective</w:t>
            </w:r>
            <w:r w:rsidRPr="00732F51">
              <w:t xml:space="preserve"> on their problem-based question. </w:t>
            </w:r>
          </w:p>
        </w:tc>
      </w:tr>
    </w:tbl>
    <w:p w:rsidR="00D87C94" w:rsidRDefault="00B87A2A" w:rsidP="00CC032C">
      <w:pPr>
        <w:pStyle w:val="Heading1"/>
        <w:spacing w:before="360"/>
      </w:pPr>
      <w:r>
        <w:t>Unit-at-a-Glance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1"/>
        <w:gridCol w:w="2383"/>
        <w:gridCol w:w="6176"/>
      </w:tblGrid>
      <w:tr w:rsidR="007B5476" w:rsidRPr="007B5476" w:rsidTr="001C2544">
        <w:trPr>
          <w:trHeight w:val="521"/>
          <w:tblHeader/>
        </w:trPr>
        <w:tc>
          <w:tcPr>
            <w:tcW w:w="892" w:type="dxa"/>
            <w:shd w:val="clear" w:color="auto" w:fill="5F497A" w:themeFill="accent4" w:themeFillShade="BF"/>
            <w:vAlign w:val="center"/>
          </w:tcPr>
          <w:p w:rsidR="007B5476" w:rsidRPr="007B5476" w:rsidRDefault="007B5476" w:rsidP="00FF740A">
            <w:pPr>
              <w:pStyle w:val="TableHeaders"/>
              <w:jc w:val="center"/>
            </w:pPr>
            <w:r w:rsidRPr="007B5476">
              <w:t>Lesson</w:t>
            </w:r>
          </w:p>
        </w:tc>
        <w:tc>
          <w:tcPr>
            <w:tcW w:w="2309" w:type="dxa"/>
            <w:shd w:val="clear" w:color="auto" w:fill="5F497A" w:themeFill="accent4" w:themeFillShade="BF"/>
            <w:vAlign w:val="center"/>
          </w:tcPr>
          <w:p w:rsidR="007B5476" w:rsidRPr="007B5476" w:rsidRDefault="007B5476" w:rsidP="008F708C">
            <w:pPr>
              <w:pStyle w:val="TableHeaders"/>
            </w:pPr>
            <w:r w:rsidRPr="007B5476">
              <w:t>Text</w:t>
            </w:r>
          </w:p>
        </w:tc>
        <w:tc>
          <w:tcPr>
            <w:tcW w:w="6249" w:type="dxa"/>
            <w:shd w:val="clear" w:color="auto" w:fill="5F497A" w:themeFill="accent4" w:themeFillShade="BF"/>
            <w:vAlign w:val="center"/>
          </w:tcPr>
          <w:p w:rsidR="007B5476" w:rsidRPr="007B5476" w:rsidRDefault="007B5476" w:rsidP="007A6F70">
            <w:pPr>
              <w:pStyle w:val="TableHeaders"/>
            </w:pPr>
            <w:r w:rsidRPr="007B5476">
              <w:t>Learning Outcomes/Goals</w:t>
            </w:r>
          </w:p>
        </w:tc>
      </w:tr>
      <w:tr w:rsidR="007B5476" w:rsidRPr="007B5476">
        <w:tc>
          <w:tcPr>
            <w:tcW w:w="892" w:type="dxa"/>
            <w:shd w:val="clear" w:color="auto" w:fill="FFFFFF"/>
          </w:tcPr>
          <w:p w:rsidR="007B5476" w:rsidRPr="007B5476" w:rsidRDefault="007B5476" w:rsidP="00EC539C">
            <w:pPr>
              <w:pStyle w:val="TableText"/>
            </w:pPr>
            <w:r w:rsidRPr="007B5476">
              <w:t>1</w:t>
            </w:r>
          </w:p>
        </w:tc>
        <w:tc>
          <w:tcPr>
            <w:tcW w:w="2309" w:type="dxa"/>
            <w:shd w:val="clear" w:color="auto" w:fill="FFFFFF"/>
          </w:tcPr>
          <w:p w:rsidR="007B5476" w:rsidRPr="008F708C" w:rsidRDefault="0027691C" w:rsidP="00EC539C">
            <w:pPr>
              <w:pStyle w:val="TableText"/>
            </w:pPr>
            <w:r>
              <w:t>Students choose texts for research based on their individual research question/problem.</w:t>
            </w:r>
          </w:p>
        </w:tc>
        <w:tc>
          <w:tcPr>
            <w:tcW w:w="6249" w:type="dxa"/>
            <w:shd w:val="clear" w:color="auto" w:fill="FFFFFF"/>
          </w:tcPr>
          <w:p w:rsidR="007B5476" w:rsidRPr="00DB5F1B" w:rsidRDefault="004C2E9A" w:rsidP="00EC539C">
            <w:pPr>
              <w:pStyle w:val="TableText"/>
              <w:rPr>
                <w:rFonts w:asciiTheme="minorHAnsi" w:hAnsiTheme="minorHAnsi"/>
              </w:rPr>
            </w:pPr>
            <w:r>
              <w:rPr>
                <w:rFonts w:asciiTheme="minorHAnsi" w:hAnsiTheme="minorHAnsi"/>
              </w:rPr>
              <w:t xml:space="preserve">Students </w:t>
            </w:r>
            <w:r w:rsidR="00BC701B">
              <w:rPr>
                <w:rFonts w:asciiTheme="minorHAnsi" w:hAnsiTheme="minorHAnsi"/>
              </w:rPr>
              <w:t>are</w:t>
            </w:r>
            <w:r>
              <w:rPr>
                <w:rFonts w:asciiTheme="minorHAnsi" w:hAnsiTheme="minorHAnsi"/>
              </w:rPr>
              <w:t xml:space="preserve"> formally introduced to the research unit</w:t>
            </w:r>
            <w:r w:rsidR="00043579">
              <w:rPr>
                <w:rFonts w:asciiTheme="minorHAnsi" w:hAnsiTheme="minorHAnsi"/>
              </w:rPr>
              <w:t xml:space="preserve"> and </w:t>
            </w:r>
            <w:r w:rsidR="00DB5F1B">
              <w:rPr>
                <w:rFonts w:asciiTheme="minorHAnsi" w:hAnsiTheme="minorHAnsi"/>
              </w:rPr>
              <w:t xml:space="preserve">construct a Research Portfolio to house all research previously conducted in Unit 1 and the research materials distributed and gathered in this unit. Additionally, </w:t>
            </w:r>
            <w:r>
              <w:rPr>
                <w:rFonts w:asciiTheme="minorHAnsi" w:hAnsiTheme="minorHAnsi"/>
              </w:rPr>
              <w:t>students</w:t>
            </w:r>
            <w:r w:rsidR="00043579">
              <w:rPr>
                <w:rFonts w:asciiTheme="minorHAnsi" w:hAnsiTheme="minorHAnsi"/>
              </w:rPr>
              <w:t xml:space="preserve"> vet</w:t>
            </w:r>
            <w:r>
              <w:rPr>
                <w:rFonts w:asciiTheme="minorHAnsi" w:hAnsiTheme="minorHAnsi"/>
              </w:rPr>
              <w:t xml:space="preserve"> their 2</w:t>
            </w:r>
            <w:r w:rsidR="00BC701B">
              <w:rPr>
                <w:rFonts w:asciiTheme="minorHAnsi" w:hAnsiTheme="minorHAnsi"/>
              </w:rPr>
              <w:t>–</w:t>
            </w:r>
            <w:r>
              <w:rPr>
                <w:rFonts w:asciiTheme="minorHAnsi" w:hAnsiTheme="minorHAnsi"/>
              </w:rPr>
              <w:t>3 possible areas of investigation (</w:t>
            </w:r>
            <w:r w:rsidR="00BC701B">
              <w:rPr>
                <w:rFonts w:asciiTheme="minorHAnsi" w:hAnsiTheme="minorHAnsi"/>
              </w:rPr>
              <w:t xml:space="preserve">from </w:t>
            </w:r>
            <w:r w:rsidR="0050297A">
              <w:rPr>
                <w:rFonts w:asciiTheme="minorHAnsi" w:hAnsiTheme="minorHAnsi"/>
              </w:rPr>
              <w:t>Unit 1, Lesson 15</w:t>
            </w:r>
            <w:r>
              <w:rPr>
                <w:rFonts w:asciiTheme="minorHAnsi" w:hAnsiTheme="minorHAnsi"/>
              </w:rPr>
              <w:t xml:space="preserve">) to </w:t>
            </w:r>
            <w:r w:rsidR="0050297A">
              <w:rPr>
                <w:rFonts w:asciiTheme="minorHAnsi" w:hAnsiTheme="minorHAnsi"/>
              </w:rPr>
              <w:t xml:space="preserve">identify a </w:t>
            </w:r>
            <w:r w:rsidR="0050297A" w:rsidRPr="0050297A">
              <w:rPr>
                <w:rFonts w:asciiTheme="minorHAnsi" w:hAnsiTheme="minorHAnsi"/>
              </w:rPr>
              <w:t xml:space="preserve">research topic/area of investigation </w:t>
            </w:r>
            <w:r w:rsidR="0050297A">
              <w:rPr>
                <w:rFonts w:asciiTheme="minorHAnsi" w:hAnsiTheme="minorHAnsi"/>
              </w:rPr>
              <w:t xml:space="preserve">for use </w:t>
            </w:r>
            <w:r>
              <w:rPr>
                <w:rFonts w:asciiTheme="minorHAnsi" w:hAnsiTheme="minorHAnsi"/>
              </w:rPr>
              <w:t>throughout the unit.</w:t>
            </w:r>
          </w:p>
        </w:tc>
      </w:tr>
      <w:tr w:rsidR="00D40D53" w:rsidRPr="007B5476">
        <w:tc>
          <w:tcPr>
            <w:tcW w:w="892" w:type="dxa"/>
            <w:shd w:val="clear" w:color="auto" w:fill="FFFFFF"/>
          </w:tcPr>
          <w:p w:rsidR="00D40D53" w:rsidRPr="007B5476" w:rsidRDefault="00D40D53" w:rsidP="00EC539C">
            <w:pPr>
              <w:pStyle w:val="TableText"/>
            </w:pPr>
            <w:r>
              <w:t>2</w:t>
            </w:r>
          </w:p>
        </w:tc>
        <w:tc>
          <w:tcPr>
            <w:tcW w:w="2309" w:type="dxa"/>
            <w:shd w:val="clear" w:color="auto" w:fill="FFFFFF"/>
          </w:tcPr>
          <w:p w:rsidR="00D40D53" w:rsidRPr="008F708C" w:rsidRDefault="00841421" w:rsidP="00EC539C">
            <w:pPr>
              <w:pStyle w:val="TableText"/>
            </w:pPr>
            <w:r>
              <w:t>Students choose texts for research based on their individual research question/problem.</w:t>
            </w:r>
          </w:p>
        </w:tc>
        <w:tc>
          <w:tcPr>
            <w:tcW w:w="6249" w:type="dxa"/>
            <w:shd w:val="clear" w:color="auto" w:fill="FFFFFF"/>
          </w:tcPr>
          <w:p w:rsidR="005B6C7C" w:rsidRPr="00677A89" w:rsidRDefault="0050297A" w:rsidP="00EC539C">
            <w:pPr>
              <w:pStyle w:val="TableText"/>
            </w:pPr>
            <w:r>
              <w:t xml:space="preserve">Students work to generate more specific inquiry questions to frame their research. Students were introduced </w:t>
            </w:r>
            <w:r w:rsidR="004427B6">
              <w:t>to inquiry questions in Unit 1. In this lesson, they</w:t>
            </w:r>
            <w:r>
              <w:t xml:space="preserve"> learn how to craft specific inquiry questions for their selected research topic/area of investigation developed in the previous lesson. </w:t>
            </w:r>
            <w:r w:rsidR="005B6C7C">
              <w:t xml:space="preserve">Students engage in a research process check-in during which they review the Student Research Plan Handout. </w:t>
            </w:r>
            <w:r w:rsidR="00841421" w:rsidRPr="000F301D">
              <w:t>Students</w:t>
            </w:r>
            <w:r w:rsidR="005B6C7C">
              <w:t xml:space="preserve"> also</w:t>
            </w:r>
            <w:r w:rsidR="00841421" w:rsidRPr="000F301D">
              <w:t xml:space="preserve"> review inquir</w:t>
            </w:r>
            <w:r w:rsidR="000F301D" w:rsidRPr="000F301D">
              <w:t>y questions from Unit 1 and</w:t>
            </w:r>
            <w:r w:rsidR="00841421" w:rsidRPr="000F301D">
              <w:t xml:space="preserve"> generate</w:t>
            </w:r>
            <w:r w:rsidR="000F301D" w:rsidRPr="000F301D">
              <w:t>, vet, and refine</w:t>
            </w:r>
            <w:r w:rsidR="00841421" w:rsidRPr="000F301D">
              <w:t xml:space="preserve"> </w:t>
            </w:r>
            <w:r w:rsidR="000F301D" w:rsidRPr="000F301D">
              <w:t xml:space="preserve">specific </w:t>
            </w:r>
            <w:r w:rsidR="00841421" w:rsidRPr="000F301D">
              <w:t xml:space="preserve">inquiry questions for their </w:t>
            </w:r>
            <w:r w:rsidR="000F301D" w:rsidRPr="000F301D">
              <w:t xml:space="preserve">research </w:t>
            </w:r>
            <w:r w:rsidR="00371B3E">
              <w:t xml:space="preserve">topic/area of investigation </w:t>
            </w:r>
            <w:r w:rsidR="000F301D" w:rsidRPr="000F301D">
              <w:t>using</w:t>
            </w:r>
            <w:r w:rsidR="00841421" w:rsidRPr="000F301D">
              <w:t xml:space="preserve"> a Specific Inquiry Questions Checklist</w:t>
            </w:r>
            <w:r w:rsidR="00841421">
              <w:t xml:space="preserve">. </w:t>
            </w:r>
          </w:p>
        </w:tc>
      </w:tr>
      <w:tr w:rsidR="00D40D53" w:rsidRPr="007B5476">
        <w:tc>
          <w:tcPr>
            <w:tcW w:w="892" w:type="dxa"/>
            <w:shd w:val="clear" w:color="auto" w:fill="FFFFFF"/>
          </w:tcPr>
          <w:p w:rsidR="00D40D53" w:rsidRPr="007B5476" w:rsidRDefault="00D40D53" w:rsidP="00EC539C">
            <w:pPr>
              <w:pStyle w:val="TableText"/>
            </w:pPr>
            <w:r>
              <w:t>3</w:t>
            </w:r>
          </w:p>
        </w:tc>
        <w:tc>
          <w:tcPr>
            <w:tcW w:w="2309" w:type="dxa"/>
            <w:shd w:val="clear" w:color="auto" w:fill="FFFFFF"/>
          </w:tcPr>
          <w:p w:rsidR="008D0853" w:rsidRPr="008F708C" w:rsidRDefault="00841421" w:rsidP="00EC539C">
            <w:pPr>
              <w:pStyle w:val="TableText"/>
            </w:pPr>
            <w:r>
              <w:t>Students choose texts for research bas</w:t>
            </w:r>
            <w:r w:rsidR="00CC032C">
              <w:t xml:space="preserve">ed on their individual research </w:t>
            </w:r>
            <w:r>
              <w:t>question/</w:t>
            </w:r>
            <w:r w:rsidR="00CC032C">
              <w:t xml:space="preserve"> </w:t>
            </w:r>
            <w:r>
              <w:t>problem.</w:t>
            </w:r>
          </w:p>
        </w:tc>
        <w:tc>
          <w:tcPr>
            <w:tcW w:w="6249" w:type="dxa"/>
            <w:shd w:val="clear" w:color="auto" w:fill="FFFFFF"/>
          </w:tcPr>
          <w:p w:rsidR="00D40D53" w:rsidRPr="00677A89" w:rsidRDefault="0050297A" w:rsidP="00EC539C">
            <w:pPr>
              <w:pStyle w:val="TableText"/>
            </w:pPr>
            <w:r>
              <w:t xml:space="preserve">Students learn how to select inquiry questions, plan search locations, and use key words and phrases to conduct effective and efficient research. Additionally, students learn how to formally assess sources for credibility, accessibility, and relevance. </w:t>
            </w:r>
          </w:p>
        </w:tc>
      </w:tr>
      <w:tr w:rsidR="007B5476" w:rsidRPr="007B5476">
        <w:tc>
          <w:tcPr>
            <w:tcW w:w="892" w:type="dxa"/>
            <w:shd w:val="clear" w:color="auto" w:fill="FFFFFF"/>
          </w:tcPr>
          <w:p w:rsidR="007B5476" w:rsidRPr="007B5476" w:rsidRDefault="00D40D53" w:rsidP="00EC539C">
            <w:pPr>
              <w:pStyle w:val="TableText"/>
            </w:pPr>
            <w:r>
              <w:t>4</w:t>
            </w:r>
          </w:p>
        </w:tc>
        <w:tc>
          <w:tcPr>
            <w:tcW w:w="2309" w:type="dxa"/>
            <w:shd w:val="clear" w:color="auto" w:fill="FFFFFF"/>
          </w:tcPr>
          <w:p w:rsidR="008D0853" w:rsidRPr="001C2544" w:rsidRDefault="00841421" w:rsidP="00EC539C">
            <w:pPr>
              <w:pStyle w:val="TableText"/>
            </w:pPr>
            <w:r>
              <w:t>Students choose texts for res</w:t>
            </w:r>
            <w:r w:rsidR="001C2544">
              <w:t>earch based on their individual </w:t>
            </w:r>
            <w:r>
              <w:t>research question/problem.</w:t>
            </w:r>
          </w:p>
        </w:tc>
        <w:tc>
          <w:tcPr>
            <w:tcW w:w="6249" w:type="dxa"/>
            <w:shd w:val="clear" w:color="auto" w:fill="FFFFFF"/>
          </w:tcPr>
          <w:p w:rsidR="007B5476" w:rsidRPr="0050297A" w:rsidRDefault="0050297A" w:rsidP="00EC539C">
            <w:pPr>
              <w:pStyle w:val="TableText"/>
              <w:rPr>
                <w:rFonts w:asciiTheme="minorHAnsi" w:hAnsiTheme="minorHAnsi" w:cs="Calibri"/>
              </w:rPr>
            </w:pPr>
            <w:r>
              <w:rPr>
                <w:rFonts w:asciiTheme="minorHAnsi" w:hAnsiTheme="minorHAnsi" w:cs="Calibri"/>
              </w:rPr>
              <w:t>S</w:t>
            </w:r>
            <w:r w:rsidRPr="0050297A">
              <w:rPr>
                <w:rFonts w:asciiTheme="minorHAnsi" w:hAnsiTheme="minorHAnsi" w:cs="Calibri"/>
              </w:rPr>
              <w:t>tudents continue to develop thei</w:t>
            </w:r>
            <w:r>
              <w:rPr>
                <w:rFonts w:asciiTheme="minorHAnsi" w:hAnsiTheme="minorHAnsi" w:cs="Calibri"/>
              </w:rPr>
              <w:t xml:space="preserve">r research skills as they learn </w:t>
            </w:r>
            <w:r w:rsidRPr="0050297A">
              <w:rPr>
                <w:rFonts w:asciiTheme="minorHAnsi" w:hAnsiTheme="minorHAnsi" w:cs="Calibri"/>
              </w:rPr>
              <w:t xml:space="preserve">how to closely read important sources for selected inquiry questions, using annotation and </w:t>
            </w:r>
            <w:r>
              <w:rPr>
                <w:rFonts w:asciiTheme="minorHAnsi" w:hAnsiTheme="minorHAnsi" w:cs="Calibri"/>
              </w:rPr>
              <w:t>note taking</w:t>
            </w:r>
            <w:r w:rsidR="00CC032C">
              <w:rPr>
                <w:rFonts w:asciiTheme="minorHAnsi" w:hAnsiTheme="minorHAnsi" w:cs="Calibri"/>
              </w:rPr>
              <w:t xml:space="preserve">. Students are </w:t>
            </w:r>
            <w:r w:rsidR="006717DA" w:rsidRPr="001C2544">
              <w:rPr>
                <w:rFonts w:asciiTheme="minorHAnsi" w:hAnsiTheme="minorHAnsi" w:cs="Calibri"/>
                <w:spacing w:val="-2"/>
              </w:rPr>
              <w:t xml:space="preserve">introduced to additional annotation codes and a Taking Notes Tool. </w:t>
            </w:r>
          </w:p>
        </w:tc>
      </w:tr>
      <w:tr w:rsidR="007B5476" w:rsidRPr="007B5476" w:rsidTr="001C2544">
        <w:trPr>
          <w:trHeight w:val="1178"/>
        </w:trPr>
        <w:tc>
          <w:tcPr>
            <w:tcW w:w="892" w:type="dxa"/>
            <w:shd w:val="clear" w:color="auto" w:fill="FFFFFF"/>
          </w:tcPr>
          <w:p w:rsidR="007B5476" w:rsidRPr="007B5476" w:rsidRDefault="00F03B55" w:rsidP="00EC539C">
            <w:pPr>
              <w:pStyle w:val="TableText"/>
            </w:pPr>
            <w:r>
              <w:lastRenderedPageBreak/>
              <w:t>5</w:t>
            </w:r>
          </w:p>
        </w:tc>
        <w:tc>
          <w:tcPr>
            <w:tcW w:w="2309" w:type="dxa"/>
            <w:shd w:val="clear" w:color="auto" w:fill="FFFFFF"/>
          </w:tcPr>
          <w:p w:rsidR="00B51261" w:rsidRPr="008F708C" w:rsidRDefault="00841421" w:rsidP="001C2544">
            <w:pPr>
              <w:pStyle w:val="TableText"/>
              <w:spacing w:after="0"/>
            </w:pPr>
            <w:r>
              <w:t>Students choose texts for research based on their individual research question/problem.</w:t>
            </w:r>
          </w:p>
        </w:tc>
        <w:tc>
          <w:tcPr>
            <w:tcW w:w="6249" w:type="dxa"/>
            <w:shd w:val="clear" w:color="auto" w:fill="FFFFFF"/>
          </w:tcPr>
          <w:p w:rsidR="007B5476" w:rsidRPr="00677A89" w:rsidRDefault="0050297A" w:rsidP="00EC539C">
            <w:pPr>
              <w:pStyle w:val="TableText"/>
            </w:pPr>
            <w:r>
              <w:t>Students learn how to evaluate an evidence-based argument. Students work to develop their ability to identify the necessary components of a compelling argument, systematically evaluate arguments, and assess the effectiveness of these arguments.</w:t>
            </w:r>
          </w:p>
        </w:tc>
      </w:tr>
      <w:tr w:rsidR="007B5476" w:rsidRPr="007B5476">
        <w:tc>
          <w:tcPr>
            <w:tcW w:w="892" w:type="dxa"/>
            <w:shd w:val="clear" w:color="auto" w:fill="FFFFFF"/>
          </w:tcPr>
          <w:p w:rsidR="007B5476" w:rsidRPr="007B5476" w:rsidRDefault="00CC1374" w:rsidP="00EC539C">
            <w:pPr>
              <w:pStyle w:val="TableText"/>
            </w:pPr>
            <w:r>
              <w:t>6</w:t>
            </w:r>
          </w:p>
        </w:tc>
        <w:tc>
          <w:tcPr>
            <w:tcW w:w="2309" w:type="dxa"/>
            <w:shd w:val="clear" w:color="auto" w:fill="FFFFFF"/>
          </w:tcPr>
          <w:p w:rsidR="007B5476" w:rsidRPr="008F708C" w:rsidRDefault="00841421" w:rsidP="00EC539C">
            <w:pPr>
              <w:pStyle w:val="TableText"/>
            </w:pPr>
            <w:r>
              <w:t>Students choose texts for research based on their individual research question/problem.</w:t>
            </w:r>
          </w:p>
        </w:tc>
        <w:tc>
          <w:tcPr>
            <w:tcW w:w="6249" w:type="dxa"/>
            <w:shd w:val="clear" w:color="auto" w:fill="FFFFFF"/>
          </w:tcPr>
          <w:p w:rsidR="007B5476" w:rsidRPr="00677A89" w:rsidRDefault="004E6A09" w:rsidP="00EC539C">
            <w:pPr>
              <w:pStyle w:val="TableText"/>
            </w:pPr>
            <w:r w:rsidRPr="004E6A09">
              <w:t>Students construct a frame (Research Frame Tool) to guide their research by establishing inquiry paths that allow them to explore various aspects of their research topic/area of investigation. Students group their inq</w:t>
            </w:r>
            <w:r w:rsidR="006717DA">
              <w:t>uiry questions thematically, establish a problem-based question, and</w:t>
            </w:r>
            <w:r w:rsidRPr="004E6A09">
              <w:t xml:space="preserve"> formally plan their research using the Research Frame Tool. </w:t>
            </w:r>
          </w:p>
        </w:tc>
      </w:tr>
      <w:tr w:rsidR="007B5476" w:rsidRPr="007B5476">
        <w:tc>
          <w:tcPr>
            <w:tcW w:w="892" w:type="dxa"/>
            <w:shd w:val="clear" w:color="auto" w:fill="FFFFFF"/>
          </w:tcPr>
          <w:p w:rsidR="007B5476" w:rsidRPr="007B5476" w:rsidRDefault="00C02D05" w:rsidP="00EC539C">
            <w:pPr>
              <w:pStyle w:val="TableText"/>
            </w:pPr>
            <w:r>
              <w:t>7</w:t>
            </w:r>
          </w:p>
        </w:tc>
        <w:tc>
          <w:tcPr>
            <w:tcW w:w="2309" w:type="dxa"/>
            <w:shd w:val="clear" w:color="auto" w:fill="FFFFFF"/>
          </w:tcPr>
          <w:p w:rsidR="007B5476" w:rsidRPr="008F708C" w:rsidRDefault="00841421" w:rsidP="00EC539C">
            <w:pPr>
              <w:pStyle w:val="TableText"/>
            </w:pPr>
            <w:r>
              <w:t>Students choose texts for research based on their individual research question/problem.</w:t>
            </w:r>
          </w:p>
        </w:tc>
        <w:tc>
          <w:tcPr>
            <w:tcW w:w="6249" w:type="dxa"/>
            <w:shd w:val="clear" w:color="auto" w:fill="FFFFFF"/>
          </w:tcPr>
          <w:p w:rsidR="00100DFA" w:rsidRPr="00592EB6" w:rsidRDefault="000E5798" w:rsidP="00EC539C">
            <w:pPr>
              <w:pStyle w:val="TableText"/>
            </w:pPr>
            <w:r w:rsidRPr="00592EB6">
              <w:t>Students begin conducting searches independently using the Research Frame</w:t>
            </w:r>
            <w:r w:rsidR="00577D0A" w:rsidRPr="00592EB6">
              <w:t xml:space="preserve"> </w:t>
            </w:r>
            <w:r w:rsidRPr="00592EB6">
              <w:t xml:space="preserve">and associated search tools. This lesson is the first of three lessons </w:t>
            </w:r>
            <w:r w:rsidR="00BC701B">
              <w:t>during which</w:t>
            </w:r>
            <w:r w:rsidR="00BC701B" w:rsidRPr="00592EB6">
              <w:t xml:space="preserve"> </w:t>
            </w:r>
            <w:r w:rsidRPr="00592EB6">
              <w:t>students conduct sustained, independent research during class. While researching</w:t>
            </w:r>
            <w:r w:rsidR="00BC701B">
              <w:t>,</w:t>
            </w:r>
            <w:r w:rsidRPr="00592EB6">
              <w:t xml:space="preserve"> students consider how to use inquiry questions to drive research while continually assessing sources for credibility and usefulness in answering inquiry questions. </w:t>
            </w:r>
          </w:p>
        </w:tc>
      </w:tr>
      <w:tr w:rsidR="007B5476" w:rsidRPr="007B5476">
        <w:tc>
          <w:tcPr>
            <w:tcW w:w="892" w:type="dxa"/>
            <w:shd w:val="clear" w:color="auto" w:fill="FFFFFF"/>
          </w:tcPr>
          <w:p w:rsidR="007B5476" w:rsidRPr="007B5476" w:rsidRDefault="00263D16" w:rsidP="00EC539C">
            <w:pPr>
              <w:pStyle w:val="TableText"/>
            </w:pPr>
            <w:r>
              <w:t>8</w:t>
            </w:r>
          </w:p>
        </w:tc>
        <w:tc>
          <w:tcPr>
            <w:tcW w:w="2309" w:type="dxa"/>
            <w:shd w:val="clear" w:color="auto" w:fill="FFFFFF"/>
          </w:tcPr>
          <w:p w:rsidR="007B5476" w:rsidRPr="008F708C" w:rsidRDefault="00841421" w:rsidP="00EC539C">
            <w:pPr>
              <w:pStyle w:val="TableText"/>
            </w:pPr>
            <w:r>
              <w:t>Students choose texts for research based on their individual research question/problem.</w:t>
            </w:r>
          </w:p>
        </w:tc>
        <w:tc>
          <w:tcPr>
            <w:tcW w:w="6249" w:type="dxa"/>
            <w:shd w:val="clear" w:color="auto" w:fill="FFFFFF"/>
          </w:tcPr>
          <w:p w:rsidR="007B5476" w:rsidRPr="00592EB6" w:rsidRDefault="008602CD" w:rsidP="00EC539C">
            <w:pPr>
              <w:pStyle w:val="TableText"/>
            </w:pPr>
            <w:r w:rsidRPr="00592EB6">
              <w:t xml:space="preserve">Students continue to conduct searches independently using the Research Frame as a guide, with the associated search tools. This lesson is </w:t>
            </w:r>
            <w:r w:rsidR="004427B6">
              <w:t>second in a series of three lessons focusing on</w:t>
            </w:r>
            <w:r w:rsidRPr="00592EB6">
              <w:t xml:space="preserve"> the independent search process</w:t>
            </w:r>
            <w:r w:rsidR="004427B6">
              <w:t xml:space="preserve">. It </w:t>
            </w:r>
            <w:r w:rsidRPr="00592EB6">
              <w:t xml:space="preserve">builds on the previous lesson by focusing students on determining if the research </w:t>
            </w:r>
            <w:r w:rsidR="004E6A09">
              <w:t>surfaced</w:t>
            </w:r>
            <w:r w:rsidR="00BC701B" w:rsidRPr="00592EB6">
              <w:t xml:space="preserve"> </w:t>
            </w:r>
            <w:r w:rsidRPr="00592EB6">
              <w:t>is sufficient to address established inquiry paths and questions</w:t>
            </w:r>
            <w:r w:rsidR="00BC701B">
              <w:t>,</w:t>
            </w:r>
            <w:r w:rsidRPr="00592EB6">
              <w:t xml:space="preserve"> </w:t>
            </w:r>
            <w:r w:rsidR="00BC701B">
              <w:t>and</w:t>
            </w:r>
            <w:r w:rsidRPr="00592EB6">
              <w:t xml:space="preserve"> adjusting the search accordingly. Additionally, students </w:t>
            </w:r>
            <w:r w:rsidR="004427B6">
              <w:t>read</w:t>
            </w:r>
            <w:r w:rsidRPr="00592EB6">
              <w:t xml:space="preserve"> sources closely, analyzing details and ideas, and taking notes for each source to determine how it addresses inquiry questions and paths.</w:t>
            </w:r>
          </w:p>
        </w:tc>
      </w:tr>
      <w:tr w:rsidR="007B5476" w:rsidRPr="007B5476">
        <w:tc>
          <w:tcPr>
            <w:tcW w:w="892" w:type="dxa"/>
            <w:shd w:val="clear" w:color="auto" w:fill="FFFFFF"/>
          </w:tcPr>
          <w:p w:rsidR="007B5476" w:rsidRPr="007B5476" w:rsidRDefault="00925038" w:rsidP="00EC539C">
            <w:pPr>
              <w:pStyle w:val="TableText"/>
            </w:pPr>
            <w:r>
              <w:t>9</w:t>
            </w:r>
          </w:p>
        </w:tc>
        <w:tc>
          <w:tcPr>
            <w:tcW w:w="2309" w:type="dxa"/>
            <w:shd w:val="clear" w:color="auto" w:fill="FFFFFF"/>
          </w:tcPr>
          <w:p w:rsidR="00925038" w:rsidRPr="008F708C" w:rsidRDefault="00841421" w:rsidP="00EC539C">
            <w:pPr>
              <w:pStyle w:val="TableText"/>
            </w:pPr>
            <w:r>
              <w:t>Students choose texts for research based on their individual research question/problem.</w:t>
            </w:r>
          </w:p>
        </w:tc>
        <w:tc>
          <w:tcPr>
            <w:tcW w:w="6249" w:type="dxa"/>
            <w:shd w:val="clear" w:color="auto" w:fill="FFFFFF"/>
          </w:tcPr>
          <w:p w:rsidR="007B5476" w:rsidRPr="00592EB6" w:rsidRDefault="008602CD" w:rsidP="00EC539C">
            <w:pPr>
              <w:pStyle w:val="TableText"/>
            </w:pPr>
            <w:r w:rsidRPr="00592EB6">
              <w:t xml:space="preserve">Students continue to conduct searches independently. This lesson is the last in a series of three lessons focused on conducting searches independently. </w:t>
            </w:r>
            <w:r w:rsidR="00670FAD">
              <w:t xml:space="preserve">Students </w:t>
            </w:r>
            <w:r w:rsidR="00670FAD" w:rsidRPr="00670FAD">
              <w:t xml:space="preserve">assess their current search process and make strategic decisions about changes, additions, and deletions to the Research Frame. </w:t>
            </w:r>
            <w:r w:rsidR="00EE43D6">
              <w:t>Students make final decisions about their research direction by revising their Research Frame accordingly.</w:t>
            </w:r>
          </w:p>
        </w:tc>
      </w:tr>
      <w:tr w:rsidR="007B5476" w:rsidRPr="007B5476">
        <w:tc>
          <w:tcPr>
            <w:tcW w:w="892" w:type="dxa"/>
            <w:shd w:val="clear" w:color="auto" w:fill="FFFFFF"/>
          </w:tcPr>
          <w:p w:rsidR="007B5476" w:rsidRPr="007B5476" w:rsidRDefault="00FA0654" w:rsidP="00EC539C">
            <w:pPr>
              <w:pStyle w:val="TableText"/>
            </w:pPr>
            <w:r>
              <w:lastRenderedPageBreak/>
              <w:t>10</w:t>
            </w:r>
          </w:p>
        </w:tc>
        <w:tc>
          <w:tcPr>
            <w:tcW w:w="2309" w:type="dxa"/>
            <w:shd w:val="clear" w:color="auto" w:fill="FFFFFF"/>
          </w:tcPr>
          <w:p w:rsidR="00FA0654" w:rsidRPr="008F708C" w:rsidRDefault="00841421" w:rsidP="00EC539C">
            <w:pPr>
              <w:pStyle w:val="TableText"/>
            </w:pPr>
            <w:r>
              <w:t>Students choose texts for research based on their individual research question/problem.</w:t>
            </w:r>
          </w:p>
        </w:tc>
        <w:tc>
          <w:tcPr>
            <w:tcW w:w="6249" w:type="dxa"/>
            <w:shd w:val="clear" w:color="auto" w:fill="FFFFFF"/>
          </w:tcPr>
          <w:p w:rsidR="007B5476" w:rsidRPr="00677A89" w:rsidRDefault="008602CD" w:rsidP="00EC539C">
            <w:pPr>
              <w:pStyle w:val="TableText"/>
            </w:pPr>
            <w:r>
              <w:t>Students analyze and synthesize their research to mak</w:t>
            </w:r>
            <w:r w:rsidR="00BC701B">
              <w:t>e</w:t>
            </w:r>
            <w:r>
              <w:t xml:space="preserve"> claims about inquiry questions within an inquiry path</w:t>
            </w:r>
            <w:r w:rsidR="004E6A09">
              <w:t xml:space="preserve">. </w:t>
            </w:r>
            <w:r>
              <w:t xml:space="preserve">Students complete at least </w:t>
            </w:r>
            <w:r w:rsidRPr="00DA61FA">
              <w:t>two Forming Evidence-Based Claims Tools for all inquiry paths on the Research Frame.</w:t>
            </w:r>
            <w:r w:rsidR="00E60D68" w:rsidRPr="00DA61FA">
              <w:t xml:space="preserve"> </w:t>
            </w:r>
            <w:r w:rsidRPr="00DA61FA">
              <w:t xml:space="preserve">These initial claims </w:t>
            </w:r>
            <w:r w:rsidR="00BC701B">
              <w:t>are</w:t>
            </w:r>
            <w:r w:rsidRPr="00DA61FA">
              <w:t xml:space="preserve"> the foundation for the Evidence-Based Perspective students will develop in Lesson</w:t>
            </w:r>
            <w:r w:rsidR="004E6A09">
              <w:t xml:space="preserve"> 13.</w:t>
            </w:r>
          </w:p>
        </w:tc>
      </w:tr>
      <w:tr w:rsidR="007B5476" w:rsidRPr="007B5476">
        <w:tc>
          <w:tcPr>
            <w:tcW w:w="892" w:type="dxa"/>
            <w:shd w:val="clear" w:color="auto" w:fill="FFFFFF"/>
          </w:tcPr>
          <w:p w:rsidR="007B5476" w:rsidRPr="007B5476" w:rsidRDefault="009C46CF" w:rsidP="00EC539C">
            <w:pPr>
              <w:pStyle w:val="TableText"/>
            </w:pPr>
            <w:r>
              <w:t>11</w:t>
            </w:r>
          </w:p>
        </w:tc>
        <w:tc>
          <w:tcPr>
            <w:tcW w:w="2309" w:type="dxa"/>
            <w:shd w:val="clear" w:color="auto" w:fill="FFFFFF"/>
          </w:tcPr>
          <w:p w:rsidR="007B5476" w:rsidRPr="008F708C" w:rsidRDefault="008602CD" w:rsidP="00EC539C">
            <w:pPr>
              <w:pStyle w:val="TableText"/>
            </w:pPr>
            <w:r>
              <w:t>Students choose texts for research based on their individual research question/problem.</w:t>
            </w:r>
          </w:p>
        </w:tc>
        <w:tc>
          <w:tcPr>
            <w:tcW w:w="6249" w:type="dxa"/>
            <w:shd w:val="clear" w:color="auto" w:fill="FFFFFF"/>
          </w:tcPr>
          <w:p w:rsidR="007B5476" w:rsidRPr="00677A89" w:rsidRDefault="004E6A09" w:rsidP="00EC539C">
            <w:pPr>
              <w:pStyle w:val="TableText"/>
            </w:pPr>
            <w:r>
              <w:t xml:space="preserve">In this lesson, students organize, analyze, and synthesize their claims (Forming Evidence-Based Claims Tools) from the previous lesson to develop comprehensive claims about each inquiry path in the Research Frame. </w:t>
            </w:r>
            <w:r w:rsidR="00B0632A">
              <w:t>This work directly prepares students for developing and writing an Evidence-Based Perspective (</w:t>
            </w:r>
            <w:r w:rsidR="00265BA5">
              <w:t>End</w:t>
            </w:r>
            <w:r w:rsidR="00B0632A">
              <w:t>-of-</w:t>
            </w:r>
            <w:r w:rsidR="00265BA5">
              <w:t>Unit Assessment</w:t>
            </w:r>
            <w:r>
              <w:t>) in Lesson 13</w:t>
            </w:r>
            <w:r w:rsidR="00B0632A">
              <w:t>. Students build on the claims created in the previous lesson to develop comprehensive claims that reflect a deeper understanding of the inquiry paths and the</w:t>
            </w:r>
            <w:r w:rsidR="00EE43D6">
              <w:t xml:space="preserve"> problem-based question itself</w:t>
            </w:r>
            <w:r w:rsidR="00B0632A">
              <w:t>.</w:t>
            </w:r>
          </w:p>
        </w:tc>
      </w:tr>
      <w:tr w:rsidR="00732F51" w:rsidRPr="007B5476">
        <w:tc>
          <w:tcPr>
            <w:tcW w:w="892" w:type="dxa"/>
            <w:shd w:val="clear" w:color="auto" w:fill="FFFFFF"/>
          </w:tcPr>
          <w:p w:rsidR="00732F51" w:rsidRDefault="00732F51" w:rsidP="00EC539C">
            <w:pPr>
              <w:pStyle w:val="TableText"/>
            </w:pPr>
            <w:r>
              <w:t>12</w:t>
            </w:r>
          </w:p>
        </w:tc>
        <w:tc>
          <w:tcPr>
            <w:tcW w:w="2309" w:type="dxa"/>
            <w:shd w:val="clear" w:color="auto" w:fill="FFFFFF"/>
          </w:tcPr>
          <w:p w:rsidR="00732F51" w:rsidRDefault="00693E56" w:rsidP="00EC539C">
            <w:pPr>
              <w:pStyle w:val="TableText"/>
            </w:pPr>
            <w:r>
              <w:t>Students choose texts for research based on their individual research question/problem</w:t>
            </w:r>
          </w:p>
        </w:tc>
        <w:tc>
          <w:tcPr>
            <w:tcW w:w="6249" w:type="dxa"/>
            <w:shd w:val="clear" w:color="auto" w:fill="FFFFFF"/>
          </w:tcPr>
          <w:p w:rsidR="00732F51" w:rsidRDefault="00670FAD" w:rsidP="00EC539C">
            <w:pPr>
              <w:pStyle w:val="TableText"/>
            </w:pPr>
            <w:r>
              <w:t>S</w:t>
            </w:r>
            <w:r w:rsidR="004E6A09">
              <w:t>tudents choose one claim from the previous lesson to form a countercl</w:t>
            </w:r>
            <w:r w:rsidR="00495A20">
              <w:t>aim in opposition to that claim</w:t>
            </w:r>
            <w:r w:rsidR="004E6A09">
              <w:t>.</w:t>
            </w:r>
            <w:r w:rsidR="00495A20">
              <w:t xml:space="preserve"> Students identify evidence to support their counterclaims and record that information on the Forming Counterclaims Tool before engaging in a peer review. Students use the Evidence-Based Claims Criteria Checklist to evaluate a peer’s counterclaim. </w:t>
            </w:r>
            <w:r w:rsidR="004E6A09">
              <w:t xml:space="preserve"> </w:t>
            </w:r>
          </w:p>
        </w:tc>
      </w:tr>
      <w:tr w:rsidR="007B5476" w:rsidRPr="007B5476">
        <w:trPr>
          <w:trHeight w:val="1979"/>
        </w:trPr>
        <w:tc>
          <w:tcPr>
            <w:tcW w:w="892" w:type="dxa"/>
            <w:shd w:val="clear" w:color="auto" w:fill="FFFFFF"/>
          </w:tcPr>
          <w:p w:rsidR="007B5476" w:rsidRPr="007B5476" w:rsidRDefault="008602CD" w:rsidP="00EC539C">
            <w:pPr>
              <w:pStyle w:val="TableText"/>
            </w:pPr>
            <w:r>
              <w:t>1</w:t>
            </w:r>
            <w:r w:rsidR="00732F51">
              <w:t>3</w:t>
            </w:r>
          </w:p>
        </w:tc>
        <w:tc>
          <w:tcPr>
            <w:tcW w:w="2309" w:type="dxa"/>
            <w:shd w:val="clear" w:color="auto" w:fill="FFFFFF"/>
          </w:tcPr>
          <w:p w:rsidR="007B5476" w:rsidRPr="008F708C" w:rsidRDefault="008602CD" w:rsidP="00EC539C">
            <w:pPr>
              <w:pStyle w:val="TableText"/>
            </w:pPr>
            <w:r>
              <w:t>Students choose texts for research based on their individual research question/problem.</w:t>
            </w:r>
          </w:p>
        </w:tc>
        <w:tc>
          <w:tcPr>
            <w:tcW w:w="6249" w:type="dxa"/>
            <w:shd w:val="clear" w:color="auto" w:fill="FFFFFF"/>
          </w:tcPr>
          <w:p w:rsidR="007B5476" w:rsidRPr="00AF2C22" w:rsidRDefault="00B0632A" w:rsidP="00EC539C">
            <w:pPr>
              <w:pStyle w:val="TableText"/>
            </w:pPr>
            <w:r>
              <w:t xml:space="preserve">Students complete the </w:t>
            </w:r>
            <w:r w:rsidR="00265BA5">
              <w:t>End</w:t>
            </w:r>
            <w:r>
              <w:t>-of-</w:t>
            </w:r>
            <w:r w:rsidR="00265BA5">
              <w:t xml:space="preserve">Unit Assessment </w:t>
            </w:r>
            <w:r>
              <w:t xml:space="preserve">by conducting a final review of the Research Portfolio and writing an Evidence-Based Perspective based on the research outcomes from the unit. Students </w:t>
            </w:r>
            <w:r w:rsidR="00265BA5">
              <w:t>submit</w:t>
            </w:r>
            <w:r>
              <w:t xml:space="preserve"> the final </w:t>
            </w:r>
            <w:r w:rsidRPr="00495A20">
              <w:t>Research Portfolio</w:t>
            </w:r>
            <w:r>
              <w:t xml:space="preserve"> and the Evidence-Based Perspective. The Evidence-Based Perspective </w:t>
            </w:r>
            <w:r w:rsidR="00265BA5">
              <w:t>is</w:t>
            </w:r>
            <w:r>
              <w:t xml:space="preserve"> assessed using a rubric based on the Research Portfolio content.</w:t>
            </w:r>
          </w:p>
        </w:tc>
      </w:tr>
    </w:tbl>
    <w:p w:rsidR="00D87C94" w:rsidRDefault="00B87A2A" w:rsidP="00677A89">
      <w:pPr>
        <w:pStyle w:val="Heading1"/>
      </w:pPr>
      <w:r>
        <w:t>Preparation, Materials, and Resources</w:t>
      </w:r>
    </w:p>
    <w:p w:rsidR="008F708C" w:rsidRPr="008F708C" w:rsidRDefault="008F708C" w:rsidP="008F708C">
      <w:pPr>
        <w:rPr>
          <w:b/>
        </w:rPr>
      </w:pPr>
      <w:r w:rsidRPr="008F708C">
        <w:rPr>
          <w:b/>
        </w:rPr>
        <w:t>Preparation</w:t>
      </w:r>
    </w:p>
    <w:p w:rsidR="006516BB" w:rsidRDefault="00B07E5A" w:rsidP="008F708C">
      <w:pPr>
        <w:pStyle w:val="BulletedList"/>
      </w:pPr>
      <w:r>
        <w:t>Identify and contact th</w:t>
      </w:r>
      <w:r w:rsidR="0020254A">
        <w:t>e media specialist/librarian/person best positioned to assist students with conducting research</w:t>
      </w:r>
      <w:r w:rsidR="007B2848">
        <w:t>.</w:t>
      </w:r>
      <w:r w:rsidR="0020254A">
        <w:t xml:space="preserve"> </w:t>
      </w:r>
    </w:p>
    <w:p w:rsidR="006516BB" w:rsidRDefault="006516BB" w:rsidP="008F708C">
      <w:pPr>
        <w:pStyle w:val="BulletedList"/>
      </w:pPr>
      <w:r>
        <w:t>Reserve computer lab</w:t>
      </w:r>
      <w:r w:rsidR="00B07E5A">
        <w:t xml:space="preserve"> or classroom with technology </w:t>
      </w:r>
      <w:r w:rsidR="00265BA5">
        <w:t xml:space="preserve">and Internet </w:t>
      </w:r>
      <w:r w:rsidR="00B07E5A">
        <w:t>access for all students</w:t>
      </w:r>
      <w:r w:rsidR="007B2848">
        <w:t>.</w:t>
      </w:r>
    </w:p>
    <w:p w:rsidR="006516BB" w:rsidRDefault="007B2848" w:rsidP="008F708C">
      <w:pPr>
        <w:pStyle w:val="BulletedList"/>
      </w:pPr>
      <w:r>
        <w:lastRenderedPageBreak/>
        <w:t>Read</w:t>
      </w:r>
      <w:r w:rsidR="006516BB">
        <w:t xml:space="preserve"> </w:t>
      </w:r>
      <w:r w:rsidR="00B07E5A">
        <w:t xml:space="preserve">and annotate model </w:t>
      </w:r>
      <w:r w:rsidR="006516BB">
        <w:t>sources</w:t>
      </w:r>
      <w:r w:rsidR="00EB71E9">
        <w:t xml:space="preserve"> (see page 1</w:t>
      </w:r>
      <w:r w:rsidR="00B07E5A">
        <w:t>)</w:t>
      </w:r>
      <w:r>
        <w:t>.</w:t>
      </w:r>
    </w:p>
    <w:p w:rsidR="001F7CE0" w:rsidRDefault="008F708C" w:rsidP="00670FAD">
      <w:pPr>
        <w:spacing w:before="180"/>
        <w:rPr>
          <w:b/>
        </w:rPr>
      </w:pPr>
      <w:r w:rsidRPr="008F708C">
        <w:rPr>
          <w:b/>
        </w:rPr>
        <w:t>Materials/Resources</w:t>
      </w:r>
    </w:p>
    <w:p w:rsidR="00C522D9" w:rsidRDefault="001F7CE0" w:rsidP="00265BA5">
      <w:pPr>
        <w:pStyle w:val="BulletedList"/>
        <w:numPr>
          <w:ilvl w:val="0"/>
          <w:numId w:val="22"/>
        </w:numPr>
      </w:pPr>
      <w:r>
        <w:rPr>
          <w:rFonts w:asciiTheme="minorHAnsi" w:hAnsiTheme="minorHAnsi"/>
        </w:rPr>
        <w:t>Binders or Electronic Folders (</w:t>
      </w:r>
      <w:r w:rsidR="00265BA5">
        <w:rPr>
          <w:rFonts w:asciiTheme="minorHAnsi" w:hAnsiTheme="minorHAnsi"/>
        </w:rPr>
        <w:t xml:space="preserve">for </w:t>
      </w:r>
      <w:r>
        <w:rPr>
          <w:rFonts w:asciiTheme="minorHAnsi" w:hAnsiTheme="minorHAnsi"/>
        </w:rPr>
        <w:t>the Research Portfolio)</w:t>
      </w:r>
    </w:p>
    <w:p w:rsidR="008D4E6B" w:rsidRDefault="008D4E6B" w:rsidP="00265BA5">
      <w:pPr>
        <w:pStyle w:val="BulletedList"/>
        <w:numPr>
          <w:ilvl w:val="0"/>
          <w:numId w:val="22"/>
        </w:numPr>
      </w:pPr>
      <w:r w:rsidRPr="007B5476">
        <w:t>Access to technology (if possible): interactive whiteboard, document camera, and LCD projector</w:t>
      </w:r>
    </w:p>
    <w:p w:rsidR="008D4E6B" w:rsidRPr="007B5476" w:rsidRDefault="008D4E6B" w:rsidP="00265BA5">
      <w:pPr>
        <w:pStyle w:val="BulletedList"/>
        <w:numPr>
          <w:ilvl w:val="0"/>
          <w:numId w:val="22"/>
        </w:numPr>
      </w:pPr>
      <w:r w:rsidRPr="007B5476">
        <w:t>Copies of handouts</w:t>
      </w:r>
      <w:r>
        <w:t xml:space="preserve"> and tools</w:t>
      </w:r>
      <w:r w:rsidRPr="007B5476">
        <w:t xml:space="preserve"> for each student: see </w:t>
      </w:r>
      <w:r w:rsidR="007B2848">
        <w:t>M</w:t>
      </w:r>
      <w:r>
        <w:t xml:space="preserve">aterials list in </w:t>
      </w:r>
      <w:r w:rsidRPr="007B5476">
        <w:t>individual lesson plans</w:t>
      </w:r>
    </w:p>
    <w:p w:rsidR="001F7CE0" w:rsidRDefault="001F7CE0" w:rsidP="00265BA5">
      <w:pPr>
        <w:pStyle w:val="BulletedList"/>
        <w:numPr>
          <w:ilvl w:val="0"/>
          <w:numId w:val="22"/>
        </w:numPr>
      </w:pPr>
      <w:r>
        <w:t xml:space="preserve">Highlighters </w:t>
      </w:r>
    </w:p>
    <w:p w:rsidR="004E54EC" w:rsidRPr="003F0905" w:rsidRDefault="004E54EC" w:rsidP="004E54EC">
      <w:pPr>
        <w:pStyle w:val="BulletedList"/>
        <w:numPr>
          <w:ilvl w:val="0"/>
          <w:numId w:val="22"/>
        </w:numPr>
      </w:pPr>
      <w:r>
        <w:t xml:space="preserve">Copies of the </w:t>
      </w:r>
      <w:r w:rsidRPr="004E54EC">
        <w:t>10.3.2 End-of-Unit Evidence-Based Perspective Rubric</w:t>
      </w:r>
      <w:r>
        <w:t>.</w:t>
      </w:r>
      <w:bookmarkStart w:id="0" w:name="_GoBack"/>
      <w:bookmarkEnd w:id="0"/>
    </w:p>
    <w:sectPr w:rsidR="004E54EC" w:rsidRPr="003F0905" w:rsidSect="00624B6F">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499" w:rsidRDefault="00B85499">
      <w:r>
        <w:separator/>
      </w:r>
    </w:p>
  </w:endnote>
  <w:endnote w:type="continuationSeparator" w:id="0">
    <w:p w:rsidR="00B85499" w:rsidRDefault="00B85499">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7B6" w:rsidRPr="00563CB8" w:rsidRDefault="004427B6" w:rsidP="00F25828">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4427B6" w:rsidTr="00C23C52">
      <w:trPr>
        <w:trHeight w:val="705"/>
      </w:trPr>
      <w:tc>
        <w:tcPr>
          <w:tcW w:w="4609" w:type="dxa"/>
          <w:shd w:val="clear" w:color="auto" w:fill="auto"/>
          <w:vAlign w:val="center"/>
        </w:tcPr>
        <w:p w:rsidR="004427B6" w:rsidRPr="002E4C92" w:rsidRDefault="004427B6" w:rsidP="00C23C52">
          <w:pPr>
            <w:pStyle w:val="FooterText"/>
          </w:pPr>
          <w:r w:rsidRPr="002E4C92">
            <w:t>File:</w:t>
          </w:r>
          <w:r w:rsidRPr="0039525B">
            <w:rPr>
              <w:b w:val="0"/>
            </w:rPr>
            <w:t xml:space="preserve"> </w:t>
          </w:r>
          <w:r>
            <w:rPr>
              <w:b w:val="0"/>
            </w:rPr>
            <w:t>10.3.2</w:t>
          </w:r>
          <w:r w:rsidRPr="0039525B">
            <w:rPr>
              <w:b w:val="0"/>
            </w:rPr>
            <w:t xml:space="preserve"> </w:t>
          </w:r>
          <w:r>
            <w:rPr>
              <w:b w:val="0"/>
            </w:rPr>
            <w:t>Unit Overview</w:t>
          </w:r>
          <w:r w:rsidRPr="002E4C92">
            <w:t xml:space="preserve"> Date:</w:t>
          </w:r>
          <w:r w:rsidRPr="0039525B">
            <w:rPr>
              <w:b w:val="0"/>
            </w:rPr>
            <w:t xml:space="preserve"> </w:t>
          </w:r>
          <w:r w:rsidR="00231384">
            <w:rPr>
              <w:b w:val="0"/>
            </w:rPr>
            <w:t>4</w:t>
          </w:r>
          <w:r w:rsidRPr="0039525B">
            <w:rPr>
              <w:b w:val="0"/>
            </w:rPr>
            <w:t>/</w:t>
          </w:r>
          <w:r w:rsidR="007B2848">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sidR="00231384">
            <w:rPr>
              <w:b w:val="0"/>
            </w:rPr>
            <w:t>4</w:t>
          </w:r>
          <w:r w:rsidRPr="0039525B">
            <w:rPr>
              <w:b w:val="0"/>
            </w:rPr>
            <w:t>/201</w:t>
          </w:r>
          <w:r>
            <w:rPr>
              <w:b w:val="0"/>
            </w:rPr>
            <w:t>4</w:t>
          </w:r>
          <w:r w:rsidRPr="0039525B">
            <w:rPr>
              <w:b w:val="0"/>
            </w:rPr>
            <w:t xml:space="preserve"> </w:t>
          </w:r>
        </w:p>
        <w:p w:rsidR="004427B6" w:rsidRPr="0039525B" w:rsidRDefault="004427B6" w:rsidP="00C23C52">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4427B6" w:rsidRPr="0039525B" w:rsidRDefault="004427B6" w:rsidP="00C23C52">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rsidR="004427B6" w:rsidRPr="002E4C92" w:rsidRDefault="00B90FA2" w:rsidP="00C23C52">
          <w:pPr>
            <w:pStyle w:val="FooterText"/>
          </w:pPr>
          <w:hyperlink r:id="rId1" w:history="1">
            <w:r w:rsidR="004427B6"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4427B6" w:rsidRPr="002E4C92" w:rsidRDefault="00B90FA2" w:rsidP="00C23C52">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4427B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A4CF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4427B6" w:rsidRPr="002E4C92" w:rsidRDefault="004427B6" w:rsidP="00C23C52">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9"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4427B6" w:rsidRPr="0039525B" w:rsidRDefault="004427B6" w:rsidP="00F25828">
    <w:pPr>
      <w:pStyle w:val="Footer"/>
      <w:spacing w:before="0"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499" w:rsidRDefault="00B85499">
      <w:r>
        <w:separator/>
      </w:r>
    </w:p>
  </w:footnote>
  <w:footnote w:type="continuationSeparator" w:id="0">
    <w:p w:rsidR="00B85499" w:rsidRDefault="00B85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4427B6">
      <w:tc>
        <w:tcPr>
          <w:tcW w:w="3708" w:type="dxa"/>
        </w:tcPr>
        <w:p w:rsidR="004427B6" w:rsidRDefault="004427B6" w:rsidP="005B1B50">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4427B6" w:rsidRDefault="004427B6" w:rsidP="005B1B50">
          <w:pPr>
            <w:pStyle w:val="BodyText"/>
            <w:tabs>
              <w:tab w:val="center" w:pos="4770"/>
              <w:tab w:val="left" w:pos="4980"/>
              <w:tab w:val="right" w:pos="9450"/>
              <w:tab w:val="left" w:pos="11070"/>
            </w:tabs>
            <w:spacing w:before="180"/>
            <w:jc w:val="center"/>
            <w:rPr>
              <w:b/>
              <w:color w:val="244061"/>
              <w:sz w:val="18"/>
            </w:rPr>
          </w:pPr>
          <w:r w:rsidRPr="00F25828">
            <w:rPr>
              <w:color w:val="244061"/>
            </w:rPr>
            <w:t>D R A F T</w:t>
          </w:r>
        </w:p>
      </w:tc>
      <w:tc>
        <w:tcPr>
          <w:tcW w:w="3438" w:type="dxa"/>
        </w:tcPr>
        <w:p w:rsidR="004427B6" w:rsidRDefault="004427B6" w:rsidP="00642749">
          <w:pPr>
            <w:pStyle w:val="BodyText"/>
            <w:tabs>
              <w:tab w:val="center" w:pos="4770"/>
              <w:tab w:val="left" w:pos="4980"/>
              <w:tab w:val="right" w:pos="9450"/>
              <w:tab w:val="left" w:pos="11070"/>
            </w:tabs>
            <w:spacing w:before="180"/>
            <w:jc w:val="right"/>
            <w:rPr>
              <w:b/>
              <w:color w:val="244061"/>
              <w:sz w:val="18"/>
            </w:rPr>
          </w:pPr>
          <w:r>
            <w:rPr>
              <w:color w:val="244061"/>
              <w:sz w:val="18"/>
            </w:rPr>
            <w:t>Grade 10 • Module 3 • Unit 2 Overview</w:t>
          </w:r>
        </w:p>
      </w:tc>
    </w:tr>
  </w:tbl>
  <w:p w:rsidR="004427B6" w:rsidRDefault="004427B6" w:rsidP="00061D2A">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DC045E"/>
    <w:multiLevelType w:val="hybridMultilevel"/>
    <w:tmpl w:val="7BE8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525329"/>
    <w:multiLevelType w:val="hybridMultilevel"/>
    <w:tmpl w:val="F8521D22"/>
    <w:lvl w:ilvl="0" w:tplc="2AAA49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7">
    <w:nsid w:val="37305F27"/>
    <w:multiLevelType w:val="hybridMultilevel"/>
    <w:tmpl w:val="799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B01B76"/>
    <w:multiLevelType w:val="multilevel"/>
    <w:tmpl w:val="6B447E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4783367C"/>
    <w:multiLevelType w:val="hybridMultilevel"/>
    <w:tmpl w:val="BFA6F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B52C9"/>
    <w:multiLevelType w:val="multilevel"/>
    <w:tmpl w:val="6E7018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DA74D1"/>
    <w:multiLevelType w:val="multilevel"/>
    <w:tmpl w:val="80C0B0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52DF7E49"/>
    <w:multiLevelType w:val="multilevel"/>
    <w:tmpl w:val="F134201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AC57447"/>
    <w:multiLevelType w:val="hybridMultilevel"/>
    <w:tmpl w:val="3E7A38EC"/>
    <w:lvl w:ilvl="0" w:tplc="79B4921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7261A"/>
    <w:multiLevelType w:val="hybridMultilevel"/>
    <w:tmpl w:val="EB7A5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606A2E"/>
    <w:multiLevelType w:val="multilevel"/>
    <w:tmpl w:val="7FF0AC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8D877A2"/>
    <w:multiLevelType w:val="multilevel"/>
    <w:tmpl w:val="B3BCE8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6A480864"/>
    <w:multiLevelType w:val="hybridMultilevel"/>
    <w:tmpl w:val="EF1C932A"/>
    <w:lvl w:ilvl="0" w:tplc="99F4C082">
      <w:start w:val="1"/>
      <w:numFmt w:val="low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1732A"/>
    <w:multiLevelType w:val="hybridMultilevel"/>
    <w:tmpl w:val="4064A45C"/>
    <w:lvl w:ilvl="0" w:tplc="03BECDF2">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3"/>
  </w:num>
  <w:num w:numId="3">
    <w:abstractNumId w:val="14"/>
  </w:num>
  <w:num w:numId="4">
    <w:abstractNumId w:val="15"/>
  </w:num>
  <w:num w:numId="5">
    <w:abstractNumId w:val="9"/>
  </w:num>
  <w:num w:numId="6">
    <w:abstractNumId w:val="18"/>
  </w:num>
  <w:num w:numId="7">
    <w:abstractNumId w:val="21"/>
  </w:num>
  <w:num w:numId="8">
    <w:abstractNumId w:val="8"/>
  </w:num>
  <w:num w:numId="9">
    <w:abstractNumId w:val="6"/>
  </w:num>
  <w:num w:numId="10">
    <w:abstractNumId w:val="16"/>
  </w:num>
  <w:num w:numId="11">
    <w:abstractNumId w:val="0"/>
  </w:num>
  <w:num w:numId="12">
    <w:abstractNumId w:val="20"/>
  </w:num>
  <w:num w:numId="13">
    <w:abstractNumId w:val="5"/>
    <w:lvlOverride w:ilvl="0">
      <w:startOverride w:val="1"/>
    </w:lvlOverride>
  </w:num>
  <w:num w:numId="14">
    <w:abstractNumId w:val="24"/>
  </w:num>
  <w:num w:numId="15">
    <w:abstractNumId w:val="2"/>
  </w:num>
  <w:num w:numId="16">
    <w:abstractNumId w:val="19"/>
  </w:num>
  <w:num w:numId="17">
    <w:abstractNumId w:val="3"/>
  </w:num>
  <w:num w:numId="18">
    <w:abstractNumId w:val="1"/>
  </w:num>
  <w:num w:numId="19">
    <w:abstractNumId w:val="23"/>
  </w:num>
  <w:num w:numId="20">
    <w:abstractNumId w:val="7"/>
  </w:num>
  <w:num w:numId="21">
    <w:abstractNumId w:val="4"/>
    <w:lvlOverride w:ilvl="0">
      <w:startOverride w:val="1"/>
    </w:lvlOverride>
  </w:num>
  <w:num w:numId="22">
    <w:abstractNumId w:val="10"/>
  </w:num>
  <w:num w:numId="23">
    <w:abstractNumId w:val="12"/>
  </w:num>
  <w:num w:numId="24">
    <w:abstractNumId w:val="17"/>
  </w:num>
  <w:num w:numId="25">
    <w:abstractNumId w:val="22"/>
  </w:num>
  <w:num w:numId="26">
    <w:abstractNumId w:val="22"/>
    <w:lvlOverride w:ilvl="0">
      <w:startOverride w:val="1"/>
    </w:lvlOverride>
  </w:num>
  <w:num w:numId="27">
    <w:abstractNumId w:val="22"/>
    <w:lvlOverride w:ilvl="0">
      <w:startOverride w:val="3"/>
    </w:lvlOverride>
  </w:num>
  <w:num w:numId="28">
    <w:abstractNumId w:val="16"/>
  </w:num>
  <w:num w:numId="29">
    <w:abstractNumId w:val="0"/>
  </w:num>
  <w:num w:numId="30">
    <w:abstractNumId w:val="20"/>
  </w:num>
  <w:num w:numId="31">
    <w:abstractNumId w:val="5"/>
    <w:lvlOverride w:ilvl="0">
      <w:startOverride w:val="1"/>
    </w:lvlOverride>
  </w:num>
  <w:num w:numId="32">
    <w:abstractNumId w:val="24"/>
  </w:num>
  <w:num w:numId="33">
    <w:abstractNumId w:val="2"/>
  </w:num>
  <w:num w:numId="34">
    <w:abstractNumId w:val="19"/>
  </w:num>
  <w:num w:numId="35">
    <w:abstractNumId w:val="25"/>
  </w:num>
  <w:num w:numId="36">
    <w:abstractNumId w:val="25"/>
    <w:lvlOverride w:ilvl="0">
      <w:startOverride w:val="1"/>
    </w:lvlOverride>
  </w:num>
  <w:num w:numId="37">
    <w:abstractNumId w:val="25"/>
    <w:lvlOverride w:ilvl="0">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87C94"/>
    <w:rsid w:val="000001E0"/>
    <w:rsid w:val="00000843"/>
    <w:rsid w:val="000029D7"/>
    <w:rsid w:val="00006943"/>
    <w:rsid w:val="00014F2E"/>
    <w:rsid w:val="00017811"/>
    <w:rsid w:val="00020206"/>
    <w:rsid w:val="00020DDA"/>
    <w:rsid w:val="00025F1B"/>
    <w:rsid w:val="0004194E"/>
    <w:rsid w:val="00042BCC"/>
    <w:rsid w:val="00043579"/>
    <w:rsid w:val="000546EB"/>
    <w:rsid w:val="00057902"/>
    <w:rsid w:val="00061D2A"/>
    <w:rsid w:val="00077890"/>
    <w:rsid w:val="00077DCF"/>
    <w:rsid w:val="000816B7"/>
    <w:rsid w:val="00083BFE"/>
    <w:rsid w:val="000863BC"/>
    <w:rsid w:val="00090295"/>
    <w:rsid w:val="00091302"/>
    <w:rsid w:val="00091F94"/>
    <w:rsid w:val="000A53D0"/>
    <w:rsid w:val="000A7D16"/>
    <w:rsid w:val="000C2C1A"/>
    <w:rsid w:val="000C37BB"/>
    <w:rsid w:val="000C464F"/>
    <w:rsid w:val="000C7EBD"/>
    <w:rsid w:val="000D191F"/>
    <w:rsid w:val="000D2929"/>
    <w:rsid w:val="000D7F13"/>
    <w:rsid w:val="000E262C"/>
    <w:rsid w:val="000E34AF"/>
    <w:rsid w:val="000E5798"/>
    <w:rsid w:val="000F2F3E"/>
    <w:rsid w:val="000F301D"/>
    <w:rsid w:val="00100DFA"/>
    <w:rsid w:val="001047F1"/>
    <w:rsid w:val="00105960"/>
    <w:rsid w:val="0011022C"/>
    <w:rsid w:val="0011173C"/>
    <w:rsid w:val="001123B4"/>
    <w:rsid w:val="001158CE"/>
    <w:rsid w:val="00116963"/>
    <w:rsid w:val="00120201"/>
    <w:rsid w:val="00125A03"/>
    <w:rsid w:val="00125D6A"/>
    <w:rsid w:val="00126888"/>
    <w:rsid w:val="00126AD9"/>
    <w:rsid w:val="00151F70"/>
    <w:rsid w:val="0015465B"/>
    <w:rsid w:val="00160A43"/>
    <w:rsid w:val="00161FAE"/>
    <w:rsid w:val="00173A67"/>
    <w:rsid w:val="00184EA8"/>
    <w:rsid w:val="00193B9A"/>
    <w:rsid w:val="001A0AE6"/>
    <w:rsid w:val="001A3CE5"/>
    <w:rsid w:val="001B1708"/>
    <w:rsid w:val="001B4250"/>
    <w:rsid w:val="001B5004"/>
    <w:rsid w:val="001B60F8"/>
    <w:rsid w:val="001C2544"/>
    <w:rsid w:val="001C60C9"/>
    <w:rsid w:val="001C6E87"/>
    <w:rsid w:val="001D5B7E"/>
    <w:rsid w:val="001E2415"/>
    <w:rsid w:val="001F17FF"/>
    <w:rsid w:val="001F6CE8"/>
    <w:rsid w:val="001F7CE0"/>
    <w:rsid w:val="0020254A"/>
    <w:rsid w:val="00204A3C"/>
    <w:rsid w:val="00215549"/>
    <w:rsid w:val="00223EB3"/>
    <w:rsid w:val="00231384"/>
    <w:rsid w:val="00232F1D"/>
    <w:rsid w:val="00243BA8"/>
    <w:rsid w:val="00243CA2"/>
    <w:rsid w:val="002605E5"/>
    <w:rsid w:val="00261BD8"/>
    <w:rsid w:val="00263D16"/>
    <w:rsid w:val="00265BA5"/>
    <w:rsid w:val="0027364B"/>
    <w:rsid w:val="002746AE"/>
    <w:rsid w:val="00275862"/>
    <w:rsid w:val="0027691C"/>
    <w:rsid w:val="00277D06"/>
    <w:rsid w:val="00277D60"/>
    <w:rsid w:val="00282276"/>
    <w:rsid w:val="002826B2"/>
    <w:rsid w:val="00283C9B"/>
    <w:rsid w:val="0028733C"/>
    <w:rsid w:val="002A1523"/>
    <w:rsid w:val="002A284A"/>
    <w:rsid w:val="002A678B"/>
    <w:rsid w:val="002B6628"/>
    <w:rsid w:val="002C30D4"/>
    <w:rsid w:val="002C6B90"/>
    <w:rsid w:val="002D29FF"/>
    <w:rsid w:val="002D3498"/>
    <w:rsid w:val="002E05EA"/>
    <w:rsid w:val="002E1B71"/>
    <w:rsid w:val="002F2843"/>
    <w:rsid w:val="002F5537"/>
    <w:rsid w:val="00300BA0"/>
    <w:rsid w:val="0030194C"/>
    <w:rsid w:val="00301A1E"/>
    <w:rsid w:val="0030292A"/>
    <w:rsid w:val="00302B2F"/>
    <w:rsid w:val="00311FF2"/>
    <w:rsid w:val="00315CB6"/>
    <w:rsid w:val="003203A5"/>
    <w:rsid w:val="00324FF6"/>
    <w:rsid w:val="00335933"/>
    <w:rsid w:val="00342015"/>
    <w:rsid w:val="00345314"/>
    <w:rsid w:val="00352C49"/>
    <w:rsid w:val="00355438"/>
    <w:rsid w:val="00371304"/>
    <w:rsid w:val="00371B3E"/>
    <w:rsid w:val="00373F39"/>
    <w:rsid w:val="0038216C"/>
    <w:rsid w:val="003833F9"/>
    <w:rsid w:val="00393ABB"/>
    <w:rsid w:val="0039408C"/>
    <w:rsid w:val="003952B5"/>
    <w:rsid w:val="00395544"/>
    <w:rsid w:val="003A388B"/>
    <w:rsid w:val="003B0BAE"/>
    <w:rsid w:val="003C19CD"/>
    <w:rsid w:val="003C2009"/>
    <w:rsid w:val="003C3667"/>
    <w:rsid w:val="003C5C67"/>
    <w:rsid w:val="003D367D"/>
    <w:rsid w:val="003D4E24"/>
    <w:rsid w:val="003E112A"/>
    <w:rsid w:val="003F0905"/>
    <w:rsid w:val="00402F71"/>
    <w:rsid w:val="00422C16"/>
    <w:rsid w:val="004247A8"/>
    <w:rsid w:val="00426D55"/>
    <w:rsid w:val="00426EC6"/>
    <w:rsid w:val="0044066F"/>
    <w:rsid w:val="004427B6"/>
    <w:rsid w:val="004440EC"/>
    <w:rsid w:val="004528EF"/>
    <w:rsid w:val="00456E6E"/>
    <w:rsid w:val="004640E9"/>
    <w:rsid w:val="0046636D"/>
    <w:rsid w:val="00482683"/>
    <w:rsid w:val="00487026"/>
    <w:rsid w:val="004878EC"/>
    <w:rsid w:val="00490F80"/>
    <w:rsid w:val="00495A20"/>
    <w:rsid w:val="00497460"/>
    <w:rsid w:val="004A193B"/>
    <w:rsid w:val="004A2942"/>
    <w:rsid w:val="004A6B76"/>
    <w:rsid w:val="004C047B"/>
    <w:rsid w:val="004C2E9A"/>
    <w:rsid w:val="004C3423"/>
    <w:rsid w:val="004C45C9"/>
    <w:rsid w:val="004C761F"/>
    <w:rsid w:val="004D1E79"/>
    <w:rsid w:val="004E0E48"/>
    <w:rsid w:val="004E3092"/>
    <w:rsid w:val="004E37DA"/>
    <w:rsid w:val="004E54EC"/>
    <w:rsid w:val="004E5A49"/>
    <w:rsid w:val="004E6A09"/>
    <w:rsid w:val="004F1FF7"/>
    <w:rsid w:val="004F3841"/>
    <w:rsid w:val="004F518D"/>
    <w:rsid w:val="0050297A"/>
    <w:rsid w:val="00503C90"/>
    <w:rsid w:val="00504A29"/>
    <w:rsid w:val="00507E47"/>
    <w:rsid w:val="00511688"/>
    <w:rsid w:val="00515289"/>
    <w:rsid w:val="005208F6"/>
    <w:rsid w:val="00527161"/>
    <w:rsid w:val="00533401"/>
    <w:rsid w:val="00535C3A"/>
    <w:rsid w:val="0053713E"/>
    <w:rsid w:val="00537365"/>
    <w:rsid w:val="00541919"/>
    <w:rsid w:val="00553573"/>
    <w:rsid w:val="00554036"/>
    <w:rsid w:val="00577D0A"/>
    <w:rsid w:val="0058394D"/>
    <w:rsid w:val="00584F9E"/>
    <w:rsid w:val="005858C3"/>
    <w:rsid w:val="00592EB6"/>
    <w:rsid w:val="005A2E0C"/>
    <w:rsid w:val="005B1B50"/>
    <w:rsid w:val="005B6C7C"/>
    <w:rsid w:val="005B6F2B"/>
    <w:rsid w:val="005C3D0E"/>
    <w:rsid w:val="005E3C69"/>
    <w:rsid w:val="005F5D88"/>
    <w:rsid w:val="00606385"/>
    <w:rsid w:val="00606AE0"/>
    <w:rsid w:val="006169FE"/>
    <w:rsid w:val="00616D7E"/>
    <w:rsid w:val="00624B6F"/>
    <w:rsid w:val="00630B61"/>
    <w:rsid w:val="00635BDC"/>
    <w:rsid w:val="00637991"/>
    <w:rsid w:val="006402AF"/>
    <w:rsid w:val="00642749"/>
    <w:rsid w:val="0064634C"/>
    <w:rsid w:val="00647D4C"/>
    <w:rsid w:val="006516BB"/>
    <w:rsid w:val="00654A22"/>
    <w:rsid w:val="0065655D"/>
    <w:rsid w:val="00660FBD"/>
    <w:rsid w:val="00662B4D"/>
    <w:rsid w:val="00665203"/>
    <w:rsid w:val="00670FAD"/>
    <w:rsid w:val="00671413"/>
    <w:rsid w:val="006717DA"/>
    <w:rsid w:val="006731DB"/>
    <w:rsid w:val="00673C00"/>
    <w:rsid w:val="006747C4"/>
    <w:rsid w:val="0067499E"/>
    <w:rsid w:val="006776EB"/>
    <w:rsid w:val="00677A89"/>
    <w:rsid w:val="00682663"/>
    <w:rsid w:val="00682DF8"/>
    <w:rsid w:val="0068643A"/>
    <w:rsid w:val="00686CE7"/>
    <w:rsid w:val="0069027D"/>
    <w:rsid w:val="006921A3"/>
    <w:rsid w:val="00692673"/>
    <w:rsid w:val="00693E56"/>
    <w:rsid w:val="00695D7A"/>
    <w:rsid w:val="006963BB"/>
    <w:rsid w:val="006A1AAF"/>
    <w:rsid w:val="006B418C"/>
    <w:rsid w:val="006B68D6"/>
    <w:rsid w:val="006B77E6"/>
    <w:rsid w:val="006C144A"/>
    <w:rsid w:val="006C2A22"/>
    <w:rsid w:val="006C2E94"/>
    <w:rsid w:val="006D0B2E"/>
    <w:rsid w:val="006D3702"/>
    <w:rsid w:val="006D3F09"/>
    <w:rsid w:val="006F362D"/>
    <w:rsid w:val="006F5768"/>
    <w:rsid w:val="006F590B"/>
    <w:rsid w:val="006F603A"/>
    <w:rsid w:val="00703A54"/>
    <w:rsid w:val="00710144"/>
    <w:rsid w:val="007164D8"/>
    <w:rsid w:val="00717195"/>
    <w:rsid w:val="00731F8E"/>
    <w:rsid w:val="00732F51"/>
    <w:rsid w:val="007415A9"/>
    <w:rsid w:val="00752B8D"/>
    <w:rsid w:val="007578BE"/>
    <w:rsid w:val="007613BC"/>
    <w:rsid w:val="0077277C"/>
    <w:rsid w:val="007821B4"/>
    <w:rsid w:val="00782B86"/>
    <w:rsid w:val="00784127"/>
    <w:rsid w:val="007867A7"/>
    <w:rsid w:val="00787B75"/>
    <w:rsid w:val="00797413"/>
    <w:rsid w:val="00797505"/>
    <w:rsid w:val="007A0D27"/>
    <w:rsid w:val="007A434B"/>
    <w:rsid w:val="007A6F70"/>
    <w:rsid w:val="007B2848"/>
    <w:rsid w:val="007B37EC"/>
    <w:rsid w:val="007B5476"/>
    <w:rsid w:val="007C0B30"/>
    <w:rsid w:val="007C33CE"/>
    <w:rsid w:val="007C5CCA"/>
    <w:rsid w:val="007F096A"/>
    <w:rsid w:val="007F301F"/>
    <w:rsid w:val="007F3CB4"/>
    <w:rsid w:val="00811AAD"/>
    <w:rsid w:val="0081255B"/>
    <w:rsid w:val="00812E56"/>
    <w:rsid w:val="00813E4F"/>
    <w:rsid w:val="00824605"/>
    <w:rsid w:val="00831ADB"/>
    <w:rsid w:val="00834B3B"/>
    <w:rsid w:val="00835B11"/>
    <w:rsid w:val="00836FB7"/>
    <w:rsid w:val="00841421"/>
    <w:rsid w:val="00841A9A"/>
    <w:rsid w:val="00841FFD"/>
    <w:rsid w:val="00842A6F"/>
    <w:rsid w:val="008602CD"/>
    <w:rsid w:val="008606B9"/>
    <w:rsid w:val="00864ADD"/>
    <w:rsid w:val="00867843"/>
    <w:rsid w:val="00870962"/>
    <w:rsid w:val="00876554"/>
    <w:rsid w:val="008800C2"/>
    <w:rsid w:val="00884176"/>
    <w:rsid w:val="008873E8"/>
    <w:rsid w:val="00893C7D"/>
    <w:rsid w:val="00895843"/>
    <w:rsid w:val="008972D8"/>
    <w:rsid w:val="008A455C"/>
    <w:rsid w:val="008A5636"/>
    <w:rsid w:val="008C59B7"/>
    <w:rsid w:val="008D0853"/>
    <w:rsid w:val="008D4E6B"/>
    <w:rsid w:val="008D6697"/>
    <w:rsid w:val="008F39C9"/>
    <w:rsid w:val="008F417E"/>
    <w:rsid w:val="008F708C"/>
    <w:rsid w:val="009070EC"/>
    <w:rsid w:val="0091345D"/>
    <w:rsid w:val="00914C8B"/>
    <w:rsid w:val="00917AAB"/>
    <w:rsid w:val="0092030A"/>
    <w:rsid w:val="00920A12"/>
    <w:rsid w:val="00925038"/>
    <w:rsid w:val="009265DE"/>
    <w:rsid w:val="00930063"/>
    <w:rsid w:val="009317EC"/>
    <w:rsid w:val="009425BB"/>
    <w:rsid w:val="009428CE"/>
    <w:rsid w:val="009705B7"/>
    <w:rsid w:val="00975500"/>
    <w:rsid w:val="009759E3"/>
    <w:rsid w:val="00975DA7"/>
    <w:rsid w:val="00982E0A"/>
    <w:rsid w:val="00985E84"/>
    <w:rsid w:val="009B0EC7"/>
    <w:rsid w:val="009B50AD"/>
    <w:rsid w:val="009B7284"/>
    <w:rsid w:val="009B7559"/>
    <w:rsid w:val="009C0EBD"/>
    <w:rsid w:val="009C35E6"/>
    <w:rsid w:val="009C459C"/>
    <w:rsid w:val="009C46CF"/>
    <w:rsid w:val="009C46D1"/>
    <w:rsid w:val="009C60C9"/>
    <w:rsid w:val="009D2199"/>
    <w:rsid w:val="009D6155"/>
    <w:rsid w:val="009E5DAC"/>
    <w:rsid w:val="009F1B51"/>
    <w:rsid w:val="009F6EBF"/>
    <w:rsid w:val="00A0187E"/>
    <w:rsid w:val="00A02719"/>
    <w:rsid w:val="00A0355F"/>
    <w:rsid w:val="00A03939"/>
    <w:rsid w:val="00A03D0C"/>
    <w:rsid w:val="00A053B9"/>
    <w:rsid w:val="00A074A7"/>
    <w:rsid w:val="00A10227"/>
    <w:rsid w:val="00A21192"/>
    <w:rsid w:val="00A22AAD"/>
    <w:rsid w:val="00A23F59"/>
    <w:rsid w:val="00A46951"/>
    <w:rsid w:val="00A47236"/>
    <w:rsid w:val="00A53FD4"/>
    <w:rsid w:val="00A56AF2"/>
    <w:rsid w:val="00A60C74"/>
    <w:rsid w:val="00A62416"/>
    <w:rsid w:val="00A722B8"/>
    <w:rsid w:val="00A729C7"/>
    <w:rsid w:val="00A77A64"/>
    <w:rsid w:val="00A90664"/>
    <w:rsid w:val="00A96642"/>
    <w:rsid w:val="00AA7464"/>
    <w:rsid w:val="00AB18BA"/>
    <w:rsid w:val="00AB730E"/>
    <w:rsid w:val="00AC1857"/>
    <w:rsid w:val="00AC64D2"/>
    <w:rsid w:val="00AC7DA7"/>
    <w:rsid w:val="00AD0670"/>
    <w:rsid w:val="00AD2FB9"/>
    <w:rsid w:val="00AD6896"/>
    <w:rsid w:val="00AD7F5C"/>
    <w:rsid w:val="00AE0B65"/>
    <w:rsid w:val="00AE14DD"/>
    <w:rsid w:val="00AE1D08"/>
    <w:rsid w:val="00AE3DBD"/>
    <w:rsid w:val="00AE6EA2"/>
    <w:rsid w:val="00AF0A8A"/>
    <w:rsid w:val="00AF2C22"/>
    <w:rsid w:val="00AF741F"/>
    <w:rsid w:val="00B0196B"/>
    <w:rsid w:val="00B03810"/>
    <w:rsid w:val="00B03FE5"/>
    <w:rsid w:val="00B05856"/>
    <w:rsid w:val="00B05973"/>
    <w:rsid w:val="00B0632A"/>
    <w:rsid w:val="00B07E5A"/>
    <w:rsid w:val="00B15EF4"/>
    <w:rsid w:val="00B1608F"/>
    <w:rsid w:val="00B16D2E"/>
    <w:rsid w:val="00B228B5"/>
    <w:rsid w:val="00B350FD"/>
    <w:rsid w:val="00B41BEA"/>
    <w:rsid w:val="00B435E5"/>
    <w:rsid w:val="00B51261"/>
    <w:rsid w:val="00B52D81"/>
    <w:rsid w:val="00B7615D"/>
    <w:rsid w:val="00B80417"/>
    <w:rsid w:val="00B8151D"/>
    <w:rsid w:val="00B85499"/>
    <w:rsid w:val="00B87A2A"/>
    <w:rsid w:val="00B90FA2"/>
    <w:rsid w:val="00B91BC0"/>
    <w:rsid w:val="00BA26CC"/>
    <w:rsid w:val="00BA3BFE"/>
    <w:rsid w:val="00BA3FE0"/>
    <w:rsid w:val="00BA5A57"/>
    <w:rsid w:val="00BB278B"/>
    <w:rsid w:val="00BB616E"/>
    <w:rsid w:val="00BB75FB"/>
    <w:rsid w:val="00BC56FB"/>
    <w:rsid w:val="00BC701B"/>
    <w:rsid w:val="00BD5D64"/>
    <w:rsid w:val="00BF6AB4"/>
    <w:rsid w:val="00C02D05"/>
    <w:rsid w:val="00C06616"/>
    <w:rsid w:val="00C12467"/>
    <w:rsid w:val="00C1351A"/>
    <w:rsid w:val="00C158D8"/>
    <w:rsid w:val="00C17298"/>
    <w:rsid w:val="00C23C52"/>
    <w:rsid w:val="00C24068"/>
    <w:rsid w:val="00C3151A"/>
    <w:rsid w:val="00C35742"/>
    <w:rsid w:val="00C43829"/>
    <w:rsid w:val="00C522D9"/>
    <w:rsid w:val="00C537D3"/>
    <w:rsid w:val="00C54A23"/>
    <w:rsid w:val="00C61AF0"/>
    <w:rsid w:val="00C6689A"/>
    <w:rsid w:val="00C67168"/>
    <w:rsid w:val="00C67EB3"/>
    <w:rsid w:val="00C73E72"/>
    <w:rsid w:val="00C770EC"/>
    <w:rsid w:val="00C77CC9"/>
    <w:rsid w:val="00C82056"/>
    <w:rsid w:val="00C9348A"/>
    <w:rsid w:val="00C952FD"/>
    <w:rsid w:val="00C95E77"/>
    <w:rsid w:val="00CA444D"/>
    <w:rsid w:val="00CB0948"/>
    <w:rsid w:val="00CB0B1A"/>
    <w:rsid w:val="00CB5147"/>
    <w:rsid w:val="00CC032C"/>
    <w:rsid w:val="00CC1374"/>
    <w:rsid w:val="00CC5B8A"/>
    <w:rsid w:val="00CD7C3F"/>
    <w:rsid w:val="00CE7F61"/>
    <w:rsid w:val="00D06B04"/>
    <w:rsid w:val="00D16460"/>
    <w:rsid w:val="00D3414B"/>
    <w:rsid w:val="00D36630"/>
    <w:rsid w:val="00D40BCE"/>
    <w:rsid w:val="00D40D53"/>
    <w:rsid w:val="00D43B33"/>
    <w:rsid w:val="00D64759"/>
    <w:rsid w:val="00D64A17"/>
    <w:rsid w:val="00D67F2A"/>
    <w:rsid w:val="00D72529"/>
    <w:rsid w:val="00D739F3"/>
    <w:rsid w:val="00D76A62"/>
    <w:rsid w:val="00D776AF"/>
    <w:rsid w:val="00D82685"/>
    <w:rsid w:val="00D86AAF"/>
    <w:rsid w:val="00D87C94"/>
    <w:rsid w:val="00D906C3"/>
    <w:rsid w:val="00D90BE7"/>
    <w:rsid w:val="00DA2128"/>
    <w:rsid w:val="00DA61FA"/>
    <w:rsid w:val="00DB5F1B"/>
    <w:rsid w:val="00DB797E"/>
    <w:rsid w:val="00DD59D1"/>
    <w:rsid w:val="00DD7504"/>
    <w:rsid w:val="00DE4D73"/>
    <w:rsid w:val="00DF4192"/>
    <w:rsid w:val="00DF42A7"/>
    <w:rsid w:val="00DF7D60"/>
    <w:rsid w:val="00E018D6"/>
    <w:rsid w:val="00E07083"/>
    <w:rsid w:val="00E13D3A"/>
    <w:rsid w:val="00E13E8E"/>
    <w:rsid w:val="00E1423A"/>
    <w:rsid w:val="00E24C2A"/>
    <w:rsid w:val="00E30194"/>
    <w:rsid w:val="00E3662F"/>
    <w:rsid w:val="00E506F0"/>
    <w:rsid w:val="00E5074E"/>
    <w:rsid w:val="00E60D68"/>
    <w:rsid w:val="00E646A3"/>
    <w:rsid w:val="00E653FA"/>
    <w:rsid w:val="00E7042A"/>
    <w:rsid w:val="00E829AB"/>
    <w:rsid w:val="00E877B3"/>
    <w:rsid w:val="00E90629"/>
    <w:rsid w:val="00E928A0"/>
    <w:rsid w:val="00E93747"/>
    <w:rsid w:val="00E970CB"/>
    <w:rsid w:val="00E97BB3"/>
    <w:rsid w:val="00E97D07"/>
    <w:rsid w:val="00EA23AA"/>
    <w:rsid w:val="00EA4CFD"/>
    <w:rsid w:val="00EA5E1C"/>
    <w:rsid w:val="00EA7814"/>
    <w:rsid w:val="00EB0073"/>
    <w:rsid w:val="00EB3467"/>
    <w:rsid w:val="00EB5FC2"/>
    <w:rsid w:val="00EB71E9"/>
    <w:rsid w:val="00EC4B2D"/>
    <w:rsid w:val="00EC539C"/>
    <w:rsid w:val="00EC5F49"/>
    <w:rsid w:val="00ED09D4"/>
    <w:rsid w:val="00ED0F35"/>
    <w:rsid w:val="00ED3458"/>
    <w:rsid w:val="00ED4CC5"/>
    <w:rsid w:val="00EE43D6"/>
    <w:rsid w:val="00EF3609"/>
    <w:rsid w:val="00EF6577"/>
    <w:rsid w:val="00EF7729"/>
    <w:rsid w:val="00F03B55"/>
    <w:rsid w:val="00F11DEB"/>
    <w:rsid w:val="00F145B6"/>
    <w:rsid w:val="00F2156D"/>
    <w:rsid w:val="00F21CC3"/>
    <w:rsid w:val="00F24293"/>
    <w:rsid w:val="00F25828"/>
    <w:rsid w:val="00F325AE"/>
    <w:rsid w:val="00F329F4"/>
    <w:rsid w:val="00F33F5C"/>
    <w:rsid w:val="00F34951"/>
    <w:rsid w:val="00F37D2F"/>
    <w:rsid w:val="00F43AF8"/>
    <w:rsid w:val="00F43B4E"/>
    <w:rsid w:val="00F448CA"/>
    <w:rsid w:val="00F45671"/>
    <w:rsid w:val="00F47594"/>
    <w:rsid w:val="00F66421"/>
    <w:rsid w:val="00F74D44"/>
    <w:rsid w:val="00F80B17"/>
    <w:rsid w:val="00F83327"/>
    <w:rsid w:val="00F84563"/>
    <w:rsid w:val="00F92305"/>
    <w:rsid w:val="00F93A7E"/>
    <w:rsid w:val="00F9524F"/>
    <w:rsid w:val="00F96315"/>
    <w:rsid w:val="00FA0654"/>
    <w:rsid w:val="00FA7925"/>
    <w:rsid w:val="00FB0958"/>
    <w:rsid w:val="00FB33EA"/>
    <w:rsid w:val="00FB3475"/>
    <w:rsid w:val="00FB42C1"/>
    <w:rsid w:val="00FC2C6E"/>
    <w:rsid w:val="00FC321C"/>
    <w:rsid w:val="00FD0D5F"/>
    <w:rsid w:val="00FE02E3"/>
    <w:rsid w:val="00FF314B"/>
    <w:rsid w:val="00FF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7A6F70"/>
    <w:pPr>
      <w:spacing w:before="60" w:after="180" w:line="276" w:lineRule="auto"/>
    </w:pPr>
    <w:rPr>
      <w:rFonts w:ascii="Calibri" w:eastAsia="Calibri" w:hAnsi="Calibri" w:cs="Times New Roman"/>
      <w:sz w:val="22"/>
      <w:szCs w:val="22"/>
      <w:lang w:eastAsia="en-US"/>
    </w:rPr>
  </w:style>
  <w:style w:type="paragraph" w:styleId="Heading1">
    <w:name w:val="heading 1"/>
    <w:basedOn w:val="Normal1"/>
    <w:next w:val="Normal1"/>
    <w:rsid w:val="00677A89"/>
    <w:pPr>
      <w:spacing w:before="480" w:after="120"/>
      <w:outlineLvl w:val="0"/>
    </w:pPr>
    <w:rPr>
      <w:rFonts w:asciiTheme="minorHAnsi" w:eastAsia="Cambria" w:hAnsiTheme="minorHAnsi" w:cs="Cambria"/>
      <w:b/>
      <w:color w:val="365F91"/>
      <w:sz w:val="28"/>
    </w:rPr>
  </w:style>
  <w:style w:type="paragraph" w:styleId="Heading2">
    <w:name w:val="heading 2"/>
    <w:basedOn w:val="Normal1"/>
    <w:next w:val="Normal1"/>
    <w:rsid w:val="003B0BAE"/>
    <w:pPr>
      <w:spacing w:before="360"/>
      <w:outlineLvl w:val="1"/>
    </w:pPr>
    <w:rPr>
      <w:rFonts w:ascii="Cambria" w:eastAsia="Cambria" w:hAnsi="Cambria" w:cs="Cambria"/>
      <w:b/>
      <w:i/>
      <w:color w:val="4F81BD"/>
      <w:sz w:val="26"/>
    </w:rPr>
  </w:style>
  <w:style w:type="paragraph" w:styleId="Heading3">
    <w:name w:val="heading 3"/>
    <w:basedOn w:val="Normal1"/>
    <w:next w:val="Normal1"/>
    <w:rsid w:val="003B0BAE"/>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3B0BAE"/>
    <w:pPr>
      <w:spacing w:before="240" w:after="60"/>
      <w:outlineLvl w:val="3"/>
    </w:pPr>
    <w:rPr>
      <w:b/>
      <w:sz w:val="28"/>
    </w:rPr>
  </w:style>
  <w:style w:type="paragraph" w:styleId="Heading5">
    <w:name w:val="heading 5"/>
    <w:basedOn w:val="Normal1"/>
    <w:next w:val="Normal1"/>
    <w:rsid w:val="003B0BAE"/>
    <w:pPr>
      <w:spacing w:before="220" w:after="40"/>
      <w:contextualSpacing/>
      <w:outlineLvl w:val="4"/>
    </w:pPr>
    <w:rPr>
      <w:b/>
    </w:rPr>
  </w:style>
  <w:style w:type="paragraph" w:styleId="Heading6">
    <w:name w:val="heading 6"/>
    <w:basedOn w:val="Normal1"/>
    <w:next w:val="Normal1"/>
    <w:rsid w:val="003B0B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0BAE"/>
    <w:rPr>
      <w:rFonts w:ascii="Calibri" w:eastAsia="Calibri" w:hAnsi="Calibri" w:cs="Calibri"/>
      <w:color w:val="000000"/>
      <w:sz w:val="22"/>
    </w:rPr>
  </w:style>
  <w:style w:type="paragraph" w:styleId="Title">
    <w:name w:val="Title"/>
    <w:basedOn w:val="Normal1"/>
    <w:next w:val="Normal1"/>
    <w:rsid w:val="003B0BAE"/>
    <w:pPr>
      <w:spacing w:after="300"/>
    </w:pPr>
    <w:rPr>
      <w:rFonts w:ascii="Cambria" w:eastAsia="Cambria" w:hAnsi="Cambria" w:cs="Cambria"/>
      <w:color w:val="17365D"/>
      <w:sz w:val="52"/>
    </w:rPr>
  </w:style>
  <w:style w:type="paragraph" w:styleId="Subtitle">
    <w:name w:val="Subtitle"/>
    <w:basedOn w:val="Normal1"/>
    <w:next w:val="Normal1"/>
    <w:rsid w:val="003B0BAE"/>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61D2A"/>
    <w:pPr>
      <w:tabs>
        <w:tab w:val="center" w:pos="4680"/>
        <w:tab w:val="right" w:pos="9360"/>
      </w:tabs>
    </w:pPr>
  </w:style>
  <w:style w:type="character" w:customStyle="1" w:styleId="HeaderChar">
    <w:name w:val="Header Char"/>
    <w:basedOn w:val="DefaultParagraphFont"/>
    <w:link w:val="Header"/>
    <w:uiPriority w:val="99"/>
    <w:rsid w:val="00061D2A"/>
  </w:style>
  <w:style w:type="paragraph" w:styleId="Footer">
    <w:name w:val="footer"/>
    <w:basedOn w:val="Normal"/>
    <w:link w:val="FooterChar"/>
    <w:uiPriority w:val="99"/>
    <w:unhideWhenUsed/>
    <w:rsid w:val="00061D2A"/>
    <w:pPr>
      <w:tabs>
        <w:tab w:val="center" w:pos="4680"/>
        <w:tab w:val="right" w:pos="9360"/>
      </w:tabs>
    </w:pPr>
  </w:style>
  <w:style w:type="character" w:customStyle="1" w:styleId="FooterChar">
    <w:name w:val="Footer Char"/>
    <w:basedOn w:val="DefaultParagraphFont"/>
    <w:link w:val="Footer"/>
    <w:uiPriority w:val="99"/>
    <w:rsid w:val="00061D2A"/>
  </w:style>
  <w:style w:type="table" w:styleId="TableGrid">
    <w:name w:val="Table Grid"/>
    <w:basedOn w:val="TableNormal"/>
    <w:uiPriority w:val="59"/>
    <w:rsid w:val="00061D2A"/>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1D2A"/>
    <w:pPr>
      <w:spacing w:after="120"/>
    </w:pPr>
    <w:rPr>
      <w:rFonts w:cs="Calibri"/>
    </w:rPr>
  </w:style>
  <w:style w:type="character" w:customStyle="1" w:styleId="BodyTextChar">
    <w:name w:val="Body Text Char"/>
    <w:basedOn w:val="DefaultParagraphFont"/>
    <w:link w:val="BodyText"/>
    <w:rsid w:val="00061D2A"/>
    <w:rPr>
      <w:rFonts w:ascii="Calibri" w:eastAsia="Calibri" w:hAnsi="Calibri" w:cs="Calibri"/>
      <w:sz w:val="22"/>
      <w:szCs w:val="22"/>
      <w:lang w:eastAsia="en-US"/>
    </w:rPr>
  </w:style>
  <w:style w:type="character" w:customStyle="1" w:styleId="italics">
    <w:name w:val="italics"/>
    <w:basedOn w:val="DefaultParagraphFont"/>
    <w:rsid w:val="00061D2A"/>
    <w:rPr>
      <w:bCs/>
      <w:i/>
    </w:rPr>
  </w:style>
  <w:style w:type="paragraph" w:customStyle="1" w:styleId="Header-banner">
    <w:name w:val="Header-banner"/>
    <w:qFormat/>
    <w:rsid w:val="00061D2A"/>
    <w:pPr>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keepNext/>
      <w:spacing w:before="0" w:line="460" w:lineRule="exact"/>
      <w:jc w:val="center"/>
    </w:pPr>
    <w:rPr>
      <w:bCs/>
      <w:color w:val="244061" w:themeColor="accent1" w:themeShade="80"/>
      <w:sz w:val="40"/>
      <w:szCs w:val="36"/>
      <w:lang w:eastAsia="en-US"/>
    </w:rPr>
  </w:style>
  <w:style w:type="character" w:styleId="IntenseEmphasis">
    <w:name w:val="Intense Emphasis"/>
    <w:basedOn w:val="DefaultParagraphFont"/>
    <w:uiPriority w:val="21"/>
    <w:qFormat/>
    <w:rsid w:val="00342015"/>
    <w:rPr>
      <w:b/>
      <w:bCs/>
      <w:i/>
      <w:iCs/>
      <w:color w:val="4F81BD" w:themeColor="accent1"/>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Verdana" w:hAnsi="Verdana" w:cs="Verdana"/>
      <w:color w:val="595959"/>
      <w:sz w:val="16"/>
      <w:szCs w:val="20"/>
    </w:rPr>
  </w:style>
  <w:style w:type="paragraph" w:styleId="BalloonText">
    <w:name w:val="Balloon Text"/>
    <w:basedOn w:val="Normal"/>
    <w:link w:val="BalloonTextChar"/>
    <w:uiPriority w:val="99"/>
    <w:semiHidden/>
    <w:unhideWhenUsed/>
    <w:rsid w:val="00342015"/>
    <w:rPr>
      <w:rFonts w:ascii="Tahoma" w:hAnsi="Tahoma" w:cs="Tahoma"/>
      <w:sz w:val="16"/>
      <w:szCs w:val="16"/>
    </w:rPr>
  </w:style>
  <w:style w:type="character" w:customStyle="1" w:styleId="BalloonTextChar">
    <w:name w:val="Balloon Text Char"/>
    <w:basedOn w:val="DefaultParagraphFont"/>
    <w:link w:val="BalloonText"/>
    <w:uiPriority w:val="99"/>
    <w:semiHidden/>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982E0A"/>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B1B50"/>
    <w:rPr>
      <w:sz w:val="18"/>
      <w:szCs w:val="18"/>
    </w:rPr>
  </w:style>
  <w:style w:type="paragraph" w:styleId="CommentText">
    <w:name w:val="annotation text"/>
    <w:basedOn w:val="Normal"/>
    <w:link w:val="CommentTextChar"/>
    <w:uiPriority w:val="99"/>
    <w:unhideWhenUsed/>
    <w:rsid w:val="005B1B50"/>
  </w:style>
  <w:style w:type="character" w:customStyle="1" w:styleId="CommentTextChar">
    <w:name w:val="Comment Text Char"/>
    <w:basedOn w:val="DefaultParagraphFont"/>
    <w:link w:val="CommentText"/>
    <w:uiPriority w:val="99"/>
    <w:rsid w:val="005B1B50"/>
  </w:style>
  <w:style w:type="paragraph" w:styleId="CommentSubject">
    <w:name w:val="annotation subject"/>
    <w:basedOn w:val="CommentText"/>
    <w:next w:val="CommentText"/>
    <w:link w:val="CommentSubjectChar"/>
    <w:uiPriority w:val="99"/>
    <w:semiHidden/>
    <w:unhideWhenUsed/>
    <w:rsid w:val="005B1B50"/>
    <w:rPr>
      <w:b/>
      <w:bCs/>
      <w:sz w:val="20"/>
      <w:szCs w:val="20"/>
    </w:rPr>
  </w:style>
  <w:style w:type="character" w:customStyle="1" w:styleId="CommentSubjectChar">
    <w:name w:val="Comment Subject Char"/>
    <w:basedOn w:val="CommentTextChar"/>
    <w:link w:val="CommentSubject"/>
    <w:uiPriority w:val="99"/>
    <w:semiHidden/>
    <w:rsid w:val="005B1B50"/>
    <w:rPr>
      <w:b/>
      <w:bCs/>
      <w:sz w:val="20"/>
      <w:szCs w:val="20"/>
    </w:rPr>
  </w:style>
  <w:style w:type="paragraph" w:styleId="Revision">
    <w:name w:val="Revision"/>
    <w:hidden/>
    <w:uiPriority w:val="99"/>
    <w:semiHidden/>
    <w:rsid w:val="007613BC"/>
  </w:style>
  <w:style w:type="paragraph" w:styleId="NoSpacing">
    <w:name w:val="No Spacing"/>
    <w:uiPriority w:val="1"/>
    <w:qFormat/>
    <w:rsid w:val="00BA26CC"/>
  </w:style>
  <w:style w:type="paragraph" w:customStyle="1" w:styleId="BR">
    <w:name w:val="*BR*"/>
    <w:link w:val="BRChar"/>
    <w:qFormat/>
    <w:rsid w:val="005B6C7C"/>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38216C"/>
    <w:pPr>
      <w:numPr>
        <w:numId w:val="28"/>
      </w:numPr>
      <w:spacing w:before="60" w:after="60" w:line="276" w:lineRule="auto"/>
      <w:ind w:left="360"/>
    </w:pPr>
    <w:rPr>
      <w:rFonts w:ascii="Calibri" w:eastAsia="Calibri" w:hAnsi="Calibri" w:cs="Times New Roman"/>
      <w:sz w:val="22"/>
      <w:szCs w:val="22"/>
      <w:lang w:eastAsia="en-US"/>
    </w:rPr>
  </w:style>
  <w:style w:type="paragraph" w:customStyle="1" w:styleId="FooterText">
    <w:name w:val="*FooterText"/>
    <w:link w:val="FooterTextChar"/>
    <w:qFormat/>
    <w:rsid w:val="005B6C7C"/>
    <w:pPr>
      <w:spacing w:line="200" w:lineRule="exact"/>
    </w:pPr>
    <w:rPr>
      <w:rFonts w:ascii="Calibri" w:eastAsia="Verdana" w:hAnsi="Calibri" w:cs="Calibri"/>
      <w:b/>
      <w:color w:val="595959"/>
      <w:sz w:val="14"/>
      <w:szCs w:val="22"/>
      <w:lang w:eastAsia="en-US"/>
    </w:rPr>
  </w:style>
  <w:style w:type="paragraph" w:customStyle="1" w:styleId="IN">
    <w:name w:val="*IN*"/>
    <w:link w:val="INChar"/>
    <w:qFormat/>
    <w:rsid w:val="0038216C"/>
    <w:pPr>
      <w:numPr>
        <w:numId w:val="29"/>
      </w:numPr>
      <w:spacing w:before="120" w:after="60" w:line="276" w:lineRule="auto"/>
      <w:ind w:left="360"/>
    </w:pPr>
    <w:rPr>
      <w:rFonts w:ascii="Calibri" w:eastAsia="Calibri" w:hAnsi="Calibri" w:cs="Times New Roman"/>
      <w:color w:val="4F81BD" w:themeColor="accent1"/>
      <w:sz w:val="22"/>
      <w:szCs w:val="22"/>
      <w:lang w:eastAsia="en-US"/>
    </w:rPr>
  </w:style>
  <w:style w:type="paragraph" w:customStyle="1" w:styleId="INBullet">
    <w:name w:val="*IN* Bullet"/>
    <w:link w:val="INBulletChar"/>
    <w:qFormat/>
    <w:rsid w:val="0038216C"/>
    <w:pPr>
      <w:numPr>
        <w:numId w:val="30"/>
      </w:numPr>
      <w:spacing w:after="60" w:line="276" w:lineRule="auto"/>
      <w:ind w:left="720"/>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TA"/>
    <w:link w:val="LearningSequenceHeaderChar"/>
    <w:qFormat/>
    <w:rsid w:val="005B6C7C"/>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link w:val="NumberedListChar"/>
    <w:qFormat/>
    <w:rsid w:val="005B6C7C"/>
    <w:pPr>
      <w:numPr>
        <w:numId w:val="31"/>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5B6C7C"/>
    <w:pPr>
      <w:spacing w:before="120"/>
    </w:pPr>
    <w:rPr>
      <w:rFonts w:ascii="Calibri" w:eastAsia="Calibri" w:hAnsi="Calibri" w:cs="Times New Roman"/>
      <w:b/>
      <w:sz w:val="18"/>
      <w:szCs w:val="22"/>
      <w:lang w:eastAsia="en-US"/>
    </w:rPr>
  </w:style>
  <w:style w:type="paragraph" w:customStyle="1" w:styleId="Q">
    <w:name w:val="*Q*"/>
    <w:link w:val="QChar"/>
    <w:qFormat/>
    <w:rsid w:val="005B6C7C"/>
    <w:pPr>
      <w:spacing w:before="240" w:line="276" w:lineRule="auto"/>
    </w:pPr>
    <w:rPr>
      <w:rFonts w:ascii="Calibri" w:eastAsia="Calibri" w:hAnsi="Calibri" w:cs="Times New Roman"/>
      <w:b/>
      <w:sz w:val="22"/>
      <w:szCs w:val="22"/>
      <w:lang w:eastAsia="en-US"/>
    </w:rPr>
  </w:style>
  <w:style w:type="paragraph" w:customStyle="1" w:styleId="SA">
    <w:name w:val="*SA*"/>
    <w:link w:val="SAChar"/>
    <w:qFormat/>
    <w:rsid w:val="005B6C7C"/>
    <w:pPr>
      <w:numPr>
        <w:numId w:val="32"/>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link w:val="SASRBulletChar"/>
    <w:qFormat/>
    <w:rsid w:val="0038216C"/>
    <w:pPr>
      <w:numPr>
        <w:ilvl w:val="1"/>
        <w:numId w:val="33"/>
      </w:numPr>
      <w:spacing w:before="120"/>
      <w:ind w:left="1080"/>
      <w:contextualSpacing/>
    </w:pPr>
  </w:style>
  <w:style w:type="paragraph" w:customStyle="1" w:styleId="SR">
    <w:name w:val="*SR*"/>
    <w:link w:val="SRChar"/>
    <w:qFormat/>
    <w:rsid w:val="0038216C"/>
    <w:pPr>
      <w:numPr>
        <w:numId w:val="34"/>
      </w:numPr>
      <w:spacing w:before="120" w:line="276" w:lineRule="auto"/>
      <w:ind w:left="720"/>
    </w:pPr>
    <w:rPr>
      <w:rFonts w:ascii="Calibri" w:eastAsia="Calibri" w:hAnsi="Calibri" w:cs="Times New Roman"/>
      <w:sz w:val="22"/>
      <w:szCs w:val="22"/>
      <w:lang w:eastAsia="en-US"/>
    </w:rPr>
  </w:style>
  <w:style w:type="paragraph" w:customStyle="1" w:styleId="TA">
    <w:name w:val="*TA*"/>
    <w:link w:val="TAChar"/>
    <w:qFormat/>
    <w:rsid w:val="005B6C7C"/>
    <w:pPr>
      <w:spacing w:before="180" w:after="180"/>
    </w:pPr>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5B6C7C"/>
    <w:pPr>
      <w:spacing w:before="40" w:after="40" w:line="240" w:lineRule="auto"/>
    </w:pPr>
    <w:rPr>
      <w:b/>
      <w:color w:val="FFFFFF" w:themeColor="background1"/>
    </w:rPr>
  </w:style>
  <w:style w:type="paragraph" w:customStyle="1" w:styleId="ToolHeader">
    <w:name w:val="*ToolHeader"/>
    <w:qFormat/>
    <w:rsid w:val="005B6C7C"/>
    <w:pPr>
      <w:spacing w:after="120"/>
    </w:pPr>
    <w:rPr>
      <w:rFonts w:eastAsia="Calibri" w:cs="Times New Roman"/>
      <w:b/>
      <w:bCs/>
      <w:color w:val="365F91"/>
      <w:sz w:val="32"/>
      <w:szCs w:val="28"/>
      <w:lang w:eastAsia="en-US"/>
    </w:rPr>
  </w:style>
  <w:style w:type="paragraph" w:customStyle="1" w:styleId="ToolTableText">
    <w:name w:val="*ToolTableText"/>
    <w:qFormat/>
    <w:rsid w:val="005B6C7C"/>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677A89"/>
    <w:rPr>
      <w:rFonts w:ascii="Verdana" w:eastAsia="Verdana" w:hAnsi="Verdana" w:cs="Verdana"/>
      <w:color w:val="595959"/>
      <w:sz w:val="16"/>
      <w:szCs w:val="20"/>
      <w:lang w:eastAsia="en-US"/>
    </w:rPr>
  </w:style>
  <w:style w:type="character" w:customStyle="1" w:styleId="FooterTextChar">
    <w:name w:val="FooterText Char"/>
    <w:basedOn w:val="folioChar"/>
    <w:link w:val="FooterText"/>
    <w:rsid w:val="005B6C7C"/>
    <w:rPr>
      <w:rFonts w:ascii="Calibri" w:eastAsia="Verdana" w:hAnsi="Calibri" w:cs="Calibri"/>
      <w:b/>
      <w:color w:val="595959"/>
      <w:sz w:val="14"/>
      <w:szCs w:val="22"/>
      <w:lang w:eastAsia="en-US"/>
    </w:rPr>
  </w:style>
  <w:style w:type="paragraph" w:styleId="ListParagraph">
    <w:name w:val="List Paragraph"/>
    <w:basedOn w:val="Normal"/>
    <w:uiPriority w:val="34"/>
    <w:qFormat/>
    <w:rsid w:val="006D3F09"/>
    <w:pPr>
      <w:ind w:left="720"/>
      <w:contextualSpacing/>
    </w:pPr>
  </w:style>
  <w:style w:type="character" w:customStyle="1" w:styleId="BulletedListChar">
    <w:name w:val="*Bulleted List Char"/>
    <w:basedOn w:val="DefaultParagraphFont"/>
    <w:link w:val="BulletedList"/>
    <w:rsid w:val="0038216C"/>
    <w:rPr>
      <w:rFonts w:ascii="Calibri" w:eastAsia="Calibri" w:hAnsi="Calibri" w:cs="Times New Roman"/>
      <w:sz w:val="22"/>
      <w:szCs w:val="22"/>
      <w:lang w:eastAsia="en-US"/>
    </w:rPr>
  </w:style>
  <w:style w:type="paragraph" w:customStyle="1" w:styleId="TableText">
    <w:name w:val="*TableText"/>
    <w:link w:val="TableTextChar"/>
    <w:qFormat/>
    <w:rsid w:val="005B6C7C"/>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5B6C7C"/>
    <w:rPr>
      <w:rFonts w:ascii="Calibri" w:eastAsia="Calibri" w:hAnsi="Calibri" w:cs="Times New Roman"/>
      <w:sz w:val="22"/>
      <w:szCs w:val="22"/>
      <w:lang w:eastAsia="en-US"/>
    </w:rPr>
  </w:style>
  <w:style w:type="character" w:customStyle="1" w:styleId="TAChar">
    <w:name w:val="*TA* Char"/>
    <w:basedOn w:val="DefaultParagraphFont"/>
    <w:link w:val="TA"/>
    <w:rsid w:val="005B6C7C"/>
    <w:rPr>
      <w:rFonts w:ascii="Calibri" w:eastAsia="Calibri" w:hAnsi="Calibri" w:cs="Times New Roman"/>
      <w:sz w:val="22"/>
      <w:szCs w:val="22"/>
      <w:lang w:eastAsia="en-US"/>
    </w:rPr>
  </w:style>
  <w:style w:type="paragraph" w:customStyle="1" w:styleId="ColorfulList-Accent11">
    <w:name w:val="Colorful List - Accent 11"/>
    <w:basedOn w:val="Normal"/>
    <w:uiPriority w:val="34"/>
    <w:rsid w:val="00B91BC0"/>
    <w:pPr>
      <w:ind w:left="720"/>
      <w:contextualSpacing/>
    </w:pPr>
  </w:style>
  <w:style w:type="paragraph" w:styleId="DocumentMap">
    <w:name w:val="Document Map"/>
    <w:basedOn w:val="Normal"/>
    <w:link w:val="DocumentMapChar"/>
    <w:uiPriority w:val="99"/>
    <w:semiHidden/>
    <w:unhideWhenUsed/>
    <w:rsid w:val="001C60C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C60C9"/>
    <w:rPr>
      <w:rFonts w:ascii="Lucida Grande" w:eastAsia="Calibri" w:hAnsi="Lucida Grande" w:cs="Lucida Grande"/>
      <w:lang w:eastAsia="en-US"/>
    </w:rPr>
  </w:style>
  <w:style w:type="paragraph" w:customStyle="1" w:styleId="SubStandard">
    <w:name w:val="*SubStandard"/>
    <w:basedOn w:val="TableText"/>
    <w:link w:val="SubStandardChar"/>
    <w:qFormat/>
    <w:rsid w:val="005B6C7C"/>
    <w:pPr>
      <w:numPr>
        <w:numId w:val="35"/>
      </w:numPr>
    </w:pPr>
  </w:style>
  <w:style w:type="character" w:customStyle="1" w:styleId="BRChar">
    <w:name w:val="*BR* Char"/>
    <w:basedOn w:val="DefaultParagraphFont"/>
    <w:link w:val="BR"/>
    <w:rsid w:val="005B6C7C"/>
    <w:rPr>
      <w:rFonts w:ascii="Calibri" w:eastAsia="Calibri" w:hAnsi="Calibri" w:cs="Times New Roman"/>
      <w:sz w:val="18"/>
      <w:szCs w:val="22"/>
      <w:lang w:eastAsia="en-US"/>
    </w:rPr>
  </w:style>
  <w:style w:type="paragraph" w:customStyle="1" w:styleId="ExcerptAuthor">
    <w:name w:val="*ExcerptAuthor"/>
    <w:basedOn w:val="Normal"/>
    <w:link w:val="ExcerptAuthorChar"/>
    <w:qFormat/>
    <w:rsid w:val="005B6C7C"/>
    <w:pPr>
      <w:jc w:val="center"/>
    </w:pPr>
    <w:rPr>
      <w:rFonts w:asciiTheme="majorHAnsi" w:hAnsiTheme="majorHAnsi"/>
      <w:b/>
    </w:rPr>
  </w:style>
  <w:style w:type="character" w:customStyle="1" w:styleId="ExcerptAuthorChar">
    <w:name w:val="*ExcerptAuthor Char"/>
    <w:basedOn w:val="DefaultParagraphFont"/>
    <w:link w:val="ExcerptAuthor"/>
    <w:rsid w:val="005B6C7C"/>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5B6C7C"/>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5B6C7C"/>
    <w:rPr>
      <w:rFonts w:ascii="Times New Roman" w:eastAsia="Times New Roman" w:hAnsi="Times New Roman" w:cs="Times New Roman"/>
      <w:color w:val="000000"/>
      <w:szCs w:val="17"/>
      <w:lang w:eastAsia="en-US"/>
    </w:rPr>
  </w:style>
  <w:style w:type="paragraph" w:customStyle="1" w:styleId="ExcerptTitle">
    <w:name w:val="*ExcerptTitle"/>
    <w:basedOn w:val="Normal"/>
    <w:link w:val="ExcerptTitleChar"/>
    <w:qFormat/>
    <w:rsid w:val="005B6C7C"/>
    <w:pPr>
      <w:jc w:val="center"/>
    </w:pPr>
    <w:rPr>
      <w:rFonts w:asciiTheme="majorHAnsi" w:hAnsiTheme="majorHAnsi"/>
      <w:b/>
      <w:smallCaps/>
      <w:sz w:val="32"/>
    </w:rPr>
  </w:style>
  <w:style w:type="character" w:customStyle="1" w:styleId="ExcerptTitleChar">
    <w:name w:val="*ExcerptTitle Char"/>
    <w:basedOn w:val="DefaultParagraphFont"/>
    <w:link w:val="ExcerptTitle"/>
    <w:rsid w:val="005B6C7C"/>
    <w:rPr>
      <w:rFonts w:asciiTheme="majorHAnsi" w:eastAsia="Calibri" w:hAnsiTheme="majorHAnsi" w:cs="Times New Roman"/>
      <w:b/>
      <w:smallCaps/>
      <w:sz w:val="32"/>
      <w:szCs w:val="22"/>
      <w:lang w:eastAsia="en-US"/>
    </w:rPr>
  </w:style>
  <w:style w:type="character" w:customStyle="1" w:styleId="INChar">
    <w:name w:val="*IN* Char"/>
    <w:basedOn w:val="DefaultParagraphFont"/>
    <w:link w:val="IN"/>
    <w:rsid w:val="0038216C"/>
    <w:rPr>
      <w:rFonts w:ascii="Calibri" w:eastAsia="Calibri" w:hAnsi="Calibri" w:cs="Times New Roman"/>
      <w:color w:val="4F81BD" w:themeColor="accent1"/>
      <w:sz w:val="22"/>
      <w:szCs w:val="22"/>
      <w:lang w:eastAsia="en-US"/>
    </w:rPr>
  </w:style>
  <w:style w:type="character" w:customStyle="1" w:styleId="INBulletChar">
    <w:name w:val="*IN* Bullet Char"/>
    <w:basedOn w:val="BulletedListChar"/>
    <w:link w:val="INBullet"/>
    <w:rsid w:val="0038216C"/>
    <w:rPr>
      <w:rFonts w:ascii="Calibri" w:eastAsia="Calibri" w:hAnsi="Calibri" w:cs="Times New Roman"/>
      <w:color w:val="4F81BD" w:themeColor="accent1"/>
      <w:sz w:val="22"/>
      <w:szCs w:val="22"/>
      <w:lang w:eastAsia="en-US"/>
    </w:rPr>
  </w:style>
  <w:style w:type="character" w:customStyle="1" w:styleId="LearningSequenceHeaderChar">
    <w:name w:val="*Learning Sequence Header Char"/>
    <w:basedOn w:val="DefaultParagraphFont"/>
    <w:link w:val="LearningSequenceHeader"/>
    <w:rsid w:val="005B6C7C"/>
    <w:rPr>
      <w:rFonts w:eastAsia="Calibri" w:cs="Times New Roman"/>
      <w:b/>
      <w:bCs/>
      <w:color w:val="4F81BD"/>
      <w:sz w:val="28"/>
      <w:szCs w:val="26"/>
      <w:lang w:eastAsia="en-US"/>
    </w:rPr>
  </w:style>
  <w:style w:type="character" w:customStyle="1" w:styleId="NumberedListChar">
    <w:name w:val="*Numbered List Char"/>
    <w:basedOn w:val="BulletedListChar"/>
    <w:link w:val="NumberedList"/>
    <w:rsid w:val="005B6C7C"/>
    <w:rPr>
      <w:rFonts w:ascii="Calibri" w:eastAsia="Calibri" w:hAnsi="Calibri" w:cs="Times New Roman"/>
      <w:sz w:val="22"/>
      <w:szCs w:val="22"/>
      <w:lang w:eastAsia="en-US"/>
    </w:rPr>
  </w:style>
  <w:style w:type="character" w:customStyle="1" w:styleId="PageHeaderChar">
    <w:name w:val="*PageHeader Char"/>
    <w:basedOn w:val="BodyTextChar"/>
    <w:link w:val="PageHeader"/>
    <w:rsid w:val="005B6C7C"/>
    <w:rPr>
      <w:rFonts w:ascii="Calibri" w:eastAsia="Calibri" w:hAnsi="Calibri" w:cs="Times New Roman"/>
      <w:b/>
      <w:sz w:val="18"/>
      <w:szCs w:val="22"/>
      <w:lang w:eastAsia="en-US"/>
    </w:rPr>
  </w:style>
  <w:style w:type="character" w:customStyle="1" w:styleId="QChar">
    <w:name w:val="*Q* Char"/>
    <w:basedOn w:val="DefaultParagraphFont"/>
    <w:link w:val="Q"/>
    <w:rsid w:val="005B6C7C"/>
    <w:rPr>
      <w:rFonts w:ascii="Calibri" w:eastAsia="Calibri" w:hAnsi="Calibri" w:cs="Times New Roman"/>
      <w:b/>
      <w:sz w:val="22"/>
      <w:szCs w:val="22"/>
      <w:lang w:eastAsia="en-US"/>
    </w:rPr>
  </w:style>
  <w:style w:type="character" w:customStyle="1" w:styleId="SAChar">
    <w:name w:val="*SA* Char"/>
    <w:basedOn w:val="DefaultParagraphFont"/>
    <w:link w:val="SA"/>
    <w:rsid w:val="005B6C7C"/>
    <w:rPr>
      <w:rFonts w:ascii="Calibri" w:eastAsia="Calibri" w:hAnsi="Calibri" w:cs="Times New Roman"/>
      <w:sz w:val="22"/>
      <w:szCs w:val="22"/>
      <w:lang w:eastAsia="en-US"/>
    </w:rPr>
  </w:style>
  <w:style w:type="character" w:customStyle="1" w:styleId="SASRBulletChar">
    <w:name w:val="*SA/SR Bullet Char"/>
    <w:basedOn w:val="DefaultParagraphFont"/>
    <w:link w:val="SASRBullet"/>
    <w:rsid w:val="0038216C"/>
    <w:rPr>
      <w:rFonts w:ascii="Calibri" w:eastAsia="Calibri" w:hAnsi="Calibri" w:cs="Times New Roman"/>
      <w:sz w:val="22"/>
      <w:szCs w:val="22"/>
      <w:lang w:eastAsia="en-US"/>
    </w:rPr>
  </w:style>
  <w:style w:type="character" w:customStyle="1" w:styleId="SRChar">
    <w:name w:val="*SR* Char"/>
    <w:basedOn w:val="DefaultParagraphFont"/>
    <w:link w:val="SR"/>
    <w:rsid w:val="0038216C"/>
    <w:rPr>
      <w:rFonts w:ascii="Calibri" w:eastAsia="Calibri" w:hAnsi="Calibri" w:cs="Times New Roman"/>
      <w:sz w:val="22"/>
      <w:szCs w:val="22"/>
      <w:lang w:eastAsia="en-US"/>
    </w:rPr>
  </w:style>
  <w:style w:type="character" w:customStyle="1" w:styleId="SubStandardChar">
    <w:name w:val="*SubStandard Char"/>
    <w:basedOn w:val="TableTextChar"/>
    <w:link w:val="SubStandard"/>
    <w:rsid w:val="005B6C7C"/>
    <w:rPr>
      <w:rFonts w:ascii="Calibri" w:eastAsia="Calibri" w:hAnsi="Calibri" w:cs="Times New Roman"/>
      <w:sz w:val="22"/>
      <w:szCs w:val="22"/>
      <w:lang w:eastAsia="en-US"/>
    </w:rPr>
  </w:style>
  <w:style w:type="character" w:customStyle="1" w:styleId="TableHeadersChar">
    <w:name w:val="*TableHeaders Char"/>
    <w:basedOn w:val="DefaultParagraphFont"/>
    <w:link w:val="TableHeaders"/>
    <w:rsid w:val="005B6C7C"/>
    <w:rPr>
      <w:rFonts w:ascii="Calibri" w:eastAsia="Calibri" w:hAnsi="Calibri" w:cs="Times New Roman"/>
      <w:b/>
      <w:color w:val="FFFFFF" w:themeColor="background1"/>
      <w:sz w:val="22"/>
      <w:szCs w:val="22"/>
      <w:lang w:eastAsia="en-US"/>
    </w:rPr>
  </w:style>
</w:styles>
</file>

<file path=word/webSettings.xml><?xml version="1.0" encoding="utf-8"?>
<w:webSettings xmlns:r="http://schemas.openxmlformats.org/officeDocument/2006/relationships" xmlns:w="http://schemas.openxmlformats.org/wordprocessingml/2006/main">
  <w:divs>
    <w:div w:id="27344298">
      <w:bodyDiv w:val="1"/>
      <w:marLeft w:val="0"/>
      <w:marRight w:val="0"/>
      <w:marTop w:val="0"/>
      <w:marBottom w:val="0"/>
      <w:divBdr>
        <w:top w:val="none" w:sz="0" w:space="0" w:color="auto"/>
        <w:left w:val="none" w:sz="0" w:space="0" w:color="auto"/>
        <w:bottom w:val="none" w:sz="0" w:space="0" w:color="auto"/>
        <w:right w:val="none" w:sz="0" w:space="0" w:color="auto"/>
      </w:divBdr>
    </w:div>
    <w:div w:id="55059024">
      <w:bodyDiv w:val="1"/>
      <w:marLeft w:val="0"/>
      <w:marRight w:val="0"/>
      <w:marTop w:val="0"/>
      <w:marBottom w:val="0"/>
      <w:divBdr>
        <w:top w:val="none" w:sz="0" w:space="0" w:color="auto"/>
        <w:left w:val="none" w:sz="0" w:space="0" w:color="auto"/>
        <w:bottom w:val="none" w:sz="0" w:space="0" w:color="auto"/>
        <w:right w:val="none" w:sz="0" w:space="0" w:color="auto"/>
      </w:divBdr>
      <w:divsChild>
        <w:div w:id="1486504821">
          <w:marLeft w:val="0"/>
          <w:marRight w:val="0"/>
          <w:marTop w:val="0"/>
          <w:marBottom w:val="0"/>
          <w:divBdr>
            <w:top w:val="none" w:sz="0" w:space="0" w:color="auto"/>
            <w:left w:val="none" w:sz="0" w:space="0" w:color="auto"/>
            <w:bottom w:val="none" w:sz="0" w:space="0" w:color="auto"/>
            <w:right w:val="none" w:sz="0" w:space="0" w:color="auto"/>
          </w:divBdr>
          <w:divsChild>
            <w:div w:id="2125729822">
              <w:marLeft w:val="0"/>
              <w:marRight w:val="0"/>
              <w:marTop w:val="0"/>
              <w:marBottom w:val="0"/>
              <w:divBdr>
                <w:top w:val="none" w:sz="0" w:space="0" w:color="auto"/>
                <w:left w:val="none" w:sz="0" w:space="0" w:color="auto"/>
                <w:bottom w:val="none" w:sz="0" w:space="0" w:color="auto"/>
                <w:right w:val="none" w:sz="0" w:space="0" w:color="auto"/>
              </w:divBdr>
              <w:divsChild>
                <w:div w:id="1428426039">
                  <w:marLeft w:val="0"/>
                  <w:marRight w:val="0"/>
                  <w:marTop w:val="0"/>
                  <w:marBottom w:val="0"/>
                  <w:divBdr>
                    <w:top w:val="none" w:sz="0" w:space="0" w:color="auto"/>
                    <w:left w:val="none" w:sz="0" w:space="0" w:color="auto"/>
                    <w:bottom w:val="none" w:sz="0" w:space="0" w:color="auto"/>
                    <w:right w:val="none" w:sz="0" w:space="0" w:color="auto"/>
                  </w:divBdr>
                  <w:divsChild>
                    <w:div w:id="1285431294">
                      <w:marLeft w:val="0"/>
                      <w:marRight w:val="0"/>
                      <w:marTop w:val="0"/>
                      <w:marBottom w:val="0"/>
                      <w:divBdr>
                        <w:top w:val="none" w:sz="0" w:space="0" w:color="auto"/>
                        <w:left w:val="none" w:sz="0" w:space="0" w:color="auto"/>
                        <w:bottom w:val="none" w:sz="0" w:space="0" w:color="auto"/>
                        <w:right w:val="none" w:sz="0" w:space="0" w:color="auto"/>
                      </w:divBdr>
                      <w:divsChild>
                        <w:div w:id="1343892261">
                          <w:marLeft w:val="0"/>
                          <w:marRight w:val="0"/>
                          <w:marTop w:val="15"/>
                          <w:marBottom w:val="0"/>
                          <w:divBdr>
                            <w:top w:val="none" w:sz="0" w:space="0" w:color="auto"/>
                            <w:left w:val="none" w:sz="0" w:space="0" w:color="auto"/>
                            <w:bottom w:val="none" w:sz="0" w:space="0" w:color="auto"/>
                            <w:right w:val="none" w:sz="0" w:space="0" w:color="auto"/>
                          </w:divBdr>
                          <w:divsChild>
                            <w:div w:id="353072308">
                              <w:marLeft w:val="0"/>
                              <w:marRight w:val="0"/>
                              <w:marTop w:val="0"/>
                              <w:marBottom w:val="0"/>
                              <w:divBdr>
                                <w:top w:val="none" w:sz="0" w:space="0" w:color="auto"/>
                                <w:left w:val="none" w:sz="0" w:space="0" w:color="auto"/>
                                <w:bottom w:val="none" w:sz="0" w:space="0" w:color="auto"/>
                                <w:right w:val="none" w:sz="0" w:space="0" w:color="auto"/>
                              </w:divBdr>
                              <w:divsChild>
                                <w:div w:id="1718772962">
                                  <w:marLeft w:val="0"/>
                                  <w:marRight w:val="0"/>
                                  <w:marTop w:val="0"/>
                                  <w:marBottom w:val="0"/>
                                  <w:divBdr>
                                    <w:top w:val="none" w:sz="0" w:space="0" w:color="auto"/>
                                    <w:left w:val="none" w:sz="0" w:space="0" w:color="auto"/>
                                    <w:bottom w:val="none" w:sz="0" w:space="0" w:color="auto"/>
                                    <w:right w:val="none" w:sz="0" w:space="0" w:color="auto"/>
                                  </w:divBdr>
                                </w:div>
                                <w:div w:id="1586378076">
                                  <w:marLeft w:val="0"/>
                                  <w:marRight w:val="0"/>
                                  <w:marTop w:val="0"/>
                                  <w:marBottom w:val="0"/>
                                  <w:divBdr>
                                    <w:top w:val="none" w:sz="0" w:space="0" w:color="auto"/>
                                    <w:left w:val="none" w:sz="0" w:space="0" w:color="auto"/>
                                    <w:bottom w:val="none" w:sz="0" w:space="0" w:color="auto"/>
                                    <w:right w:val="none" w:sz="0" w:space="0" w:color="auto"/>
                                  </w:divBdr>
                                </w:div>
                                <w:div w:id="896747204">
                                  <w:marLeft w:val="0"/>
                                  <w:marRight w:val="0"/>
                                  <w:marTop w:val="0"/>
                                  <w:marBottom w:val="0"/>
                                  <w:divBdr>
                                    <w:top w:val="none" w:sz="0" w:space="0" w:color="auto"/>
                                    <w:left w:val="none" w:sz="0" w:space="0" w:color="auto"/>
                                    <w:bottom w:val="none" w:sz="0" w:space="0" w:color="auto"/>
                                    <w:right w:val="none" w:sz="0" w:space="0" w:color="auto"/>
                                  </w:divBdr>
                                </w:div>
                                <w:div w:id="17846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30492">
      <w:bodyDiv w:val="1"/>
      <w:marLeft w:val="0"/>
      <w:marRight w:val="0"/>
      <w:marTop w:val="0"/>
      <w:marBottom w:val="0"/>
      <w:divBdr>
        <w:top w:val="none" w:sz="0" w:space="0" w:color="auto"/>
        <w:left w:val="none" w:sz="0" w:space="0" w:color="auto"/>
        <w:bottom w:val="none" w:sz="0" w:space="0" w:color="auto"/>
        <w:right w:val="none" w:sz="0" w:space="0" w:color="auto"/>
      </w:divBdr>
    </w:div>
    <w:div w:id="197933723">
      <w:bodyDiv w:val="1"/>
      <w:marLeft w:val="0"/>
      <w:marRight w:val="0"/>
      <w:marTop w:val="0"/>
      <w:marBottom w:val="0"/>
      <w:divBdr>
        <w:top w:val="none" w:sz="0" w:space="0" w:color="auto"/>
        <w:left w:val="none" w:sz="0" w:space="0" w:color="auto"/>
        <w:bottom w:val="none" w:sz="0" w:space="0" w:color="auto"/>
        <w:right w:val="none" w:sz="0" w:space="0" w:color="auto"/>
      </w:divBdr>
    </w:div>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 w:id="855114299">
      <w:bodyDiv w:val="1"/>
      <w:marLeft w:val="0"/>
      <w:marRight w:val="0"/>
      <w:marTop w:val="0"/>
      <w:marBottom w:val="0"/>
      <w:divBdr>
        <w:top w:val="none" w:sz="0" w:space="0" w:color="auto"/>
        <w:left w:val="none" w:sz="0" w:space="0" w:color="auto"/>
        <w:bottom w:val="none" w:sz="0" w:space="0" w:color="auto"/>
        <w:right w:val="none" w:sz="0" w:space="0" w:color="auto"/>
      </w:divBdr>
    </w:div>
    <w:div w:id="868877837">
      <w:bodyDiv w:val="1"/>
      <w:marLeft w:val="0"/>
      <w:marRight w:val="0"/>
      <w:marTop w:val="0"/>
      <w:marBottom w:val="0"/>
      <w:divBdr>
        <w:top w:val="none" w:sz="0" w:space="0" w:color="auto"/>
        <w:left w:val="none" w:sz="0" w:space="0" w:color="auto"/>
        <w:bottom w:val="none" w:sz="0" w:space="0" w:color="auto"/>
        <w:right w:val="none" w:sz="0" w:space="0" w:color="auto"/>
      </w:divBdr>
    </w:div>
    <w:div w:id="993296234">
      <w:bodyDiv w:val="1"/>
      <w:marLeft w:val="0"/>
      <w:marRight w:val="0"/>
      <w:marTop w:val="0"/>
      <w:marBottom w:val="0"/>
      <w:divBdr>
        <w:top w:val="none" w:sz="0" w:space="0" w:color="auto"/>
        <w:left w:val="none" w:sz="0" w:space="0" w:color="auto"/>
        <w:bottom w:val="none" w:sz="0" w:space="0" w:color="auto"/>
        <w:right w:val="none" w:sz="0" w:space="0" w:color="auto"/>
      </w:divBdr>
    </w:div>
    <w:div w:id="1083844393">
      <w:bodyDiv w:val="1"/>
      <w:marLeft w:val="0"/>
      <w:marRight w:val="0"/>
      <w:marTop w:val="0"/>
      <w:marBottom w:val="0"/>
      <w:divBdr>
        <w:top w:val="none" w:sz="0" w:space="0" w:color="auto"/>
        <w:left w:val="none" w:sz="0" w:space="0" w:color="auto"/>
        <w:bottom w:val="none" w:sz="0" w:space="0" w:color="auto"/>
        <w:right w:val="none" w:sz="0" w:space="0" w:color="auto"/>
      </w:divBdr>
    </w:div>
    <w:div w:id="1145855390">
      <w:bodyDiv w:val="1"/>
      <w:marLeft w:val="0"/>
      <w:marRight w:val="0"/>
      <w:marTop w:val="0"/>
      <w:marBottom w:val="0"/>
      <w:divBdr>
        <w:top w:val="none" w:sz="0" w:space="0" w:color="auto"/>
        <w:left w:val="none" w:sz="0" w:space="0" w:color="auto"/>
        <w:bottom w:val="none" w:sz="0" w:space="0" w:color="auto"/>
        <w:right w:val="none" w:sz="0" w:space="0" w:color="auto"/>
      </w:divBdr>
    </w:div>
    <w:div w:id="1712457693">
      <w:bodyDiv w:val="1"/>
      <w:marLeft w:val="0"/>
      <w:marRight w:val="0"/>
      <w:marTop w:val="0"/>
      <w:marBottom w:val="0"/>
      <w:divBdr>
        <w:top w:val="none" w:sz="0" w:space="0" w:color="auto"/>
        <w:left w:val="none" w:sz="0" w:space="0" w:color="auto"/>
        <w:bottom w:val="none" w:sz="0" w:space="0" w:color="auto"/>
        <w:right w:val="none" w:sz="0" w:space="0" w:color="auto"/>
      </w:divBdr>
    </w:div>
    <w:div w:id="1814522781">
      <w:bodyDiv w:val="1"/>
      <w:marLeft w:val="0"/>
      <w:marRight w:val="0"/>
      <w:marTop w:val="0"/>
      <w:marBottom w:val="0"/>
      <w:divBdr>
        <w:top w:val="none" w:sz="0" w:space="0" w:color="auto"/>
        <w:left w:val="none" w:sz="0" w:space="0" w:color="auto"/>
        <w:bottom w:val="none" w:sz="0" w:space="0" w:color="auto"/>
        <w:right w:val="none" w:sz="0" w:space="0" w:color="auto"/>
      </w:divBdr>
    </w:div>
    <w:div w:id="20433603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F8EB2-8FB0-47AD-BF2F-0A1708503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2276</Words>
  <Characters>12977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15223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2014-04-10T21:39:00Z</cp:lastPrinted>
  <dcterms:created xsi:type="dcterms:W3CDTF">2014-04-17T18:11:00Z</dcterms:created>
  <dcterms:modified xsi:type="dcterms:W3CDTF">2014-04-17T18:11:00Z</dcterms:modified>
</cp:coreProperties>
</file>