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ED6411"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D6411">
              <w:rPr>
                <w:rFonts w:asciiTheme="minorHAnsi" w:hAnsiTheme="minorHAnsi"/>
              </w:rPr>
              <w:t>13</w:t>
            </w:r>
          </w:p>
        </w:tc>
      </w:tr>
    </w:tbl>
    <w:p w:rsidR="005C4572" w:rsidRDefault="00C4787C" w:rsidP="00E946A0">
      <w:pPr>
        <w:pStyle w:val="Heading1"/>
      </w:pPr>
      <w:r w:rsidRPr="00263AF5">
        <w:t>Introduction</w:t>
      </w:r>
    </w:p>
    <w:p w:rsidR="002659B9" w:rsidRDefault="004D3866" w:rsidP="005C4572">
      <w:r>
        <w:t>In this lesson,</w:t>
      </w:r>
      <w:r w:rsidR="008145C0">
        <w:t xml:space="preserve"> the first in a series of two lessons,</w:t>
      </w:r>
      <w:r>
        <w:t xml:space="preserve"> </w:t>
      </w:r>
      <w:r w:rsidR="005E0969">
        <w:t>students</w:t>
      </w:r>
      <w:r>
        <w:t xml:space="preserve"> engage in an evidence collection ac</w:t>
      </w:r>
      <w:r w:rsidR="00AE4B60">
        <w:t>tivity</w:t>
      </w:r>
      <w:r w:rsidR="00B256BA">
        <w:t xml:space="preserve"> using </w:t>
      </w:r>
      <w:r w:rsidR="00B256BA" w:rsidRPr="00501182">
        <w:rPr>
          <w:i/>
        </w:rPr>
        <w:t>The Immortal Life of Henrietta Lacks</w:t>
      </w:r>
      <w:r w:rsidR="00E6729E">
        <w:t>,</w:t>
      </w:r>
      <w:r w:rsidR="00AE4B60">
        <w:t xml:space="preserve"> in order to prepare for </w:t>
      </w:r>
      <w:r w:rsidR="00B256BA">
        <w:t>a discussion</w:t>
      </w:r>
      <w:r w:rsidR="00485941">
        <w:t xml:space="preserve"> in the following lesson (Lesson 14)</w:t>
      </w:r>
      <w:r w:rsidR="00B256BA">
        <w:t xml:space="preserve"> about the text’</w:t>
      </w:r>
      <w:r w:rsidR="00485941">
        <w:t xml:space="preserve">s </w:t>
      </w:r>
      <w:r w:rsidR="003B4387">
        <w:t>various claims</w:t>
      </w:r>
      <w:r w:rsidR="00485941">
        <w:t xml:space="preserve"> and evidence. </w:t>
      </w:r>
      <w:r w:rsidR="00E6729E">
        <w:t xml:space="preserve">This </w:t>
      </w:r>
      <w:r w:rsidR="00A6073A">
        <w:t xml:space="preserve">lesson </w:t>
      </w:r>
      <w:r w:rsidR="00E6729E">
        <w:t xml:space="preserve">focuses on </w:t>
      </w:r>
      <w:r w:rsidR="002659B9">
        <w:t xml:space="preserve">understanding </w:t>
      </w:r>
      <w:r w:rsidR="003B4387">
        <w:t xml:space="preserve">central </w:t>
      </w:r>
      <w:r w:rsidR="004B4BCE">
        <w:t>ideas</w:t>
      </w:r>
      <w:r w:rsidR="002659B9">
        <w:t xml:space="preserve"> and evidence in informational text, as well as develop</w:t>
      </w:r>
      <w:r w:rsidR="007D5746">
        <w:t>ing</w:t>
      </w:r>
      <w:r w:rsidR="002659B9">
        <w:t xml:space="preserve"> </w:t>
      </w:r>
      <w:r w:rsidR="003B4387">
        <w:t>claim</w:t>
      </w:r>
      <w:r w:rsidR="008A6D20">
        <w:t>s for future argument writing.</w:t>
      </w:r>
      <w:r w:rsidR="00485941">
        <w:t xml:space="preserve"> Additionally, this lesson develops students’ proficiency for gathering and syn</w:t>
      </w:r>
      <w:r w:rsidR="00861F0C">
        <w:t>thesizing evidence from a text.</w:t>
      </w:r>
    </w:p>
    <w:p w:rsidR="001D524D" w:rsidRDefault="00CE3D78" w:rsidP="005C4572">
      <w:r>
        <w:t xml:space="preserve">Students work </w:t>
      </w:r>
      <w:r w:rsidR="002659B9">
        <w:t>collaboratively in groups to identify textual evidence</w:t>
      </w:r>
      <w:r w:rsidR="00B256BA">
        <w:t xml:space="preserve"> from </w:t>
      </w:r>
      <w:r w:rsidR="00B256BA" w:rsidRPr="00501182">
        <w:rPr>
          <w:i/>
        </w:rPr>
        <w:t>The Immortal Life of Henrietta Lacks</w:t>
      </w:r>
      <w:r w:rsidR="002659B9">
        <w:t xml:space="preserve"> to support </w:t>
      </w:r>
      <w:r w:rsidR="00B256BA">
        <w:t>a</w:t>
      </w:r>
      <w:r w:rsidR="002659B9">
        <w:t xml:space="preserve"> </w:t>
      </w:r>
      <w:r w:rsidR="003B4387">
        <w:t>claim</w:t>
      </w:r>
      <w:r w:rsidR="00B256BA">
        <w:t xml:space="preserve"> from the text</w:t>
      </w:r>
      <w:r w:rsidR="002659B9">
        <w:t xml:space="preserve">. </w:t>
      </w:r>
      <w:r w:rsidR="00076731">
        <w:t>Each student record</w:t>
      </w:r>
      <w:r w:rsidR="00A6073A">
        <w:t>s</w:t>
      </w:r>
      <w:r w:rsidR="00E6729E">
        <w:t xml:space="preserve"> information on an</w:t>
      </w:r>
      <w:r w:rsidR="00076731">
        <w:t xml:space="preserve"> </w:t>
      </w:r>
      <w:r w:rsidR="00076731" w:rsidRPr="00704FED">
        <w:t>Evidence Identification Tool</w:t>
      </w:r>
      <w:r w:rsidR="00076731">
        <w:t xml:space="preserve"> as the culmination of the group work in this lesson</w:t>
      </w:r>
      <w:r w:rsidR="00485941">
        <w:t>.</w:t>
      </w:r>
      <w:r w:rsidR="00076731" w:rsidDel="00076731">
        <w:t xml:space="preserve"> </w:t>
      </w:r>
      <w:r w:rsidR="002659B9">
        <w:t xml:space="preserve">This tool helps </w:t>
      </w:r>
      <w:r w:rsidR="008A6D20">
        <w:t xml:space="preserve">to identify </w:t>
      </w:r>
      <w:r w:rsidR="00E6729E">
        <w:t xml:space="preserve">the </w:t>
      </w:r>
      <w:r w:rsidR="001D524D">
        <w:t xml:space="preserve">evidence </w:t>
      </w:r>
      <w:r w:rsidR="00861F0C">
        <w:t>used to support various</w:t>
      </w:r>
      <w:r w:rsidR="001D524D">
        <w:t xml:space="preserve"> </w:t>
      </w:r>
      <w:r w:rsidR="003B4387">
        <w:t>claim</w:t>
      </w:r>
      <w:r w:rsidR="001D524D">
        <w:t>s</w:t>
      </w:r>
      <w:r w:rsidR="008A6D20">
        <w:t xml:space="preserve"> in </w:t>
      </w:r>
      <w:r w:rsidR="00485941">
        <w:t>the text</w:t>
      </w:r>
      <w:r w:rsidR="00960CB6">
        <w:t xml:space="preserve"> </w:t>
      </w:r>
      <w:r w:rsidR="002659B9">
        <w:t xml:space="preserve">and allows students to see a clear </w:t>
      </w:r>
      <w:r w:rsidR="000B6332">
        <w:t>path of support for the author’s</w:t>
      </w:r>
      <w:r w:rsidR="002659B9">
        <w:t xml:space="preserve"> </w:t>
      </w:r>
      <w:r w:rsidR="00960CB6">
        <w:t>central ideas</w:t>
      </w:r>
      <w:r w:rsidR="008145C0">
        <w:t xml:space="preserve">. </w:t>
      </w:r>
      <w:r w:rsidR="002659B9">
        <w:t xml:space="preserve">The completion of this tool </w:t>
      </w:r>
      <w:r w:rsidR="00A6073A">
        <w:t>serves</w:t>
      </w:r>
      <w:r w:rsidR="002659B9">
        <w:t xml:space="preserve"> as the asses</w:t>
      </w:r>
      <w:r w:rsidR="000B6332">
        <w:t>sment for this lesson. Students</w:t>
      </w:r>
      <w:r w:rsidR="00076731">
        <w:t>’</w:t>
      </w:r>
      <w:r w:rsidR="002659B9">
        <w:t xml:space="preserve"> group work provide</w:t>
      </w:r>
      <w:r w:rsidR="00E6729E">
        <w:t>s</w:t>
      </w:r>
      <w:r w:rsidR="002659B9">
        <w:t xml:space="preserve"> a foundation of evidence for </w:t>
      </w:r>
      <w:r w:rsidR="00485941">
        <w:t>L</w:t>
      </w:r>
      <w:r w:rsidR="00861F0C">
        <w:t>esson 14’s discussion activity.</w:t>
      </w:r>
    </w:p>
    <w:p w:rsidR="005C4572" w:rsidRPr="005C4572" w:rsidRDefault="00FA1062" w:rsidP="005C4572">
      <w:r>
        <w:t xml:space="preserve">10.3.1 </w:t>
      </w:r>
      <w:r w:rsidR="003B290D">
        <w:t xml:space="preserve">Lesson 13 and </w:t>
      </w:r>
      <w:r>
        <w:t xml:space="preserve">10.3.1 </w:t>
      </w:r>
      <w:r w:rsidR="003B290D">
        <w:t xml:space="preserve">Lesson 14 scaffold to the End-of-Unit Assessment in Lesson 15, in which students write a multi-paragraph essay </w:t>
      </w:r>
      <w:r w:rsidR="000423A5">
        <w:t xml:space="preserve">examining how </w:t>
      </w:r>
      <w:proofErr w:type="spellStart"/>
      <w:r w:rsidR="000423A5">
        <w:t>Skloot</w:t>
      </w:r>
      <w:proofErr w:type="spellEnd"/>
      <w:r w:rsidR="000423A5">
        <w:t xml:space="preserve"> introduces and develops the analysis of a central idea throughout the text.</w:t>
      </w:r>
      <w:r w:rsidR="003B290D">
        <w:t xml:space="preserve"> </w:t>
      </w:r>
      <w:r w:rsidR="008145C0">
        <w:t>This two-lesson series</w:t>
      </w:r>
      <w:r w:rsidR="009614B3">
        <w:t xml:space="preserve"> expands student understanding of central ideas </w:t>
      </w:r>
      <w:proofErr w:type="gramStart"/>
      <w:r w:rsidR="009614B3">
        <w:t>in</w:t>
      </w:r>
      <w:proofErr w:type="gramEnd"/>
      <w:r w:rsidR="009614B3">
        <w:t xml:space="preserve"> the text</w:t>
      </w:r>
      <w:r w:rsidR="006149A6">
        <w:t xml:space="preserve"> as </w:t>
      </w:r>
      <w:r w:rsidR="00E6729E">
        <w:t>students</w:t>
      </w:r>
      <w:r w:rsidR="008145C0">
        <w:t xml:space="preserve"> analyze the various claims </w:t>
      </w:r>
      <w:proofErr w:type="spellStart"/>
      <w:r w:rsidR="008145C0">
        <w:t>Skloot</w:t>
      </w:r>
      <w:proofErr w:type="spellEnd"/>
      <w:r w:rsidR="008145C0">
        <w:t xml:space="preserve"> presents, </w:t>
      </w:r>
      <w:r w:rsidR="006149A6">
        <w:t>while allowing</w:t>
      </w:r>
      <w:r w:rsidR="009614B3">
        <w:t xml:space="preserve"> them to examine different portions</w:t>
      </w:r>
      <w:r w:rsidR="00960CB6">
        <w:t xml:space="preserve"> of the larger text</w:t>
      </w:r>
      <w:r w:rsidR="009614B3">
        <w:t xml:space="preserve"> in a new context. In doing so</w:t>
      </w:r>
      <w:r w:rsidR="00960CB6">
        <w:t>,</w:t>
      </w:r>
      <w:r w:rsidR="009614B3">
        <w:t xml:space="preserve"> it supports the End-of-Unit Assessment and further investigation by establishing the relationship between text and evidence. </w:t>
      </w:r>
      <w:r w:rsidR="000B6332">
        <w:t xml:space="preserve">For homework, students </w:t>
      </w:r>
      <w:r w:rsidR="00FD2CD5">
        <w:t>continue with their pre-searches to develop potential sourc</w:t>
      </w:r>
      <w:r w:rsidR="00861F0C">
        <w:t>es for future argument writing.</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7757C7" w:rsidP="000B2D56">
            <w:pPr>
              <w:pStyle w:val="TableText"/>
            </w:pPr>
            <w:r>
              <w:t>RI.9-10.2</w:t>
            </w:r>
          </w:p>
        </w:tc>
        <w:tc>
          <w:tcPr>
            <w:tcW w:w="8124" w:type="dxa"/>
          </w:tcPr>
          <w:p w:rsidR="00CF498D" w:rsidRDefault="007757C7" w:rsidP="005E0969">
            <w:pPr>
              <w:pStyle w:val="TableText"/>
            </w:pPr>
            <w:r>
              <w:t>Determine a central idea of a text and analyze its development over the course of the text, including how it emerges and is shaped and refined by specific details</w:t>
            </w:r>
            <w:r w:rsidR="00015641">
              <w:t xml:space="preserve">; provide an objective summary of the text. </w:t>
            </w:r>
          </w:p>
        </w:tc>
      </w:tr>
      <w:tr w:rsidR="007757C7" w:rsidRPr="0053542D">
        <w:tc>
          <w:tcPr>
            <w:tcW w:w="1344" w:type="dxa"/>
          </w:tcPr>
          <w:p w:rsidR="007757C7" w:rsidRDefault="007757C7" w:rsidP="000B2D56">
            <w:pPr>
              <w:pStyle w:val="TableText"/>
            </w:pPr>
            <w:r>
              <w:t>W.9-10.9</w:t>
            </w:r>
            <w:r w:rsidR="00E6729E">
              <w:t>.b</w:t>
            </w:r>
          </w:p>
        </w:tc>
        <w:tc>
          <w:tcPr>
            <w:tcW w:w="8124" w:type="dxa"/>
          </w:tcPr>
          <w:p w:rsidR="00015641" w:rsidRDefault="00015641" w:rsidP="00CE3D78">
            <w:pPr>
              <w:pStyle w:val="TableText"/>
            </w:pPr>
            <w:r>
              <w:t>Draw evidence from literary or information</w:t>
            </w:r>
            <w:r w:rsidR="00E673E7">
              <w:t>al</w:t>
            </w:r>
            <w:r>
              <w:t xml:space="preserve"> text</w:t>
            </w:r>
            <w:r w:rsidR="00E673E7">
              <w:t>s</w:t>
            </w:r>
            <w:r>
              <w:t xml:space="preserve"> to support analysis, reflection</w:t>
            </w:r>
            <w:r w:rsidR="00E673E7">
              <w:t>,</w:t>
            </w:r>
            <w:r>
              <w:t xml:space="preserve"> and research.</w:t>
            </w:r>
          </w:p>
          <w:p w:rsidR="00E6729E" w:rsidRDefault="00E6729E" w:rsidP="00E6729E">
            <w:pPr>
              <w:pStyle w:val="SubStandard"/>
            </w:pPr>
            <w:r>
              <w:t xml:space="preserve">Apply </w:t>
            </w:r>
            <w:r w:rsidRPr="00E6729E">
              <w:rPr>
                <w:i/>
              </w:rPr>
              <w:t>grades 9–10 Reading standards</w:t>
            </w:r>
            <w:r>
              <w:t xml:space="preserve"> to literary nonfiction (e.g., “Delineate and evaluate the argument and specific claims in a text, assessing whether the reasoning </w:t>
            </w:r>
            <w:r>
              <w:lastRenderedPageBreak/>
              <w:t>is valid and the evidence is relevant and sufficient; identify false statements and fallacious reasoning”).</w:t>
            </w:r>
          </w:p>
        </w:tc>
      </w:tr>
      <w:tr w:rsidR="00F308FF" w:rsidRPr="00CF2582">
        <w:tc>
          <w:tcPr>
            <w:tcW w:w="9468" w:type="dxa"/>
            <w:gridSpan w:val="2"/>
            <w:shd w:val="clear" w:color="auto" w:fill="76923C"/>
          </w:tcPr>
          <w:p w:rsidR="00F308FF" w:rsidRPr="00CF2582" w:rsidRDefault="00F308FF" w:rsidP="00B00346">
            <w:pPr>
              <w:pStyle w:val="TableHeaders"/>
            </w:pPr>
            <w:r w:rsidRPr="00CF2582">
              <w:lastRenderedPageBreak/>
              <w:t>Addressed Standard</w:t>
            </w:r>
            <w:r w:rsidR="00583FF7">
              <w:t>(s)</w:t>
            </w:r>
          </w:p>
        </w:tc>
      </w:tr>
      <w:tr w:rsidR="000B2D56" w:rsidRPr="0053542D">
        <w:tc>
          <w:tcPr>
            <w:tcW w:w="1344" w:type="dxa"/>
          </w:tcPr>
          <w:p w:rsidR="000B2D56" w:rsidRPr="009C28BD" w:rsidRDefault="00015641" w:rsidP="000B2D56">
            <w:pPr>
              <w:pStyle w:val="TableText"/>
            </w:pPr>
            <w:r>
              <w:t>SL.9-10.1</w:t>
            </w:r>
          </w:p>
        </w:tc>
        <w:tc>
          <w:tcPr>
            <w:tcW w:w="8124" w:type="dxa"/>
          </w:tcPr>
          <w:p w:rsidR="000B2D56" w:rsidRDefault="002536B7" w:rsidP="000B2D56">
            <w:pPr>
              <w:pStyle w:val="TableText"/>
            </w:pPr>
            <w:r>
              <w:t>Initiate and participate effectively in a range of collaborative discussions (one-on-one, in groups, and teacher</w:t>
            </w:r>
            <w:r w:rsidR="00E673E7">
              <w:t>-</w:t>
            </w:r>
            <w:r>
              <w:t xml:space="preserve">led) with diverse partners on </w:t>
            </w:r>
            <w:r w:rsidRPr="004D4B4D">
              <w:rPr>
                <w:i/>
              </w:rPr>
              <w:t>grades 9–10 topics</w:t>
            </w:r>
            <w:r w:rsidR="00BC06EC" w:rsidRPr="0053212F">
              <w:t>,</w:t>
            </w:r>
            <w:r w:rsidRPr="004D4B4D">
              <w:rPr>
                <w:i/>
              </w:rPr>
              <w:t xml:space="preserve"> texts</w:t>
            </w:r>
            <w:r w:rsidR="00BC06EC" w:rsidRPr="0053212F">
              <w:t>,</w:t>
            </w:r>
            <w:r w:rsidR="00E673E7">
              <w:rPr>
                <w:i/>
              </w:rPr>
              <w:t xml:space="preserve"> and </w:t>
            </w:r>
            <w:r w:rsidRPr="004D4B4D">
              <w:rPr>
                <w:i/>
              </w:rPr>
              <w:t>issues</w:t>
            </w:r>
            <w:r>
              <w:t>, building on others</w:t>
            </w:r>
            <w:r w:rsidR="00E673E7">
              <w:t>’</w:t>
            </w:r>
            <w:r>
              <w:t xml:space="preserve"> ideas and expressing their own clearly and persuasively.</w:t>
            </w:r>
          </w:p>
        </w:tc>
      </w:tr>
      <w:tr w:rsidR="00DA4321" w:rsidRPr="0053542D">
        <w:tc>
          <w:tcPr>
            <w:tcW w:w="1344" w:type="dxa"/>
          </w:tcPr>
          <w:p w:rsidR="00DA4321" w:rsidRDefault="00DA4321" w:rsidP="000B2D56">
            <w:pPr>
              <w:pStyle w:val="TableText"/>
            </w:pPr>
            <w:r>
              <w:t>L.9-10.4</w:t>
            </w:r>
            <w:r w:rsidR="0088086D">
              <w:t>.</w:t>
            </w:r>
            <w:r>
              <w:t>a, c, d</w:t>
            </w:r>
          </w:p>
        </w:tc>
        <w:tc>
          <w:tcPr>
            <w:tcW w:w="8124" w:type="dxa"/>
          </w:tcPr>
          <w:p w:rsidR="00E6729E" w:rsidRPr="0027793C" w:rsidRDefault="00E6729E" w:rsidP="00E6729E">
            <w:pPr>
              <w:pStyle w:val="TableText"/>
            </w:pPr>
            <w:r>
              <w:t xml:space="preserve">Determine or clarify the meaning of unknown and multiple-meaning words and phrases based on </w:t>
            </w:r>
            <w:r>
              <w:rPr>
                <w:i/>
              </w:rPr>
              <w:t>grades 9–10 reading and content</w:t>
            </w:r>
            <w:r>
              <w:t>, choosing flexibly from a range of strategies.</w:t>
            </w:r>
          </w:p>
          <w:p w:rsidR="00E6729E" w:rsidRPr="0027793C" w:rsidRDefault="00E6729E" w:rsidP="00B46A67">
            <w:pPr>
              <w:pStyle w:val="SubStandard"/>
              <w:numPr>
                <w:ilvl w:val="0"/>
                <w:numId w:val="11"/>
              </w:numPr>
            </w:pPr>
            <w:r w:rsidRPr="0027793C">
              <w:t>Use context (e.g., the overall meaning of a sentence, paragraph, or text; a word's position or function in a sentence) as a clue to the meaning of a word or phrase</w:t>
            </w:r>
          </w:p>
          <w:p w:rsidR="00E6729E" w:rsidRPr="0027793C" w:rsidRDefault="00E6729E" w:rsidP="00B46A67">
            <w:pPr>
              <w:pStyle w:val="SubStandard"/>
              <w:numPr>
                <w:ilvl w:val="0"/>
                <w:numId w:val="12"/>
              </w:numPr>
            </w:pPr>
            <w:r w:rsidRPr="0027793C">
              <w:t xml:space="preserve">Consult general and specialized reference materials (e.g., dictionaries, glossaries, thesauruses), both print and digital, to find the pronunciation of a word or determine or clarify its precise meaning, </w:t>
            </w:r>
            <w:proofErr w:type="spellStart"/>
            <w:r w:rsidRPr="0027793C">
              <w:t>its</w:t>
            </w:r>
            <w:proofErr w:type="spellEnd"/>
            <w:r w:rsidRPr="0027793C">
              <w:t xml:space="preserve"> part of speech, or its etymology.</w:t>
            </w:r>
          </w:p>
          <w:p w:rsidR="00DA4321" w:rsidRDefault="00E6729E" w:rsidP="001E4971">
            <w:pPr>
              <w:pStyle w:val="SubStandard"/>
            </w:pPr>
            <w:r w:rsidRPr="0027793C">
              <w:t>Verify the preliminary determination of the meaning of a word or phrase (e.g., by checking the inferred meaning in context or in a dictionary).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5E0969" w:rsidRDefault="005E0969" w:rsidP="008151E5">
            <w:pPr>
              <w:pStyle w:val="TableText"/>
            </w:pPr>
            <w:r>
              <w:t xml:space="preserve">The learning in this lesson will be captured through the completion of the </w:t>
            </w:r>
            <w:r w:rsidRPr="0052059B">
              <w:t>Evidence</w:t>
            </w:r>
            <w:r w:rsidR="00B4758B" w:rsidRPr="0052059B">
              <w:t xml:space="preserve"> Identification</w:t>
            </w:r>
            <w:r w:rsidRPr="0052059B">
              <w:t xml:space="preserve"> Tool</w:t>
            </w:r>
            <w:r>
              <w:t>.</w:t>
            </w:r>
          </w:p>
          <w:p w:rsidR="005E0969" w:rsidRDefault="005E0969" w:rsidP="008151E5">
            <w:pPr>
              <w:pStyle w:val="TableText"/>
            </w:pPr>
            <w:r>
              <w:t xml:space="preserve">Students submit </w:t>
            </w:r>
            <w:r w:rsidR="003B290D">
              <w:t xml:space="preserve">a </w:t>
            </w:r>
            <w:r>
              <w:t xml:space="preserve">completed </w:t>
            </w:r>
            <w:r w:rsidRPr="0052059B">
              <w:t>Evidence</w:t>
            </w:r>
            <w:r w:rsidR="00B4758B" w:rsidRPr="0052059B">
              <w:t xml:space="preserve"> Identification </w:t>
            </w:r>
            <w:r w:rsidRPr="0052059B">
              <w:t xml:space="preserve">Tool </w:t>
            </w:r>
            <w:r w:rsidR="00B32B73">
              <w:t>during</w:t>
            </w:r>
            <w:r>
              <w:t xml:space="preserve"> the lesson’s closing.</w:t>
            </w:r>
          </w:p>
          <w:p w:rsidR="00E6729E" w:rsidRPr="003908D2" w:rsidRDefault="00E6729E" w:rsidP="000D3CAF">
            <w:pPr>
              <w:pStyle w:val="IN"/>
            </w:pPr>
            <w:r>
              <w:t>The Evidence Identification Tool will serve as the assessment for this unit.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960CB6" w:rsidRDefault="0017419D" w:rsidP="000D3CAF">
            <w:pPr>
              <w:pStyle w:val="BulletedList"/>
              <w:numPr>
                <w:ilvl w:val="0"/>
                <w:numId w:val="0"/>
              </w:numPr>
              <w:ind w:left="317" w:hanging="317"/>
            </w:pPr>
            <w:r>
              <w:t>A High P</w:t>
            </w:r>
            <w:r w:rsidR="00960CB6">
              <w:t xml:space="preserve">erformance </w:t>
            </w:r>
            <w:r>
              <w:t>R</w:t>
            </w:r>
            <w:r w:rsidR="00960CB6">
              <w:t>esponse should:</w:t>
            </w:r>
          </w:p>
          <w:p w:rsidR="005E0969" w:rsidRDefault="005E0969" w:rsidP="00064850">
            <w:pPr>
              <w:pStyle w:val="BulletedList"/>
            </w:pPr>
            <w:r>
              <w:t xml:space="preserve">See the </w:t>
            </w:r>
            <w:r w:rsidR="003B290D">
              <w:t xml:space="preserve">Model </w:t>
            </w:r>
            <w:r w:rsidRPr="0052059B">
              <w:t>Evidence</w:t>
            </w:r>
            <w:r w:rsidR="00B4758B" w:rsidRPr="0052059B">
              <w:t xml:space="preserve"> Identification</w:t>
            </w:r>
            <w:r w:rsidRPr="0052059B">
              <w:t xml:space="preserve"> Tool</w:t>
            </w:r>
            <w:r>
              <w:rPr>
                <w:b/>
              </w:rPr>
              <w:t xml:space="preserve"> </w:t>
            </w:r>
            <w:r>
              <w:t xml:space="preserve">located at the end of the lesson. </w:t>
            </w:r>
          </w:p>
          <w:p w:rsidR="00BB2A90" w:rsidRDefault="005E0969" w:rsidP="004D4B4D">
            <w:pPr>
              <w:pStyle w:val="BulletedList"/>
              <w:numPr>
                <w:ilvl w:val="0"/>
                <w:numId w:val="0"/>
              </w:numPr>
            </w:pPr>
            <w:r>
              <w:t xml:space="preserve">Use the following criteria to assess individual student’s </w:t>
            </w:r>
            <w:r w:rsidRPr="0052059B">
              <w:t>Evidence</w:t>
            </w:r>
            <w:r w:rsidR="00B4758B" w:rsidRPr="0052059B">
              <w:t xml:space="preserve"> Identification</w:t>
            </w:r>
            <w:r w:rsidRPr="0052059B">
              <w:t xml:space="preserve"> Tool</w:t>
            </w:r>
            <w:r w:rsidR="00BB2A90" w:rsidRPr="0052059B">
              <w:t>:</w:t>
            </w:r>
          </w:p>
          <w:p w:rsidR="00D920A6" w:rsidRDefault="0052059B" w:rsidP="00BB2A90">
            <w:pPr>
              <w:pStyle w:val="BulletedList"/>
            </w:pPr>
            <w:r>
              <w:t>Does the</w:t>
            </w:r>
            <w:r w:rsidR="00960CB6">
              <w:t xml:space="preserve"> textual</w:t>
            </w:r>
            <w:r>
              <w:t xml:space="preserve"> evidenc</w:t>
            </w:r>
            <w:r w:rsidR="008145C0">
              <w:t>e provided support the text’s</w:t>
            </w:r>
            <w:r>
              <w:t xml:space="preserve"> </w:t>
            </w:r>
            <w:r w:rsidR="003B4387">
              <w:t>claim</w:t>
            </w:r>
            <w:r>
              <w:t>?</w:t>
            </w:r>
          </w:p>
          <w:p w:rsidR="0052059B" w:rsidRDefault="0052059B" w:rsidP="00BB2A90">
            <w:pPr>
              <w:pStyle w:val="BulletedList"/>
            </w:pPr>
            <w:r>
              <w:t>Is the</w:t>
            </w:r>
            <w:r w:rsidR="00960CB6">
              <w:t xml:space="preserve"> textual</w:t>
            </w:r>
            <w:r>
              <w:t xml:space="preserve"> evidence provided </w:t>
            </w:r>
            <w:r w:rsidR="00196C09">
              <w:t>relevant and sufficient</w:t>
            </w:r>
            <w:r>
              <w:t>?</w:t>
            </w:r>
          </w:p>
          <w:p w:rsidR="0052059B" w:rsidRPr="003908D2" w:rsidRDefault="0052059B" w:rsidP="00076731">
            <w:pPr>
              <w:pStyle w:val="BulletedList"/>
            </w:pPr>
            <w:r>
              <w:t>Does the student correctly ide</w:t>
            </w:r>
            <w:r w:rsidR="00076731">
              <w:t>ntify</w:t>
            </w:r>
            <w:r>
              <w:t xml:space="preserve"> </w:t>
            </w:r>
            <w:r w:rsidR="00076731">
              <w:t>the purpose of this supporting evidence</w:t>
            </w:r>
            <w:r w:rsidR="00960CB6">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627010">
            <w:pPr>
              <w:pStyle w:val="TableHeaders"/>
              <w:keepNext/>
            </w:pPr>
            <w:r w:rsidRPr="00B00346">
              <w:t>Vocabulary to provide directly (will not include extended instruction)</w:t>
            </w:r>
          </w:p>
        </w:tc>
      </w:tr>
      <w:tr w:rsidR="00D920A6">
        <w:tc>
          <w:tcPr>
            <w:tcW w:w="9450" w:type="dxa"/>
          </w:tcPr>
          <w:p w:rsidR="000B2D56" w:rsidRPr="00B231AA" w:rsidRDefault="001D524D" w:rsidP="0017419D">
            <w:pPr>
              <w:pStyle w:val="BulletedList"/>
            </w:pPr>
            <w:r>
              <w:t>None</w:t>
            </w:r>
            <w:r w:rsidR="0017419D">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1D524D" w:rsidP="0017419D">
            <w:pPr>
              <w:pStyle w:val="BulletedList"/>
            </w:pPr>
            <w:r>
              <w:t>None</w:t>
            </w:r>
            <w:r w:rsidR="0017419D">
              <w:t>.*</w:t>
            </w:r>
          </w:p>
        </w:tc>
      </w:tr>
    </w:tbl>
    <w:p w:rsidR="00704FB1" w:rsidRPr="000777D6" w:rsidRDefault="00E6729E" w:rsidP="00E6729E">
      <w:pPr>
        <w:rPr>
          <w:sz w:val="18"/>
          <w:szCs w:val="18"/>
        </w:rPr>
      </w:pPr>
      <w:r w:rsidRPr="000777D6">
        <w:rPr>
          <w:sz w:val="18"/>
          <w:szCs w:val="18"/>
        </w:rPr>
        <w:t>*</w:t>
      </w:r>
      <w:r w:rsidR="00704FB1" w:rsidRPr="000777D6">
        <w:rPr>
          <w:sz w:val="18"/>
          <w:szCs w:val="18"/>
        </w:rPr>
        <w:t>Because this is not a close reading or a research lesson, there is no specified vocabulary. However, in the process of returning to the text, students may uncover unfam</w:t>
      </w:r>
      <w:bookmarkStart w:id="0" w:name="_GoBack"/>
      <w:bookmarkEnd w:id="0"/>
      <w:r w:rsidR="00704FB1" w:rsidRPr="000777D6">
        <w:rPr>
          <w:sz w:val="18"/>
          <w:szCs w:val="18"/>
        </w:rPr>
        <w:t xml:space="preserve">iliar words. Teachers can guide students to make meaning of these words by following the protocols described in 1E of this document http://www.engageny.org/sites/default/files/resource/attachments/9-12_ela_prefatory_material.pdf </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9F70AA" w:rsidRPr="009F70AA">
              <w:t>RI.9-10.2, W.9-10.9</w:t>
            </w:r>
            <w:r w:rsidR="00E6729E">
              <w:t>.b</w:t>
            </w:r>
            <w:r w:rsidR="00704FB1">
              <w:t>, SL.9-10.1</w:t>
            </w:r>
            <w:r w:rsidR="00BA5DEF">
              <w:t>, L.9-10.4.a, c, d</w:t>
            </w:r>
          </w:p>
          <w:p w:rsidR="00730123" w:rsidRDefault="004B7C07" w:rsidP="00E6729E">
            <w:pPr>
              <w:pStyle w:val="BulletedList"/>
            </w:pPr>
            <w:r>
              <w:t xml:space="preserve">Text: </w:t>
            </w:r>
            <w:r w:rsidR="00E6729E">
              <w:rPr>
                <w:i/>
              </w:rPr>
              <w:t>The Immortal Life of Henrietta Lacks</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0E65BF" w:rsidP="00546D71">
            <w:pPr>
              <w:pStyle w:val="NumberedList"/>
            </w:pPr>
            <w:r>
              <w:t xml:space="preserve">Identifying </w:t>
            </w:r>
            <w:r w:rsidR="003B4387">
              <w:t>Claim</w:t>
            </w:r>
            <w:r>
              <w:t>s and Evidence in the Text</w:t>
            </w:r>
          </w:p>
          <w:p w:rsidR="009F70AA" w:rsidRDefault="002A1DC8" w:rsidP="00546D71">
            <w:pPr>
              <w:pStyle w:val="NumberedList"/>
            </w:pPr>
            <w:r>
              <w:t>Evidence Identification Tool Activity and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B46A67">
            <w:pPr>
              <w:pStyle w:val="NumberedList"/>
              <w:numPr>
                <w:ilvl w:val="0"/>
                <w:numId w:val="2"/>
              </w:numPr>
            </w:pPr>
            <w:r>
              <w:t>5%</w:t>
            </w:r>
          </w:p>
          <w:p w:rsidR="00546D71" w:rsidRDefault="000B2D56" w:rsidP="00546D71">
            <w:pPr>
              <w:pStyle w:val="NumberedList"/>
            </w:pPr>
            <w:r>
              <w:t>10</w:t>
            </w:r>
            <w:r w:rsidR="00546D71">
              <w:t>%</w:t>
            </w:r>
          </w:p>
          <w:p w:rsidR="00546D71" w:rsidRDefault="00B4758B" w:rsidP="00B4758B">
            <w:pPr>
              <w:pStyle w:val="NumberedList"/>
            </w:pPr>
            <w:r>
              <w:t>20</w:t>
            </w:r>
            <w:r w:rsidR="00546D71">
              <w:t>%</w:t>
            </w:r>
          </w:p>
          <w:p w:rsidR="009F70AA" w:rsidRDefault="002A1DC8" w:rsidP="00546D71">
            <w:pPr>
              <w:pStyle w:val="NumberedList"/>
            </w:pPr>
            <w:r>
              <w:t>60</w:t>
            </w:r>
            <w:r w:rsidR="009F70AA">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1D524D" w:rsidP="0052059B">
      <w:pPr>
        <w:pStyle w:val="BulletedList"/>
      </w:pPr>
      <w:r>
        <w:t xml:space="preserve">Copies of the </w:t>
      </w:r>
      <w:r w:rsidR="00B4758B" w:rsidRPr="0052059B">
        <w:t>Evidence Identification</w:t>
      </w:r>
      <w:r w:rsidRPr="0052059B">
        <w:t xml:space="preserve"> Tool</w:t>
      </w:r>
      <w:r>
        <w:t xml:space="preserve"> 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EA2731">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EA2731">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 xml:space="preserve">o </w:t>
            </w:r>
            <w:r w:rsidR="00A948B3" w:rsidRPr="00A948B3">
              <w:rPr>
                <w:sz w:val="18"/>
              </w:rPr>
              <w:lastRenderedPageBreak/>
              <w:t>symbol</w:t>
            </w:r>
          </w:p>
        </w:tc>
        <w:tc>
          <w:tcPr>
            <w:tcW w:w="8574" w:type="dxa"/>
          </w:tcPr>
          <w:p w:rsidR="00A948B3" w:rsidRPr="000D6FA4" w:rsidRDefault="00A948B3" w:rsidP="00EA2731">
            <w:pPr>
              <w:spacing w:before="20" w:after="20" w:line="240" w:lineRule="auto"/>
              <w:rPr>
                <w:sz w:val="20"/>
              </w:rPr>
            </w:pPr>
            <w:r>
              <w:rPr>
                <w:sz w:val="20"/>
              </w:rPr>
              <w:lastRenderedPageBreak/>
              <w:t xml:space="preserve">Plain text </w:t>
            </w:r>
            <w:r w:rsidRPr="000D6FA4">
              <w:rPr>
                <w:sz w:val="20"/>
              </w:rPr>
              <w:t>indicates teacher action.</w:t>
            </w:r>
          </w:p>
        </w:tc>
      </w:tr>
      <w:tr w:rsidR="00A948B3" w:rsidRPr="000D6FA4">
        <w:tc>
          <w:tcPr>
            <w:tcW w:w="894" w:type="dxa"/>
            <w:vMerge/>
          </w:tcPr>
          <w:p w:rsidR="00A948B3" w:rsidRPr="000D6FA4" w:rsidRDefault="00A948B3" w:rsidP="00EA2731">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EA2731">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EA2731">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EA2731">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EA2731">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00054B" w:rsidRDefault="00BB2A90" w:rsidP="0053212F">
      <w:pPr>
        <w:pStyle w:val="TA"/>
      </w:pPr>
      <w:r>
        <w:t xml:space="preserve">Begin by reviewing the agenda and the assessed standards for this lesson: </w:t>
      </w:r>
      <w:r w:rsidR="00CE3D78" w:rsidRPr="00CE3D78">
        <w:t>RI.9-10.2</w:t>
      </w:r>
      <w:r w:rsidR="00E6729E">
        <w:t xml:space="preserve"> and</w:t>
      </w:r>
      <w:r w:rsidR="00CE3D78">
        <w:t xml:space="preserve"> </w:t>
      </w:r>
      <w:r w:rsidR="00CE3D78" w:rsidRPr="00CE3D78">
        <w:t>W.9-10.9</w:t>
      </w:r>
      <w:r w:rsidR="00CE3D78">
        <w:t>.</w:t>
      </w:r>
      <w:r w:rsidR="00E6729E">
        <w:t>b.</w:t>
      </w:r>
      <w:r w:rsidR="00CE3D78">
        <w:t xml:space="preserve"> </w:t>
      </w:r>
      <w:r w:rsidR="00E6729E">
        <w:t>In this lesson,</w:t>
      </w:r>
      <w:r w:rsidR="000A6EBE">
        <w:t xml:space="preserve"> students engage in </w:t>
      </w:r>
      <w:r w:rsidR="00A6073A">
        <w:t>an evidence collection activity</w:t>
      </w:r>
      <w:r w:rsidR="000A6EBE">
        <w:t xml:space="preserve"> using </w:t>
      </w:r>
      <w:r w:rsidR="000A6EBE" w:rsidRPr="00501182">
        <w:rPr>
          <w:i/>
        </w:rPr>
        <w:t>The Immortal Life of Henrietta Lacks</w:t>
      </w:r>
      <w:r w:rsidR="000A6EBE">
        <w:t xml:space="preserve"> in order to prepare for a discussion in the following lesson (</w:t>
      </w:r>
      <w:r w:rsidR="000777D6">
        <w:t xml:space="preserve">10.3.1 </w:t>
      </w:r>
      <w:r w:rsidR="000A6EBE">
        <w:t>Lesson 14)</w:t>
      </w:r>
      <w:r w:rsidR="00DE3084">
        <w:t>.</w:t>
      </w:r>
      <w:r w:rsidR="000A6EBE">
        <w:t xml:space="preserve"> Students work collaboratively in groups to identify textual evidence from </w:t>
      </w:r>
      <w:r w:rsidR="000A6EBE" w:rsidRPr="00501182">
        <w:rPr>
          <w:i/>
        </w:rPr>
        <w:t>The Immortal Life of Henrietta Lacks</w:t>
      </w:r>
      <w:r w:rsidR="000A6EBE">
        <w:t xml:space="preserve"> to support a </w:t>
      </w:r>
      <w:r w:rsidR="003B4387">
        <w:t>central claim</w:t>
      </w:r>
      <w:r w:rsidR="000A6EBE">
        <w:t xml:space="preserve"> from the text. Each student record</w:t>
      </w:r>
      <w:r w:rsidR="00BA5DEF">
        <w:t>s</w:t>
      </w:r>
      <w:r w:rsidR="000A6EBE">
        <w:t xml:space="preserve"> information on </w:t>
      </w:r>
      <w:r w:rsidR="00E6729E">
        <w:t>an</w:t>
      </w:r>
      <w:r w:rsidR="000A6EBE">
        <w:t xml:space="preserve"> Evidence Identification Tool as the culmination of the group work in this lesson.</w:t>
      </w:r>
      <w:r w:rsidR="000A6EBE" w:rsidDel="00076731">
        <w:t xml:space="preserve"> </w:t>
      </w:r>
      <w:r w:rsidR="000A6EBE">
        <w:t xml:space="preserve">The completion of this tool will serve as the assessment for this lesson. </w:t>
      </w:r>
    </w:p>
    <w:p w:rsidR="0052059B" w:rsidRDefault="0052059B" w:rsidP="0052059B">
      <w:pPr>
        <w:pStyle w:val="SA"/>
      </w:pPr>
      <w:r>
        <w:t xml:space="preserve">Students </w:t>
      </w:r>
      <w:r w:rsidR="000777D6">
        <w:t>look at the agenda.</w:t>
      </w:r>
    </w:p>
    <w:p w:rsidR="000B2D56" w:rsidRDefault="000B2D56" w:rsidP="00CE2836">
      <w:pPr>
        <w:pStyle w:val="LearningSequenceHeader"/>
      </w:pPr>
      <w:r>
        <w:t>Activity 2</w:t>
      </w:r>
      <w:r w:rsidRPr="000B2D56">
        <w:t xml:space="preserve">: </w:t>
      </w:r>
      <w:r>
        <w:t>Homework Accountability</w:t>
      </w:r>
      <w:r>
        <w:tab/>
        <w:t>10</w:t>
      </w:r>
      <w:r w:rsidRPr="000B2D56">
        <w:t>%</w:t>
      </w:r>
    </w:p>
    <w:p w:rsidR="00A32A52" w:rsidRDefault="004A2AA3" w:rsidP="004A2AA3">
      <w:pPr>
        <w:pStyle w:val="TA"/>
      </w:pPr>
      <w:r>
        <w:t>Instruct students to take out the homework from</w:t>
      </w:r>
      <w:r w:rsidR="00891CA9">
        <w:t xml:space="preserve"> the previous lesson. The previous lesson’s homework prompt was: </w:t>
      </w:r>
      <w:r w:rsidR="00E100D0" w:rsidRPr="00E100D0">
        <w:t>Continue with your pre-searches. Find three more potential sources and record the following information</w:t>
      </w:r>
      <w:r w:rsidR="00E6729E">
        <w:t xml:space="preserve"> on the Pre-Search Tool</w:t>
      </w:r>
      <w:r w:rsidR="00E100D0" w:rsidRPr="00E100D0">
        <w:t xml:space="preserve">: author’s name, topic, source, location, publication date, and general content/key ideas. </w:t>
      </w:r>
      <w:r w:rsidR="00E6729E">
        <w:t>C</w:t>
      </w:r>
      <w:r w:rsidR="00E100D0" w:rsidRPr="00E100D0">
        <w:t xml:space="preserve">onsider an author’s </w:t>
      </w:r>
      <w:r w:rsidR="00E100D0" w:rsidRPr="00785C71">
        <w:t>perspective</w:t>
      </w:r>
      <w:r w:rsidR="00E100D0" w:rsidRPr="00E100D0">
        <w:t xml:space="preserve"> and, when appropriate, summarize it in the margins of the Pre-Search Tool. Continue adding to your vocabulary journal when appropriate.</w:t>
      </w:r>
    </w:p>
    <w:p w:rsidR="007D5746" w:rsidRDefault="007D5746" w:rsidP="007D5746">
      <w:pPr>
        <w:pStyle w:val="TA"/>
      </w:pPr>
      <w:r>
        <w:t xml:space="preserve">Ask students to work in pairs and share </w:t>
      </w:r>
      <w:r w:rsidR="00E6729E">
        <w:t>one or two</w:t>
      </w:r>
      <w:r>
        <w:t xml:space="preserve"> potential sources they found for homework. Instruct students to first articulate their</w:t>
      </w:r>
      <w:r w:rsidR="00891CA9">
        <w:t xml:space="preserve"> inquiry</w:t>
      </w:r>
      <w:r>
        <w:t xml:space="preserve"> question and then briefly explain how each source relates to that question.</w:t>
      </w:r>
    </w:p>
    <w:p w:rsidR="0053215B" w:rsidRDefault="007D5746" w:rsidP="0029663B">
      <w:pPr>
        <w:pStyle w:val="SA"/>
      </w:pPr>
      <w:r>
        <w:t xml:space="preserve">Student pairs share </w:t>
      </w:r>
      <w:r w:rsidR="00E6729E">
        <w:t xml:space="preserve">the </w:t>
      </w:r>
      <w:r>
        <w:t xml:space="preserve">potential sources they found for homework. </w:t>
      </w:r>
    </w:p>
    <w:p w:rsidR="007D5746" w:rsidRPr="000B2D56" w:rsidRDefault="0053215B" w:rsidP="0053215B">
      <w:pPr>
        <w:pStyle w:val="SR"/>
      </w:pPr>
      <w:r>
        <w:t>S</w:t>
      </w:r>
      <w:r w:rsidR="007D5746" w:rsidRPr="002F6F5D">
        <w:t xml:space="preserve">tudent responses </w:t>
      </w:r>
      <w:r w:rsidR="00CD7963">
        <w:t xml:space="preserve">will </w:t>
      </w:r>
      <w:r w:rsidR="007D5746" w:rsidRPr="002F6F5D">
        <w:t>vary based on the</w:t>
      </w:r>
      <w:r w:rsidR="00CD7963">
        <w:t>ir</w:t>
      </w:r>
      <w:r w:rsidR="007D5746" w:rsidRPr="002F6F5D">
        <w:t xml:space="preserve"> individual research </w:t>
      </w:r>
      <w:r w:rsidR="00CD7963">
        <w:t>questions and research</w:t>
      </w:r>
      <w:r w:rsidR="007D5746">
        <w:t xml:space="preserve"> </w:t>
      </w:r>
      <w:r w:rsidR="007D5746" w:rsidRPr="002F6F5D">
        <w:t>conducted.</w:t>
      </w:r>
      <w:r w:rsidR="00CD7963">
        <w:t xml:space="preserve"> </w:t>
      </w:r>
      <w:r w:rsidR="00CD7963" w:rsidRPr="00CD7963">
        <w:rPr>
          <w:szCs w:val="20"/>
        </w:rPr>
        <w:t xml:space="preserve">Students should use the language of the </w:t>
      </w:r>
      <w:r w:rsidR="00CD7963">
        <w:rPr>
          <w:szCs w:val="20"/>
        </w:rPr>
        <w:t>Pre-Search Tool</w:t>
      </w:r>
      <w:r w:rsidR="00CD7963" w:rsidRPr="00CD7963">
        <w:rPr>
          <w:szCs w:val="20"/>
        </w:rPr>
        <w:t xml:space="preserve"> in discussion</w:t>
      </w:r>
      <w:r w:rsidR="00CD7963">
        <w:rPr>
          <w:szCs w:val="20"/>
        </w:rPr>
        <w:t>.</w:t>
      </w:r>
    </w:p>
    <w:p w:rsidR="000B2D56" w:rsidRDefault="000B2D56" w:rsidP="00CE2836">
      <w:pPr>
        <w:pStyle w:val="LearningSequenceHeader"/>
      </w:pPr>
      <w:r w:rsidRPr="000B2D56">
        <w:t xml:space="preserve">Activity </w:t>
      </w:r>
      <w:r>
        <w:t>3</w:t>
      </w:r>
      <w:r w:rsidR="000E65BF">
        <w:t xml:space="preserve">: </w:t>
      </w:r>
      <w:r w:rsidR="001E0A40" w:rsidRPr="001E0A40">
        <w:t xml:space="preserve">Identifying </w:t>
      </w:r>
      <w:r w:rsidR="003B4387">
        <w:t>Claim</w:t>
      </w:r>
      <w:r w:rsidR="001E0A40" w:rsidRPr="001E0A40">
        <w:t>s and Evidence in the Text</w:t>
      </w:r>
      <w:r w:rsidR="00B4758B">
        <w:tab/>
        <w:t>20</w:t>
      </w:r>
      <w:r w:rsidRPr="000B2D56">
        <w:t>%</w:t>
      </w:r>
    </w:p>
    <w:p w:rsidR="001E0A40" w:rsidRDefault="00E6729E" w:rsidP="00707670">
      <w:pPr>
        <w:pStyle w:val="TA"/>
      </w:pPr>
      <w:r>
        <w:t xml:space="preserve">This part of the lesson is a whole-class </w:t>
      </w:r>
      <w:r w:rsidR="001E0A40">
        <w:t xml:space="preserve">discussion </w:t>
      </w:r>
      <w:r>
        <w:t>about</w:t>
      </w:r>
      <w:r w:rsidR="00D22F35">
        <w:t xml:space="preserve"> how to </w:t>
      </w:r>
      <w:r w:rsidR="001E0A40">
        <w:t xml:space="preserve">identify </w:t>
      </w:r>
      <w:r w:rsidR="003B4387">
        <w:t>claim</w:t>
      </w:r>
      <w:r w:rsidR="001E0A40">
        <w:t xml:space="preserve">s and supporting evidence in the text. </w:t>
      </w:r>
      <w:r>
        <w:t>Explain that t</w:t>
      </w:r>
      <w:r w:rsidR="001E0A40">
        <w:t xml:space="preserve">he goal of this discussion is to </w:t>
      </w:r>
      <w:r w:rsidR="001C0632">
        <w:t>encourage students to think</w:t>
      </w:r>
      <w:r w:rsidR="001E0A40">
        <w:t xml:space="preserve"> about what </w:t>
      </w:r>
      <w:r w:rsidR="003B4387">
        <w:t>claim</w:t>
      </w:r>
      <w:r w:rsidR="001E0A40">
        <w:t>s they can identify in the text that they have read</w:t>
      </w:r>
      <w:r w:rsidR="00076731">
        <w:t>,</w:t>
      </w:r>
      <w:r w:rsidR="001E0A40">
        <w:t xml:space="preserve"> </w:t>
      </w:r>
      <w:r>
        <w:t>and</w:t>
      </w:r>
      <w:r w:rsidR="001E0A40">
        <w:t xml:space="preserve"> what evidence is provided in the text to support these </w:t>
      </w:r>
      <w:r w:rsidR="003B4387">
        <w:t>claim</w:t>
      </w:r>
      <w:r w:rsidR="0079104C">
        <w:t>s</w:t>
      </w:r>
      <w:r w:rsidR="001E0A40">
        <w:t>. Remind students of the work</w:t>
      </w:r>
      <w:r w:rsidR="00555C1F">
        <w:t xml:space="preserve"> they</w:t>
      </w:r>
      <w:r w:rsidR="00D22F35">
        <w:t xml:space="preserve"> ha</w:t>
      </w:r>
      <w:r w:rsidR="00555C1F">
        <w:t xml:space="preserve">ve done with the </w:t>
      </w:r>
      <w:r w:rsidR="00076731">
        <w:t>S</w:t>
      </w:r>
      <w:r w:rsidR="00555C1F">
        <w:t>urfacing</w:t>
      </w:r>
      <w:r w:rsidR="001E0A40">
        <w:t xml:space="preserve"> </w:t>
      </w:r>
      <w:r w:rsidR="00076731">
        <w:t>I</w:t>
      </w:r>
      <w:r w:rsidR="001E0A40">
        <w:t xml:space="preserve">ssues </w:t>
      </w:r>
      <w:r w:rsidR="00076731">
        <w:t>T</w:t>
      </w:r>
      <w:r w:rsidR="001E0A40">
        <w:t>ool. This tool provides an ideal gateway into the</w:t>
      </w:r>
      <w:r w:rsidR="00D22F35">
        <w:t xml:space="preserve"> many </w:t>
      </w:r>
      <w:r w:rsidR="003B4387">
        <w:t>claim</w:t>
      </w:r>
      <w:r w:rsidR="00D22F35">
        <w:t>s of the</w:t>
      </w:r>
      <w:r w:rsidR="001E0A40">
        <w:t xml:space="preserve"> text. Ask students the following question</w:t>
      </w:r>
      <w:r w:rsidR="00E2404D">
        <w:t>s</w:t>
      </w:r>
      <w:r w:rsidR="001E0A40">
        <w:t>:</w:t>
      </w:r>
    </w:p>
    <w:p w:rsidR="00E2404D" w:rsidRDefault="00E2404D" w:rsidP="00E2404D">
      <w:pPr>
        <w:pStyle w:val="Q"/>
      </w:pPr>
      <w:r>
        <w:lastRenderedPageBreak/>
        <w:t xml:space="preserve">How do </w:t>
      </w:r>
      <w:r w:rsidR="001C0632">
        <w:t>you</w:t>
      </w:r>
      <w:r>
        <w:t xml:space="preserve"> define an issue in a text?</w:t>
      </w:r>
    </w:p>
    <w:p w:rsidR="00E2404D" w:rsidRDefault="001C0632" w:rsidP="00E2404D">
      <w:pPr>
        <w:pStyle w:val="SR"/>
      </w:pPr>
      <w:r>
        <w:t>An issue is a</w:t>
      </w:r>
      <w:r w:rsidR="00465ED9">
        <w:t xml:space="preserve">n important aspect of human society for which there are many different opinions about what to think or do. </w:t>
      </w:r>
    </w:p>
    <w:p w:rsidR="001E0A40" w:rsidRDefault="001E0A40" w:rsidP="00C5528C">
      <w:pPr>
        <w:pStyle w:val="Q"/>
      </w:pPr>
      <w:r>
        <w:t xml:space="preserve">As </w:t>
      </w:r>
      <w:r w:rsidR="001C0632">
        <w:t xml:space="preserve">you </w:t>
      </w:r>
      <w:r>
        <w:t>have explored t</w:t>
      </w:r>
      <w:r w:rsidR="00E2404D">
        <w:t>his text, what are some issues</w:t>
      </w:r>
      <w:r>
        <w:t xml:space="preserve"> that have surfaced?</w:t>
      </w:r>
    </w:p>
    <w:p w:rsidR="0017419D" w:rsidRDefault="0017419D" w:rsidP="00C5528C">
      <w:pPr>
        <w:pStyle w:val="SR"/>
      </w:pPr>
      <w:r>
        <w:t xml:space="preserve">Student responses should include: </w:t>
      </w:r>
    </w:p>
    <w:p w:rsidR="00C5528C" w:rsidRDefault="00C5528C" w:rsidP="0017419D">
      <w:pPr>
        <w:pStyle w:val="SASRBullet"/>
      </w:pPr>
      <w:r>
        <w:t>Do individuals own their tissue?</w:t>
      </w:r>
    </w:p>
    <w:p w:rsidR="00C5528C" w:rsidRDefault="00C5528C" w:rsidP="0017419D">
      <w:pPr>
        <w:pStyle w:val="SASRBullet"/>
      </w:pPr>
      <w:r>
        <w:t>Is it right to use humans in experiments without their knowledge?</w:t>
      </w:r>
    </w:p>
    <w:p w:rsidR="00C5528C" w:rsidRDefault="00C5528C" w:rsidP="0017419D">
      <w:pPr>
        <w:pStyle w:val="SASRBullet"/>
      </w:pPr>
      <w:r>
        <w:t>Should doctors be able to profit from research</w:t>
      </w:r>
      <w:r w:rsidR="00555C1F">
        <w:t xml:space="preserve"> on patients</w:t>
      </w:r>
      <w:r>
        <w:t>?</w:t>
      </w:r>
    </w:p>
    <w:p w:rsidR="00C5528C" w:rsidRDefault="00555C1F" w:rsidP="0017419D">
      <w:pPr>
        <w:pStyle w:val="SASRBullet"/>
      </w:pPr>
      <w:r>
        <w:t>Does patient privacy and consent hinder medical advancement?</w:t>
      </w:r>
    </w:p>
    <w:p w:rsidR="00555C1F" w:rsidRDefault="0079104C" w:rsidP="0017419D">
      <w:pPr>
        <w:pStyle w:val="SASRBullet"/>
      </w:pPr>
      <w:r>
        <w:t xml:space="preserve">Are </w:t>
      </w:r>
      <w:r w:rsidR="00076731">
        <w:t>black patients</w:t>
      </w:r>
      <w:r>
        <w:t xml:space="preserve"> treated differently than white patients?</w:t>
      </w:r>
    </w:p>
    <w:p w:rsidR="000A2F43" w:rsidRDefault="00C8581B" w:rsidP="000A2F43">
      <w:pPr>
        <w:pStyle w:val="IN"/>
      </w:pPr>
      <w:r>
        <w:t xml:space="preserve">If </w:t>
      </w:r>
      <w:r w:rsidR="005D5AE0">
        <w:t>students struggle</w:t>
      </w:r>
      <w:r w:rsidR="00471CEE">
        <w:t xml:space="preserve"> to identify issues in the text</w:t>
      </w:r>
      <w:r w:rsidR="000A2F43">
        <w:t>,</w:t>
      </w:r>
      <w:r w:rsidR="005D5AE0">
        <w:t xml:space="preserve"> consider guiding them </w:t>
      </w:r>
      <w:r w:rsidR="00471CEE">
        <w:t>through sourcing</w:t>
      </w:r>
      <w:r w:rsidR="005D5AE0">
        <w:t xml:space="preserve"> an issue from </w:t>
      </w:r>
      <w:r w:rsidR="00471CEE">
        <w:t>the Surfacing Issues Tool</w:t>
      </w:r>
      <w:r w:rsidR="00E579AC">
        <w:t>,</w:t>
      </w:r>
      <w:r w:rsidR="00471CEE">
        <w:t xml:space="preserve"> </w:t>
      </w:r>
      <w:r w:rsidR="005D5AE0">
        <w:t>or directly pr</w:t>
      </w:r>
      <w:r w:rsidR="00471CEE">
        <w:t>oviding them with an iss</w:t>
      </w:r>
      <w:r w:rsidR="00930BBC">
        <w:t xml:space="preserve">ue from the above list to model </w:t>
      </w:r>
      <w:r w:rsidR="00471CEE">
        <w:t>ideal responses.</w:t>
      </w:r>
    </w:p>
    <w:p w:rsidR="00471CEE" w:rsidRDefault="00471CEE" w:rsidP="0017419D">
      <w:pPr>
        <w:pStyle w:val="TA"/>
      </w:pPr>
      <w:r>
        <w:t>Once students have developed a list of rich and substantial issues</w:t>
      </w:r>
      <w:r w:rsidR="00076731">
        <w:t>,</w:t>
      </w:r>
      <w:r>
        <w:t xml:space="preserve"> continue the discussion by asking the following questions to bring students to a </w:t>
      </w:r>
      <w:r w:rsidR="00076731">
        <w:t>deeper</w:t>
      </w:r>
      <w:r>
        <w:t xml:space="preserve"> understanding of perspective and </w:t>
      </w:r>
      <w:r w:rsidR="003B4387">
        <w:t>claim</w:t>
      </w:r>
      <w:r>
        <w:t>.</w:t>
      </w:r>
      <w:r w:rsidR="00620F72">
        <w:t xml:space="preserve"> </w:t>
      </w:r>
      <w:r w:rsidR="00E579AC">
        <w:t xml:space="preserve">The purpose of these questions is to </w:t>
      </w:r>
      <w:r w:rsidR="00620F72">
        <w:t xml:space="preserve">scaffold towards </w:t>
      </w:r>
      <w:r w:rsidR="0024629D">
        <w:t>sourcing evidence by understanding a writer</w:t>
      </w:r>
      <w:r w:rsidR="00076731">
        <w:t>’</w:t>
      </w:r>
      <w:r w:rsidR="0024629D">
        <w:t xml:space="preserve">s perspective. </w:t>
      </w:r>
    </w:p>
    <w:p w:rsidR="00E2404D" w:rsidRDefault="00E2404D" w:rsidP="00E2404D">
      <w:pPr>
        <w:pStyle w:val="Q"/>
      </w:pPr>
      <w:r>
        <w:t>How is a</w:t>
      </w:r>
      <w:r w:rsidR="00C8581B">
        <w:t xml:space="preserve"> </w:t>
      </w:r>
      <w:r w:rsidR="003B4387">
        <w:t>claim</w:t>
      </w:r>
      <w:r w:rsidR="00C8581B">
        <w:t xml:space="preserve"> distinct from a perspective</w:t>
      </w:r>
      <w:r>
        <w:t>?</w:t>
      </w:r>
    </w:p>
    <w:p w:rsidR="00E2404D" w:rsidRPr="000D3CAF" w:rsidRDefault="00E2404D" w:rsidP="00930BBC">
      <w:pPr>
        <w:pStyle w:val="SR"/>
        <w:rPr>
          <w:rFonts w:ascii="Times" w:hAnsi="Times"/>
          <w:sz w:val="20"/>
          <w:szCs w:val="20"/>
        </w:rPr>
      </w:pPr>
      <w:r>
        <w:t xml:space="preserve">A </w:t>
      </w:r>
      <w:r w:rsidR="003B4387">
        <w:t>claim</w:t>
      </w:r>
      <w:r>
        <w:t xml:space="preserve"> is </w:t>
      </w:r>
      <w:r w:rsidR="00653137">
        <w:t>s</w:t>
      </w:r>
      <w:r w:rsidR="00653137" w:rsidRPr="00653137">
        <w:t xml:space="preserve">omeone’s stance on what to do or think about a clearly defined issue based on their perspective and understanding of it. </w:t>
      </w:r>
      <w:r w:rsidR="00E579AC">
        <w:t>In</w:t>
      </w:r>
      <w:r w:rsidR="00653137" w:rsidRPr="00653137">
        <w:t xml:space="preserve"> argument</w:t>
      </w:r>
      <w:r w:rsidR="000A2F43">
        <w:t>-based</w:t>
      </w:r>
      <w:r w:rsidR="00E579AC">
        <w:t xml:space="preserve"> essays, the writer’s</w:t>
      </w:r>
      <w:r w:rsidR="00653137" w:rsidRPr="00653137">
        <w:t xml:space="preserve"> </w:t>
      </w:r>
      <w:r w:rsidR="003B4387">
        <w:t>claim</w:t>
      </w:r>
      <w:r w:rsidR="00653137" w:rsidRPr="00653137">
        <w:t xml:space="preserve"> may be expressed as a thesis.</w:t>
      </w:r>
      <w:r w:rsidR="000A2F43">
        <w:t xml:space="preserve"> A perspective is </w:t>
      </w:r>
      <w:r w:rsidR="000A2F43" w:rsidRPr="000A2F43">
        <w:rPr>
          <w:rFonts w:asciiTheme="minorHAnsi" w:hAnsiTheme="minorHAnsi" w:cs="Arial"/>
          <w:color w:val="000000"/>
        </w:rPr>
        <w:t>h</w:t>
      </w:r>
      <w:r w:rsidR="000A2F43" w:rsidRPr="000D3CAF">
        <w:rPr>
          <w:rFonts w:asciiTheme="minorHAnsi" w:hAnsiTheme="minorHAnsi" w:cs="Arial"/>
          <w:color w:val="000000"/>
        </w:rPr>
        <w:t xml:space="preserve">ow </w:t>
      </w:r>
      <w:r w:rsidR="00E579AC">
        <w:rPr>
          <w:rFonts w:asciiTheme="minorHAnsi" w:hAnsiTheme="minorHAnsi" w:cs="Arial"/>
          <w:color w:val="000000"/>
        </w:rPr>
        <w:t>someone</w:t>
      </w:r>
      <w:r w:rsidR="000A2F43" w:rsidRPr="000D3CAF">
        <w:rPr>
          <w:rFonts w:asciiTheme="minorHAnsi" w:hAnsiTheme="minorHAnsi" w:cs="Arial"/>
          <w:color w:val="000000"/>
        </w:rPr>
        <w:t xml:space="preserve"> understands an issue, including his</w:t>
      </w:r>
      <w:r w:rsidR="00E579AC">
        <w:rPr>
          <w:rFonts w:asciiTheme="minorHAnsi" w:hAnsiTheme="minorHAnsi" w:cs="Arial"/>
          <w:color w:val="000000"/>
        </w:rPr>
        <w:t xml:space="preserve"> or </w:t>
      </w:r>
      <w:r w:rsidR="000A2F43" w:rsidRPr="000D3CAF">
        <w:rPr>
          <w:rFonts w:asciiTheme="minorHAnsi" w:hAnsiTheme="minorHAnsi" w:cs="Arial"/>
          <w:color w:val="000000"/>
        </w:rPr>
        <w:t>her relationship to and analysis of the issue.</w:t>
      </w:r>
      <w:r w:rsidR="000A2F43" w:rsidRPr="000A2F43">
        <w:rPr>
          <w:rFonts w:ascii="Arial" w:hAnsi="Arial" w:cs="Arial"/>
          <w:color w:val="000000"/>
          <w:sz w:val="23"/>
          <w:szCs w:val="23"/>
        </w:rPr>
        <w:t xml:space="preserve"> </w:t>
      </w:r>
    </w:p>
    <w:p w:rsidR="00E2404D" w:rsidRDefault="006E6B55" w:rsidP="00E2404D">
      <w:pPr>
        <w:pStyle w:val="Q"/>
      </w:pPr>
      <w:r>
        <w:t xml:space="preserve">How would you use an issue to </w:t>
      </w:r>
      <w:r w:rsidR="00B80877">
        <w:t>create</w:t>
      </w:r>
      <w:r>
        <w:t xml:space="preserve"> a </w:t>
      </w:r>
      <w:r w:rsidR="003B4387">
        <w:t>claim</w:t>
      </w:r>
      <w:r>
        <w:t>?</w:t>
      </w:r>
    </w:p>
    <w:p w:rsidR="006E6B55" w:rsidRDefault="006E6B55" w:rsidP="006E6B55">
      <w:pPr>
        <w:pStyle w:val="SR"/>
      </w:pPr>
      <w:r>
        <w:t xml:space="preserve">By taking a </w:t>
      </w:r>
      <w:r w:rsidR="00E579AC">
        <w:t>position</w:t>
      </w:r>
      <w:r>
        <w:t xml:space="preserve"> on the issue. </w:t>
      </w:r>
    </w:p>
    <w:p w:rsidR="006E6B55" w:rsidRDefault="006E6B55" w:rsidP="006E6B55">
      <w:pPr>
        <w:pStyle w:val="Q"/>
      </w:pPr>
      <w:r>
        <w:t xml:space="preserve">How would you transform one of the issues above to form a </w:t>
      </w:r>
      <w:r w:rsidR="003B4387">
        <w:t>claim</w:t>
      </w:r>
      <w:r>
        <w:t>?</w:t>
      </w:r>
    </w:p>
    <w:p w:rsidR="0017419D" w:rsidRDefault="0017419D" w:rsidP="006E6B55">
      <w:pPr>
        <w:pStyle w:val="SR"/>
      </w:pPr>
      <w:r>
        <w:t>Student responses should include:</w:t>
      </w:r>
    </w:p>
    <w:p w:rsidR="006E6B55" w:rsidRDefault="006E6B55" w:rsidP="0017419D">
      <w:pPr>
        <w:pStyle w:val="SASRBullet"/>
      </w:pPr>
      <w:r>
        <w:t xml:space="preserve">An individual does not own their tissue after it leaves </w:t>
      </w:r>
      <w:r w:rsidR="00B80877">
        <w:t>his or her</w:t>
      </w:r>
      <w:r>
        <w:t xml:space="preserve"> body. </w:t>
      </w:r>
    </w:p>
    <w:p w:rsidR="006E6B55" w:rsidRDefault="006E6B55" w:rsidP="0017419D">
      <w:pPr>
        <w:pStyle w:val="SASRBullet"/>
      </w:pPr>
      <w:r>
        <w:t xml:space="preserve">It is never acceptable for doctors to use humans for experiments without their knowledge. </w:t>
      </w:r>
    </w:p>
    <w:p w:rsidR="006E6B55" w:rsidRDefault="006E6B55" w:rsidP="0017419D">
      <w:pPr>
        <w:pStyle w:val="SASRBullet"/>
      </w:pPr>
      <w:r>
        <w:t xml:space="preserve">Doctors should be able to profit from research. </w:t>
      </w:r>
    </w:p>
    <w:p w:rsidR="006E6B55" w:rsidRDefault="006E6B55" w:rsidP="0017419D">
      <w:pPr>
        <w:pStyle w:val="SASRBullet"/>
      </w:pPr>
      <w:r>
        <w:t xml:space="preserve">Patients of color are treated differently than white patients. </w:t>
      </w:r>
    </w:p>
    <w:p w:rsidR="001E0A40" w:rsidRDefault="002A3B11" w:rsidP="0017419D">
      <w:pPr>
        <w:pStyle w:val="IN"/>
      </w:pPr>
      <w:r w:rsidRPr="0017419D">
        <w:t>Consider</w:t>
      </w:r>
      <w:r>
        <w:t xml:space="preserve"> r</w:t>
      </w:r>
      <w:r w:rsidR="001E0A40">
        <w:t>emind</w:t>
      </w:r>
      <w:r>
        <w:t>ing</w:t>
      </w:r>
      <w:r w:rsidR="001E0A40">
        <w:t xml:space="preserve"> students of the previous work done to clarify the role of a </w:t>
      </w:r>
      <w:r w:rsidR="003B4387">
        <w:t>claim</w:t>
      </w:r>
      <w:r w:rsidR="001E0A40">
        <w:t xml:space="preserve"> in a tex</w:t>
      </w:r>
      <w:r w:rsidR="002E7B9A">
        <w:t xml:space="preserve">t in 10.3.1 Lesson </w:t>
      </w:r>
      <w:r w:rsidR="00475AEE">
        <w:t>6</w:t>
      </w:r>
      <w:r w:rsidR="002E7B9A">
        <w:t>.</w:t>
      </w:r>
      <w:r w:rsidR="001C5CAA">
        <w:t xml:space="preserve"> </w:t>
      </w:r>
    </w:p>
    <w:p w:rsidR="00475AEE" w:rsidRDefault="00475AEE" w:rsidP="000D3CAF">
      <w:pPr>
        <w:pStyle w:val="BR"/>
      </w:pPr>
    </w:p>
    <w:p w:rsidR="00C85806" w:rsidRDefault="00C85806" w:rsidP="0017419D">
      <w:pPr>
        <w:pStyle w:val="TA"/>
      </w:pPr>
      <w:r>
        <w:t>Explain the concept of counterclaim</w:t>
      </w:r>
      <w:r w:rsidR="009C4F9F">
        <w:t>s</w:t>
      </w:r>
      <w:r>
        <w:t xml:space="preserve"> and opposing evidence to students. </w:t>
      </w:r>
      <w:r w:rsidR="00E579AC">
        <w:t>Explain</w:t>
      </w:r>
      <w:r w:rsidR="008D6D91">
        <w:t xml:space="preserve"> that a counterclaim is a </w:t>
      </w:r>
      <w:r w:rsidR="003B4387">
        <w:t>statement</w:t>
      </w:r>
      <w:r w:rsidR="008D6D91">
        <w:t xml:space="preserve"> that opposes another </w:t>
      </w:r>
      <w:r w:rsidR="003B4387">
        <w:t>claim</w:t>
      </w:r>
      <w:r w:rsidR="008D6D91">
        <w:t xml:space="preserve">. It is often paired with opposing evidence that calls into question the proof used by a claim. A simple way to think about counterclaims is by </w:t>
      </w:r>
      <w:r w:rsidR="00B80877">
        <w:t>considering</w:t>
      </w:r>
      <w:r w:rsidR="008D6D91">
        <w:t xml:space="preserve"> </w:t>
      </w:r>
      <w:r w:rsidR="003B4387">
        <w:t>claim</w:t>
      </w:r>
      <w:r w:rsidR="009C4F9F">
        <w:t>s</w:t>
      </w:r>
      <w:r w:rsidR="008D6D91">
        <w:t xml:space="preserve"> that </w:t>
      </w:r>
      <w:r w:rsidR="00AA4F28">
        <w:t>are</w:t>
      </w:r>
      <w:r w:rsidR="008D6D91">
        <w:t xml:space="preserve"> opposed to one</w:t>
      </w:r>
      <w:r w:rsidR="00B80877">
        <w:t>’</w:t>
      </w:r>
      <w:r w:rsidR="008D6D91">
        <w:t xml:space="preserve">s own. Model the following </w:t>
      </w:r>
      <w:r w:rsidR="002E7B9A">
        <w:t xml:space="preserve">progression from issue to </w:t>
      </w:r>
      <w:r w:rsidR="008D6D91">
        <w:t xml:space="preserve">claim </w:t>
      </w:r>
      <w:r w:rsidR="002E7B9A">
        <w:t>to</w:t>
      </w:r>
      <w:r w:rsidR="008D6D91">
        <w:t xml:space="preserve"> counter claim </w:t>
      </w:r>
      <w:r w:rsidR="00C96696">
        <w:t>for</w:t>
      </w:r>
      <w:r w:rsidR="008D6D91">
        <w:t xml:space="preserve"> students to deepen their understanding of the </w:t>
      </w:r>
      <w:r w:rsidR="00C96696">
        <w:t>concepts.</w:t>
      </w:r>
    </w:p>
    <w:p w:rsidR="002E7B9A" w:rsidRDefault="002E7B9A" w:rsidP="0017419D">
      <w:pPr>
        <w:pStyle w:val="BulletedList"/>
      </w:pPr>
      <w:r>
        <w:t xml:space="preserve">Issue: Do individuals own their tissue? </w:t>
      </w:r>
    </w:p>
    <w:p w:rsidR="008D6D91" w:rsidRDefault="003B4387" w:rsidP="0017419D">
      <w:pPr>
        <w:pStyle w:val="BulletedList"/>
      </w:pPr>
      <w:r>
        <w:t>Claim</w:t>
      </w:r>
      <w:r w:rsidR="008D6D91">
        <w:t>: Patients should be p</w:t>
      </w:r>
      <w:r w:rsidR="0053215B">
        <w:t>aid for all tissue that is removed</w:t>
      </w:r>
      <w:r w:rsidR="008D6D91">
        <w:t xml:space="preserve"> from their body for research.</w:t>
      </w:r>
    </w:p>
    <w:p w:rsidR="00C85806" w:rsidRDefault="008D6D91" w:rsidP="0017419D">
      <w:pPr>
        <w:pStyle w:val="BulletedList"/>
      </w:pPr>
      <w:r>
        <w:t>Counter</w:t>
      </w:r>
      <w:r w:rsidR="002A0366">
        <w:t>c</w:t>
      </w:r>
      <w:r w:rsidR="003B4387">
        <w:t>laim</w:t>
      </w:r>
      <w:r>
        <w:t xml:space="preserve">: Patients no longer own tissue once it leaves their body. </w:t>
      </w:r>
    </w:p>
    <w:p w:rsidR="006E1E71" w:rsidRDefault="0053215B" w:rsidP="006E1E71">
      <w:pPr>
        <w:pStyle w:val="TA"/>
      </w:pPr>
      <w:r>
        <w:t xml:space="preserve">Ask students the following question: </w:t>
      </w:r>
    </w:p>
    <w:p w:rsidR="009C4F9F" w:rsidRDefault="009C4F9F" w:rsidP="0029663B">
      <w:pPr>
        <w:pStyle w:val="Q"/>
      </w:pPr>
      <w:r>
        <w:t xml:space="preserve">What other </w:t>
      </w:r>
      <w:r w:rsidR="003B4387">
        <w:t>claim</w:t>
      </w:r>
      <w:r>
        <w:t xml:space="preserve">s might challenge the stated </w:t>
      </w:r>
      <w:r w:rsidR="003B4387">
        <w:t>claim</w:t>
      </w:r>
      <w:r>
        <w:t xml:space="preserve"> of “Patients should be paid for all tissue that is taken f</w:t>
      </w:r>
      <w:r w:rsidR="0053215B">
        <w:t>ro</w:t>
      </w:r>
      <w:r>
        <w:t>m their body for research?”</w:t>
      </w:r>
    </w:p>
    <w:p w:rsidR="0053215B" w:rsidRPr="0053215B" w:rsidRDefault="0053215B" w:rsidP="006E1E71">
      <w:pPr>
        <w:pStyle w:val="SR"/>
        <w:rPr>
          <w:b/>
        </w:rPr>
      </w:pPr>
      <w:r w:rsidRPr="0053215B">
        <w:t>Student responses may include:</w:t>
      </w:r>
    </w:p>
    <w:p w:rsidR="009C4F9F" w:rsidRDefault="009C4F9F" w:rsidP="006E1E71">
      <w:pPr>
        <w:pStyle w:val="SASRBullet"/>
      </w:pPr>
      <w:r>
        <w:t>As long as doctors tell patients what they</w:t>
      </w:r>
      <w:r w:rsidR="0053215B">
        <w:t xml:space="preserve"> a</w:t>
      </w:r>
      <w:r>
        <w:t>re doing</w:t>
      </w:r>
      <w:r w:rsidR="00D354D1">
        <w:t>,</w:t>
      </w:r>
      <w:r>
        <w:t xml:space="preserve"> it</w:t>
      </w:r>
      <w:r w:rsidR="0053215B">
        <w:t xml:space="preserve"> i</w:t>
      </w:r>
      <w:r>
        <w:t xml:space="preserve">s all right for them to use </w:t>
      </w:r>
      <w:r w:rsidR="00E579AC">
        <w:t>patient</w:t>
      </w:r>
      <w:r>
        <w:t xml:space="preserve"> tissue. </w:t>
      </w:r>
    </w:p>
    <w:p w:rsidR="009C4F9F" w:rsidRDefault="009C4F9F" w:rsidP="006E1E71">
      <w:pPr>
        <w:pStyle w:val="SASRBullet"/>
      </w:pPr>
      <w:r>
        <w:t xml:space="preserve">It would be too expensive to pay patients for their tissue. </w:t>
      </w:r>
    </w:p>
    <w:p w:rsidR="009C4F9F" w:rsidRDefault="009C4F9F" w:rsidP="006E1E71">
      <w:pPr>
        <w:pStyle w:val="SASRBullet"/>
      </w:pPr>
      <w:r>
        <w:t>Doctors are the ones making discoveries so they have a right to profit off of discoveries.</w:t>
      </w:r>
    </w:p>
    <w:p w:rsidR="00C85806" w:rsidRDefault="00C85806" w:rsidP="00C85806">
      <w:pPr>
        <w:pStyle w:val="BR"/>
      </w:pPr>
    </w:p>
    <w:p w:rsidR="0079104C" w:rsidRDefault="0079104C" w:rsidP="006E1E71">
      <w:pPr>
        <w:pStyle w:val="TA"/>
      </w:pPr>
      <w:r>
        <w:t xml:space="preserve">Explain to students that the following activity will take place over two lessons and </w:t>
      </w:r>
      <w:r w:rsidR="00E579AC">
        <w:t>involves</w:t>
      </w:r>
      <w:r>
        <w:t xml:space="preserve"> both the research component in </w:t>
      </w:r>
      <w:r w:rsidR="00E579AC">
        <w:t xml:space="preserve">this </w:t>
      </w:r>
      <w:r w:rsidR="00861F0C">
        <w:t>lesson</w:t>
      </w:r>
      <w:r>
        <w:t xml:space="preserve"> and the culminating discussion in </w:t>
      </w:r>
      <w:r w:rsidR="00E579AC">
        <w:t>the next one (</w:t>
      </w:r>
      <w:r w:rsidR="00D354D1">
        <w:t>L</w:t>
      </w:r>
      <w:r>
        <w:t>esson 14</w:t>
      </w:r>
      <w:r w:rsidR="00E579AC">
        <w:t>)</w:t>
      </w:r>
      <w:r>
        <w:t>.</w:t>
      </w:r>
      <w:r w:rsidR="001C5CAA">
        <w:t xml:space="preserve"> </w:t>
      </w:r>
    </w:p>
    <w:p w:rsidR="00656516" w:rsidRDefault="00656516" w:rsidP="006E1E71">
      <w:pPr>
        <w:pStyle w:val="SA"/>
      </w:pPr>
      <w:r w:rsidRPr="006E1E71">
        <w:t>Students</w:t>
      </w:r>
      <w:r>
        <w:t xml:space="preserve"> listen.</w:t>
      </w:r>
    </w:p>
    <w:p w:rsidR="00406100" w:rsidRDefault="0025622E" w:rsidP="006E1E71">
      <w:pPr>
        <w:pStyle w:val="TA"/>
      </w:pPr>
      <w:r w:rsidRPr="0079104C">
        <w:t xml:space="preserve">Distribute the Evidence </w:t>
      </w:r>
      <w:r w:rsidR="00C5528C" w:rsidRPr="0079104C">
        <w:t>Identification</w:t>
      </w:r>
      <w:r w:rsidRPr="0079104C">
        <w:t xml:space="preserve"> Tool. Since this is the first time students </w:t>
      </w:r>
      <w:r w:rsidR="00E579AC">
        <w:t>are encountering</w:t>
      </w:r>
      <w:r w:rsidRPr="0079104C">
        <w:t xml:space="preserve"> this tool, briefly review the tool with students. Explain that this tool is a way for them to collect and analyze evidence in the text and draw connections between the evidence they collect</w:t>
      </w:r>
      <w:r w:rsidR="00042C02">
        <w:t xml:space="preserve"> to support a claim</w:t>
      </w:r>
      <w:r w:rsidR="00DB0327">
        <w:t xml:space="preserve"> </w:t>
      </w:r>
      <w:proofErr w:type="spellStart"/>
      <w:r w:rsidR="00DB0327">
        <w:t>Sk</w:t>
      </w:r>
      <w:r w:rsidR="00D354D1">
        <w:t>l</w:t>
      </w:r>
      <w:r w:rsidR="00DB0327">
        <w:t>oot</w:t>
      </w:r>
      <w:proofErr w:type="spellEnd"/>
      <w:r w:rsidR="00DB0327">
        <w:t xml:space="preserve"> presents</w:t>
      </w:r>
      <w:r w:rsidR="00042C02">
        <w:t xml:space="preserve"> </w:t>
      </w:r>
      <w:r w:rsidR="00DB0327">
        <w:t xml:space="preserve">in </w:t>
      </w:r>
      <w:r w:rsidR="00042C02">
        <w:t>the text</w:t>
      </w:r>
      <w:r w:rsidRPr="0079104C">
        <w:t xml:space="preserve">. </w:t>
      </w:r>
    </w:p>
    <w:p w:rsidR="001A32E6" w:rsidRDefault="001A32E6" w:rsidP="000D3CAF">
      <w:pPr>
        <w:pStyle w:val="SA"/>
      </w:pPr>
      <w:r>
        <w:t xml:space="preserve">Students examine the Evidence Identification Tool. </w:t>
      </w:r>
    </w:p>
    <w:p w:rsidR="00DB0327" w:rsidRDefault="00E579AC" w:rsidP="00DB0327">
      <w:pPr>
        <w:pStyle w:val="IN"/>
      </w:pPr>
      <w:r>
        <w:t>Consider reminding</w:t>
      </w:r>
      <w:r w:rsidR="00DB0327">
        <w:t xml:space="preserve"> students that the claims </w:t>
      </w:r>
      <w:proofErr w:type="spellStart"/>
      <w:r w:rsidR="00DB0327">
        <w:t>Skloot</w:t>
      </w:r>
      <w:proofErr w:type="spellEnd"/>
      <w:r w:rsidR="00DB0327">
        <w:t xml:space="preserve"> presents in the text are associated with the various central ideas that have been discussed in previous text analysis lessons. For example, the </w:t>
      </w:r>
      <w:r w:rsidR="00B80877">
        <w:t>claim that a</w:t>
      </w:r>
      <w:r w:rsidR="00DB0327">
        <w:t xml:space="preserve">n individual does not own </w:t>
      </w:r>
      <w:r w:rsidR="00B80877">
        <w:t>his or her tissue after it leaves the</w:t>
      </w:r>
      <w:r w:rsidR="00DB0327">
        <w:t xml:space="preserve"> body is associated with the central idea of tissue ownership. </w:t>
      </w:r>
    </w:p>
    <w:p w:rsidR="004707D1" w:rsidRDefault="00406100" w:rsidP="006E1E71">
      <w:pPr>
        <w:pStyle w:val="TA"/>
      </w:pPr>
      <w:r>
        <w:t xml:space="preserve">Remind students of the criteria used to evaluate </w:t>
      </w:r>
      <w:r w:rsidR="00E579AC">
        <w:t xml:space="preserve">evidence in informational text: </w:t>
      </w:r>
      <w:r>
        <w:t xml:space="preserve">identifying what </w:t>
      </w:r>
      <w:r w:rsidR="003B4387">
        <w:t>claim</w:t>
      </w:r>
      <w:r>
        <w:t xml:space="preserve"> the evidence supports, identifying how the evidence is relevant to the </w:t>
      </w:r>
      <w:r w:rsidR="003B4387">
        <w:t>claim</w:t>
      </w:r>
      <w:r w:rsidR="00B80877">
        <w:t>,</w:t>
      </w:r>
      <w:r>
        <w:t xml:space="preserve"> and </w:t>
      </w:r>
      <w:r w:rsidR="00B80877">
        <w:t xml:space="preserve">explaining </w:t>
      </w:r>
      <w:r>
        <w:t>w</w:t>
      </w:r>
      <w:r w:rsidR="001F6F5E">
        <w:t>h</w:t>
      </w:r>
      <w:r>
        <w:t xml:space="preserve">ether or </w:t>
      </w:r>
      <w:r>
        <w:lastRenderedPageBreak/>
        <w:t xml:space="preserve">not the evidence is sufficient to support the </w:t>
      </w:r>
      <w:r w:rsidR="003B4387">
        <w:t>claim</w:t>
      </w:r>
      <w:r>
        <w:t xml:space="preserve">. </w:t>
      </w:r>
      <w:r w:rsidR="00E579AC">
        <w:t>S</w:t>
      </w:r>
      <w:r>
        <w:t>tudents gain a deeper understanding of what makes an ideal piece of supporting evidence</w:t>
      </w:r>
      <w:r w:rsidR="00E579AC">
        <w:t xml:space="preserve"> by examining how pieces of evidence support a claim and how relevant and sufficient each piece of evidence is</w:t>
      </w:r>
      <w:r>
        <w:t xml:space="preserve">. </w:t>
      </w:r>
    </w:p>
    <w:p w:rsidR="001A32E6" w:rsidRDefault="001A32E6" w:rsidP="0029663B">
      <w:pPr>
        <w:pStyle w:val="IN"/>
      </w:pPr>
      <w:r>
        <w:rPr>
          <w:bCs/>
        </w:rPr>
        <w:t xml:space="preserve">Consider reminding students of the work done in </w:t>
      </w:r>
      <w:r w:rsidR="00E579AC">
        <w:rPr>
          <w:bCs/>
        </w:rPr>
        <w:t>10.3.1 Lesson 6</w:t>
      </w:r>
      <w:r>
        <w:rPr>
          <w:bCs/>
        </w:rPr>
        <w:t xml:space="preserve"> with relevant and sufficient evidence. </w:t>
      </w:r>
    </w:p>
    <w:p w:rsidR="006E6B55" w:rsidRDefault="006E6B55" w:rsidP="006E1E71">
      <w:pPr>
        <w:pStyle w:val="TA"/>
      </w:pPr>
      <w:r w:rsidRPr="0025622E">
        <w:t>Inform students that this tool comprises their assessment for this lesson and that they will submit their to</w:t>
      </w:r>
      <w:r>
        <w:t>ol</w:t>
      </w:r>
      <w:r w:rsidR="00B80877">
        <w:t>s</w:t>
      </w:r>
      <w:r>
        <w:t xml:space="preserve"> at the close of this lesson.</w:t>
      </w:r>
      <w:r w:rsidRPr="0025622E">
        <w:t xml:space="preserve"> </w:t>
      </w:r>
    </w:p>
    <w:p w:rsidR="005306B5" w:rsidRDefault="005306B5" w:rsidP="0029663B">
      <w:pPr>
        <w:pStyle w:val="IN"/>
      </w:pPr>
      <w:r>
        <w:t xml:space="preserve">See the model tool at the end of this lesson for clarification on the layout and use of the Evidence Identification Tool. </w:t>
      </w:r>
    </w:p>
    <w:p w:rsidR="0079104C" w:rsidRDefault="006E6B55" w:rsidP="006E6B55">
      <w:pPr>
        <w:pStyle w:val="IN"/>
      </w:pPr>
      <w:r w:rsidRPr="006E6B55">
        <w:t>If necessary, consider modeling one example of a</w:t>
      </w:r>
      <w:r w:rsidR="00DF4061">
        <w:t xml:space="preserve"> text-based</w:t>
      </w:r>
      <w:r w:rsidRPr="006E6B55">
        <w:t xml:space="preserve"> </w:t>
      </w:r>
      <w:r w:rsidR="003B4387">
        <w:t>claim</w:t>
      </w:r>
      <w:r>
        <w:t xml:space="preserve"> and evidence</w:t>
      </w:r>
      <w:r w:rsidRPr="006E6B55">
        <w:t xml:space="preserve"> before students begin working on this tool in their groups. </w:t>
      </w:r>
    </w:p>
    <w:p w:rsidR="00BB592F" w:rsidRDefault="00E409AA" w:rsidP="00930BBC">
      <w:pPr>
        <w:pStyle w:val="TA"/>
      </w:pPr>
      <w:r>
        <w:t xml:space="preserve">Lead students through an explanation of the components of this tool. </w:t>
      </w:r>
    </w:p>
    <w:p w:rsidR="00A81C2F" w:rsidRDefault="00264EFF" w:rsidP="0029663B">
      <w:pPr>
        <w:pStyle w:val="TA"/>
      </w:pPr>
      <w:r>
        <w:t xml:space="preserve">Explain to students that the goal of the upcoming activity is to source three separate pieces of evidence from the text, two of which support the chosen claim of their group and one piece of evidence that might be used to challenge this claim. Students </w:t>
      </w:r>
      <w:r w:rsidR="001E4971">
        <w:t xml:space="preserve">identify </w:t>
      </w:r>
      <w:r>
        <w:t>evidence</w:t>
      </w:r>
      <w:r w:rsidRPr="0079104C">
        <w:t xml:space="preserve"> and then write a statement </w:t>
      </w:r>
      <w:r w:rsidR="001E4971">
        <w:t xml:space="preserve">connecting the evidence to the claim. </w:t>
      </w:r>
      <w:r>
        <w:t>Students should</w:t>
      </w:r>
      <w:r w:rsidRPr="0079104C">
        <w:t xml:space="preserve"> analyze all of the excerpts from this unit for evidence.</w:t>
      </w:r>
      <w:r>
        <w:t xml:space="preserve"> </w:t>
      </w:r>
      <w:r w:rsidR="00653137">
        <w:t>Encourage students to work together in their groups to vet various pieces of</w:t>
      </w:r>
      <w:r w:rsidR="00042C02">
        <w:t xml:space="preserve"> textual</w:t>
      </w:r>
      <w:r w:rsidR="00653137">
        <w:t xml:space="preserve"> evidence and evaluate </w:t>
      </w:r>
      <w:r w:rsidR="00B80877">
        <w:t>whether they are</w:t>
      </w:r>
      <w:r w:rsidR="00653137">
        <w:t xml:space="preserve"> relevant and sufficient to support </w:t>
      </w:r>
      <w:r w:rsidR="00816527">
        <w:t xml:space="preserve">or counter </w:t>
      </w:r>
      <w:r w:rsidR="00653137">
        <w:t xml:space="preserve">the </w:t>
      </w:r>
      <w:r w:rsidR="003B4387">
        <w:t>claim</w:t>
      </w:r>
      <w:r w:rsidR="00653137">
        <w:t xml:space="preserve">. </w:t>
      </w:r>
    </w:p>
    <w:p w:rsidR="00AB5DE8" w:rsidRDefault="009C4F9F" w:rsidP="00AB5DE8">
      <w:pPr>
        <w:pStyle w:val="IN"/>
      </w:pPr>
      <w:r>
        <w:t>Consider spending a moment to clarify the role of counterevidence for students. Completing the tool does not</w:t>
      </w:r>
      <w:r w:rsidR="005428C3">
        <w:t xml:space="preserve"> require students to develop a counterclaim</w:t>
      </w:r>
      <w:r>
        <w:t xml:space="preserve"> to the one their group is researching but some groups might find </w:t>
      </w:r>
      <w:r w:rsidR="005428C3">
        <w:t>it helpful to develop a counter</w:t>
      </w:r>
      <w:r>
        <w:t xml:space="preserve">claim as a starting point for sourcing </w:t>
      </w:r>
      <w:r w:rsidR="00A14884">
        <w:t>counter</w:t>
      </w:r>
      <w:r>
        <w:t xml:space="preserve">evidence. </w:t>
      </w:r>
    </w:p>
    <w:p w:rsidR="00A14884" w:rsidRDefault="002A1DC8" w:rsidP="00A14884">
      <w:pPr>
        <w:pStyle w:val="IN"/>
      </w:pPr>
      <w:r>
        <w:t>Identifying counterevidence build students’</w:t>
      </w:r>
      <w:r w:rsidR="00A14884">
        <w:t xml:space="preserve"> skill</w:t>
      </w:r>
      <w:r>
        <w:t>s in working with counterclaims</w:t>
      </w:r>
      <w:r w:rsidR="00A14884">
        <w:t>. This scaffolding will help students as they research and write arguments, specifically when focusing on W.9-10.1</w:t>
      </w:r>
      <w:r w:rsidR="00066322">
        <w:t>.</w:t>
      </w:r>
      <w:r w:rsidR="00A14884">
        <w:t>a and W.9-10.1</w:t>
      </w:r>
      <w:r w:rsidR="007563A7">
        <w:t>.</w:t>
      </w:r>
      <w:r w:rsidR="00A14884">
        <w:t>b.</w:t>
      </w:r>
    </w:p>
    <w:p w:rsidR="00264EFF" w:rsidRDefault="00264EFF" w:rsidP="00264EFF">
      <w:pPr>
        <w:pStyle w:val="SA"/>
      </w:pPr>
      <w:r>
        <w:t>Students follow along on their copies of the Evidence Identification Tool.</w:t>
      </w:r>
    </w:p>
    <w:p w:rsidR="00707670" w:rsidRDefault="00707670" w:rsidP="00707670">
      <w:pPr>
        <w:pStyle w:val="LearningSequenceHeader"/>
      </w:pPr>
      <w:r>
        <w:t>Activity 4</w:t>
      </w:r>
      <w:r w:rsidR="00B4758B">
        <w:t xml:space="preserve">: </w:t>
      </w:r>
      <w:r w:rsidR="002A1DC8">
        <w:t>Evidence Identification Tool Activity and Assessment</w:t>
      </w:r>
      <w:r w:rsidR="00C310F9">
        <w:tab/>
      </w:r>
      <w:r w:rsidR="00861F0C">
        <w:t>60</w:t>
      </w:r>
      <w:r w:rsidRPr="00707670">
        <w:t>%</w:t>
      </w:r>
    </w:p>
    <w:p w:rsidR="00365779" w:rsidRDefault="00365779" w:rsidP="00DD6FCC">
      <w:pPr>
        <w:pStyle w:val="TA"/>
      </w:pPr>
      <w:r>
        <w:t xml:space="preserve">Instruct students to take out their annotated excerpts of </w:t>
      </w:r>
      <w:r>
        <w:rPr>
          <w:i/>
        </w:rPr>
        <w:t>The Immortal Life of Henrietta Lacks</w:t>
      </w:r>
      <w:r>
        <w:t>,</w:t>
      </w:r>
      <w:r>
        <w:rPr>
          <w:i/>
        </w:rPr>
        <w:t xml:space="preserve"> </w:t>
      </w:r>
      <w:r>
        <w:t>and all discussion notes, tools, and Quick Writes from the unit</w:t>
      </w:r>
      <w:r w:rsidR="00A14884">
        <w:t xml:space="preserve"> for the</w:t>
      </w:r>
      <w:r w:rsidR="00667B86">
        <w:t xml:space="preserve"> </w:t>
      </w:r>
      <w:r w:rsidR="002A1DC8">
        <w:t>Evidence Identification Tool</w:t>
      </w:r>
      <w:r w:rsidR="00A14884">
        <w:t xml:space="preserve"> activity. </w:t>
      </w:r>
    </w:p>
    <w:p w:rsidR="00667B86" w:rsidRDefault="00667B86" w:rsidP="00667B86">
      <w:pPr>
        <w:pStyle w:val="SA"/>
      </w:pPr>
      <w:r>
        <w:t xml:space="preserve">Students take out their materials. </w:t>
      </w:r>
    </w:p>
    <w:p w:rsidR="00DD6FCC" w:rsidRDefault="00DD6FCC" w:rsidP="00DD6FCC">
      <w:pPr>
        <w:pStyle w:val="TA"/>
      </w:pPr>
      <w:r>
        <w:t>Designate 4</w:t>
      </w:r>
      <w:r w:rsidR="002A1DC8">
        <w:t>–</w:t>
      </w:r>
      <w:r>
        <w:t>5 students</w:t>
      </w:r>
      <w:r w:rsidR="00136047">
        <w:t xml:space="preserve"> per group</w:t>
      </w:r>
      <w:r>
        <w:t xml:space="preserve"> for this </w:t>
      </w:r>
      <w:r w:rsidR="00136047">
        <w:t>activity</w:t>
      </w:r>
      <w:r>
        <w:t xml:space="preserve">. </w:t>
      </w:r>
      <w:r w:rsidR="00653137">
        <w:t>These will se</w:t>
      </w:r>
      <w:r w:rsidR="002A1DC8">
        <w:t>rve as the home groups for the j</w:t>
      </w:r>
      <w:r w:rsidR="00653137">
        <w:t xml:space="preserve">igsaw activity in </w:t>
      </w:r>
      <w:r w:rsidR="002A1DC8">
        <w:t xml:space="preserve">the next </w:t>
      </w:r>
      <w:r w:rsidR="00653137">
        <w:t xml:space="preserve">lesson </w:t>
      </w:r>
      <w:r w:rsidR="002A1DC8">
        <w:t xml:space="preserve">(Lesson </w:t>
      </w:r>
      <w:r w:rsidR="00653137">
        <w:t>14</w:t>
      </w:r>
      <w:r w:rsidR="002A1DC8">
        <w:t>)</w:t>
      </w:r>
      <w:r w:rsidR="00653137">
        <w:t xml:space="preserve">. </w:t>
      </w:r>
      <w:r w:rsidR="002A1DC8">
        <w:t xml:space="preserve">Explain that in this activity, </w:t>
      </w:r>
      <w:r w:rsidR="00FB7695">
        <w:t>s</w:t>
      </w:r>
      <w:r w:rsidR="00C5528C">
        <w:t xml:space="preserve">tudents </w:t>
      </w:r>
      <w:r w:rsidR="002A1DC8">
        <w:t>are</w:t>
      </w:r>
      <w:r w:rsidR="00FB7695">
        <w:t xml:space="preserve"> preparing for a jigsaw</w:t>
      </w:r>
      <w:r w:rsidR="00C5528C">
        <w:t xml:space="preserve"> </w:t>
      </w:r>
      <w:r w:rsidR="00C5528C">
        <w:lastRenderedPageBreak/>
        <w:t xml:space="preserve">discussion </w:t>
      </w:r>
      <w:r w:rsidR="00FB7695">
        <w:t xml:space="preserve">in the following lesson by doing research </w:t>
      </w:r>
      <w:r w:rsidR="003B290D">
        <w:t xml:space="preserve">in </w:t>
      </w:r>
      <w:r w:rsidR="00667B86">
        <w:t xml:space="preserve">home </w:t>
      </w:r>
      <w:r w:rsidR="003B290D">
        <w:t>groups</w:t>
      </w:r>
      <w:r w:rsidR="00C5528C">
        <w:t xml:space="preserve"> </w:t>
      </w:r>
      <w:r w:rsidR="00970EE1">
        <w:t xml:space="preserve">on </w:t>
      </w:r>
      <w:r w:rsidR="002A1DC8">
        <w:t>a</w:t>
      </w:r>
      <w:r w:rsidR="005307B3">
        <w:t xml:space="preserve"> text-based</w:t>
      </w:r>
      <w:r w:rsidR="00970EE1">
        <w:t xml:space="preserve"> </w:t>
      </w:r>
      <w:r w:rsidR="003B4387">
        <w:t>claim</w:t>
      </w:r>
      <w:r w:rsidR="00667B86">
        <w:t xml:space="preserve">. </w:t>
      </w:r>
      <w:r w:rsidR="00FB7695">
        <w:t>In the</w:t>
      </w:r>
      <w:r w:rsidR="00C5528C">
        <w:t xml:space="preserve"> culminat</w:t>
      </w:r>
      <w:r w:rsidR="00FB7695">
        <w:t xml:space="preserve">ing discussion </w:t>
      </w:r>
      <w:r w:rsidR="00970EE1">
        <w:t>(</w:t>
      </w:r>
      <w:r w:rsidR="00FB7695">
        <w:t>occurring in the following lesson</w:t>
      </w:r>
      <w:r w:rsidR="00970EE1">
        <w:t>)</w:t>
      </w:r>
      <w:r w:rsidR="00FB7695">
        <w:t xml:space="preserve"> students will be expected to represent their</w:t>
      </w:r>
      <w:r w:rsidR="005307B3">
        <w:t xml:space="preserve"> text-based</w:t>
      </w:r>
      <w:r w:rsidR="00FB7695">
        <w:t xml:space="preserve"> </w:t>
      </w:r>
      <w:r w:rsidR="003B4387">
        <w:t>claim</w:t>
      </w:r>
      <w:r w:rsidR="00FB7695">
        <w:t xml:space="preserve"> in expert groups as well as respond to counterclaims and answer clarifying questions. </w:t>
      </w:r>
    </w:p>
    <w:p w:rsidR="00BC293F" w:rsidRDefault="00BC293F" w:rsidP="00BC293F">
      <w:pPr>
        <w:pStyle w:val="SA"/>
      </w:pPr>
      <w:r>
        <w:t xml:space="preserve">Students </w:t>
      </w:r>
      <w:proofErr w:type="spellStart"/>
      <w:r>
        <w:t>form</w:t>
      </w:r>
      <w:proofErr w:type="spellEnd"/>
      <w:r>
        <w:t xml:space="preserve"> </w:t>
      </w:r>
      <w:r w:rsidR="00667B86">
        <w:t xml:space="preserve">home </w:t>
      </w:r>
      <w:r>
        <w:t>groups</w:t>
      </w:r>
      <w:r w:rsidR="00667B86">
        <w:t>.</w:t>
      </w:r>
    </w:p>
    <w:p w:rsidR="00FB7695" w:rsidRDefault="00667B86" w:rsidP="00DD6FCC">
      <w:pPr>
        <w:pStyle w:val="TA"/>
      </w:pPr>
      <w:r>
        <w:t>Instruct each</w:t>
      </w:r>
      <w:r w:rsidR="00FB7695">
        <w:t xml:space="preserve"> </w:t>
      </w:r>
      <w:r w:rsidR="00653137">
        <w:t xml:space="preserve">home </w:t>
      </w:r>
      <w:r w:rsidR="00FB7695">
        <w:t>group</w:t>
      </w:r>
      <w:r>
        <w:t xml:space="preserve"> to</w:t>
      </w:r>
      <w:r w:rsidR="00FB7695">
        <w:t xml:space="preserve"> select a </w:t>
      </w:r>
      <w:r w:rsidR="003B4387">
        <w:t>claim</w:t>
      </w:r>
      <w:r w:rsidR="00FB7695">
        <w:t xml:space="preserve"> </w:t>
      </w:r>
      <w:r w:rsidR="002A1DC8">
        <w:t>from</w:t>
      </w:r>
      <w:r w:rsidR="00FB7695">
        <w:t xml:space="preserve"> the text. Selected </w:t>
      </w:r>
      <w:r w:rsidR="003B4387">
        <w:t>claim</w:t>
      </w:r>
      <w:r w:rsidR="00FB7695">
        <w:t xml:space="preserve">s should have the required depth of evidence to support the completion of an Evidence Identification Tool. </w:t>
      </w:r>
    </w:p>
    <w:p w:rsidR="00667B86" w:rsidRDefault="00667B86" w:rsidP="00DD6FCC">
      <w:pPr>
        <w:pStyle w:val="SA"/>
      </w:pPr>
      <w:r>
        <w:t xml:space="preserve">Student groups select a </w:t>
      </w:r>
      <w:r w:rsidR="003B4387">
        <w:t>claim</w:t>
      </w:r>
      <w:r>
        <w:t xml:space="preserve"> </w:t>
      </w:r>
      <w:r w:rsidR="002A1DC8">
        <w:t>from</w:t>
      </w:r>
      <w:r w:rsidR="005307B3">
        <w:t xml:space="preserve"> the text </w:t>
      </w:r>
      <w:r>
        <w:t xml:space="preserve">and fill out the </w:t>
      </w:r>
      <w:r w:rsidR="003B4387">
        <w:t>claim</w:t>
      </w:r>
      <w:r>
        <w:t xml:space="preserve"> section of their Evidence Identification Tool.</w:t>
      </w:r>
    </w:p>
    <w:p w:rsidR="00FB7695" w:rsidRDefault="00FB7695" w:rsidP="00DD6FCC">
      <w:pPr>
        <w:pStyle w:val="IN"/>
      </w:pPr>
      <w:r>
        <w:t>If necessary</w:t>
      </w:r>
      <w:r w:rsidR="00970EE1">
        <w:t>,</w:t>
      </w:r>
      <w:r>
        <w:t xml:space="preserve"> consider assigning a </w:t>
      </w:r>
      <w:r w:rsidR="003B4387">
        <w:t>claim</w:t>
      </w:r>
      <w:r w:rsidR="002A1DC8">
        <w:t xml:space="preserve"> to each group </w:t>
      </w:r>
      <w:r w:rsidR="00041521">
        <w:t>from the list of</w:t>
      </w:r>
      <w:r w:rsidR="002A1DC8">
        <w:t xml:space="preserve"> </w:t>
      </w:r>
      <w:r>
        <w:t>examples</w:t>
      </w:r>
      <w:r w:rsidR="002A1DC8">
        <w:t xml:space="preserve"> </w:t>
      </w:r>
      <w:r w:rsidR="00041521">
        <w:t xml:space="preserve">in </w:t>
      </w:r>
      <w:r w:rsidR="002A1DC8">
        <w:t>the previous activity (Identifying Claims and Evidence in the Text)</w:t>
      </w:r>
      <w:r>
        <w:t>.</w:t>
      </w:r>
    </w:p>
    <w:p w:rsidR="00747B84" w:rsidRDefault="00747B84" w:rsidP="00B46A67">
      <w:pPr>
        <w:pStyle w:val="IN"/>
        <w:numPr>
          <w:ilvl w:val="0"/>
          <w:numId w:val="1"/>
        </w:numPr>
        <w:ind w:left="360"/>
      </w:pPr>
      <w:r>
        <w:t xml:space="preserve">Consider reminding students of their previous work with standard SL.9-10.1, which requires that students participate in collaborative discussions, building on each other’s ideas and expressing their own clearly and persuasively. </w:t>
      </w:r>
    </w:p>
    <w:p w:rsidR="00892CE7" w:rsidRDefault="00041521" w:rsidP="006E1E71">
      <w:pPr>
        <w:pStyle w:val="TA"/>
      </w:pPr>
      <w:r>
        <w:t xml:space="preserve">Instruct student groups to </w:t>
      </w:r>
      <w:r w:rsidR="001E0A40">
        <w:t xml:space="preserve">focus on identifying supporting evidence </w:t>
      </w:r>
      <w:r>
        <w:t xml:space="preserve">for their claim </w:t>
      </w:r>
      <w:r w:rsidR="001E0A40">
        <w:t xml:space="preserve">in the text. </w:t>
      </w:r>
      <w:r w:rsidR="00C5528C">
        <w:t xml:space="preserve">This </w:t>
      </w:r>
      <w:r w:rsidR="00C5528C" w:rsidRPr="006E1E71">
        <w:t>information</w:t>
      </w:r>
      <w:r w:rsidR="00C5528C">
        <w:t xml:space="preserve"> should be used</w:t>
      </w:r>
      <w:r w:rsidR="00AC21F7">
        <w:t xml:space="preserve"> to</w:t>
      </w:r>
      <w:r w:rsidR="00C5528C">
        <w:t xml:space="preserve"> </w:t>
      </w:r>
      <w:r w:rsidR="00BC293F">
        <w:t>complete each</w:t>
      </w:r>
      <w:r w:rsidR="00C5528C">
        <w:t xml:space="preserve"> student’s individual Evidence Identification </w:t>
      </w:r>
      <w:r w:rsidR="00F7742B">
        <w:t>T</w:t>
      </w:r>
      <w:r w:rsidR="00C5528C">
        <w:t xml:space="preserve">ool. Students should work together to find as many supporting pieces of evidence as possible, focusing on </w:t>
      </w:r>
      <w:r w:rsidR="00DF32F5">
        <w:t>how</w:t>
      </w:r>
      <w:r w:rsidR="00C5528C">
        <w:t xml:space="preserve"> </w:t>
      </w:r>
      <w:r w:rsidR="005428C3">
        <w:t>relevan</w:t>
      </w:r>
      <w:r w:rsidR="00DF32F5">
        <w:t>t</w:t>
      </w:r>
      <w:r w:rsidR="00BC293F">
        <w:t xml:space="preserve"> and sufficien</w:t>
      </w:r>
      <w:r w:rsidR="00DF32F5">
        <w:t>t</w:t>
      </w:r>
      <w:r w:rsidR="00C5528C">
        <w:t xml:space="preserve"> the evidence </w:t>
      </w:r>
      <w:r w:rsidR="00DF32F5">
        <w:t>is</w:t>
      </w:r>
      <w:r w:rsidR="00C5528C">
        <w:t>.</w:t>
      </w:r>
      <w:r w:rsidR="00B7709D">
        <w:t xml:space="preserve"> </w:t>
      </w:r>
      <w:r w:rsidR="00892CE7">
        <w:t xml:space="preserve">Prompt students to discuss in their groups the </w:t>
      </w:r>
      <w:r w:rsidR="00470566">
        <w:t xml:space="preserve">connections between these pieces of evidence and </w:t>
      </w:r>
      <w:r w:rsidR="005428C3">
        <w:t>the purpose(s) the evidence serves in the text,</w:t>
      </w:r>
      <w:r w:rsidR="00DB0327">
        <w:t xml:space="preserve"> in order</w:t>
      </w:r>
      <w:r w:rsidR="00470566">
        <w:t xml:space="preserve"> to draft a connection statement. </w:t>
      </w:r>
    </w:p>
    <w:p w:rsidR="00A648F9" w:rsidRDefault="00A648F9" w:rsidP="00707670">
      <w:pPr>
        <w:pStyle w:val="SA"/>
      </w:pPr>
      <w:r>
        <w:t>Students work in groups to complete the Evidence Identification Tool.</w:t>
      </w:r>
    </w:p>
    <w:p w:rsidR="00DB0327" w:rsidRDefault="00DB0327" w:rsidP="00DB0327">
      <w:pPr>
        <w:pStyle w:val="TA"/>
      </w:pPr>
      <w:r>
        <w:t xml:space="preserve">Remind students that the Evidence Identification Tool will aid in identifying and analyzing evidence that can be used in the following lesson’s writing activity, </w:t>
      </w:r>
      <w:r w:rsidR="005428C3">
        <w:t>in support of</w:t>
      </w:r>
      <w:r>
        <w:t xml:space="preserve"> </w:t>
      </w:r>
      <w:r w:rsidR="005428C3">
        <w:t>W</w:t>
      </w:r>
      <w:r>
        <w:t>.9-10.9</w:t>
      </w:r>
      <w:r w:rsidR="005428C3">
        <w:t>.b.</w:t>
      </w:r>
    </w:p>
    <w:p w:rsidR="00DB0327" w:rsidRDefault="00DB0327" w:rsidP="00DB0327">
      <w:pPr>
        <w:pStyle w:val="SA"/>
      </w:pPr>
      <w:proofErr w:type="gramStart"/>
      <w:r>
        <w:t>Student listen</w:t>
      </w:r>
      <w:proofErr w:type="gramEnd"/>
      <w:r>
        <w:t>.</w:t>
      </w:r>
    </w:p>
    <w:p w:rsidR="00747B84" w:rsidRDefault="00747B84" w:rsidP="00E409AA">
      <w:pPr>
        <w:pStyle w:val="IN"/>
      </w:pPr>
      <w:r>
        <w:t xml:space="preserve">Circulate </w:t>
      </w:r>
      <w:r w:rsidR="00E409AA">
        <w:t>during th</w:t>
      </w:r>
      <w:r w:rsidR="00DB0327">
        <w:t>e activity</w:t>
      </w:r>
      <w:r w:rsidR="00E409AA">
        <w:t xml:space="preserve"> to address student questions or concerns. </w:t>
      </w:r>
    </w:p>
    <w:p w:rsidR="00E409AA" w:rsidRDefault="00747B84" w:rsidP="00E409AA">
      <w:pPr>
        <w:pStyle w:val="IN"/>
      </w:pPr>
      <w:r w:rsidRPr="005428C3">
        <w:rPr>
          <w:b/>
        </w:rPr>
        <w:t>Differentiation Consideration:</w:t>
      </w:r>
      <w:r>
        <w:t xml:space="preserve"> </w:t>
      </w:r>
      <w:r w:rsidR="00E409AA">
        <w:t xml:space="preserve">If groups struggle with finding evidence for their </w:t>
      </w:r>
      <w:r w:rsidR="003B4387">
        <w:t>claim</w:t>
      </w:r>
      <w:r w:rsidR="00735658">
        <w:t>,</w:t>
      </w:r>
      <w:r w:rsidR="00E409AA">
        <w:t xml:space="preserve"> consider asking </w:t>
      </w:r>
      <w:r w:rsidR="005428C3">
        <w:t>the following questions:</w:t>
      </w:r>
      <w:r w:rsidR="00E409AA">
        <w:t xml:space="preserve"> </w:t>
      </w:r>
    </w:p>
    <w:p w:rsidR="00E409AA" w:rsidRPr="000777D6" w:rsidRDefault="00E409AA" w:rsidP="000777D6">
      <w:pPr>
        <w:pStyle w:val="BulletedList"/>
        <w:ind w:left="720"/>
        <w:rPr>
          <w:color w:val="4F81BD" w:themeColor="accent1"/>
        </w:rPr>
      </w:pPr>
      <w:r w:rsidRPr="000777D6">
        <w:rPr>
          <w:color w:val="4F81BD" w:themeColor="accent1"/>
        </w:rPr>
        <w:t>Where in the excerpts did we encounter this issue?</w:t>
      </w:r>
    </w:p>
    <w:p w:rsidR="00E409AA" w:rsidRPr="000777D6" w:rsidRDefault="006C0D2A" w:rsidP="000777D6">
      <w:pPr>
        <w:pStyle w:val="BulletedList"/>
        <w:ind w:left="720"/>
        <w:rPr>
          <w:color w:val="4F81BD" w:themeColor="accent1"/>
        </w:rPr>
      </w:pPr>
      <w:r w:rsidRPr="000777D6">
        <w:rPr>
          <w:color w:val="4F81BD" w:themeColor="accent1"/>
        </w:rPr>
        <w:t>What examples does the text use when talking about this issue?</w:t>
      </w:r>
    </w:p>
    <w:p w:rsidR="006C0D2A" w:rsidRPr="000777D6" w:rsidRDefault="0059477A" w:rsidP="000777D6">
      <w:pPr>
        <w:pStyle w:val="BulletedList"/>
        <w:ind w:left="720"/>
        <w:rPr>
          <w:color w:val="4F81BD" w:themeColor="accent1"/>
        </w:rPr>
      </w:pPr>
      <w:r w:rsidRPr="000777D6">
        <w:rPr>
          <w:color w:val="4F81BD" w:themeColor="accent1"/>
        </w:rPr>
        <w:t xml:space="preserve">Why does </w:t>
      </w:r>
      <w:proofErr w:type="spellStart"/>
      <w:r w:rsidRPr="000777D6">
        <w:rPr>
          <w:color w:val="4F81BD" w:themeColor="accent1"/>
        </w:rPr>
        <w:t>Skloot</w:t>
      </w:r>
      <w:proofErr w:type="spellEnd"/>
      <w:r w:rsidRPr="000777D6">
        <w:rPr>
          <w:color w:val="4F81BD" w:themeColor="accent1"/>
        </w:rPr>
        <w:t xml:space="preserve"> use these examples in talking about th</w:t>
      </w:r>
      <w:r w:rsidR="00735658" w:rsidRPr="000777D6">
        <w:rPr>
          <w:color w:val="4F81BD" w:themeColor="accent1"/>
        </w:rPr>
        <w:t>is</w:t>
      </w:r>
      <w:r w:rsidRPr="000777D6">
        <w:rPr>
          <w:color w:val="4F81BD" w:themeColor="accent1"/>
        </w:rPr>
        <w:t xml:space="preserve"> issue?</w:t>
      </w:r>
    </w:p>
    <w:p w:rsidR="00707670" w:rsidRDefault="00892CE7" w:rsidP="00707670">
      <w:pPr>
        <w:pStyle w:val="TA"/>
      </w:pPr>
      <w:r>
        <w:t>Collect completed</w:t>
      </w:r>
      <w:r w:rsidR="00DC1E27">
        <w:t xml:space="preserve"> Evidence Identification</w:t>
      </w:r>
      <w:r>
        <w:t xml:space="preserve"> </w:t>
      </w:r>
      <w:r w:rsidR="00DC1E27">
        <w:t>T</w:t>
      </w:r>
      <w:r>
        <w:t xml:space="preserve">ools from students as the assessment for this lesson. </w:t>
      </w:r>
    </w:p>
    <w:p w:rsidR="00DB0327" w:rsidRDefault="00C310F9" w:rsidP="0025622E">
      <w:pPr>
        <w:pStyle w:val="SA"/>
      </w:pPr>
      <w:r>
        <w:t xml:space="preserve">Students turn in completed Evidence Identification Tools. </w:t>
      </w:r>
    </w:p>
    <w:p w:rsidR="009403AD" w:rsidRPr="00563CB8" w:rsidRDefault="0025622E" w:rsidP="00CE2836">
      <w:pPr>
        <w:pStyle w:val="LearningSequenceHeader"/>
      </w:pPr>
      <w:r>
        <w:lastRenderedPageBreak/>
        <w:t xml:space="preserve">Activity </w:t>
      </w:r>
      <w:r w:rsidR="00785C71">
        <w:t>5</w:t>
      </w:r>
      <w:r w:rsidR="009403AD" w:rsidRPr="00563CB8">
        <w:t xml:space="preserve">: </w:t>
      </w:r>
      <w:r w:rsidR="009403AD">
        <w:t>Closing</w:t>
      </w:r>
      <w:r w:rsidR="009403AD" w:rsidRPr="00563CB8">
        <w:tab/>
      </w:r>
      <w:r w:rsidR="009403AD">
        <w:t>5</w:t>
      </w:r>
      <w:r w:rsidR="009403AD" w:rsidRPr="00563CB8">
        <w:t>%</w:t>
      </w:r>
    </w:p>
    <w:p w:rsidR="00A81C2F" w:rsidRDefault="00A81C2F" w:rsidP="00A81C2F">
      <w:pPr>
        <w:pStyle w:val="TA"/>
      </w:pPr>
      <w:r w:rsidRPr="00491442">
        <w:t xml:space="preserve">Display and distribute the homework assignment. For homework, instruct students to continue with their pre-searches. Ask students to find three more potential sources and record the </w:t>
      </w:r>
      <w:r>
        <w:t>following</w:t>
      </w:r>
      <w:r w:rsidRPr="00491442">
        <w:t xml:space="preserve"> information</w:t>
      </w:r>
      <w:r w:rsidR="00041521">
        <w:t xml:space="preserve"> on a Pre-Search Tool</w:t>
      </w:r>
      <w:r w:rsidRPr="00491442">
        <w:t>: author’s name, topic, source, location, publication date, and general content/key ideas</w:t>
      </w:r>
      <w:r>
        <w:t>.</w:t>
      </w:r>
      <w:r w:rsidRPr="00491442">
        <w:t xml:space="preserve"> </w:t>
      </w:r>
      <w:r w:rsidR="00041521">
        <w:t>Instruct</w:t>
      </w:r>
      <w:r w:rsidRPr="00491442">
        <w:t xml:space="preserve"> students to continue to consider an </w:t>
      </w:r>
      <w:r w:rsidRPr="00041521">
        <w:t>author’s perspective</w:t>
      </w:r>
      <w:r w:rsidRPr="00491442">
        <w:t xml:space="preserve"> and, when appropriate, summarize it in the margins of the Pre-Search Tool.</w:t>
      </w:r>
      <w:r>
        <w:t xml:space="preserve"> Finally</w:t>
      </w:r>
      <w:r w:rsidR="00041521">
        <w:t>, instruct</w:t>
      </w:r>
      <w:r>
        <w:t xml:space="preserve"> students to continue adding to their vocabulary journal when appropriate. </w:t>
      </w:r>
    </w:p>
    <w:p w:rsidR="003B4387" w:rsidRDefault="003B4387" w:rsidP="000D3CAF">
      <w:pPr>
        <w:pStyle w:val="IN"/>
      </w:pPr>
      <w:r>
        <w:t xml:space="preserve">In preparation for the activity in </w:t>
      </w:r>
      <w:r w:rsidR="000777D6">
        <w:t xml:space="preserve">10.3.1 </w:t>
      </w:r>
      <w:r>
        <w:t>Lesson 14</w:t>
      </w:r>
      <w:r w:rsidR="00DF32F5">
        <w:t xml:space="preserve">, </w:t>
      </w:r>
      <w:r>
        <w:t xml:space="preserve">students will need access to their </w:t>
      </w:r>
      <w:r w:rsidRPr="003B4387">
        <w:t>discussion notes, tools, and Quick Writes from the unit</w:t>
      </w:r>
      <w:r>
        <w:t xml:space="preserve">. Ensure that students have access to these materials. If students have been </w:t>
      </w:r>
      <w:r w:rsidR="005428C3">
        <w:t>keeping their</w:t>
      </w:r>
      <w:r>
        <w:t xml:space="preserve"> own notes via a portfolio or other tool</w:t>
      </w:r>
      <w:r w:rsidR="0046500A">
        <w:t>,</w:t>
      </w:r>
      <w:r>
        <w:t xml:space="preserve"> instruct students to bring this to class for Lesson 14. </w:t>
      </w:r>
    </w:p>
    <w:p w:rsidR="00D24585" w:rsidRDefault="00D24585" w:rsidP="00D24585">
      <w:pPr>
        <w:pStyle w:val="IN"/>
      </w:pPr>
      <w:r>
        <w:t>Consider reminding students to use the vocabulary strategies in standards L.9-10.4</w:t>
      </w:r>
      <w:r w:rsidR="00DF32F5">
        <w:t>.</w:t>
      </w:r>
      <w:r w:rsidR="0095440E">
        <w:t xml:space="preserve">a, c, </w:t>
      </w:r>
      <w:proofErr w:type="gramStart"/>
      <w:r w:rsidR="0095440E">
        <w:t>d</w:t>
      </w:r>
      <w:proofErr w:type="gramEnd"/>
      <w:r w:rsidR="0095440E">
        <w:t xml:space="preserve"> when completing the vocabulary j</w:t>
      </w:r>
      <w:r>
        <w:t xml:space="preserve">ournal. </w:t>
      </w:r>
    </w:p>
    <w:p w:rsidR="006B32EB" w:rsidRDefault="00A81C2F" w:rsidP="0029663B">
      <w:pPr>
        <w:pStyle w:val="SA"/>
      </w:pPr>
      <w:r>
        <w:t>Students</w:t>
      </w:r>
      <w:r w:rsidR="0046500A">
        <w:t xml:space="preserve"> follow along</w:t>
      </w:r>
      <w:r>
        <w:t xml:space="preserve">. </w:t>
      </w:r>
    </w:p>
    <w:p w:rsidR="00C4787C" w:rsidRDefault="00C4787C" w:rsidP="00E946A0">
      <w:pPr>
        <w:pStyle w:val="Heading1"/>
      </w:pPr>
      <w:r>
        <w:t>Homework</w:t>
      </w:r>
    </w:p>
    <w:p w:rsidR="0000054B" w:rsidRDefault="00A81C2F" w:rsidP="0053212F">
      <w:r>
        <w:t xml:space="preserve">Continue with your pre-searches. Find three more potential sources and record the following information: author’s name, topic, source, location, publication date, and general content/key ideas on the Pre-Search Tool. Be sure to also consider an author’s </w:t>
      </w:r>
      <w:r>
        <w:rPr>
          <w:i/>
        </w:rPr>
        <w:t>perspective</w:t>
      </w:r>
      <w:r>
        <w:t>, and, when appropriate, summarize it in the margins of the Pre-Search Tool.</w:t>
      </w:r>
      <w:r w:rsidRPr="00491442">
        <w:t xml:space="preserve"> </w:t>
      </w:r>
      <w:r>
        <w:t>Continue adding to your vocabulary journal when appropriate.</w:t>
      </w:r>
    </w:p>
    <w:p w:rsidR="006E22F0" w:rsidRDefault="005837C5" w:rsidP="006E22F0">
      <w:pPr>
        <w:pStyle w:val="ToolHeader"/>
      </w:pPr>
      <w:r>
        <w:rPr>
          <w:i/>
        </w:rPr>
        <w:br w:type="page"/>
      </w:r>
      <w:r w:rsidR="00B4758B">
        <w:lastRenderedPageBreak/>
        <w:t xml:space="preserve">Evidence </w:t>
      </w:r>
      <w:r w:rsidR="00A36415">
        <w:t>Identification</w:t>
      </w:r>
      <w:r w:rsidR="006E22F0">
        <w:t xml:space="preserve"> Tool</w:t>
      </w:r>
    </w:p>
    <w:tbl>
      <w:tblPr>
        <w:tblW w:w="93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060"/>
        <w:gridCol w:w="2500"/>
        <w:gridCol w:w="960"/>
        <w:gridCol w:w="2760"/>
        <w:gridCol w:w="720"/>
        <w:gridCol w:w="1370"/>
      </w:tblGrid>
      <w:tr w:rsidR="006E22F0" w:rsidTr="00627010">
        <w:trPr>
          <w:trHeight w:val="340"/>
        </w:trPr>
        <w:tc>
          <w:tcPr>
            <w:tcW w:w="1060" w:type="dxa"/>
            <w:shd w:val="clear" w:color="auto" w:fill="D9D9D9"/>
            <w:tcMar>
              <w:top w:w="100" w:type="dxa"/>
              <w:left w:w="108" w:type="dxa"/>
              <w:bottom w:w="100" w:type="dxa"/>
              <w:right w:w="108" w:type="dxa"/>
            </w:tcMar>
          </w:tcPr>
          <w:p w:rsidR="006E22F0" w:rsidRDefault="006E22F0" w:rsidP="00F21FC7">
            <w:pPr>
              <w:pStyle w:val="Normal1"/>
            </w:pPr>
            <w:r>
              <w:rPr>
                <w:b/>
              </w:rPr>
              <w:t>Name:</w:t>
            </w:r>
          </w:p>
        </w:tc>
        <w:tc>
          <w:tcPr>
            <w:tcW w:w="2500" w:type="dxa"/>
            <w:tcMar>
              <w:top w:w="100" w:type="dxa"/>
              <w:left w:w="108" w:type="dxa"/>
              <w:bottom w:w="100" w:type="dxa"/>
              <w:right w:w="108" w:type="dxa"/>
            </w:tcMar>
          </w:tcPr>
          <w:p w:rsidR="006E22F0" w:rsidRDefault="006E22F0" w:rsidP="00F21FC7">
            <w:pPr>
              <w:pStyle w:val="Normal1"/>
            </w:pPr>
          </w:p>
        </w:tc>
        <w:tc>
          <w:tcPr>
            <w:tcW w:w="960" w:type="dxa"/>
            <w:shd w:val="clear" w:color="auto" w:fill="D9D9D9"/>
            <w:tcMar>
              <w:top w:w="100" w:type="dxa"/>
              <w:left w:w="108" w:type="dxa"/>
              <w:bottom w:w="100" w:type="dxa"/>
              <w:right w:w="108" w:type="dxa"/>
            </w:tcMar>
          </w:tcPr>
          <w:p w:rsidR="006E22F0" w:rsidRDefault="006E22F0" w:rsidP="00F21FC7">
            <w:pPr>
              <w:pStyle w:val="Normal1"/>
            </w:pPr>
            <w:r>
              <w:rPr>
                <w:b/>
              </w:rPr>
              <w:t>Class:</w:t>
            </w:r>
          </w:p>
        </w:tc>
        <w:tc>
          <w:tcPr>
            <w:tcW w:w="2760" w:type="dxa"/>
            <w:tcMar>
              <w:top w:w="100" w:type="dxa"/>
              <w:left w:w="108" w:type="dxa"/>
              <w:bottom w:w="100" w:type="dxa"/>
              <w:right w:w="108" w:type="dxa"/>
            </w:tcMar>
          </w:tcPr>
          <w:p w:rsidR="006E22F0" w:rsidRDefault="006E22F0" w:rsidP="00F21FC7">
            <w:pPr>
              <w:pStyle w:val="Normal1"/>
            </w:pPr>
          </w:p>
        </w:tc>
        <w:tc>
          <w:tcPr>
            <w:tcW w:w="720" w:type="dxa"/>
            <w:shd w:val="clear" w:color="auto" w:fill="D9D9D9"/>
            <w:tcMar>
              <w:top w:w="100" w:type="dxa"/>
              <w:left w:w="108" w:type="dxa"/>
              <w:bottom w:w="100" w:type="dxa"/>
              <w:right w:w="108" w:type="dxa"/>
            </w:tcMar>
          </w:tcPr>
          <w:p w:rsidR="006E22F0" w:rsidRDefault="006E22F0" w:rsidP="00F21FC7">
            <w:pPr>
              <w:pStyle w:val="Normal1"/>
            </w:pPr>
            <w:r>
              <w:rPr>
                <w:b/>
              </w:rPr>
              <w:t>Date:</w:t>
            </w:r>
          </w:p>
        </w:tc>
        <w:tc>
          <w:tcPr>
            <w:tcW w:w="1370" w:type="dxa"/>
            <w:tcMar>
              <w:top w:w="100" w:type="dxa"/>
              <w:left w:w="108" w:type="dxa"/>
              <w:bottom w:w="100" w:type="dxa"/>
              <w:right w:w="108" w:type="dxa"/>
            </w:tcMar>
          </w:tcPr>
          <w:p w:rsidR="006E22F0" w:rsidRDefault="006E22F0" w:rsidP="00F21FC7">
            <w:pPr>
              <w:pStyle w:val="Normal1"/>
            </w:pPr>
          </w:p>
        </w:tc>
      </w:tr>
    </w:tbl>
    <w:p w:rsidR="006E22F0" w:rsidRPr="00BC1161" w:rsidRDefault="006E22F0" w:rsidP="006E22F0">
      <w:pPr>
        <w:spacing w:before="0" w:after="0"/>
        <w:rPr>
          <w:b/>
          <w:sz w:val="10"/>
          <w:szCs w:val="10"/>
        </w:rPr>
      </w:pPr>
    </w:p>
    <w:p w:rsidR="006E22F0" w:rsidRDefault="003B4387" w:rsidP="006E22F0">
      <w:r>
        <w:rPr>
          <w:b/>
        </w:rPr>
        <w:t>Claim</w:t>
      </w:r>
      <w:r w:rsidR="006E22F0">
        <w:rPr>
          <w:b/>
        </w:rPr>
        <w:t>:</w:t>
      </w:r>
      <w:r w:rsidR="006E22F0">
        <w:t xml:space="preserve"> </w:t>
      </w: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00"/>
        <w:gridCol w:w="4770"/>
      </w:tblGrid>
      <w:tr w:rsidR="00900694" w:rsidRPr="006E1E71" w:rsidTr="00627010">
        <w:trPr>
          <w:trHeight w:val="432"/>
        </w:trPr>
        <w:tc>
          <w:tcPr>
            <w:tcW w:w="4600" w:type="dxa"/>
            <w:shd w:val="clear" w:color="auto" w:fill="D9D9D9" w:themeFill="background1" w:themeFillShade="D9"/>
            <w:tcMar>
              <w:top w:w="100" w:type="dxa"/>
              <w:left w:w="100" w:type="dxa"/>
              <w:bottom w:w="100" w:type="dxa"/>
              <w:right w:w="100" w:type="dxa"/>
            </w:tcMar>
          </w:tcPr>
          <w:p w:rsidR="00900694" w:rsidRPr="006E1E71" w:rsidRDefault="00900694" w:rsidP="00C82024">
            <w:pPr>
              <w:pStyle w:val="ToolTableText"/>
              <w:rPr>
                <w:b/>
              </w:rPr>
            </w:pPr>
            <w:r w:rsidRPr="006E1E71">
              <w:rPr>
                <w:b/>
              </w:rPr>
              <w:t>Evidence</w:t>
            </w:r>
          </w:p>
        </w:tc>
        <w:tc>
          <w:tcPr>
            <w:tcW w:w="4770" w:type="dxa"/>
            <w:shd w:val="clear" w:color="auto" w:fill="D9D9D9" w:themeFill="background1" w:themeFillShade="D9"/>
            <w:tcMar>
              <w:top w:w="100" w:type="dxa"/>
              <w:left w:w="100" w:type="dxa"/>
              <w:bottom w:w="100" w:type="dxa"/>
              <w:right w:w="100" w:type="dxa"/>
            </w:tcMar>
          </w:tcPr>
          <w:p w:rsidR="00900694" w:rsidRPr="006E1E71" w:rsidRDefault="00900694" w:rsidP="00C82024">
            <w:pPr>
              <w:pStyle w:val="ToolTableText"/>
              <w:rPr>
                <w:b/>
              </w:rPr>
            </w:pPr>
            <w:r w:rsidRPr="006E1E71">
              <w:rPr>
                <w:b/>
              </w:rPr>
              <w:t xml:space="preserve">How does the evidence support the </w:t>
            </w:r>
            <w:r w:rsidR="003B4387" w:rsidRPr="006E1E71">
              <w:rPr>
                <w:b/>
              </w:rPr>
              <w:t>claim</w:t>
            </w:r>
            <w:r w:rsidRPr="006E1E71">
              <w:rPr>
                <w:b/>
              </w:rPr>
              <w:t>?</w:t>
            </w:r>
          </w:p>
        </w:tc>
      </w:tr>
      <w:tr w:rsidR="00900694" w:rsidTr="00627010">
        <w:trPr>
          <w:trHeight w:val="2160"/>
        </w:trPr>
        <w:tc>
          <w:tcPr>
            <w:tcW w:w="4600" w:type="dxa"/>
            <w:tcBorders>
              <w:bottom w:val="single" w:sz="8" w:space="0" w:color="000000"/>
            </w:tcBorders>
            <w:tcMar>
              <w:top w:w="100" w:type="dxa"/>
              <w:left w:w="100" w:type="dxa"/>
              <w:bottom w:w="100" w:type="dxa"/>
              <w:right w:w="100" w:type="dxa"/>
            </w:tcMar>
          </w:tcPr>
          <w:p w:rsidR="00900694" w:rsidRDefault="00900694" w:rsidP="00F21FC7">
            <w:pPr>
              <w:pStyle w:val="Normal1"/>
            </w:pPr>
          </w:p>
        </w:tc>
        <w:tc>
          <w:tcPr>
            <w:tcW w:w="4770" w:type="dxa"/>
            <w:tcBorders>
              <w:bottom w:val="single" w:sz="8" w:space="0" w:color="000000"/>
            </w:tcBorders>
            <w:tcMar>
              <w:top w:w="100" w:type="dxa"/>
              <w:left w:w="100" w:type="dxa"/>
              <w:bottom w:w="100" w:type="dxa"/>
              <w:right w:w="100" w:type="dxa"/>
            </w:tcMar>
          </w:tcPr>
          <w:p w:rsidR="00900694" w:rsidRDefault="00900694" w:rsidP="00F21FC7">
            <w:pPr>
              <w:pStyle w:val="Normal1"/>
            </w:pPr>
          </w:p>
        </w:tc>
      </w:tr>
      <w:tr w:rsidR="00900694" w:rsidTr="00627010">
        <w:trPr>
          <w:trHeight w:val="2160"/>
        </w:trPr>
        <w:tc>
          <w:tcPr>
            <w:tcW w:w="4600" w:type="dxa"/>
            <w:tcBorders>
              <w:bottom w:val="single" w:sz="8" w:space="0" w:color="000000"/>
            </w:tcBorders>
            <w:tcMar>
              <w:top w:w="100" w:type="dxa"/>
              <w:left w:w="100" w:type="dxa"/>
              <w:bottom w:w="100" w:type="dxa"/>
              <w:right w:w="100" w:type="dxa"/>
            </w:tcMar>
          </w:tcPr>
          <w:p w:rsidR="00900694" w:rsidRDefault="00900694" w:rsidP="00F21FC7">
            <w:pPr>
              <w:pStyle w:val="Normal1"/>
            </w:pPr>
          </w:p>
        </w:tc>
        <w:tc>
          <w:tcPr>
            <w:tcW w:w="4770" w:type="dxa"/>
            <w:tcBorders>
              <w:bottom w:val="single" w:sz="8" w:space="0" w:color="000000"/>
            </w:tcBorders>
            <w:tcMar>
              <w:top w:w="100" w:type="dxa"/>
              <w:left w:w="100" w:type="dxa"/>
              <w:bottom w:w="100" w:type="dxa"/>
              <w:right w:w="100" w:type="dxa"/>
            </w:tcMar>
          </w:tcPr>
          <w:p w:rsidR="00900694" w:rsidRDefault="00900694" w:rsidP="00F21FC7">
            <w:pPr>
              <w:pStyle w:val="Normal1"/>
            </w:pPr>
          </w:p>
        </w:tc>
      </w:tr>
      <w:tr w:rsidR="00900694" w:rsidRPr="006E1E71" w:rsidTr="00627010">
        <w:trPr>
          <w:trHeight w:val="432"/>
        </w:trPr>
        <w:tc>
          <w:tcPr>
            <w:tcW w:w="4600" w:type="dxa"/>
            <w:shd w:val="clear" w:color="auto" w:fill="D9D9D9" w:themeFill="background1" w:themeFillShade="D9"/>
            <w:tcMar>
              <w:top w:w="100" w:type="dxa"/>
              <w:left w:w="100" w:type="dxa"/>
              <w:bottom w:w="100" w:type="dxa"/>
              <w:right w:w="100" w:type="dxa"/>
            </w:tcMar>
          </w:tcPr>
          <w:p w:rsidR="00900694" w:rsidRPr="006E1E71" w:rsidRDefault="00900694" w:rsidP="00C82024">
            <w:pPr>
              <w:pStyle w:val="ToolTableText"/>
              <w:rPr>
                <w:b/>
              </w:rPr>
            </w:pPr>
            <w:r w:rsidRPr="006E1E71">
              <w:rPr>
                <w:b/>
              </w:rPr>
              <w:t>Counter Evidence</w:t>
            </w:r>
          </w:p>
        </w:tc>
        <w:tc>
          <w:tcPr>
            <w:tcW w:w="4770" w:type="dxa"/>
            <w:shd w:val="clear" w:color="auto" w:fill="D9D9D9" w:themeFill="background1" w:themeFillShade="D9"/>
            <w:tcMar>
              <w:top w:w="100" w:type="dxa"/>
              <w:left w:w="100" w:type="dxa"/>
              <w:bottom w:w="100" w:type="dxa"/>
              <w:right w:w="100" w:type="dxa"/>
            </w:tcMar>
          </w:tcPr>
          <w:p w:rsidR="00900694" w:rsidRPr="006E1E71" w:rsidRDefault="00900694" w:rsidP="00C82024">
            <w:pPr>
              <w:pStyle w:val="ToolTableText"/>
              <w:rPr>
                <w:b/>
              </w:rPr>
            </w:pPr>
            <w:r w:rsidRPr="006E1E71">
              <w:rPr>
                <w:b/>
              </w:rPr>
              <w:t xml:space="preserve">How does the evidence counter the </w:t>
            </w:r>
            <w:r w:rsidR="003B4387" w:rsidRPr="006E1E71">
              <w:rPr>
                <w:b/>
              </w:rPr>
              <w:t>claim</w:t>
            </w:r>
            <w:r w:rsidRPr="006E1E71">
              <w:rPr>
                <w:b/>
              </w:rPr>
              <w:t>?</w:t>
            </w:r>
          </w:p>
        </w:tc>
      </w:tr>
      <w:tr w:rsidR="00900694" w:rsidTr="00627010">
        <w:trPr>
          <w:trHeight w:val="2160"/>
        </w:trPr>
        <w:tc>
          <w:tcPr>
            <w:tcW w:w="4600" w:type="dxa"/>
            <w:tcMar>
              <w:top w:w="100" w:type="dxa"/>
              <w:left w:w="100" w:type="dxa"/>
              <w:bottom w:w="100" w:type="dxa"/>
              <w:right w:w="100" w:type="dxa"/>
            </w:tcMar>
          </w:tcPr>
          <w:p w:rsidR="00900694" w:rsidRDefault="00900694" w:rsidP="00F21FC7">
            <w:pPr>
              <w:pStyle w:val="Normal1"/>
            </w:pPr>
          </w:p>
        </w:tc>
        <w:tc>
          <w:tcPr>
            <w:tcW w:w="4770" w:type="dxa"/>
            <w:tcMar>
              <w:top w:w="100" w:type="dxa"/>
              <w:left w:w="100" w:type="dxa"/>
              <w:bottom w:w="100" w:type="dxa"/>
              <w:right w:w="100" w:type="dxa"/>
            </w:tcMar>
          </w:tcPr>
          <w:p w:rsidR="00900694" w:rsidRDefault="00900694" w:rsidP="00F21FC7">
            <w:pPr>
              <w:pStyle w:val="Normal1"/>
            </w:pPr>
          </w:p>
        </w:tc>
      </w:tr>
    </w:tbl>
    <w:p w:rsidR="006E22F0" w:rsidRDefault="006E22F0" w:rsidP="006E22F0">
      <w:pPr>
        <w:spacing w:before="0" w:after="0" w:line="240" w:lineRule="auto"/>
        <w:rPr>
          <w:rFonts w:cs="Calibri"/>
          <w:color w:val="000000"/>
          <w:szCs w:val="24"/>
          <w:lang w:eastAsia="ja-JP"/>
        </w:rPr>
      </w:pPr>
      <w:r>
        <w:br w:type="page"/>
      </w:r>
    </w:p>
    <w:p w:rsidR="0025622E" w:rsidRDefault="000777D6" w:rsidP="0025622E">
      <w:pPr>
        <w:pStyle w:val="ToolHeader"/>
      </w:pPr>
      <w:r>
        <w:lastRenderedPageBreak/>
        <w:t xml:space="preserve">Model </w:t>
      </w:r>
      <w:r w:rsidR="00A36415">
        <w:t>Evidence Identification</w:t>
      </w:r>
      <w:r w:rsidR="0025622E">
        <w:t xml:space="preserve"> Tool</w:t>
      </w:r>
    </w:p>
    <w:tbl>
      <w:tblPr>
        <w:tblW w:w="93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060"/>
        <w:gridCol w:w="2500"/>
        <w:gridCol w:w="960"/>
        <w:gridCol w:w="2760"/>
        <w:gridCol w:w="720"/>
        <w:gridCol w:w="1370"/>
      </w:tblGrid>
      <w:tr w:rsidR="00A1361E" w:rsidTr="00627010">
        <w:trPr>
          <w:trHeight w:val="340"/>
        </w:trPr>
        <w:tc>
          <w:tcPr>
            <w:tcW w:w="1060" w:type="dxa"/>
            <w:shd w:val="clear" w:color="auto" w:fill="D9D9D9"/>
            <w:tcMar>
              <w:top w:w="100" w:type="dxa"/>
              <w:left w:w="108" w:type="dxa"/>
              <w:bottom w:w="100" w:type="dxa"/>
              <w:right w:w="108" w:type="dxa"/>
            </w:tcMar>
          </w:tcPr>
          <w:p w:rsidR="00A1361E" w:rsidRDefault="00A1361E" w:rsidP="00A1361E">
            <w:pPr>
              <w:pStyle w:val="Normal1"/>
            </w:pPr>
            <w:r>
              <w:rPr>
                <w:b/>
              </w:rPr>
              <w:t>Name:</w:t>
            </w:r>
          </w:p>
        </w:tc>
        <w:tc>
          <w:tcPr>
            <w:tcW w:w="2500" w:type="dxa"/>
            <w:tcMar>
              <w:top w:w="100" w:type="dxa"/>
              <w:left w:w="108" w:type="dxa"/>
              <w:bottom w:w="100" w:type="dxa"/>
              <w:right w:w="108" w:type="dxa"/>
            </w:tcMar>
          </w:tcPr>
          <w:p w:rsidR="00A1361E" w:rsidRDefault="00A1361E" w:rsidP="00A1361E">
            <w:pPr>
              <w:pStyle w:val="Normal1"/>
            </w:pPr>
          </w:p>
        </w:tc>
        <w:tc>
          <w:tcPr>
            <w:tcW w:w="960" w:type="dxa"/>
            <w:shd w:val="clear" w:color="auto" w:fill="D9D9D9"/>
            <w:tcMar>
              <w:top w:w="100" w:type="dxa"/>
              <w:left w:w="108" w:type="dxa"/>
              <w:bottom w:w="100" w:type="dxa"/>
              <w:right w:w="108" w:type="dxa"/>
            </w:tcMar>
          </w:tcPr>
          <w:p w:rsidR="00A1361E" w:rsidRDefault="00A1361E" w:rsidP="00A1361E">
            <w:pPr>
              <w:pStyle w:val="Normal1"/>
            </w:pPr>
            <w:r>
              <w:rPr>
                <w:b/>
              </w:rPr>
              <w:t>Class:</w:t>
            </w:r>
          </w:p>
        </w:tc>
        <w:tc>
          <w:tcPr>
            <w:tcW w:w="2760" w:type="dxa"/>
            <w:tcMar>
              <w:top w:w="100" w:type="dxa"/>
              <w:left w:w="108" w:type="dxa"/>
              <w:bottom w:w="100" w:type="dxa"/>
              <w:right w:w="108" w:type="dxa"/>
            </w:tcMar>
          </w:tcPr>
          <w:p w:rsidR="00A1361E" w:rsidRDefault="00A1361E" w:rsidP="00A1361E">
            <w:pPr>
              <w:pStyle w:val="Normal1"/>
            </w:pPr>
          </w:p>
        </w:tc>
        <w:tc>
          <w:tcPr>
            <w:tcW w:w="720" w:type="dxa"/>
            <w:shd w:val="clear" w:color="auto" w:fill="D9D9D9"/>
            <w:tcMar>
              <w:top w:w="100" w:type="dxa"/>
              <w:left w:w="108" w:type="dxa"/>
              <w:bottom w:w="100" w:type="dxa"/>
              <w:right w:w="108" w:type="dxa"/>
            </w:tcMar>
          </w:tcPr>
          <w:p w:rsidR="00A1361E" w:rsidRDefault="00A1361E" w:rsidP="00A1361E">
            <w:pPr>
              <w:pStyle w:val="Normal1"/>
            </w:pPr>
            <w:r>
              <w:rPr>
                <w:b/>
              </w:rPr>
              <w:t>Date:</w:t>
            </w:r>
          </w:p>
        </w:tc>
        <w:tc>
          <w:tcPr>
            <w:tcW w:w="1370" w:type="dxa"/>
            <w:tcMar>
              <w:top w:w="100" w:type="dxa"/>
              <w:left w:w="108" w:type="dxa"/>
              <w:bottom w:w="100" w:type="dxa"/>
              <w:right w:w="108" w:type="dxa"/>
            </w:tcMar>
          </w:tcPr>
          <w:p w:rsidR="00A1361E" w:rsidRDefault="00A1361E" w:rsidP="00A1361E">
            <w:pPr>
              <w:pStyle w:val="Normal1"/>
            </w:pPr>
          </w:p>
        </w:tc>
      </w:tr>
    </w:tbl>
    <w:p w:rsidR="00A1361E" w:rsidRPr="00BC1161" w:rsidRDefault="00A1361E" w:rsidP="00A1361E">
      <w:pPr>
        <w:spacing w:before="0" w:after="0"/>
        <w:rPr>
          <w:b/>
          <w:sz w:val="10"/>
          <w:szCs w:val="10"/>
        </w:rPr>
      </w:pPr>
    </w:p>
    <w:p w:rsidR="00A1361E" w:rsidRDefault="003B4387" w:rsidP="00A1361E">
      <w:r>
        <w:rPr>
          <w:b/>
        </w:rPr>
        <w:t>Claim</w:t>
      </w:r>
      <w:r w:rsidR="00A1361E">
        <w:rPr>
          <w:b/>
        </w:rPr>
        <w:t>:</w:t>
      </w:r>
      <w:r w:rsidR="00A1361E">
        <w:t xml:space="preserve"> </w:t>
      </w:r>
      <w:r w:rsidR="00A1361E" w:rsidRPr="00A1361E">
        <w:t>Patients of color are treated differently than white patients.</w:t>
      </w: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00"/>
        <w:gridCol w:w="4770"/>
      </w:tblGrid>
      <w:tr w:rsidR="00A1361E" w:rsidRPr="006E1E71" w:rsidTr="00627010">
        <w:trPr>
          <w:trHeight w:val="432"/>
        </w:trPr>
        <w:tc>
          <w:tcPr>
            <w:tcW w:w="4600" w:type="dxa"/>
            <w:shd w:val="clear" w:color="auto" w:fill="D9D9D9" w:themeFill="background1" w:themeFillShade="D9"/>
            <w:tcMar>
              <w:top w:w="100" w:type="dxa"/>
              <w:left w:w="100" w:type="dxa"/>
              <w:bottom w:w="100" w:type="dxa"/>
              <w:right w:w="100" w:type="dxa"/>
            </w:tcMar>
          </w:tcPr>
          <w:p w:rsidR="00A1361E" w:rsidRPr="006E1E71" w:rsidRDefault="00A1361E" w:rsidP="00C82024">
            <w:pPr>
              <w:pStyle w:val="ToolTableText"/>
              <w:rPr>
                <w:b/>
              </w:rPr>
            </w:pPr>
            <w:r w:rsidRPr="006E1E71">
              <w:rPr>
                <w:b/>
              </w:rPr>
              <w:t>Evidence</w:t>
            </w:r>
          </w:p>
        </w:tc>
        <w:tc>
          <w:tcPr>
            <w:tcW w:w="4770" w:type="dxa"/>
            <w:shd w:val="clear" w:color="auto" w:fill="D9D9D9" w:themeFill="background1" w:themeFillShade="D9"/>
            <w:tcMar>
              <w:top w:w="100" w:type="dxa"/>
              <w:left w:w="100" w:type="dxa"/>
              <w:bottom w:w="100" w:type="dxa"/>
              <w:right w:w="100" w:type="dxa"/>
            </w:tcMar>
          </w:tcPr>
          <w:p w:rsidR="00A1361E" w:rsidRPr="006E1E71" w:rsidRDefault="00A1361E" w:rsidP="00C82024">
            <w:pPr>
              <w:pStyle w:val="ToolTableText"/>
              <w:rPr>
                <w:b/>
              </w:rPr>
            </w:pPr>
            <w:r w:rsidRPr="006E1E71">
              <w:rPr>
                <w:b/>
              </w:rPr>
              <w:t xml:space="preserve">How does the evidence support the </w:t>
            </w:r>
            <w:r w:rsidR="003B4387" w:rsidRPr="006E1E71">
              <w:rPr>
                <w:b/>
              </w:rPr>
              <w:t>claim</w:t>
            </w:r>
            <w:r w:rsidRPr="006E1E71">
              <w:rPr>
                <w:b/>
              </w:rPr>
              <w:t>?</w:t>
            </w:r>
          </w:p>
        </w:tc>
      </w:tr>
      <w:tr w:rsidR="00A1361E" w:rsidTr="00627010">
        <w:trPr>
          <w:trHeight w:val="2160"/>
        </w:trPr>
        <w:tc>
          <w:tcPr>
            <w:tcW w:w="4600" w:type="dxa"/>
            <w:tcBorders>
              <w:bottom w:val="single" w:sz="8" w:space="0" w:color="000000"/>
            </w:tcBorders>
            <w:tcMar>
              <w:top w:w="100" w:type="dxa"/>
              <w:left w:w="100" w:type="dxa"/>
              <w:bottom w:w="100" w:type="dxa"/>
              <w:right w:w="100" w:type="dxa"/>
            </w:tcMar>
          </w:tcPr>
          <w:p w:rsidR="00801EDF" w:rsidRDefault="00801EDF" w:rsidP="006E1E71">
            <w:pPr>
              <w:pStyle w:val="ToolTableText"/>
            </w:pPr>
            <w:r>
              <w:t>John</w:t>
            </w:r>
            <w:r w:rsidR="00E92750">
              <w:t>s</w:t>
            </w:r>
            <w:r>
              <w:t xml:space="preserve"> Hopkins used the tissue of black patients without their consent </w:t>
            </w:r>
            <w:r w:rsidR="00DF2025">
              <w:t>for</w:t>
            </w:r>
            <w:r>
              <w:t xml:space="preserve"> various purposes.</w:t>
            </w:r>
          </w:p>
          <w:p w:rsidR="00801EDF" w:rsidRDefault="00801EDF" w:rsidP="00785C71">
            <w:pPr>
              <w:pStyle w:val="ToolTableText"/>
            </w:pPr>
            <w:r>
              <w:t xml:space="preserve">“Hopkins, with its large indigent black population, had no dearth of clinical material.” </w:t>
            </w:r>
            <w:r w:rsidR="00785C71">
              <w:t>(</w:t>
            </w:r>
            <w:r w:rsidR="00930BBC">
              <w:t>p</w:t>
            </w:r>
            <w:r>
              <w:t>.</w:t>
            </w:r>
            <w:r w:rsidR="00930BBC">
              <w:t xml:space="preserve"> </w:t>
            </w:r>
            <w:r>
              <w:t>30</w:t>
            </w:r>
            <w:r w:rsidR="00785C71">
              <w:t>)</w:t>
            </w:r>
          </w:p>
        </w:tc>
        <w:tc>
          <w:tcPr>
            <w:tcW w:w="4770" w:type="dxa"/>
            <w:tcBorders>
              <w:bottom w:val="single" w:sz="8" w:space="0" w:color="000000"/>
            </w:tcBorders>
            <w:tcMar>
              <w:top w:w="100" w:type="dxa"/>
              <w:left w:w="100" w:type="dxa"/>
              <w:bottom w:w="100" w:type="dxa"/>
              <w:right w:w="100" w:type="dxa"/>
            </w:tcMar>
          </w:tcPr>
          <w:p w:rsidR="00A1361E" w:rsidRDefault="00C85806" w:rsidP="006E1E71">
            <w:pPr>
              <w:pStyle w:val="ToolTableText"/>
            </w:pPr>
            <w:r>
              <w:t>Doctors viewed patients</w:t>
            </w:r>
            <w:r w:rsidR="00E92750">
              <w:t>’</w:t>
            </w:r>
            <w:r>
              <w:t xml:space="preserve"> tissue as fair game for experimentation and studies. In particular</w:t>
            </w:r>
            <w:r w:rsidR="00DF2025">
              <w:t>,</w:t>
            </w:r>
            <w:r>
              <w:t xml:space="preserve"> the</w:t>
            </w:r>
            <w:r w:rsidR="007334AB">
              <w:t>y</w:t>
            </w:r>
            <w:r>
              <w:t xml:space="preserve"> used the large population of poor, black patients who came to Hopkins for free treatment.</w:t>
            </w:r>
          </w:p>
        </w:tc>
      </w:tr>
      <w:tr w:rsidR="00A1361E" w:rsidTr="00627010">
        <w:trPr>
          <w:trHeight w:val="2160"/>
        </w:trPr>
        <w:tc>
          <w:tcPr>
            <w:tcW w:w="4600" w:type="dxa"/>
            <w:tcBorders>
              <w:bottom w:val="single" w:sz="8" w:space="0" w:color="000000"/>
            </w:tcBorders>
            <w:tcMar>
              <w:top w:w="100" w:type="dxa"/>
              <w:left w:w="100" w:type="dxa"/>
              <w:bottom w:w="100" w:type="dxa"/>
              <w:right w:w="100" w:type="dxa"/>
            </w:tcMar>
          </w:tcPr>
          <w:p w:rsidR="00B04126" w:rsidRDefault="00801EDF" w:rsidP="006E1E71">
            <w:pPr>
              <w:pStyle w:val="ToolTableText"/>
            </w:pPr>
            <w:r>
              <w:t>John Moore</w:t>
            </w:r>
            <w:r w:rsidR="00A63A43">
              <w:t xml:space="preserve">’s doctor sought permission from him to use his cells and </w:t>
            </w:r>
            <w:r w:rsidR="00D70786">
              <w:t>Moore was able to obtain legal counsel and publicity for his plight.</w:t>
            </w:r>
            <w:r w:rsidR="00C85806">
              <w:t xml:space="preserve"> </w:t>
            </w:r>
          </w:p>
          <w:p w:rsidR="00A1361E" w:rsidRDefault="00B04126" w:rsidP="00785C71">
            <w:pPr>
              <w:pStyle w:val="ToolTableText"/>
            </w:pPr>
            <w:r>
              <w:t>“That’s when M</w:t>
            </w:r>
            <w:r w:rsidR="00930BBC">
              <w:t>oore sent the form to a lawyer</w:t>
            </w:r>
            <w:r>
              <w:t>” &amp; “The public didn’t realize the</w:t>
            </w:r>
            <w:r w:rsidR="00930BBC">
              <w:t>re was big money in cell lines</w:t>
            </w:r>
            <w:r w:rsidR="00E92750">
              <w:t>.</w:t>
            </w:r>
            <w:r>
              <w:t xml:space="preserve">” </w:t>
            </w:r>
            <w:r w:rsidR="00785C71">
              <w:t>(p</w:t>
            </w:r>
            <w:r w:rsidR="00930BBC">
              <w:t>p</w:t>
            </w:r>
            <w:r w:rsidR="00C85806">
              <w:t>. 199</w:t>
            </w:r>
            <w:r w:rsidR="00785C71">
              <w:t>–</w:t>
            </w:r>
            <w:r w:rsidR="00C85806">
              <w:t>20</w:t>
            </w:r>
            <w:r>
              <w:t>4</w:t>
            </w:r>
            <w:r w:rsidR="00785C71">
              <w:t>)</w:t>
            </w:r>
          </w:p>
        </w:tc>
        <w:tc>
          <w:tcPr>
            <w:tcW w:w="4770" w:type="dxa"/>
            <w:tcBorders>
              <w:bottom w:val="single" w:sz="8" w:space="0" w:color="000000"/>
            </w:tcBorders>
            <w:tcMar>
              <w:top w:w="100" w:type="dxa"/>
              <w:left w:w="100" w:type="dxa"/>
              <w:bottom w:w="100" w:type="dxa"/>
              <w:right w:w="100" w:type="dxa"/>
            </w:tcMar>
          </w:tcPr>
          <w:p w:rsidR="00A1361E" w:rsidRDefault="00072750" w:rsidP="00930BBC">
            <w:pPr>
              <w:pStyle w:val="ToolTableText"/>
            </w:pPr>
            <w:r>
              <w:t>Although the time periods are different</w:t>
            </w:r>
            <w:r w:rsidR="007334AB">
              <w:t>,</w:t>
            </w:r>
            <w:r>
              <w:t xml:space="preserve"> it</w:t>
            </w:r>
            <w:r w:rsidR="00DF2025">
              <w:t xml:space="preserve"> i</w:t>
            </w:r>
            <w:r>
              <w:t xml:space="preserve">s important to note the difference with which Moore was treated and the options available to him </w:t>
            </w:r>
            <w:r w:rsidR="00076731">
              <w:t>(</w:t>
            </w:r>
            <w:r>
              <w:t>i.e.</w:t>
            </w:r>
            <w:r w:rsidR="00E92750">
              <w:t>,</w:t>
            </w:r>
            <w:r>
              <w:t xml:space="preserve"> a lawyer and national publicity</w:t>
            </w:r>
            <w:r w:rsidR="00076731">
              <w:t>)</w:t>
            </w:r>
            <w:r w:rsidR="00930BBC">
              <w:t>.</w:t>
            </w:r>
            <w:r>
              <w:t xml:space="preserve"> </w:t>
            </w:r>
            <w:proofErr w:type="spellStart"/>
            <w:r>
              <w:t>Skloot</w:t>
            </w:r>
            <w:proofErr w:type="spellEnd"/>
            <w:r>
              <w:t xml:space="preserve"> is clearly drawing a comparison between the two cases to illustrate Henrietta’s mistreatment. </w:t>
            </w:r>
          </w:p>
        </w:tc>
      </w:tr>
      <w:tr w:rsidR="00A1361E" w:rsidRPr="006E1E71" w:rsidTr="00627010">
        <w:trPr>
          <w:trHeight w:val="432"/>
        </w:trPr>
        <w:tc>
          <w:tcPr>
            <w:tcW w:w="4600" w:type="dxa"/>
            <w:shd w:val="clear" w:color="auto" w:fill="D9D9D9" w:themeFill="background1" w:themeFillShade="D9"/>
            <w:tcMar>
              <w:top w:w="100" w:type="dxa"/>
              <w:left w:w="100" w:type="dxa"/>
              <w:bottom w:w="100" w:type="dxa"/>
              <w:right w:w="100" w:type="dxa"/>
            </w:tcMar>
          </w:tcPr>
          <w:p w:rsidR="00A1361E" w:rsidRPr="006E1E71" w:rsidRDefault="00A1361E" w:rsidP="00C82024">
            <w:pPr>
              <w:pStyle w:val="ToolTableText"/>
              <w:rPr>
                <w:b/>
              </w:rPr>
            </w:pPr>
            <w:r w:rsidRPr="006E1E71">
              <w:rPr>
                <w:b/>
              </w:rPr>
              <w:t>Counter Evidence</w:t>
            </w:r>
          </w:p>
        </w:tc>
        <w:tc>
          <w:tcPr>
            <w:tcW w:w="4770" w:type="dxa"/>
            <w:shd w:val="clear" w:color="auto" w:fill="D9D9D9" w:themeFill="background1" w:themeFillShade="D9"/>
            <w:tcMar>
              <w:top w:w="100" w:type="dxa"/>
              <w:left w:w="100" w:type="dxa"/>
              <w:bottom w:w="100" w:type="dxa"/>
              <w:right w:w="100" w:type="dxa"/>
            </w:tcMar>
          </w:tcPr>
          <w:p w:rsidR="00A1361E" w:rsidRPr="006E1E71" w:rsidRDefault="00A1361E" w:rsidP="00C82024">
            <w:pPr>
              <w:pStyle w:val="ToolTableText"/>
              <w:rPr>
                <w:b/>
              </w:rPr>
            </w:pPr>
            <w:r w:rsidRPr="006E1E71">
              <w:rPr>
                <w:b/>
              </w:rPr>
              <w:t xml:space="preserve">How does the evidence counter the </w:t>
            </w:r>
            <w:r w:rsidR="003B4387" w:rsidRPr="006E1E71">
              <w:rPr>
                <w:b/>
              </w:rPr>
              <w:t>claim</w:t>
            </w:r>
            <w:r w:rsidRPr="006E1E71">
              <w:rPr>
                <w:b/>
              </w:rPr>
              <w:t>?</w:t>
            </w:r>
          </w:p>
        </w:tc>
      </w:tr>
      <w:tr w:rsidR="00A1361E" w:rsidTr="00627010">
        <w:trPr>
          <w:trHeight w:val="2160"/>
        </w:trPr>
        <w:tc>
          <w:tcPr>
            <w:tcW w:w="4600" w:type="dxa"/>
            <w:tcMar>
              <w:top w:w="100" w:type="dxa"/>
              <w:left w:w="100" w:type="dxa"/>
              <w:bottom w:w="100" w:type="dxa"/>
              <w:right w:w="100" w:type="dxa"/>
            </w:tcMar>
          </w:tcPr>
          <w:p w:rsidR="00B04126" w:rsidRDefault="00AA7184" w:rsidP="006E1E71">
            <w:pPr>
              <w:pStyle w:val="ToolTableText"/>
            </w:pPr>
            <w:r>
              <w:t xml:space="preserve">Henrietta received </w:t>
            </w:r>
            <w:r w:rsidR="00D70786">
              <w:t xml:space="preserve">radium </w:t>
            </w:r>
            <w:r>
              <w:t xml:space="preserve">cancer treatment that was standard for </w:t>
            </w:r>
            <w:r w:rsidR="00D70786">
              <w:t>hospitals nationwide</w:t>
            </w:r>
            <w:r w:rsidR="00B04126">
              <w:t>.</w:t>
            </w:r>
          </w:p>
          <w:p w:rsidR="00B04126" w:rsidRDefault="00930BBC" w:rsidP="006E1E71">
            <w:pPr>
              <w:pStyle w:val="ToolTableText"/>
            </w:pPr>
            <w:r>
              <w:t>“</w:t>
            </w:r>
            <w:r w:rsidR="00B04126">
              <w:t>like hospitals nationwide, Hopkins treated all invasive c</w:t>
            </w:r>
            <w:r>
              <w:t>ervical carcinomas with radium</w:t>
            </w:r>
            <w:r w:rsidR="00B04126">
              <w:t>”</w:t>
            </w:r>
            <w:r w:rsidR="00785C71">
              <w:t xml:space="preserve"> (p</w:t>
            </w:r>
            <w:r>
              <w:t>p</w:t>
            </w:r>
            <w:r w:rsidR="00305186">
              <w:t>.</w:t>
            </w:r>
            <w:r>
              <w:t xml:space="preserve"> </w:t>
            </w:r>
            <w:r w:rsidR="00305186">
              <w:t>31</w:t>
            </w:r>
            <w:r w:rsidR="00785C71">
              <w:t>–</w:t>
            </w:r>
            <w:r w:rsidR="00305186">
              <w:t>32</w:t>
            </w:r>
            <w:r w:rsidR="00785C71">
              <w:t>)</w:t>
            </w:r>
            <w:r w:rsidR="00305186">
              <w:t xml:space="preserve"> </w:t>
            </w:r>
          </w:p>
          <w:p w:rsidR="00D70786" w:rsidRDefault="00D70786" w:rsidP="00785C71">
            <w:pPr>
              <w:pStyle w:val="ToolTableText"/>
            </w:pPr>
            <w:r>
              <w:t>The John</w:t>
            </w:r>
            <w:r w:rsidR="00E92750">
              <w:t>s</w:t>
            </w:r>
            <w:r>
              <w:t xml:space="preserve"> Hopkins center was specifically established with a charter </w:t>
            </w:r>
            <w:r w:rsidR="00785C71">
              <w:t xml:space="preserve">to treat all patients the same, </w:t>
            </w:r>
            <w:r w:rsidR="00B04126">
              <w:t>“Witho</w:t>
            </w:r>
            <w:r w:rsidR="00930BBC">
              <w:t>ut regard to sex, age, or color</w:t>
            </w:r>
            <w:r w:rsidR="00B04126">
              <w:t>”</w:t>
            </w:r>
            <w:r w:rsidR="00785C71">
              <w:t xml:space="preserve"> (p</w:t>
            </w:r>
            <w:r w:rsidR="00930BBC">
              <w:t>p</w:t>
            </w:r>
            <w:r>
              <w:t>.</w:t>
            </w:r>
            <w:r w:rsidR="00930BBC">
              <w:t xml:space="preserve"> </w:t>
            </w:r>
            <w:r>
              <w:t>166</w:t>
            </w:r>
            <w:r w:rsidR="00785C71">
              <w:t>–</w:t>
            </w:r>
            <w:r>
              <w:t>167</w:t>
            </w:r>
            <w:r w:rsidR="00785C71">
              <w:t>).</w:t>
            </w:r>
          </w:p>
        </w:tc>
        <w:tc>
          <w:tcPr>
            <w:tcW w:w="4770" w:type="dxa"/>
            <w:tcMar>
              <w:top w:w="100" w:type="dxa"/>
              <w:left w:w="100" w:type="dxa"/>
              <w:bottom w:w="100" w:type="dxa"/>
              <w:right w:w="100" w:type="dxa"/>
            </w:tcMar>
          </w:tcPr>
          <w:p w:rsidR="00A1361E" w:rsidRDefault="00014711" w:rsidP="006E1E71">
            <w:pPr>
              <w:pStyle w:val="ToolTableText"/>
            </w:pPr>
            <w:r>
              <w:t>This indicates a certain level of equality in medical treatment. In some cases</w:t>
            </w:r>
            <w:r w:rsidR="00DF2025">
              <w:t>,</w:t>
            </w:r>
            <w:r>
              <w:t xml:space="preserve"> a doctor sees only a sick patient and does</w:t>
            </w:r>
            <w:r w:rsidR="007334AB">
              <w:t xml:space="preserve"> </w:t>
            </w:r>
            <w:r>
              <w:t>n</w:t>
            </w:r>
            <w:r w:rsidR="007334AB">
              <w:t>o</w:t>
            </w:r>
            <w:r>
              <w:t xml:space="preserve">t alter the treatment plan based on the color of their skin. </w:t>
            </w:r>
          </w:p>
        </w:tc>
      </w:tr>
    </w:tbl>
    <w:p w:rsidR="002041CD" w:rsidRPr="00861F0C" w:rsidRDefault="002041CD" w:rsidP="00861F0C">
      <w:pPr>
        <w:rPr>
          <w:rFonts w:cs="Calibri"/>
          <w:color w:val="000000"/>
          <w:sz w:val="18"/>
          <w:szCs w:val="18"/>
          <w:lang w:eastAsia="ja-JP"/>
        </w:rPr>
      </w:pPr>
    </w:p>
    <w:sectPr w:rsidR="002041CD" w:rsidRPr="00861F0C"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EA" w:rsidRDefault="000A30EA" w:rsidP="00E946A0">
      <w:r>
        <w:separator/>
      </w:r>
    </w:p>
    <w:p w:rsidR="000A30EA" w:rsidRDefault="000A30EA" w:rsidP="00E946A0"/>
  </w:endnote>
  <w:endnote w:type="continuationSeparator" w:id="0">
    <w:p w:rsidR="000A30EA" w:rsidRDefault="000A30EA" w:rsidP="00E946A0">
      <w:r>
        <w:continuationSeparator/>
      </w:r>
    </w:p>
    <w:p w:rsidR="000A30EA" w:rsidRDefault="000A30EA"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44F57DF0-315E-48EF-BBF3-722F662ABFD7}"/>
  </w:font>
  <w:font w:name="Times New Roman">
    <w:panose1 w:val="02020603050405020304"/>
    <w:charset w:val="00"/>
    <w:family w:val="roman"/>
    <w:pitch w:val="variable"/>
    <w:sig w:usb0="E0002AFF" w:usb1="C0007841" w:usb2="00000009" w:usb3="00000000" w:csb0="000001FF" w:csb1="00000000"/>
    <w:embedRegular r:id="rId2" w:subsetted="1" w:fontKey="{32CF82B7-E26A-41B5-88A1-1736FAF01017}"/>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embedRegular r:id="rId3" w:subsetted="1" w:fontKey="{D8CEC5ED-8E27-4678-B2AD-ED04C15107EC}"/>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C8" w:rsidRDefault="009F08A0" w:rsidP="00E946A0">
    <w:pPr>
      <w:pStyle w:val="Footer"/>
      <w:rPr>
        <w:rStyle w:val="PageNumber"/>
        <w:rFonts w:ascii="Calibri" w:hAnsi="Calibri"/>
        <w:sz w:val="22"/>
      </w:rPr>
    </w:pPr>
    <w:r>
      <w:rPr>
        <w:rStyle w:val="PageNumber"/>
      </w:rPr>
      <w:fldChar w:fldCharType="begin"/>
    </w:r>
    <w:r w:rsidR="002A1DC8">
      <w:rPr>
        <w:rStyle w:val="PageNumber"/>
      </w:rPr>
      <w:instrText xml:space="preserve">PAGE  </w:instrText>
    </w:r>
    <w:r>
      <w:rPr>
        <w:rStyle w:val="PageNumber"/>
      </w:rPr>
      <w:fldChar w:fldCharType="separate"/>
    </w:r>
    <w:r w:rsidR="00531174">
      <w:rPr>
        <w:rStyle w:val="PageNumber"/>
        <w:noProof/>
      </w:rPr>
      <w:t>2</w:t>
    </w:r>
    <w:r>
      <w:rPr>
        <w:rStyle w:val="PageNumber"/>
      </w:rPr>
      <w:fldChar w:fldCharType="end"/>
    </w:r>
  </w:p>
  <w:p w:rsidR="002A1DC8" w:rsidRDefault="002A1DC8" w:rsidP="00E946A0">
    <w:pPr>
      <w:pStyle w:val="Footer"/>
    </w:pPr>
  </w:p>
  <w:p w:rsidR="002A1DC8" w:rsidRDefault="002A1DC8" w:rsidP="00E946A0"/>
  <w:p w:rsidR="002A1DC8" w:rsidRDefault="002A1DC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C8" w:rsidRPr="00563CB8" w:rsidRDefault="002A1DC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A1DC8">
      <w:trPr>
        <w:trHeight w:val="705"/>
      </w:trPr>
      <w:tc>
        <w:tcPr>
          <w:tcW w:w="4609" w:type="dxa"/>
          <w:shd w:val="clear" w:color="auto" w:fill="auto"/>
          <w:vAlign w:val="center"/>
        </w:tcPr>
        <w:p w:rsidR="002A1DC8" w:rsidRPr="0017419D" w:rsidRDefault="002A1DC8" w:rsidP="004F2969">
          <w:pPr>
            <w:pStyle w:val="FooterText"/>
            <w:rPr>
              <w:rFonts w:asciiTheme="minorHAnsi" w:hAnsiTheme="minorHAnsi"/>
            </w:rPr>
          </w:pPr>
          <w:r w:rsidRPr="0017419D">
            <w:rPr>
              <w:rFonts w:asciiTheme="minorHAnsi" w:hAnsiTheme="minorHAnsi"/>
            </w:rPr>
            <w:t>File:</w:t>
          </w:r>
          <w:r w:rsidRPr="0017419D">
            <w:rPr>
              <w:rFonts w:asciiTheme="minorHAnsi" w:hAnsiTheme="minorHAnsi"/>
              <w:b w:val="0"/>
            </w:rPr>
            <w:t xml:space="preserve"> 10.3.1 Lesson 13</w:t>
          </w:r>
          <w:r w:rsidRPr="0017419D">
            <w:rPr>
              <w:rFonts w:asciiTheme="minorHAnsi" w:hAnsiTheme="minorHAnsi"/>
            </w:rPr>
            <w:t xml:space="preserve"> Date:</w:t>
          </w:r>
          <w:r w:rsidRPr="0017419D">
            <w:rPr>
              <w:rFonts w:asciiTheme="minorHAnsi" w:hAnsiTheme="minorHAnsi"/>
              <w:b w:val="0"/>
            </w:rPr>
            <w:t xml:space="preserve"> 4/1</w:t>
          </w:r>
          <w:r w:rsidR="00627010">
            <w:rPr>
              <w:rFonts w:asciiTheme="minorHAnsi" w:hAnsiTheme="minorHAnsi"/>
              <w:b w:val="0"/>
            </w:rPr>
            <w:t>8</w:t>
          </w:r>
          <w:r w:rsidRPr="0017419D">
            <w:rPr>
              <w:rFonts w:asciiTheme="minorHAnsi" w:hAnsiTheme="minorHAnsi"/>
              <w:b w:val="0"/>
            </w:rPr>
            <w:t xml:space="preserve">/14 </w:t>
          </w:r>
          <w:r w:rsidRPr="0017419D">
            <w:rPr>
              <w:rFonts w:asciiTheme="minorHAnsi" w:hAnsiTheme="minorHAnsi"/>
            </w:rPr>
            <w:t>Classroom Use:</w:t>
          </w:r>
          <w:r w:rsidRPr="0017419D">
            <w:rPr>
              <w:rFonts w:asciiTheme="minorHAnsi" w:hAnsiTheme="minorHAnsi"/>
              <w:b w:val="0"/>
            </w:rPr>
            <w:t xml:space="preserve"> Starting 4/2014 </w:t>
          </w:r>
        </w:p>
        <w:p w:rsidR="002A1DC8" w:rsidRPr="0017419D" w:rsidRDefault="002A1DC8" w:rsidP="004F2969">
          <w:pPr>
            <w:pStyle w:val="FooterText"/>
            <w:rPr>
              <w:rFonts w:asciiTheme="minorHAnsi" w:hAnsiTheme="minorHAnsi"/>
              <w:b w:val="0"/>
              <w:i/>
              <w:sz w:val="12"/>
            </w:rPr>
          </w:pPr>
          <w:r w:rsidRPr="0017419D">
            <w:rPr>
              <w:rFonts w:asciiTheme="minorHAnsi" w:hAnsiTheme="minorHAnsi"/>
              <w:b w:val="0"/>
              <w:sz w:val="12"/>
            </w:rPr>
            <w:t>© 2014 Public Consulting Group.</w:t>
          </w:r>
          <w:r w:rsidRPr="0017419D">
            <w:rPr>
              <w:rFonts w:asciiTheme="minorHAnsi" w:hAnsiTheme="minorHAnsi"/>
              <w:b w:val="0"/>
              <w:i/>
              <w:sz w:val="12"/>
            </w:rPr>
            <w:t xml:space="preserve"> This work is licensed under a </w:t>
          </w:r>
        </w:p>
        <w:p w:rsidR="002A1DC8" w:rsidRPr="0017419D" w:rsidRDefault="002A1DC8" w:rsidP="004F2969">
          <w:pPr>
            <w:pStyle w:val="FooterText"/>
            <w:rPr>
              <w:rFonts w:asciiTheme="minorHAnsi" w:hAnsiTheme="minorHAnsi"/>
              <w:b w:val="0"/>
              <w:i/>
            </w:rPr>
          </w:pPr>
          <w:r w:rsidRPr="0017419D">
            <w:rPr>
              <w:rFonts w:asciiTheme="minorHAnsi" w:hAnsiTheme="minorHAnsi"/>
              <w:b w:val="0"/>
              <w:i/>
              <w:sz w:val="12"/>
            </w:rPr>
            <w:t>Creative Commons Attribution-</w:t>
          </w:r>
          <w:proofErr w:type="spellStart"/>
          <w:r w:rsidRPr="0017419D">
            <w:rPr>
              <w:rFonts w:asciiTheme="minorHAnsi" w:hAnsiTheme="minorHAnsi"/>
              <w:b w:val="0"/>
              <w:i/>
              <w:sz w:val="12"/>
            </w:rPr>
            <w:t>NonCommercial</w:t>
          </w:r>
          <w:proofErr w:type="spellEnd"/>
          <w:r w:rsidRPr="0017419D">
            <w:rPr>
              <w:rFonts w:asciiTheme="minorHAnsi" w:hAnsiTheme="minorHAnsi"/>
              <w:b w:val="0"/>
              <w:i/>
              <w:sz w:val="12"/>
            </w:rPr>
            <w:t>-</w:t>
          </w:r>
          <w:proofErr w:type="spellStart"/>
          <w:r w:rsidRPr="0017419D">
            <w:rPr>
              <w:rFonts w:asciiTheme="minorHAnsi" w:hAnsiTheme="minorHAnsi"/>
              <w:b w:val="0"/>
              <w:i/>
              <w:sz w:val="12"/>
            </w:rPr>
            <w:t>ShareAlike</w:t>
          </w:r>
          <w:proofErr w:type="spellEnd"/>
          <w:r w:rsidRPr="0017419D">
            <w:rPr>
              <w:rFonts w:asciiTheme="minorHAnsi" w:hAnsiTheme="minorHAnsi"/>
              <w:b w:val="0"/>
              <w:i/>
              <w:sz w:val="12"/>
            </w:rPr>
            <w:t xml:space="preserve"> 3.0 </w:t>
          </w:r>
          <w:proofErr w:type="spellStart"/>
          <w:r w:rsidRPr="0017419D">
            <w:rPr>
              <w:rFonts w:asciiTheme="minorHAnsi" w:hAnsiTheme="minorHAnsi"/>
              <w:b w:val="0"/>
              <w:i/>
              <w:sz w:val="12"/>
            </w:rPr>
            <w:t>Unported</w:t>
          </w:r>
          <w:proofErr w:type="spellEnd"/>
          <w:r w:rsidRPr="0017419D">
            <w:rPr>
              <w:rFonts w:asciiTheme="minorHAnsi" w:hAnsiTheme="minorHAnsi"/>
              <w:b w:val="0"/>
              <w:i/>
              <w:sz w:val="12"/>
            </w:rPr>
            <w:t xml:space="preserve"> License</w:t>
          </w:r>
        </w:p>
        <w:p w:rsidR="002A1DC8" w:rsidRPr="002E4C92" w:rsidRDefault="009F08A0" w:rsidP="004F2969">
          <w:pPr>
            <w:pStyle w:val="FooterText"/>
          </w:pPr>
          <w:hyperlink r:id="rId1" w:history="1">
            <w:r w:rsidR="002A1DC8" w:rsidRPr="0017419D">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A1DC8" w:rsidRPr="002E4C92" w:rsidRDefault="009F08A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A1DC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5616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2A1DC8" w:rsidRPr="002E4C92" w:rsidRDefault="002A1DC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A1DC8" w:rsidRPr="0039525B" w:rsidRDefault="002A1DC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EA" w:rsidRDefault="000A30EA" w:rsidP="00E946A0">
      <w:r>
        <w:separator/>
      </w:r>
    </w:p>
    <w:p w:rsidR="000A30EA" w:rsidRDefault="000A30EA" w:rsidP="00E946A0"/>
  </w:footnote>
  <w:footnote w:type="continuationSeparator" w:id="0">
    <w:p w:rsidR="000A30EA" w:rsidRDefault="000A30EA" w:rsidP="00E946A0">
      <w:r>
        <w:continuationSeparator/>
      </w:r>
    </w:p>
    <w:p w:rsidR="000A30EA" w:rsidRDefault="000A30EA"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A1DC8" w:rsidRPr="00563CB8">
      <w:tc>
        <w:tcPr>
          <w:tcW w:w="3708" w:type="dxa"/>
          <w:shd w:val="clear" w:color="auto" w:fill="auto"/>
        </w:tcPr>
        <w:p w:rsidR="002A1DC8" w:rsidRPr="00563CB8" w:rsidRDefault="002A1DC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A1DC8" w:rsidRPr="00563CB8" w:rsidRDefault="002A1DC8" w:rsidP="00E946A0">
          <w:pPr>
            <w:jc w:val="center"/>
          </w:pPr>
          <w:r w:rsidRPr="00563CB8">
            <w:t>D R A F T</w:t>
          </w:r>
        </w:p>
      </w:tc>
      <w:tc>
        <w:tcPr>
          <w:tcW w:w="3438" w:type="dxa"/>
          <w:shd w:val="clear" w:color="auto" w:fill="auto"/>
        </w:tcPr>
        <w:p w:rsidR="002A1DC8" w:rsidRPr="00E946A0" w:rsidRDefault="002A1DC8" w:rsidP="0017419D">
          <w:pPr>
            <w:pStyle w:val="PageHeader"/>
            <w:jc w:val="right"/>
            <w:rPr>
              <w:b w:val="0"/>
            </w:rPr>
          </w:pPr>
          <w:r>
            <w:rPr>
              <w:b w:val="0"/>
            </w:rPr>
            <w:t>Grade 10 • Module 3</w:t>
          </w:r>
          <w:r w:rsidRPr="00E946A0">
            <w:rPr>
              <w:b w:val="0"/>
            </w:rPr>
            <w:t xml:space="preserve"> • Unit </w:t>
          </w:r>
          <w:r>
            <w:rPr>
              <w:b w:val="0"/>
            </w:rPr>
            <w:t>1</w:t>
          </w:r>
          <w:r w:rsidRPr="00E946A0">
            <w:rPr>
              <w:b w:val="0"/>
            </w:rPr>
            <w:t xml:space="preserve"> • Lesson </w:t>
          </w:r>
          <w:r>
            <w:rPr>
              <w:b w:val="0"/>
            </w:rPr>
            <w:t>13</w:t>
          </w:r>
        </w:p>
      </w:tc>
    </w:tr>
  </w:tbl>
  <w:p w:rsidR="002A1DC8" w:rsidRDefault="002A1DC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0616F7A6"/>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529C9FE6"/>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F13E846C"/>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22BD7"/>
    <w:multiLevelType w:val="hybridMultilevel"/>
    <w:tmpl w:val="749E3032"/>
    <w:lvl w:ilvl="0" w:tplc="935E1D8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C57447"/>
    <w:multiLevelType w:val="hybridMultilevel"/>
    <w:tmpl w:val="22742D80"/>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D3ECBE36"/>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1BB69232"/>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B5146E6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num>
  <w:num w:numId="3">
    <w:abstractNumId w:val="4"/>
  </w:num>
  <w:num w:numId="4">
    <w:abstractNumId w:val="0"/>
  </w:num>
  <w:num w:numId="5">
    <w:abstractNumId w:val="6"/>
  </w:num>
  <w:num w:numId="6">
    <w:abstractNumId w:val="2"/>
    <w:lvlOverride w:ilvl="0">
      <w:startOverride w:val="1"/>
    </w:lvlOverride>
  </w:num>
  <w:num w:numId="7">
    <w:abstractNumId w:val="7"/>
  </w:num>
  <w:num w:numId="8">
    <w:abstractNumId w:val="1"/>
  </w:num>
  <w:num w:numId="9">
    <w:abstractNumId w:val="5"/>
  </w:num>
  <w:num w:numId="10">
    <w:abstractNumId w:val="3"/>
  </w:num>
  <w:num w:numId="11">
    <w:abstractNumId w:val="3"/>
    <w:lvlOverride w:ilvl="0">
      <w:startOverride w:val="1"/>
    </w:lvlOverride>
  </w:num>
  <w:num w:numId="12">
    <w:abstractNumId w:val="3"/>
    <w:lvlOverride w:ilvl="0">
      <w:startOverride w:val="3"/>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54B"/>
    <w:rsid w:val="00007CBA"/>
    <w:rsid w:val="00007F67"/>
    <w:rsid w:val="00011E99"/>
    <w:rsid w:val="00012E49"/>
    <w:rsid w:val="000134DA"/>
    <w:rsid w:val="000137C5"/>
    <w:rsid w:val="00014711"/>
    <w:rsid w:val="00014D5D"/>
    <w:rsid w:val="00015641"/>
    <w:rsid w:val="00020527"/>
    <w:rsid w:val="00021589"/>
    <w:rsid w:val="000232E5"/>
    <w:rsid w:val="0002335F"/>
    <w:rsid w:val="00034778"/>
    <w:rsid w:val="00037401"/>
    <w:rsid w:val="00041521"/>
    <w:rsid w:val="000423A5"/>
    <w:rsid w:val="00042C02"/>
    <w:rsid w:val="00053088"/>
    <w:rsid w:val="00056168"/>
    <w:rsid w:val="00062291"/>
    <w:rsid w:val="0006233C"/>
    <w:rsid w:val="00064850"/>
    <w:rsid w:val="00066123"/>
    <w:rsid w:val="00066322"/>
    <w:rsid w:val="0006776C"/>
    <w:rsid w:val="00071936"/>
    <w:rsid w:val="00072749"/>
    <w:rsid w:val="00072750"/>
    <w:rsid w:val="000742AA"/>
    <w:rsid w:val="00075649"/>
    <w:rsid w:val="00076731"/>
    <w:rsid w:val="000777D6"/>
    <w:rsid w:val="00080A8A"/>
    <w:rsid w:val="00080DA7"/>
    <w:rsid w:val="000848B2"/>
    <w:rsid w:val="00086A06"/>
    <w:rsid w:val="00090200"/>
    <w:rsid w:val="00091BA5"/>
    <w:rsid w:val="00092730"/>
    <w:rsid w:val="00092C82"/>
    <w:rsid w:val="00095BBA"/>
    <w:rsid w:val="000967FB"/>
    <w:rsid w:val="00096A06"/>
    <w:rsid w:val="000A1206"/>
    <w:rsid w:val="000A26A7"/>
    <w:rsid w:val="000A2F43"/>
    <w:rsid w:val="000A30EA"/>
    <w:rsid w:val="000A3640"/>
    <w:rsid w:val="000A6EBE"/>
    <w:rsid w:val="000B1882"/>
    <w:rsid w:val="000B2D56"/>
    <w:rsid w:val="000B3015"/>
    <w:rsid w:val="000B3836"/>
    <w:rsid w:val="000B6332"/>
    <w:rsid w:val="000B6EA7"/>
    <w:rsid w:val="000C0112"/>
    <w:rsid w:val="000C169A"/>
    <w:rsid w:val="000C2A67"/>
    <w:rsid w:val="000C4439"/>
    <w:rsid w:val="000C4813"/>
    <w:rsid w:val="000C5656"/>
    <w:rsid w:val="000C5893"/>
    <w:rsid w:val="000D0F3D"/>
    <w:rsid w:val="000D0FAE"/>
    <w:rsid w:val="000D3CAF"/>
    <w:rsid w:val="000E0B69"/>
    <w:rsid w:val="000E4DBA"/>
    <w:rsid w:val="000E65BF"/>
    <w:rsid w:val="000F192C"/>
    <w:rsid w:val="000F2414"/>
    <w:rsid w:val="000F7C22"/>
    <w:rsid w:val="000F7D35"/>
    <w:rsid w:val="000F7F56"/>
    <w:rsid w:val="0010235F"/>
    <w:rsid w:val="00110775"/>
    <w:rsid w:val="00110A04"/>
    <w:rsid w:val="00111A39"/>
    <w:rsid w:val="00113501"/>
    <w:rsid w:val="001159C2"/>
    <w:rsid w:val="001215F2"/>
    <w:rsid w:val="00121C27"/>
    <w:rsid w:val="001258FD"/>
    <w:rsid w:val="00133528"/>
    <w:rsid w:val="001352AE"/>
    <w:rsid w:val="00136047"/>
    <w:rsid w:val="001362D4"/>
    <w:rsid w:val="00140413"/>
    <w:rsid w:val="001509EC"/>
    <w:rsid w:val="0015118C"/>
    <w:rsid w:val="00154DE5"/>
    <w:rsid w:val="00156124"/>
    <w:rsid w:val="001635FC"/>
    <w:rsid w:val="001657A6"/>
    <w:rsid w:val="001708C2"/>
    <w:rsid w:val="001723D5"/>
    <w:rsid w:val="0017419D"/>
    <w:rsid w:val="00175B00"/>
    <w:rsid w:val="0018630D"/>
    <w:rsid w:val="00186355"/>
    <w:rsid w:val="001864E6"/>
    <w:rsid w:val="00186FDA"/>
    <w:rsid w:val="0018762C"/>
    <w:rsid w:val="001930E4"/>
    <w:rsid w:val="001945FA"/>
    <w:rsid w:val="00194F1D"/>
    <w:rsid w:val="00196C09"/>
    <w:rsid w:val="001A0C3F"/>
    <w:rsid w:val="001A32E6"/>
    <w:rsid w:val="001A4446"/>
    <w:rsid w:val="001A5133"/>
    <w:rsid w:val="001A6C99"/>
    <w:rsid w:val="001B0794"/>
    <w:rsid w:val="001B1487"/>
    <w:rsid w:val="001B3E4D"/>
    <w:rsid w:val="001B4A32"/>
    <w:rsid w:val="001C0632"/>
    <w:rsid w:val="001C1C99"/>
    <w:rsid w:val="001C35E3"/>
    <w:rsid w:val="001C5188"/>
    <w:rsid w:val="001C5CAA"/>
    <w:rsid w:val="001C6B70"/>
    <w:rsid w:val="001D047B"/>
    <w:rsid w:val="001D0518"/>
    <w:rsid w:val="001D524D"/>
    <w:rsid w:val="001D591C"/>
    <w:rsid w:val="001D641A"/>
    <w:rsid w:val="001E0126"/>
    <w:rsid w:val="001E01BF"/>
    <w:rsid w:val="001E0A40"/>
    <w:rsid w:val="001E189E"/>
    <w:rsid w:val="001E4971"/>
    <w:rsid w:val="001F0991"/>
    <w:rsid w:val="001F6C4F"/>
    <w:rsid w:val="001F6F5E"/>
    <w:rsid w:val="002009F7"/>
    <w:rsid w:val="0020138A"/>
    <w:rsid w:val="002041CD"/>
    <w:rsid w:val="00207C8B"/>
    <w:rsid w:val="002112C0"/>
    <w:rsid w:val="00224590"/>
    <w:rsid w:val="002254FC"/>
    <w:rsid w:val="002306FF"/>
    <w:rsid w:val="00231919"/>
    <w:rsid w:val="00236D42"/>
    <w:rsid w:val="00240FF7"/>
    <w:rsid w:val="0024557C"/>
    <w:rsid w:val="00245B86"/>
    <w:rsid w:val="0024629D"/>
    <w:rsid w:val="002516D4"/>
    <w:rsid w:val="00251A7C"/>
    <w:rsid w:val="00251DAB"/>
    <w:rsid w:val="00252D78"/>
    <w:rsid w:val="002536B7"/>
    <w:rsid w:val="0025622E"/>
    <w:rsid w:val="002619B1"/>
    <w:rsid w:val="00263413"/>
    <w:rsid w:val="002635F4"/>
    <w:rsid w:val="00263AF5"/>
    <w:rsid w:val="00264EFF"/>
    <w:rsid w:val="002659B9"/>
    <w:rsid w:val="002661A8"/>
    <w:rsid w:val="00266F31"/>
    <w:rsid w:val="002748DB"/>
    <w:rsid w:val="00274FEB"/>
    <w:rsid w:val="00276DB9"/>
    <w:rsid w:val="0028184C"/>
    <w:rsid w:val="00284B9E"/>
    <w:rsid w:val="00284FC0"/>
    <w:rsid w:val="00290F88"/>
    <w:rsid w:val="0029527C"/>
    <w:rsid w:val="0029663B"/>
    <w:rsid w:val="00297DC5"/>
    <w:rsid w:val="002A0366"/>
    <w:rsid w:val="002A1DC8"/>
    <w:rsid w:val="002A21DE"/>
    <w:rsid w:val="002A3B11"/>
    <w:rsid w:val="002A5337"/>
    <w:rsid w:val="002A6332"/>
    <w:rsid w:val="002C0245"/>
    <w:rsid w:val="002C02FB"/>
    <w:rsid w:val="002C5F0D"/>
    <w:rsid w:val="002D5EB9"/>
    <w:rsid w:val="002D632F"/>
    <w:rsid w:val="002E27AE"/>
    <w:rsid w:val="002E4C92"/>
    <w:rsid w:val="002E7B9A"/>
    <w:rsid w:val="002F03D2"/>
    <w:rsid w:val="002F3D65"/>
    <w:rsid w:val="00300259"/>
    <w:rsid w:val="00301E30"/>
    <w:rsid w:val="00305186"/>
    <w:rsid w:val="003067BF"/>
    <w:rsid w:val="00311E81"/>
    <w:rsid w:val="00313AC3"/>
    <w:rsid w:val="00317306"/>
    <w:rsid w:val="003201AC"/>
    <w:rsid w:val="0032239A"/>
    <w:rsid w:val="00327E5D"/>
    <w:rsid w:val="00335168"/>
    <w:rsid w:val="003368BF"/>
    <w:rsid w:val="003440A9"/>
    <w:rsid w:val="00347761"/>
    <w:rsid w:val="00347B1D"/>
    <w:rsid w:val="00347DD9"/>
    <w:rsid w:val="00350B03"/>
    <w:rsid w:val="00351804"/>
    <w:rsid w:val="00351F18"/>
    <w:rsid w:val="00352361"/>
    <w:rsid w:val="00353081"/>
    <w:rsid w:val="00355B9E"/>
    <w:rsid w:val="00356656"/>
    <w:rsid w:val="00362010"/>
    <w:rsid w:val="00364CD8"/>
    <w:rsid w:val="00365779"/>
    <w:rsid w:val="00370C53"/>
    <w:rsid w:val="00372441"/>
    <w:rsid w:val="0037258B"/>
    <w:rsid w:val="00372783"/>
    <w:rsid w:val="00374C35"/>
    <w:rsid w:val="00376DBB"/>
    <w:rsid w:val="003822E1"/>
    <w:rsid w:val="003826B0"/>
    <w:rsid w:val="0038382F"/>
    <w:rsid w:val="00383A2A"/>
    <w:rsid w:val="003851B2"/>
    <w:rsid w:val="003854D3"/>
    <w:rsid w:val="0038635E"/>
    <w:rsid w:val="003908D2"/>
    <w:rsid w:val="003916E3"/>
    <w:rsid w:val="003924D0"/>
    <w:rsid w:val="0039525B"/>
    <w:rsid w:val="003A3AB0"/>
    <w:rsid w:val="003A6785"/>
    <w:rsid w:val="003B290D"/>
    <w:rsid w:val="003B3DB9"/>
    <w:rsid w:val="003B4387"/>
    <w:rsid w:val="003B6ECC"/>
    <w:rsid w:val="003B7708"/>
    <w:rsid w:val="003C2022"/>
    <w:rsid w:val="003C24AD"/>
    <w:rsid w:val="003D2601"/>
    <w:rsid w:val="003D27E3"/>
    <w:rsid w:val="003D28E6"/>
    <w:rsid w:val="003D7469"/>
    <w:rsid w:val="003E2C04"/>
    <w:rsid w:val="003E3757"/>
    <w:rsid w:val="003E693A"/>
    <w:rsid w:val="003F2833"/>
    <w:rsid w:val="003F3D65"/>
    <w:rsid w:val="003F4CFC"/>
    <w:rsid w:val="00405198"/>
    <w:rsid w:val="004056E6"/>
    <w:rsid w:val="00406100"/>
    <w:rsid w:val="00412A7D"/>
    <w:rsid w:val="004179FD"/>
    <w:rsid w:val="00421157"/>
    <w:rsid w:val="0042474E"/>
    <w:rsid w:val="00425E32"/>
    <w:rsid w:val="00432D7F"/>
    <w:rsid w:val="00436909"/>
    <w:rsid w:val="00437FD0"/>
    <w:rsid w:val="004402AC"/>
    <w:rsid w:val="004403EE"/>
    <w:rsid w:val="00440948"/>
    <w:rsid w:val="004412E7"/>
    <w:rsid w:val="004452D5"/>
    <w:rsid w:val="00446AFD"/>
    <w:rsid w:val="004528AF"/>
    <w:rsid w:val="004536D7"/>
    <w:rsid w:val="00455FC4"/>
    <w:rsid w:val="00456F88"/>
    <w:rsid w:val="0045725F"/>
    <w:rsid w:val="00457F98"/>
    <w:rsid w:val="0046500A"/>
    <w:rsid w:val="00465ED9"/>
    <w:rsid w:val="00470566"/>
    <w:rsid w:val="004707D1"/>
    <w:rsid w:val="00470E93"/>
    <w:rsid w:val="004713C2"/>
    <w:rsid w:val="00471CEE"/>
    <w:rsid w:val="00472F34"/>
    <w:rsid w:val="0047469B"/>
    <w:rsid w:val="00475AEE"/>
    <w:rsid w:val="00477B3D"/>
    <w:rsid w:val="00477CC8"/>
    <w:rsid w:val="00482C15"/>
    <w:rsid w:val="004838D9"/>
    <w:rsid w:val="00484822"/>
    <w:rsid w:val="00485941"/>
    <w:rsid w:val="00485D55"/>
    <w:rsid w:val="0049409E"/>
    <w:rsid w:val="004A2AA3"/>
    <w:rsid w:val="004A3F30"/>
    <w:rsid w:val="004B22B8"/>
    <w:rsid w:val="004B3E41"/>
    <w:rsid w:val="004B4BCE"/>
    <w:rsid w:val="004B552B"/>
    <w:rsid w:val="004B7C07"/>
    <w:rsid w:val="004C602D"/>
    <w:rsid w:val="004C6CD8"/>
    <w:rsid w:val="004D3866"/>
    <w:rsid w:val="004D487C"/>
    <w:rsid w:val="004D4B4D"/>
    <w:rsid w:val="004D5473"/>
    <w:rsid w:val="004D552F"/>
    <w:rsid w:val="004D7029"/>
    <w:rsid w:val="004D74F2"/>
    <w:rsid w:val="004E1B0E"/>
    <w:rsid w:val="004F2363"/>
    <w:rsid w:val="004F2969"/>
    <w:rsid w:val="004F353F"/>
    <w:rsid w:val="004F62CF"/>
    <w:rsid w:val="004F7640"/>
    <w:rsid w:val="00501182"/>
    <w:rsid w:val="00502FAD"/>
    <w:rsid w:val="00504A9C"/>
    <w:rsid w:val="00507DF5"/>
    <w:rsid w:val="005121D2"/>
    <w:rsid w:val="00513C73"/>
    <w:rsid w:val="00513E84"/>
    <w:rsid w:val="00517918"/>
    <w:rsid w:val="0052059B"/>
    <w:rsid w:val="0052385B"/>
    <w:rsid w:val="0052413A"/>
    <w:rsid w:val="0052748A"/>
    <w:rsid w:val="0052769A"/>
    <w:rsid w:val="00527DE8"/>
    <w:rsid w:val="005306B5"/>
    <w:rsid w:val="005307B3"/>
    <w:rsid w:val="00531174"/>
    <w:rsid w:val="0053212F"/>
    <w:rsid w:val="0053215B"/>
    <w:rsid w:val="005324A5"/>
    <w:rsid w:val="00533B48"/>
    <w:rsid w:val="00541A6A"/>
    <w:rsid w:val="00542523"/>
    <w:rsid w:val="005428C3"/>
    <w:rsid w:val="00546D71"/>
    <w:rsid w:val="0054791C"/>
    <w:rsid w:val="0055340D"/>
    <w:rsid w:val="0055385D"/>
    <w:rsid w:val="00555C1F"/>
    <w:rsid w:val="00561640"/>
    <w:rsid w:val="00563CB8"/>
    <w:rsid w:val="00563DC9"/>
    <w:rsid w:val="005641F5"/>
    <w:rsid w:val="00565871"/>
    <w:rsid w:val="00567E85"/>
    <w:rsid w:val="00570901"/>
    <w:rsid w:val="00572106"/>
    <w:rsid w:val="00576E4A"/>
    <w:rsid w:val="00581401"/>
    <w:rsid w:val="005837C5"/>
    <w:rsid w:val="00583FF7"/>
    <w:rsid w:val="00585771"/>
    <w:rsid w:val="00585A0D"/>
    <w:rsid w:val="00585F86"/>
    <w:rsid w:val="005875D8"/>
    <w:rsid w:val="00592D68"/>
    <w:rsid w:val="00593697"/>
    <w:rsid w:val="0059477A"/>
    <w:rsid w:val="00595905"/>
    <w:rsid w:val="005960E3"/>
    <w:rsid w:val="005A5D98"/>
    <w:rsid w:val="005A7968"/>
    <w:rsid w:val="005B22B2"/>
    <w:rsid w:val="005B3D78"/>
    <w:rsid w:val="005B7E6E"/>
    <w:rsid w:val="005C0406"/>
    <w:rsid w:val="005C4572"/>
    <w:rsid w:val="005C738B"/>
    <w:rsid w:val="005C7B5F"/>
    <w:rsid w:val="005D41FC"/>
    <w:rsid w:val="005D5AE0"/>
    <w:rsid w:val="005D7C72"/>
    <w:rsid w:val="005E0969"/>
    <w:rsid w:val="005E2E87"/>
    <w:rsid w:val="005E61DB"/>
    <w:rsid w:val="005F147C"/>
    <w:rsid w:val="005F50B0"/>
    <w:rsid w:val="005F5D35"/>
    <w:rsid w:val="005F657A"/>
    <w:rsid w:val="00603970"/>
    <w:rsid w:val="006044CD"/>
    <w:rsid w:val="00607856"/>
    <w:rsid w:val="006124D5"/>
    <w:rsid w:val="006149A6"/>
    <w:rsid w:val="00620F72"/>
    <w:rsid w:val="0062277B"/>
    <w:rsid w:val="006261E1"/>
    <w:rsid w:val="00626E4A"/>
    <w:rsid w:val="00627010"/>
    <w:rsid w:val="0063653C"/>
    <w:rsid w:val="006375AF"/>
    <w:rsid w:val="00637AF5"/>
    <w:rsid w:val="00641DC5"/>
    <w:rsid w:val="00643550"/>
    <w:rsid w:val="00644540"/>
    <w:rsid w:val="00645C3F"/>
    <w:rsid w:val="00646088"/>
    <w:rsid w:val="00650CCE"/>
    <w:rsid w:val="00651092"/>
    <w:rsid w:val="00653137"/>
    <w:rsid w:val="00653ABB"/>
    <w:rsid w:val="00656516"/>
    <w:rsid w:val="0066211A"/>
    <w:rsid w:val="00663A00"/>
    <w:rsid w:val="006661AE"/>
    <w:rsid w:val="006667A3"/>
    <w:rsid w:val="00667B86"/>
    <w:rsid w:val="0068018C"/>
    <w:rsid w:val="0069247E"/>
    <w:rsid w:val="00696173"/>
    <w:rsid w:val="006A09D6"/>
    <w:rsid w:val="006A3594"/>
    <w:rsid w:val="006B0965"/>
    <w:rsid w:val="006B32EB"/>
    <w:rsid w:val="006B61DD"/>
    <w:rsid w:val="006B7CCB"/>
    <w:rsid w:val="006C0D2A"/>
    <w:rsid w:val="006C6C91"/>
    <w:rsid w:val="006D5208"/>
    <w:rsid w:val="006E1E71"/>
    <w:rsid w:val="006E22F0"/>
    <w:rsid w:val="006E4C84"/>
    <w:rsid w:val="006E6B55"/>
    <w:rsid w:val="006E7A67"/>
    <w:rsid w:val="006E7D3C"/>
    <w:rsid w:val="006F3BD7"/>
    <w:rsid w:val="00701B80"/>
    <w:rsid w:val="00704FB1"/>
    <w:rsid w:val="00704FED"/>
    <w:rsid w:val="0070529E"/>
    <w:rsid w:val="00706BDB"/>
    <w:rsid w:val="00706F7A"/>
    <w:rsid w:val="00707670"/>
    <w:rsid w:val="0071568E"/>
    <w:rsid w:val="0072440D"/>
    <w:rsid w:val="00724760"/>
    <w:rsid w:val="00730123"/>
    <w:rsid w:val="0073192F"/>
    <w:rsid w:val="007334AB"/>
    <w:rsid w:val="00733C74"/>
    <w:rsid w:val="007349B6"/>
    <w:rsid w:val="00735658"/>
    <w:rsid w:val="00737EE7"/>
    <w:rsid w:val="00741955"/>
    <w:rsid w:val="007456E7"/>
    <w:rsid w:val="00747B84"/>
    <w:rsid w:val="007563A7"/>
    <w:rsid w:val="00760476"/>
    <w:rsid w:val="007623AE"/>
    <w:rsid w:val="0076269D"/>
    <w:rsid w:val="00766336"/>
    <w:rsid w:val="0076658E"/>
    <w:rsid w:val="00767641"/>
    <w:rsid w:val="00767DE3"/>
    <w:rsid w:val="00772135"/>
    <w:rsid w:val="00772FCA"/>
    <w:rsid w:val="0077398D"/>
    <w:rsid w:val="007757C7"/>
    <w:rsid w:val="00785C71"/>
    <w:rsid w:val="0079104C"/>
    <w:rsid w:val="00796D57"/>
    <w:rsid w:val="00797281"/>
    <w:rsid w:val="007A297D"/>
    <w:rsid w:val="007B0EDD"/>
    <w:rsid w:val="007B764B"/>
    <w:rsid w:val="007C14C1"/>
    <w:rsid w:val="007C7DB0"/>
    <w:rsid w:val="007D1715"/>
    <w:rsid w:val="007D2F12"/>
    <w:rsid w:val="007D4134"/>
    <w:rsid w:val="007D5746"/>
    <w:rsid w:val="007E463A"/>
    <w:rsid w:val="007E4E86"/>
    <w:rsid w:val="007E7665"/>
    <w:rsid w:val="007F5CC0"/>
    <w:rsid w:val="007F73A2"/>
    <w:rsid w:val="007F76FC"/>
    <w:rsid w:val="00801EDF"/>
    <w:rsid w:val="00804C62"/>
    <w:rsid w:val="00807C6B"/>
    <w:rsid w:val="008139A0"/>
    <w:rsid w:val="008145C0"/>
    <w:rsid w:val="008151E5"/>
    <w:rsid w:val="00815E17"/>
    <w:rsid w:val="00816527"/>
    <w:rsid w:val="00820EF9"/>
    <w:rsid w:val="0082210F"/>
    <w:rsid w:val="008228CD"/>
    <w:rsid w:val="008261D2"/>
    <w:rsid w:val="008275EE"/>
    <w:rsid w:val="00831B4C"/>
    <w:rsid w:val="00831E9D"/>
    <w:rsid w:val="008336BE"/>
    <w:rsid w:val="00835495"/>
    <w:rsid w:val="008434A6"/>
    <w:rsid w:val="0084358E"/>
    <w:rsid w:val="00847A03"/>
    <w:rsid w:val="00850CE6"/>
    <w:rsid w:val="008511D5"/>
    <w:rsid w:val="00853CF3"/>
    <w:rsid w:val="008572B2"/>
    <w:rsid w:val="00860A88"/>
    <w:rsid w:val="00861F0C"/>
    <w:rsid w:val="00864A80"/>
    <w:rsid w:val="00872393"/>
    <w:rsid w:val="008732CC"/>
    <w:rsid w:val="00874AF4"/>
    <w:rsid w:val="00875D0A"/>
    <w:rsid w:val="00876632"/>
    <w:rsid w:val="0088086D"/>
    <w:rsid w:val="00880AAD"/>
    <w:rsid w:val="008811DC"/>
    <w:rsid w:val="00883761"/>
    <w:rsid w:val="00884AB6"/>
    <w:rsid w:val="008907FE"/>
    <w:rsid w:val="00891CA9"/>
    <w:rsid w:val="00892CE7"/>
    <w:rsid w:val="00893930"/>
    <w:rsid w:val="00893A85"/>
    <w:rsid w:val="00897E18"/>
    <w:rsid w:val="008A0F55"/>
    <w:rsid w:val="008A1774"/>
    <w:rsid w:val="008A2DA8"/>
    <w:rsid w:val="008A5010"/>
    <w:rsid w:val="008A6D20"/>
    <w:rsid w:val="008A7263"/>
    <w:rsid w:val="008B1311"/>
    <w:rsid w:val="008B31CC"/>
    <w:rsid w:val="008B3D1D"/>
    <w:rsid w:val="008B456C"/>
    <w:rsid w:val="008B5DE1"/>
    <w:rsid w:val="008C1826"/>
    <w:rsid w:val="008C7679"/>
    <w:rsid w:val="008D0396"/>
    <w:rsid w:val="008D3566"/>
    <w:rsid w:val="008D3BC0"/>
    <w:rsid w:val="008D5D6B"/>
    <w:rsid w:val="008D6D91"/>
    <w:rsid w:val="008E2674"/>
    <w:rsid w:val="008F204B"/>
    <w:rsid w:val="009000C9"/>
    <w:rsid w:val="00900694"/>
    <w:rsid w:val="00902D87"/>
    <w:rsid w:val="00903656"/>
    <w:rsid w:val="009062ED"/>
    <w:rsid w:val="0090775D"/>
    <w:rsid w:val="00910D8E"/>
    <w:rsid w:val="009135A8"/>
    <w:rsid w:val="0091722D"/>
    <w:rsid w:val="00922E34"/>
    <w:rsid w:val="00930BBC"/>
    <w:rsid w:val="00933100"/>
    <w:rsid w:val="009403AD"/>
    <w:rsid w:val="0094277B"/>
    <w:rsid w:val="00942970"/>
    <w:rsid w:val="0095440E"/>
    <w:rsid w:val="00960CB6"/>
    <w:rsid w:val="009614B3"/>
    <w:rsid w:val="0096199D"/>
    <w:rsid w:val="00962802"/>
    <w:rsid w:val="00963CDE"/>
    <w:rsid w:val="00966D72"/>
    <w:rsid w:val="00967678"/>
    <w:rsid w:val="00970EE1"/>
    <w:rsid w:val="0097223B"/>
    <w:rsid w:val="009732BA"/>
    <w:rsid w:val="0098148A"/>
    <w:rsid w:val="009859E7"/>
    <w:rsid w:val="009A0390"/>
    <w:rsid w:val="009A3159"/>
    <w:rsid w:val="009B0F30"/>
    <w:rsid w:val="009B12D0"/>
    <w:rsid w:val="009B14FE"/>
    <w:rsid w:val="009B4FE2"/>
    <w:rsid w:val="009B7417"/>
    <w:rsid w:val="009B7A47"/>
    <w:rsid w:val="009B7C85"/>
    <w:rsid w:val="009C0391"/>
    <w:rsid w:val="009C2014"/>
    <w:rsid w:val="009C3C09"/>
    <w:rsid w:val="009C4F9F"/>
    <w:rsid w:val="009D0B7A"/>
    <w:rsid w:val="009D12CD"/>
    <w:rsid w:val="009D2572"/>
    <w:rsid w:val="009E05C6"/>
    <w:rsid w:val="009E07D2"/>
    <w:rsid w:val="009E734D"/>
    <w:rsid w:val="009F08A0"/>
    <w:rsid w:val="009F31D9"/>
    <w:rsid w:val="009F3652"/>
    <w:rsid w:val="009F70AA"/>
    <w:rsid w:val="00A00C7F"/>
    <w:rsid w:val="00A0163A"/>
    <w:rsid w:val="00A07A4E"/>
    <w:rsid w:val="00A1361E"/>
    <w:rsid w:val="00A14884"/>
    <w:rsid w:val="00A14F0A"/>
    <w:rsid w:val="00A24DAB"/>
    <w:rsid w:val="00A253EA"/>
    <w:rsid w:val="00A32A52"/>
    <w:rsid w:val="00A32E00"/>
    <w:rsid w:val="00A36415"/>
    <w:rsid w:val="00A4462B"/>
    <w:rsid w:val="00A44C35"/>
    <w:rsid w:val="00A4688B"/>
    <w:rsid w:val="00A6073A"/>
    <w:rsid w:val="00A63A43"/>
    <w:rsid w:val="00A648F9"/>
    <w:rsid w:val="00A65FF8"/>
    <w:rsid w:val="00A75116"/>
    <w:rsid w:val="00A77308"/>
    <w:rsid w:val="00A81C2F"/>
    <w:rsid w:val="00A908AC"/>
    <w:rsid w:val="00A948B3"/>
    <w:rsid w:val="00A95E92"/>
    <w:rsid w:val="00A968CA"/>
    <w:rsid w:val="00AA0831"/>
    <w:rsid w:val="00AA1DC0"/>
    <w:rsid w:val="00AA4F28"/>
    <w:rsid w:val="00AA5F43"/>
    <w:rsid w:val="00AA7184"/>
    <w:rsid w:val="00AB5DE8"/>
    <w:rsid w:val="00AC1DE5"/>
    <w:rsid w:val="00AC1F67"/>
    <w:rsid w:val="00AC21F7"/>
    <w:rsid w:val="00AC2AB4"/>
    <w:rsid w:val="00AC6562"/>
    <w:rsid w:val="00AD26BF"/>
    <w:rsid w:val="00AD2E2E"/>
    <w:rsid w:val="00AD440D"/>
    <w:rsid w:val="00AE01CA"/>
    <w:rsid w:val="00AE14E2"/>
    <w:rsid w:val="00AE3076"/>
    <w:rsid w:val="00AE39D9"/>
    <w:rsid w:val="00AE4B60"/>
    <w:rsid w:val="00AE65BA"/>
    <w:rsid w:val="00AF1F26"/>
    <w:rsid w:val="00AF3526"/>
    <w:rsid w:val="00AF5088"/>
    <w:rsid w:val="00AF5A63"/>
    <w:rsid w:val="00AF5B2B"/>
    <w:rsid w:val="00B00346"/>
    <w:rsid w:val="00B01708"/>
    <w:rsid w:val="00B01840"/>
    <w:rsid w:val="00B04126"/>
    <w:rsid w:val="00B044E7"/>
    <w:rsid w:val="00B10BF2"/>
    <w:rsid w:val="00B1409A"/>
    <w:rsid w:val="00B205E1"/>
    <w:rsid w:val="00B20B90"/>
    <w:rsid w:val="00B231AA"/>
    <w:rsid w:val="00B23AD5"/>
    <w:rsid w:val="00B256BA"/>
    <w:rsid w:val="00B27639"/>
    <w:rsid w:val="00B30BF5"/>
    <w:rsid w:val="00B31BA2"/>
    <w:rsid w:val="00B32B73"/>
    <w:rsid w:val="00B44504"/>
    <w:rsid w:val="00B46A67"/>
    <w:rsid w:val="00B46C45"/>
    <w:rsid w:val="00B4758B"/>
    <w:rsid w:val="00B5282C"/>
    <w:rsid w:val="00B54BDA"/>
    <w:rsid w:val="00B57A9F"/>
    <w:rsid w:val="00B6092B"/>
    <w:rsid w:val="00B66DB7"/>
    <w:rsid w:val="00B71188"/>
    <w:rsid w:val="00B7194E"/>
    <w:rsid w:val="00B75489"/>
    <w:rsid w:val="00B76D5E"/>
    <w:rsid w:val="00B7709D"/>
    <w:rsid w:val="00B7750C"/>
    <w:rsid w:val="00B80621"/>
    <w:rsid w:val="00B80877"/>
    <w:rsid w:val="00B808D4"/>
    <w:rsid w:val="00B83D9F"/>
    <w:rsid w:val="00B865E3"/>
    <w:rsid w:val="00BA15C4"/>
    <w:rsid w:val="00BA4548"/>
    <w:rsid w:val="00BA46CB"/>
    <w:rsid w:val="00BA536E"/>
    <w:rsid w:val="00BA5DEF"/>
    <w:rsid w:val="00BA6CB2"/>
    <w:rsid w:val="00BA6E05"/>
    <w:rsid w:val="00BA7D7C"/>
    <w:rsid w:val="00BA7F1C"/>
    <w:rsid w:val="00BB27BA"/>
    <w:rsid w:val="00BB2A90"/>
    <w:rsid w:val="00BB3487"/>
    <w:rsid w:val="00BB459A"/>
    <w:rsid w:val="00BB4709"/>
    <w:rsid w:val="00BB592F"/>
    <w:rsid w:val="00BC06EC"/>
    <w:rsid w:val="00BC1873"/>
    <w:rsid w:val="00BC293F"/>
    <w:rsid w:val="00BC3880"/>
    <w:rsid w:val="00BC4ADE"/>
    <w:rsid w:val="00BC54A9"/>
    <w:rsid w:val="00BC55AA"/>
    <w:rsid w:val="00BD28C9"/>
    <w:rsid w:val="00BD7AD4"/>
    <w:rsid w:val="00BD7B6F"/>
    <w:rsid w:val="00BE4EBD"/>
    <w:rsid w:val="00BE6EFE"/>
    <w:rsid w:val="00BF6DF5"/>
    <w:rsid w:val="00C001DE"/>
    <w:rsid w:val="00C02E75"/>
    <w:rsid w:val="00C02EC2"/>
    <w:rsid w:val="00C07D88"/>
    <w:rsid w:val="00C151B9"/>
    <w:rsid w:val="00C17AF0"/>
    <w:rsid w:val="00C208EA"/>
    <w:rsid w:val="00C2283A"/>
    <w:rsid w:val="00C23F0A"/>
    <w:rsid w:val="00C252EF"/>
    <w:rsid w:val="00C25C43"/>
    <w:rsid w:val="00C27E34"/>
    <w:rsid w:val="00C310F9"/>
    <w:rsid w:val="00C34B83"/>
    <w:rsid w:val="00C419B4"/>
    <w:rsid w:val="00C424C5"/>
    <w:rsid w:val="00C42C58"/>
    <w:rsid w:val="00C441BE"/>
    <w:rsid w:val="00C47784"/>
    <w:rsid w:val="00C4787C"/>
    <w:rsid w:val="00C5015B"/>
    <w:rsid w:val="00C512D6"/>
    <w:rsid w:val="00C52FD6"/>
    <w:rsid w:val="00C5528C"/>
    <w:rsid w:val="00C55DDA"/>
    <w:rsid w:val="00C7162F"/>
    <w:rsid w:val="00C745E1"/>
    <w:rsid w:val="00C82024"/>
    <w:rsid w:val="00C85806"/>
    <w:rsid w:val="00C8581B"/>
    <w:rsid w:val="00C920BB"/>
    <w:rsid w:val="00C9359E"/>
    <w:rsid w:val="00C94AC5"/>
    <w:rsid w:val="00C9623A"/>
    <w:rsid w:val="00C96696"/>
    <w:rsid w:val="00CA17D2"/>
    <w:rsid w:val="00CA53F8"/>
    <w:rsid w:val="00CA6CC7"/>
    <w:rsid w:val="00CB4795"/>
    <w:rsid w:val="00CC1BF8"/>
    <w:rsid w:val="00CC2982"/>
    <w:rsid w:val="00CC3C40"/>
    <w:rsid w:val="00CC605E"/>
    <w:rsid w:val="00CC6E60"/>
    <w:rsid w:val="00CD1A34"/>
    <w:rsid w:val="00CD3A81"/>
    <w:rsid w:val="00CD4793"/>
    <w:rsid w:val="00CD5DA3"/>
    <w:rsid w:val="00CD61D0"/>
    <w:rsid w:val="00CD7963"/>
    <w:rsid w:val="00CE0D9A"/>
    <w:rsid w:val="00CE2836"/>
    <w:rsid w:val="00CE3D78"/>
    <w:rsid w:val="00CE5BEA"/>
    <w:rsid w:val="00CE6C54"/>
    <w:rsid w:val="00CF08C2"/>
    <w:rsid w:val="00CF2582"/>
    <w:rsid w:val="00CF2986"/>
    <w:rsid w:val="00CF498D"/>
    <w:rsid w:val="00CF5739"/>
    <w:rsid w:val="00D031FA"/>
    <w:rsid w:val="00D04333"/>
    <w:rsid w:val="00D066C5"/>
    <w:rsid w:val="00D101DC"/>
    <w:rsid w:val="00D141E9"/>
    <w:rsid w:val="00D22B12"/>
    <w:rsid w:val="00D22F35"/>
    <w:rsid w:val="00D2326D"/>
    <w:rsid w:val="00D24585"/>
    <w:rsid w:val="00D257AC"/>
    <w:rsid w:val="00D3179C"/>
    <w:rsid w:val="00D31C4D"/>
    <w:rsid w:val="00D3492E"/>
    <w:rsid w:val="00D354D1"/>
    <w:rsid w:val="00D36C11"/>
    <w:rsid w:val="00D36D10"/>
    <w:rsid w:val="00D374A9"/>
    <w:rsid w:val="00D41B54"/>
    <w:rsid w:val="00D4259D"/>
    <w:rsid w:val="00D44710"/>
    <w:rsid w:val="00D4700C"/>
    <w:rsid w:val="00D479EE"/>
    <w:rsid w:val="00D52801"/>
    <w:rsid w:val="00D5676B"/>
    <w:rsid w:val="00D57066"/>
    <w:rsid w:val="00D61341"/>
    <w:rsid w:val="00D70786"/>
    <w:rsid w:val="00D72981"/>
    <w:rsid w:val="00D74E8A"/>
    <w:rsid w:val="00D920A6"/>
    <w:rsid w:val="00D9328F"/>
    <w:rsid w:val="00D94FAB"/>
    <w:rsid w:val="00D95A65"/>
    <w:rsid w:val="00DA030E"/>
    <w:rsid w:val="00DA4321"/>
    <w:rsid w:val="00DB0327"/>
    <w:rsid w:val="00DB34C3"/>
    <w:rsid w:val="00DB3C98"/>
    <w:rsid w:val="00DC0419"/>
    <w:rsid w:val="00DC0591"/>
    <w:rsid w:val="00DC1E27"/>
    <w:rsid w:val="00DC7604"/>
    <w:rsid w:val="00DD051A"/>
    <w:rsid w:val="00DD207B"/>
    <w:rsid w:val="00DD3D04"/>
    <w:rsid w:val="00DD6609"/>
    <w:rsid w:val="00DD6BA0"/>
    <w:rsid w:val="00DD6FCC"/>
    <w:rsid w:val="00DE3084"/>
    <w:rsid w:val="00DF1467"/>
    <w:rsid w:val="00DF2025"/>
    <w:rsid w:val="00DF32F5"/>
    <w:rsid w:val="00DF3D1C"/>
    <w:rsid w:val="00DF4061"/>
    <w:rsid w:val="00DF5111"/>
    <w:rsid w:val="00E0286B"/>
    <w:rsid w:val="00E100D0"/>
    <w:rsid w:val="00E1158D"/>
    <w:rsid w:val="00E16070"/>
    <w:rsid w:val="00E173B3"/>
    <w:rsid w:val="00E223DA"/>
    <w:rsid w:val="00E22A24"/>
    <w:rsid w:val="00E2404D"/>
    <w:rsid w:val="00E26A26"/>
    <w:rsid w:val="00E31D9D"/>
    <w:rsid w:val="00E3245A"/>
    <w:rsid w:val="00E409AA"/>
    <w:rsid w:val="00E44A64"/>
    <w:rsid w:val="00E45753"/>
    <w:rsid w:val="00E46711"/>
    <w:rsid w:val="00E53E91"/>
    <w:rsid w:val="00E560AD"/>
    <w:rsid w:val="00E56C25"/>
    <w:rsid w:val="00E579AC"/>
    <w:rsid w:val="00E6036C"/>
    <w:rsid w:val="00E60525"/>
    <w:rsid w:val="00E618D5"/>
    <w:rsid w:val="00E63363"/>
    <w:rsid w:val="00E6588C"/>
    <w:rsid w:val="00E65C14"/>
    <w:rsid w:val="00E6729E"/>
    <w:rsid w:val="00E673E7"/>
    <w:rsid w:val="00E7559A"/>
    <w:rsid w:val="00E7754E"/>
    <w:rsid w:val="00E84B8F"/>
    <w:rsid w:val="00E9190E"/>
    <w:rsid w:val="00E92750"/>
    <w:rsid w:val="00E93803"/>
    <w:rsid w:val="00E946A0"/>
    <w:rsid w:val="00E94D92"/>
    <w:rsid w:val="00EA0C17"/>
    <w:rsid w:val="00EA2731"/>
    <w:rsid w:val="00EA3693"/>
    <w:rsid w:val="00EA44C5"/>
    <w:rsid w:val="00EA452A"/>
    <w:rsid w:val="00EA74B5"/>
    <w:rsid w:val="00EB2F83"/>
    <w:rsid w:val="00EB4655"/>
    <w:rsid w:val="00EB4AAC"/>
    <w:rsid w:val="00EB4DBD"/>
    <w:rsid w:val="00EB6D24"/>
    <w:rsid w:val="00EB782B"/>
    <w:rsid w:val="00EC15E4"/>
    <w:rsid w:val="00EC1E30"/>
    <w:rsid w:val="00EC238E"/>
    <w:rsid w:val="00EC3F22"/>
    <w:rsid w:val="00ED0044"/>
    <w:rsid w:val="00ED34EC"/>
    <w:rsid w:val="00ED491F"/>
    <w:rsid w:val="00ED6411"/>
    <w:rsid w:val="00EE360E"/>
    <w:rsid w:val="00EE5F60"/>
    <w:rsid w:val="00EE66B9"/>
    <w:rsid w:val="00EF006B"/>
    <w:rsid w:val="00EF12C5"/>
    <w:rsid w:val="00F07B41"/>
    <w:rsid w:val="00F10E78"/>
    <w:rsid w:val="00F10E87"/>
    <w:rsid w:val="00F12958"/>
    <w:rsid w:val="00F137C6"/>
    <w:rsid w:val="00F143C7"/>
    <w:rsid w:val="00F21CD9"/>
    <w:rsid w:val="00F21FC7"/>
    <w:rsid w:val="00F308FF"/>
    <w:rsid w:val="00F355C2"/>
    <w:rsid w:val="00F36D38"/>
    <w:rsid w:val="00F37F20"/>
    <w:rsid w:val="00F41D88"/>
    <w:rsid w:val="00F43401"/>
    <w:rsid w:val="00F43553"/>
    <w:rsid w:val="00F4386A"/>
    <w:rsid w:val="00F44637"/>
    <w:rsid w:val="00F4480D"/>
    <w:rsid w:val="00F457A9"/>
    <w:rsid w:val="00F52488"/>
    <w:rsid w:val="00F544D9"/>
    <w:rsid w:val="00F55D1F"/>
    <w:rsid w:val="00F55F78"/>
    <w:rsid w:val="00F60C57"/>
    <w:rsid w:val="00F64807"/>
    <w:rsid w:val="00F6568B"/>
    <w:rsid w:val="00F7114B"/>
    <w:rsid w:val="00F7742B"/>
    <w:rsid w:val="00F814D5"/>
    <w:rsid w:val="00F87643"/>
    <w:rsid w:val="00F92CB6"/>
    <w:rsid w:val="00F942C8"/>
    <w:rsid w:val="00FA0A05"/>
    <w:rsid w:val="00FA1062"/>
    <w:rsid w:val="00FA3204"/>
    <w:rsid w:val="00FA3976"/>
    <w:rsid w:val="00FA5272"/>
    <w:rsid w:val="00FB08BA"/>
    <w:rsid w:val="00FB2878"/>
    <w:rsid w:val="00FB75ED"/>
    <w:rsid w:val="00FB7695"/>
    <w:rsid w:val="00FC349F"/>
    <w:rsid w:val="00FC714C"/>
    <w:rsid w:val="00FD275D"/>
    <w:rsid w:val="00FD2CD5"/>
    <w:rsid w:val="00FD6A91"/>
    <w:rsid w:val="00FE06D2"/>
    <w:rsid w:val="00FE0B25"/>
    <w:rsid w:val="00FE12D4"/>
    <w:rsid w:val="00FE28A3"/>
    <w:rsid w:val="00FE2A44"/>
    <w:rsid w:val="00FE662D"/>
    <w:rsid w:val="00FF02DE"/>
    <w:rsid w:val="00FF1AAB"/>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17419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17419D"/>
    <w:rPr>
      <w:rFonts w:asciiTheme="minorHAnsi" w:eastAsia="Times New Roman" w:hAnsiTheme="minorHAnsi" w:cs="Times New Roman"/>
      <w:b/>
      <w:bCs/>
      <w:i w:val="0"/>
      <w:color w:val="4F81BD"/>
      <w:sz w:val="28"/>
      <w:szCs w:val="26"/>
    </w:rPr>
  </w:style>
  <w:style w:type="paragraph" w:customStyle="1" w:styleId="TA">
    <w:name w:val="*TA*"/>
    <w:link w:val="TAChar"/>
    <w:qFormat/>
    <w:rsid w:val="0017419D"/>
    <w:pPr>
      <w:spacing w:before="180" w:after="180"/>
    </w:pPr>
    <w:rPr>
      <w:sz w:val="22"/>
      <w:szCs w:val="22"/>
    </w:rPr>
  </w:style>
  <w:style w:type="character" w:customStyle="1" w:styleId="TAChar">
    <w:name w:val="*TA* Char"/>
    <w:basedOn w:val="DefaultParagraphFont"/>
    <w:link w:val="TA"/>
    <w:rsid w:val="0017419D"/>
    <w:rPr>
      <w:sz w:val="22"/>
      <w:szCs w:val="22"/>
    </w:rPr>
  </w:style>
  <w:style w:type="paragraph" w:customStyle="1" w:styleId="IN">
    <w:name w:val="*IN*"/>
    <w:link w:val="INChar"/>
    <w:qFormat/>
    <w:rsid w:val="0017419D"/>
    <w:pPr>
      <w:numPr>
        <w:numId w:val="4"/>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17419D"/>
    <w:pPr>
      <w:numPr>
        <w:numId w:val="3"/>
      </w:numPr>
      <w:spacing w:before="60" w:after="60" w:line="276" w:lineRule="auto"/>
      <w:ind w:left="360"/>
    </w:pPr>
    <w:rPr>
      <w:sz w:val="22"/>
      <w:szCs w:val="22"/>
    </w:rPr>
  </w:style>
  <w:style w:type="character" w:customStyle="1" w:styleId="INChar">
    <w:name w:val="*IN* Char"/>
    <w:basedOn w:val="DefaultParagraphFont"/>
    <w:link w:val="IN"/>
    <w:rsid w:val="0017419D"/>
    <w:rPr>
      <w:color w:val="4F81BD" w:themeColor="accent1"/>
      <w:sz w:val="22"/>
      <w:szCs w:val="22"/>
    </w:rPr>
  </w:style>
  <w:style w:type="paragraph" w:customStyle="1" w:styleId="NumberedList">
    <w:name w:val="*Numbered List"/>
    <w:link w:val="NumberedListChar"/>
    <w:qFormat/>
    <w:rsid w:val="0017419D"/>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17419D"/>
    <w:rPr>
      <w:sz w:val="22"/>
      <w:szCs w:val="22"/>
    </w:rPr>
  </w:style>
  <w:style w:type="paragraph" w:customStyle="1" w:styleId="TableHeaders">
    <w:name w:val="*TableHeaders"/>
    <w:basedOn w:val="Normal"/>
    <w:link w:val="TableHeadersChar"/>
    <w:qFormat/>
    <w:rsid w:val="0017419D"/>
    <w:pPr>
      <w:spacing w:before="40" w:after="40" w:line="240" w:lineRule="auto"/>
    </w:pPr>
    <w:rPr>
      <w:b/>
      <w:color w:val="FFFFFF" w:themeColor="background1"/>
    </w:rPr>
  </w:style>
  <w:style w:type="character" w:customStyle="1" w:styleId="NumberedListChar">
    <w:name w:val="*Numbered List Char"/>
    <w:basedOn w:val="BulletedListChar"/>
    <w:link w:val="NumberedList"/>
    <w:rsid w:val="0017419D"/>
    <w:rPr>
      <w:sz w:val="22"/>
      <w:szCs w:val="22"/>
    </w:rPr>
  </w:style>
  <w:style w:type="paragraph" w:customStyle="1" w:styleId="PageHeader">
    <w:name w:val="*PageHeader"/>
    <w:link w:val="PageHeaderChar"/>
    <w:qFormat/>
    <w:rsid w:val="0017419D"/>
    <w:pPr>
      <w:spacing w:before="120"/>
    </w:pPr>
    <w:rPr>
      <w:rFonts w:cs="Calibri"/>
      <w:b/>
      <w:sz w:val="18"/>
      <w:szCs w:val="22"/>
    </w:rPr>
  </w:style>
  <w:style w:type="character" w:customStyle="1" w:styleId="TableHeadersChar">
    <w:name w:val="*TableHeaders Char"/>
    <w:basedOn w:val="DefaultParagraphFont"/>
    <w:link w:val="TableHeaders"/>
    <w:rsid w:val="0017419D"/>
    <w:rPr>
      <w:b/>
      <w:color w:val="FFFFFF" w:themeColor="background1"/>
      <w:sz w:val="22"/>
      <w:szCs w:val="22"/>
    </w:rPr>
  </w:style>
  <w:style w:type="paragraph" w:customStyle="1" w:styleId="Q">
    <w:name w:val="*Q*"/>
    <w:link w:val="QChar"/>
    <w:qFormat/>
    <w:rsid w:val="0017419D"/>
    <w:pPr>
      <w:spacing w:before="240" w:line="276" w:lineRule="auto"/>
    </w:pPr>
    <w:rPr>
      <w:rFonts w:eastAsia="Times New Roman"/>
      <w:b/>
      <w:sz w:val="22"/>
      <w:szCs w:val="22"/>
    </w:rPr>
  </w:style>
  <w:style w:type="character" w:customStyle="1" w:styleId="PageHeaderChar">
    <w:name w:val="*PageHeader Char"/>
    <w:basedOn w:val="BodyTextChar"/>
    <w:link w:val="PageHeader"/>
    <w:rsid w:val="0017419D"/>
    <w:rPr>
      <w:rFonts w:cs="Calibri"/>
      <w:b/>
      <w:sz w:val="18"/>
      <w:szCs w:val="22"/>
    </w:rPr>
  </w:style>
  <w:style w:type="character" w:customStyle="1" w:styleId="QChar">
    <w:name w:val="*Q* Char"/>
    <w:basedOn w:val="ListParagraphChar"/>
    <w:link w:val="Q"/>
    <w:rsid w:val="0017419D"/>
    <w:rPr>
      <w:rFonts w:eastAsia="Times New Roman"/>
      <w:b/>
      <w:sz w:val="22"/>
      <w:szCs w:val="22"/>
    </w:rPr>
  </w:style>
  <w:style w:type="paragraph" w:customStyle="1" w:styleId="SASRBullet">
    <w:name w:val="*SA/SR Bullet"/>
    <w:basedOn w:val="Normal"/>
    <w:link w:val="SASRBulletChar"/>
    <w:qFormat/>
    <w:rsid w:val="0017419D"/>
    <w:pPr>
      <w:numPr>
        <w:ilvl w:val="1"/>
        <w:numId w:val="8"/>
      </w:numPr>
      <w:spacing w:before="120"/>
      <w:ind w:left="1080"/>
      <w:contextualSpacing/>
    </w:pPr>
  </w:style>
  <w:style w:type="paragraph" w:customStyle="1" w:styleId="INBullet">
    <w:name w:val="*IN* Bullet"/>
    <w:link w:val="INBulletChar"/>
    <w:qFormat/>
    <w:rsid w:val="0017419D"/>
    <w:pPr>
      <w:numPr>
        <w:numId w:val="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17419D"/>
    <w:rPr>
      <w:sz w:val="22"/>
      <w:szCs w:val="22"/>
    </w:rPr>
  </w:style>
  <w:style w:type="character" w:customStyle="1" w:styleId="INBulletChar">
    <w:name w:val="*IN* Bullet Char"/>
    <w:basedOn w:val="BulletedListChar"/>
    <w:link w:val="INBullet"/>
    <w:rsid w:val="0017419D"/>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17419D"/>
    <w:pPr>
      <w:numPr>
        <w:numId w:val="7"/>
      </w:numPr>
      <w:spacing w:before="120" w:line="276" w:lineRule="auto"/>
    </w:pPr>
    <w:rPr>
      <w:rFonts w:eastAsia="Times New Roman"/>
      <w:sz w:val="22"/>
      <w:szCs w:val="22"/>
    </w:rPr>
  </w:style>
  <w:style w:type="paragraph" w:customStyle="1" w:styleId="SR">
    <w:name w:val="*SR*"/>
    <w:link w:val="SRChar"/>
    <w:qFormat/>
    <w:rsid w:val="0017419D"/>
    <w:pPr>
      <w:numPr>
        <w:numId w:val="9"/>
      </w:numPr>
      <w:spacing w:before="120" w:line="276" w:lineRule="auto"/>
      <w:ind w:left="720"/>
    </w:pPr>
    <w:rPr>
      <w:rFonts w:eastAsia="Times New Roman"/>
      <w:sz w:val="22"/>
      <w:szCs w:val="22"/>
    </w:rPr>
  </w:style>
  <w:style w:type="character" w:customStyle="1" w:styleId="SAChar">
    <w:name w:val="*SA* Char"/>
    <w:basedOn w:val="ListParagraphChar"/>
    <w:link w:val="SA"/>
    <w:rsid w:val="0017419D"/>
    <w:rPr>
      <w:rFonts w:eastAsia="Times New Roman"/>
      <w:sz w:val="22"/>
      <w:szCs w:val="22"/>
    </w:rPr>
  </w:style>
  <w:style w:type="character" w:customStyle="1" w:styleId="SRChar">
    <w:name w:val="*SR* Char"/>
    <w:basedOn w:val="ListParagraphChar"/>
    <w:link w:val="SR"/>
    <w:rsid w:val="0017419D"/>
    <w:rPr>
      <w:rFonts w:eastAsia="Times New Roman"/>
      <w:sz w:val="22"/>
      <w:szCs w:val="22"/>
    </w:rPr>
  </w:style>
  <w:style w:type="paragraph" w:customStyle="1" w:styleId="BR">
    <w:name w:val="*BR*"/>
    <w:link w:val="BRChar"/>
    <w:qFormat/>
    <w:rsid w:val="0017419D"/>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17419D"/>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17419D"/>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17419D"/>
    <w:rPr>
      <w:rFonts w:ascii="Verdana" w:eastAsia="Verdana" w:hAnsi="Verdana" w:cs="Calibri"/>
      <w:b/>
      <w:color w:val="595959"/>
      <w:sz w:val="14"/>
      <w:szCs w:val="22"/>
    </w:rPr>
  </w:style>
  <w:style w:type="paragraph" w:customStyle="1" w:styleId="TableText">
    <w:name w:val="*TableText"/>
    <w:link w:val="TableTextChar"/>
    <w:qFormat/>
    <w:rsid w:val="0017419D"/>
    <w:pPr>
      <w:spacing w:before="40" w:after="40" w:line="276" w:lineRule="auto"/>
    </w:pPr>
    <w:rPr>
      <w:sz w:val="22"/>
      <w:szCs w:val="22"/>
    </w:rPr>
  </w:style>
  <w:style w:type="character" w:customStyle="1" w:styleId="TableTextChar">
    <w:name w:val="*TableText Char"/>
    <w:basedOn w:val="DefaultParagraphFont"/>
    <w:link w:val="TableText"/>
    <w:rsid w:val="0017419D"/>
    <w:rPr>
      <w:sz w:val="22"/>
      <w:szCs w:val="22"/>
    </w:rPr>
  </w:style>
  <w:style w:type="paragraph" w:customStyle="1" w:styleId="ToolHeader">
    <w:name w:val="*ToolHeader"/>
    <w:qFormat/>
    <w:rsid w:val="0017419D"/>
    <w:pPr>
      <w:spacing w:after="120"/>
    </w:pPr>
    <w:rPr>
      <w:rFonts w:asciiTheme="minorHAnsi" w:hAnsiTheme="minorHAnsi"/>
      <w:b/>
      <w:bCs/>
      <w:color w:val="365F91"/>
      <w:sz w:val="32"/>
      <w:szCs w:val="28"/>
    </w:rPr>
  </w:style>
  <w:style w:type="paragraph" w:customStyle="1" w:styleId="ToolTableText">
    <w:name w:val="*ToolTableText"/>
    <w:qFormat/>
    <w:rsid w:val="0017419D"/>
    <w:pPr>
      <w:spacing w:before="40" w:after="120"/>
    </w:pPr>
    <w:rPr>
      <w:sz w:val="22"/>
      <w:szCs w:val="22"/>
    </w:rPr>
  </w:style>
  <w:style w:type="paragraph" w:customStyle="1" w:styleId="ExcerptTitle">
    <w:name w:val="*ExcerptTitle"/>
    <w:basedOn w:val="Normal"/>
    <w:link w:val="ExcerptTitleChar"/>
    <w:qFormat/>
    <w:rsid w:val="0017419D"/>
    <w:pPr>
      <w:jc w:val="center"/>
    </w:pPr>
    <w:rPr>
      <w:rFonts w:asciiTheme="majorHAnsi" w:hAnsiTheme="majorHAnsi"/>
      <w:b/>
      <w:smallCaps/>
      <w:sz w:val="32"/>
    </w:rPr>
  </w:style>
  <w:style w:type="paragraph" w:customStyle="1" w:styleId="ExcerptAuthor">
    <w:name w:val="*ExcerptAuthor"/>
    <w:basedOn w:val="Normal"/>
    <w:link w:val="ExcerptAuthorChar"/>
    <w:qFormat/>
    <w:rsid w:val="0017419D"/>
    <w:pPr>
      <w:jc w:val="center"/>
    </w:pPr>
    <w:rPr>
      <w:rFonts w:asciiTheme="majorHAnsi" w:hAnsiTheme="majorHAnsi"/>
      <w:b/>
    </w:rPr>
  </w:style>
  <w:style w:type="character" w:customStyle="1" w:styleId="ExcerptTitleChar">
    <w:name w:val="*ExcerptTitle Char"/>
    <w:basedOn w:val="DefaultParagraphFont"/>
    <w:link w:val="ExcerptTitle"/>
    <w:rsid w:val="0017419D"/>
    <w:rPr>
      <w:rFonts w:asciiTheme="majorHAnsi" w:hAnsiTheme="majorHAnsi"/>
      <w:b/>
      <w:smallCaps/>
      <w:sz w:val="32"/>
      <w:szCs w:val="22"/>
    </w:rPr>
  </w:style>
  <w:style w:type="paragraph" w:customStyle="1" w:styleId="ExcerptBody">
    <w:name w:val="*ExcerptBody"/>
    <w:basedOn w:val="Normal"/>
    <w:link w:val="ExcerptBodyChar"/>
    <w:qFormat/>
    <w:rsid w:val="0017419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17419D"/>
    <w:rPr>
      <w:rFonts w:asciiTheme="majorHAnsi" w:hAnsiTheme="majorHAnsi"/>
      <w:b/>
      <w:sz w:val="22"/>
      <w:szCs w:val="22"/>
    </w:rPr>
  </w:style>
  <w:style w:type="character" w:customStyle="1" w:styleId="ExcerptBodyChar">
    <w:name w:val="*ExcerptBody Char"/>
    <w:basedOn w:val="DefaultParagraphFont"/>
    <w:link w:val="ExcerptBody"/>
    <w:rsid w:val="0017419D"/>
    <w:rPr>
      <w:rFonts w:ascii="Times New Roman" w:eastAsia="Times New Roman" w:hAnsi="Times New Roman"/>
      <w:color w:val="000000"/>
      <w:szCs w:val="17"/>
    </w:rPr>
  </w:style>
  <w:style w:type="paragraph" w:customStyle="1" w:styleId="SubStandard">
    <w:name w:val="*SubStandard"/>
    <w:basedOn w:val="TableText"/>
    <w:link w:val="SubStandardChar"/>
    <w:qFormat/>
    <w:rsid w:val="0017419D"/>
    <w:pPr>
      <w:numPr>
        <w:numId w:val="10"/>
      </w:numPr>
    </w:pPr>
  </w:style>
  <w:style w:type="character" w:customStyle="1" w:styleId="SubStandardChar">
    <w:name w:val="*SubStandard Char"/>
    <w:basedOn w:val="TableTextChar"/>
    <w:link w:val="SubStandard"/>
    <w:rsid w:val="0017419D"/>
    <w:rPr>
      <w:sz w:val="22"/>
      <w:szCs w:val="22"/>
    </w:rPr>
  </w:style>
  <w:style w:type="paragraph" w:styleId="Revision">
    <w:name w:val="Revision"/>
    <w:hidden/>
    <w:uiPriority w:val="71"/>
    <w:rsid w:val="00EA2731"/>
    <w:rPr>
      <w:sz w:val="22"/>
      <w:szCs w:val="22"/>
    </w:rPr>
  </w:style>
  <w:style w:type="paragraph" w:styleId="DocumentMap">
    <w:name w:val="Document Map"/>
    <w:basedOn w:val="Normal"/>
    <w:link w:val="DocumentMapChar"/>
    <w:uiPriority w:val="99"/>
    <w:semiHidden/>
    <w:unhideWhenUsed/>
    <w:rsid w:val="00EA2731"/>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A2731"/>
    <w:rPr>
      <w:rFonts w:ascii="Lucida Grande" w:hAnsi="Lucida Grande"/>
      <w:sz w:val="24"/>
      <w:szCs w:val="24"/>
    </w:rPr>
  </w:style>
  <w:style w:type="paragraph" w:customStyle="1" w:styleId="Normal1">
    <w:name w:val="Normal1"/>
    <w:rsid w:val="006E22F0"/>
    <w:pPr>
      <w:spacing w:before="60" w:after="60" w:line="276" w:lineRule="auto"/>
    </w:pPr>
    <w:rPr>
      <w:rFonts w:cs="Calibri"/>
      <w:color w:val="000000"/>
      <w:sz w:val="22"/>
      <w:lang w:eastAsia="ja-JP"/>
    </w:rPr>
  </w:style>
</w:styles>
</file>

<file path=word/webSettings.xml><?xml version="1.0" encoding="utf-8"?>
<w:webSettings xmlns:r="http://schemas.openxmlformats.org/officeDocument/2006/relationships" xmlns:w="http://schemas.openxmlformats.org/wordprocessingml/2006/main">
  <w:divs>
    <w:div w:id="10265322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A257-E072-4A10-A08C-4C6E066F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20557</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2014-04-04T16:51:00Z</cp:lastPrinted>
  <dcterms:created xsi:type="dcterms:W3CDTF">2014-04-17T16:31:00Z</dcterms:created>
  <dcterms:modified xsi:type="dcterms:W3CDTF">2014-04-17T16:31:00Z</dcterms:modified>
</cp:coreProperties>
</file>